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A5C3" w14:textId="77777777" w:rsidR="00BF6F96" w:rsidRPr="003D0236" w:rsidRDefault="00BF6F96" w:rsidP="00BF6F96">
      <w:pPr>
        <w:rPr>
          <w:sz w:val="17"/>
          <w:szCs w:val="17"/>
        </w:rPr>
        <w:sectPr w:rsidR="00BF6F96" w:rsidRPr="003D0236" w:rsidSect="00BF6F96">
          <w:headerReference w:type="even" r:id="rId11"/>
          <w:headerReference w:type="default" r:id="rId12"/>
          <w:footerReference w:type="even" r:id="rId13"/>
          <w:footerReference w:type="default" r:id="rId14"/>
          <w:headerReference w:type="first" r:id="rId15"/>
          <w:footerReference w:type="first" r:id="rId16"/>
          <w:pgSz w:w="11907" w:h="16839" w:code="9"/>
          <w:pgMar w:top="2336" w:right="907" w:bottom="1599" w:left="1418" w:header="709" w:footer="238" w:gutter="0"/>
          <w:cols w:space="708"/>
          <w:titlePg/>
          <w:docGrid w:linePitch="360"/>
        </w:sectPr>
      </w:pPr>
    </w:p>
    <w:p w14:paraId="31A514EA" w14:textId="77777777" w:rsidR="00BF6F96" w:rsidRPr="003D0236" w:rsidRDefault="00BF6F96" w:rsidP="00BF6F96">
      <w:pPr>
        <w:autoSpaceDE w:val="0"/>
        <w:autoSpaceDN w:val="0"/>
        <w:adjustRightInd w:val="0"/>
        <w:rPr>
          <w:b/>
          <w:color w:val="002957"/>
          <w:sz w:val="17"/>
          <w:szCs w:val="17"/>
        </w:rPr>
      </w:pPr>
      <w:r w:rsidRPr="003D0236">
        <w:rPr>
          <w:b/>
          <w:color w:val="002957"/>
          <w:sz w:val="17"/>
          <w:szCs w:val="17"/>
        </w:rPr>
        <w:t>Introduction</w:t>
      </w:r>
    </w:p>
    <w:p w14:paraId="25201E37" w14:textId="77777777" w:rsidR="00BF6F96" w:rsidRPr="003D0236" w:rsidRDefault="00BF6F96" w:rsidP="00BF6F96">
      <w:pPr>
        <w:rPr>
          <w:sz w:val="17"/>
          <w:szCs w:val="17"/>
        </w:rPr>
      </w:pPr>
    </w:p>
    <w:p w14:paraId="5C33E936" w14:textId="77777777" w:rsidR="00BF6F96" w:rsidRPr="006A584E" w:rsidRDefault="00BF6F96" w:rsidP="00BF6F96">
      <w:pPr>
        <w:rPr>
          <w:sz w:val="17"/>
          <w:szCs w:val="17"/>
          <w:lang w:val="en-US"/>
        </w:rPr>
      </w:pPr>
      <w:bookmarkStart w:id="0" w:name="start"/>
      <w:r w:rsidRPr="006A584E">
        <w:rPr>
          <w:sz w:val="17"/>
          <w:szCs w:val="17"/>
          <w:lang w:val="en-US"/>
        </w:rPr>
        <w:t>Insurance Europe firmly supports the European Commission (EC)’s new approach to simplify regulation, strengthen competitiveness and secure sustainable prosperity in Europe. The insurance industry was amongst the first to highlight concerns about climate change and it remains committed to Europe’s sustainability goals. We welcome that the Omnibus proposals keep these goals and retain key elements of the CSRD and transition plans., The Omnibus improvements, if finalised in the right way, will allow resources to be focused on the most useful and important data and companies and investors to spend more resources on taking initiatives and actions that directly promote sustainable transition, rather than on reporting.</w:t>
      </w:r>
      <w:r>
        <w:rPr>
          <w:sz w:val="17"/>
          <w:szCs w:val="17"/>
          <w:lang w:val="en-US"/>
        </w:rPr>
        <w:t xml:space="preserve"> </w:t>
      </w:r>
    </w:p>
    <w:p w14:paraId="4E86B686" w14:textId="77777777" w:rsidR="00BF6F96" w:rsidRPr="006A584E" w:rsidRDefault="00BF6F96" w:rsidP="00BF6F96">
      <w:pPr>
        <w:rPr>
          <w:sz w:val="17"/>
          <w:szCs w:val="17"/>
          <w:lang w:val="en-US"/>
        </w:rPr>
      </w:pPr>
    </w:p>
    <w:p w14:paraId="211520D4" w14:textId="77777777" w:rsidR="00BF6F96" w:rsidRPr="006A584E" w:rsidRDefault="00BF6F96" w:rsidP="00BF6F96">
      <w:pPr>
        <w:rPr>
          <w:sz w:val="17"/>
          <w:szCs w:val="17"/>
        </w:rPr>
      </w:pPr>
      <w:r w:rsidRPr="006A584E">
        <w:rPr>
          <w:sz w:val="17"/>
          <w:szCs w:val="17"/>
        </w:rPr>
        <w:t xml:space="preserve">Over the past years, the insurance industry contributed to the development and dedicated significant resources to the application of the sustainable finance framework. Insurers are therefore well-placed to assess the potential unintended consequences, and sources of undue complexity stemming from the implementation of the new requirements.  </w:t>
      </w:r>
    </w:p>
    <w:p w14:paraId="429918F1" w14:textId="77777777" w:rsidR="00BF6F96" w:rsidRPr="006A584E" w:rsidRDefault="00BF6F96" w:rsidP="00BF6F96">
      <w:pPr>
        <w:rPr>
          <w:sz w:val="17"/>
          <w:szCs w:val="17"/>
        </w:rPr>
      </w:pPr>
    </w:p>
    <w:p w14:paraId="065EAAAC" w14:textId="77777777" w:rsidR="00BF6F96" w:rsidRPr="006A584E" w:rsidRDefault="00BF6F96" w:rsidP="00BF6F96">
      <w:pPr>
        <w:rPr>
          <w:sz w:val="17"/>
          <w:szCs w:val="17"/>
          <w:lang w:val="en-US"/>
        </w:rPr>
      </w:pPr>
      <w:r w:rsidRPr="006A584E">
        <w:rPr>
          <w:sz w:val="17"/>
          <w:szCs w:val="17"/>
        </w:rPr>
        <w:t xml:space="preserve">The industry has from the start highlighted the importance of consistent and key data but has also stressed the need for focus, proportionality and to avoid excessive requirements. Developing, implementing and complying to sustainability reporting and regulation uses scarce expertise and involves significant costs. This expertise and investment is also needed to put in place sustainable strategies, operations and transition plans and manage sustainability risks. Focusing on the most useful reporting and information is therefore a core priority. </w:t>
      </w:r>
    </w:p>
    <w:p w14:paraId="78C64925" w14:textId="77777777" w:rsidR="00BF6F96" w:rsidRPr="006A584E" w:rsidRDefault="00BF6F96" w:rsidP="00BF6F96">
      <w:pPr>
        <w:rPr>
          <w:sz w:val="17"/>
          <w:szCs w:val="17"/>
          <w:lang w:val="en-US"/>
        </w:rPr>
      </w:pPr>
    </w:p>
    <w:p w14:paraId="69F10747" w14:textId="77777777" w:rsidR="00BF6F96" w:rsidRPr="006A584E" w:rsidRDefault="00BF6F96" w:rsidP="00BF6F96">
      <w:pPr>
        <w:rPr>
          <w:sz w:val="17"/>
          <w:szCs w:val="17"/>
          <w:lang w:val="en-US"/>
        </w:rPr>
      </w:pPr>
      <w:r w:rsidRPr="006A584E">
        <w:rPr>
          <w:sz w:val="17"/>
          <w:szCs w:val="17"/>
          <w:lang w:val="en-US"/>
        </w:rPr>
        <w:t xml:space="preserve">The first Omnibus initiative, which aims to simplify sustainability reporting and disclosure requirements, is welcome. We fully recognise the need for the sustainability framework to be improved and commend the EC for its efforts to simplify the framework.  After the Omnibus simplifications, the framework will still deliver the most useful sustainability data across a wide range of companies and will remain more ambitious than any similar framework globally.  </w:t>
      </w:r>
    </w:p>
    <w:p w14:paraId="5EB10BED" w14:textId="77777777" w:rsidR="00BF6F96" w:rsidRPr="006A584E" w:rsidRDefault="00BF6F96" w:rsidP="00BF6F96">
      <w:pPr>
        <w:rPr>
          <w:sz w:val="17"/>
          <w:szCs w:val="17"/>
          <w:lang w:val="en-US"/>
        </w:rPr>
      </w:pPr>
    </w:p>
    <w:p w14:paraId="49237AD5" w14:textId="77777777" w:rsidR="00BF6F96" w:rsidRPr="006A584E" w:rsidRDefault="00BF6F96" w:rsidP="00BF6F96">
      <w:pPr>
        <w:rPr>
          <w:sz w:val="17"/>
          <w:szCs w:val="17"/>
          <w:lang w:val="en-US"/>
        </w:rPr>
      </w:pPr>
      <w:r w:rsidRPr="006A584E">
        <w:rPr>
          <w:sz w:val="17"/>
          <w:szCs w:val="17"/>
          <w:lang w:val="en-US"/>
        </w:rPr>
        <w:t xml:space="preserve">Elements from the EC proposals for an Omnibus package of particular importance for the insurance industry are: </w:t>
      </w:r>
    </w:p>
    <w:p w14:paraId="712C2141" w14:textId="77777777" w:rsidR="00BF6F96" w:rsidRPr="006A584E" w:rsidRDefault="00BF6F96" w:rsidP="00BF6F96">
      <w:pPr>
        <w:rPr>
          <w:sz w:val="17"/>
          <w:szCs w:val="17"/>
          <w:lang w:val="en-US"/>
        </w:rPr>
      </w:pPr>
    </w:p>
    <w:p w14:paraId="4504BFB0" w14:textId="77777777" w:rsidR="00BF6F96" w:rsidRPr="00AA2096" w:rsidRDefault="00BF6F96" w:rsidP="00BF6F96">
      <w:pPr>
        <w:pStyle w:val="Odsekzoznamu"/>
        <w:numPr>
          <w:ilvl w:val="0"/>
          <w:numId w:val="10"/>
        </w:numPr>
        <w:jc w:val="both"/>
        <w:rPr>
          <w:rFonts w:ascii="Verdana" w:hAnsi="Verdana"/>
          <w:b/>
          <w:sz w:val="17"/>
        </w:rPr>
      </w:pPr>
      <w:r w:rsidRPr="006A584E">
        <w:rPr>
          <w:rFonts w:ascii="Verdana" w:hAnsi="Verdana"/>
          <w:b/>
          <w:bCs/>
          <w:sz w:val="17"/>
          <w:szCs w:val="17"/>
        </w:rPr>
        <w:t>Corporate Sustainability Reporting Directive (CSRD)</w:t>
      </w:r>
    </w:p>
    <w:p w14:paraId="623A8D31" w14:textId="77777777" w:rsidR="00BF6F96" w:rsidRPr="006A584E" w:rsidRDefault="00BF6F96" w:rsidP="00BF6F96">
      <w:pPr>
        <w:pStyle w:val="Odsekzoznamu"/>
        <w:numPr>
          <w:ilvl w:val="0"/>
          <w:numId w:val="8"/>
        </w:numPr>
        <w:jc w:val="both"/>
        <w:rPr>
          <w:rFonts w:ascii="Verdana" w:hAnsi="Verdana"/>
          <w:sz w:val="17"/>
          <w:szCs w:val="17"/>
        </w:rPr>
      </w:pPr>
      <w:r w:rsidRPr="006A584E">
        <w:rPr>
          <w:rFonts w:ascii="Verdana" w:hAnsi="Verdana"/>
          <w:b/>
          <w:bCs/>
          <w:sz w:val="17"/>
          <w:szCs w:val="17"/>
        </w:rPr>
        <w:lastRenderedPageBreak/>
        <w:t xml:space="preserve">Support </w:t>
      </w:r>
      <w:r w:rsidRPr="00AA2096">
        <w:rPr>
          <w:rFonts w:ascii="Verdana" w:hAnsi="Verdana"/>
          <w:b/>
          <w:sz w:val="17"/>
        </w:rPr>
        <w:t>“Stop the clock”</w:t>
      </w:r>
      <w:r w:rsidRPr="006A584E">
        <w:rPr>
          <w:rFonts w:ascii="Verdana" w:hAnsi="Verdana"/>
          <w:sz w:val="17"/>
          <w:szCs w:val="17"/>
        </w:rPr>
        <w:t xml:space="preserve"> to give more time for those companies not currently reporting to implement the amended standards and allow time for the Omnibus changes that will impact other companies to be finalized and avoid unnecessary implementation efforts and costs.</w:t>
      </w:r>
      <w:r>
        <w:rPr>
          <w:rFonts w:ascii="Verdana" w:hAnsi="Verdana"/>
          <w:sz w:val="17"/>
          <w:szCs w:val="17"/>
        </w:rPr>
        <w:t xml:space="preserve"> </w:t>
      </w:r>
      <w:r w:rsidRPr="005A2A4E">
        <w:rPr>
          <w:rFonts w:ascii="Verdana" w:hAnsi="Verdana"/>
          <w:sz w:val="17"/>
          <w:szCs w:val="17"/>
          <w:lang w:val="en-GB"/>
        </w:rPr>
        <w:t>We urge policymakers at EU and national levels to finalize necessary negotiations and transposition processes as soon as possible, or at least to provide clarity to companies on timelines, to restore legal certainty and provide companies with necessary predictability</w:t>
      </w:r>
      <w:r>
        <w:rPr>
          <w:rFonts w:ascii="Verdana" w:hAnsi="Verdana"/>
          <w:sz w:val="17"/>
          <w:szCs w:val="17"/>
        </w:rPr>
        <w:t>.</w:t>
      </w:r>
    </w:p>
    <w:p w14:paraId="7B476ADC" w14:textId="77777777" w:rsidR="00BF6F96" w:rsidRPr="006A584E" w:rsidRDefault="00BF6F96" w:rsidP="00BF6F96">
      <w:pPr>
        <w:pStyle w:val="Odsekzoznamu"/>
        <w:numPr>
          <w:ilvl w:val="0"/>
          <w:numId w:val="8"/>
        </w:numPr>
        <w:jc w:val="both"/>
        <w:rPr>
          <w:rFonts w:ascii="Verdana" w:hAnsi="Verdana"/>
          <w:sz w:val="17"/>
          <w:szCs w:val="17"/>
        </w:rPr>
      </w:pPr>
      <w:r w:rsidRPr="00AA2096">
        <w:rPr>
          <w:rFonts w:ascii="Verdana" w:hAnsi="Verdana"/>
          <w:b/>
          <w:sz w:val="17"/>
        </w:rPr>
        <w:t>Remove the requirements to introduce further, more detailed (sector-specific) reporting.</w:t>
      </w:r>
      <w:r w:rsidRPr="006A584E">
        <w:rPr>
          <w:rFonts w:ascii="Verdana" w:hAnsi="Verdana"/>
          <w:sz w:val="17"/>
          <w:szCs w:val="17"/>
        </w:rPr>
        <w:t xml:space="preserve"> This was diverting significant resource and focus away from implementing the current and extensive reporting requirements.</w:t>
      </w:r>
    </w:p>
    <w:p w14:paraId="7DDB86DC" w14:textId="0DEC1C1E" w:rsidR="00BF6F96" w:rsidRPr="00C06DAE" w:rsidRDefault="00BF6F96" w:rsidP="00BF6F96">
      <w:pPr>
        <w:pStyle w:val="Odsekzoznamu"/>
        <w:numPr>
          <w:ilvl w:val="0"/>
          <w:numId w:val="8"/>
        </w:numPr>
        <w:jc w:val="both"/>
        <w:rPr>
          <w:rFonts w:ascii="Verdana" w:hAnsi="Verdana"/>
          <w:sz w:val="17"/>
          <w:szCs w:val="17"/>
        </w:rPr>
      </w:pPr>
      <w:r w:rsidRPr="006A584E">
        <w:rPr>
          <w:rFonts w:ascii="Verdana" w:hAnsi="Verdana"/>
          <w:sz w:val="17"/>
          <w:szCs w:val="17"/>
        </w:rPr>
        <w:t xml:space="preserve">Commitment to </w:t>
      </w:r>
      <w:r w:rsidRPr="00AA2096">
        <w:rPr>
          <w:rFonts w:ascii="Verdana" w:hAnsi="Verdana"/>
          <w:b/>
          <w:sz w:val="17"/>
        </w:rPr>
        <w:t>review and reduce the current reporting standards</w:t>
      </w:r>
      <w:r w:rsidRPr="006A584E">
        <w:rPr>
          <w:rFonts w:ascii="Verdana" w:hAnsi="Verdana"/>
          <w:sz w:val="17"/>
          <w:szCs w:val="17"/>
        </w:rPr>
        <w:t xml:space="preserve"> to see how/where it can be simplified </w:t>
      </w:r>
      <w:r>
        <w:rPr>
          <w:rFonts w:ascii="Verdana" w:hAnsi="Verdana"/>
          <w:sz w:val="17"/>
          <w:szCs w:val="17"/>
        </w:rPr>
        <w:t xml:space="preserve">for </w:t>
      </w:r>
      <w:r w:rsidRPr="006A584E">
        <w:rPr>
          <w:rFonts w:ascii="Verdana" w:hAnsi="Verdana"/>
          <w:sz w:val="17"/>
          <w:szCs w:val="17"/>
        </w:rPr>
        <w:t>wave 1 companies and others who will remain in scope</w:t>
      </w:r>
      <w:r>
        <w:rPr>
          <w:rFonts w:ascii="Verdana" w:hAnsi="Verdana"/>
          <w:sz w:val="17"/>
          <w:szCs w:val="17"/>
        </w:rPr>
        <w:t>, including third-country undertakings</w:t>
      </w:r>
      <w:r w:rsidRPr="006A584E">
        <w:rPr>
          <w:rFonts w:ascii="Verdana" w:hAnsi="Verdana"/>
          <w:sz w:val="17"/>
          <w:szCs w:val="17"/>
        </w:rPr>
        <w:t xml:space="preserve">. </w:t>
      </w:r>
      <w:r w:rsidRPr="006A584E">
        <w:rPr>
          <w:rFonts w:ascii="Verdana" w:hAnsi="Verdana"/>
          <w:sz w:val="17"/>
          <w:szCs w:val="17"/>
          <w:lang w:val="en-GB"/>
        </w:rPr>
        <w:t xml:space="preserve">The Commission should set an unambiguous </w:t>
      </w:r>
      <w:r>
        <w:rPr>
          <w:rFonts w:ascii="Verdana" w:hAnsi="Verdana"/>
          <w:sz w:val="17"/>
          <w:szCs w:val="17"/>
          <w:lang w:val="en-GB"/>
        </w:rPr>
        <w:t xml:space="preserve">and ambitious </w:t>
      </w:r>
      <w:r w:rsidRPr="006A584E">
        <w:rPr>
          <w:rFonts w:ascii="Verdana" w:hAnsi="Verdana"/>
          <w:sz w:val="17"/>
          <w:szCs w:val="17"/>
          <w:lang w:val="en-GB"/>
        </w:rPr>
        <w:t>goal for the simplification of the standards. By focusing on the most important sustainability aspects, it should be possible to significantly simplify current requirements.</w:t>
      </w:r>
      <w:r>
        <w:rPr>
          <w:rFonts w:ascii="Verdana" w:hAnsi="Verdana"/>
          <w:sz w:val="17"/>
          <w:szCs w:val="17"/>
          <w:lang w:val="en-GB"/>
        </w:rPr>
        <w:t xml:space="preserve"> Furthermore, the review of the sector-agnostic ESRS should be carried with a view to ensure effective interoperability </w:t>
      </w:r>
      <w:r w:rsidR="00207CD1">
        <w:rPr>
          <w:rFonts w:ascii="Verdana" w:hAnsi="Verdana"/>
          <w:sz w:val="17"/>
          <w:szCs w:val="17"/>
          <w:lang w:val="en-GB"/>
        </w:rPr>
        <w:t>with the ISSB standards</w:t>
      </w:r>
      <w:r>
        <w:rPr>
          <w:rFonts w:ascii="Verdana" w:hAnsi="Verdana"/>
          <w:sz w:val="17"/>
          <w:szCs w:val="17"/>
          <w:lang w:val="en-GB"/>
        </w:rPr>
        <w:t>.</w:t>
      </w:r>
    </w:p>
    <w:p w14:paraId="69D19962" w14:textId="77777777" w:rsidR="00BF6F96" w:rsidRPr="006A584E" w:rsidRDefault="00BF6F96" w:rsidP="00BF6F96">
      <w:pPr>
        <w:pStyle w:val="Odsekzoznamu"/>
        <w:numPr>
          <w:ilvl w:val="0"/>
          <w:numId w:val="8"/>
        </w:numPr>
        <w:jc w:val="both"/>
        <w:rPr>
          <w:rFonts w:ascii="Verdana" w:hAnsi="Verdana"/>
          <w:sz w:val="17"/>
          <w:szCs w:val="17"/>
        </w:rPr>
      </w:pPr>
      <w:r w:rsidRPr="00AA2096">
        <w:rPr>
          <w:rFonts w:ascii="Verdana" w:hAnsi="Verdana"/>
          <w:b/>
          <w:sz w:val="17"/>
        </w:rPr>
        <w:t xml:space="preserve">Keep assurance requirement at the current level </w:t>
      </w:r>
      <w:r w:rsidRPr="006A584E">
        <w:rPr>
          <w:rFonts w:ascii="Verdana" w:hAnsi="Verdana"/>
          <w:sz w:val="17"/>
          <w:szCs w:val="17"/>
        </w:rPr>
        <w:t>(limited assurance) to avoid significant further costs.</w:t>
      </w:r>
    </w:p>
    <w:p w14:paraId="0A362A76" w14:textId="7424A71E" w:rsidR="00BF6F96" w:rsidRPr="002214EB" w:rsidRDefault="00BF6F96" w:rsidP="002214EB">
      <w:pPr>
        <w:pStyle w:val="Odsekzoznamu"/>
        <w:numPr>
          <w:ilvl w:val="0"/>
          <w:numId w:val="8"/>
        </w:numPr>
        <w:spacing w:after="0"/>
        <w:jc w:val="both"/>
        <w:rPr>
          <w:rFonts w:ascii="Verdana" w:hAnsi="Verdana"/>
          <w:sz w:val="17"/>
          <w:szCs w:val="17"/>
        </w:rPr>
      </w:pPr>
      <w:r w:rsidRPr="006A584E">
        <w:rPr>
          <w:rFonts w:ascii="Verdana" w:hAnsi="Verdana"/>
          <w:sz w:val="17"/>
          <w:szCs w:val="17"/>
        </w:rPr>
        <w:t>Keep mandatory reporting for the largest companies</w:t>
      </w:r>
      <w:r w:rsidRPr="006A584E">
        <w:rPr>
          <w:rFonts w:ascii="Verdana" w:hAnsi="Verdana"/>
          <w:b/>
          <w:bCs/>
          <w:sz w:val="17"/>
          <w:szCs w:val="17"/>
        </w:rPr>
        <w:t xml:space="preserve">, </w:t>
      </w:r>
      <w:r w:rsidRPr="006A584E">
        <w:rPr>
          <w:rFonts w:ascii="Verdana" w:hAnsi="Verdana"/>
          <w:sz w:val="17"/>
          <w:szCs w:val="17"/>
        </w:rPr>
        <w:t>while allowing other companies to report voluntarily on useful data. We support changing the scope, so that only companies with more than 1.000 employees are subject to reporting. However, the criteria should be met in two consecutive financial years for companies to be in scope.</w:t>
      </w:r>
    </w:p>
    <w:p w14:paraId="5B07A1A5" w14:textId="77777777" w:rsidR="00BF6F96" w:rsidRPr="006A584E" w:rsidRDefault="00BF6F96" w:rsidP="00BF6F96">
      <w:pPr>
        <w:pStyle w:val="Odsekzoznamu"/>
        <w:numPr>
          <w:ilvl w:val="0"/>
          <w:numId w:val="8"/>
        </w:numPr>
        <w:jc w:val="both"/>
        <w:rPr>
          <w:rFonts w:ascii="Verdana" w:hAnsi="Verdana"/>
          <w:sz w:val="17"/>
          <w:szCs w:val="17"/>
        </w:rPr>
      </w:pPr>
      <w:r w:rsidRPr="006A584E">
        <w:rPr>
          <w:rFonts w:ascii="Verdana" w:hAnsi="Verdana"/>
          <w:b/>
          <w:bCs/>
          <w:sz w:val="17"/>
          <w:szCs w:val="17"/>
        </w:rPr>
        <w:t>The requirement and timing to develop electronic tagging is not covered by the proposed Omnibus improvements but should be</w:t>
      </w:r>
      <w:r w:rsidRPr="006A584E">
        <w:rPr>
          <w:rFonts w:ascii="Verdana" w:hAnsi="Verdana"/>
          <w:sz w:val="17"/>
          <w:szCs w:val="17"/>
        </w:rPr>
        <w:t>. Developing and implementing electronic tagging is a very major cost and very difficult to achieve. Developments with AI mean that this may no longer be needed or could be significantly simplified. The Commission should consider how current work can be paused or phased and undertake a study on how AI can reduce/change the need electronic tagging.</w:t>
      </w:r>
    </w:p>
    <w:p w14:paraId="4ED11A4C" w14:textId="77777777" w:rsidR="00BF6F96" w:rsidRPr="00AA2096" w:rsidRDefault="00BF6F96" w:rsidP="00BF6F96">
      <w:pPr>
        <w:pStyle w:val="Odsekzoznamu"/>
        <w:ind w:left="360"/>
        <w:rPr>
          <w:rFonts w:ascii="Verdana" w:hAnsi="Verdana"/>
          <w:b/>
          <w:sz w:val="17"/>
        </w:rPr>
      </w:pPr>
    </w:p>
    <w:p w14:paraId="46EAA9E7" w14:textId="77777777" w:rsidR="00BF6F96" w:rsidRPr="00AA2096" w:rsidRDefault="00BF6F96" w:rsidP="00BF6F96">
      <w:pPr>
        <w:pStyle w:val="Odsekzoznamu"/>
        <w:numPr>
          <w:ilvl w:val="0"/>
          <w:numId w:val="10"/>
        </w:numPr>
        <w:jc w:val="both"/>
        <w:rPr>
          <w:rFonts w:ascii="Verdana" w:hAnsi="Verdana"/>
          <w:b/>
          <w:sz w:val="17"/>
        </w:rPr>
      </w:pPr>
      <w:r w:rsidRPr="006A584E">
        <w:rPr>
          <w:rFonts w:ascii="Verdana" w:hAnsi="Verdana"/>
          <w:b/>
          <w:bCs/>
          <w:sz w:val="17"/>
          <w:szCs w:val="17"/>
        </w:rPr>
        <w:t>Corporate Sustainability Due Diligence Directive (CSDDD)</w:t>
      </w:r>
    </w:p>
    <w:p w14:paraId="3384EA05" w14:textId="77777777" w:rsidR="00BF6F96" w:rsidRPr="00DB77CA" w:rsidRDefault="00BF6F96" w:rsidP="00BF6F96">
      <w:pPr>
        <w:pStyle w:val="Odsekzoznamu"/>
        <w:numPr>
          <w:ilvl w:val="0"/>
          <w:numId w:val="9"/>
        </w:numPr>
        <w:jc w:val="both"/>
        <w:rPr>
          <w:rFonts w:ascii="Verdana" w:hAnsi="Verdana"/>
          <w:sz w:val="17"/>
          <w:szCs w:val="17"/>
        </w:rPr>
      </w:pPr>
      <w:r w:rsidRPr="00DB77CA">
        <w:rPr>
          <w:rFonts w:ascii="Verdana" w:hAnsi="Verdana"/>
          <w:b/>
          <w:bCs/>
          <w:sz w:val="17"/>
          <w:szCs w:val="17"/>
          <w:lang w:val="en-GB"/>
        </w:rPr>
        <w:t>W</w:t>
      </w:r>
      <w:r>
        <w:rPr>
          <w:rFonts w:ascii="Verdana" w:hAnsi="Verdana"/>
          <w:b/>
          <w:bCs/>
          <w:sz w:val="17"/>
          <w:szCs w:val="17"/>
          <w:lang w:val="en-GB"/>
        </w:rPr>
        <w:t>e w</w:t>
      </w:r>
      <w:r w:rsidRPr="00DB77CA">
        <w:rPr>
          <w:rFonts w:ascii="Verdana" w:hAnsi="Verdana"/>
          <w:b/>
          <w:bCs/>
          <w:sz w:val="17"/>
          <w:szCs w:val="17"/>
          <w:lang w:val="en-GB"/>
        </w:rPr>
        <w:t>elcome the removal of an EU-level civil liability regime</w:t>
      </w:r>
      <w:r w:rsidRPr="00AC11D8">
        <w:rPr>
          <w:rFonts w:ascii="Verdana" w:hAnsi="Verdana"/>
          <w:sz w:val="17"/>
          <w:szCs w:val="17"/>
          <w:lang w:val="en-GB"/>
        </w:rPr>
        <w:t xml:space="preserve">, as </w:t>
      </w:r>
      <w:r>
        <w:rPr>
          <w:rFonts w:ascii="Verdana" w:hAnsi="Verdana"/>
          <w:sz w:val="17"/>
          <w:szCs w:val="17"/>
          <w:lang w:val="en-GB"/>
        </w:rPr>
        <w:t xml:space="preserve">it </w:t>
      </w:r>
      <w:r w:rsidRPr="00AC11D8">
        <w:rPr>
          <w:rFonts w:ascii="Verdana" w:hAnsi="Verdana"/>
          <w:sz w:val="17"/>
          <w:szCs w:val="17"/>
          <w:lang w:val="en-GB"/>
        </w:rPr>
        <w:t>ensures that liability frameworks remain at the national level.</w:t>
      </w:r>
    </w:p>
    <w:p w14:paraId="0D129943" w14:textId="77777777" w:rsidR="00BF6F96" w:rsidRPr="006A584E" w:rsidRDefault="00BF6F96" w:rsidP="00BF6F96">
      <w:pPr>
        <w:pStyle w:val="Odsekzoznamu"/>
        <w:numPr>
          <w:ilvl w:val="0"/>
          <w:numId w:val="9"/>
        </w:numPr>
        <w:jc w:val="both"/>
        <w:rPr>
          <w:rFonts w:ascii="Verdana" w:hAnsi="Verdana"/>
          <w:sz w:val="17"/>
          <w:szCs w:val="17"/>
        </w:rPr>
      </w:pPr>
      <w:r w:rsidRPr="00AA2096">
        <w:rPr>
          <w:rFonts w:ascii="Verdana" w:hAnsi="Verdana"/>
          <w:b/>
          <w:sz w:val="17"/>
        </w:rPr>
        <w:t>Remove the review clause on inclusion of financial services</w:t>
      </w:r>
      <w:r w:rsidRPr="006A584E">
        <w:rPr>
          <w:rFonts w:ascii="Verdana" w:hAnsi="Verdana"/>
          <w:sz w:val="17"/>
          <w:szCs w:val="17"/>
        </w:rPr>
        <w:t xml:space="preserve"> in the CSDDD scope, because applying the requirements to investments and to insurance customers would be very complex. </w:t>
      </w:r>
      <w:r w:rsidRPr="00D53014">
        <w:rPr>
          <w:rFonts w:ascii="Verdana" w:hAnsi="Verdana"/>
          <w:sz w:val="17"/>
          <w:szCs w:val="17"/>
        </w:rPr>
        <w:t xml:space="preserve"> </w:t>
      </w:r>
      <w:r>
        <w:rPr>
          <w:rFonts w:ascii="Verdana" w:hAnsi="Verdana"/>
          <w:sz w:val="17"/>
          <w:szCs w:val="17"/>
        </w:rPr>
        <w:t>To fully remove regulatory ambiguity in this respect, the scoping out of the downstream chain of activities of financial undertakings should not only be mentioned in the CSDDD recital, but also in its operative provisions.</w:t>
      </w:r>
    </w:p>
    <w:p w14:paraId="1D8E51D8" w14:textId="77777777" w:rsidR="00BF6F96" w:rsidRDefault="00BF6F96" w:rsidP="00BF6F96">
      <w:pPr>
        <w:pStyle w:val="Odsekzoznamu"/>
        <w:numPr>
          <w:ilvl w:val="0"/>
          <w:numId w:val="9"/>
        </w:numPr>
        <w:jc w:val="both"/>
        <w:rPr>
          <w:rFonts w:ascii="Verdana" w:hAnsi="Verdana"/>
          <w:sz w:val="17"/>
          <w:szCs w:val="17"/>
        </w:rPr>
      </w:pPr>
      <w:r w:rsidRPr="006A584E">
        <w:rPr>
          <w:rFonts w:ascii="Verdana" w:hAnsi="Verdana"/>
          <w:sz w:val="17"/>
          <w:szCs w:val="17"/>
        </w:rPr>
        <w:t xml:space="preserve">Provide all companies in scope more time to implement by </w:t>
      </w:r>
      <w:r w:rsidRPr="00AA2096">
        <w:rPr>
          <w:rFonts w:ascii="Verdana" w:hAnsi="Verdana"/>
          <w:b/>
          <w:sz w:val="17"/>
        </w:rPr>
        <w:t>postponing by one year the transposition deadline</w:t>
      </w:r>
      <w:r w:rsidRPr="006A584E">
        <w:rPr>
          <w:rFonts w:ascii="Verdana" w:hAnsi="Verdana"/>
          <w:sz w:val="17"/>
          <w:szCs w:val="17"/>
        </w:rPr>
        <w:t xml:space="preserve"> and the date of first application.</w:t>
      </w:r>
      <w:r>
        <w:rPr>
          <w:rFonts w:ascii="Verdana" w:hAnsi="Verdana"/>
          <w:sz w:val="17"/>
          <w:szCs w:val="17"/>
        </w:rPr>
        <w:t xml:space="preserve"> </w:t>
      </w:r>
    </w:p>
    <w:p w14:paraId="77E68F47" w14:textId="77777777" w:rsidR="00BF6F96" w:rsidRPr="00C06DAE" w:rsidRDefault="00BF6F96" w:rsidP="00BF6F96">
      <w:pPr>
        <w:pStyle w:val="Odsekzoznamu"/>
        <w:numPr>
          <w:ilvl w:val="0"/>
          <w:numId w:val="9"/>
        </w:numPr>
        <w:jc w:val="both"/>
        <w:rPr>
          <w:rFonts w:ascii="Verdana" w:hAnsi="Verdana"/>
          <w:sz w:val="17"/>
          <w:szCs w:val="17"/>
        </w:rPr>
      </w:pPr>
      <w:r w:rsidRPr="000B6D69">
        <w:rPr>
          <w:rFonts w:ascii="Verdana" w:hAnsi="Verdana"/>
          <w:b/>
          <w:bCs/>
          <w:sz w:val="17"/>
          <w:szCs w:val="17"/>
          <w:lang w:val="en-GB"/>
        </w:rPr>
        <w:t>Delete Article 1(2) on maintaining existing national levels of protection</w:t>
      </w:r>
      <w:r>
        <w:rPr>
          <w:rFonts w:ascii="Verdana" w:hAnsi="Verdana"/>
          <w:sz w:val="17"/>
          <w:szCs w:val="17"/>
          <w:lang w:val="en-GB"/>
        </w:rPr>
        <w:t xml:space="preserve">. </w:t>
      </w:r>
      <w:r w:rsidRPr="00C06DAE">
        <w:rPr>
          <w:rFonts w:ascii="Verdana" w:hAnsi="Verdana"/>
          <w:sz w:val="17"/>
          <w:szCs w:val="17"/>
        </w:rPr>
        <w:t>This provision ensures that the CSDDD cannot be used as a pretext to reduce existing protections already established in national laws.  Keeping this provision could create competitive challenges for EU companies.</w:t>
      </w:r>
    </w:p>
    <w:p w14:paraId="63137F64" w14:textId="77777777" w:rsidR="00BF6F96" w:rsidRPr="006A584E" w:rsidRDefault="00BF6F96" w:rsidP="00BF6F96">
      <w:pPr>
        <w:rPr>
          <w:sz w:val="17"/>
          <w:szCs w:val="17"/>
        </w:rPr>
      </w:pPr>
    </w:p>
    <w:p w14:paraId="7E0B0F0B" w14:textId="77777777" w:rsidR="00BF6F96" w:rsidRPr="006A584E" w:rsidRDefault="00BF6F96" w:rsidP="00BF6F96">
      <w:pPr>
        <w:pStyle w:val="Odsekzoznamu"/>
        <w:numPr>
          <w:ilvl w:val="0"/>
          <w:numId w:val="10"/>
        </w:numPr>
        <w:jc w:val="both"/>
        <w:rPr>
          <w:rFonts w:ascii="Verdana" w:hAnsi="Verdana"/>
          <w:b/>
          <w:bCs/>
          <w:sz w:val="17"/>
          <w:szCs w:val="17"/>
        </w:rPr>
      </w:pPr>
      <w:r w:rsidRPr="006A584E">
        <w:rPr>
          <w:rFonts w:ascii="Verdana" w:hAnsi="Verdana"/>
          <w:b/>
          <w:bCs/>
          <w:sz w:val="17"/>
          <w:szCs w:val="17"/>
        </w:rPr>
        <w:t xml:space="preserve">EU Taxonomy </w:t>
      </w:r>
    </w:p>
    <w:p w14:paraId="094D1289" w14:textId="77777777" w:rsidR="00BF6F96" w:rsidRPr="00C06DAE" w:rsidRDefault="00BF6F96" w:rsidP="00BF6F96">
      <w:pPr>
        <w:pStyle w:val="Odsekzoznamu"/>
        <w:numPr>
          <w:ilvl w:val="0"/>
          <w:numId w:val="7"/>
        </w:numPr>
        <w:jc w:val="both"/>
        <w:rPr>
          <w:rFonts w:ascii="Verdana" w:hAnsi="Verdana"/>
          <w:sz w:val="17"/>
          <w:szCs w:val="17"/>
        </w:rPr>
      </w:pPr>
      <w:r w:rsidRPr="004A54E3">
        <w:rPr>
          <w:rFonts w:ascii="Verdana" w:hAnsi="Verdana"/>
          <w:b/>
          <w:bCs/>
          <w:sz w:val="17"/>
          <w:szCs w:val="17"/>
        </w:rPr>
        <w:t>Remove the underwriting KPI,</w:t>
      </w:r>
      <w:r>
        <w:rPr>
          <w:rFonts w:ascii="Verdana" w:hAnsi="Verdana"/>
          <w:sz w:val="17"/>
          <w:szCs w:val="17"/>
        </w:rPr>
        <w:t xml:space="preserve"> or suspend its application until a thorough review of its usefulness has been conducted.</w:t>
      </w:r>
    </w:p>
    <w:p w14:paraId="6CCCB6DB" w14:textId="77777777" w:rsidR="00BF6F96" w:rsidRPr="006A584E" w:rsidRDefault="00BF6F96" w:rsidP="00BF6F96">
      <w:pPr>
        <w:pStyle w:val="Odsekzoznamu"/>
        <w:numPr>
          <w:ilvl w:val="0"/>
          <w:numId w:val="7"/>
        </w:numPr>
        <w:spacing w:after="0"/>
        <w:jc w:val="both"/>
        <w:rPr>
          <w:rFonts w:ascii="Verdana" w:hAnsi="Verdana"/>
          <w:sz w:val="17"/>
          <w:szCs w:val="17"/>
        </w:rPr>
      </w:pPr>
      <w:r w:rsidRPr="00AA2096">
        <w:rPr>
          <w:rFonts w:ascii="Verdana" w:hAnsi="Verdana"/>
          <w:b/>
          <w:sz w:val="17"/>
        </w:rPr>
        <w:t>Keep the proposals to introduce a 10% materiality threshold</w:t>
      </w:r>
      <w:r w:rsidRPr="006A584E">
        <w:rPr>
          <w:rFonts w:ascii="Verdana" w:hAnsi="Verdana"/>
          <w:sz w:val="17"/>
          <w:szCs w:val="17"/>
        </w:rPr>
        <w:t xml:space="preserve"> for Taxonomy reporting, </w:t>
      </w:r>
      <w:r w:rsidRPr="00AA2096">
        <w:rPr>
          <w:rFonts w:ascii="Verdana" w:hAnsi="Verdana"/>
          <w:b/>
          <w:sz w:val="17"/>
        </w:rPr>
        <w:t>simplify reporting templates</w:t>
      </w:r>
      <w:r w:rsidRPr="006A584E">
        <w:rPr>
          <w:rFonts w:ascii="Verdana" w:hAnsi="Verdana"/>
          <w:sz w:val="17"/>
          <w:szCs w:val="17"/>
        </w:rPr>
        <w:t xml:space="preserve"> to cut data points by around 70%, </w:t>
      </w:r>
      <w:r w:rsidRPr="00AA2096">
        <w:rPr>
          <w:rFonts w:ascii="Verdana" w:hAnsi="Verdana"/>
          <w:b/>
          <w:sz w:val="17"/>
        </w:rPr>
        <w:t>and exclude smaller entities (&lt;1000 FTEs) from KPIs</w:t>
      </w:r>
      <w:r w:rsidRPr="006A584E">
        <w:rPr>
          <w:rFonts w:ascii="Verdana" w:hAnsi="Verdana"/>
          <w:sz w:val="17"/>
          <w:szCs w:val="17"/>
        </w:rPr>
        <w:t>. The wording in the consultation needs some improvement to ensure the materiality filter will work well in practice.</w:t>
      </w:r>
    </w:p>
    <w:p w14:paraId="048FEC65" w14:textId="77777777" w:rsidR="00BF6F96" w:rsidRDefault="00BF6F96" w:rsidP="00BF6F96">
      <w:pPr>
        <w:pStyle w:val="Odsekzoznamu"/>
        <w:numPr>
          <w:ilvl w:val="0"/>
          <w:numId w:val="7"/>
        </w:numPr>
        <w:jc w:val="both"/>
        <w:rPr>
          <w:rFonts w:ascii="Verdana" w:hAnsi="Verdana"/>
          <w:sz w:val="17"/>
          <w:szCs w:val="17"/>
        </w:rPr>
      </w:pPr>
      <w:r w:rsidRPr="006A584E">
        <w:rPr>
          <w:rFonts w:ascii="Verdana" w:hAnsi="Verdana"/>
          <w:sz w:val="17"/>
          <w:szCs w:val="17"/>
        </w:rPr>
        <w:t>Keep the significant reduction of the specific reporting templates relating to performance and exposures to fossil gas and nuclear activities. A materiality filter should also be applied to these templates.</w:t>
      </w:r>
    </w:p>
    <w:p w14:paraId="206C837C" w14:textId="77777777" w:rsidR="00BF6F96" w:rsidRPr="00C06DAE" w:rsidRDefault="00BF6F96" w:rsidP="00BF6F96">
      <w:pPr>
        <w:pStyle w:val="Odsekzoznamu"/>
        <w:numPr>
          <w:ilvl w:val="0"/>
          <w:numId w:val="7"/>
        </w:numPr>
        <w:jc w:val="both"/>
        <w:rPr>
          <w:rFonts w:ascii="Verdana" w:hAnsi="Verdana"/>
          <w:sz w:val="17"/>
          <w:szCs w:val="17"/>
        </w:rPr>
      </w:pPr>
      <w:r>
        <w:rPr>
          <w:rFonts w:ascii="Verdana" w:hAnsi="Verdana"/>
          <w:sz w:val="17"/>
          <w:szCs w:val="17"/>
        </w:rPr>
        <w:t>Simplify DNSH criteria and Minimum Safeguards requirements.</w:t>
      </w:r>
    </w:p>
    <w:p w14:paraId="7DFCE6A3" w14:textId="77777777" w:rsidR="00BF6F96" w:rsidRPr="006A584E" w:rsidRDefault="00BF6F96" w:rsidP="00BF6F96">
      <w:pPr>
        <w:rPr>
          <w:sz w:val="17"/>
          <w:szCs w:val="17"/>
        </w:rPr>
      </w:pPr>
      <w:r w:rsidRPr="006A584E">
        <w:rPr>
          <w:sz w:val="17"/>
          <w:szCs w:val="17"/>
        </w:rPr>
        <w:fldChar w:fldCharType="begin"/>
      </w:r>
      <w:r w:rsidRPr="006A584E">
        <w:rPr>
          <w:sz w:val="17"/>
          <w:szCs w:val="17"/>
        </w:rPr>
        <w:instrText xml:space="preserve"> COMMENTS  "Start typing here"  \* MERGEFORMAT </w:instrText>
      </w:r>
      <w:r w:rsidRPr="006A584E">
        <w:rPr>
          <w:sz w:val="17"/>
          <w:szCs w:val="17"/>
        </w:rPr>
        <w:fldChar w:fldCharType="separate"/>
      </w:r>
      <w:r w:rsidRPr="006A584E">
        <w:rPr>
          <w:sz w:val="17"/>
          <w:szCs w:val="17"/>
        </w:rPr>
        <w:fldChar w:fldCharType="end"/>
      </w:r>
      <w:bookmarkEnd w:id="0"/>
    </w:p>
    <w:p w14:paraId="6A28FD10" w14:textId="77777777" w:rsidR="00BF6F96" w:rsidRPr="006A584E" w:rsidRDefault="00BF6F96" w:rsidP="00BF6F96">
      <w:pPr>
        <w:pStyle w:val="Odsekzoznamu"/>
        <w:numPr>
          <w:ilvl w:val="0"/>
          <w:numId w:val="10"/>
        </w:numPr>
        <w:jc w:val="both"/>
        <w:rPr>
          <w:rFonts w:ascii="Verdana" w:hAnsi="Verdana"/>
          <w:b/>
          <w:bCs/>
          <w:sz w:val="17"/>
          <w:szCs w:val="17"/>
        </w:rPr>
      </w:pPr>
      <w:r w:rsidRPr="006A584E">
        <w:rPr>
          <w:rFonts w:ascii="Verdana" w:hAnsi="Verdana"/>
          <w:b/>
          <w:bCs/>
          <w:sz w:val="17"/>
          <w:szCs w:val="17"/>
        </w:rPr>
        <w:t>Solvency II</w:t>
      </w:r>
    </w:p>
    <w:p w14:paraId="418146C6" w14:textId="77777777" w:rsidR="00BF6F96" w:rsidRPr="00C06DAE" w:rsidRDefault="00BF6F96" w:rsidP="00BF6F96">
      <w:pPr>
        <w:pStyle w:val="Odsekzoznamu"/>
        <w:jc w:val="both"/>
        <w:rPr>
          <w:rFonts w:ascii="Verdana" w:hAnsi="Verdana"/>
          <w:sz w:val="17"/>
          <w:szCs w:val="17"/>
        </w:rPr>
      </w:pPr>
      <w:r>
        <w:rPr>
          <w:rFonts w:ascii="Verdana" w:hAnsi="Verdana"/>
          <w:b/>
          <w:bCs/>
          <w:sz w:val="17"/>
          <w:szCs w:val="17"/>
        </w:rPr>
        <w:lastRenderedPageBreak/>
        <w:t xml:space="preserve">The requirement to develop </w:t>
      </w:r>
      <w:r w:rsidRPr="006A584E">
        <w:rPr>
          <w:rFonts w:ascii="Verdana" w:hAnsi="Verdana"/>
          <w:b/>
          <w:bCs/>
          <w:sz w:val="17"/>
          <w:szCs w:val="17"/>
        </w:rPr>
        <w:t>Sustainability Risk Plans (SRP)</w:t>
      </w:r>
      <w:r>
        <w:rPr>
          <w:rFonts w:ascii="Verdana" w:hAnsi="Verdana"/>
          <w:b/>
          <w:bCs/>
          <w:sz w:val="17"/>
          <w:szCs w:val="17"/>
        </w:rPr>
        <w:t xml:space="preserve"> under Solvency II</w:t>
      </w:r>
      <w:r w:rsidRPr="006A584E">
        <w:rPr>
          <w:rFonts w:ascii="Verdana" w:hAnsi="Verdana"/>
          <w:b/>
          <w:bCs/>
          <w:sz w:val="17"/>
          <w:szCs w:val="17"/>
        </w:rPr>
        <w:t xml:space="preserve"> </w:t>
      </w:r>
      <w:r>
        <w:rPr>
          <w:rFonts w:ascii="Verdana" w:hAnsi="Verdana"/>
          <w:b/>
          <w:bCs/>
          <w:sz w:val="17"/>
          <w:szCs w:val="17"/>
        </w:rPr>
        <w:t>should be removed</w:t>
      </w:r>
      <w:r w:rsidRPr="006A584E">
        <w:rPr>
          <w:rFonts w:ascii="Verdana" w:hAnsi="Verdana"/>
          <w:sz w:val="17"/>
          <w:szCs w:val="17"/>
        </w:rPr>
        <w:t>. Requirements for SRPs, stemming from amendments to article 44 of the Solvency II Directive, create significant new reporting requirements despite management of these risks already being required under general provisions of Solvency II</w:t>
      </w:r>
      <w:r w:rsidRPr="0084761E">
        <w:rPr>
          <w:rFonts w:ascii="Verdana" w:hAnsi="Verdana"/>
          <w:sz w:val="17"/>
          <w:szCs w:val="17"/>
          <w:lang w:val="en-GB"/>
        </w:rPr>
        <w:t>, and despite CSRD including requirements to report on sustainability risks</w:t>
      </w:r>
      <w:r w:rsidRPr="006A584E">
        <w:rPr>
          <w:rFonts w:ascii="Verdana" w:hAnsi="Verdana"/>
          <w:sz w:val="17"/>
          <w:szCs w:val="17"/>
        </w:rPr>
        <w:t xml:space="preserve">. </w:t>
      </w:r>
      <w:r w:rsidRPr="0084761E">
        <w:rPr>
          <w:rFonts w:ascii="Verdana" w:hAnsi="Verdana"/>
          <w:sz w:val="17"/>
          <w:szCs w:val="17"/>
          <w:lang w:val="en-GB"/>
        </w:rPr>
        <w:t xml:space="preserve">The reduction of the CSRD’s scope would also not significantly benefit (re)insurers if this requirement was maintained, as even undertakings with only a handful of employees are covered by it and EIOPA’s draft RTS on the content of the Sustainability Risk Plans includes a multitude of references to CSRD requirements. </w:t>
      </w:r>
      <w:r w:rsidRPr="00C06DAE">
        <w:rPr>
          <w:rFonts w:ascii="Verdana" w:hAnsi="Verdana"/>
          <w:sz w:val="17"/>
          <w:szCs w:val="17"/>
        </w:rPr>
        <w:t>At the very last, EIOPA’s work should be paused until a thorough analysis of the value-added of SRPs has been conducted, taking into account the numerous overlaps with existing frameworks (e.g. CSRD, risk management under ORSAs).</w:t>
      </w:r>
      <w:bookmarkStart w:id="1" w:name="BorderPlate"/>
      <w:bookmarkEnd w:id="1"/>
    </w:p>
    <w:p w14:paraId="1784EC5B" w14:textId="77777777" w:rsidR="00BF6F96" w:rsidRDefault="00BF6F96" w:rsidP="00BF6F96">
      <w:pPr>
        <w:pStyle w:val="Odsekzoznamu"/>
        <w:jc w:val="both"/>
        <w:rPr>
          <w:rFonts w:ascii="Verdana" w:hAnsi="Verdana"/>
          <w:sz w:val="17"/>
          <w:szCs w:val="17"/>
        </w:rPr>
      </w:pPr>
    </w:p>
    <w:p w14:paraId="616C0B0A" w14:textId="77777777" w:rsidR="00BF6F96" w:rsidRPr="003D0236" w:rsidRDefault="00BF6F96" w:rsidP="00BF6F96">
      <w:pPr>
        <w:autoSpaceDE w:val="0"/>
        <w:autoSpaceDN w:val="0"/>
        <w:adjustRightInd w:val="0"/>
        <w:rPr>
          <w:sz w:val="17"/>
          <w:szCs w:val="17"/>
        </w:rPr>
      </w:pPr>
    </w:p>
    <w:p w14:paraId="08F07061" w14:textId="77777777" w:rsidR="00BF6F96" w:rsidRPr="003D0236" w:rsidRDefault="00BF6F96" w:rsidP="00BF6F96">
      <w:pPr>
        <w:autoSpaceDE w:val="0"/>
        <w:autoSpaceDN w:val="0"/>
        <w:adjustRightInd w:val="0"/>
        <w:rPr>
          <w:sz w:val="17"/>
          <w:szCs w:val="17"/>
        </w:rPr>
      </w:pPr>
    </w:p>
    <w:p w14:paraId="0B13E261" w14:textId="77777777" w:rsidR="00BF6F96" w:rsidRPr="003D0236" w:rsidRDefault="00BF6F96" w:rsidP="00BF6F96">
      <w:pPr>
        <w:autoSpaceDE w:val="0"/>
        <w:autoSpaceDN w:val="0"/>
        <w:adjustRightInd w:val="0"/>
        <w:rPr>
          <w:sz w:val="17"/>
          <w:szCs w:val="17"/>
        </w:rPr>
      </w:pPr>
    </w:p>
    <w:p w14:paraId="14E04C01" w14:textId="77777777" w:rsidR="00BF6F96" w:rsidRPr="003D0236" w:rsidRDefault="00BF6F96" w:rsidP="00BF6F96">
      <w:pPr>
        <w:autoSpaceDE w:val="0"/>
        <w:autoSpaceDN w:val="0"/>
        <w:adjustRightInd w:val="0"/>
        <w:rPr>
          <w:sz w:val="17"/>
          <w:szCs w:val="17"/>
        </w:rPr>
      </w:pPr>
    </w:p>
    <w:p w14:paraId="7BD06EA5" w14:textId="77777777" w:rsidR="00BF6F96" w:rsidRPr="003D0236" w:rsidRDefault="00BF6F96" w:rsidP="00BF6F96">
      <w:pPr>
        <w:autoSpaceDE w:val="0"/>
        <w:autoSpaceDN w:val="0"/>
        <w:adjustRightInd w:val="0"/>
        <w:rPr>
          <w:sz w:val="17"/>
          <w:szCs w:val="17"/>
        </w:rPr>
      </w:pPr>
    </w:p>
    <w:p w14:paraId="06319732" w14:textId="77777777" w:rsidR="00BF6F96" w:rsidRPr="003D0236" w:rsidRDefault="00BF6F96" w:rsidP="00BF6F96">
      <w:pPr>
        <w:autoSpaceDE w:val="0"/>
        <w:autoSpaceDN w:val="0"/>
        <w:adjustRightInd w:val="0"/>
        <w:rPr>
          <w:sz w:val="17"/>
          <w:szCs w:val="17"/>
        </w:rPr>
      </w:pPr>
    </w:p>
    <w:p w14:paraId="37821854" w14:textId="77777777" w:rsidR="00BF6F96" w:rsidRPr="003D0236" w:rsidRDefault="00BF6F96" w:rsidP="00BF6F96">
      <w:pPr>
        <w:autoSpaceDE w:val="0"/>
        <w:autoSpaceDN w:val="0"/>
        <w:adjustRightInd w:val="0"/>
        <w:rPr>
          <w:sz w:val="17"/>
          <w:szCs w:val="17"/>
        </w:rPr>
      </w:pPr>
    </w:p>
    <w:p w14:paraId="14EC2D14" w14:textId="77777777" w:rsidR="00BF6F96" w:rsidRPr="003D0236" w:rsidRDefault="00BF6F96" w:rsidP="00BF6F96">
      <w:pPr>
        <w:autoSpaceDE w:val="0"/>
        <w:autoSpaceDN w:val="0"/>
        <w:adjustRightInd w:val="0"/>
        <w:rPr>
          <w:sz w:val="17"/>
          <w:szCs w:val="17"/>
        </w:rPr>
      </w:pPr>
    </w:p>
    <w:p w14:paraId="438A1495" w14:textId="77777777" w:rsidR="00BF6F96" w:rsidRPr="003D0236" w:rsidRDefault="00BF6F96" w:rsidP="00BF6F96">
      <w:pPr>
        <w:autoSpaceDE w:val="0"/>
        <w:autoSpaceDN w:val="0"/>
        <w:adjustRightInd w:val="0"/>
        <w:rPr>
          <w:sz w:val="17"/>
          <w:szCs w:val="17"/>
        </w:rPr>
      </w:pPr>
    </w:p>
    <w:p w14:paraId="23447A70" w14:textId="77777777" w:rsidR="00BF6F96" w:rsidRPr="003D0236" w:rsidRDefault="00BF6F96" w:rsidP="00BF6F96">
      <w:pPr>
        <w:autoSpaceDE w:val="0"/>
        <w:autoSpaceDN w:val="0"/>
        <w:adjustRightInd w:val="0"/>
        <w:rPr>
          <w:sz w:val="17"/>
          <w:szCs w:val="17"/>
        </w:rPr>
      </w:pPr>
    </w:p>
    <w:p w14:paraId="1519DA28" w14:textId="77777777" w:rsidR="00BF6F96" w:rsidRPr="003D0236" w:rsidRDefault="00BF6F96" w:rsidP="00BF6F96">
      <w:pPr>
        <w:autoSpaceDE w:val="0"/>
        <w:autoSpaceDN w:val="0"/>
        <w:adjustRightInd w:val="0"/>
        <w:rPr>
          <w:sz w:val="17"/>
          <w:szCs w:val="17"/>
        </w:rPr>
      </w:pPr>
    </w:p>
    <w:p w14:paraId="1BD2DE3D" w14:textId="77777777" w:rsidR="00BF6F96" w:rsidRPr="003D0236" w:rsidRDefault="00BF6F96" w:rsidP="00BF6F96">
      <w:pPr>
        <w:autoSpaceDE w:val="0"/>
        <w:autoSpaceDN w:val="0"/>
        <w:adjustRightInd w:val="0"/>
        <w:rPr>
          <w:sz w:val="17"/>
          <w:szCs w:val="17"/>
        </w:rPr>
      </w:pPr>
    </w:p>
    <w:p w14:paraId="03A49C5C" w14:textId="77777777" w:rsidR="00BF6F96" w:rsidRPr="003D0236" w:rsidRDefault="00BF6F96" w:rsidP="00BF6F96">
      <w:pPr>
        <w:autoSpaceDE w:val="0"/>
        <w:autoSpaceDN w:val="0"/>
        <w:adjustRightInd w:val="0"/>
        <w:rPr>
          <w:sz w:val="17"/>
          <w:szCs w:val="17"/>
        </w:rPr>
      </w:pPr>
    </w:p>
    <w:p w14:paraId="5D0F32DD" w14:textId="77777777" w:rsidR="00BF6F96" w:rsidRPr="003D0236" w:rsidRDefault="00BF6F96" w:rsidP="00BF6F96">
      <w:pPr>
        <w:autoSpaceDE w:val="0"/>
        <w:autoSpaceDN w:val="0"/>
        <w:adjustRightInd w:val="0"/>
        <w:rPr>
          <w:sz w:val="17"/>
          <w:szCs w:val="17"/>
        </w:rPr>
      </w:pPr>
    </w:p>
    <w:p w14:paraId="2B1F2007" w14:textId="77777777" w:rsidR="00BF6F96" w:rsidRPr="003D0236" w:rsidRDefault="00BF6F96" w:rsidP="00BF6F96">
      <w:pPr>
        <w:autoSpaceDE w:val="0"/>
        <w:autoSpaceDN w:val="0"/>
        <w:adjustRightInd w:val="0"/>
        <w:rPr>
          <w:sz w:val="17"/>
          <w:szCs w:val="17"/>
        </w:rPr>
      </w:pPr>
    </w:p>
    <w:p w14:paraId="641C7AEB" w14:textId="77777777" w:rsidR="00BF6F96" w:rsidRPr="003D0236" w:rsidRDefault="00BF6F96" w:rsidP="00BF6F96">
      <w:pPr>
        <w:autoSpaceDE w:val="0"/>
        <w:autoSpaceDN w:val="0"/>
        <w:adjustRightInd w:val="0"/>
        <w:rPr>
          <w:sz w:val="17"/>
          <w:szCs w:val="17"/>
        </w:rPr>
      </w:pPr>
    </w:p>
    <w:p w14:paraId="33A46310" w14:textId="77777777" w:rsidR="00BF6F96" w:rsidRPr="003D0236" w:rsidRDefault="00BF6F96" w:rsidP="00BF6F96">
      <w:pPr>
        <w:autoSpaceDE w:val="0"/>
        <w:autoSpaceDN w:val="0"/>
        <w:adjustRightInd w:val="0"/>
        <w:rPr>
          <w:sz w:val="17"/>
          <w:szCs w:val="17"/>
        </w:rPr>
      </w:pPr>
    </w:p>
    <w:p w14:paraId="4479208C" w14:textId="77777777" w:rsidR="00BF6F96" w:rsidRPr="003D0236" w:rsidRDefault="00BF6F96" w:rsidP="00BF6F96">
      <w:pPr>
        <w:autoSpaceDE w:val="0"/>
        <w:autoSpaceDN w:val="0"/>
        <w:adjustRightInd w:val="0"/>
        <w:rPr>
          <w:sz w:val="17"/>
          <w:szCs w:val="17"/>
        </w:rPr>
      </w:pPr>
    </w:p>
    <w:p w14:paraId="75E27C7D" w14:textId="77777777" w:rsidR="00BF6F96" w:rsidRPr="003D0236" w:rsidRDefault="00BF6F96" w:rsidP="00BF6F96">
      <w:pPr>
        <w:autoSpaceDE w:val="0"/>
        <w:autoSpaceDN w:val="0"/>
        <w:adjustRightInd w:val="0"/>
        <w:rPr>
          <w:sz w:val="17"/>
          <w:szCs w:val="17"/>
        </w:rPr>
      </w:pPr>
    </w:p>
    <w:p w14:paraId="0CCEBB41" w14:textId="77777777" w:rsidR="00BF6F96" w:rsidRPr="003D0236" w:rsidRDefault="00BF6F96" w:rsidP="00BF6F96">
      <w:pPr>
        <w:autoSpaceDE w:val="0"/>
        <w:autoSpaceDN w:val="0"/>
        <w:adjustRightInd w:val="0"/>
        <w:rPr>
          <w:sz w:val="17"/>
          <w:szCs w:val="17"/>
        </w:rPr>
      </w:pPr>
    </w:p>
    <w:p w14:paraId="71F25931" w14:textId="77777777" w:rsidR="00BF6F96" w:rsidRPr="003D0236" w:rsidRDefault="00BF6F96" w:rsidP="00BF6F96">
      <w:pPr>
        <w:autoSpaceDE w:val="0"/>
        <w:autoSpaceDN w:val="0"/>
        <w:adjustRightInd w:val="0"/>
        <w:rPr>
          <w:sz w:val="17"/>
          <w:szCs w:val="17"/>
        </w:rPr>
      </w:pPr>
    </w:p>
    <w:p w14:paraId="7954AFEC" w14:textId="77777777" w:rsidR="00BF6F96" w:rsidRPr="003D0236" w:rsidRDefault="00BF6F96" w:rsidP="00BF6F96">
      <w:pPr>
        <w:autoSpaceDE w:val="0"/>
        <w:autoSpaceDN w:val="0"/>
        <w:adjustRightInd w:val="0"/>
        <w:rPr>
          <w:sz w:val="17"/>
          <w:szCs w:val="17"/>
        </w:rPr>
      </w:pPr>
    </w:p>
    <w:p w14:paraId="40EDEC24" w14:textId="77777777" w:rsidR="00BF6F96" w:rsidRPr="003D0236" w:rsidRDefault="00BF6F96" w:rsidP="00BF6F96">
      <w:pPr>
        <w:autoSpaceDE w:val="0"/>
        <w:autoSpaceDN w:val="0"/>
        <w:adjustRightInd w:val="0"/>
        <w:rPr>
          <w:sz w:val="17"/>
          <w:szCs w:val="17"/>
        </w:rPr>
      </w:pPr>
    </w:p>
    <w:p w14:paraId="02890137" w14:textId="77777777" w:rsidR="00BF6F96" w:rsidRPr="003D0236" w:rsidRDefault="00BF6F96" w:rsidP="00BF6F96">
      <w:pPr>
        <w:autoSpaceDE w:val="0"/>
        <w:autoSpaceDN w:val="0"/>
        <w:adjustRightInd w:val="0"/>
        <w:rPr>
          <w:sz w:val="17"/>
          <w:szCs w:val="17"/>
        </w:rPr>
      </w:pPr>
    </w:p>
    <w:p w14:paraId="5D00502E" w14:textId="77777777" w:rsidR="00BF6F96" w:rsidRPr="003D0236" w:rsidRDefault="00BF6F96" w:rsidP="00BF6F96">
      <w:pPr>
        <w:autoSpaceDE w:val="0"/>
        <w:autoSpaceDN w:val="0"/>
        <w:adjustRightInd w:val="0"/>
        <w:rPr>
          <w:sz w:val="17"/>
          <w:szCs w:val="17"/>
        </w:rPr>
      </w:pPr>
    </w:p>
    <w:p w14:paraId="7010CD33" w14:textId="77777777" w:rsidR="00BF6F96" w:rsidRPr="003D0236" w:rsidRDefault="00BF6F96" w:rsidP="00BF6F96">
      <w:pPr>
        <w:autoSpaceDE w:val="0"/>
        <w:autoSpaceDN w:val="0"/>
        <w:adjustRightInd w:val="0"/>
        <w:rPr>
          <w:sz w:val="17"/>
          <w:szCs w:val="17"/>
        </w:rPr>
      </w:pPr>
    </w:p>
    <w:p w14:paraId="4F9D223A" w14:textId="77777777" w:rsidR="00BF6F96" w:rsidRPr="00DA026D" w:rsidRDefault="00BF6F96" w:rsidP="00BF6F96">
      <w:pPr>
        <w:autoSpaceDE w:val="0"/>
        <w:autoSpaceDN w:val="0"/>
        <w:adjustRightInd w:val="0"/>
      </w:pPr>
      <w:r w:rsidRPr="00102D19">
        <w:rPr>
          <w:sz w:val="17"/>
          <w:szCs w:val="17"/>
        </w:rPr>
        <w:t>Insurance Europe is the European insurance and reinsurance federation. Through its 39 member bodies — the national insurance associations — it represents all types and sizes of insurance and reinsurance undertakings. Insurance Europe, which is based in Brussels, represents undertakings that account for around 95% of total European premium income. Insurance makes a major contribution to Europe’s economic growth and development. European insurers pay out over €1 000bn annually — or €2.8bn a day — in claims, directly employ more than 920 000 people and invest over €10.6trn in the economy.</w:t>
      </w:r>
    </w:p>
    <w:p w14:paraId="33CEFBC2" w14:textId="5C7E0F4E" w:rsidR="00440FEE" w:rsidRPr="00BF6F96" w:rsidRDefault="00440FEE" w:rsidP="00BF6F96"/>
    <w:sectPr w:rsidR="00440FEE" w:rsidRPr="00BF6F96" w:rsidSect="001C24A2">
      <w:headerReference w:type="default" r:id="rId17"/>
      <w:footerReference w:type="even" r:id="rId18"/>
      <w:footerReference w:type="default" r:id="rId19"/>
      <w:headerReference w:type="first" r:id="rId20"/>
      <w:footerReference w:type="first" r:id="rId21"/>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B8BA" w14:textId="77777777" w:rsidR="00C53899" w:rsidRDefault="00C53899">
      <w:pPr>
        <w:spacing w:line="240" w:lineRule="auto"/>
      </w:pPr>
      <w:r>
        <w:separator/>
      </w:r>
    </w:p>
  </w:endnote>
  <w:endnote w:type="continuationSeparator" w:id="0">
    <w:p w14:paraId="43DA18E1" w14:textId="77777777" w:rsidR="00C53899" w:rsidRDefault="00C53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9A49" w14:textId="77777777" w:rsidR="00BF6F96" w:rsidRDefault="00BF6F96" w:rsidP="00155D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CC8C7D3" w14:textId="77777777" w:rsidR="00BF6F96" w:rsidRDefault="00BF6F96" w:rsidP="00155DD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A661" w14:textId="77777777" w:rsidR="00BF6F96" w:rsidRPr="007748EE" w:rsidRDefault="00BF6F96" w:rsidP="00155DD0">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Pr="007748EE">
      <w:rPr>
        <w:rStyle w:val="slostrany"/>
        <w:noProof/>
        <w:color w:val="002957"/>
        <w:sz w:val="14"/>
        <w:szCs w:val="14"/>
      </w:rPr>
      <w:t>2</w:t>
    </w:r>
    <w:r w:rsidRPr="007748EE">
      <w:rPr>
        <w:rStyle w:val="slostrany"/>
        <w:color w:val="002957"/>
        <w:sz w:val="14"/>
        <w:szCs w:val="14"/>
      </w:rPr>
      <w:fldChar w:fldCharType="end"/>
    </w:r>
  </w:p>
  <w:p w14:paraId="71B0B86B" w14:textId="77777777" w:rsidR="00BF6F96" w:rsidRPr="0085650F" w:rsidRDefault="00BF6F96" w:rsidP="00155DD0">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BF6F96" w14:paraId="684D0663" w14:textId="77777777" w:rsidTr="007748EE">
      <w:tc>
        <w:tcPr>
          <w:tcW w:w="5387" w:type="dxa"/>
        </w:tcPr>
        <w:p w14:paraId="2357AC48" w14:textId="77777777" w:rsidR="00BF6F96" w:rsidRDefault="00BF6F96" w:rsidP="007748EE">
          <w:pPr>
            <w:pStyle w:val="CEAFooterauthorinfo"/>
            <w:jc w:val="left"/>
            <w:rPr>
              <w:b w:val="0"/>
              <w:color w:val="002957"/>
              <w:sz w:val="14"/>
              <w:szCs w:val="14"/>
              <w:lang w:val="pt-PT"/>
            </w:rPr>
          </w:pPr>
          <w:r w:rsidRPr="00A4463C">
            <w:rPr>
              <w:b w:val="0"/>
              <w:color w:val="002957"/>
              <w:sz w:val="14"/>
              <w:szCs w:val="14"/>
              <w:lang w:val="fr-BE"/>
            </w:rPr>
            <w:t>Insurance Europe aisbl</w:t>
          </w:r>
        </w:p>
        <w:p w14:paraId="7579168D" w14:textId="77777777" w:rsidR="00BF6F96" w:rsidRPr="00A4463C" w:rsidRDefault="00BF6F96"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41631B9B" w14:textId="77777777" w:rsidR="00BF6F96" w:rsidRDefault="00BF6F96"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1226D0DE" w14:textId="77777777" w:rsidR="00BF6F96" w:rsidRPr="0012469D" w:rsidRDefault="00BF6F96"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Pr="009F19B1">
              <w:rPr>
                <w:rStyle w:val="Hypertextovprepojenie"/>
                <w:b w:val="0"/>
                <w:sz w:val="14"/>
                <w:szCs w:val="14"/>
                <w:lang w:val="pt-PT"/>
              </w:rPr>
              <w:t>info@insuranceeurope.eu</w:t>
            </w:r>
          </w:hyperlink>
          <w:r>
            <w:rPr>
              <w:b w:val="0"/>
              <w:color w:val="002957"/>
              <w:sz w:val="14"/>
              <w:szCs w:val="14"/>
              <w:lang w:val="pt-PT"/>
            </w:rPr>
            <w:br/>
          </w:r>
          <w:r w:rsidRPr="007748EE">
            <w:rPr>
              <w:b w:val="0"/>
              <w:color w:val="82C55B"/>
              <w:sz w:val="14"/>
              <w:szCs w:val="14"/>
              <w:lang w:val="pt-PT"/>
            </w:rPr>
            <w:t>www.insuranceeurope.eu</w:t>
          </w:r>
        </w:p>
      </w:tc>
      <w:tc>
        <w:tcPr>
          <w:tcW w:w="4253" w:type="dxa"/>
        </w:tcPr>
        <w:p w14:paraId="76279A07" w14:textId="77777777" w:rsidR="00BF6F96" w:rsidRPr="002F12C5" w:rsidRDefault="00BF6F96"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DFAE9F1" w14:textId="77777777" w:rsidR="00BF6F96" w:rsidRPr="00A2092B" w:rsidRDefault="00BF6F96">
    <w:pPr>
      <w:pStyle w:val="Pta"/>
      <w:rPr>
        <w:color w:val="002957"/>
        <w:sz w:val="14"/>
        <w:szCs w:val="14"/>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777" w14:textId="77777777" w:rsidR="00DB3235"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DB3235" w:rsidRDefault="00DB3235" w:rsidP="000846C0">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42C" w14:textId="77777777" w:rsidR="00DB3235" w:rsidRPr="007748EE" w:rsidRDefault="00152882" w:rsidP="00A42CBE">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DB3235" w:rsidRPr="0085650F" w:rsidRDefault="00DB3235" w:rsidP="0029642B">
    <w:pPr>
      <w:tabs>
        <w:tab w:val="right" w:pos="10260"/>
      </w:tabs>
      <w:autoSpaceDE w:val="0"/>
      <w:autoSpaceDN w:val="0"/>
      <w:adjustRightInd w:val="0"/>
      <w:ind w:right="360"/>
      <w:textAlignment w:val="center"/>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Default="0012469D" w:rsidP="007748EE">
          <w:pPr>
            <w:pStyle w:val="CEAFooterauthorinfo"/>
            <w:jc w:val="left"/>
            <w:rPr>
              <w:b w:val="0"/>
              <w:color w:val="002957"/>
              <w:sz w:val="14"/>
              <w:szCs w:val="14"/>
              <w:lang w:val="pt-PT"/>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19503539"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7748EE" w:rsidRPr="009F19B1">
              <w:rPr>
                <w:rStyle w:val="Hypertextovprepojenie"/>
                <w:b w:val="0"/>
                <w:sz w:val="14"/>
                <w:szCs w:val="14"/>
                <w:lang w:val="pt-PT"/>
              </w:rPr>
              <w:t>info@insuranceeurope.eu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DB3235" w:rsidRPr="00A2092B" w:rsidRDefault="00DB3235">
    <w:pPr>
      <w:pStyle w:val="Pta"/>
      <w:rPr>
        <w:color w:val="002957"/>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04B6" w14:textId="77777777" w:rsidR="00C53899" w:rsidRDefault="00C53899">
      <w:pPr>
        <w:spacing w:line="240" w:lineRule="auto"/>
      </w:pPr>
      <w:r>
        <w:separator/>
      </w:r>
    </w:p>
  </w:footnote>
  <w:footnote w:type="continuationSeparator" w:id="0">
    <w:p w14:paraId="3516B7A3" w14:textId="77777777" w:rsidR="00C53899" w:rsidRDefault="00C538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D8EB" w14:textId="77777777" w:rsidR="00BF6F96" w:rsidRDefault="00BF6F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1E50" w14:textId="77777777" w:rsidR="00BF6F96" w:rsidRPr="00323E1C" w:rsidRDefault="00BF6F96" w:rsidP="00155DD0">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62336" behindDoc="0" locked="0" layoutInCell="1" allowOverlap="1" wp14:anchorId="30CECBE8" wp14:editId="0871417A">
          <wp:simplePos x="0" y="0"/>
          <wp:positionH relativeFrom="page">
            <wp:posOffset>528955</wp:posOffset>
          </wp:positionH>
          <wp:positionV relativeFrom="page">
            <wp:posOffset>521970</wp:posOffset>
          </wp:positionV>
          <wp:extent cx="1457325" cy="895350"/>
          <wp:effectExtent l="19050" t="0" r="0" b="0"/>
          <wp:wrapSquare wrapText="bothSides"/>
          <wp:docPr id="179809092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046E9BB6" w14:textId="77777777" w:rsidR="00BF6F96" w:rsidRPr="0085650F" w:rsidRDefault="00BF6F96" w:rsidP="00155DD0">
    <w:pPr>
      <w:pStyle w:val="Noparagraphstyle"/>
      <w:jc w:val="right"/>
      <w:rPr>
        <w:rFonts w:ascii="Verdana" w:hAnsi="Verdana" w:cs="Arial"/>
        <w:i/>
        <w:iCs/>
        <w:color w:val="034EA2"/>
      </w:rPr>
    </w:pPr>
    <w:r w:rsidRPr="00323E1C">
      <w:rPr>
        <w:rFonts w:ascii="Verdana" w:hAnsi="Verdana"/>
      </w:rPr>
      <w:tab/>
    </w:r>
  </w:p>
  <w:p w14:paraId="225854E2" w14:textId="77777777" w:rsidR="00BF6F96" w:rsidRPr="00491802" w:rsidRDefault="00BF6F96" w:rsidP="00155DD0">
    <w:pPr>
      <w:pStyle w:val="Hlavika"/>
      <w:tabs>
        <w:tab w:val="clear" w:pos="4320"/>
        <w:tab w:val="clear" w:pos="8640"/>
        <w:tab w:val="center" w:pos="0"/>
        <w:tab w:val="right" w:pos="104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E2DD" w14:textId="77777777" w:rsidR="00BF6F96" w:rsidRPr="00323E1C" w:rsidRDefault="00BF6F96" w:rsidP="00155DD0">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61312" behindDoc="0" locked="0" layoutInCell="1" allowOverlap="1" wp14:anchorId="7BE98FA7" wp14:editId="4A38EB8F">
          <wp:simplePos x="0" y="0"/>
          <wp:positionH relativeFrom="page">
            <wp:posOffset>523875</wp:posOffset>
          </wp:positionH>
          <wp:positionV relativeFrom="page">
            <wp:posOffset>523875</wp:posOffset>
          </wp:positionV>
          <wp:extent cx="1457325" cy="895350"/>
          <wp:effectExtent l="19050" t="0" r="0" b="0"/>
          <wp:wrapSquare wrapText="bothSides"/>
          <wp:docPr id="1746838892"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3FAB04DD" w14:textId="77777777" w:rsidR="00BF6F96" w:rsidRDefault="00BF6F96">
    <w:pPr>
      <w:pStyle w:val="Hlavika"/>
    </w:pPr>
  </w:p>
  <w:p w14:paraId="1EE65E31" w14:textId="77777777" w:rsidR="00BF6F96" w:rsidRDefault="00BF6F96">
    <w:pPr>
      <w:pStyle w:val="Hlavika"/>
    </w:pPr>
  </w:p>
  <w:p w14:paraId="06B8315B" w14:textId="77777777" w:rsidR="00BF6F96" w:rsidRDefault="00BF6F96">
    <w:pPr>
      <w:pStyle w:val="Hlavika"/>
    </w:pPr>
  </w:p>
  <w:p w14:paraId="634A2255" w14:textId="77777777" w:rsidR="00BF6F96" w:rsidRDefault="00BF6F96"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p>
  <w:p w14:paraId="2E141283" w14:textId="77777777" w:rsidR="00BF6F96" w:rsidRPr="00D74967" w:rsidRDefault="00BF6F96" w:rsidP="00155DD0">
    <w:pPr>
      <w:pStyle w:val="CEADraft"/>
      <w:rPr>
        <w:color w:val="002957"/>
        <w:lang w:val="en-US"/>
      </w:rPr>
    </w:pPr>
  </w:p>
  <w:p w14:paraId="5316FA30" w14:textId="77777777" w:rsidR="00BF6F96" w:rsidRPr="00D74967" w:rsidRDefault="00BF6F96" w:rsidP="00155DD0">
    <w:pPr>
      <w:rPr>
        <w:color w:val="002957"/>
        <w:lang w:val="en-US"/>
      </w:rPr>
    </w:pPr>
  </w:p>
  <w:p w14:paraId="3388F208" w14:textId="02CA4764" w:rsidR="00BF6F96" w:rsidRPr="00D74967" w:rsidRDefault="00995A0B" w:rsidP="00240F50">
    <w:pPr>
      <w:pStyle w:val="CEAPositionPaperTitle"/>
      <w:ind w:left="0"/>
      <w:rPr>
        <w:b w:val="0"/>
        <w:color w:val="002957"/>
        <w:sz w:val="28"/>
        <w:szCs w:val="28"/>
        <w:lang w:val="en-US"/>
      </w:rPr>
    </w:pPr>
    <w:sdt>
      <w:sdtPr>
        <w:rPr>
          <w:b w:val="0"/>
          <w:color w:val="002957"/>
          <w:sz w:val="28"/>
          <w:szCs w:val="28"/>
          <w:lang w:val="en-US"/>
        </w:rPr>
        <w:id w:val="-1157605065"/>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BF6F96">
          <w:rPr>
            <w:b w:val="0"/>
            <w:color w:val="002957"/>
            <w:sz w:val="28"/>
            <w:szCs w:val="28"/>
            <w:lang w:val="en-US"/>
          </w:rPr>
          <w:t>Insurance Europe third draft political messages on the first Omnibus package</w:t>
        </w:r>
      </w:sdtContent>
    </w:sdt>
  </w:p>
  <w:p w14:paraId="27B9FAA5" w14:textId="77777777" w:rsidR="00BF6F96" w:rsidRPr="00D74967" w:rsidRDefault="00BF6F96" w:rsidP="00155DD0">
    <w:pPr>
      <w:rPr>
        <w:lang w:val="en-US"/>
      </w:rPr>
    </w:pPr>
  </w:p>
  <w:p w14:paraId="24D14856" w14:textId="77777777" w:rsidR="00BF6F96" w:rsidRPr="00D74967" w:rsidRDefault="00BF6F96" w:rsidP="00155DD0">
    <w:pPr>
      <w:rPr>
        <w:lang w:val="en-US"/>
      </w:rPr>
    </w:pPr>
    <w:r>
      <w:rPr>
        <w:noProof/>
        <w:lang w:val="nl-BE" w:eastAsia="nl-BE"/>
      </w:rPr>
      <mc:AlternateContent>
        <mc:Choice Requires="wps">
          <w:drawing>
            <wp:anchor distT="0" distB="0" distL="114300" distR="114300" simplePos="0" relativeHeight="251663360" behindDoc="1" locked="1" layoutInCell="1" allowOverlap="1" wp14:anchorId="04B1AA64" wp14:editId="2EE25ED9">
              <wp:simplePos x="0" y="0"/>
              <wp:positionH relativeFrom="margin">
                <wp:align>left</wp:align>
              </wp:positionH>
              <wp:positionV relativeFrom="paragraph">
                <wp:posOffset>88265</wp:posOffset>
              </wp:positionV>
              <wp:extent cx="6124575" cy="1692275"/>
              <wp:effectExtent l="0" t="0" r="28575" b="22225"/>
              <wp:wrapNone/>
              <wp:docPr id="108149829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692442"/>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C631C2" id="AutoShape 18" o:spid="_x0000_s1026" style="position:absolute;margin-left:0;margin-top:6.95pt;width:482.25pt;height:13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BF6F96" w:rsidRPr="000D41DA" w14:paraId="0AE958EF" w14:textId="77777777" w:rsidTr="00240F50">
      <w:trPr>
        <w:cantSplit/>
        <w:trHeight w:hRule="exact" w:val="584"/>
      </w:trPr>
      <w:tc>
        <w:tcPr>
          <w:tcW w:w="1536" w:type="dxa"/>
          <w:shd w:val="clear" w:color="auto" w:fill="auto"/>
          <w:vAlign w:val="center"/>
        </w:tcPr>
        <w:p w14:paraId="0BD0CE28" w14:textId="77777777" w:rsidR="00BF6F96" w:rsidRPr="0085650F" w:rsidRDefault="00BF6F96" w:rsidP="00155DD0">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604123023"/>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64818FDF" w14:textId="4DEB66B9" w:rsidR="00BF6F96" w:rsidRPr="00585988" w:rsidRDefault="00BF6F96" w:rsidP="0008034A">
              <w:pPr>
                <w:jc w:val="left"/>
                <w:rPr>
                  <w:color w:val="002957"/>
                  <w:sz w:val="17"/>
                  <w:szCs w:val="17"/>
                </w:rPr>
              </w:pPr>
              <w:r>
                <w:rPr>
                  <w:color w:val="002957"/>
                  <w:sz w:val="17"/>
                  <w:szCs w:val="17"/>
                </w:rPr>
                <w:t>ECO-CRISF-25-080</w:t>
              </w:r>
            </w:p>
          </w:sdtContent>
        </w:sdt>
      </w:tc>
      <w:tc>
        <w:tcPr>
          <w:tcW w:w="1570" w:type="dxa"/>
          <w:shd w:val="clear" w:color="auto" w:fill="auto"/>
          <w:vAlign w:val="center"/>
        </w:tcPr>
        <w:p w14:paraId="597958D1" w14:textId="77777777" w:rsidR="00BF6F96" w:rsidRPr="0085650F" w:rsidRDefault="00BF6F96" w:rsidP="00155DD0">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F513EF7" w14:textId="77777777" w:rsidR="00BF6F96" w:rsidRPr="00585988" w:rsidRDefault="00BF6F96" w:rsidP="00155DD0">
          <w:pPr>
            <w:jc w:val="left"/>
            <w:rPr>
              <w:color w:val="002957"/>
              <w:sz w:val="17"/>
              <w:szCs w:val="17"/>
            </w:rPr>
          </w:pPr>
          <w:r>
            <w:rPr>
              <w:color w:val="002957"/>
              <w:sz w:val="17"/>
              <w:szCs w:val="17"/>
            </w:rPr>
            <w:t>26-03-2025</w:t>
          </w:r>
        </w:p>
      </w:tc>
    </w:tr>
    <w:tr w:rsidR="00BF6F96" w:rsidRPr="000D41DA" w14:paraId="730F3E87" w14:textId="77777777" w:rsidTr="00240F50">
      <w:trPr>
        <w:cantSplit/>
        <w:trHeight w:hRule="exact" w:val="584"/>
      </w:trPr>
      <w:tc>
        <w:tcPr>
          <w:tcW w:w="1536" w:type="dxa"/>
          <w:shd w:val="clear" w:color="auto" w:fill="auto"/>
          <w:vAlign w:val="center"/>
        </w:tcPr>
        <w:p w14:paraId="35057C13" w14:textId="77777777" w:rsidR="00BF6F96" w:rsidRPr="0085650F" w:rsidRDefault="00BF6F96" w:rsidP="00155DD0">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2E75C809" w14:textId="77777777" w:rsidR="00BF6F96" w:rsidRPr="00585988" w:rsidRDefault="00BF6F96" w:rsidP="00155DD0">
          <w:pPr>
            <w:jc w:val="left"/>
            <w:rPr>
              <w:color w:val="002957"/>
              <w:sz w:val="17"/>
              <w:szCs w:val="17"/>
            </w:rPr>
          </w:pPr>
          <w:hyperlink r:id="rId2" w:history="1">
            <w:r>
              <w:rPr>
                <w:rStyle w:val="Hypertextovprepojenie"/>
                <w:sz w:val="17"/>
                <w:szCs w:val="17"/>
                <w:lang w:val="en-US"/>
              </w:rPr>
              <w:t>EC's first Omnibus proposals</w:t>
            </w:r>
          </w:hyperlink>
        </w:p>
      </w:tc>
      <w:tc>
        <w:tcPr>
          <w:tcW w:w="1570" w:type="dxa"/>
          <w:shd w:val="clear" w:color="auto" w:fill="auto"/>
          <w:vAlign w:val="center"/>
        </w:tcPr>
        <w:p w14:paraId="7787C0A8" w14:textId="77777777" w:rsidR="00BF6F96" w:rsidRPr="00585988" w:rsidRDefault="00BF6F96" w:rsidP="00155DD0">
          <w:pPr>
            <w:rPr>
              <w:color w:val="002957"/>
              <w:sz w:val="17"/>
              <w:szCs w:val="17"/>
            </w:rPr>
          </w:pPr>
        </w:p>
      </w:tc>
      <w:tc>
        <w:tcPr>
          <w:tcW w:w="2976" w:type="dxa"/>
          <w:shd w:val="clear" w:color="auto" w:fill="auto"/>
          <w:vAlign w:val="center"/>
        </w:tcPr>
        <w:p w14:paraId="2DF6E07F" w14:textId="77777777" w:rsidR="00BF6F96" w:rsidRPr="00585988" w:rsidRDefault="00BF6F96" w:rsidP="00155DD0">
          <w:pPr>
            <w:jc w:val="left"/>
            <w:rPr>
              <w:color w:val="002957"/>
              <w:sz w:val="17"/>
              <w:szCs w:val="17"/>
            </w:rPr>
          </w:pPr>
        </w:p>
      </w:tc>
    </w:tr>
    <w:tr w:rsidR="00BF6F96" w:rsidRPr="000D41DA" w14:paraId="667B9BC1" w14:textId="77777777" w:rsidTr="00240F50">
      <w:trPr>
        <w:cantSplit/>
        <w:trHeight w:hRule="exact" w:val="584"/>
      </w:trPr>
      <w:tc>
        <w:tcPr>
          <w:tcW w:w="1536" w:type="dxa"/>
          <w:shd w:val="clear" w:color="auto" w:fill="auto"/>
          <w:vAlign w:val="center"/>
        </w:tcPr>
        <w:p w14:paraId="2ADEAB71" w14:textId="77777777" w:rsidR="00BF6F96" w:rsidRPr="0085650F" w:rsidRDefault="00BF6F96" w:rsidP="00155DD0">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3B63E531" w14:textId="77777777" w:rsidR="00BF6F96" w:rsidRPr="00585988" w:rsidRDefault="00BF6F96" w:rsidP="00155DD0">
          <w:pPr>
            <w:jc w:val="left"/>
            <w:rPr>
              <w:color w:val="002957"/>
              <w:sz w:val="17"/>
              <w:szCs w:val="17"/>
            </w:rPr>
          </w:pPr>
          <w:r>
            <w:rPr>
              <w:color w:val="002957"/>
              <w:sz w:val="17"/>
              <w:szCs w:val="17"/>
              <w:lang w:val="es-AR"/>
            </w:rPr>
            <w:t>Philippe Angelis</w:t>
          </w:r>
        </w:p>
      </w:tc>
      <w:tc>
        <w:tcPr>
          <w:tcW w:w="1570" w:type="dxa"/>
          <w:shd w:val="clear" w:color="auto" w:fill="auto"/>
          <w:vAlign w:val="center"/>
        </w:tcPr>
        <w:p w14:paraId="025C6C29" w14:textId="77777777" w:rsidR="00BF6F96" w:rsidRPr="0085650F" w:rsidRDefault="00BF6F96" w:rsidP="00155DD0">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2EAE0ED4" w14:textId="77777777" w:rsidR="00BF6F96" w:rsidRPr="00585988" w:rsidRDefault="00BF6F96" w:rsidP="00155DD0">
          <w:pPr>
            <w:jc w:val="left"/>
            <w:rPr>
              <w:color w:val="002957"/>
              <w:sz w:val="17"/>
              <w:szCs w:val="17"/>
            </w:rPr>
          </w:pPr>
          <w:r>
            <w:rPr>
              <w:color w:val="002957"/>
              <w:sz w:val="17"/>
              <w:szCs w:val="17"/>
            </w:rPr>
            <w:t>Angelis@insuranceeurope.eu</w:t>
          </w:r>
        </w:p>
      </w:tc>
    </w:tr>
    <w:tr w:rsidR="00BF6F96" w:rsidRPr="000D41DA" w14:paraId="539DF060" w14:textId="77777777" w:rsidTr="00240F50">
      <w:trPr>
        <w:cantSplit/>
        <w:trHeight w:hRule="exact" w:val="584"/>
      </w:trPr>
      <w:tc>
        <w:tcPr>
          <w:tcW w:w="1536" w:type="dxa"/>
          <w:shd w:val="clear" w:color="auto" w:fill="auto"/>
          <w:vAlign w:val="center"/>
        </w:tcPr>
        <w:p w14:paraId="2F13298F" w14:textId="77777777" w:rsidR="00BF6F96" w:rsidRPr="0085650F" w:rsidRDefault="00BF6F96" w:rsidP="00155DD0">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0D2E22C0" w14:textId="77777777" w:rsidR="00BF6F96" w:rsidRPr="00585988" w:rsidRDefault="00BF6F96" w:rsidP="00155DD0">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3DF7E463" w14:textId="77777777" w:rsidR="00BF6F96" w:rsidRPr="00585988" w:rsidRDefault="00BF6F96" w:rsidP="00155DD0">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76" w:type="dxa"/>
          <w:shd w:val="clear" w:color="auto" w:fill="auto"/>
          <w:vAlign w:val="center"/>
        </w:tcPr>
        <w:p w14:paraId="6A016C20" w14:textId="77777777" w:rsidR="00BF6F96" w:rsidRPr="00585988" w:rsidRDefault="00BF6F96" w:rsidP="00155DD0">
          <w:pPr>
            <w:rPr>
              <w:color w:val="002957"/>
              <w:sz w:val="17"/>
              <w:szCs w:val="17"/>
            </w:rPr>
          </w:pPr>
          <w:r w:rsidRPr="00585988">
            <w:rPr>
              <w:rFonts w:cs="Tahoma"/>
              <w:color w:val="002957"/>
              <w:sz w:val="17"/>
              <w:szCs w:val="17"/>
            </w:rPr>
            <w:t>33213703459-54</w:t>
          </w:r>
        </w:p>
      </w:tc>
    </w:tr>
  </w:tbl>
  <w:p w14:paraId="6D1B6A2A" w14:textId="77777777" w:rsidR="00BF6F96" w:rsidRPr="000D41DA" w:rsidRDefault="00BF6F96" w:rsidP="00155DD0">
    <w:pPr>
      <w:rPr>
        <w:b/>
        <w:sz w:val="22"/>
        <w:szCs w:val="22"/>
      </w:rPr>
    </w:pPr>
  </w:p>
  <w:p w14:paraId="4FC4BE8C" w14:textId="77777777" w:rsidR="00BF6F96" w:rsidRPr="000D41DA" w:rsidRDefault="00BF6F96" w:rsidP="00155D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57A" w14:textId="77777777" w:rsidR="00DB3235" w:rsidRPr="00323E1C" w:rsidRDefault="00152882" w:rsidP="000846C0">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7728"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DB3235" w:rsidRPr="0085650F" w:rsidRDefault="00152882" w:rsidP="000846C0">
    <w:pPr>
      <w:pStyle w:val="Noparagraphstyle"/>
      <w:jc w:val="right"/>
      <w:rPr>
        <w:rFonts w:ascii="Verdana" w:hAnsi="Verdana" w:cs="Arial"/>
        <w:i/>
        <w:iCs/>
        <w:color w:val="034EA2"/>
      </w:rPr>
    </w:pPr>
    <w:r w:rsidRPr="00323E1C">
      <w:rPr>
        <w:rFonts w:ascii="Verdana" w:hAnsi="Verdana"/>
      </w:rPr>
      <w:tab/>
    </w:r>
  </w:p>
  <w:p w14:paraId="6A05B2BD" w14:textId="77777777" w:rsidR="00DB3235" w:rsidRPr="00491802" w:rsidRDefault="00DB3235" w:rsidP="000846C0">
    <w:pPr>
      <w:pStyle w:val="Hlavika"/>
      <w:tabs>
        <w:tab w:val="clear" w:pos="4320"/>
        <w:tab w:val="clear" w:pos="8640"/>
        <w:tab w:val="center" w:pos="0"/>
        <w:tab w:val="right" w:pos="1044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4349" w14:textId="77777777" w:rsidR="00DB3235" w:rsidRPr="00323E1C" w:rsidRDefault="00152882" w:rsidP="0029642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7216"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2081F8F" w14:textId="77777777" w:rsidR="00DB3235" w:rsidRDefault="00DB3235">
    <w:pPr>
      <w:pStyle w:val="Hlavika"/>
    </w:pPr>
  </w:p>
  <w:p w14:paraId="4CAF9B32" w14:textId="77777777" w:rsidR="00DB3235" w:rsidRDefault="00DB3235">
    <w:pPr>
      <w:pStyle w:val="Hlavika"/>
    </w:pPr>
  </w:p>
  <w:p w14:paraId="07E1BCBC" w14:textId="77777777" w:rsidR="00DB3235" w:rsidRDefault="00DB3235">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2" w:name="Draft1st"/>
    <w:bookmarkEnd w:id="2"/>
  </w:p>
  <w:p w14:paraId="3654217F" w14:textId="77777777" w:rsidR="00DB3235" w:rsidRPr="00D74967" w:rsidRDefault="00DB3235" w:rsidP="00E20AAF">
    <w:pPr>
      <w:pStyle w:val="CEADraft"/>
      <w:rPr>
        <w:color w:val="002957"/>
        <w:lang w:val="en-US"/>
      </w:rPr>
    </w:pPr>
  </w:p>
  <w:p w14:paraId="5495E665" w14:textId="77777777" w:rsidR="00DB3235" w:rsidRPr="00D74967" w:rsidRDefault="00DB3235" w:rsidP="009F1297">
    <w:pPr>
      <w:rPr>
        <w:color w:val="002957"/>
        <w:lang w:val="en-US"/>
      </w:rPr>
    </w:pPr>
  </w:p>
  <w:bookmarkStart w:id="3" w:name="Document_title_"/>
  <w:p w14:paraId="15B481B1" w14:textId="011344C2" w:rsidR="00DB3235" w:rsidRPr="00D74967" w:rsidRDefault="00995A0B" w:rsidP="00240F50">
    <w:pPr>
      <w:pStyle w:val="CEAPositionPaperTitle"/>
      <w:ind w:left="0"/>
      <w:rPr>
        <w:b w:val="0"/>
        <w:color w:val="002957"/>
        <w:sz w:val="28"/>
        <w:szCs w:val="28"/>
        <w:lang w:val="en-US"/>
      </w:rPr>
    </w:pPr>
    <w:sdt>
      <w:sdtPr>
        <w:rPr>
          <w:b w:val="0"/>
          <w:color w:val="002957"/>
          <w:sz w:val="28"/>
          <w:szCs w:val="28"/>
          <w:lang w:val="en-US"/>
        </w:rPr>
        <w:id w:val="-1374918777"/>
        <w:dataBinding w:prefixMappings="xmlns:ns0='http://purl.org/dc/elements/1.1/' xmlns:ns1='http://schemas.openxmlformats.org/package/2006/metadata/core-properties' " w:xpath="/ns1:coreProperties[1]/ns0:title[1]" w:storeItemID="{6C3C8BC8-F283-45AE-878A-BAB7291924A1}"/>
        <w:text/>
      </w:sdtPr>
      <w:sdtEndPr/>
      <w:sdtContent>
        <w:r w:rsidR="00A614D1">
          <w:rPr>
            <w:b w:val="0"/>
            <w:color w:val="002957"/>
            <w:sz w:val="28"/>
            <w:szCs w:val="28"/>
            <w:lang w:val="en-US"/>
          </w:rPr>
          <w:t>Insurance Europe third draft political messages on the first Omnibus package</w:t>
        </w:r>
      </w:sdtContent>
    </w:sdt>
    <w:bookmarkEnd w:id="3"/>
  </w:p>
  <w:p w14:paraId="48E02457" w14:textId="77777777" w:rsidR="00DB3235" w:rsidRPr="00D74967" w:rsidRDefault="00DB3235" w:rsidP="00E20AAF">
    <w:pPr>
      <w:rPr>
        <w:lang w:val="en-US"/>
      </w:rPr>
    </w:pPr>
  </w:p>
  <w:p w14:paraId="59DEEA8E" w14:textId="77777777" w:rsidR="00DB3235" w:rsidRPr="00D74967" w:rsidRDefault="00152882" w:rsidP="00E20AAF">
    <w:pPr>
      <w:rPr>
        <w:lang w:val="en-US"/>
      </w:rPr>
    </w:pPr>
    <w:r>
      <w:rPr>
        <w:noProof/>
        <w:lang w:val="nl-BE" w:eastAsia="nl-BE"/>
      </w:rPr>
      <mc:AlternateContent>
        <mc:Choice Requires="wps">
          <w:drawing>
            <wp:anchor distT="0" distB="0" distL="114300" distR="114300" simplePos="0" relativeHeight="251659264" behindDoc="1" locked="1" layoutInCell="1" allowOverlap="1" wp14:anchorId="7F115990" wp14:editId="32DD3F38">
              <wp:simplePos x="0" y="0"/>
              <wp:positionH relativeFrom="margin">
                <wp:align>left</wp:align>
              </wp:positionH>
              <wp:positionV relativeFrom="paragraph">
                <wp:posOffset>88265</wp:posOffset>
              </wp:positionV>
              <wp:extent cx="6124575" cy="2051685"/>
              <wp:effectExtent l="0" t="0" r="28575" b="2476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05168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309A5" id="AutoShape 18" o:spid="_x0000_s1026" style="position:absolute;margin-left:0;margin-top:6.95pt;width:482.25pt;height:161.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6D28F1" w:rsidRPr="000D41DA" w14:paraId="4B45CDA3" w14:textId="77777777" w:rsidTr="00240F50">
      <w:trPr>
        <w:cantSplit/>
        <w:trHeight w:hRule="exact" w:val="584"/>
      </w:trPr>
      <w:tc>
        <w:tcPr>
          <w:tcW w:w="1536" w:type="dxa"/>
          <w:shd w:val="clear" w:color="auto" w:fill="auto"/>
          <w:vAlign w:val="center"/>
        </w:tcPr>
        <w:p w14:paraId="57D93854" w14:textId="77777777" w:rsidR="00DB3235" w:rsidRPr="0085650F" w:rsidRDefault="00152882" w:rsidP="00E20AAF">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2128765903"/>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1B1EB71F" w:rsidR="00DB3235" w:rsidRPr="00585988" w:rsidRDefault="00BF6F96" w:rsidP="0008034A">
              <w:pPr>
                <w:jc w:val="left"/>
                <w:rPr>
                  <w:color w:val="002957"/>
                  <w:sz w:val="17"/>
                  <w:szCs w:val="17"/>
                </w:rPr>
              </w:pPr>
              <w:r>
                <w:rPr>
                  <w:color w:val="002957"/>
                  <w:sz w:val="17"/>
                  <w:szCs w:val="17"/>
                </w:rPr>
                <w:t>ECO-CRISF-25-080</w:t>
              </w:r>
            </w:p>
          </w:sdtContent>
        </w:sdt>
      </w:tc>
      <w:tc>
        <w:tcPr>
          <w:tcW w:w="1570" w:type="dxa"/>
          <w:shd w:val="clear" w:color="auto" w:fill="auto"/>
          <w:vAlign w:val="center"/>
        </w:tcPr>
        <w:p w14:paraId="5C893DF3" w14:textId="77777777" w:rsidR="00DB3235" w:rsidRPr="0085650F" w:rsidRDefault="00152882" w:rsidP="00E20AAF">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0334D006" w:rsidR="00DB3235" w:rsidRPr="00585988" w:rsidRDefault="00E704D0" w:rsidP="002D768E">
          <w:pPr>
            <w:jc w:val="left"/>
            <w:rPr>
              <w:color w:val="002957"/>
              <w:sz w:val="17"/>
              <w:szCs w:val="17"/>
            </w:rPr>
          </w:pPr>
          <w:r>
            <w:rPr>
              <w:color w:val="002957"/>
              <w:sz w:val="17"/>
              <w:szCs w:val="17"/>
            </w:rPr>
            <w:t>28-03-2025</w:t>
          </w:r>
        </w:p>
      </w:tc>
    </w:tr>
    <w:tr w:rsidR="006D28F1" w:rsidRPr="000D41DA" w14:paraId="71283189" w14:textId="77777777" w:rsidTr="00240F50">
      <w:trPr>
        <w:cantSplit/>
        <w:trHeight w:hRule="exact" w:val="584"/>
      </w:trPr>
      <w:tc>
        <w:tcPr>
          <w:tcW w:w="1536" w:type="dxa"/>
          <w:shd w:val="clear" w:color="auto" w:fill="auto"/>
          <w:vAlign w:val="center"/>
        </w:tcPr>
        <w:p w14:paraId="4FEEB7D0" w14:textId="77777777" w:rsidR="00DB3235" w:rsidRPr="0085650F" w:rsidRDefault="00152882" w:rsidP="00E20AAF">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140E78FD" w14:textId="05D12A56" w:rsidR="00DB3235" w:rsidRPr="00585988" w:rsidRDefault="00DB3235" w:rsidP="000077F1">
          <w:pPr>
            <w:jc w:val="left"/>
            <w:rPr>
              <w:color w:val="002957"/>
              <w:sz w:val="17"/>
              <w:szCs w:val="17"/>
            </w:rPr>
          </w:pPr>
        </w:p>
      </w:tc>
      <w:tc>
        <w:tcPr>
          <w:tcW w:w="1570" w:type="dxa"/>
          <w:shd w:val="clear" w:color="auto" w:fill="auto"/>
          <w:vAlign w:val="center"/>
        </w:tcPr>
        <w:p w14:paraId="0A442DE6" w14:textId="77777777" w:rsidR="00DB3235" w:rsidRPr="00585988" w:rsidRDefault="00DB3235" w:rsidP="00E20AAF">
          <w:pPr>
            <w:rPr>
              <w:color w:val="002957"/>
              <w:sz w:val="17"/>
              <w:szCs w:val="17"/>
            </w:rPr>
          </w:pPr>
        </w:p>
      </w:tc>
      <w:tc>
        <w:tcPr>
          <w:tcW w:w="2976" w:type="dxa"/>
          <w:shd w:val="clear" w:color="auto" w:fill="auto"/>
          <w:vAlign w:val="center"/>
        </w:tcPr>
        <w:p w14:paraId="74A17591" w14:textId="0AA37B00" w:rsidR="00DB3235" w:rsidRPr="00585988" w:rsidRDefault="00DB3235" w:rsidP="000077F1">
          <w:pPr>
            <w:jc w:val="left"/>
            <w:rPr>
              <w:color w:val="002957"/>
              <w:sz w:val="17"/>
              <w:szCs w:val="17"/>
            </w:rPr>
          </w:pPr>
        </w:p>
      </w:tc>
    </w:tr>
    <w:tr w:rsidR="006D28F1" w:rsidRPr="000D41DA" w14:paraId="024FCDC9" w14:textId="77777777" w:rsidTr="00240F50">
      <w:trPr>
        <w:cantSplit/>
        <w:trHeight w:hRule="exact" w:val="584"/>
      </w:trPr>
      <w:tc>
        <w:tcPr>
          <w:tcW w:w="1536" w:type="dxa"/>
          <w:shd w:val="clear" w:color="auto" w:fill="auto"/>
          <w:vAlign w:val="center"/>
        </w:tcPr>
        <w:p w14:paraId="2E014A55" w14:textId="77777777" w:rsidR="00DB3235" w:rsidRPr="0085650F" w:rsidRDefault="00152882" w:rsidP="002B62D0">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028D7892" w14:textId="124FA640" w:rsidR="00DB3235" w:rsidRPr="00585988" w:rsidRDefault="00DB3235" w:rsidP="000077F1">
          <w:pPr>
            <w:jc w:val="left"/>
            <w:rPr>
              <w:color w:val="002957"/>
              <w:sz w:val="17"/>
              <w:szCs w:val="17"/>
            </w:rPr>
          </w:pPr>
        </w:p>
      </w:tc>
      <w:tc>
        <w:tcPr>
          <w:tcW w:w="1570" w:type="dxa"/>
          <w:shd w:val="clear" w:color="auto" w:fill="auto"/>
          <w:vAlign w:val="center"/>
        </w:tcPr>
        <w:p w14:paraId="08573CC7" w14:textId="77777777" w:rsidR="00DB3235" w:rsidRPr="00585988" w:rsidRDefault="00DB3235" w:rsidP="00E20AAF">
          <w:pPr>
            <w:rPr>
              <w:color w:val="002957"/>
              <w:sz w:val="17"/>
              <w:szCs w:val="17"/>
            </w:rPr>
          </w:pPr>
        </w:p>
      </w:tc>
      <w:tc>
        <w:tcPr>
          <w:tcW w:w="2976" w:type="dxa"/>
          <w:shd w:val="clear" w:color="auto" w:fill="auto"/>
          <w:vAlign w:val="center"/>
        </w:tcPr>
        <w:p w14:paraId="15C35991" w14:textId="77777777" w:rsidR="00DB3235" w:rsidRPr="00585988" w:rsidRDefault="00DB3235" w:rsidP="00DB4DC3">
          <w:pPr>
            <w:jc w:val="left"/>
            <w:rPr>
              <w:b/>
              <w:color w:val="002957"/>
              <w:sz w:val="17"/>
              <w:szCs w:val="17"/>
            </w:rPr>
          </w:pPr>
        </w:p>
      </w:tc>
    </w:tr>
    <w:tr w:rsidR="006D28F1" w:rsidRPr="000D41DA" w14:paraId="07D47AE0" w14:textId="77777777" w:rsidTr="00240F50">
      <w:trPr>
        <w:cantSplit/>
        <w:trHeight w:hRule="exact" w:val="584"/>
      </w:trPr>
      <w:tc>
        <w:tcPr>
          <w:tcW w:w="1536" w:type="dxa"/>
          <w:shd w:val="clear" w:color="auto" w:fill="auto"/>
          <w:vAlign w:val="center"/>
        </w:tcPr>
        <w:p w14:paraId="4A965280" w14:textId="77777777" w:rsidR="00DB3235" w:rsidRPr="0085650F" w:rsidRDefault="00152882" w:rsidP="00E20AAF">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03E7DCB9" w14:textId="79C241D3" w:rsidR="00DB3235" w:rsidRPr="00585988" w:rsidRDefault="00E704D0" w:rsidP="00E86666">
          <w:pPr>
            <w:jc w:val="left"/>
            <w:rPr>
              <w:color w:val="002957"/>
              <w:sz w:val="17"/>
              <w:szCs w:val="17"/>
            </w:rPr>
          </w:pPr>
          <w:r>
            <w:rPr>
              <w:color w:val="002957"/>
              <w:sz w:val="17"/>
              <w:szCs w:val="17"/>
            </w:rPr>
            <w:t>Cléa Gobet</w:t>
          </w:r>
          <w:r w:rsidR="00DE0A2F" w:rsidRPr="00DE0A2F">
            <w:rPr>
              <w:color w:val="002957"/>
              <w:sz w:val="17"/>
              <w:szCs w:val="17"/>
            </w:rPr>
            <w:t xml:space="preserve"> </w:t>
          </w:r>
        </w:p>
      </w:tc>
      <w:tc>
        <w:tcPr>
          <w:tcW w:w="1570" w:type="dxa"/>
          <w:shd w:val="clear" w:color="auto" w:fill="auto"/>
          <w:vAlign w:val="center"/>
        </w:tcPr>
        <w:p w14:paraId="710B5A54" w14:textId="77777777" w:rsidR="00DB3235" w:rsidRPr="0085650F" w:rsidRDefault="00152882" w:rsidP="00E20AAF">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18616ADC" w:rsidR="00DB3235" w:rsidRPr="00585988" w:rsidRDefault="00E704D0" w:rsidP="000077F1">
          <w:pPr>
            <w:jc w:val="left"/>
            <w:rPr>
              <w:color w:val="002957"/>
              <w:sz w:val="17"/>
              <w:szCs w:val="17"/>
            </w:rPr>
          </w:pPr>
          <w:r>
            <w:rPr>
              <w:color w:val="002957"/>
              <w:sz w:val="17"/>
              <w:szCs w:val="17"/>
            </w:rPr>
            <w:t>Gobet@insuranceeurope.eu</w:t>
          </w:r>
        </w:p>
      </w:tc>
    </w:tr>
    <w:tr w:rsidR="006D28F1" w:rsidRPr="000D41DA" w14:paraId="605BBAF5" w14:textId="77777777" w:rsidTr="00240F50">
      <w:trPr>
        <w:cantSplit/>
        <w:trHeight w:hRule="exact" w:val="584"/>
      </w:trPr>
      <w:tc>
        <w:tcPr>
          <w:tcW w:w="1536" w:type="dxa"/>
          <w:shd w:val="clear" w:color="auto" w:fill="auto"/>
          <w:vAlign w:val="center"/>
        </w:tcPr>
        <w:p w14:paraId="7D7A937A" w14:textId="77777777" w:rsidR="00DB3235" w:rsidRPr="0085650F" w:rsidRDefault="00152882" w:rsidP="00E20AAF">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DB3235" w:rsidRPr="00585988" w:rsidRDefault="00152882" w:rsidP="00E20AAF">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DB3235" w:rsidRPr="00585988" w:rsidRDefault="00974483" w:rsidP="001C24A2">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DB3235" w:rsidRPr="00585988" w:rsidRDefault="00152882" w:rsidP="00E20AAF">
          <w:pPr>
            <w:rPr>
              <w:color w:val="002957"/>
              <w:sz w:val="17"/>
              <w:szCs w:val="17"/>
            </w:rPr>
          </w:pPr>
          <w:r w:rsidRPr="00585988">
            <w:rPr>
              <w:rFonts w:cs="Tahoma"/>
              <w:color w:val="002957"/>
              <w:sz w:val="17"/>
              <w:szCs w:val="17"/>
            </w:rPr>
            <w:t>33213703459-54</w:t>
          </w:r>
        </w:p>
      </w:tc>
    </w:tr>
  </w:tbl>
  <w:p w14:paraId="3A20423D" w14:textId="77777777" w:rsidR="00DB3235" w:rsidRPr="000D41DA" w:rsidRDefault="00DB3235" w:rsidP="00634FC9">
    <w:pPr>
      <w:rPr>
        <w:b/>
        <w:sz w:val="22"/>
        <w:szCs w:val="22"/>
      </w:rPr>
    </w:pPr>
  </w:p>
  <w:p w14:paraId="0299F3F5" w14:textId="77777777" w:rsidR="00DB3235" w:rsidRPr="000D41DA" w:rsidRDefault="00DB3235" w:rsidP="009F1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EE29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2892894" o:spid="_x0000_i1025" type="#_x0000_t75" style="width:11.1pt;height:11.1pt;visibility:visible;mso-wrap-style:square">
            <v:imagedata r:id="rId1" o:title=""/>
          </v:shape>
        </w:pict>
      </mc:Choice>
      <mc:Fallback>
        <w:drawing>
          <wp:inline distT="0" distB="0" distL="0" distR="0" wp14:anchorId="7FD9E17D" wp14:editId="7FD9E17E">
            <wp:extent cx="140970" cy="140970"/>
            <wp:effectExtent l="0" t="0" r="0" b="0"/>
            <wp:docPr id="1662892894" name="Picture 166289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mc:Fallback>
    </mc:AlternateContent>
  </w:numPicBullet>
  <w:numPicBullet w:numPicBulletId="1">
    <mc:AlternateContent>
      <mc:Choice Requires="v">
        <w:pict>
          <v:shape w14:anchorId="774A603F" id="Picture 1298099399" o:spid="_x0000_i1025" type="#_x0000_t75" style="width:7.75pt;height:7.75pt;visibility:visible;mso-wrap-style:square">
            <v:imagedata r:id="rId3" o:title=""/>
          </v:shape>
        </w:pict>
      </mc:Choice>
      <mc:Fallback>
        <w:drawing>
          <wp:inline distT="0" distB="0" distL="0" distR="0" wp14:anchorId="7FD9E17F" wp14:editId="7FD9E180">
            <wp:extent cx="98425" cy="98425"/>
            <wp:effectExtent l="0" t="0" r="0" b="0"/>
            <wp:docPr id="1298099399" name="Picture 1298099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mc:Fallback>
    </mc:AlternateContent>
  </w:numPicBullet>
  <w:numPicBullet w:numPicBulletId="2">
    <mc:AlternateContent>
      <mc:Choice Requires="v">
        <w:pict>
          <v:shape w14:anchorId="4F84B263" id="Picture 234016582" o:spid="_x0000_i1025" type="#_x0000_t75" style="width:9.2pt;height:9.2pt;visibility:visible;mso-wrap-style:square">
            <v:imagedata r:id="rId5" o:title=""/>
          </v:shape>
        </w:pict>
      </mc:Choice>
      <mc:Fallback>
        <w:drawing>
          <wp:inline distT="0" distB="0" distL="0" distR="0" wp14:anchorId="7FD9E181" wp14:editId="7FD9E182">
            <wp:extent cx="116840" cy="116840"/>
            <wp:effectExtent l="0" t="0" r="0" b="0"/>
            <wp:docPr id="234016582" name="Picture 23401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mc:Fallback>
    </mc:AlternateContent>
  </w:numPicBullet>
  <w:abstractNum w:abstractNumId="0" w15:restartNumberingAfterBreak="0">
    <w:nsid w:val="07377FF9"/>
    <w:multiLevelType w:val="hybridMultilevel"/>
    <w:tmpl w:val="8E885CA6"/>
    <w:lvl w:ilvl="0" w:tplc="B6649670">
      <w:start w:val="1"/>
      <w:numFmt w:val="bullet"/>
      <w:lvlText w:val=""/>
      <w:lvlJc w:val="left"/>
      <w:pPr>
        <w:ind w:left="720" w:hanging="360"/>
      </w:pPr>
      <w:rPr>
        <w:rFonts w:ascii="Symbol" w:hAnsi="Symbol" w:hint="default"/>
        <w:sz w:val="17"/>
        <w:szCs w:val="17"/>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54071E"/>
    <w:multiLevelType w:val="hybridMultilevel"/>
    <w:tmpl w:val="87F2D9AA"/>
    <w:lvl w:ilvl="0" w:tplc="2FD42A22">
      <w:start w:val="165"/>
      <w:numFmt w:val="bullet"/>
      <w:pStyle w:val="IEBullet-Level2"/>
      <w:lvlText w:val=""/>
      <w:lvlJc w:val="left"/>
      <w:pPr>
        <w:ind w:left="1800" w:hanging="360"/>
      </w:pPr>
      <w:rPr>
        <w:rFonts w:ascii="Wingdings" w:hAnsi="Wingdings" w:hint="default"/>
        <w:color w:val="82C55B"/>
        <w:position w:val="-2"/>
        <w:sz w:val="22"/>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14D30FAD"/>
    <w:multiLevelType w:val="hybridMultilevel"/>
    <w:tmpl w:val="4B627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0E6B3E"/>
    <w:multiLevelType w:val="hybridMultilevel"/>
    <w:tmpl w:val="E75E98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5"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E5220A"/>
    <w:multiLevelType w:val="hybridMultilevel"/>
    <w:tmpl w:val="16B09EB6"/>
    <w:lvl w:ilvl="0" w:tplc="57745AD2">
      <w:start w:val="1"/>
      <w:numFmt w:val="decimal"/>
      <w:lvlText w:val="%1."/>
      <w:lvlJc w:val="left"/>
      <w:pPr>
        <w:ind w:left="360" w:hanging="360"/>
      </w:pPr>
      <w:rPr>
        <w:rFonts w:ascii="Verdana" w:hAnsi="Verdana"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653564494">
    <w:abstractNumId w:val="5"/>
  </w:num>
  <w:num w:numId="2" w16cid:durableId="1572079407">
    <w:abstractNumId w:val="1"/>
  </w:num>
  <w:num w:numId="3" w16cid:durableId="1193609614">
    <w:abstractNumId w:val="4"/>
  </w:num>
  <w:num w:numId="4" w16cid:durableId="1679234107">
    <w:abstractNumId w:val="5"/>
  </w:num>
  <w:num w:numId="5" w16cid:durableId="1494881287">
    <w:abstractNumId w:val="1"/>
  </w:num>
  <w:num w:numId="6" w16cid:durableId="400257862">
    <w:abstractNumId w:val="4"/>
  </w:num>
  <w:num w:numId="7" w16cid:durableId="786434188">
    <w:abstractNumId w:val="2"/>
  </w:num>
  <w:num w:numId="8" w16cid:durableId="1999336512">
    <w:abstractNumId w:val="0"/>
  </w:num>
  <w:num w:numId="9" w16cid:durableId="260839706">
    <w:abstractNumId w:val="3"/>
  </w:num>
  <w:num w:numId="10" w16cid:durableId="1504708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17E2D"/>
    <w:rsid w:val="00020124"/>
    <w:rsid w:val="00031EE6"/>
    <w:rsid w:val="0008034A"/>
    <w:rsid w:val="000B7C9D"/>
    <w:rsid w:val="000D3A9E"/>
    <w:rsid w:val="000D58F0"/>
    <w:rsid w:val="000F4E6C"/>
    <w:rsid w:val="0011109A"/>
    <w:rsid w:val="0012469D"/>
    <w:rsid w:val="00136836"/>
    <w:rsid w:val="00152882"/>
    <w:rsid w:val="0017261F"/>
    <w:rsid w:val="001B0379"/>
    <w:rsid w:val="001B4AB3"/>
    <w:rsid w:val="001E5865"/>
    <w:rsid w:val="00207CD1"/>
    <w:rsid w:val="002214EB"/>
    <w:rsid w:val="00240F50"/>
    <w:rsid w:val="00261545"/>
    <w:rsid w:val="002F12C5"/>
    <w:rsid w:val="0031071B"/>
    <w:rsid w:val="0032055A"/>
    <w:rsid w:val="00346792"/>
    <w:rsid w:val="00356201"/>
    <w:rsid w:val="003715C9"/>
    <w:rsid w:val="00382F7E"/>
    <w:rsid w:val="003B6BA7"/>
    <w:rsid w:val="003D0236"/>
    <w:rsid w:val="003D2C75"/>
    <w:rsid w:val="00407B3E"/>
    <w:rsid w:val="00440FEE"/>
    <w:rsid w:val="004567EF"/>
    <w:rsid w:val="00495AC5"/>
    <w:rsid w:val="004D6D42"/>
    <w:rsid w:val="00621E81"/>
    <w:rsid w:val="00671643"/>
    <w:rsid w:val="00692DBA"/>
    <w:rsid w:val="006A4554"/>
    <w:rsid w:val="006E08CC"/>
    <w:rsid w:val="00724882"/>
    <w:rsid w:val="007338DA"/>
    <w:rsid w:val="00752590"/>
    <w:rsid w:val="007748EE"/>
    <w:rsid w:val="00825DAE"/>
    <w:rsid w:val="00842D79"/>
    <w:rsid w:val="00887032"/>
    <w:rsid w:val="008A2E1B"/>
    <w:rsid w:val="008D6AAE"/>
    <w:rsid w:val="009728B6"/>
    <w:rsid w:val="00974483"/>
    <w:rsid w:val="00995A0B"/>
    <w:rsid w:val="009C2B3E"/>
    <w:rsid w:val="009D5149"/>
    <w:rsid w:val="009F36CD"/>
    <w:rsid w:val="00A2092B"/>
    <w:rsid w:val="00A4463C"/>
    <w:rsid w:val="00A614D1"/>
    <w:rsid w:val="00A83F4C"/>
    <w:rsid w:val="00B07945"/>
    <w:rsid w:val="00B1659F"/>
    <w:rsid w:val="00BB3D71"/>
    <w:rsid w:val="00BC4E09"/>
    <w:rsid w:val="00BD3110"/>
    <w:rsid w:val="00BF11D2"/>
    <w:rsid w:val="00BF4AA7"/>
    <w:rsid w:val="00BF6F96"/>
    <w:rsid w:val="00C3572E"/>
    <w:rsid w:val="00C53899"/>
    <w:rsid w:val="00C728C8"/>
    <w:rsid w:val="00D615BB"/>
    <w:rsid w:val="00D74967"/>
    <w:rsid w:val="00DA76D2"/>
    <w:rsid w:val="00DB3235"/>
    <w:rsid w:val="00DE0A2F"/>
    <w:rsid w:val="00DE43CC"/>
    <w:rsid w:val="00E41754"/>
    <w:rsid w:val="00E704D0"/>
    <w:rsid w:val="00ED3BC3"/>
    <w:rsid w:val="00EE7603"/>
    <w:rsid w:val="00F404AB"/>
    <w:rsid w:val="00F778BB"/>
    <w:rsid w:val="00F8705B"/>
    <w:rsid w:val="00F96C48"/>
    <w:rsid w:val="00FA561C"/>
    <w:rsid w:val="00FC6467"/>
    <w:rsid w:val="00FD60DB"/>
    <w:rsid w:val="00FE5DC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7CE9"/>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DE43CC"/>
    <w:pPr>
      <w:numPr>
        <w:numId w:val="4"/>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DE43CC"/>
    <w:pPr>
      <w:numPr>
        <w:numId w:val="5"/>
      </w:numPr>
    </w:pPr>
  </w:style>
  <w:style w:type="paragraph" w:customStyle="1" w:styleId="IEBullet-Level3">
    <w:name w:val="IE Bullet - Level 3"/>
    <w:basedOn w:val="Normlny"/>
    <w:qFormat/>
    <w:rsid w:val="00DE43CC"/>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IEGraphTitle">
    <w:name w:val="IE Graph Title"/>
    <w:uiPriority w:val="1"/>
    <w:qFormat/>
    <w:rsid w:val="00825DAE"/>
    <w:rPr>
      <w:rFonts w:ascii="Verdana" w:hAnsi="Verdana"/>
      <w:smallCaps w:val="0"/>
      <w:sz w:val="19"/>
      <w:lang w:val="en-GB"/>
    </w:rPr>
  </w:style>
  <w:style w:type="character" w:customStyle="1" w:styleId="IEGraphX">
    <w:name w:val="IE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customStyle="1" w:styleId="IEBullet-Level1Char">
    <w:name w:val="IE Bullet - Level 1 Char"/>
    <w:link w:val="IEBullet-Level1"/>
    <w:locked/>
    <w:rsid w:val="00DE43CC"/>
    <w:rPr>
      <w:rFonts w:ascii="Verdana" w:eastAsia="Times New Roman" w:hAnsi="Verdana" w:cs="Frutiger LT Std 45 Light"/>
      <w:color w:val="000000"/>
      <w:sz w:val="17"/>
      <w:szCs w:val="20"/>
      <w:lang w:val="en-GB"/>
    </w:rPr>
  </w:style>
  <w:style w:type="paragraph" w:styleId="Odsekzoznamu">
    <w:name w:val="List Paragraph"/>
    <w:basedOn w:val="Normlny"/>
    <w:uiPriority w:val="34"/>
    <w:qFormat/>
    <w:rsid w:val="00A614D1"/>
    <w:pPr>
      <w:spacing w:after="160" w:line="278" w:lineRule="auto"/>
      <w:ind w:left="720"/>
      <w:contextualSpacing/>
      <w:jc w:val="left"/>
    </w:pPr>
    <w:rPr>
      <w:rFonts w:asciiTheme="minorHAnsi" w:eastAsiaTheme="minorHAnsi" w:hAnsiTheme="minorHAnsi" w:cstheme="minorBidi"/>
      <w:kern w:val="2"/>
      <w:sz w:val="24"/>
      <w:lang w:val="en-US"/>
      <w14:ligatures w14:val="standardContextual"/>
    </w:rPr>
  </w:style>
  <w:style w:type="character" w:styleId="Odkaznakomentr">
    <w:name w:val="annotation reference"/>
    <w:basedOn w:val="Predvolenpsmoodseku"/>
    <w:uiPriority w:val="99"/>
    <w:semiHidden/>
    <w:unhideWhenUsed/>
    <w:rsid w:val="00A614D1"/>
    <w:rPr>
      <w:sz w:val="16"/>
      <w:szCs w:val="16"/>
    </w:rPr>
  </w:style>
  <w:style w:type="paragraph" w:styleId="Textkomentra">
    <w:name w:val="annotation text"/>
    <w:basedOn w:val="Normlny"/>
    <w:link w:val="TextkomentraChar"/>
    <w:uiPriority w:val="99"/>
    <w:unhideWhenUsed/>
    <w:rsid w:val="00A614D1"/>
    <w:pPr>
      <w:spacing w:line="240" w:lineRule="auto"/>
    </w:pPr>
    <w:rPr>
      <w:sz w:val="20"/>
      <w:szCs w:val="20"/>
    </w:rPr>
  </w:style>
  <w:style w:type="character" w:customStyle="1" w:styleId="TextkomentraChar">
    <w:name w:val="Text komentára Char"/>
    <w:basedOn w:val="Predvolenpsmoodseku"/>
    <w:link w:val="Textkomentra"/>
    <w:uiPriority w:val="99"/>
    <w:rsid w:val="00A614D1"/>
    <w:rPr>
      <w:rFonts w:ascii="Verdana" w:eastAsia="Times New Roman"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hyperlink" Target="https://ec.europa.eu/commission/presscorner/detail/en/ip_25_614" TargetMode="External"/><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F1CB6"/>
    <w:rsid w:val="0011109A"/>
    <w:rsid w:val="001356E3"/>
    <w:rsid w:val="002B48F0"/>
    <w:rsid w:val="00427EDA"/>
    <w:rsid w:val="004567EF"/>
    <w:rsid w:val="0057158E"/>
    <w:rsid w:val="00634188"/>
    <w:rsid w:val="006A572F"/>
    <w:rsid w:val="006E08CC"/>
    <w:rsid w:val="00724882"/>
    <w:rsid w:val="007338DA"/>
    <w:rsid w:val="009C6847"/>
    <w:rsid w:val="009F3275"/>
    <w:rsid w:val="00A10EB7"/>
    <w:rsid w:val="00A307CB"/>
    <w:rsid w:val="00A83F4C"/>
    <w:rsid w:val="00AF50EC"/>
    <w:rsid w:val="00E401F3"/>
    <w:rsid w:val="00F36970"/>
    <w:rsid w:val="00F633AE"/>
    <w:rsid w:val="00F67907"/>
    <w:rsid w:val="00FD2516"/>
    <w:rsid w:val="00FE5DCD"/>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F32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63ba4a142953e3874a4f611ac23dcbee">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a7f008d25419cfd282394c9e489fe384"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485A1-11AA-442D-8577-727460E39C5A}">
  <ds:schemaRefs>
    <ds:schemaRef ds:uri="http://purl.org/dc/elements/1.1/"/>
    <ds:schemaRef ds:uri="http://schemas.microsoft.com/office/2006/documentManagement/types"/>
    <ds:schemaRef ds:uri="ddee4349-d6c5-476b-a1c6-d791a1a12d6c"/>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infopath/2007/PartnerControls"/>
    <ds:schemaRef ds:uri="efa07f0a-2279-4397-9381-96c735bff43a"/>
  </ds:schemaRefs>
</ds:datastoreItem>
</file>

<file path=customXml/itemProps2.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3.xml><?xml version="1.0" encoding="utf-8"?>
<ds:datastoreItem xmlns:ds="http://schemas.openxmlformats.org/officeDocument/2006/customXml" ds:itemID="{1A8EF843-3F8C-4C0A-B591-60046AC23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efa07f0a-2279-4397-9381-96c735bf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Insurance Europe</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Europe third draft political messages on the first Omnibus package</dc:title>
  <dc:creator>Insurance Europe</dc:creator>
  <cp:lastModifiedBy>Jozef Bachnicek</cp:lastModifiedBy>
  <cp:revision>2</cp:revision>
  <dcterms:created xsi:type="dcterms:W3CDTF">2025-04-01T13:09:00Z</dcterms:created>
  <dcterms:modified xsi:type="dcterms:W3CDTF">2025-04-01T13:09:00Z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53f2ccfc-cb5c-4b2a-a083-e4a7e98f292e</vt:lpwstr>
  </property>
</Properties>
</file>