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F454" w14:textId="77777777" w:rsidR="00A341B2" w:rsidRDefault="00A341B2" w:rsidP="299AD720">
      <w:pPr>
        <w:rPr>
          <w:b/>
          <w:color w:val="002957"/>
          <w:sz w:val="17"/>
          <w:szCs w:val="17"/>
        </w:rPr>
      </w:pPr>
    </w:p>
    <w:p w14:paraId="6C564FB3" w14:textId="21F6CB49" w:rsidR="00997149" w:rsidRDefault="00997149" w:rsidP="299AD720">
      <w:pPr>
        <w:rPr>
          <w:b/>
          <w:color w:val="002957"/>
          <w:sz w:val="17"/>
          <w:szCs w:val="17"/>
        </w:rPr>
      </w:pPr>
      <w:r w:rsidRPr="003D0236">
        <w:rPr>
          <w:b/>
          <w:color w:val="002957"/>
          <w:sz w:val="17"/>
          <w:szCs w:val="17"/>
        </w:rPr>
        <w:t>Introduction</w:t>
      </w:r>
      <w:r w:rsidR="00CE7914">
        <w:rPr>
          <w:b/>
          <w:color w:val="002957"/>
          <w:sz w:val="17"/>
          <w:szCs w:val="17"/>
        </w:rPr>
        <w:t>:</w:t>
      </w:r>
    </w:p>
    <w:p w14:paraId="66FD1DCD" w14:textId="3A2ED87C" w:rsidR="2DAB1E5F" w:rsidRPr="00C76B9C" w:rsidRDefault="00CE7914" w:rsidP="2DAB1E5F">
      <w:pPr>
        <w:rPr>
          <w:sz w:val="17"/>
          <w:szCs w:val="17"/>
        </w:rPr>
      </w:pPr>
      <w:r w:rsidRPr="00C76B9C">
        <w:rPr>
          <w:sz w:val="17"/>
          <w:szCs w:val="17"/>
        </w:rPr>
        <w:t>On 21 December, the EU Commission published their Q&amp;A regarding the EU Taxonomy Alignment Reporting for Financials (</w:t>
      </w:r>
      <w:hyperlink r:id="rId11" w:history="1">
        <w:r w:rsidRPr="00C76B9C">
          <w:rPr>
            <w:rStyle w:val="Hypertextovprepojenie"/>
            <w:sz w:val="17"/>
            <w:szCs w:val="17"/>
          </w:rPr>
          <w:t>ECO-CORP-23-150</w:t>
        </w:r>
      </w:hyperlink>
      <w:r w:rsidRPr="00C76B9C">
        <w:rPr>
          <w:sz w:val="17"/>
          <w:szCs w:val="17"/>
        </w:rPr>
        <w:t>).</w:t>
      </w:r>
    </w:p>
    <w:p w14:paraId="3E17886A" w14:textId="77777777" w:rsidR="00CE7914" w:rsidRPr="00C76B9C" w:rsidRDefault="00CE7914" w:rsidP="2DAB1E5F">
      <w:pPr>
        <w:rPr>
          <w:sz w:val="17"/>
          <w:szCs w:val="17"/>
        </w:rPr>
      </w:pPr>
    </w:p>
    <w:p w14:paraId="229896C7" w14:textId="68A1FFA2" w:rsidR="00296A63" w:rsidRPr="00C76B9C" w:rsidRDefault="00296A63" w:rsidP="2DAB1E5F">
      <w:pPr>
        <w:rPr>
          <w:sz w:val="17"/>
          <w:szCs w:val="17"/>
        </w:rPr>
      </w:pPr>
      <w:r w:rsidRPr="00C76B9C">
        <w:rPr>
          <w:sz w:val="17"/>
          <w:szCs w:val="17"/>
        </w:rPr>
        <w:t xml:space="preserve">Since then, </w:t>
      </w:r>
      <w:r w:rsidR="0055681B">
        <w:rPr>
          <w:sz w:val="17"/>
          <w:szCs w:val="17"/>
        </w:rPr>
        <w:t xml:space="preserve">several </w:t>
      </w:r>
      <w:r w:rsidRPr="00C76B9C">
        <w:rPr>
          <w:sz w:val="17"/>
          <w:szCs w:val="17"/>
        </w:rPr>
        <w:t xml:space="preserve">issues with significant implementation consequences have been raised by </w:t>
      </w:r>
      <w:r w:rsidR="00620753" w:rsidRPr="00C76B9C">
        <w:rPr>
          <w:sz w:val="17"/>
          <w:szCs w:val="17"/>
        </w:rPr>
        <w:t>I</w:t>
      </w:r>
      <w:r w:rsidRPr="00C76B9C">
        <w:rPr>
          <w:sz w:val="17"/>
          <w:szCs w:val="17"/>
        </w:rPr>
        <w:t xml:space="preserve">nsurance </w:t>
      </w:r>
      <w:r w:rsidR="00620753" w:rsidRPr="00C76B9C">
        <w:rPr>
          <w:sz w:val="17"/>
          <w:szCs w:val="17"/>
        </w:rPr>
        <w:t>Europe</w:t>
      </w:r>
      <w:r w:rsidRPr="00C76B9C">
        <w:rPr>
          <w:sz w:val="17"/>
          <w:szCs w:val="17"/>
        </w:rPr>
        <w:t xml:space="preserve">. </w:t>
      </w:r>
    </w:p>
    <w:p w14:paraId="6C269AA7" w14:textId="2909F844" w:rsidR="00296A63" w:rsidRPr="00C76B9C" w:rsidRDefault="00296A63" w:rsidP="2DAB1E5F">
      <w:pPr>
        <w:rPr>
          <w:sz w:val="17"/>
          <w:szCs w:val="17"/>
        </w:rPr>
      </w:pPr>
    </w:p>
    <w:p w14:paraId="4297988D" w14:textId="4FEA66B1" w:rsidR="0065325B" w:rsidRPr="00C76B9C" w:rsidRDefault="00296A63" w:rsidP="00296A63">
      <w:pPr>
        <w:rPr>
          <w:sz w:val="17"/>
          <w:szCs w:val="17"/>
        </w:rPr>
      </w:pPr>
      <w:r w:rsidRPr="00C76B9C">
        <w:rPr>
          <w:sz w:val="17"/>
          <w:szCs w:val="17"/>
        </w:rPr>
        <w:t xml:space="preserve">The aim of this paper is to clarify the position of the Insurance sector </w:t>
      </w:r>
      <w:r w:rsidR="00D462E4" w:rsidRPr="00C76B9C">
        <w:rPr>
          <w:sz w:val="17"/>
          <w:szCs w:val="17"/>
        </w:rPr>
        <w:t xml:space="preserve">on </w:t>
      </w:r>
      <w:r w:rsidR="00A05280" w:rsidRPr="00C76B9C">
        <w:rPr>
          <w:sz w:val="17"/>
          <w:szCs w:val="17"/>
        </w:rPr>
        <w:t>the EC FAQ</w:t>
      </w:r>
      <w:r w:rsidR="00484DF9" w:rsidRPr="00C76B9C">
        <w:rPr>
          <w:sz w:val="17"/>
          <w:szCs w:val="17"/>
        </w:rPr>
        <w:t xml:space="preserve">. </w:t>
      </w:r>
      <w:r w:rsidR="005E114A">
        <w:rPr>
          <w:sz w:val="17"/>
          <w:szCs w:val="17"/>
        </w:rPr>
        <w:t>T</w:t>
      </w:r>
      <w:r w:rsidR="00484DF9" w:rsidRPr="00C76B9C">
        <w:rPr>
          <w:sz w:val="17"/>
          <w:szCs w:val="17"/>
        </w:rPr>
        <w:t xml:space="preserve">he </w:t>
      </w:r>
      <w:r w:rsidR="005D3B16" w:rsidRPr="00C76B9C">
        <w:rPr>
          <w:sz w:val="17"/>
          <w:szCs w:val="17"/>
        </w:rPr>
        <w:t>issue</w:t>
      </w:r>
      <w:r w:rsidR="005E114A">
        <w:rPr>
          <w:sz w:val="17"/>
          <w:szCs w:val="17"/>
        </w:rPr>
        <w:t>s</w:t>
      </w:r>
      <w:r w:rsidR="005D3B16" w:rsidRPr="00C76B9C">
        <w:rPr>
          <w:sz w:val="17"/>
          <w:szCs w:val="17"/>
        </w:rPr>
        <w:t xml:space="preserve"> </w:t>
      </w:r>
      <w:r w:rsidR="005E114A">
        <w:rPr>
          <w:sz w:val="17"/>
          <w:szCs w:val="17"/>
        </w:rPr>
        <w:t xml:space="preserve">have been divided </w:t>
      </w:r>
      <w:r w:rsidR="005D3B16" w:rsidRPr="00C76B9C">
        <w:rPr>
          <w:sz w:val="17"/>
          <w:szCs w:val="17"/>
        </w:rPr>
        <w:t>in two categori</w:t>
      </w:r>
      <w:r w:rsidR="005E114A">
        <w:rPr>
          <w:sz w:val="17"/>
          <w:szCs w:val="17"/>
        </w:rPr>
        <w:t>es:</w:t>
      </w:r>
    </w:p>
    <w:p w14:paraId="5E64AE00" w14:textId="22654399" w:rsidR="00BC71EB" w:rsidRPr="00C76B9C" w:rsidRDefault="00BC71EB" w:rsidP="0065325B">
      <w:pPr>
        <w:pStyle w:val="Odsekzoznamu"/>
        <w:numPr>
          <w:ilvl w:val="0"/>
          <w:numId w:val="5"/>
        </w:numPr>
        <w:rPr>
          <w:rFonts w:ascii="Verdana" w:hAnsi="Verdana"/>
          <w:sz w:val="17"/>
          <w:szCs w:val="17"/>
        </w:rPr>
      </w:pPr>
      <w:r w:rsidRPr="00C76B9C">
        <w:rPr>
          <w:rFonts w:ascii="Verdana" w:hAnsi="Verdana"/>
          <w:sz w:val="17"/>
          <w:szCs w:val="17"/>
          <w:lang w:val="en-GB"/>
        </w:rPr>
        <w:t>Q&amp;A</w:t>
      </w:r>
      <w:r w:rsidR="00BB2EEC" w:rsidRPr="00C76B9C">
        <w:rPr>
          <w:rFonts w:ascii="Verdana" w:hAnsi="Verdana"/>
          <w:sz w:val="17"/>
          <w:szCs w:val="17"/>
          <w:lang w:val="en-GB"/>
        </w:rPr>
        <w:t xml:space="preserve"> </w:t>
      </w:r>
      <w:r w:rsidRPr="00C76B9C">
        <w:rPr>
          <w:rFonts w:ascii="Verdana" w:hAnsi="Verdana"/>
          <w:sz w:val="17"/>
          <w:szCs w:val="17"/>
          <w:lang w:val="en-GB"/>
        </w:rPr>
        <w:t>w</w:t>
      </w:r>
      <w:r w:rsidR="002831F6" w:rsidRPr="00C76B9C">
        <w:rPr>
          <w:rFonts w:ascii="Verdana" w:hAnsi="Verdana"/>
          <w:sz w:val="17"/>
          <w:szCs w:val="17"/>
          <w:lang w:val="en-GB"/>
        </w:rPr>
        <w:t>h</w:t>
      </w:r>
      <w:r w:rsidRPr="00C76B9C">
        <w:rPr>
          <w:rFonts w:ascii="Verdana" w:hAnsi="Verdana"/>
          <w:sz w:val="17"/>
          <w:szCs w:val="17"/>
          <w:lang w:val="en-GB"/>
        </w:rPr>
        <w:t>ere</w:t>
      </w:r>
      <w:r w:rsidR="00252901" w:rsidRPr="00C76B9C">
        <w:rPr>
          <w:rFonts w:ascii="Verdana" w:hAnsi="Verdana"/>
          <w:sz w:val="17"/>
          <w:szCs w:val="17"/>
        </w:rPr>
        <w:t xml:space="preserve"> </w:t>
      </w:r>
      <w:r w:rsidRPr="00C76B9C">
        <w:rPr>
          <w:rFonts w:ascii="Verdana" w:hAnsi="Verdana"/>
          <w:sz w:val="17"/>
          <w:szCs w:val="17"/>
        </w:rPr>
        <w:t>there is a</w:t>
      </w:r>
      <w:r w:rsidR="00DE10F7" w:rsidRPr="00C76B9C">
        <w:rPr>
          <w:rFonts w:ascii="Verdana" w:hAnsi="Verdana"/>
          <w:sz w:val="17"/>
          <w:szCs w:val="17"/>
        </w:rPr>
        <w:t xml:space="preserve"> </w:t>
      </w:r>
      <w:r w:rsidR="00F31FFF" w:rsidRPr="00C76B9C">
        <w:rPr>
          <w:rFonts w:ascii="Verdana" w:hAnsi="Verdana"/>
          <w:b/>
          <w:bCs/>
          <w:sz w:val="17"/>
          <w:szCs w:val="17"/>
        </w:rPr>
        <w:t xml:space="preserve">conflict with </w:t>
      </w:r>
      <w:r w:rsidR="00A05280" w:rsidRPr="00C76B9C">
        <w:rPr>
          <w:rFonts w:ascii="Verdana" w:hAnsi="Verdana"/>
          <w:b/>
          <w:bCs/>
          <w:sz w:val="17"/>
          <w:szCs w:val="17"/>
        </w:rPr>
        <w:t xml:space="preserve">the </w:t>
      </w:r>
      <w:r w:rsidR="00DD3994" w:rsidRPr="00C76B9C">
        <w:rPr>
          <w:rFonts w:ascii="Verdana" w:hAnsi="Verdana"/>
          <w:b/>
          <w:bCs/>
          <w:sz w:val="17"/>
          <w:szCs w:val="17"/>
        </w:rPr>
        <w:t>EU Taxonomy, its delegated acts or other pieces of the EU legislation</w:t>
      </w:r>
      <w:r w:rsidR="005E114A">
        <w:rPr>
          <w:rFonts w:ascii="Verdana" w:hAnsi="Verdana"/>
          <w:b/>
          <w:bCs/>
          <w:sz w:val="17"/>
          <w:szCs w:val="17"/>
        </w:rPr>
        <w:t>.</w:t>
      </w:r>
    </w:p>
    <w:p w14:paraId="06DC65D9" w14:textId="2E0A9EB6" w:rsidR="000009E0" w:rsidRPr="00C76B9C" w:rsidRDefault="00241940" w:rsidP="0065325B">
      <w:pPr>
        <w:pStyle w:val="Odsekzoznamu"/>
        <w:numPr>
          <w:ilvl w:val="0"/>
          <w:numId w:val="5"/>
        </w:numPr>
        <w:rPr>
          <w:rFonts w:ascii="Verdana" w:hAnsi="Verdana"/>
          <w:sz w:val="17"/>
          <w:szCs w:val="17"/>
        </w:rPr>
      </w:pPr>
      <w:r w:rsidRPr="00C76B9C">
        <w:rPr>
          <w:rFonts w:ascii="Verdana" w:hAnsi="Verdana"/>
          <w:sz w:val="17"/>
          <w:szCs w:val="17"/>
        </w:rPr>
        <w:t>Q&amp;A</w:t>
      </w:r>
      <w:r w:rsidR="00841413" w:rsidRPr="00C76B9C">
        <w:rPr>
          <w:rFonts w:ascii="Verdana" w:hAnsi="Verdana"/>
          <w:sz w:val="17"/>
          <w:szCs w:val="17"/>
        </w:rPr>
        <w:t xml:space="preserve"> </w:t>
      </w:r>
      <w:r w:rsidRPr="00C76B9C">
        <w:rPr>
          <w:rFonts w:ascii="Verdana" w:hAnsi="Verdana"/>
          <w:sz w:val="17"/>
          <w:szCs w:val="17"/>
        </w:rPr>
        <w:t>w</w:t>
      </w:r>
      <w:r w:rsidR="002831F6" w:rsidRPr="00C76B9C">
        <w:rPr>
          <w:rFonts w:ascii="Verdana" w:hAnsi="Verdana"/>
          <w:sz w:val="17"/>
          <w:szCs w:val="17"/>
        </w:rPr>
        <w:t>h</w:t>
      </w:r>
      <w:r w:rsidRPr="00C76B9C">
        <w:rPr>
          <w:rFonts w:ascii="Verdana" w:hAnsi="Verdana"/>
          <w:sz w:val="17"/>
          <w:szCs w:val="17"/>
        </w:rPr>
        <w:t>ere</w:t>
      </w:r>
      <w:r w:rsidR="00841413" w:rsidRPr="00C76B9C">
        <w:rPr>
          <w:rFonts w:ascii="Verdana" w:hAnsi="Verdana"/>
          <w:sz w:val="17"/>
          <w:szCs w:val="17"/>
        </w:rPr>
        <w:t xml:space="preserve"> </w:t>
      </w:r>
      <w:r w:rsidR="0015106F" w:rsidRPr="00C76B9C">
        <w:rPr>
          <w:rFonts w:ascii="Verdana" w:hAnsi="Verdana"/>
          <w:b/>
          <w:bCs/>
          <w:sz w:val="17"/>
          <w:szCs w:val="17"/>
        </w:rPr>
        <w:t xml:space="preserve">the answers provided </w:t>
      </w:r>
      <w:r w:rsidR="001E3A60" w:rsidRPr="00C76B9C">
        <w:rPr>
          <w:rFonts w:ascii="Verdana" w:hAnsi="Verdana"/>
          <w:b/>
          <w:bCs/>
          <w:sz w:val="17"/>
          <w:szCs w:val="17"/>
        </w:rPr>
        <w:t xml:space="preserve">undermine the meaningfulness/purpose </w:t>
      </w:r>
      <w:r w:rsidR="00F92BE1" w:rsidRPr="00C76B9C">
        <w:rPr>
          <w:rFonts w:ascii="Verdana" w:hAnsi="Verdana"/>
          <w:b/>
          <w:bCs/>
          <w:sz w:val="17"/>
          <w:szCs w:val="17"/>
        </w:rPr>
        <w:t xml:space="preserve">or </w:t>
      </w:r>
      <w:r w:rsidR="0015106F" w:rsidRPr="00C76B9C">
        <w:rPr>
          <w:rFonts w:ascii="Verdana" w:hAnsi="Verdana"/>
          <w:b/>
          <w:bCs/>
          <w:sz w:val="17"/>
          <w:szCs w:val="17"/>
        </w:rPr>
        <w:t>create a disproportionate burden for FMPs</w:t>
      </w:r>
      <w:r w:rsidR="000009E0" w:rsidRPr="00C76B9C">
        <w:rPr>
          <w:rFonts w:ascii="Verdana" w:hAnsi="Verdana"/>
          <w:sz w:val="17"/>
          <w:szCs w:val="17"/>
        </w:rPr>
        <w:t xml:space="preserve">. </w:t>
      </w:r>
    </w:p>
    <w:p w14:paraId="0988EA9C" w14:textId="151CEDEF" w:rsidR="00A76E06" w:rsidRPr="00825FC4" w:rsidRDefault="00133A35" w:rsidP="00296A63">
      <w:pPr>
        <w:rPr>
          <w:sz w:val="17"/>
          <w:szCs w:val="17"/>
        </w:rPr>
      </w:pPr>
      <w:r w:rsidRPr="00825FC4">
        <w:rPr>
          <w:sz w:val="17"/>
          <w:szCs w:val="17"/>
        </w:rPr>
        <w:t>The question where there appears to be a conflict between the Q&amp;A and Level 2 legislation will be raised with the European Commission.</w:t>
      </w:r>
    </w:p>
    <w:p w14:paraId="2D1F32FC" w14:textId="77777777" w:rsidR="00A76E06" w:rsidRPr="00825FC4" w:rsidRDefault="00A76E06" w:rsidP="00296A63">
      <w:pPr>
        <w:rPr>
          <w:sz w:val="17"/>
          <w:szCs w:val="17"/>
        </w:rPr>
      </w:pPr>
    </w:p>
    <w:p w14:paraId="6F0288BC" w14:textId="687768F5" w:rsidR="00152882" w:rsidRPr="00C76B9C" w:rsidRDefault="041728FD" w:rsidP="006B288A">
      <w:pPr>
        <w:pStyle w:val="Odsekzoznamu"/>
        <w:numPr>
          <w:ilvl w:val="0"/>
          <w:numId w:val="6"/>
        </w:numPr>
        <w:rPr>
          <w:rFonts w:ascii="Verdana" w:hAnsi="Verdana"/>
          <w:b/>
          <w:sz w:val="17"/>
          <w:szCs w:val="17"/>
          <w:u w:val="single"/>
        </w:rPr>
      </w:pPr>
      <w:r w:rsidRPr="00C76B9C">
        <w:rPr>
          <w:rFonts w:ascii="Verdana" w:hAnsi="Verdana"/>
          <w:b/>
          <w:bCs/>
          <w:sz w:val="17"/>
          <w:szCs w:val="17"/>
          <w:u w:val="single"/>
        </w:rPr>
        <w:t>Conflict</w:t>
      </w:r>
      <w:r w:rsidR="003E633E" w:rsidRPr="00C76B9C">
        <w:rPr>
          <w:rFonts w:ascii="Verdana" w:hAnsi="Verdana"/>
          <w:b/>
          <w:bCs/>
          <w:sz w:val="17"/>
          <w:szCs w:val="17"/>
          <w:u w:val="single"/>
        </w:rPr>
        <w:t xml:space="preserve">s between </w:t>
      </w:r>
      <w:r w:rsidR="002831F6" w:rsidRPr="00C76B9C">
        <w:rPr>
          <w:rFonts w:ascii="Verdana" w:hAnsi="Verdana"/>
          <w:b/>
          <w:bCs/>
          <w:sz w:val="17"/>
          <w:szCs w:val="17"/>
          <w:u w:val="single"/>
        </w:rPr>
        <w:t>Q</w:t>
      </w:r>
      <w:r w:rsidR="006B288A" w:rsidRPr="00C76B9C">
        <w:rPr>
          <w:rFonts w:ascii="Verdana" w:hAnsi="Verdana"/>
          <w:b/>
          <w:bCs/>
          <w:sz w:val="17"/>
          <w:szCs w:val="17"/>
          <w:u w:val="single"/>
        </w:rPr>
        <w:t>&amp;A</w:t>
      </w:r>
      <w:r w:rsidR="003E633E" w:rsidRPr="00C76B9C">
        <w:rPr>
          <w:rFonts w:ascii="Verdana" w:hAnsi="Verdana"/>
          <w:b/>
          <w:bCs/>
          <w:sz w:val="17"/>
          <w:szCs w:val="17"/>
          <w:u w:val="single"/>
        </w:rPr>
        <w:t xml:space="preserve"> and </w:t>
      </w:r>
      <w:r w:rsidR="006740AE" w:rsidRPr="00C76B9C">
        <w:rPr>
          <w:rFonts w:ascii="Verdana" w:hAnsi="Verdana"/>
          <w:b/>
          <w:bCs/>
          <w:sz w:val="17"/>
          <w:szCs w:val="17"/>
          <w:u w:val="single"/>
        </w:rPr>
        <w:t xml:space="preserve">the EU Taxonomy, its delegated acts or other pieces </w:t>
      </w:r>
      <w:r w:rsidR="007054B2" w:rsidRPr="00C76B9C">
        <w:rPr>
          <w:rFonts w:ascii="Verdana" w:hAnsi="Verdana"/>
          <w:b/>
          <w:bCs/>
          <w:sz w:val="17"/>
          <w:szCs w:val="17"/>
          <w:u w:val="single"/>
        </w:rPr>
        <w:t>of the EU legislation</w:t>
      </w:r>
    </w:p>
    <w:p w14:paraId="3676044B" w14:textId="380E79FF" w:rsidR="00996B5B" w:rsidRPr="00C76B9C" w:rsidRDefault="00996B5B" w:rsidP="00996B5B">
      <w:pPr>
        <w:rPr>
          <w:i/>
          <w:sz w:val="17"/>
          <w:szCs w:val="17"/>
        </w:rPr>
      </w:pPr>
      <w:r w:rsidRPr="00C76B9C">
        <w:rPr>
          <w:sz w:val="17"/>
          <w:szCs w:val="17"/>
          <w:u w:val="single"/>
        </w:rPr>
        <w:t>Question 7</w:t>
      </w:r>
      <w:r w:rsidRPr="00C76B9C">
        <w:rPr>
          <w:sz w:val="17"/>
          <w:szCs w:val="17"/>
        </w:rPr>
        <w:t xml:space="preserve">: </w:t>
      </w:r>
      <w:r w:rsidRPr="00C76B9C">
        <w:rPr>
          <w:i/>
          <w:iCs/>
          <w:sz w:val="17"/>
          <w:szCs w:val="17"/>
        </w:rPr>
        <w:t>Which KPIs should be reported by parent undertakings of groups, such as financial conglomerates, that have several activities and business segments at group level such as asset management, investment firm, insurance, and banking activities?</w:t>
      </w:r>
      <w:r w:rsidRPr="00C76B9C">
        <w:rPr>
          <w:sz w:val="17"/>
          <w:szCs w:val="17"/>
        </w:rPr>
        <w:t xml:space="preserve"> </w:t>
      </w:r>
      <w:r w:rsidRPr="00C76B9C">
        <w:rPr>
          <w:sz w:val="17"/>
          <w:szCs w:val="17"/>
        </w:rPr>
        <w:cr/>
      </w:r>
    </w:p>
    <w:p w14:paraId="688F7D4C" w14:textId="77777777" w:rsidR="00996B5B" w:rsidRPr="00C76B9C" w:rsidRDefault="00996B5B" w:rsidP="00996B5B">
      <w:pPr>
        <w:rPr>
          <w:i/>
          <w:iCs/>
          <w:sz w:val="17"/>
          <w:szCs w:val="17"/>
          <w:lang w:val="en-US"/>
        </w:rPr>
      </w:pPr>
      <w:r w:rsidRPr="00C76B9C">
        <w:rPr>
          <w:sz w:val="17"/>
          <w:szCs w:val="17"/>
        </w:rPr>
        <w:t>EC:</w:t>
      </w:r>
      <w:r w:rsidRPr="00C76B9C">
        <w:rPr>
          <w:rFonts w:eastAsiaTheme="minorEastAsia"/>
          <w:sz w:val="17"/>
          <w:szCs w:val="17"/>
        </w:rPr>
        <w:t xml:space="preserve"> </w:t>
      </w:r>
      <w:r w:rsidRPr="00C76B9C">
        <w:rPr>
          <w:i/>
          <w:iCs/>
          <w:sz w:val="17"/>
          <w:szCs w:val="17"/>
          <w:lang w:val="en-US"/>
        </w:rPr>
        <w:t xml:space="preserve">Moreover, to fulfil their requirements of reporting at group consolidated level and facilitate the Taxonomy disclosures by their investors and creditors, the reporting parent undertakings </w:t>
      </w:r>
      <w:r w:rsidRPr="00C76B9C">
        <w:rPr>
          <w:i/>
          <w:sz w:val="17"/>
          <w:szCs w:val="17"/>
          <w:lang w:val="en-US"/>
        </w:rPr>
        <w:t>should</w:t>
      </w:r>
      <w:r w:rsidRPr="00C76B9C">
        <w:rPr>
          <w:i/>
          <w:iCs/>
          <w:sz w:val="17"/>
          <w:szCs w:val="17"/>
          <w:lang w:val="en-US"/>
        </w:rPr>
        <w:t xml:space="preserve"> compute, and publish in the contextual disclosures referred to in </w:t>
      </w:r>
      <w:r w:rsidRPr="00C76B9C">
        <w:rPr>
          <w:i/>
          <w:sz w:val="17"/>
          <w:szCs w:val="17"/>
          <w:lang w:val="en-US"/>
        </w:rPr>
        <w:t>Annex XI DDA</w:t>
      </w:r>
      <w:r w:rsidRPr="00C76B9C">
        <w:rPr>
          <w:i/>
          <w:iCs/>
          <w:sz w:val="17"/>
          <w:szCs w:val="17"/>
          <w:lang w:val="en-US"/>
        </w:rPr>
        <w:t xml:space="preserve">, </w:t>
      </w:r>
      <w:r w:rsidRPr="00C76B9C">
        <w:rPr>
          <w:i/>
          <w:sz w:val="17"/>
          <w:szCs w:val="17"/>
          <w:lang w:val="en-US"/>
        </w:rPr>
        <w:t>a consolidated group-level KPI</w:t>
      </w:r>
      <w:r w:rsidRPr="00C76B9C">
        <w:rPr>
          <w:i/>
          <w:iCs/>
          <w:sz w:val="17"/>
          <w:szCs w:val="17"/>
          <w:lang w:val="en-US"/>
        </w:rPr>
        <w:t xml:space="preserve"> in the form of a </w:t>
      </w:r>
      <w:r w:rsidRPr="00C76B9C">
        <w:rPr>
          <w:i/>
          <w:sz w:val="17"/>
          <w:szCs w:val="17"/>
          <w:lang w:val="en-US"/>
        </w:rPr>
        <w:t>weighted average of the corresponding KPIs</w:t>
      </w:r>
      <w:r w:rsidRPr="00C76B9C">
        <w:rPr>
          <w:i/>
          <w:iCs/>
          <w:sz w:val="17"/>
          <w:szCs w:val="17"/>
          <w:lang w:val="en-US"/>
        </w:rPr>
        <w:t xml:space="preserve"> for, where applicable, asset management, banking, investment, and insurance and reinsurance activities with weightings in accordance with the proportion of turnover derived from the corresponding activities in the total consolidated turnover of the conglomerate.</w:t>
      </w:r>
    </w:p>
    <w:p w14:paraId="7B719ECD" w14:textId="77777777" w:rsidR="00312BB7" w:rsidRPr="00C76B9C" w:rsidRDefault="00312BB7" w:rsidP="00996B5B">
      <w:pPr>
        <w:rPr>
          <w:i/>
          <w:iCs/>
          <w:sz w:val="17"/>
          <w:szCs w:val="17"/>
          <w:lang w:val="en-US"/>
        </w:rPr>
      </w:pPr>
    </w:p>
    <w:p w14:paraId="77A6FE90" w14:textId="77777777" w:rsidR="00084C2C" w:rsidRPr="00C76B9C" w:rsidRDefault="00084C2C" w:rsidP="00084C2C">
      <w:pPr>
        <w:rPr>
          <w:i/>
          <w:sz w:val="17"/>
          <w:szCs w:val="17"/>
          <w:lang w:val="en-US"/>
        </w:rPr>
      </w:pPr>
      <w:r w:rsidRPr="00825FC4">
        <w:rPr>
          <w:sz w:val="17"/>
          <w:szCs w:val="17"/>
          <w:u w:val="single"/>
          <w:lang w:val="en-US"/>
        </w:rPr>
        <w:t>Related question 11</w:t>
      </w:r>
      <w:r w:rsidRPr="00C76B9C">
        <w:rPr>
          <w:iCs/>
          <w:sz w:val="17"/>
          <w:szCs w:val="17"/>
          <w:lang w:val="en-US"/>
        </w:rPr>
        <w:t>:</w:t>
      </w:r>
      <w:r w:rsidRPr="00C76B9C">
        <w:rPr>
          <w:i/>
          <w:sz w:val="17"/>
          <w:szCs w:val="17"/>
          <w:lang w:val="en-US"/>
        </w:rPr>
        <w:t xml:space="preserve"> Which KPIs should be considered for exposures of financial undertakings to the parent undertaking of a group, such as a financial conglomerate, with subsidiaries providing insurance, banking, investment or asset management services or exposures to a subsidiary of that parent?</w:t>
      </w:r>
    </w:p>
    <w:p w14:paraId="5C80DB43" w14:textId="77777777" w:rsidR="00084C2C" w:rsidRPr="00C76B9C" w:rsidRDefault="00084C2C" w:rsidP="00084C2C">
      <w:pPr>
        <w:rPr>
          <w:i/>
          <w:sz w:val="17"/>
          <w:szCs w:val="17"/>
          <w:lang w:val="en-US"/>
        </w:rPr>
      </w:pPr>
    </w:p>
    <w:p w14:paraId="12EC8672" w14:textId="56688A68" w:rsidR="00312BB7" w:rsidRPr="00C76B9C" w:rsidRDefault="00084C2C" w:rsidP="00084C2C">
      <w:pPr>
        <w:rPr>
          <w:i/>
          <w:sz w:val="17"/>
          <w:szCs w:val="17"/>
          <w:lang w:val="en-US"/>
        </w:rPr>
      </w:pPr>
      <w:r w:rsidRPr="00C76B9C">
        <w:rPr>
          <w:iCs/>
          <w:sz w:val="17"/>
          <w:szCs w:val="17"/>
          <w:lang w:val="en-US"/>
        </w:rPr>
        <w:lastRenderedPageBreak/>
        <w:t>EC:</w:t>
      </w:r>
      <w:r w:rsidRPr="00C76B9C">
        <w:rPr>
          <w:i/>
          <w:sz w:val="17"/>
          <w:szCs w:val="17"/>
          <w:lang w:val="en-US"/>
        </w:rPr>
        <w:t xml:space="preserve"> Financial undertakings should use (</w:t>
      </w:r>
      <w:proofErr w:type="spellStart"/>
      <w:r w:rsidRPr="00C76B9C">
        <w:rPr>
          <w:i/>
          <w:sz w:val="17"/>
          <w:szCs w:val="17"/>
          <w:lang w:val="en-US"/>
        </w:rPr>
        <w:t>i</w:t>
      </w:r>
      <w:proofErr w:type="spellEnd"/>
      <w:r w:rsidRPr="00C76B9C">
        <w:rPr>
          <w:i/>
          <w:sz w:val="17"/>
          <w:szCs w:val="17"/>
          <w:lang w:val="en-US"/>
        </w:rPr>
        <w:t>) the consolidated group-level KPI in the form of a weighted average of KPIs of the parent undertaking referred to in Annex XI DDA (see also response to questions 7 and 9 of this Notice) and (ii) the amount of the exposures to that group to compute those exposures in their own respective KPIs.</w:t>
      </w:r>
    </w:p>
    <w:p w14:paraId="63C6B475" w14:textId="77777777" w:rsidR="00996B5B" w:rsidRPr="00C76B9C" w:rsidRDefault="00996B5B" w:rsidP="00996B5B">
      <w:pPr>
        <w:rPr>
          <w:sz w:val="17"/>
          <w:szCs w:val="17"/>
        </w:rPr>
      </w:pPr>
    </w:p>
    <w:p w14:paraId="5905E344" w14:textId="7BB61ED0" w:rsidR="00996B5B" w:rsidRPr="00C76B9C" w:rsidRDefault="00996B5B" w:rsidP="7F76F4AE">
      <w:pPr>
        <w:pBdr>
          <w:top w:val="single" w:sz="4" w:space="1" w:color="auto"/>
          <w:left w:val="single" w:sz="4" w:space="4" w:color="auto"/>
          <w:bottom w:val="single" w:sz="4" w:space="1" w:color="auto"/>
          <w:right w:val="single" w:sz="4" w:space="4" w:color="auto"/>
        </w:pBdr>
        <w:rPr>
          <w:sz w:val="17"/>
          <w:szCs w:val="17"/>
        </w:rPr>
      </w:pPr>
      <w:r w:rsidRPr="00C76B9C">
        <w:rPr>
          <w:sz w:val="17"/>
          <w:szCs w:val="17"/>
        </w:rPr>
        <w:t>Insurance Europe</w:t>
      </w:r>
      <w:r w:rsidR="000621C4" w:rsidRPr="00C76B9C">
        <w:rPr>
          <w:sz w:val="17"/>
          <w:szCs w:val="17"/>
        </w:rPr>
        <w:t xml:space="preserve"> highlights that </w:t>
      </w:r>
      <w:r w:rsidR="00C97E54" w:rsidRPr="00C76B9C">
        <w:rPr>
          <w:sz w:val="17"/>
          <w:szCs w:val="17"/>
        </w:rPr>
        <w:t xml:space="preserve">the </w:t>
      </w:r>
      <w:r w:rsidR="00EA3FA4" w:rsidRPr="00C76B9C">
        <w:rPr>
          <w:sz w:val="17"/>
          <w:szCs w:val="17"/>
        </w:rPr>
        <w:t>Disclosures Delegated Act of the</w:t>
      </w:r>
      <w:r w:rsidR="00C97E54" w:rsidRPr="00C76B9C">
        <w:rPr>
          <w:sz w:val="17"/>
          <w:szCs w:val="17"/>
        </w:rPr>
        <w:t xml:space="preserve"> EU Taxonomy makes no reference for </w:t>
      </w:r>
      <w:r w:rsidR="00A4667D" w:rsidRPr="00C76B9C">
        <w:rPr>
          <w:sz w:val="17"/>
          <w:szCs w:val="17"/>
        </w:rPr>
        <w:t xml:space="preserve">parent undertakings to submit an aggregated group level KPI for these activities. Notably, </w:t>
      </w:r>
      <w:r w:rsidR="008F154C" w:rsidRPr="00C76B9C">
        <w:rPr>
          <w:sz w:val="17"/>
          <w:szCs w:val="17"/>
        </w:rPr>
        <w:t>t</w:t>
      </w:r>
      <w:r w:rsidR="0091356D" w:rsidRPr="00C76B9C">
        <w:rPr>
          <w:sz w:val="17"/>
          <w:szCs w:val="17"/>
        </w:rPr>
        <w:t>his unexpected change in reporting requi</w:t>
      </w:r>
      <w:r w:rsidR="00C947A4" w:rsidRPr="00C76B9C">
        <w:rPr>
          <w:sz w:val="17"/>
          <w:szCs w:val="17"/>
        </w:rPr>
        <w:t>r</w:t>
      </w:r>
      <w:r w:rsidR="0091356D" w:rsidRPr="00C76B9C">
        <w:rPr>
          <w:sz w:val="17"/>
          <w:szCs w:val="17"/>
        </w:rPr>
        <w:t>ements would s</w:t>
      </w:r>
      <w:r w:rsidR="00AB06D6" w:rsidRPr="00C76B9C">
        <w:rPr>
          <w:sz w:val="17"/>
          <w:szCs w:val="17"/>
        </w:rPr>
        <w:t>ubstantially m</w:t>
      </w:r>
      <w:r w:rsidR="00BD6D08" w:rsidRPr="00C76B9C">
        <w:rPr>
          <w:sz w:val="17"/>
          <w:szCs w:val="17"/>
        </w:rPr>
        <w:t xml:space="preserve">isreport </w:t>
      </w:r>
      <w:r w:rsidR="00EA5CBC">
        <w:rPr>
          <w:sz w:val="17"/>
          <w:szCs w:val="17"/>
        </w:rPr>
        <w:t xml:space="preserve">and underrepresent </w:t>
      </w:r>
      <w:r w:rsidR="00BD6D08" w:rsidRPr="00C76B9C">
        <w:rPr>
          <w:sz w:val="17"/>
          <w:szCs w:val="17"/>
        </w:rPr>
        <w:t xml:space="preserve">the </w:t>
      </w:r>
      <w:r w:rsidR="0040430F" w:rsidRPr="00C76B9C">
        <w:rPr>
          <w:sz w:val="17"/>
          <w:szCs w:val="17"/>
        </w:rPr>
        <w:t xml:space="preserve">proportion of </w:t>
      </w:r>
      <w:r w:rsidR="00DD4134" w:rsidRPr="00C76B9C">
        <w:rPr>
          <w:sz w:val="17"/>
          <w:szCs w:val="17"/>
        </w:rPr>
        <w:t>the Insurance industry’s activities which are Taxonomy-aligned.</w:t>
      </w:r>
      <w:r w:rsidR="00F65F6E">
        <w:rPr>
          <w:sz w:val="17"/>
          <w:szCs w:val="17"/>
        </w:rPr>
        <w:t xml:space="preserve"> For </w:t>
      </w:r>
      <w:r w:rsidR="001915DB">
        <w:rPr>
          <w:sz w:val="17"/>
          <w:szCs w:val="17"/>
        </w:rPr>
        <w:t xml:space="preserve">instance: </w:t>
      </w:r>
      <w:r w:rsidR="003020E5">
        <w:rPr>
          <w:sz w:val="17"/>
          <w:szCs w:val="17"/>
        </w:rPr>
        <w:t xml:space="preserve">an insurer </w:t>
      </w:r>
      <w:r w:rsidR="00751D46">
        <w:rPr>
          <w:sz w:val="17"/>
          <w:szCs w:val="17"/>
        </w:rPr>
        <w:t xml:space="preserve">having underwriting revenue </w:t>
      </w:r>
      <w:r w:rsidR="00E806E7">
        <w:rPr>
          <w:sz w:val="17"/>
          <w:szCs w:val="17"/>
        </w:rPr>
        <w:t xml:space="preserve">of </w:t>
      </w:r>
      <w:r w:rsidR="00751D46">
        <w:rPr>
          <w:sz w:val="17"/>
          <w:szCs w:val="17"/>
        </w:rPr>
        <w:t>60% with</w:t>
      </w:r>
      <w:r w:rsidR="00E806E7">
        <w:rPr>
          <w:sz w:val="17"/>
          <w:szCs w:val="17"/>
        </w:rPr>
        <w:t xml:space="preserve"> Taxonomy alignment of 2% and </w:t>
      </w:r>
      <w:r w:rsidR="00E213AF">
        <w:rPr>
          <w:sz w:val="17"/>
          <w:szCs w:val="17"/>
        </w:rPr>
        <w:t xml:space="preserve">investment revenue of 40% with Taxonomy alignment of 20%, will report </w:t>
      </w:r>
      <w:r w:rsidR="006959FD">
        <w:rPr>
          <w:sz w:val="17"/>
          <w:szCs w:val="17"/>
        </w:rPr>
        <w:t>consolidated KPI</w:t>
      </w:r>
      <w:r w:rsidR="00E42D3C">
        <w:rPr>
          <w:sz w:val="17"/>
          <w:szCs w:val="17"/>
        </w:rPr>
        <w:t>s</w:t>
      </w:r>
      <w:r w:rsidR="006959FD">
        <w:rPr>
          <w:sz w:val="17"/>
          <w:szCs w:val="17"/>
        </w:rPr>
        <w:t xml:space="preserve"> with Taxonomy alignment of 9.2%. </w:t>
      </w:r>
      <w:r w:rsidR="00E806E7">
        <w:rPr>
          <w:sz w:val="17"/>
          <w:szCs w:val="17"/>
        </w:rPr>
        <w:t xml:space="preserve"> </w:t>
      </w:r>
      <w:r w:rsidR="00751D46">
        <w:rPr>
          <w:sz w:val="17"/>
          <w:szCs w:val="17"/>
        </w:rPr>
        <w:t xml:space="preserve"> </w:t>
      </w:r>
    </w:p>
    <w:p w14:paraId="416CBB4D" w14:textId="77777777" w:rsidR="00776E27" w:rsidRPr="00C76B9C" w:rsidRDefault="00776E27" w:rsidP="7F76F4AE">
      <w:pPr>
        <w:pBdr>
          <w:top w:val="single" w:sz="4" w:space="1" w:color="auto"/>
          <w:left w:val="single" w:sz="4" w:space="4" w:color="auto"/>
          <w:bottom w:val="single" w:sz="4" w:space="1" w:color="auto"/>
          <w:right w:val="single" w:sz="4" w:space="4" w:color="auto"/>
        </w:pBdr>
        <w:rPr>
          <w:sz w:val="17"/>
          <w:szCs w:val="17"/>
        </w:rPr>
      </w:pPr>
    </w:p>
    <w:p w14:paraId="2259A455" w14:textId="181C9E5C" w:rsidR="00D85A93" w:rsidRPr="00C76B9C" w:rsidRDefault="00D85A93" w:rsidP="7F76F4AE">
      <w:pPr>
        <w:pBdr>
          <w:top w:val="single" w:sz="4" w:space="1" w:color="auto"/>
          <w:left w:val="single" w:sz="4" w:space="4" w:color="auto"/>
          <w:bottom w:val="single" w:sz="4" w:space="1" w:color="auto"/>
          <w:right w:val="single" w:sz="4" w:space="4" w:color="auto"/>
        </w:pBdr>
        <w:rPr>
          <w:sz w:val="17"/>
          <w:szCs w:val="17"/>
        </w:rPr>
      </w:pPr>
      <w:r w:rsidRPr="00C76B9C">
        <w:rPr>
          <w:sz w:val="17"/>
          <w:szCs w:val="17"/>
        </w:rPr>
        <w:t>In addition, artificially combining KPIs that follow different rationale is not meanin</w:t>
      </w:r>
      <w:r w:rsidR="0069666F" w:rsidRPr="00C76B9C">
        <w:rPr>
          <w:sz w:val="17"/>
          <w:szCs w:val="17"/>
        </w:rPr>
        <w:t>gful and will not bring any valuable information to investors; it will only add com</w:t>
      </w:r>
      <w:r w:rsidR="00D749A1" w:rsidRPr="00C76B9C">
        <w:rPr>
          <w:sz w:val="17"/>
          <w:szCs w:val="17"/>
        </w:rPr>
        <w:t>plexity and create confusion, instead.</w:t>
      </w:r>
    </w:p>
    <w:p w14:paraId="17F34C85" w14:textId="1D0D8770" w:rsidR="00D749A1" w:rsidRPr="00C76B9C" w:rsidRDefault="002B57C4" w:rsidP="7F76F4AE">
      <w:pPr>
        <w:pBdr>
          <w:top w:val="single" w:sz="4" w:space="1" w:color="auto"/>
          <w:left w:val="single" w:sz="4" w:space="4" w:color="auto"/>
          <w:bottom w:val="single" w:sz="4" w:space="1" w:color="auto"/>
          <w:right w:val="single" w:sz="4" w:space="4" w:color="auto"/>
        </w:pBdr>
        <w:rPr>
          <w:sz w:val="17"/>
          <w:szCs w:val="17"/>
        </w:rPr>
      </w:pPr>
      <w:r w:rsidRPr="00C76B9C">
        <w:rPr>
          <w:sz w:val="17"/>
          <w:szCs w:val="17"/>
        </w:rPr>
        <w:t xml:space="preserve">While </w:t>
      </w:r>
      <w:r w:rsidR="001325D6" w:rsidRPr="00C76B9C">
        <w:rPr>
          <w:sz w:val="17"/>
          <w:szCs w:val="17"/>
        </w:rPr>
        <w:t>the Disclosures Delegated Act makes no reference to aggregated group level KPI</w:t>
      </w:r>
      <w:r w:rsidR="00CE5FBE" w:rsidRPr="00C76B9C">
        <w:rPr>
          <w:sz w:val="17"/>
          <w:szCs w:val="17"/>
        </w:rPr>
        <w:t xml:space="preserve">s, the European Commission publishes new reporting requirement </w:t>
      </w:r>
      <w:r w:rsidR="001325D6" w:rsidRPr="00C76B9C">
        <w:rPr>
          <w:sz w:val="17"/>
          <w:szCs w:val="17"/>
        </w:rPr>
        <w:t>at such a late time in the process. As most financial groups have more than one business segment</w:t>
      </w:r>
      <w:r w:rsidR="00634D10" w:rsidRPr="00C76B9C">
        <w:rPr>
          <w:sz w:val="17"/>
          <w:szCs w:val="17"/>
        </w:rPr>
        <w:t>,</w:t>
      </w:r>
      <w:r w:rsidR="001325D6" w:rsidRPr="00C76B9C">
        <w:rPr>
          <w:sz w:val="17"/>
          <w:szCs w:val="17"/>
        </w:rPr>
        <w:t xml:space="preserve"> this additional reporting burden affects </w:t>
      </w:r>
      <w:r w:rsidR="00554731" w:rsidRPr="00C76B9C">
        <w:rPr>
          <w:sz w:val="17"/>
          <w:szCs w:val="17"/>
        </w:rPr>
        <w:t>m</w:t>
      </w:r>
      <w:r w:rsidR="00F71684" w:rsidRPr="00C76B9C">
        <w:rPr>
          <w:sz w:val="17"/>
          <w:szCs w:val="17"/>
        </w:rPr>
        <w:t xml:space="preserve">ost financial </w:t>
      </w:r>
      <w:r w:rsidR="00B84F14" w:rsidRPr="00C76B9C">
        <w:rPr>
          <w:sz w:val="17"/>
          <w:szCs w:val="17"/>
        </w:rPr>
        <w:t>groups</w:t>
      </w:r>
      <w:r w:rsidR="001325D6" w:rsidRPr="00C76B9C">
        <w:rPr>
          <w:sz w:val="17"/>
          <w:szCs w:val="17"/>
        </w:rPr>
        <w:t>.</w:t>
      </w:r>
    </w:p>
    <w:p w14:paraId="5C99BD46" w14:textId="77777777" w:rsidR="00996B5B" w:rsidRPr="00C76B9C" w:rsidRDefault="00996B5B" w:rsidP="00964527">
      <w:pPr>
        <w:rPr>
          <w:sz w:val="17"/>
          <w:szCs w:val="17"/>
        </w:rPr>
      </w:pPr>
    </w:p>
    <w:p w14:paraId="0288BC09" w14:textId="75EB6B61" w:rsidR="00D95FDE" w:rsidRPr="00C76B9C" w:rsidRDefault="00D95FDE" w:rsidP="00D95FDE">
      <w:pPr>
        <w:rPr>
          <w:i/>
          <w:sz w:val="17"/>
          <w:szCs w:val="17"/>
        </w:rPr>
      </w:pPr>
      <w:r w:rsidRPr="00825FC4">
        <w:rPr>
          <w:sz w:val="17"/>
          <w:szCs w:val="17"/>
          <w:u w:val="single"/>
        </w:rPr>
        <w:t>Question 4</w:t>
      </w:r>
      <w:r w:rsidRPr="00C76B9C">
        <w:rPr>
          <w:sz w:val="17"/>
          <w:szCs w:val="17"/>
        </w:rPr>
        <w:t xml:space="preserve">: </w:t>
      </w:r>
      <w:r w:rsidR="00E8051A" w:rsidRPr="00C76B9C">
        <w:rPr>
          <w:i/>
          <w:iCs/>
          <w:sz w:val="17"/>
          <w:szCs w:val="17"/>
        </w:rPr>
        <w:t>What KPI should a financial undertaking use to assess its exposure to another financial undertaking that reports one or more KPIs?</w:t>
      </w:r>
      <w:r w:rsidRPr="00C76B9C">
        <w:rPr>
          <w:sz w:val="17"/>
          <w:szCs w:val="17"/>
        </w:rPr>
        <w:t xml:space="preserve"> </w:t>
      </w:r>
      <w:r w:rsidRPr="00C76B9C">
        <w:rPr>
          <w:i/>
          <w:iCs/>
          <w:sz w:val="17"/>
          <w:szCs w:val="17"/>
        </w:rPr>
        <w:t>When computing exposures to an insurance or reinsurance undertaking, how should a financial undertaking combine investment and underwriting KPIs for the purpose of assessing that exposure?</w:t>
      </w:r>
    </w:p>
    <w:p w14:paraId="52A249AF" w14:textId="77777777" w:rsidR="00D95FDE" w:rsidRPr="00C76B9C" w:rsidRDefault="00D95FDE" w:rsidP="00D95FDE">
      <w:pPr>
        <w:rPr>
          <w:sz w:val="17"/>
          <w:szCs w:val="17"/>
        </w:rPr>
      </w:pPr>
    </w:p>
    <w:p w14:paraId="36F1A30E" w14:textId="48A41638" w:rsidR="00D95FDE" w:rsidRPr="00C76B9C" w:rsidRDefault="00D95FDE" w:rsidP="00D95FDE">
      <w:pPr>
        <w:rPr>
          <w:i/>
          <w:iCs/>
          <w:sz w:val="17"/>
          <w:szCs w:val="17"/>
        </w:rPr>
      </w:pPr>
      <w:r w:rsidRPr="00C76B9C">
        <w:rPr>
          <w:sz w:val="17"/>
          <w:szCs w:val="17"/>
        </w:rPr>
        <w:t xml:space="preserve">EC: </w:t>
      </w:r>
      <w:bookmarkStart w:id="0" w:name="_Hlk158198597"/>
      <w:r w:rsidR="00092DE7" w:rsidRPr="00C76B9C">
        <w:rPr>
          <w:i/>
          <w:iCs/>
          <w:sz w:val="17"/>
          <w:szCs w:val="17"/>
        </w:rPr>
        <w:t>Exposures to insurance and reinsurance undertakings</w:t>
      </w:r>
      <w:r w:rsidR="001C4466" w:rsidRPr="00C76B9C">
        <w:rPr>
          <w:i/>
          <w:iCs/>
          <w:sz w:val="17"/>
          <w:szCs w:val="17"/>
        </w:rPr>
        <w:t>.</w:t>
      </w:r>
      <w:r w:rsidRPr="00C76B9C">
        <w:rPr>
          <w:sz w:val="17"/>
          <w:szCs w:val="17"/>
        </w:rPr>
        <w:t xml:space="preserve"> </w:t>
      </w:r>
      <w:bookmarkEnd w:id="0"/>
      <w:r w:rsidRPr="00C76B9C">
        <w:rPr>
          <w:i/>
          <w:iCs/>
          <w:sz w:val="17"/>
          <w:szCs w:val="17"/>
        </w:rPr>
        <w:t xml:space="preserve">To comply with the last indent of Annex XI DDA, the insurance or reinsurance undertaking should disclose in its contextual information, a turnover-based KPI and </w:t>
      </w:r>
      <w:proofErr w:type="spellStart"/>
      <w:r w:rsidRPr="00C76B9C">
        <w:rPr>
          <w:i/>
          <w:iCs/>
          <w:sz w:val="17"/>
          <w:szCs w:val="17"/>
        </w:rPr>
        <w:t>CapEx</w:t>
      </w:r>
      <w:proofErr w:type="spellEnd"/>
      <w:r w:rsidRPr="00C76B9C">
        <w:rPr>
          <w:i/>
          <w:iCs/>
          <w:sz w:val="17"/>
          <w:szCs w:val="17"/>
        </w:rPr>
        <w:t>-based KPI that should be computed as follows:</w:t>
      </w:r>
    </w:p>
    <w:p w14:paraId="4F41E219" w14:textId="77777777" w:rsidR="00030E81" w:rsidRPr="00C76B9C" w:rsidRDefault="00030E81" w:rsidP="00D95FDE">
      <w:pPr>
        <w:rPr>
          <w:i/>
          <w:iCs/>
          <w:sz w:val="17"/>
          <w:szCs w:val="17"/>
        </w:rPr>
      </w:pPr>
    </w:p>
    <w:p w14:paraId="6F0930D1" w14:textId="0B0B6582" w:rsidR="00D95FDE" w:rsidRPr="00C76B9C" w:rsidRDefault="00D95FDE" w:rsidP="00E8051A">
      <w:pPr>
        <w:ind w:left="708"/>
        <w:rPr>
          <w:i/>
          <w:iCs/>
          <w:sz w:val="17"/>
          <w:szCs w:val="17"/>
        </w:rPr>
      </w:pPr>
      <w:r w:rsidRPr="00C76B9C">
        <w:rPr>
          <w:i/>
          <w:iCs/>
          <w:sz w:val="17"/>
          <w:szCs w:val="17"/>
        </w:rPr>
        <w:t>•</w:t>
      </w:r>
      <w:r w:rsidR="00124601" w:rsidRPr="00C76B9C">
        <w:rPr>
          <w:i/>
          <w:iCs/>
          <w:sz w:val="17"/>
          <w:szCs w:val="17"/>
        </w:rPr>
        <w:t xml:space="preserve"> </w:t>
      </w:r>
      <w:r w:rsidRPr="00C76B9C">
        <w:rPr>
          <w:i/>
          <w:iCs/>
          <w:sz w:val="17"/>
          <w:szCs w:val="17"/>
        </w:rPr>
        <w:t>the turnover-based KPI of the insurance or reinsurance undertaking should be computed as the weighted average of the turnover-based KPI on investments of the insurance or reinsurance undertaking and the KPI on non-life underwriting of the insurance or reinsurance underwriting with weightings in accordance with the proportion of revenue that the insurance or reinsurance undertaking derives from its investing activities and the proportion of revenue the insurance or reinsurance undertaking derives from its non-life underwriting activities in the total revenue of the insurance or reinsurance undertaking;</w:t>
      </w:r>
    </w:p>
    <w:p w14:paraId="2BD618AB" w14:textId="77777777" w:rsidR="00030E81" w:rsidRPr="00C76B9C" w:rsidRDefault="00030E81" w:rsidP="00E8051A">
      <w:pPr>
        <w:ind w:left="708"/>
        <w:rPr>
          <w:i/>
          <w:iCs/>
          <w:sz w:val="17"/>
          <w:szCs w:val="17"/>
        </w:rPr>
      </w:pPr>
    </w:p>
    <w:p w14:paraId="339305D4" w14:textId="5F71CD19" w:rsidR="00D95FDE" w:rsidRPr="00C76B9C" w:rsidRDefault="00D95FDE" w:rsidP="00E8051A">
      <w:pPr>
        <w:ind w:left="708"/>
        <w:rPr>
          <w:i/>
          <w:iCs/>
          <w:sz w:val="17"/>
          <w:szCs w:val="17"/>
        </w:rPr>
      </w:pPr>
      <w:r w:rsidRPr="00C76B9C">
        <w:rPr>
          <w:i/>
          <w:iCs/>
          <w:sz w:val="17"/>
          <w:szCs w:val="17"/>
        </w:rPr>
        <w:t>•</w:t>
      </w:r>
      <w:r w:rsidR="00124601" w:rsidRPr="00C76B9C">
        <w:rPr>
          <w:i/>
          <w:iCs/>
          <w:sz w:val="17"/>
          <w:szCs w:val="17"/>
        </w:rPr>
        <w:t xml:space="preserve"> </w:t>
      </w:r>
      <w:r w:rsidRPr="00C76B9C">
        <w:rPr>
          <w:i/>
          <w:iCs/>
          <w:sz w:val="17"/>
          <w:szCs w:val="17"/>
        </w:rPr>
        <w:t xml:space="preserve">the </w:t>
      </w:r>
      <w:proofErr w:type="spellStart"/>
      <w:r w:rsidRPr="00C76B9C">
        <w:rPr>
          <w:i/>
          <w:iCs/>
          <w:sz w:val="17"/>
          <w:szCs w:val="17"/>
        </w:rPr>
        <w:t>CapEx</w:t>
      </w:r>
      <w:proofErr w:type="spellEnd"/>
      <w:r w:rsidRPr="00C76B9C">
        <w:rPr>
          <w:i/>
          <w:iCs/>
          <w:sz w:val="17"/>
          <w:szCs w:val="17"/>
        </w:rPr>
        <w:t xml:space="preserve">-based KPI of the insurance or reinsurance undertaking should be computed as weighted average of the </w:t>
      </w:r>
      <w:proofErr w:type="spellStart"/>
      <w:r w:rsidRPr="00C76B9C">
        <w:rPr>
          <w:i/>
          <w:iCs/>
          <w:sz w:val="17"/>
          <w:szCs w:val="17"/>
        </w:rPr>
        <w:t>CapEx</w:t>
      </w:r>
      <w:proofErr w:type="spellEnd"/>
      <w:r w:rsidRPr="00C76B9C">
        <w:rPr>
          <w:i/>
          <w:iCs/>
          <w:sz w:val="17"/>
          <w:szCs w:val="17"/>
        </w:rPr>
        <w:t>-based KPI on investments of the insurance or reinsurance undertaking and of the KPI on non-life underwriting of the insurance or reinsurance underwriting with weightings in accordance with the proportion of revenue that the insurance or reinsurance undertaking derives from its investing activities and the proportion of revenue that the insurance or reinsurance undertaking derives from its non- life underwriting activities in the total revenue of the insurance or reinsurance undertaking</w:t>
      </w:r>
    </w:p>
    <w:p w14:paraId="25FFFE84" w14:textId="77777777" w:rsidR="00124601" w:rsidRPr="00C76B9C" w:rsidRDefault="00124601" w:rsidP="00124601">
      <w:pPr>
        <w:rPr>
          <w:sz w:val="17"/>
          <w:szCs w:val="17"/>
        </w:rPr>
      </w:pPr>
    </w:p>
    <w:p w14:paraId="2B9AD7FA" w14:textId="4444F1B1" w:rsidR="002B6815" w:rsidRPr="00C76B9C" w:rsidRDefault="002B6815" w:rsidP="00124601">
      <w:pPr>
        <w:rPr>
          <w:sz w:val="17"/>
          <w:szCs w:val="17"/>
        </w:rPr>
      </w:pPr>
      <w:r w:rsidRPr="00C76B9C">
        <w:rPr>
          <w:sz w:val="17"/>
          <w:szCs w:val="17"/>
        </w:rPr>
        <w:t xml:space="preserve">EC: </w:t>
      </w:r>
      <w:r w:rsidRPr="00C76B9C">
        <w:rPr>
          <w:i/>
          <w:iCs/>
          <w:sz w:val="17"/>
          <w:szCs w:val="17"/>
        </w:rPr>
        <w:t xml:space="preserve">Exposures to asset managers. Similarly, where the financial undertakings invest in or lend to an UCITS or AIF, the reporting financial undertakings should use, respectively, the turnover-based and </w:t>
      </w:r>
      <w:proofErr w:type="spellStart"/>
      <w:r w:rsidRPr="00C76B9C">
        <w:rPr>
          <w:i/>
          <w:iCs/>
          <w:sz w:val="17"/>
          <w:szCs w:val="17"/>
        </w:rPr>
        <w:t>CapEx</w:t>
      </w:r>
      <w:proofErr w:type="spellEnd"/>
      <w:r w:rsidRPr="00C76B9C">
        <w:rPr>
          <w:i/>
          <w:iCs/>
          <w:sz w:val="17"/>
          <w:szCs w:val="17"/>
        </w:rPr>
        <w:t>-based KPIs of the asset manager that manages that UCITS or AIF to compute their own KPIs.</w:t>
      </w:r>
    </w:p>
    <w:p w14:paraId="786DA1DD" w14:textId="77777777" w:rsidR="002B6815" w:rsidRPr="00C76B9C" w:rsidRDefault="002B6815" w:rsidP="00124601">
      <w:pPr>
        <w:rPr>
          <w:sz w:val="17"/>
          <w:szCs w:val="17"/>
        </w:rPr>
      </w:pPr>
    </w:p>
    <w:p w14:paraId="6CB9AFFA" w14:textId="69361DD1" w:rsidR="002B6815" w:rsidRPr="00825FC4" w:rsidRDefault="002B6815" w:rsidP="00026FE1">
      <w:pPr>
        <w:pBdr>
          <w:top w:val="single" w:sz="4" w:space="1" w:color="auto"/>
          <w:left w:val="single" w:sz="4" w:space="4" w:color="auto"/>
          <w:bottom w:val="single" w:sz="4" w:space="1" w:color="auto"/>
          <w:right w:val="single" w:sz="4" w:space="4" w:color="auto"/>
        </w:pBdr>
        <w:rPr>
          <w:sz w:val="17"/>
          <w:szCs w:val="17"/>
          <w:u w:val="single"/>
        </w:rPr>
      </w:pPr>
      <w:r w:rsidRPr="00825FC4">
        <w:rPr>
          <w:sz w:val="17"/>
          <w:szCs w:val="17"/>
          <w:u w:val="single"/>
        </w:rPr>
        <w:t>Exposures to insurance and reinsurance undertakings</w:t>
      </w:r>
    </w:p>
    <w:p w14:paraId="080B0358" w14:textId="1B38CA68" w:rsidR="00E14398" w:rsidRPr="00C76B9C" w:rsidRDefault="003A6E0F" w:rsidP="00026FE1">
      <w:pPr>
        <w:pBdr>
          <w:top w:val="single" w:sz="4" w:space="1" w:color="auto"/>
          <w:left w:val="single" w:sz="4" w:space="4" w:color="auto"/>
          <w:bottom w:val="single" w:sz="4" w:space="1" w:color="auto"/>
          <w:right w:val="single" w:sz="4" w:space="4" w:color="auto"/>
        </w:pBdr>
        <w:rPr>
          <w:sz w:val="17"/>
          <w:szCs w:val="17"/>
        </w:rPr>
      </w:pPr>
      <w:r w:rsidRPr="00C76B9C">
        <w:rPr>
          <w:sz w:val="17"/>
          <w:szCs w:val="17"/>
        </w:rPr>
        <w:t>Insurance Europe highlights that t</w:t>
      </w:r>
      <w:r w:rsidR="00381ECB" w:rsidRPr="00C76B9C">
        <w:rPr>
          <w:sz w:val="17"/>
          <w:szCs w:val="17"/>
        </w:rPr>
        <w:t>he answer provided goes beyond the requirement of the D</w:t>
      </w:r>
      <w:r w:rsidR="002E1CC2" w:rsidRPr="00C76B9C">
        <w:rPr>
          <w:sz w:val="17"/>
          <w:szCs w:val="17"/>
        </w:rPr>
        <w:t xml:space="preserve">isclosures </w:t>
      </w:r>
      <w:r w:rsidR="00381ECB" w:rsidRPr="00C76B9C">
        <w:rPr>
          <w:sz w:val="17"/>
          <w:szCs w:val="17"/>
        </w:rPr>
        <w:t>D</w:t>
      </w:r>
      <w:r w:rsidR="002E1CC2" w:rsidRPr="00C76B9C">
        <w:rPr>
          <w:sz w:val="17"/>
          <w:szCs w:val="17"/>
        </w:rPr>
        <w:t xml:space="preserve">elegated </w:t>
      </w:r>
      <w:r w:rsidR="00381ECB" w:rsidRPr="00C76B9C">
        <w:rPr>
          <w:sz w:val="17"/>
          <w:szCs w:val="17"/>
        </w:rPr>
        <w:t>A</w:t>
      </w:r>
      <w:r w:rsidR="002E1CC2" w:rsidRPr="00C76B9C">
        <w:rPr>
          <w:sz w:val="17"/>
          <w:szCs w:val="17"/>
        </w:rPr>
        <w:t>ct</w:t>
      </w:r>
      <w:r w:rsidR="00575800" w:rsidRPr="00C76B9C">
        <w:rPr>
          <w:sz w:val="17"/>
          <w:szCs w:val="17"/>
        </w:rPr>
        <w:t xml:space="preserve">. Indeed, </w:t>
      </w:r>
      <w:r w:rsidR="00381ECB" w:rsidRPr="00C76B9C">
        <w:rPr>
          <w:sz w:val="17"/>
          <w:szCs w:val="17"/>
        </w:rPr>
        <w:t xml:space="preserve">the last </w:t>
      </w:r>
      <w:r w:rsidR="005A33A0" w:rsidRPr="00C76B9C">
        <w:rPr>
          <w:sz w:val="17"/>
          <w:szCs w:val="17"/>
        </w:rPr>
        <w:t xml:space="preserve">point </w:t>
      </w:r>
      <w:r w:rsidR="00381ECB" w:rsidRPr="00C76B9C">
        <w:rPr>
          <w:sz w:val="17"/>
          <w:szCs w:val="17"/>
        </w:rPr>
        <w:t xml:space="preserve">of Annex XI states that disclosure of quantitative KPIs shall be accompanied by the following qualitative information: </w:t>
      </w:r>
      <w:r w:rsidR="00381ECB" w:rsidRPr="00C76B9C">
        <w:rPr>
          <w:i/>
          <w:iCs/>
          <w:sz w:val="17"/>
          <w:szCs w:val="17"/>
        </w:rPr>
        <w:t>additional or complementary information in support of the financial undertaking’s strategies and the weight of the financing of Taxonomy-aligned economic activities in their overall activity</w:t>
      </w:r>
      <w:r w:rsidR="00381ECB" w:rsidRPr="00C76B9C">
        <w:rPr>
          <w:sz w:val="17"/>
          <w:szCs w:val="17"/>
        </w:rPr>
        <w:t xml:space="preserve">. </w:t>
      </w:r>
      <w:r w:rsidR="00575800" w:rsidRPr="00C76B9C">
        <w:rPr>
          <w:sz w:val="17"/>
          <w:szCs w:val="17"/>
        </w:rPr>
        <w:t xml:space="preserve">Hence, it </w:t>
      </w:r>
      <w:r w:rsidR="00381ECB" w:rsidRPr="00C76B9C">
        <w:rPr>
          <w:sz w:val="17"/>
          <w:szCs w:val="17"/>
        </w:rPr>
        <w:t>does</w:t>
      </w:r>
      <w:r w:rsidR="00575800" w:rsidRPr="00C76B9C">
        <w:rPr>
          <w:sz w:val="17"/>
          <w:szCs w:val="17"/>
        </w:rPr>
        <w:t xml:space="preserve"> </w:t>
      </w:r>
      <w:r w:rsidR="00381ECB" w:rsidRPr="00C76B9C">
        <w:rPr>
          <w:sz w:val="17"/>
          <w:szCs w:val="17"/>
        </w:rPr>
        <w:t>n</w:t>
      </w:r>
      <w:r w:rsidR="00575800" w:rsidRPr="00C76B9C">
        <w:rPr>
          <w:sz w:val="17"/>
          <w:szCs w:val="17"/>
        </w:rPr>
        <w:t>o</w:t>
      </w:r>
      <w:r w:rsidR="00381ECB" w:rsidRPr="00C76B9C">
        <w:rPr>
          <w:sz w:val="17"/>
          <w:szCs w:val="17"/>
        </w:rPr>
        <w:t xml:space="preserve">t require the publication of a complementary quantitative KPI. </w:t>
      </w:r>
    </w:p>
    <w:p w14:paraId="7428A1F6" w14:textId="77777777" w:rsidR="00E14398" w:rsidRPr="00C76B9C" w:rsidRDefault="00E14398" w:rsidP="00026FE1">
      <w:pPr>
        <w:pBdr>
          <w:top w:val="single" w:sz="4" w:space="1" w:color="auto"/>
          <w:left w:val="single" w:sz="4" w:space="4" w:color="auto"/>
          <w:bottom w:val="single" w:sz="4" w:space="1" w:color="auto"/>
          <w:right w:val="single" w:sz="4" w:space="4" w:color="auto"/>
        </w:pBdr>
        <w:rPr>
          <w:sz w:val="17"/>
          <w:szCs w:val="17"/>
        </w:rPr>
      </w:pPr>
    </w:p>
    <w:p w14:paraId="31091806" w14:textId="740B64D8" w:rsidR="00026FE1" w:rsidRPr="00C76B9C" w:rsidRDefault="00E14398" w:rsidP="00026FE1">
      <w:pPr>
        <w:pBdr>
          <w:top w:val="single" w:sz="4" w:space="1" w:color="auto"/>
          <w:left w:val="single" w:sz="4" w:space="4" w:color="auto"/>
          <w:bottom w:val="single" w:sz="4" w:space="1" w:color="auto"/>
          <w:right w:val="single" w:sz="4" w:space="4" w:color="auto"/>
        </w:pBdr>
        <w:rPr>
          <w:sz w:val="17"/>
          <w:szCs w:val="17"/>
        </w:rPr>
      </w:pPr>
      <w:r w:rsidRPr="00C76B9C">
        <w:rPr>
          <w:sz w:val="17"/>
          <w:szCs w:val="17"/>
        </w:rPr>
        <w:lastRenderedPageBreak/>
        <w:t>C</w:t>
      </w:r>
      <w:r w:rsidR="00381ECB" w:rsidRPr="00C76B9C">
        <w:rPr>
          <w:sz w:val="17"/>
          <w:szCs w:val="17"/>
        </w:rPr>
        <w:t>ompanies should report the weight of financing</w:t>
      </w:r>
      <w:r w:rsidR="00B919B2" w:rsidRPr="00C76B9C">
        <w:rPr>
          <w:sz w:val="17"/>
          <w:szCs w:val="17"/>
        </w:rPr>
        <w:t xml:space="preserve"> </w:t>
      </w:r>
      <w:r w:rsidR="00381ECB" w:rsidRPr="00C76B9C">
        <w:rPr>
          <w:sz w:val="17"/>
          <w:szCs w:val="17"/>
        </w:rPr>
        <w:t>taxonomy-aligned economic activities</w:t>
      </w:r>
      <w:r w:rsidR="00B919B2" w:rsidRPr="00C76B9C">
        <w:rPr>
          <w:sz w:val="17"/>
          <w:szCs w:val="17"/>
        </w:rPr>
        <w:t xml:space="preserve">, but </w:t>
      </w:r>
      <w:r w:rsidR="00381ECB" w:rsidRPr="00C76B9C">
        <w:rPr>
          <w:sz w:val="17"/>
          <w:szCs w:val="17"/>
        </w:rPr>
        <w:t>the underwriting KPI is not related to financing of activities and is not covered by this provision.</w:t>
      </w:r>
      <w:r w:rsidR="003D6F50" w:rsidRPr="00C76B9C">
        <w:rPr>
          <w:sz w:val="17"/>
          <w:szCs w:val="17"/>
        </w:rPr>
        <w:t xml:space="preserve"> </w:t>
      </w:r>
      <w:r w:rsidR="0020474A" w:rsidRPr="00C76B9C">
        <w:rPr>
          <w:sz w:val="17"/>
          <w:szCs w:val="17"/>
        </w:rPr>
        <w:t>C</w:t>
      </w:r>
      <w:r w:rsidR="00026FE1" w:rsidRPr="00C76B9C">
        <w:rPr>
          <w:sz w:val="17"/>
          <w:szCs w:val="17"/>
        </w:rPr>
        <w:t xml:space="preserve">reating a new KPI that combines insurers’ investment and underwriting KPI </w:t>
      </w:r>
      <w:r w:rsidR="0015675D" w:rsidRPr="00C76B9C">
        <w:rPr>
          <w:sz w:val="17"/>
          <w:szCs w:val="17"/>
        </w:rPr>
        <w:t xml:space="preserve">is </w:t>
      </w:r>
      <w:r w:rsidR="00026FE1" w:rsidRPr="00C76B9C">
        <w:rPr>
          <w:sz w:val="17"/>
          <w:szCs w:val="17"/>
        </w:rPr>
        <w:t xml:space="preserve">not </w:t>
      </w:r>
      <w:r w:rsidR="0015675D" w:rsidRPr="00C76B9C">
        <w:rPr>
          <w:sz w:val="17"/>
          <w:szCs w:val="17"/>
        </w:rPr>
        <w:t xml:space="preserve">meaningful because </w:t>
      </w:r>
      <w:r w:rsidR="00026FE1" w:rsidRPr="00C76B9C">
        <w:rPr>
          <w:sz w:val="17"/>
          <w:szCs w:val="17"/>
        </w:rPr>
        <w:t xml:space="preserve">the two KPIs </w:t>
      </w:r>
      <w:r w:rsidR="0015675D" w:rsidRPr="00C76B9C">
        <w:rPr>
          <w:sz w:val="17"/>
          <w:szCs w:val="17"/>
        </w:rPr>
        <w:t xml:space="preserve">have </w:t>
      </w:r>
      <w:r w:rsidR="00026FE1" w:rsidRPr="00C76B9C">
        <w:rPr>
          <w:sz w:val="17"/>
          <w:szCs w:val="17"/>
        </w:rPr>
        <w:t>different rationale:</w:t>
      </w:r>
    </w:p>
    <w:p w14:paraId="3D0F91AA" w14:textId="48D6DF2E" w:rsidR="0020474A" w:rsidRPr="00C76B9C" w:rsidRDefault="0020474A" w:rsidP="00026FE1">
      <w:pPr>
        <w:pBdr>
          <w:top w:val="single" w:sz="4" w:space="1" w:color="auto"/>
          <w:left w:val="single" w:sz="4" w:space="4" w:color="auto"/>
          <w:bottom w:val="single" w:sz="4" w:space="1" w:color="auto"/>
          <w:right w:val="single" w:sz="4" w:space="4" w:color="auto"/>
        </w:pBdr>
        <w:rPr>
          <w:sz w:val="17"/>
          <w:szCs w:val="17"/>
        </w:rPr>
      </w:pPr>
      <w:r w:rsidRPr="00C76B9C">
        <w:rPr>
          <w:sz w:val="17"/>
          <w:szCs w:val="17"/>
        </w:rPr>
        <w:t>- the investment KPI aims at showing the portion of investments that is allocated towards taxonomy-aligned economic activities. It shows how the insurer contributes to shifting capital towards more sustainable activities.</w:t>
      </w:r>
    </w:p>
    <w:p w14:paraId="076E6263" w14:textId="32EA2939" w:rsidR="0020474A" w:rsidRPr="00C76B9C" w:rsidRDefault="0020474A" w:rsidP="00026FE1">
      <w:pPr>
        <w:pBdr>
          <w:top w:val="single" w:sz="4" w:space="1" w:color="auto"/>
          <w:left w:val="single" w:sz="4" w:space="4" w:color="auto"/>
          <w:bottom w:val="single" w:sz="4" w:space="1" w:color="auto"/>
          <w:right w:val="single" w:sz="4" w:space="4" w:color="auto"/>
        </w:pBdr>
        <w:rPr>
          <w:sz w:val="17"/>
          <w:szCs w:val="17"/>
        </w:rPr>
      </w:pPr>
      <w:r w:rsidRPr="00C76B9C">
        <w:rPr>
          <w:sz w:val="17"/>
          <w:szCs w:val="17"/>
        </w:rPr>
        <w:t>- the underwriting KPI aims at showing to what extent the insurer contributes to adaptation objective through its non-life activities.</w:t>
      </w:r>
    </w:p>
    <w:p w14:paraId="62AE2B77" w14:textId="77777777" w:rsidR="00434FAA" w:rsidRPr="00C76B9C" w:rsidRDefault="00434FAA" w:rsidP="00026FE1">
      <w:pPr>
        <w:pBdr>
          <w:top w:val="single" w:sz="4" w:space="1" w:color="auto"/>
          <w:left w:val="single" w:sz="4" w:space="4" w:color="auto"/>
          <w:bottom w:val="single" w:sz="4" w:space="1" w:color="auto"/>
          <w:right w:val="single" w:sz="4" w:space="4" w:color="auto"/>
        </w:pBdr>
        <w:rPr>
          <w:sz w:val="17"/>
          <w:szCs w:val="17"/>
        </w:rPr>
      </w:pPr>
    </w:p>
    <w:p w14:paraId="6D6002D7" w14:textId="3DE14CD6" w:rsidR="00434FAA" w:rsidRPr="00C76B9C" w:rsidRDefault="002E1CC2" w:rsidP="00026FE1">
      <w:pPr>
        <w:pBdr>
          <w:top w:val="single" w:sz="4" w:space="1" w:color="auto"/>
          <w:left w:val="single" w:sz="4" w:space="4" w:color="auto"/>
          <w:bottom w:val="single" w:sz="4" w:space="1" w:color="auto"/>
          <w:right w:val="single" w:sz="4" w:space="4" w:color="auto"/>
        </w:pBdr>
        <w:rPr>
          <w:sz w:val="17"/>
          <w:szCs w:val="17"/>
        </w:rPr>
      </w:pPr>
      <w:r w:rsidRPr="00C76B9C">
        <w:rPr>
          <w:sz w:val="17"/>
          <w:szCs w:val="17"/>
        </w:rPr>
        <w:t xml:space="preserve">Insurance Europe </w:t>
      </w:r>
      <w:r w:rsidR="009923B3" w:rsidRPr="00C76B9C">
        <w:rPr>
          <w:sz w:val="17"/>
          <w:szCs w:val="17"/>
        </w:rPr>
        <w:t xml:space="preserve">also </w:t>
      </w:r>
      <w:r w:rsidRPr="00C76B9C">
        <w:rPr>
          <w:sz w:val="17"/>
          <w:szCs w:val="17"/>
        </w:rPr>
        <w:t>highlights that the Disclosures Delegated Act</w:t>
      </w:r>
      <w:r w:rsidR="009923B3" w:rsidRPr="00C76B9C">
        <w:rPr>
          <w:sz w:val="17"/>
          <w:szCs w:val="17"/>
        </w:rPr>
        <w:t xml:space="preserve"> </w:t>
      </w:r>
      <w:r w:rsidRPr="00C76B9C">
        <w:rPr>
          <w:sz w:val="17"/>
          <w:szCs w:val="17"/>
        </w:rPr>
        <w:t xml:space="preserve">makes no reference for insurers to compute synthetic KPIs (the obligation lies upon the investor), </w:t>
      </w:r>
      <w:r w:rsidR="00F46956" w:rsidRPr="00C76B9C">
        <w:rPr>
          <w:sz w:val="17"/>
          <w:szCs w:val="17"/>
        </w:rPr>
        <w:t xml:space="preserve">and </w:t>
      </w:r>
      <w:r w:rsidRPr="00C76B9C">
        <w:rPr>
          <w:sz w:val="17"/>
          <w:szCs w:val="17"/>
        </w:rPr>
        <w:t xml:space="preserve">clear methodology on how to carry out the weighing based on revenues is </w:t>
      </w:r>
      <w:r w:rsidR="003E76AE" w:rsidRPr="00C76B9C">
        <w:rPr>
          <w:sz w:val="17"/>
          <w:szCs w:val="17"/>
        </w:rPr>
        <w:t xml:space="preserve">not </w:t>
      </w:r>
      <w:r w:rsidRPr="00C76B9C">
        <w:rPr>
          <w:sz w:val="17"/>
          <w:szCs w:val="17"/>
        </w:rPr>
        <w:t>provided to issuers.</w:t>
      </w:r>
    </w:p>
    <w:p w14:paraId="6861F54F" w14:textId="77777777" w:rsidR="003E76AE" w:rsidRPr="00C76B9C" w:rsidRDefault="003E76AE" w:rsidP="00026FE1">
      <w:pPr>
        <w:pBdr>
          <w:top w:val="single" w:sz="4" w:space="1" w:color="auto"/>
          <w:left w:val="single" w:sz="4" w:space="4" w:color="auto"/>
          <w:bottom w:val="single" w:sz="4" w:space="1" w:color="auto"/>
          <w:right w:val="single" w:sz="4" w:space="4" w:color="auto"/>
        </w:pBdr>
        <w:rPr>
          <w:sz w:val="17"/>
          <w:szCs w:val="17"/>
        </w:rPr>
      </w:pPr>
    </w:p>
    <w:p w14:paraId="0BE3CDEA" w14:textId="11AB4A93" w:rsidR="00664248" w:rsidRPr="00825FC4" w:rsidRDefault="00664248" w:rsidP="00026FE1">
      <w:pPr>
        <w:pBdr>
          <w:top w:val="single" w:sz="4" w:space="1" w:color="auto"/>
          <w:left w:val="single" w:sz="4" w:space="4" w:color="auto"/>
          <w:bottom w:val="single" w:sz="4" w:space="1" w:color="auto"/>
          <w:right w:val="single" w:sz="4" w:space="4" w:color="auto"/>
        </w:pBdr>
        <w:rPr>
          <w:sz w:val="17"/>
          <w:szCs w:val="17"/>
          <w:u w:val="single"/>
        </w:rPr>
      </w:pPr>
      <w:r w:rsidRPr="00825FC4">
        <w:rPr>
          <w:sz w:val="17"/>
          <w:szCs w:val="17"/>
          <w:u w:val="single"/>
        </w:rPr>
        <w:t>Exposures to asset managers</w:t>
      </w:r>
    </w:p>
    <w:p w14:paraId="6145900D" w14:textId="629210CB" w:rsidR="00664248" w:rsidRPr="00C76B9C" w:rsidRDefault="00664248" w:rsidP="00026FE1">
      <w:pPr>
        <w:pBdr>
          <w:top w:val="single" w:sz="4" w:space="1" w:color="auto"/>
          <w:left w:val="single" w:sz="4" w:space="4" w:color="auto"/>
          <w:bottom w:val="single" w:sz="4" w:space="1" w:color="auto"/>
          <w:right w:val="single" w:sz="4" w:space="4" w:color="auto"/>
        </w:pBdr>
        <w:rPr>
          <w:sz w:val="17"/>
          <w:szCs w:val="17"/>
        </w:rPr>
      </w:pPr>
      <w:r w:rsidRPr="00C76B9C">
        <w:rPr>
          <w:sz w:val="17"/>
          <w:szCs w:val="17"/>
        </w:rPr>
        <w:t xml:space="preserve">Investors should be able to rely on the Taxonomy-KPI reported for the respective UCITS or AIF. The current wording indicates that instead the turnover-based and </w:t>
      </w:r>
      <w:proofErr w:type="spellStart"/>
      <w:r w:rsidRPr="00C76B9C">
        <w:rPr>
          <w:sz w:val="17"/>
          <w:szCs w:val="17"/>
        </w:rPr>
        <w:t>CapEx</w:t>
      </w:r>
      <w:proofErr w:type="spellEnd"/>
      <w:r w:rsidRPr="00C76B9C">
        <w:rPr>
          <w:sz w:val="17"/>
          <w:szCs w:val="17"/>
        </w:rPr>
        <w:t xml:space="preserve">-based KPIs of the asset manager that manages that UCITS or AIF is relevant to compute their own KPIs. </w:t>
      </w:r>
      <w:r w:rsidR="000A3CB2" w:rsidRPr="00C76B9C">
        <w:rPr>
          <w:sz w:val="17"/>
          <w:szCs w:val="17"/>
        </w:rPr>
        <w:t xml:space="preserve">However, </w:t>
      </w:r>
      <w:r w:rsidRPr="00C76B9C">
        <w:rPr>
          <w:sz w:val="17"/>
          <w:szCs w:val="17"/>
        </w:rPr>
        <w:t>investing in or lending to an UCITS or AIF does</w:t>
      </w:r>
      <w:r w:rsidR="00BC52DC" w:rsidRPr="00C76B9C">
        <w:rPr>
          <w:sz w:val="17"/>
          <w:szCs w:val="17"/>
        </w:rPr>
        <w:t xml:space="preserve"> </w:t>
      </w:r>
      <w:r w:rsidRPr="00C76B9C">
        <w:rPr>
          <w:sz w:val="17"/>
          <w:szCs w:val="17"/>
        </w:rPr>
        <w:t>n</w:t>
      </w:r>
      <w:r w:rsidR="00BC52DC" w:rsidRPr="00C76B9C">
        <w:rPr>
          <w:sz w:val="17"/>
          <w:szCs w:val="17"/>
        </w:rPr>
        <w:t>o</w:t>
      </w:r>
      <w:r w:rsidRPr="00C76B9C">
        <w:rPr>
          <w:sz w:val="17"/>
          <w:szCs w:val="17"/>
        </w:rPr>
        <w:t>t mean to invest in the asset manager, but in the respective fund. Furthermore, annex IX to the Delegated Regulation 2021/2178 defines investments, among others, as investments in collective investment undertakings.</w:t>
      </w:r>
    </w:p>
    <w:p w14:paraId="06193F0F" w14:textId="1FCF3AE0" w:rsidR="00124601" w:rsidRPr="00C76B9C" w:rsidRDefault="00124601" w:rsidP="00124601">
      <w:pPr>
        <w:rPr>
          <w:sz w:val="17"/>
          <w:szCs w:val="17"/>
        </w:rPr>
      </w:pPr>
    </w:p>
    <w:p w14:paraId="2A5FDADC" w14:textId="77777777" w:rsidR="007B5942" w:rsidRPr="00C76B9C" w:rsidRDefault="007B5942" w:rsidP="007B5942">
      <w:pPr>
        <w:rPr>
          <w:i/>
          <w:iCs/>
          <w:sz w:val="17"/>
          <w:szCs w:val="17"/>
          <w:lang w:val="en-US"/>
        </w:rPr>
      </w:pPr>
      <w:r w:rsidRPr="00C76B9C">
        <w:rPr>
          <w:sz w:val="17"/>
          <w:szCs w:val="17"/>
          <w:u w:val="single"/>
          <w:lang w:val="en-US"/>
        </w:rPr>
        <w:t>Question 43</w:t>
      </w:r>
      <w:r w:rsidRPr="00C76B9C">
        <w:rPr>
          <w:sz w:val="17"/>
          <w:szCs w:val="17"/>
          <w:lang w:val="en-US"/>
        </w:rPr>
        <w:t>:</w:t>
      </w:r>
      <w:r w:rsidRPr="00C76B9C">
        <w:rPr>
          <w:i/>
          <w:iCs/>
          <w:sz w:val="17"/>
          <w:szCs w:val="17"/>
          <w:lang w:val="en-US"/>
        </w:rPr>
        <w:t xml:space="preserve"> For the asset under management (</w:t>
      </w:r>
      <w:proofErr w:type="spellStart"/>
      <w:r w:rsidRPr="00C76B9C">
        <w:rPr>
          <w:i/>
          <w:iCs/>
          <w:sz w:val="17"/>
          <w:szCs w:val="17"/>
          <w:lang w:val="en-US"/>
        </w:rPr>
        <w:t>AuM</w:t>
      </w:r>
      <w:proofErr w:type="spellEnd"/>
      <w:r w:rsidRPr="00C76B9C">
        <w:rPr>
          <w:i/>
          <w:iCs/>
          <w:sz w:val="17"/>
          <w:szCs w:val="17"/>
          <w:lang w:val="en-US"/>
        </w:rPr>
        <w:t>) KPI, who is responsible for assessing Taxonomy alignment</w:t>
      </w:r>
    </w:p>
    <w:p w14:paraId="3A5BE364" w14:textId="77777777" w:rsidR="007B5942" w:rsidRPr="00C76B9C" w:rsidRDefault="007B5942" w:rsidP="007B5942">
      <w:pPr>
        <w:rPr>
          <w:i/>
          <w:iCs/>
          <w:sz w:val="17"/>
          <w:szCs w:val="17"/>
          <w:lang w:val="en-US"/>
        </w:rPr>
      </w:pPr>
      <w:r w:rsidRPr="00C76B9C">
        <w:rPr>
          <w:i/>
          <w:iCs/>
          <w:sz w:val="17"/>
          <w:szCs w:val="17"/>
          <w:lang w:val="en-US"/>
        </w:rPr>
        <w:t>of a UCITS or AIF? Can credit institutions source the information from the asset manager or is the credit institution expected to do so?</w:t>
      </w:r>
    </w:p>
    <w:p w14:paraId="722F5961" w14:textId="77777777" w:rsidR="007B5942" w:rsidRPr="00C76B9C" w:rsidRDefault="007B5942" w:rsidP="007B5942">
      <w:pPr>
        <w:rPr>
          <w:i/>
          <w:iCs/>
          <w:sz w:val="17"/>
          <w:szCs w:val="17"/>
          <w:lang w:val="en-US"/>
        </w:rPr>
      </w:pPr>
    </w:p>
    <w:p w14:paraId="1D84C737" w14:textId="77777777" w:rsidR="007B5942" w:rsidRPr="00C76B9C" w:rsidRDefault="007B5942" w:rsidP="007B5942">
      <w:pPr>
        <w:rPr>
          <w:i/>
          <w:iCs/>
          <w:sz w:val="17"/>
          <w:szCs w:val="17"/>
          <w:lang w:val="en-US"/>
        </w:rPr>
      </w:pPr>
      <w:r w:rsidRPr="00C76B9C">
        <w:rPr>
          <w:sz w:val="17"/>
          <w:szCs w:val="17"/>
          <w:lang w:val="en-US"/>
        </w:rPr>
        <w:t>EC:</w:t>
      </w:r>
      <w:r w:rsidRPr="00C76B9C">
        <w:rPr>
          <w:i/>
          <w:iCs/>
          <w:sz w:val="17"/>
          <w:szCs w:val="17"/>
          <w:lang w:val="en-US"/>
        </w:rPr>
        <w:t xml:space="preserve"> In accordance with Section 1.2. of Annex III DDA, the denominator of the KPI of asset managers are "all assets/exposures resulting from both collective and individual portfolio management activities of asset managers". Asset managers are therefore responsible for assessing Taxonomy alignment of UCITS and AIFs for which they act as management companies in accordance with Directive 2009/65/EC and Directive 2011/61/EU, respectively, and of portfolios for which they provide individual portfolio management activities. Asset managers are not responsible for assessing Taxonomy-alignment of assets for which the portfolio management has been delegated to them by another financial undertaking. As explained in question 37 of this Notice, assets where the </w:t>
      </w:r>
      <w:proofErr w:type="spellStart"/>
      <w:r w:rsidRPr="00C76B9C">
        <w:rPr>
          <w:i/>
          <w:iCs/>
          <w:sz w:val="17"/>
          <w:szCs w:val="17"/>
          <w:lang w:val="en-US"/>
        </w:rPr>
        <w:t>delegatee</w:t>
      </w:r>
      <w:proofErr w:type="spellEnd"/>
      <w:r w:rsidRPr="00C76B9C">
        <w:rPr>
          <w:i/>
          <w:iCs/>
          <w:sz w:val="17"/>
          <w:szCs w:val="17"/>
          <w:lang w:val="en-US"/>
        </w:rPr>
        <w:t xml:space="preserve"> provides portfolio management services should not be assessed in the KPI of the </w:t>
      </w:r>
      <w:proofErr w:type="spellStart"/>
      <w:r w:rsidRPr="00C76B9C">
        <w:rPr>
          <w:i/>
          <w:iCs/>
          <w:sz w:val="17"/>
          <w:szCs w:val="17"/>
          <w:lang w:val="en-US"/>
        </w:rPr>
        <w:t>delegatee</w:t>
      </w:r>
      <w:proofErr w:type="spellEnd"/>
      <w:r w:rsidRPr="00C76B9C">
        <w:rPr>
          <w:i/>
          <w:iCs/>
          <w:sz w:val="17"/>
          <w:szCs w:val="17"/>
          <w:lang w:val="en-US"/>
        </w:rPr>
        <w:t xml:space="preserve"> but in the KPI of the delegator.</w:t>
      </w:r>
    </w:p>
    <w:p w14:paraId="09DB4EE4" w14:textId="77777777" w:rsidR="007B5942" w:rsidRPr="00C76B9C" w:rsidRDefault="007B5942" w:rsidP="007B5942">
      <w:pPr>
        <w:rPr>
          <w:i/>
          <w:iCs/>
          <w:sz w:val="17"/>
          <w:szCs w:val="17"/>
          <w:lang w:val="en-US"/>
        </w:rPr>
      </w:pPr>
    </w:p>
    <w:p w14:paraId="3D6E465D" w14:textId="77777777" w:rsidR="007B5942" w:rsidRPr="00825FC4" w:rsidRDefault="007B5942" w:rsidP="007B5942">
      <w:pPr>
        <w:pBdr>
          <w:top w:val="single" w:sz="4" w:space="1" w:color="auto"/>
          <w:left w:val="single" w:sz="4" w:space="4" w:color="auto"/>
          <w:bottom w:val="single" w:sz="4" w:space="1" w:color="auto"/>
          <w:right w:val="single" w:sz="4" w:space="4" w:color="auto"/>
        </w:pBdr>
        <w:rPr>
          <w:sz w:val="17"/>
          <w:szCs w:val="17"/>
          <w:lang w:val="en-US"/>
        </w:rPr>
      </w:pPr>
      <w:r w:rsidRPr="00C76B9C">
        <w:rPr>
          <w:sz w:val="17"/>
          <w:szCs w:val="17"/>
        </w:rPr>
        <w:t>Insurance Europe highlights incoherence with question 4, which requires to use the asset manager’s Taxonomy KPIs instead of the fund’s Taxonomy KPIs.</w:t>
      </w:r>
    </w:p>
    <w:p w14:paraId="5CAB5371" w14:textId="77777777" w:rsidR="009B1AC1" w:rsidRPr="00C76B9C" w:rsidRDefault="009B1AC1" w:rsidP="00124601">
      <w:pPr>
        <w:rPr>
          <w:sz w:val="17"/>
          <w:szCs w:val="17"/>
        </w:rPr>
      </w:pPr>
    </w:p>
    <w:p w14:paraId="63C5CFCF" w14:textId="7374E756" w:rsidR="00D02594" w:rsidRPr="00C76B9C" w:rsidRDefault="00D02594" w:rsidP="00D02594">
      <w:pPr>
        <w:rPr>
          <w:i/>
          <w:iCs/>
          <w:sz w:val="17"/>
          <w:szCs w:val="17"/>
        </w:rPr>
      </w:pPr>
      <w:r w:rsidRPr="00825FC4">
        <w:rPr>
          <w:sz w:val="17"/>
          <w:szCs w:val="17"/>
          <w:u w:val="single"/>
        </w:rPr>
        <w:t>Question 8</w:t>
      </w:r>
      <w:r w:rsidRPr="00C76B9C">
        <w:rPr>
          <w:sz w:val="17"/>
          <w:szCs w:val="17"/>
        </w:rPr>
        <w:t xml:space="preserve">: </w:t>
      </w:r>
      <w:r w:rsidRPr="00C76B9C">
        <w:rPr>
          <w:i/>
          <w:iCs/>
          <w:sz w:val="17"/>
          <w:szCs w:val="17"/>
        </w:rPr>
        <w:t>How should the reporting apply for a reporting parent undertaking with multiple subsidiaries of which (</w:t>
      </w:r>
      <w:proofErr w:type="spellStart"/>
      <w:r w:rsidRPr="00C76B9C">
        <w:rPr>
          <w:i/>
          <w:iCs/>
          <w:sz w:val="17"/>
          <w:szCs w:val="17"/>
        </w:rPr>
        <w:t>i</w:t>
      </w:r>
      <w:proofErr w:type="spellEnd"/>
      <w:r w:rsidRPr="00C76B9C">
        <w:rPr>
          <w:i/>
          <w:iCs/>
          <w:sz w:val="17"/>
          <w:szCs w:val="17"/>
        </w:rPr>
        <w:t>) some are subject to Articles 19a or 29a of the Accounting Directive, but make use of the exemption from reporting sustainability information, and (ii) others are not subject to Articles 19a or 29a of the Accounting Directive</w:t>
      </w:r>
      <w:r w:rsidR="00AA6383" w:rsidRPr="00C76B9C">
        <w:rPr>
          <w:i/>
          <w:iCs/>
          <w:sz w:val="17"/>
          <w:szCs w:val="17"/>
        </w:rPr>
        <w:t>?</w:t>
      </w:r>
    </w:p>
    <w:p w14:paraId="36C229A4" w14:textId="77777777" w:rsidR="00D02594" w:rsidRPr="00C76B9C" w:rsidRDefault="00D02594" w:rsidP="00D02594">
      <w:pPr>
        <w:rPr>
          <w:sz w:val="17"/>
          <w:szCs w:val="17"/>
        </w:rPr>
      </w:pPr>
    </w:p>
    <w:p w14:paraId="51C45291" w14:textId="31EF08C2" w:rsidR="00D02594" w:rsidRPr="00C76B9C" w:rsidRDefault="00D02594" w:rsidP="00D02594">
      <w:pPr>
        <w:rPr>
          <w:i/>
          <w:iCs/>
          <w:sz w:val="17"/>
          <w:szCs w:val="17"/>
        </w:rPr>
      </w:pPr>
      <w:r w:rsidRPr="00C76B9C">
        <w:rPr>
          <w:sz w:val="17"/>
          <w:szCs w:val="17"/>
        </w:rPr>
        <w:t xml:space="preserve">EC: </w:t>
      </w:r>
      <w:r w:rsidR="000E48AD" w:rsidRPr="00C76B9C">
        <w:rPr>
          <w:i/>
          <w:iCs/>
          <w:sz w:val="17"/>
          <w:szCs w:val="17"/>
        </w:rPr>
        <w:t>As set out in question 7 of this Notice, reporting parent undertakings should include in their consolidated Taxonomy disclosures all subsidiaries from their group, including those that make use of the exemption from reporting sustainability information under Article 29</w:t>
      </w:r>
      <w:proofErr w:type="gramStart"/>
      <w:r w:rsidR="000E48AD" w:rsidRPr="00C76B9C">
        <w:rPr>
          <w:i/>
          <w:iCs/>
          <w:sz w:val="17"/>
          <w:szCs w:val="17"/>
        </w:rPr>
        <w:t>a(</w:t>
      </w:r>
      <w:proofErr w:type="gramEnd"/>
      <w:r w:rsidR="000E48AD" w:rsidRPr="00C76B9C">
        <w:rPr>
          <w:i/>
          <w:iCs/>
          <w:sz w:val="17"/>
          <w:szCs w:val="17"/>
        </w:rPr>
        <w:t>8) of the Accounting Directive and those subsidiaries that are not subject to Articles 19a or 29a of the Accounting Directive</w:t>
      </w:r>
      <w:r w:rsidR="006C7923" w:rsidRPr="00C76B9C">
        <w:rPr>
          <w:i/>
          <w:iCs/>
          <w:sz w:val="17"/>
          <w:szCs w:val="17"/>
        </w:rPr>
        <w:t xml:space="preserve"> […]</w:t>
      </w:r>
    </w:p>
    <w:p w14:paraId="454F3963" w14:textId="45BA7010" w:rsidR="008F4674" w:rsidRPr="00C76B9C" w:rsidRDefault="008F4674" w:rsidP="00D02594">
      <w:pPr>
        <w:rPr>
          <w:i/>
          <w:iCs/>
          <w:sz w:val="17"/>
          <w:szCs w:val="17"/>
        </w:rPr>
      </w:pPr>
      <w:r w:rsidRPr="00C76B9C">
        <w:rPr>
          <w:i/>
          <w:iCs/>
          <w:sz w:val="17"/>
          <w:szCs w:val="17"/>
        </w:rPr>
        <w:t>The response to question 12 states that: “The parent undertakings must also indicate which subsidiaries included in the consolidation are exempted from individual or consolidated sustainability reporting pursuant to paragraph (9) of Article 19a or paragraph (8) of Article 29a respectively. In such situations, the consolidated sustainability reporting should also provide subsidiary level Taxonomy KPIs in the contextual information”</w:t>
      </w:r>
      <w:r w:rsidR="006C7923" w:rsidRPr="00C76B9C">
        <w:rPr>
          <w:i/>
          <w:iCs/>
          <w:sz w:val="17"/>
          <w:szCs w:val="17"/>
        </w:rPr>
        <w:t>.</w:t>
      </w:r>
    </w:p>
    <w:p w14:paraId="73A06448" w14:textId="77777777" w:rsidR="00D02594" w:rsidRPr="00C76B9C" w:rsidRDefault="00D02594" w:rsidP="00D02594">
      <w:pPr>
        <w:rPr>
          <w:sz w:val="17"/>
          <w:szCs w:val="17"/>
        </w:rPr>
      </w:pPr>
    </w:p>
    <w:p w14:paraId="6B3415AA" w14:textId="2EDCD392" w:rsidR="00D02594" w:rsidRPr="00C76B9C" w:rsidRDefault="00D02594" w:rsidP="00D02594">
      <w:pPr>
        <w:rPr>
          <w:i/>
          <w:iCs/>
          <w:sz w:val="17"/>
          <w:szCs w:val="17"/>
        </w:rPr>
      </w:pPr>
      <w:r w:rsidRPr="00825FC4">
        <w:rPr>
          <w:sz w:val="17"/>
          <w:szCs w:val="17"/>
          <w:u w:val="single"/>
        </w:rPr>
        <w:t>Related question 13</w:t>
      </w:r>
      <w:r w:rsidRPr="00C76B9C">
        <w:rPr>
          <w:sz w:val="17"/>
          <w:szCs w:val="17"/>
        </w:rPr>
        <w:t xml:space="preserve">: </w:t>
      </w:r>
      <w:r w:rsidRPr="00C76B9C">
        <w:rPr>
          <w:i/>
          <w:iCs/>
          <w:sz w:val="17"/>
          <w:szCs w:val="17"/>
        </w:rPr>
        <w:t>How should financial undertakings assess their exposures towards:</w:t>
      </w:r>
    </w:p>
    <w:p w14:paraId="4830102C" w14:textId="103B99CB" w:rsidR="00D02594" w:rsidRPr="00C76B9C" w:rsidRDefault="006544A5" w:rsidP="00C46155">
      <w:pPr>
        <w:pStyle w:val="Odsekzoznamu"/>
        <w:numPr>
          <w:ilvl w:val="0"/>
          <w:numId w:val="15"/>
        </w:numPr>
        <w:rPr>
          <w:rFonts w:ascii="Verdana" w:hAnsi="Verdana"/>
          <w:i/>
          <w:sz w:val="17"/>
          <w:szCs w:val="17"/>
        </w:rPr>
      </w:pPr>
      <w:r w:rsidRPr="00C76B9C">
        <w:rPr>
          <w:rFonts w:ascii="Verdana" w:hAnsi="Verdana"/>
          <w:i/>
          <w:sz w:val="17"/>
          <w:szCs w:val="17"/>
        </w:rPr>
        <w:t>a</w:t>
      </w:r>
      <w:r w:rsidR="00D02594" w:rsidRPr="00C76B9C">
        <w:rPr>
          <w:rFonts w:ascii="Verdana" w:hAnsi="Verdana"/>
          <w:i/>
          <w:sz w:val="17"/>
          <w:szCs w:val="17"/>
        </w:rPr>
        <w:t>n undertaking that is not subject to Articles 19a or 29a of the Accounting Directive on an individual basis, but which is the subsidiary of a parent undertaking that is subject to those provisions;</w:t>
      </w:r>
    </w:p>
    <w:p w14:paraId="6B72A5A3" w14:textId="633C38DC" w:rsidR="00D02594" w:rsidRPr="00C76B9C" w:rsidRDefault="006544A5" w:rsidP="00C46155">
      <w:pPr>
        <w:pStyle w:val="Odsekzoznamu"/>
        <w:numPr>
          <w:ilvl w:val="0"/>
          <w:numId w:val="15"/>
        </w:numPr>
        <w:rPr>
          <w:rFonts w:ascii="Verdana" w:hAnsi="Verdana"/>
          <w:i/>
          <w:sz w:val="17"/>
          <w:szCs w:val="17"/>
        </w:rPr>
      </w:pPr>
      <w:r w:rsidRPr="00C76B9C">
        <w:rPr>
          <w:rFonts w:ascii="Verdana" w:hAnsi="Verdana"/>
          <w:i/>
          <w:sz w:val="17"/>
          <w:szCs w:val="17"/>
        </w:rPr>
        <w:lastRenderedPageBreak/>
        <w:t>a</w:t>
      </w:r>
      <w:r w:rsidR="00D02594" w:rsidRPr="00C76B9C">
        <w:rPr>
          <w:rFonts w:ascii="Verdana" w:hAnsi="Verdana"/>
          <w:i/>
          <w:sz w:val="17"/>
          <w:szCs w:val="17"/>
        </w:rPr>
        <w:t xml:space="preserve"> subsidiary subject to Article 19a of the Accounting Directive on an individual basis, but which is exempted from publishing sustainability reporting on grounds that its parent does so on a consolidated basis.</w:t>
      </w:r>
    </w:p>
    <w:p w14:paraId="46C6F235" w14:textId="739C0FD6" w:rsidR="00D95FDE" w:rsidRPr="00C76B9C" w:rsidRDefault="00D02594" w:rsidP="00D02594">
      <w:pPr>
        <w:rPr>
          <w:i/>
          <w:iCs/>
          <w:sz w:val="17"/>
          <w:szCs w:val="17"/>
        </w:rPr>
      </w:pPr>
      <w:r w:rsidRPr="00C76B9C">
        <w:rPr>
          <w:sz w:val="17"/>
          <w:szCs w:val="17"/>
        </w:rPr>
        <w:t xml:space="preserve">EC: </w:t>
      </w:r>
      <w:r w:rsidRPr="00C76B9C">
        <w:rPr>
          <w:i/>
          <w:iCs/>
          <w:sz w:val="17"/>
          <w:szCs w:val="17"/>
        </w:rPr>
        <w:t>Where a subsidiary has a parent or an ultimate parent undertaking that reports KPIs under Article 8 of the Taxonomy Regulation and the Disclosures Delegated Act, the exposure of a financial undertaking to that subsidiary should be included in the numerator of the relevant KPIs of that financial undertaking. Therefore, financial undertakings should use the KPI of the subsidiary disclosed by its parent or ultimate parent or, where the KPI of the subsidiary is not available, the KPIs of the closest reporting parent undertaking to assess the exposures of a financial undertaking to that subsidiary in accordance with the relevant Annex to the Disclosures Delegate Act. In case of exposures to a subsidiary of a parent undertaking that falls under the scope of Article 19a of the Accounting Directive, but where that subsidiary is exempted from sustainability reporting at individual level on grounds that its parent does so on a consolidated basis in accordance with Article 19</w:t>
      </w:r>
      <w:proofErr w:type="gramStart"/>
      <w:r w:rsidRPr="00C76B9C">
        <w:rPr>
          <w:i/>
          <w:iCs/>
          <w:sz w:val="17"/>
          <w:szCs w:val="17"/>
        </w:rPr>
        <w:t>a(</w:t>
      </w:r>
      <w:proofErr w:type="gramEnd"/>
      <w:r w:rsidRPr="00C76B9C">
        <w:rPr>
          <w:i/>
          <w:iCs/>
          <w:sz w:val="17"/>
          <w:szCs w:val="17"/>
        </w:rPr>
        <w:t>9) of the Accounting Directive, financial undertakings should use the KPI of the subsidiary disclosed by its parent in the contextual information.</w:t>
      </w:r>
    </w:p>
    <w:p w14:paraId="228DB421" w14:textId="77777777" w:rsidR="00313EDB" w:rsidRPr="00C76B9C" w:rsidRDefault="00313EDB" w:rsidP="00313EDB">
      <w:pPr>
        <w:rPr>
          <w:sz w:val="17"/>
          <w:szCs w:val="17"/>
          <w:u w:val="single"/>
        </w:rPr>
      </w:pPr>
    </w:p>
    <w:p w14:paraId="31442078" w14:textId="51543DD5" w:rsidR="00313EDB" w:rsidRPr="00C76B9C" w:rsidRDefault="00313EDB" w:rsidP="00313EDB">
      <w:pPr>
        <w:pBdr>
          <w:top w:val="single" w:sz="4" w:space="1" w:color="auto"/>
          <w:left w:val="single" w:sz="4" w:space="4" w:color="auto"/>
          <w:bottom w:val="single" w:sz="4" w:space="1" w:color="auto"/>
          <w:right w:val="single" w:sz="4" w:space="4" w:color="auto"/>
        </w:pBdr>
        <w:rPr>
          <w:sz w:val="17"/>
          <w:szCs w:val="17"/>
        </w:rPr>
      </w:pPr>
      <w:r w:rsidRPr="00C76B9C">
        <w:rPr>
          <w:sz w:val="17"/>
          <w:szCs w:val="17"/>
        </w:rPr>
        <w:t xml:space="preserve">Insurance Europe highlights that the Disclosures Delegated Act </w:t>
      </w:r>
      <w:r w:rsidR="008F6CB2" w:rsidRPr="00C76B9C">
        <w:rPr>
          <w:sz w:val="17"/>
          <w:szCs w:val="17"/>
        </w:rPr>
        <w:t xml:space="preserve">of the Taxonomy </w:t>
      </w:r>
      <w:r w:rsidRPr="00C76B9C">
        <w:rPr>
          <w:sz w:val="17"/>
          <w:szCs w:val="17"/>
        </w:rPr>
        <w:t xml:space="preserve">makes no reference </w:t>
      </w:r>
      <w:r w:rsidR="005D7FB3" w:rsidRPr="00C76B9C">
        <w:rPr>
          <w:sz w:val="17"/>
          <w:szCs w:val="17"/>
        </w:rPr>
        <w:t>to</w:t>
      </w:r>
      <w:r w:rsidRPr="00C76B9C">
        <w:rPr>
          <w:sz w:val="17"/>
          <w:szCs w:val="17"/>
        </w:rPr>
        <w:t xml:space="preserve"> </w:t>
      </w:r>
      <w:r w:rsidR="004E7974" w:rsidRPr="00C76B9C">
        <w:rPr>
          <w:sz w:val="17"/>
          <w:szCs w:val="17"/>
        </w:rPr>
        <w:t xml:space="preserve">requirement that </w:t>
      </w:r>
      <w:r w:rsidRPr="00C76B9C">
        <w:rPr>
          <w:sz w:val="17"/>
          <w:szCs w:val="17"/>
        </w:rPr>
        <w:t>consolidated sustainability reporting should also provide subsidiary</w:t>
      </w:r>
      <w:r w:rsidR="004E7974" w:rsidRPr="00C76B9C">
        <w:rPr>
          <w:sz w:val="17"/>
          <w:szCs w:val="17"/>
        </w:rPr>
        <w:t>-</w:t>
      </w:r>
      <w:r w:rsidRPr="00C76B9C">
        <w:rPr>
          <w:sz w:val="17"/>
          <w:szCs w:val="17"/>
        </w:rPr>
        <w:t>level Taxonomy KPIs in the contextual information</w:t>
      </w:r>
      <w:r w:rsidR="00AA1D03" w:rsidRPr="00C76B9C">
        <w:rPr>
          <w:sz w:val="17"/>
          <w:szCs w:val="17"/>
        </w:rPr>
        <w:t>. Moreover, t</w:t>
      </w:r>
      <w:r w:rsidR="00CA3D7F" w:rsidRPr="00C76B9C">
        <w:rPr>
          <w:sz w:val="17"/>
          <w:szCs w:val="17"/>
        </w:rPr>
        <w:t xml:space="preserve">he requirement for parent undertakings to provide subsidiary level information is contrary to the CSRD. It is clear from the recitals of the CSRD (recital 25) that all subsidiary undertakings are exempted from the obligation to report non-financial information where such undertakings and their subsidiary undertakings are included in the consolidated management report of their parent undertaking. </w:t>
      </w:r>
      <w:r w:rsidR="00715EB8" w:rsidRPr="00C76B9C">
        <w:rPr>
          <w:sz w:val="17"/>
          <w:szCs w:val="17"/>
        </w:rPr>
        <w:t>D</w:t>
      </w:r>
      <w:r w:rsidR="00CA3D7F" w:rsidRPr="00C76B9C">
        <w:rPr>
          <w:sz w:val="17"/>
          <w:szCs w:val="17"/>
        </w:rPr>
        <w:t>isclosing every single KPI of each subsidiary undertaking in a consolidated report</w:t>
      </w:r>
      <w:r w:rsidRPr="00C76B9C">
        <w:rPr>
          <w:sz w:val="17"/>
          <w:szCs w:val="17"/>
        </w:rPr>
        <w:t xml:space="preserve"> would overload reports.</w:t>
      </w:r>
    </w:p>
    <w:p w14:paraId="22630F50" w14:textId="77777777" w:rsidR="00C10EC2" w:rsidRPr="00C76B9C" w:rsidRDefault="00C10EC2" w:rsidP="00313EDB">
      <w:pPr>
        <w:pBdr>
          <w:top w:val="single" w:sz="4" w:space="1" w:color="auto"/>
          <w:left w:val="single" w:sz="4" w:space="4" w:color="auto"/>
          <w:bottom w:val="single" w:sz="4" w:space="1" w:color="auto"/>
          <w:right w:val="single" w:sz="4" w:space="4" w:color="auto"/>
        </w:pBdr>
        <w:rPr>
          <w:sz w:val="17"/>
          <w:szCs w:val="17"/>
        </w:rPr>
      </w:pPr>
    </w:p>
    <w:p w14:paraId="2DB88361" w14:textId="68BC74A0" w:rsidR="001929D2" w:rsidRPr="00C76B9C" w:rsidRDefault="00406D2B" w:rsidP="00313EDB">
      <w:pPr>
        <w:pBdr>
          <w:top w:val="single" w:sz="4" w:space="1" w:color="auto"/>
          <w:left w:val="single" w:sz="4" w:space="4" w:color="auto"/>
          <w:bottom w:val="single" w:sz="4" w:space="1" w:color="auto"/>
          <w:right w:val="single" w:sz="4" w:space="4" w:color="auto"/>
        </w:pBdr>
        <w:rPr>
          <w:sz w:val="17"/>
          <w:szCs w:val="17"/>
          <w:lang w:val="en-US"/>
        </w:rPr>
      </w:pPr>
      <w:r w:rsidRPr="00C76B9C">
        <w:rPr>
          <w:sz w:val="17"/>
          <w:szCs w:val="17"/>
          <w:lang w:val="en-US"/>
        </w:rPr>
        <w:t>In addition</w:t>
      </w:r>
      <w:r w:rsidR="00AE4AD8" w:rsidRPr="00C76B9C">
        <w:rPr>
          <w:sz w:val="17"/>
          <w:szCs w:val="17"/>
          <w:lang w:val="en-US"/>
        </w:rPr>
        <w:t>, a</w:t>
      </w:r>
      <w:r w:rsidR="00C10EC2" w:rsidRPr="00C76B9C">
        <w:rPr>
          <w:sz w:val="17"/>
          <w:szCs w:val="17"/>
          <w:lang w:val="en-US"/>
        </w:rPr>
        <w:t xml:space="preserve">ccording to the </w:t>
      </w:r>
      <w:r w:rsidR="00C50CA1" w:rsidRPr="00C76B9C">
        <w:rPr>
          <w:sz w:val="17"/>
          <w:szCs w:val="17"/>
          <w:lang w:val="en-US"/>
        </w:rPr>
        <w:t xml:space="preserve">generally accepted </w:t>
      </w:r>
      <w:r w:rsidR="00C10EC2" w:rsidRPr="00C76B9C">
        <w:rPr>
          <w:sz w:val="17"/>
          <w:szCs w:val="17"/>
          <w:lang w:val="en-US"/>
        </w:rPr>
        <w:t xml:space="preserve">accounting principles, only </w:t>
      </w:r>
      <w:r w:rsidR="00AE4AD8" w:rsidRPr="00C76B9C">
        <w:rPr>
          <w:sz w:val="17"/>
          <w:szCs w:val="17"/>
          <w:lang w:val="en-US"/>
        </w:rPr>
        <w:t>material</w:t>
      </w:r>
      <w:r w:rsidR="00C10EC2" w:rsidRPr="00C76B9C">
        <w:rPr>
          <w:sz w:val="17"/>
          <w:szCs w:val="17"/>
          <w:lang w:val="en-US"/>
        </w:rPr>
        <w:t xml:space="preserve"> information should be </w:t>
      </w:r>
      <w:r w:rsidR="00C50CA1" w:rsidRPr="00C76B9C">
        <w:rPr>
          <w:sz w:val="17"/>
          <w:szCs w:val="17"/>
          <w:lang w:val="en-US"/>
        </w:rPr>
        <w:t xml:space="preserve">considered </w:t>
      </w:r>
      <w:r w:rsidR="00C10EC2" w:rsidRPr="00C76B9C">
        <w:rPr>
          <w:sz w:val="17"/>
          <w:szCs w:val="17"/>
          <w:lang w:val="en-US"/>
        </w:rPr>
        <w:t xml:space="preserve">at </w:t>
      </w:r>
      <w:r w:rsidRPr="00C76B9C">
        <w:rPr>
          <w:sz w:val="17"/>
          <w:szCs w:val="17"/>
          <w:lang w:val="en-US"/>
        </w:rPr>
        <w:t xml:space="preserve">the </w:t>
      </w:r>
      <w:r w:rsidR="00C10EC2" w:rsidRPr="00C76B9C">
        <w:rPr>
          <w:sz w:val="17"/>
          <w:szCs w:val="17"/>
          <w:lang w:val="en-US"/>
        </w:rPr>
        <w:t>group level. This principle should also apply to Taxonomy disclosures. Hence, FMP</w:t>
      </w:r>
      <w:r w:rsidRPr="00C76B9C">
        <w:rPr>
          <w:sz w:val="17"/>
          <w:szCs w:val="17"/>
          <w:lang w:val="en-US"/>
        </w:rPr>
        <w:t>s</w:t>
      </w:r>
      <w:r w:rsidR="00C10EC2" w:rsidRPr="00C76B9C">
        <w:rPr>
          <w:sz w:val="17"/>
          <w:szCs w:val="17"/>
          <w:lang w:val="en-US"/>
        </w:rPr>
        <w:t xml:space="preserve"> should only </w:t>
      </w:r>
      <w:r w:rsidR="00C50CA1" w:rsidRPr="00C76B9C">
        <w:rPr>
          <w:sz w:val="17"/>
          <w:szCs w:val="17"/>
          <w:lang w:val="en-US"/>
        </w:rPr>
        <w:t xml:space="preserve">consider </w:t>
      </w:r>
      <w:r w:rsidR="00C10EC2" w:rsidRPr="00C76B9C">
        <w:rPr>
          <w:sz w:val="17"/>
          <w:szCs w:val="17"/>
          <w:lang w:val="en-US"/>
        </w:rPr>
        <w:t xml:space="preserve">material information from subsidiaries not subject to articles 19a or 29a of the Accounting Directive. </w:t>
      </w:r>
      <w:r w:rsidR="00A2073A" w:rsidRPr="00C76B9C">
        <w:rPr>
          <w:sz w:val="17"/>
          <w:szCs w:val="17"/>
          <w:lang w:val="en-US"/>
        </w:rPr>
        <w:t>N</w:t>
      </w:r>
      <w:r w:rsidR="00C10EC2" w:rsidRPr="00C76B9C">
        <w:rPr>
          <w:sz w:val="17"/>
          <w:szCs w:val="17"/>
          <w:lang w:val="en-US"/>
        </w:rPr>
        <w:t>on-financial statements should follow the same rationale and principles of</w:t>
      </w:r>
      <w:r w:rsidR="00A2073A" w:rsidRPr="00C76B9C">
        <w:rPr>
          <w:sz w:val="17"/>
          <w:szCs w:val="17"/>
          <w:lang w:val="en-US"/>
        </w:rPr>
        <w:t xml:space="preserve"> </w:t>
      </w:r>
      <w:r w:rsidR="00C10EC2" w:rsidRPr="00C76B9C">
        <w:rPr>
          <w:sz w:val="17"/>
          <w:szCs w:val="17"/>
          <w:lang w:val="en-US"/>
        </w:rPr>
        <w:t>financial statements.</w:t>
      </w:r>
    </w:p>
    <w:p w14:paraId="6F73BD95" w14:textId="77777777" w:rsidR="00D02594" w:rsidRPr="00C76B9C" w:rsidRDefault="00D02594" w:rsidP="00964527">
      <w:pPr>
        <w:rPr>
          <w:sz w:val="17"/>
          <w:szCs w:val="17"/>
        </w:rPr>
      </w:pPr>
    </w:p>
    <w:p w14:paraId="5E7A4939" w14:textId="77777777" w:rsidR="00F2197C" w:rsidRPr="00C76B9C" w:rsidRDefault="00F2197C" w:rsidP="00F2197C">
      <w:pPr>
        <w:rPr>
          <w:i/>
          <w:iCs/>
          <w:sz w:val="17"/>
          <w:szCs w:val="17"/>
          <w:u w:val="single"/>
          <w:lang w:val="en-US"/>
        </w:rPr>
      </w:pPr>
      <w:r w:rsidRPr="00C76B9C">
        <w:rPr>
          <w:sz w:val="17"/>
          <w:szCs w:val="17"/>
          <w:u w:val="single"/>
          <w:lang w:val="en-US"/>
        </w:rPr>
        <w:t>Question 9</w:t>
      </w:r>
      <w:r w:rsidRPr="00660E5C">
        <w:rPr>
          <w:sz w:val="17"/>
          <w:szCs w:val="17"/>
          <w:lang w:val="en-US"/>
        </w:rPr>
        <w:t>:</w:t>
      </w:r>
      <w:r w:rsidRPr="00660E5C">
        <w:rPr>
          <w:i/>
          <w:iCs/>
          <w:sz w:val="17"/>
          <w:szCs w:val="17"/>
          <w:lang w:val="en-US"/>
        </w:rPr>
        <w:t xml:space="preserve"> What KPIs should be reported by a reporting parent undertaking which has different types of non-financial and financial subsidiaries?</w:t>
      </w:r>
    </w:p>
    <w:p w14:paraId="1457F3E4" w14:textId="77777777" w:rsidR="00F2197C" w:rsidRPr="00C76B9C" w:rsidRDefault="00F2197C" w:rsidP="00F2197C">
      <w:pPr>
        <w:rPr>
          <w:i/>
          <w:iCs/>
          <w:sz w:val="17"/>
          <w:szCs w:val="17"/>
          <w:u w:val="single"/>
        </w:rPr>
      </w:pPr>
    </w:p>
    <w:p w14:paraId="0D341FB0" w14:textId="77777777" w:rsidR="00F2197C" w:rsidRPr="00660E5C" w:rsidRDefault="00F2197C" w:rsidP="00F2197C">
      <w:pPr>
        <w:rPr>
          <w:i/>
          <w:iCs/>
          <w:sz w:val="17"/>
          <w:szCs w:val="17"/>
        </w:rPr>
      </w:pPr>
      <w:r w:rsidRPr="00660E5C">
        <w:rPr>
          <w:sz w:val="17"/>
          <w:szCs w:val="17"/>
        </w:rPr>
        <w:t>EC:</w:t>
      </w:r>
      <w:r w:rsidRPr="00660E5C">
        <w:rPr>
          <w:i/>
          <w:iCs/>
          <w:sz w:val="17"/>
          <w:szCs w:val="17"/>
        </w:rPr>
        <w:t xml:space="preserve"> Parent reporting undertaking which has financial and non-financial subsidiaries should:</w:t>
      </w:r>
    </w:p>
    <w:p w14:paraId="23B05CB6" w14:textId="20E9D82E" w:rsidR="00F2197C" w:rsidRPr="00660E5C" w:rsidRDefault="00F2197C" w:rsidP="00CE4C35">
      <w:pPr>
        <w:pStyle w:val="Odsekzoznamu"/>
        <w:numPr>
          <w:ilvl w:val="0"/>
          <w:numId w:val="16"/>
        </w:numPr>
        <w:rPr>
          <w:rFonts w:ascii="Verdana" w:hAnsi="Verdana"/>
          <w:i/>
          <w:sz w:val="17"/>
          <w:szCs w:val="17"/>
        </w:rPr>
      </w:pPr>
      <w:r w:rsidRPr="00660E5C">
        <w:rPr>
          <w:rFonts w:ascii="Verdana" w:hAnsi="Verdana"/>
          <w:i/>
          <w:sz w:val="17"/>
          <w:szCs w:val="17"/>
        </w:rPr>
        <w:t>consolidate the activities of its financial subsidiaries and report the corresponding KPIs pertaining to financial undertakings as clarified in responses to questions 2, 7 and 9 of this Notice, and,</w:t>
      </w:r>
    </w:p>
    <w:p w14:paraId="454566EB" w14:textId="274B521C" w:rsidR="00F2197C" w:rsidRPr="00660E5C" w:rsidRDefault="00F2197C" w:rsidP="00CE4C35">
      <w:pPr>
        <w:pStyle w:val="Odsekzoznamu"/>
        <w:numPr>
          <w:ilvl w:val="0"/>
          <w:numId w:val="16"/>
        </w:numPr>
        <w:rPr>
          <w:rFonts w:ascii="Verdana" w:hAnsi="Verdana"/>
          <w:i/>
          <w:sz w:val="17"/>
          <w:szCs w:val="17"/>
        </w:rPr>
      </w:pPr>
      <w:r w:rsidRPr="00660E5C">
        <w:rPr>
          <w:rFonts w:ascii="Verdana" w:hAnsi="Verdana"/>
          <w:i/>
          <w:sz w:val="17"/>
          <w:szCs w:val="17"/>
        </w:rPr>
        <w:t>separately, consolidate the activities of its non-financial subsidiaries and report corresponding KPIs pertaining to non-financial undertakings as clarified in responses to questions 9 to 12 of the second Commission Notice</w:t>
      </w:r>
      <w:r w:rsidR="004D6D67" w:rsidRPr="00660E5C">
        <w:rPr>
          <w:rFonts w:ascii="Verdana" w:hAnsi="Verdana"/>
          <w:i/>
          <w:iCs/>
          <w:sz w:val="17"/>
          <w:szCs w:val="17"/>
        </w:rPr>
        <w:t>.</w:t>
      </w:r>
    </w:p>
    <w:p w14:paraId="55162C3B" w14:textId="2B09474A" w:rsidR="00F2197C" w:rsidRPr="00C76B9C" w:rsidRDefault="00F2197C" w:rsidP="00F2197C">
      <w:pPr>
        <w:rPr>
          <w:i/>
          <w:iCs/>
          <w:sz w:val="17"/>
          <w:szCs w:val="17"/>
          <w:lang w:val="en-US"/>
        </w:rPr>
      </w:pPr>
      <w:r w:rsidRPr="00825FC4">
        <w:rPr>
          <w:sz w:val="17"/>
          <w:szCs w:val="17"/>
          <w:u w:val="single"/>
          <w:lang w:val="en-US"/>
        </w:rPr>
        <w:t>Related question 12</w:t>
      </w:r>
      <w:r w:rsidRPr="00C76B9C">
        <w:rPr>
          <w:sz w:val="17"/>
          <w:szCs w:val="17"/>
          <w:lang w:val="en-US"/>
        </w:rPr>
        <w:t>:</w:t>
      </w:r>
      <w:r w:rsidRPr="00C76B9C">
        <w:rPr>
          <w:i/>
          <w:iCs/>
          <w:sz w:val="17"/>
          <w:szCs w:val="17"/>
          <w:lang w:val="en-US"/>
        </w:rPr>
        <w:t xml:space="preserve"> Which KPIs should be considered for exposures of financial undertakings to the parent undertaking of a mixed group with subsidiaries providing financial services, such as insurance, banking, investment or asset management services and non-financial activities?</w:t>
      </w:r>
    </w:p>
    <w:p w14:paraId="4EABC147" w14:textId="77777777" w:rsidR="00F2197C" w:rsidRPr="00C76B9C" w:rsidRDefault="00F2197C" w:rsidP="00F2197C">
      <w:pPr>
        <w:rPr>
          <w:i/>
          <w:iCs/>
          <w:sz w:val="17"/>
          <w:szCs w:val="17"/>
          <w:lang w:val="en-US"/>
        </w:rPr>
      </w:pPr>
    </w:p>
    <w:p w14:paraId="0236B7A5" w14:textId="4F69BB3D" w:rsidR="00F2197C" w:rsidRPr="00C76B9C" w:rsidRDefault="00F2197C" w:rsidP="000A7B7B">
      <w:pPr>
        <w:autoSpaceDE w:val="0"/>
        <w:autoSpaceDN w:val="0"/>
        <w:adjustRightInd w:val="0"/>
        <w:spacing w:line="240" w:lineRule="auto"/>
        <w:jc w:val="left"/>
        <w:rPr>
          <w:i/>
          <w:iCs/>
          <w:sz w:val="17"/>
          <w:szCs w:val="17"/>
          <w:lang w:val="en-US"/>
        </w:rPr>
      </w:pPr>
      <w:r w:rsidRPr="00C76B9C">
        <w:rPr>
          <w:sz w:val="17"/>
          <w:szCs w:val="17"/>
          <w:lang w:val="en-US"/>
        </w:rPr>
        <w:t>EC:</w:t>
      </w:r>
      <w:r w:rsidRPr="00C76B9C">
        <w:rPr>
          <w:i/>
          <w:iCs/>
          <w:sz w:val="17"/>
          <w:szCs w:val="17"/>
          <w:lang w:val="en-US"/>
        </w:rPr>
        <w:t xml:space="preserve"> Given that the consolidated group-level KPI in the form of a</w:t>
      </w:r>
      <w:r w:rsidR="00F03067" w:rsidRPr="00C76B9C">
        <w:rPr>
          <w:i/>
          <w:iCs/>
          <w:sz w:val="17"/>
          <w:szCs w:val="17"/>
          <w:lang w:val="en-US"/>
        </w:rPr>
        <w:t xml:space="preserve"> </w:t>
      </w:r>
      <w:r w:rsidRPr="00C76B9C">
        <w:rPr>
          <w:i/>
          <w:iCs/>
          <w:sz w:val="17"/>
          <w:szCs w:val="17"/>
          <w:lang w:val="en-US"/>
        </w:rPr>
        <w:t>weighted average of KPIs referred to</w:t>
      </w:r>
      <w:r w:rsidR="00F03067" w:rsidRPr="00C76B9C">
        <w:rPr>
          <w:i/>
          <w:iCs/>
          <w:sz w:val="17"/>
          <w:szCs w:val="17"/>
          <w:lang w:val="en-US"/>
        </w:rPr>
        <w:t xml:space="preserve"> </w:t>
      </w:r>
      <w:r w:rsidRPr="00C76B9C">
        <w:rPr>
          <w:i/>
          <w:iCs/>
          <w:sz w:val="17"/>
          <w:szCs w:val="17"/>
          <w:lang w:val="en-US"/>
        </w:rPr>
        <w:t>in Annex XI DDA represents the business activities of a group financial undertakings should use (</w:t>
      </w:r>
      <w:proofErr w:type="spellStart"/>
      <w:r w:rsidRPr="00C76B9C">
        <w:rPr>
          <w:i/>
          <w:iCs/>
          <w:sz w:val="17"/>
          <w:szCs w:val="17"/>
          <w:lang w:val="en-US"/>
        </w:rPr>
        <w:t>i</w:t>
      </w:r>
      <w:proofErr w:type="spellEnd"/>
      <w:r w:rsidRPr="00C76B9C">
        <w:rPr>
          <w:i/>
          <w:iCs/>
          <w:sz w:val="17"/>
          <w:szCs w:val="17"/>
          <w:lang w:val="en-US"/>
        </w:rPr>
        <w:t>) that consolidated group-level KPI reported by the parent undertaking of the mixed group and (ii) the amount of the exposures to that mixed group to compute those exposures in their own respective KPIs</w:t>
      </w:r>
      <w:r w:rsidR="00F03067" w:rsidRPr="00C76B9C">
        <w:rPr>
          <w:i/>
          <w:iCs/>
          <w:sz w:val="17"/>
          <w:szCs w:val="17"/>
          <w:lang w:val="en-US"/>
        </w:rPr>
        <w:t>.</w:t>
      </w:r>
    </w:p>
    <w:p w14:paraId="082FF41C" w14:textId="77777777" w:rsidR="00F2197C" w:rsidRPr="00C76B9C" w:rsidRDefault="00F2197C" w:rsidP="00F2197C">
      <w:pPr>
        <w:rPr>
          <w:sz w:val="17"/>
          <w:szCs w:val="17"/>
          <w:u w:val="single"/>
        </w:rPr>
      </w:pPr>
    </w:p>
    <w:p w14:paraId="32B48E5F" w14:textId="67DABBB8" w:rsidR="00F2197C" w:rsidRPr="00C76B9C" w:rsidRDefault="00F2197C" w:rsidP="00F2197C">
      <w:pPr>
        <w:pBdr>
          <w:top w:val="single" w:sz="4" w:space="1" w:color="auto"/>
          <w:left w:val="single" w:sz="4" w:space="4" w:color="auto"/>
          <w:bottom w:val="single" w:sz="4" w:space="1" w:color="auto"/>
          <w:right w:val="single" w:sz="4" w:space="4" w:color="auto"/>
        </w:pBdr>
        <w:rPr>
          <w:sz w:val="17"/>
          <w:szCs w:val="17"/>
        </w:rPr>
      </w:pPr>
      <w:r w:rsidRPr="00C76B9C">
        <w:rPr>
          <w:sz w:val="17"/>
          <w:szCs w:val="17"/>
        </w:rPr>
        <w:t>Insurance Europe highlights that the Disclosures Delegated Act of the EU makes no reference to identify</w:t>
      </w:r>
      <w:r w:rsidR="00F03067" w:rsidRPr="00C76B9C">
        <w:rPr>
          <w:sz w:val="17"/>
          <w:szCs w:val="17"/>
        </w:rPr>
        <w:t>ing</w:t>
      </w:r>
      <w:r w:rsidRPr="00C76B9C">
        <w:rPr>
          <w:sz w:val="17"/>
          <w:szCs w:val="17"/>
        </w:rPr>
        <w:t xml:space="preserve"> segment</w:t>
      </w:r>
      <w:r w:rsidR="00F03067" w:rsidRPr="00C76B9C">
        <w:rPr>
          <w:sz w:val="17"/>
          <w:szCs w:val="17"/>
        </w:rPr>
        <w:t>s</w:t>
      </w:r>
      <w:r w:rsidRPr="00C76B9C">
        <w:rPr>
          <w:sz w:val="17"/>
          <w:szCs w:val="17"/>
        </w:rPr>
        <w:t>/activities and distinguish financial conglomerates from mixed groups</w:t>
      </w:r>
      <w:r w:rsidR="000A7B7B" w:rsidRPr="00C76B9C">
        <w:rPr>
          <w:sz w:val="17"/>
          <w:szCs w:val="17"/>
        </w:rPr>
        <w:t>.</w:t>
      </w:r>
    </w:p>
    <w:p w14:paraId="1AB5483E" w14:textId="77777777" w:rsidR="00D02594" w:rsidRPr="00C76B9C" w:rsidRDefault="00D02594" w:rsidP="00964527">
      <w:pPr>
        <w:rPr>
          <w:sz w:val="17"/>
          <w:szCs w:val="17"/>
        </w:rPr>
      </w:pPr>
    </w:p>
    <w:p w14:paraId="03663CEE" w14:textId="1A338CFF" w:rsidR="00964527" w:rsidRPr="00C76B9C" w:rsidRDefault="00964527" w:rsidP="00964527">
      <w:pPr>
        <w:rPr>
          <w:i/>
          <w:iCs/>
          <w:sz w:val="17"/>
          <w:szCs w:val="17"/>
        </w:rPr>
      </w:pPr>
      <w:r w:rsidRPr="00C76B9C">
        <w:rPr>
          <w:sz w:val="17"/>
          <w:szCs w:val="17"/>
          <w:u w:val="single"/>
        </w:rPr>
        <w:t>Question 2</w:t>
      </w:r>
      <w:r w:rsidR="004C7F08" w:rsidRPr="00C76B9C">
        <w:rPr>
          <w:sz w:val="17"/>
          <w:szCs w:val="17"/>
          <w:u w:val="single"/>
        </w:rPr>
        <w:t xml:space="preserve"> (</w:t>
      </w:r>
      <w:r w:rsidR="00725002" w:rsidRPr="00C76B9C">
        <w:rPr>
          <w:sz w:val="17"/>
          <w:szCs w:val="17"/>
          <w:u w:val="single"/>
        </w:rPr>
        <w:t>also relevant for Q7</w:t>
      </w:r>
      <w:r w:rsidR="004C7F08" w:rsidRPr="00C76B9C">
        <w:rPr>
          <w:sz w:val="17"/>
          <w:szCs w:val="17"/>
          <w:u w:val="single"/>
        </w:rPr>
        <w:t>)</w:t>
      </w:r>
      <w:r w:rsidRPr="00C76B9C">
        <w:rPr>
          <w:sz w:val="17"/>
          <w:szCs w:val="17"/>
        </w:rPr>
        <w:t xml:space="preserve">: </w:t>
      </w:r>
      <w:r w:rsidRPr="00C76B9C">
        <w:rPr>
          <w:i/>
          <w:iCs/>
          <w:sz w:val="17"/>
          <w:szCs w:val="17"/>
        </w:rPr>
        <w:t xml:space="preserve">Should reporting financial undertakings that own other financial undertakings provide their Taxonomy disclosures based on regulatory or accounting level of group consolidation? </w:t>
      </w:r>
    </w:p>
    <w:p w14:paraId="043C38DA" w14:textId="23757A4A" w:rsidR="00964527" w:rsidRPr="00C76B9C" w:rsidRDefault="00964527" w:rsidP="00964527">
      <w:pPr>
        <w:rPr>
          <w:i/>
          <w:iCs/>
          <w:sz w:val="17"/>
          <w:szCs w:val="17"/>
        </w:rPr>
      </w:pPr>
      <w:r w:rsidRPr="00C76B9C">
        <w:rPr>
          <w:i/>
          <w:iCs/>
          <w:sz w:val="17"/>
          <w:szCs w:val="17"/>
        </w:rPr>
        <w:t xml:space="preserve">What is the level of group consolidation of the reporting entity for the purpose of the </w:t>
      </w:r>
    </w:p>
    <w:p w14:paraId="1B931512" w14:textId="6FEA4621" w:rsidR="00964527" w:rsidRPr="00C76B9C" w:rsidRDefault="00964527" w:rsidP="343A1405">
      <w:pPr>
        <w:rPr>
          <w:sz w:val="17"/>
          <w:szCs w:val="17"/>
        </w:rPr>
      </w:pPr>
      <w:r w:rsidRPr="00C76B9C">
        <w:rPr>
          <w:i/>
          <w:iCs/>
          <w:sz w:val="17"/>
          <w:szCs w:val="17"/>
        </w:rPr>
        <w:t>Taxonomy disclosures?</w:t>
      </w:r>
      <w:r w:rsidRPr="00C76B9C">
        <w:rPr>
          <w:sz w:val="17"/>
          <w:szCs w:val="17"/>
        </w:rPr>
        <w:t xml:space="preserve"> </w:t>
      </w:r>
      <w:r w:rsidRPr="00C76B9C">
        <w:rPr>
          <w:sz w:val="17"/>
          <w:szCs w:val="17"/>
        </w:rPr>
        <w:cr/>
      </w:r>
    </w:p>
    <w:p w14:paraId="539B5B50" w14:textId="277047B0" w:rsidR="00964527" w:rsidRPr="00C76B9C" w:rsidRDefault="00E806F4" w:rsidP="343A1405">
      <w:pPr>
        <w:rPr>
          <w:i/>
          <w:iCs/>
          <w:sz w:val="17"/>
          <w:szCs w:val="17"/>
          <w:lang w:val="en-US"/>
        </w:rPr>
      </w:pPr>
      <w:r w:rsidRPr="00C76B9C">
        <w:rPr>
          <w:sz w:val="17"/>
          <w:szCs w:val="17"/>
        </w:rPr>
        <w:lastRenderedPageBreak/>
        <w:t>EC</w:t>
      </w:r>
      <w:r w:rsidR="0003336E" w:rsidRPr="00C76B9C">
        <w:rPr>
          <w:sz w:val="17"/>
          <w:szCs w:val="17"/>
        </w:rPr>
        <w:t xml:space="preserve"> (</w:t>
      </w:r>
      <w:r w:rsidR="004C31FF" w:rsidRPr="00C76B9C">
        <w:rPr>
          <w:sz w:val="17"/>
          <w:szCs w:val="17"/>
        </w:rPr>
        <w:t>Q2)</w:t>
      </w:r>
      <w:r w:rsidRPr="00C76B9C">
        <w:rPr>
          <w:sz w:val="17"/>
          <w:szCs w:val="17"/>
        </w:rPr>
        <w:t>:</w:t>
      </w:r>
      <w:r w:rsidR="00013EE9" w:rsidRPr="00C76B9C">
        <w:rPr>
          <w:sz w:val="17"/>
          <w:szCs w:val="17"/>
        </w:rPr>
        <w:t xml:space="preserve"> </w:t>
      </w:r>
      <w:r w:rsidR="007C0F9B" w:rsidRPr="00C76B9C">
        <w:rPr>
          <w:i/>
          <w:sz w:val="17"/>
          <w:szCs w:val="17"/>
          <w:lang w:val="en-US"/>
        </w:rPr>
        <w:t>Similarly, where parent undertakings and their subsidiaries are both financial undertakings other than credit institutions and that are subject to prudential regulation</w:t>
      </w:r>
      <w:r w:rsidR="00013EE9" w:rsidRPr="00C76B9C">
        <w:rPr>
          <w:i/>
          <w:iCs/>
          <w:sz w:val="17"/>
          <w:szCs w:val="17"/>
          <w:lang w:val="en-US"/>
        </w:rPr>
        <w:t xml:space="preserve">, </w:t>
      </w:r>
      <w:r w:rsidR="007C0F9B" w:rsidRPr="00C76B9C">
        <w:rPr>
          <w:i/>
          <w:sz w:val="17"/>
          <w:szCs w:val="17"/>
          <w:lang w:val="en-US"/>
        </w:rPr>
        <w:t>they should make their disclosures based on the prudential consolidation</w:t>
      </w:r>
      <w:r w:rsidR="004C31FF" w:rsidRPr="00C76B9C">
        <w:rPr>
          <w:i/>
          <w:iCs/>
          <w:sz w:val="17"/>
          <w:szCs w:val="17"/>
          <w:lang w:val="en-US"/>
        </w:rPr>
        <w:t>.</w:t>
      </w:r>
    </w:p>
    <w:p w14:paraId="161BE337" w14:textId="77777777" w:rsidR="004C7F08" w:rsidRPr="00C76B9C" w:rsidRDefault="004C7F08" w:rsidP="343A1405">
      <w:pPr>
        <w:rPr>
          <w:i/>
          <w:iCs/>
          <w:sz w:val="17"/>
          <w:szCs w:val="17"/>
          <w:lang w:val="en-US"/>
        </w:rPr>
      </w:pPr>
    </w:p>
    <w:p w14:paraId="611B12B6" w14:textId="73EA48EC" w:rsidR="004C7F08" w:rsidRPr="00C76B9C" w:rsidRDefault="004C7F08" w:rsidP="343A1405">
      <w:pPr>
        <w:rPr>
          <w:sz w:val="17"/>
          <w:szCs w:val="17"/>
          <w:lang w:val="en-US"/>
        </w:rPr>
      </w:pPr>
      <w:r w:rsidRPr="00C76B9C">
        <w:rPr>
          <w:sz w:val="17"/>
          <w:szCs w:val="17"/>
          <w:lang w:val="en-US"/>
        </w:rPr>
        <w:t>E</w:t>
      </w:r>
      <w:r w:rsidR="00725002" w:rsidRPr="00C76B9C">
        <w:rPr>
          <w:sz w:val="17"/>
          <w:szCs w:val="17"/>
          <w:lang w:val="en-US"/>
        </w:rPr>
        <w:t>C</w:t>
      </w:r>
      <w:r w:rsidR="00116434" w:rsidRPr="00C76B9C">
        <w:rPr>
          <w:sz w:val="17"/>
          <w:szCs w:val="17"/>
          <w:lang w:val="en-US"/>
        </w:rPr>
        <w:t xml:space="preserve"> (Q7): </w:t>
      </w:r>
      <w:r w:rsidR="00116434" w:rsidRPr="00C76B9C">
        <w:rPr>
          <w:i/>
          <w:iCs/>
          <w:sz w:val="17"/>
          <w:szCs w:val="17"/>
        </w:rPr>
        <w:t xml:space="preserve">The parent entities of financial conglomerates </w:t>
      </w:r>
      <w:r w:rsidR="00116434" w:rsidRPr="00C76B9C">
        <w:rPr>
          <w:i/>
          <w:sz w:val="17"/>
          <w:szCs w:val="17"/>
        </w:rPr>
        <w:t>should follow the prudential scope</w:t>
      </w:r>
      <w:r w:rsidR="00116434" w:rsidRPr="00C76B9C">
        <w:rPr>
          <w:i/>
          <w:iCs/>
          <w:sz w:val="17"/>
          <w:szCs w:val="17"/>
        </w:rPr>
        <w:t xml:space="preserve"> of consolidation for their activities that fall under prudential regulation and report at group level the consolidated KPIs of their respective business segments.</w:t>
      </w:r>
    </w:p>
    <w:p w14:paraId="4E02AA8F" w14:textId="33C68662" w:rsidR="007C0F9B" w:rsidRPr="00C76B9C" w:rsidRDefault="007C0F9B" w:rsidP="343A1405">
      <w:pPr>
        <w:rPr>
          <w:sz w:val="17"/>
          <w:szCs w:val="17"/>
        </w:rPr>
      </w:pPr>
    </w:p>
    <w:p w14:paraId="6BA931DF" w14:textId="1EF38EEE" w:rsidR="007C0F9B" w:rsidRPr="00C76B9C" w:rsidRDefault="00AC4AA5" w:rsidP="001F3547">
      <w:pPr>
        <w:pBdr>
          <w:top w:val="single" w:sz="4" w:space="1" w:color="auto"/>
          <w:left w:val="single" w:sz="4" w:space="4" w:color="auto"/>
          <w:bottom w:val="single" w:sz="4" w:space="1" w:color="auto"/>
          <w:right w:val="single" w:sz="4" w:space="4" w:color="auto"/>
        </w:pBdr>
        <w:rPr>
          <w:sz w:val="17"/>
          <w:szCs w:val="17"/>
        </w:rPr>
      </w:pPr>
      <w:r>
        <w:rPr>
          <w:sz w:val="17"/>
          <w:szCs w:val="17"/>
        </w:rPr>
        <w:t xml:space="preserve">Insurance Europe highlights that </w:t>
      </w:r>
      <w:r w:rsidR="008D79E3">
        <w:rPr>
          <w:sz w:val="17"/>
          <w:szCs w:val="17"/>
        </w:rPr>
        <w:t xml:space="preserve">the consolidation scope </w:t>
      </w:r>
      <w:r w:rsidR="00B4055B">
        <w:rPr>
          <w:sz w:val="17"/>
          <w:szCs w:val="17"/>
        </w:rPr>
        <w:t>of Ta</w:t>
      </w:r>
      <w:r w:rsidR="003732E7">
        <w:rPr>
          <w:sz w:val="17"/>
          <w:szCs w:val="17"/>
        </w:rPr>
        <w:t xml:space="preserve">xonomy disclosures should be the same adopted </w:t>
      </w:r>
      <w:r w:rsidR="001E1648">
        <w:rPr>
          <w:sz w:val="17"/>
          <w:szCs w:val="17"/>
        </w:rPr>
        <w:t xml:space="preserve">by parent </w:t>
      </w:r>
      <w:r w:rsidR="00B64EC8">
        <w:rPr>
          <w:sz w:val="17"/>
          <w:szCs w:val="17"/>
        </w:rPr>
        <w:t xml:space="preserve">undertakings for their CSRD disclosures. </w:t>
      </w:r>
      <w:r w:rsidR="00555CD8">
        <w:rPr>
          <w:sz w:val="17"/>
          <w:szCs w:val="17"/>
        </w:rPr>
        <w:t>As the Taxonomy KPIs</w:t>
      </w:r>
      <w:r w:rsidR="00207F50">
        <w:rPr>
          <w:sz w:val="17"/>
          <w:szCs w:val="17"/>
        </w:rPr>
        <w:t xml:space="preserve"> will be reported within the ESRS reports, it could create an inconsistency in the consolidat</w:t>
      </w:r>
      <w:r w:rsidR="00147F45">
        <w:rPr>
          <w:sz w:val="17"/>
          <w:szCs w:val="17"/>
        </w:rPr>
        <w:t>ion</w:t>
      </w:r>
      <w:r w:rsidR="00FE5F29">
        <w:rPr>
          <w:sz w:val="17"/>
          <w:szCs w:val="17"/>
        </w:rPr>
        <w:t xml:space="preserve"> scope within the same sustainability report. It is key that the scope of consolidation for a company is identical over all reporting requirements to avoid any inconsistency. </w:t>
      </w:r>
    </w:p>
    <w:p w14:paraId="02B89860" w14:textId="44EF7119" w:rsidR="005A04BC" w:rsidRPr="00C76B9C" w:rsidRDefault="005A04BC" w:rsidP="343A1405">
      <w:pPr>
        <w:rPr>
          <w:sz w:val="17"/>
          <w:szCs w:val="17"/>
        </w:rPr>
      </w:pPr>
    </w:p>
    <w:p w14:paraId="17BF52F5" w14:textId="4E24B491" w:rsidR="00A213B4" w:rsidRPr="00C76B9C" w:rsidRDefault="00A213B4" w:rsidP="00A213B4">
      <w:pPr>
        <w:rPr>
          <w:i/>
          <w:sz w:val="17"/>
          <w:szCs w:val="17"/>
          <w:lang w:val="en-US"/>
        </w:rPr>
      </w:pPr>
      <w:r w:rsidRPr="00C76B9C">
        <w:rPr>
          <w:sz w:val="17"/>
          <w:szCs w:val="17"/>
          <w:u w:val="single"/>
        </w:rPr>
        <w:t>Question 38</w:t>
      </w:r>
      <w:r w:rsidRPr="00C76B9C">
        <w:rPr>
          <w:sz w:val="17"/>
          <w:szCs w:val="17"/>
        </w:rPr>
        <w:t xml:space="preserve">: </w:t>
      </w:r>
      <w:r w:rsidRPr="00C76B9C">
        <w:rPr>
          <w:i/>
          <w:sz w:val="17"/>
          <w:szCs w:val="17"/>
          <w:lang w:val="en-US"/>
        </w:rPr>
        <w:t>Where an insurance or a reinsurance undertaking computes the underwriting KPI, should procedures relevant for compliance with minimum safeguards be applied by the undertaking at the level of its policyholders, in addition to its own compliance with those safeguards?</w:t>
      </w:r>
    </w:p>
    <w:p w14:paraId="21DE383A" w14:textId="77777777" w:rsidR="00A213B4" w:rsidRPr="00C76B9C" w:rsidRDefault="00A213B4" w:rsidP="00A213B4">
      <w:pPr>
        <w:rPr>
          <w:sz w:val="17"/>
          <w:szCs w:val="17"/>
        </w:rPr>
      </w:pPr>
    </w:p>
    <w:p w14:paraId="651FDDE3" w14:textId="77777777" w:rsidR="00A213B4" w:rsidRPr="00C76B9C" w:rsidRDefault="00A213B4" w:rsidP="00A213B4">
      <w:pPr>
        <w:rPr>
          <w:sz w:val="17"/>
          <w:szCs w:val="17"/>
          <w:lang w:val="en-US"/>
        </w:rPr>
      </w:pPr>
      <w:r w:rsidRPr="00C76B9C">
        <w:rPr>
          <w:sz w:val="17"/>
          <w:szCs w:val="17"/>
        </w:rPr>
        <w:t xml:space="preserve">EC: </w:t>
      </w:r>
      <w:r w:rsidRPr="00C76B9C">
        <w:rPr>
          <w:i/>
          <w:iCs/>
          <w:sz w:val="17"/>
          <w:szCs w:val="17"/>
          <w:lang w:val="en-US"/>
        </w:rPr>
        <w:t xml:space="preserve">As part of carrying out the activity of insurance underwriting, this should also involve an appropriate screening, for potential breaches of these safeguards, of their business relationships </w:t>
      </w:r>
      <w:r w:rsidRPr="00C76B9C">
        <w:rPr>
          <w:i/>
          <w:sz w:val="17"/>
          <w:szCs w:val="17"/>
          <w:lang w:val="en-US"/>
        </w:rPr>
        <w:t>with the clients to whom the products are offered.</w:t>
      </w:r>
    </w:p>
    <w:p w14:paraId="12903EFC" w14:textId="77777777" w:rsidR="00A213B4" w:rsidRPr="00C76B9C" w:rsidRDefault="00A213B4" w:rsidP="00A213B4">
      <w:pPr>
        <w:rPr>
          <w:sz w:val="17"/>
          <w:szCs w:val="17"/>
        </w:rPr>
      </w:pPr>
    </w:p>
    <w:p w14:paraId="42CD0424" w14:textId="25FF4DE2" w:rsidR="00A213B4" w:rsidRPr="00C76B9C" w:rsidRDefault="00A213B4" w:rsidP="00A213B4">
      <w:pPr>
        <w:pBdr>
          <w:top w:val="single" w:sz="4" w:space="1" w:color="auto"/>
          <w:left w:val="single" w:sz="4" w:space="4" w:color="auto"/>
          <w:bottom w:val="single" w:sz="4" w:space="1" w:color="auto"/>
          <w:right w:val="single" w:sz="4" w:space="4" w:color="auto"/>
        </w:pBdr>
        <w:rPr>
          <w:sz w:val="17"/>
          <w:szCs w:val="17"/>
          <w:lang w:val="en-US"/>
        </w:rPr>
      </w:pPr>
      <w:r w:rsidRPr="00C76B9C">
        <w:rPr>
          <w:sz w:val="17"/>
          <w:szCs w:val="17"/>
        </w:rPr>
        <w:t>Insurance Europe</w:t>
      </w:r>
      <w:r w:rsidR="00F905A1" w:rsidRPr="00C76B9C">
        <w:rPr>
          <w:sz w:val="17"/>
          <w:szCs w:val="17"/>
        </w:rPr>
        <w:t xml:space="preserve"> </w:t>
      </w:r>
      <w:r w:rsidR="00EF1CC7" w:rsidRPr="00C76B9C">
        <w:rPr>
          <w:sz w:val="17"/>
          <w:szCs w:val="17"/>
        </w:rPr>
        <w:t>reject</w:t>
      </w:r>
      <w:r w:rsidR="009A0897">
        <w:rPr>
          <w:sz w:val="17"/>
          <w:szCs w:val="17"/>
        </w:rPr>
        <w:t>s</w:t>
      </w:r>
      <w:r w:rsidR="008D7D47" w:rsidRPr="00C76B9C">
        <w:rPr>
          <w:sz w:val="17"/>
          <w:szCs w:val="17"/>
        </w:rPr>
        <w:t xml:space="preserve"> </w:t>
      </w:r>
      <w:r w:rsidR="00EF1CC7" w:rsidRPr="00C76B9C">
        <w:rPr>
          <w:sz w:val="17"/>
          <w:szCs w:val="17"/>
        </w:rPr>
        <w:t>t</w:t>
      </w:r>
      <w:r w:rsidR="00D500EE" w:rsidRPr="00C76B9C">
        <w:rPr>
          <w:sz w:val="17"/>
          <w:szCs w:val="17"/>
          <w:lang w:val="en"/>
        </w:rPr>
        <w:t>he Commission demands that insurers carry out due diligence on their customers</w:t>
      </w:r>
      <w:r w:rsidR="00E51995" w:rsidRPr="00C76B9C">
        <w:rPr>
          <w:sz w:val="17"/>
          <w:szCs w:val="17"/>
          <w:lang w:val="en"/>
        </w:rPr>
        <w:t xml:space="preserve">, as </w:t>
      </w:r>
      <w:r w:rsidR="002C53B8" w:rsidRPr="00C76B9C">
        <w:rPr>
          <w:sz w:val="17"/>
          <w:szCs w:val="17"/>
          <w:lang w:val="en"/>
        </w:rPr>
        <w:t>t</w:t>
      </w:r>
      <w:r w:rsidR="00D500EE" w:rsidRPr="00C76B9C">
        <w:rPr>
          <w:sz w:val="17"/>
          <w:szCs w:val="17"/>
          <w:lang w:val="en"/>
        </w:rPr>
        <w:t xml:space="preserve">his </w:t>
      </w:r>
      <w:r w:rsidR="000602B5">
        <w:rPr>
          <w:sz w:val="17"/>
          <w:szCs w:val="17"/>
          <w:lang w:val="en"/>
        </w:rPr>
        <w:t xml:space="preserve">may </w:t>
      </w:r>
      <w:r w:rsidR="00D500EE" w:rsidRPr="00C76B9C">
        <w:rPr>
          <w:sz w:val="17"/>
          <w:szCs w:val="17"/>
          <w:lang w:val="en"/>
        </w:rPr>
        <w:t xml:space="preserve">not </w:t>
      </w:r>
      <w:r w:rsidR="000602B5">
        <w:rPr>
          <w:sz w:val="17"/>
          <w:szCs w:val="17"/>
          <w:lang w:val="en"/>
        </w:rPr>
        <w:t xml:space="preserve">be fully </w:t>
      </w:r>
      <w:r w:rsidR="00D500EE" w:rsidRPr="00C76B9C">
        <w:rPr>
          <w:sz w:val="17"/>
          <w:szCs w:val="17"/>
          <w:lang w:val="en"/>
        </w:rPr>
        <w:t xml:space="preserve">consistent with </w:t>
      </w:r>
      <w:r w:rsidR="009B65D3">
        <w:rPr>
          <w:sz w:val="17"/>
          <w:szCs w:val="17"/>
          <w:lang w:val="en-US"/>
        </w:rPr>
        <w:t xml:space="preserve">international guidelines </w:t>
      </w:r>
      <w:r w:rsidR="00CA2D37">
        <w:rPr>
          <w:sz w:val="17"/>
          <w:szCs w:val="17"/>
          <w:lang w:val="en-US"/>
        </w:rPr>
        <w:t xml:space="preserve">or principles on </w:t>
      </w:r>
      <w:r w:rsidR="002015AA">
        <w:rPr>
          <w:sz w:val="17"/>
          <w:szCs w:val="17"/>
          <w:lang w:val="en-US"/>
        </w:rPr>
        <w:t xml:space="preserve">carrying out </w:t>
      </w:r>
      <w:r w:rsidR="00CA2D37">
        <w:rPr>
          <w:sz w:val="17"/>
          <w:szCs w:val="17"/>
          <w:lang w:val="en-US"/>
        </w:rPr>
        <w:t>due diligence</w:t>
      </w:r>
      <w:r w:rsidR="002015AA">
        <w:rPr>
          <w:sz w:val="17"/>
          <w:szCs w:val="17"/>
          <w:lang w:val="en-US"/>
        </w:rPr>
        <w:t xml:space="preserve"> processes</w:t>
      </w:r>
      <w:r w:rsidR="00CA2D37">
        <w:rPr>
          <w:sz w:val="17"/>
          <w:szCs w:val="17"/>
          <w:lang w:val="en-US"/>
        </w:rPr>
        <w:t>.</w:t>
      </w:r>
    </w:p>
    <w:p w14:paraId="5CA43215" w14:textId="77777777" w:rsidR="00640D82" w:rsidRPr="00825FC4" w:rsidRDefault="00640D82" w:rsidP="0099273D">
      <w:pPr>
        <w:rPr>
          <w:sz w:val="17"/>
          <w:szCs w:val="17"/>
        </w:rPr>
      </w:pPr>
    </w:p>
    <w:p w14:paraId="7AE2AB86" w14:textId="38958F38" w:rsidR="00161FEC" w:rsidRPr="00C76B9C" w:rsidRDefault="00161FEC" w:rsidP="0099273D">
      <w:pPr>
        <w:rPr>
          <w:i/>
          <w:sz w:val="17"/>
          <w:szCs w:val="17"/>
          <w:lang w:val="en-US"/>
        </w:rPr>
      </w:pPr>
      <w:r w:rsidRPr="00C76B9C">
        <w:rPr>
          <w:sz w:val="17"/>
          <w:szCs w:val="17"/>
          <w:u w:val="single"/>
        </w:rPr>
        <w:t>Question 29</w:t>
      </w:r>
      <w:r w:rsidRPr="00C76B9C">
        <w:rPr>
          <w:sz w:val="17"/>
          <w:szCs w:val="17"/>
        </w:rPr>
        <w:t>:</w:t>
      </w:r>
      <w:r w:rsidR="004553BF" w:rsidRPr="00C76B9C">
        <w:rPr>
          <w:sz w:val="17"/>
          <w:szCs w:val="17"/>
        </w:rPr>
        <w:t xml:space="preserve"> </w:t>
      </w:r>
      <w:r w:rsidR="004553BF" w:rsidRPr="00C76B9C">
        <w:rPr>
          <w:i/>
          <w:sz w:val="17"/>
          <w:szCs w:val="17"/>
          <w:lang w:val="en-US"/>
        </w:rPr>
        <w:t>What are the applicable KPIs of undertakings for which templates in Annex XII DDA should be provided?</w:t>
      </w:r>
    </w:p>
    <w:p w14:paraId="40FDA784" w14:textId="77777777" w:rsidR="00161FEC" w:rsidRPr="00825FC4" w:rsidRDefault="00161FEC" w:rsidP="0099273D">
      <w:pPr>
        <w:rPr>
          <w:sz w:val="17"/>
          <w:szCs w:val="17"/>
        </w:rPr>
      </w:pPr>
    </w:p>
    <w:p w14:paraId="0542511B" w14:textId="3963F699" w:rsidR="00161FEC" w:rsidRPr="00C76B9C" w:rsidRDefault="00161FEC" w:rsidP="00161FEC">
      <w:pPr>
        <w:rPr>
          <w:sz w:val="17"/>
          <w:szCs w:val="17"/>
          <w:lang w:val="en-US"/>
        </w:rPr>
      </w:pPr>
      <w:r w:rsidRPr="00C76B9C">
        <w:rPr>
          <w:sz w:val="17"/>
          <w:szCs w:val="17"/>
        </w:rPr>
        <w:t xml:space="preserve">EC: </w:t>
      </w:r>
      <w:r w:rsidRPr="00C76B9C">
        <w:rPr>
          <w:i/>
          <w:sz w:val="17"/>
          <w:szCs w:val="17"/>
          <w:lang w:val="en-US"/>
        </w:rPr>
        <w:t>For insurance and reinsurance undertakings, the applicable KPIs are the KPIs referred to in Section 1 and, where applicable, Section 2 of Annex IX DDA and the first row of template ‘The proportion of the insurance or reinsurance undertaking’s investments that are directed at funding, or are associated with, Taxonomy-aligned in relation to total investments’ and, where applicable, row ‘A.1. Non-life insurance and reinsurance underwriting Taxonomy-aligned activities (environmentally sustainable)’ of template ‘The underwriting KPI for non-life insurance and reinsurance undertakings’ of Annex X DDA.”</w:t>
      </w:r>
    </w:p>
    <w:p w14:paraId="3455E2C9" w14:textId="5C2E308E" w:rsidR="000125F6" w:rsidRPr="00825FC4" w:rsidRDefault="000125F6" w:rsidP="0099273D">
      <w:pPr>
        <w:rPr>
          <w:sz w:val="17"/>
          <w:szCs w:val="17"/>
        </w:rPr>
      </w:pPr>
    </w:p>
    <w:p w14:paraId="09B9840F" w14:textId="4397B991" w:rsidR="0099273D" w:rsidRPr="00C76B9C" w:rsidRDefault="00CB21BC" w:rsidP="00140468">
      <w:pPr>
        <w:pBdr>
          <w:top w:val="single" w:sz="4" w:space="1" w:color="auto"/>
          <w:left w:val="single" w:sz="4" w:space="4" w:color="auto"/>
          <w:bottom w:val="single" w:sz="4" w:space="1" w:color="auto"/>
          <w:right w:val="single" w:sz="4" w:space="4" w:color="auto"/>
        </w:pBdr>
        <w:rPr>
          <w:sz w:val="17"/>
          <w:szCs w:val="17"/>
        </w:rPr>
      </w:pPr>
      <w:r w:rsidRPr="00C76B9C">
        <w:rPr>
          <w:sz w:val="17"/>
          <w:szCs w:val="17"/>
        </w:rPr>
        <w:t xml:space="preserve">Insurance Europe </w:t>
      </w:r>
      <w:r w:rsidR="009E6ECD" w:rsidRPr="00C76B9C">
        <w:rPr>
          <w:sz w:val="17"/>
          <w:szCs w:val="17"/>
        </w:rPr>
        <w:t xml:space="preserve">highlights how </w:t>
      </w:r>
      <w:r w:rsidRPr="00C76B9C">
        <w:rPr>
          <w:sz w:val="17"/>
          <w:szCs w:val="17"/>
        </w:rPr>
        <w:t xml:space="preserve">the answer provided by the Commission is unclear </w:t>
      </w:r>
      <w:r w:rsidR="009E6ECD" w:rsidRPr="00C76B9C">
        <w:rPr>
          <w:sz w:val="17"/>
          <w:szCs w:val="17"/>
        </w:rPr>
        <w:t xml:space="preserve">on </w:t>
      </w:r>
      <w:r w:rsidRPr="00C76B9C">
        <w:rPr>
          <w:sz w:val="17"/>
          <w:szCs w:val="17"/>
        </w:rPr>
        <w:t>the underwriting KPI</w:t>
      </w:r>
      <w:r w:rsidR="009E6ECD" w:rsidRPr="00C76B9C">
        <w:rPr>
          <w:sz w:val="17"/>
          <w:szCs w:val="17"/>
        </w:rPr>
        <w:t>, in particular i</w:t>
      </w:r>
      <w:r w:rsidRPr="00C76B9C">
        <w:rPr>
          <w:sz w:val="17"/>
          <w:szCs w:val="17"/>
        </w:rPr>
        <w:t xml:space="preserve">t is unclear what </w:t>
      </w:r>
      <w:r w:rsidR="009E6ECD" w:rsidRPr="00C76B9C">
        <w:rPr>
          <w:sz w:val="17"/>
          <w:szCs w:val="17"/>
        </w:rPr>
        <w:t xml:space="preserve">the wording </w:t>
      </w:r>
      <w:r w:rsidRPr="00C76B9C">
        <w:rPr>
          <w:i/>
          <w:iCs/>
          <w:sz w:val="17"/>
          <w:szCs w:val="17"/>
        </w:rPr>
        <w:t>where applicable</w:t>
      </w:r>
      <w:r w:rsidRPr="00C76B9C">
        <w:rPr>
          <w:sz w:val="17"/>
          <w:szCs w:val="17"/>
        </w:rPr>
        <w:t xml:space="preserve"> refers to.</w:t>
      </w:r>
      <w:r w:rsidR="00BD41CA">
        <w:rPr>
          <w:sz w:val="17"/>
          <w:szCs w:val="17"/>
        </w:rPr>
        <w:t xml:space="preserve"> Such </w:t>
      </w:r>
      <w:r w:rsidR="00A446AF">
        <w:rPr>
          <w:sz w:val="17"/>
          <w:szCs w:val="17"/>
        </w:rPr>
        <w:t>lack of cl</w:t>
      </w:r>
      <w:r w:rsidR="00127B48">
        <w:rPr>
          <w:sz w:val="17"/>
          <w:szCs w:val="17"/>
        </w:rPr>
        <w:t>arity</w:t>
      </w:r>
      <w:r w:rsidR="00A446AF">
        <w:rPr>
          <w:sz w:val="17"/>
          <w:szCs w:val="17"/>
        </w:rPr>
        <w:t xml:space="preserve"> covers </w:t>
      </w:r>
      <w:r w:rsidR="008A0661">
        <w:rPr>
          <w:sz w:val="17"/>
          <w:szCs w:val="17"/>
        </w:rPr>
        <w:t>non-life insurance products</w:t>
      </w:r>
      <w:r w:rsidR="00BE0824">
        <w:rPr>
          <w:sz w:val="17"/>
          <w:szCs w:val="17"/>
        </w:rPr>
        <w:t>, too</w:t>
      </w:r>
      <w:r w:rsidR="008A0661">
        <w:rPr>
          <w:sz w:val="17"/>
          <w:szCs w:val="17"/>
        </w:rPr>
        <w:t>.</w:t>
      </w:r>
      <w:r w:rsidR="0047524F">
        <w:rPr>
          <w:sz w:val="17"/>
          <w:szCs w:val="17"/>
        </w:rPr>
        <w:t xml:space="preserve"> Also, it does not make sense to isolate premiums related to gas as they are anyway in principle </w:t>
      </w:r>
      <w:r w:rsidR="00953BA7">
        <w:rPr>
          <w:sz w:val="17"/>
          <w:szCs w:val="17"/>
        </w:rPr>
        <w:t xml:space="preserve">excluded because of the DNSH criteria. Therefore, FMPs need further clarification </w:t>
      </w:r>
      <w:r w:rsidR="00BE0824">
        <w:rPr>
          <w:sz w:val="17"/>
          <w:szCs w:val="17"/>
        </w:rPr>
        <w:t>on how to do it practically.</w:t>
      </w:r>
      <w:r w:rsidR="0047524F">
        <w:rPr>
          <w:sz w:val="17"/>
          <w:szCs w:val="17"/>
        </w:rPr>
        <w:t xml:space="preserve"> </w:t>
      </w:r>
    </w:p>
    <w:p w14:paraId="71DD4EC0" w14:textId="23904C93" w:rsidR="004D6D8D" w:rsidRDefault="004D6D8D" w:rsidP="00140468">
      <w:pPr>
        <w:pBdr>
          <w:top w:val="single" w:sz="4" w:space="1" w:color="auto"/>
          <w:left w:val="single" w:sz="4" w:space="4" w:color="auto"/>
          <w:bottom w:val="single" w:sz="4" w:space="1" w:color="auto"/>
          <w:right w:val="single" w:sz="4" w:space="4" w:color="auto"/>
        </w:pBdr>
        <w:rPr>
          <w:sz w:val="17"/>
          <w:szCs w:val="17"/>
        </w:rPr>
      </w:pPr>
    </w:p>
    <w:p w14:paraId="78E314AD" w14:textId="3F3D42F9" w:rsidR="00293AFB" w:rsidRPr="00C76B9C" w:rsidRDefault="004D6D8D" w:rsidP="00140468">
      <w:pPr>
        <w:pBdr>
          <w:top w:val="single" w:sz="4" w:space="1" w:color="auto"/>
          <w:left w:val="single" w:sz="4" w:space="4" w:color="auto"/>
          <w:bottom w:val="single" w:sz="4" w:space="1" w:color="auto"/>
          <w:right w:val="single" w:sz="4" w:space="4" w:color="auto"/>
        </w:pBdr>
        <w:rPr>
          <w:sz w:val="17"/>
          <w:szCs w:val="17"/>
        </w:rPr>
      </w:pPr>
      <w:r>
        <w:rPr>
          <w:sz w:val="17"/>
          <w:szCs w:val="17"/>
        </w:rPr>
        <w:t>A</w:t>
      </w:r>
      <w:r w:rsidR="00D9344E">
        <w:rPr>
          <w:sz w:val="17"/>
          <w:szCs w:val="17"/>
        </w:rPr>
        <w:t>dditionally, a</w:t>
      </w:r>
      <w:r w:rsidR="00293AFB" w:rsidRPr="00C76B9C">
        <w:rPr>
          <w:sz w:val="17"/>
          <w:szCs w:val="17"/>
        </w:rPr>
        <w:t xml:space="preserve">s mentioned in recital 15 of the Nuclear </w:t>
      </w:r>
      <w:r w:rsidR="008F4B09" w:rsidRPr="00C76B9C">
        <w:rPr>
          <w:sz w:val="17"/>
          <w:szCs w:val="17"/>
        </w:rPr>
        <w:t>and</w:t>
      </w:r>
      <w:r w:rsidR="00293AFB" w:rsidRPr="00C76B9C">
        <w:rPr>
          <w:sz w:val="17"/>
          <w:szCs w:val="17"/>
        </w:rPr>
        <w:t xml:space="preserve"> Gas </w:t>
      </w:r>
      <w:r w:rsidR="00972FFA" w:rsidRPr="00C76B9C">
        <w:rPr>
          <w:sz w:val="17"/>
          <w:szCs w:val="17"/>
        </w:rPr>
        <w:t>D</w:t>
      </w:r>
      <w:r w:rsidR="00293AFB" w:rsidRPr="00C76B9C">
        <w:rPr>
          <w:sz w:val="17"/>
          <w:szCs w:val="17"/>
        </w:rPr>
        <w:t xml:space="preserve">elegated Act, </w:t>
      </w:r>
      <w:r w:rsidR="00576504" w:rsidRPr="00C76B9C">
        <w:rPr>
          <w:i/>
          <w:iCs/>
          <w:sz w:val="17"/>
          <w:szCs w:val="17"/>
        </w:rPr>
        <w:t>i</w:t>
      </w:r>
      <w:r w:rsidR="00293AFB" w:rsidRPr="00C76B9C">
        <w:rPr>
          <w:i/>
          <w:iCs/>
          <w:sz w:val="17"/>
          <w:szCs w:val="17"/>
        </w:rPr>
        <w:t>t is necessary that non-financial and financial undertakings provide investors with a high degree of transparency concerning their investments in fossil gas and nuclear energy generation activities for which technical screening criteria should be laid down</w:t>
      </w:r>
      <w:r w:rsidR="00432861" w:rsidRPr="00C76B9C">
        <w:rPr>
          <w:sz w:val="17"/>
          <w:szCs w:val="17"/>
        </w:rPr>
        <w:t>;</w:t>
      </w:r>
      <w:r w:rsidR="00293AFB" w:rsidRPr="00C76B9C">
        <w:rPr>
          <w:sz w:val="17"/>
          <w:szCs w:val="17"/>
        </w:rPr>
        <w:t xml:space="preserve"> </w:t>
      </w:r>
      <w:r w:rsidR="00432861" w:rsidRPr="00C76B9C">
        <w:rPr>
          <w:sz w:val="17"/>
          <w:szCs w:val="17"/>
        </w:rPr>
        <w:t>t</w:t>
      </w:r>
      <w:r w:rsidR="00293AFB" w:rsidRPr="00C76B9C">
        <w:rPr>
          <w:sz w:val="17"/>
          <w:szCs w:val="17"/>
        </w:rPr>
        <w:t xml:space="preserve">he text refers to investments and </w:t>
      </w:r>
      <w:r w:rsidR="00432861" w:rsidRPr="00C76B9C">
        <w:rPr>
          <w:sz w:val="17"/>
          <w:szCs w:val="17"/>
        </w:rPr>
        <w:t xml:space="preserve">therefore </w:t>
      </w:r>
      <w:r w:rsidR="00293AFB" w:rsidRPr="00C76B9C">
        <w:rPr>
          <w:sz w:val="17"/>
          <w:szCs w:val="17"/>
        </w:rPr>
        <w:t xml:space="preserve">should only apply to the </w:t>
      </w:r>
      <w:r w:rsidR="00227B45" w:rsidRPr="00C76B9C">
        <w:rPr>
          <w:sz w:val="17"/>
          <w:szCs w:val="17"/>
        </w:rPr>
        <w:t>I</w:t>
      </w:r>
      <w:r w:rsidR="00293AFB" w:rsidRPr="00C76B9C">
        <w:rPr>
          <w:sz w:val="17"/>
          <w:szCs w:val="17"/>
        </w:rPr>
        <w:t xml:space="preserve">nvestment KPI of insurers. As already mentioned, the </w:t>
      </w:r>
      <w:r w:rsidR="00227B45" w:rsidRPr="00C76B9C">
        <w:rPr>
          <w:sz w:val="17"/>
          <w:szCs w:val="17"/>
        </w:rPr>
        <w:t>U</w:t>
      </w:r>
      <w:r w:rsidR="00293AFB" w:rsidRPr="00C76B9C">
        <w:rPr>
          <w:sz w:val="17"/>
          <w:szCs w:val="17"/>
        </w:rPr>
        <w:t>nderwriting KPI show</w:t>
      </w:r>
      <w:r w:rsidR="00576504" w:rsidRPr="00C76B9C">
        <w:rPr>
          <w:sz w:val="17"/>
          <w:szCs w:val="17"/>
        </w:rPr>
        <w:t>s</w:t>
      </w:r>
      <w:r w:rsidR="00293AFB" w:rsidRPr="00C76B9C">
        <w:rPr>
          <w:sz w:val="17"/>
          <w:szCs w:val="17"/>
        </w:rPr>
        <w:t xml:space="preserve"> the insurers</w:t>
      </w:r>
      <w:r w:rsidR="00576504" w:rsidRPr="00C76B9C">
        <w:rPr>
          <w:sz w:val="17"/>
          <w:szCs w:val="17"/>
        </w:rPr>
        <w:t>’</w:t>
      </w:r>
      <w:r w:rsidR="00293AFB" w:rsidRPr="00C76B9C">
        <w:rPr>
          <w:sz w:val="17"/>
          <w:szCs w:val="17"/>
        </w:rPr>
        <w:t xml:space="preserve"> contribution to the climate adaptation objective and should not be treated as other financial KPIs </w:t>
      </w:r>
      <w:r w:rsidR="00C706A5" w:rsidRPr="00C76B9C">
        <w:rPr>
          <w:sz w:val="17"/>
          <w:szCs w:val="17"/>
        </w:rPr>
        <w:t>aimi</w:t>
      </w:r>
      <w:r w:rsidR="00137026" w:rsidRPr="00C76B9C">
        <w:rPr>
          <w:sz w:val="17"/>
          <w:szCs w:val="17"/>
        </w:rPr>
        <w:t>n</w:t>
      </w:r>
      <w:r w:rsidR="00C706A5" w:rsidRPr="00C76B9C">
        <w:rPr>
          <w:sz w:val="17"/>
          <w:szCs w:val="17"/>
        </w:rPr>
        <w:t>g</w:t>
      </w:r>
      <w:r w:rsidR="00293AFB" w:rsidRPr="00C76B9C">
        <w:rPr>
          <w:sz w:val="17"/>
          <w:szCs w:val="17"/>
        </w:rPr>
        <w:t xml:space="preserve"> at financial flows towards environmentally sustainable activities.</w:t>
      </w:r>
    </w:p>
    <w:p w14:paraId="79D68477" w14:textId="77777777" w:rsidR="00186D15" w:rsidRPr="00C76B9C" w:rsidRDefault="00D22BE3" w:rsidP="00140468">
      <w:pPr>
        <w:pBdr>
          <w:top w:val="single" w:sz="4" w:space="1" w:color="auto"/>
          <w:left w:val="single" w:sz="4" w:space="4" w:color="auto"/>
          <w:bottom w:val="single" w:sz="4" w:space="1" w:color="auto"/>
          <w:right w:val="single" w:sz="4" w:space="4" w:color="auto"/>
        </w:pBdr>
        <w:rPr>
          <w:sz w:val="17"/>
          <w:szCs w:val="17"/>
        </w:rPr>
      </w:pPr>
      <w:r w:rsidRPr="00C76B9C">
        <w:rPr>
          <w:sz w:val="17"/>
          <w:szCs w:val="17"/>
        </w:rPr>
        <w:t>Moreover, publishing such information is operationally very challenging for insurers, as it would require a level of granularity that goes beyond the one required for the Underwriting KPI</w:t>
      </w:r>
      <w:r w:rsidR="00227B45" w:rsidRPr="00C76B9C">
        <w:rPr>
          <w:sz w:val="17"/>
          <w:szCs w:val="17"/>
        </w:rPr>
        <w:t xml:space="preserve">; indeed, </w:t>
      </w:r>
      <w:r w:rsidRPr="00C76B9C">
        <w:rPr>
          <w:sz w:val="17"/>
          <w:szCs w:val="17"/>
        </w:rPr>
        <w:t xml:space="preserve">the </w:t>
      </w:r>
      <w:r w:rsidR="00227B45" w:rsidRPr="00C76B9C">
        <w:rPr>
          <w:sz w:val="17"/>
          <w:szCs w:val="17"/>
        </w:rPr>
        <w:t>U</w:t>
      </w:r>
      <w:r w:rsidRPr="00C76B9C">
        <w:rPr>
          <w:sz w:val="17"/>
          <w:szCs w:val="17"/>
        </w:rPr>
        <w:t>nderwriting KPI is assessed at product level</w:t>
      </w:r>
      <w:r w:rsidR="002E02F2" w:rsidRPr="00C76B9C">
        <w:rPr>
          <w:sz w:val="17"/>
          <w:szCs w:val="17"/>
        </w:rPr>
        <w:t>,</w:t>
      </w:r>
      <w:r w:rsidRPr="00C76B9C">
        <w:rPr>
          <w:sz w:val="17"/>
          <w:szCs w:val="17"/>
        </w:rPr>
        <w:t xml:space="preserve"> while publishing exposures to nuclear and gas activities would require an analysis at contract level. </w:t>
      </w:r>
    </w:p>
    <w:p w14:paraId="3CD43888" w14:textId="77777777" w:rsidR="00FE0D2A" w:rsidRPr="00C76B9C" w:rsidRDefault="00FE0D2A" w:rsidP="00140468">
      <w:pPr>
        <w:pBdr>
          <w:top w:val="single" w:sz="4" w:space="1" w:color="auto"/>
          <w:left w:val="single" w:sz="4" w:space="4" w:color="auto"/>
          <w:bottom w:val="single" w:sz="4" w:space="1" w:color="auto"/>
          <w:right w:val="single" w:sz="4" w:space="4" w:color="auto"/>
        </w:pBdr>
        <w:rPr>
          <w:sz w:val="17"/>
          <w:szCs w:val="17"/>
        </w:rPr>
      </w:pPr>
    </w:p>
    <w:p w14:paraId="6DAD01B8" w14:textId="43B37698" w:rsidR="00137026" w:rsidRPr="00C76B9C" w:rsidRDefault="00D22BE3" w:rsidP="00140468">
      <w:pPr>
        <w:pBdr>
          <w:top w:val="single" w:sz="4" w:space="1" w:color="auto"/>
          <w:left w:val="single" w:sz="4" w:space="4" w:color="auto"/>
          <w:bottom w:val="single" w:sz="4" w:space="1" w:color="auto"/>
          <w:right w:val="single" w:sz="4" w:space="4" w:color="auto"/>
        </w:pBdr>
        <w:rPr>
          <w:sz w:val="17"/>
          <w:szCs w:val="17"/>
        </w:rPr>
      </w:pPr>
      <w:r w:rsidRPr="00C76B9C">
        <w:rPr>
          <w:sz w:val="17"/>
          <w:szCs w:val="17"/>
        </w:rPr>
        <w:lastRenderedPageBreak/>
        <w:t>This create</w:t>
      </w:r>
      <w:r w:rsidR="002E02F2" w:rsidRPr="00C76B9C">
        <w:rPr>
          <w:sz w:val="17"/>
          <w:szCs w:val="17"/>
        </w:rPr>
        <w:t>s</w:t>
      </w:r>
      <w:r w:rsidRPr="00C76B9C">
        <w:rPr>
          <w:sz w:val="17"/>
          <w:szCs w:val="17"/>
        </w:rPr>
        <w:t xml:space="preserve"> </w:t>
      </w:r>
      <w:r w:rsidR="00186D15" w:rsidRPr="00C76B9C">
        <w:rPr>
          <w:sz w:val="17"/>
          <w:szCs w:val="17"/>
        </w:rPr>
        <w:t xml:space="preserve">a </w:t>
      </w:r>
      <w:r w:rsidRPr="00C76B9C">
        <w:rPr>
          <w:sz w:val="17"/>
          <w:szCs w:val="17"/>
        </w:rPr>
        <w:t>disproportional burden for insurers</w:t>
      </w:r>
      <w:r w:rsidR="002E02F2" w:rsidRPr="00C76B9C">
        <w:rPr>
          <w:sz w:val="17"/>
          <w:szCs w:val="17"/>
        </w:rPr>
        <w:t xml:space="preserve">, who </w:t>
      </w:r>
      <w:r w:rsidR="00FF4459" w:rsidRPr="00C76B9C">
        <w:rPr>
          <w:sz w:val="17"/>
          <w:szCs w:val="17"/>
        </w:rPr>
        <w:t xml:space="preserve">already </w:t>
      </w:r>
      <w:r w:rsidR="00F9025A" w:rsidRPr="00C76B9C">
        <w:rPr>
          <w:sz w:val="17"/>
          <w:szCs w:val="17"/>
        </w:rPr>
        <w:t xml:space="preserve">have to </w:t>
      </w:r>
      <w:r w:rsidR="005E384A" w:rsidRPr="00C76B9C">
        <w:rPr>
          <w:sz w:val="17"/>
          <w:szCs w:val="17"/>
        </w:rPr>
        <w:t xml:space="preserve">fill in </w:t>
      </w:r>
      <w:r w:rsidR="00F9025A" w:rsidRPr="00C76B9C">
        <w:rPr>
          <w:sz w:val="17"/>
          <w:szCs w:val="17"/>
        </w:rPr>
        <w:t>several q</w:t>
      </w:r>
      <w:r w:rsidR="00186D15" w:rsidRPr="00C76B9C">
        <w:rPr>
          <w:sz w:val="17"/>
          <w:szCs w:val="17"/>
        </w:rPr>
        <w:t>uantitative templates according to the Q&amp;A</w:t>
      </w:r>
      <w:r w:rsidR="005807DA" w:rsidRPr="00C76B9C">
        <w:rPr>
          <w:sz w:val="17"/>
          <w:szCs w:val="17"/>
        </w:rPr>
        <w:t xml:space="preserve">: a detailed list of such </w:t>
      </w:r>
      <w:r w:rsidR="00946B8C" w:rsidRPr="00C76B9C">
        <w:rPr>
          <w:sz w:val="17"/>
          <w:szCs w:val="17"/>
        </w:rPr>
        <w:t xml:space="preserve">quantitative templates is presented in the </w:t>
      </w:r>
      <w:r w:rsidR="00946B8C" w:rsidRPr="00C76B9C">
        <w:rPr>
          <w:b/>
          <w:bCs/>
          <w:sz w:val="17"/>
          <w:szCs w:val="17"/>
        </w:rPr>
        <w:t>A</w:t>
      </w:r>
      <w:r w:rsidR="00B50BCD" w:rsidRPr="00C76B9C">
        <w:rPr>
          <w:b/>
          <w:bCs/>
          <w:sz w:val="17"/>
          <w:szCs w:val="17"/>
        </w:rPr>
        <w:t>NNEX</w:t>
      </w:r>
      <w:r w:rsidR="00946B8C" w:rsidRPr="00C76B9C">
        <w:rPr>
          <w:sz w:val="17"/>
          <w:szCs w:val="17"/>
        </w:rPr>
        <w:t xml:space="preserve"> to this document. </w:t>
      </w:r>
      <w:r w:rsidRPr="00C76B9C">
        <w:rPr>
          <w:sz w:val="17"/>
          <w:szCs w:val="17"/>
        </w:rPr>
        <w:t xml:space="preserve">    </w:t>
      </w:r>
    </w:p>
    <w:p w14:paraId="54FF1FFF" w14:textId="77777777" w:rsidR="006B3369" w:rsidRPr="00C76B9C" w:rsidRDefault="006B3369" w:rsidP="006B3369">
      <w:pPr>
        <w:rPr>
          <w:sz w:val="17"/>
          <w:szCs w:val="17"/>
        </w:rPr>
      </w:pPr>
    </w:p>
    <w:p w14:paraId="3382E952" w14:textId="77777777" w:rsidR="00F72D66" w:rsidRPr="00C76B9C" w:rsidRDefault="00F72D66" w:rsidP="00F72D66">
      <w:pPr>
        <w:rPr>
          <w:sz w:val="17"/>
          <w:szCs w:val="17"/>
        </w:rPr>
      </w:pPr>
      <w:r w:rsidRPr="00C76B9C">
        <w:rPr>
          <w:sz w:val="17"/>
          <w:szCs w:val="17"/>
          <w:u w:val="single"/>
        </w:rPr>
        <w:t>Question 10</w:t>
      </w:r>
      <w:r w:rsidRPr="00C76B9C">
        <w:rPr>
          <w:sz w:val="17"/>
          <w:szCs w:val="17"/>
        </w:rPr>
        <w:t xml:space="preserve">: </w:t>
      </w:r>
      <w:r w:rsidRPr="00C76B9C">
        <w:rPr>
          <w:i/>
          <w:sz w:val="17"/>
          <w:szCs w:val="17"/>
        </w:rPr>
        <w:t>How should reporting parent undertakings adjust Taxonomy disclosures where the activities of one or more subsidiaries differ from the overall business model of the group?</w:t>
      </w:r>
    </w:p>
    <w:p w14:paraId="403DC39C" w14:textId="77777777" w:rsidR="00F72D66" w:rsidRPr="00C76B9C" w:rsidRDefault="00F72D66" w:rsidP="00F72D66">
      <w:pPr>
        <w:rPr>
          <w:sz w:val="17"/>
          <w:szCs w:val="17"/>
        </w:rPr>
      </w:pPr>
    </w:p>
    <w:p w14:paraId="1C8602D4" w14:textId="77777777" w:rsidR="00F72D66" w:rsidRPr="00C76B9C" w:rsidRDefault="00F72D66" w:rsidP="00F72D66">
      <w:pPr>
        <w:rPr>
          <w:i/>
          <w:sz w:val="17"/>
          <w:szCs w:val="17"/>
          <w:highlight w:val="yellow"/>
        </w:rPr>
      </w:pPr>
      <w:r w:rsidRPr="00C76B9C">
        <w:rPr>
          <w:sz w:val="17"/>
          <w:szCs w:val="17"/>
        </w:rPr>
        <w:t xml:space="preserve">EC: </w:t>
      </w:r>
      <w:r w:rsidRPr="00C76B9C">
        <w:rPr>
          <w:i/>
          <w:sz w:val="17"/>
          <w:szCs w:val="17"/>
        </w:rPr>
        <w:t>if the parent undertaking identifies significant differences between the risks or impacts of the group and the risks or impacts of one or more of its subsidiaries, the parent must provide an adequate understanding of the risks and impacts of these subsidiaries.</w:t>
      </w:r>
    </w:p>
    <w:p w14:paraId="5C27399C" w14:textId="77777777" w:rsidR="00F72D66" w:rsidRPr="00825FC4" w:rsidRDefault="00F72D66" w:rsidP="00F72D66">
      <w:pPr>
        <w:rPr>
          <w:i/>
          <w:iCs/>
          <w:sz w:val="17"/>
          <w:szCs w:val="17"/>
        </w:rPr>
      </w:pPr>
    </w:p>
    <w:p w14:paraId="67D9F128" w14:textId="52C7436C" w:rsidR="00F72D66" w:rsidRPr="00C76B9C" w:rsidRDefault="00F72D66" w:rsidP="00F72D66">
      <w:pPr>
        <w:pBdr>
          <w:top w:val="single" w:sz="4" w:space="1" w:color="auto"/>
          <w:left w:val="single" w:sz="4" w:space="4" w:color="auto"/>
          <w:bottom w:val="single" w:sz="4" w:space="1" w:color="auto"/>
          <w:right w:val="single" w:sz="4" w:space="4" w:color="auto"/>
        </w:pBdr>
        <w:rPr>
          <w:sz w:val="17"/>
          <w:szCs w:val="17"/>
        </w:rPr>
      </w:pPr>
      <w:r w:rsidRPr="00C76B9C">
        <w:rPr>
          <w:sz w:val="17"/>
          <w:szCs w:val="17"/>
        </w:rPr>
        <w:t xml:space="preserve">Insurance Europe highlights </w:t>
      </w:r>
      <w:r w:rsidR="00016FBF" w:rsidRPr="00C76B9C">
        <w:rPr>
          <w:sz w:val="17"/>
          <w:szCs w:val="17"/>
        </w:rPr>
        <w:t>that the Disclosure Delegated Act makes no reference to provid</w:t>
      </w:r>
      <w:r w:rsidR="00435782" w:rsidRPr="00C76B9C">
        <w:rPr>
          <w:sz w:val="17"/>
          <w:szCs w:val="17"/>
        </w:rPr>
        <w:t>e</w:t>
      </w:r>
      <w:r w:rsidR="00016FBF" w:rsidRPr="00C76B9C">
        <w:rPr>
          <w:sz w:val="17"/>
          <w:szCs w:val="17"/>
        </w:rPr>
        <w:t xml:space="preserve"> subsidiary</w:t>
      </w:r>
      <w:r w:rsidR="00435782" w:rsidRPr="00C76B9C">
        <w:rPr>
          <w:sz w:val="17"/>
          <w:szCs w:val="17"/>
        </w:rPr>
        <w:t xml:space="preserve"> level Taxonomy KPIs in the contextual information.</w:t>
      </w:r>
      <w:r w:rsidR="00016FBF" w:rsidRPr="00C76B9C">
        <w:rPr>
          <w:sz w:val="17"/>
          <w:szCs w:val="17"/>
        </w:rPr>
        <w:t xml:space="preserve"> </w:t>
      </w:r>
      <w:r w:rsidR="00D95BA7" w:rsidRPr="00C76B9C">
        <w:rPr>
          <w:sz w:val="17"/>
          <w:szCs w:val="17"/>
        </w:rPr>
        <w:t xml:space="preserve">Reporting implications based on different risk profiles of subsidiaries should not be integrated into the implementation guidance on the </w:t>
      </w:r>
      <w:r w:rsidR="00113B8C" w:rsidRPr="00C76B9C">
        <w:rPr>
          <w:sz w:val="17"/>
          <w:szCs w:val="17"/>
        </w:rPr>
        <w:t>T</w:t>
      </w:r>
      <w:r w:rsidR="00D95BA7" w:rsidRPr="00C76B9C">
        <w:rPr>
          <w:sz w:val="17"/>
          <w:szCs w:val="17"/>
        </w:rPr>
        <w:t>axonomy regulation itself.</w:t>
      </w:r>
    </w:p>
    <w:p w14:paraId="1A33B24B" w14:textId="77777777" w:rsidR="00F72D66" w:rsidRPr="00C76B9C" w:rsidRDefault="00F72D66" w:rsidP="006B3369">
      <w:pPr>
        <w:rPr>
          <w:sz w:val="17"/>
          <w:szCs w:val="17"/>
        </w:rPr>
      </w:pPr>
    </w:p>
    <w:p w14:paraId="42065D55" w14:textId="77777777" w:rsidR="00F72D66" w:rsidRPr="00C76B9C" w:rsidRDefault="00F72D66" w:rsidP="006B3369">
      <w:pPr>
        <w:rPr>
          <w:sz w:val="17"/>
          <w:szCs w:val="17"/>
        </w:rPr>
      </w:pPr>
    </w:p>
    <w:p w14:paraId="41212725" w14:textId="73CA1F06" w:rsidR="004B58DD" w:rsidRPr="00825FC4" w:rsidRDefault="007054B2" w:rsidP="001C0AFD">
      <w:pPr>
        <w:pStyle w:val="Odsekzoznamu"/>
        <w:numPr>
          <w:ilvl w:val="0"/>
          <w:numId w:val="6"/>
        </w:numPr>
        <w:rPr>
          <w:rFonts w:ascii="Verdana" w:hAnsi="Verdana"/>
          <w:i/>
          <w:sz w:val="17"/>
          <w:szCs w:val="17"/>
        </w:rPr>
      </w:pPr>
      <w:r w:rsidRPr="00C76B9C">
        <w:rPr>
          <w:rFonts w:ascii="Verdana" w:hAnsi="Verdana"/>
          <w:b/>
          <w:bCs/>
          <w:sz w:val="17"/>
          <w:szCs w:val="17"/>
          <w:u w:val="single"/>
        </w:rPr>
        <w:t xml:space="preserve">Answers provided </w:t>
      </w:r>
      <w:r w:rsidR="009D70DB" w:rsidRPr="00C76B9C">
        <w:rPr>
          <w:rFonts w:ascii="Verdana" w:hAnsi="Verdana"/>
          <w:b/>
          <w:bCs/>
          <w:sz w:val="17"/>
          <w:szCs w:val="17"/>
          <w:u w:val="single"/>
        </w:rPr>
        <w:t xml:space="preserve">undermine </w:t>
      </w:r>
      <w:r w:rsidR="00B93554" w:rsidRPr="00C76B9C">
        <w:rPr>
          <w:rFonts w:ascii="Verdana" w:hAnsi="Verdana"/>
          <w:b/>
          <w:bCs/>
          <w:sz w:val="17"/>
          <w:szCs w:val="17"/>
          <w:u w:val="single"/>
        </w:rPr>
        <w:t xml:space="preserve">the meaningfulness/purpose or </w:t>
      </w:r>
      <w:r w:rsidRPr="00C76B9C">
        <w:rPr>
          <w:rFonts w:ascii="Verdana" w:hAnsi="Verdana"/>
          <w:b/>
          <w:bCs/>
          <w:sz w:val="17"/>
          <w:szCs w:val="17"/>
          <w:u w:val="single"/>
        </w:rPr>
        <w:t>create a disproportionate burden for FMPs.</w:t>
      </w:r>
    </w:p>
    <w:p w14:paraId="3E64BC12" w14:textId="77777777" w:rsidR="00CA37EC" w:rsidRPr="00C76B9C" w:rsidRDefault="00CA37EC" w:rsidP="00CA37EC">
      <w:pPr>
        <w:rPr>
          <w:i/>
          <w:iCs/>
          <w:sz w:val="17"/>
          <w:szCs w:val="17"/>
          <w:lang w:val="en-US"/>
        </w:rPr>
      </w:pPr>
      <w:r w:rsidRPr="00C76B9C">
        <w:rPr>
          <w:sz w:val="17"/>
          <w:szCs w:val="17"/>
          <w:u w:val="single"/>
          <w:lang w:val="en-US"/>
        </w:rPr>
        <w:t>Question 67</w:t>
      </w:r>
      <w:r w:rsidRPr="00C76B9C">
        <w:rPr>
          <w:sz w:val="17"/>
          <w:szCs w:val="17"/>
          <w:lang w:val="en-US"/>
        </w:rPr>
        <w:t xml:space="preserve">: </w:t>
      </w:r>
      <w:r w:rsidRPr="00C76B9C">
        <w:rPr>
          <w:i/>
          <w:iCs/>
          <w:sz w:val="17"/>
          <w:szCs w:val="17"/>
          <w:lang w:val="en-US"/>
        </w:rPr>
        <w:t>Regarding KPIs related to underwriting activities, for multi-risk insurance products covering also climate-related perils do insurance undertakings disclose as Taxonomy-aligned only the relevant share of the insurance premium related to climate-related perils or the full insurance premium embedded in a wider insurance product? Is it sufficient if at least one insurance policy in the line of business offers coverage of climate-related perils to infer the Taxonomy-alignment of the entire line of business?</w:t>
      </w:r>
    </w:p>
    <w:p w14:paraId="398FE6EA" w14:textId="77777777" w:rsidR="00CA37EC" w:rsidRPr="00C76B9C" w:rsidRDefault="00CA37EC" w:rsidP="00CA37EC">
      <w:pPr>
        <w:rPr>
          <w:sz w:val="17"/>
          <w:szCs w:val="17"/>
          <w:lang w:val="en-US"/>
        </w:rPr>
      </w:pPr>
    </w:p>
    <w:p w14:paraId="609A79D2" w14:textId="77777777" w:rsidR="00CA37EC" w:rsidRPr="00C76B9C" w:rsidRDefault="00CA37EC" w:rsidP="00CA37EC">
      <w:pPr>
        <w:rPr>
          <w:sz w:val="17"/>
          <w:szCs w:val="17"/>
          <w:lang w:val="en-US"/>
        </w:rPr>
      </w:pPr>
      <w:r w:rsidRPr="00C76B9C">
        <w:rPr>
          <w:sz w:val="17"/>
          <w:szCs w:val="17"/>
          <w:lang w:val="en-US"/>
        </w:rPr>
        <w:t xml:space="preserve">EC: </w:t>
      </w:r>
      <w:r w:rsidRPr="00C76B9C">
        <w:rPr>
          <w:i/>
          <w:iCs/>
          <w:sz w:val="17"/>
          <w:szCs w:val="17"/>
          <w:lang w:val="en-US"/>
        </w:rPr>
        <w:t>Insurance undertakings should use those insurance premiums, or corresponding shares of insurance premiums in case of multi-risk insurance contracts, that only pertain to the coverage of climate-related perils for the purpose of computing Taxonomy-alignment.</w:t>
      </w:r>
    </w:p>
    <w:p w14:paraId="21404CD3" w14:textId="77777777" w:rsidR="00CA37EC" w:rsidRPr="00C76B9C" w:rsidRDefault="00CA37EC" w:rsidP="00CA37EC">
      <w:pPr>
        <w:rPr>
          <w:sz w:val="17"/>
          <w:szCs w:val="17"/>
          <w:lang w:val="en-US"/>
        </w:rPr>
      </w:pPr>
    </w:p>
    <w:tbl>
      <w:tblPr>
        <w:tblStyle w:val="Mriekatabuky"/>
        <w:tblW w:w="0" w:type="auto"/>
        <w:tblLook w:val="04A0" w:firstRow="1" w:lastRow="0" w:firstColumn="1" w:lastColumn="0" w:noHBand="0" w:noVBand="1"/>
      </w:tblPr>
      <w:tblGrid>
        <w:gridCol w:w="9521"/>
      </w:tblGrid>
      <w:tr w:rsidR="007E0EF0" w:rsidRPr="00C76B9C" w14:paraId="56E52A28" w14:textId="77777777" w:rsidTr="007E0EF0">
        <w:tc>
          <w:tcPr>
            <w:tcW w:w="9521" w:type="dxa"/>
          </w:tcPr>
          <w:p w14:paraId="457ADC55" w14:textId="77777777" w:rsidR="00D441BC" w:rsidRDefault="001D3884" w:rsidP="00B50B7B">
            <w:pPr>
              <w:rPr>
                <w:sz w:val="17"/>
                <w:szCs w:val="17"/>
                <w:lang w:val="en-US"/>
              </w:rPr>
            </w:pPr>
            <w:r w:rsidRPr="00C76B9C">
              <w:rPr>
                <w:sz w:val="17"/>
                <w:szCs w:val="17"/>
                <w:lang w:val="en-US"/>
              </w:rPr>
              <w:t>Insurance Europe reiterates how t</w:t>
            </w:r>
            <w:r w:rsidR="002B01D2" w:rsidRPr="00C76B9C">
              <w:rPr>
                <w:sz w:val="17"/>
                <w:szCs w:val="17"/>
                <w:lang w:val="en-US"/>
              </w:rPr>
              <w:t xml:space="preserve">he </w:t>
            </w:r>
            <w:r w:rsidR="00925EEB" w:rsidRPr="00C76B9C">
              <w:rPr>
                <w:sz w:val="17"/>
                <w:szCs w:val="17"/>
                <w:lang w:val="en-US"/>
              </w:rPr>
              <w:t xml:space="preserve">split of </w:t>
            </w:r>
            <w:r w:rsidR="002B01D2" w:rsidRPr="00C76B9C">
              <w:rPr>
                <w:sz w:val="17"/>
                <w:szCs w:val="17"/>
                <w:lang w:val="en-US"/>
              </w:rPr>
              <w:t>premium</w:t>
            </w:r>
            <w:r w:rsidR="00925EEB" w:rsidRPr="00C76B9C">
              <w:rPr>
                <w:sz w:val="17"/>
                <w:szCs w:val="17"/>
                <w:lang w:val="en-US"/>
              </w:rPr>
              <w:t xml:space="preserve"> </w:t>
            </w:r>
            <w:r w:rsidR="002B01D2" w:rsidRPr="00C76B9C">
              <w:rPr>
                <w:sz w:val="17"/>
                <w:szCs w:val="17"/>
                <w:lang w:val="en-US"/>
              </w:rPr>
              <w:t>is not explicitly foreseen by Taxonomy</w:t>
            </w:r>
            <w:r w:rsidRPr="00C76B9C">
              <w:rPr>
                <w:sz w:val="17"/>
                <w:szCs w:val="17"/>
                <w:lang w:val="en-US"/>
              </w:rPr>
              <w:t xml:space="preserve">, </w:t>
            </w:r>
            <w:r w:rsidR="00695EE1" w:rsidRPr="00C76B9C">
              <w:rPr>
                <w:sz w:val="17"/>
                <w:szCs w:val="17"/>
                <w:lang w:val="en-US"/>
              </w:rPr>
              <w:t>and</w:t>
            </w:r>
            <w:r w:rsidR="00A01B78" w:rsidRPr="00C76B9C">
              <w:rPr>
                <w:sz w:val="17"/>
                <w:szCs w:val="17"/>
                <w:lang w:val="en-US"/>
              </w:rPr>
              <w:t xml:space="preserve"> </w:t>
            </w:r>
            <w:r w:rsidRPr="00C76B9C">
              <w:rPr>
                <w:sz w:val="17"/>
                <w:szCs w:val="17"/>
                <w:lang w:val="en-US"/>
              </w:rPr>
              <w:t xml:space="preserve">is </w:t>
            </w:r>
            <w:r w:rsidR="00A01B78" w:rsidRPr="00C76B9C">
              <w:rPr>
                <w:sz w:val="17"/>
                <w:szCs w:val="17"/>
                <w:lang w:val="en-US"/>
              </w:rPr>
              <w:t xml:space="preserve">not </w:t>
            </w:r>
            <w:r w:rsidR="002B01D2" w:rsidRPr="00C76B9C">
              <w:rPr>
                <w:sz w:val="17"/>
                <w:szCs w:val="17"/>
                <w:lang w:val="en-US"/>
              </w:rPr>
              <w:t>meaningful because disconnected from the insurance business</w:t>
            </w:r>
            <w:r w:rsidR="00695EE1" w:rsidRPr="00C76B9C">
              <w:rPr>
                <w:sz w:val="17"/>
                <w:szCs w:val="17"/>
                <w:lang w:val="en-US"/>
              </w:rPr>
              <w:t>:</w:t>
            </w:r>
            <w:r w:rsidR="008014F0" w:rsidRPr="00825FC4">
              <w:rPr>
                <w:sz w:val="17"/>
                <w:szCs w:val="17"/>
              </w:rPr>
              <w:t xml:space="preserve"> it </w:t>
            </w:r>
            <w:r w:rsidR="008014F0" w:rsidRPr="00C76B9C">
              <w:rPr>
                <w:sz w:val="17"/>
                <w:szCs w:val="17"/>
                <w:lang w:val="en-US"/>
              </w:rPr>
              <w:t>would result in a significant reduction in the number of insurance activities aligned with the Taxonomy; currently, these activities can only contribute to the environmental objective of climate change adaptation.</w:t>
            </w:r>
            <w:r w:rsidR="00B50B7B">
              <w:rPr>
                <w:sz w:val="17"/>
                <w:szCs w:val="17"/>
                <w:lang w:val="en-US"/>
              </w:rPr>
              <w:t xml:space="preserve"> </w:t>
            </w:r>
          </w:p>
          <w:p w14:paraId="79968274" w14:textId="77777777" w:rsidR="00D441BC" w:rsidRDefault="00D441BC" w:rsidP="00B50B7B">
            <w:pPr>
              <w:rPr>
                <w:sz w:val="17"/>
                <w:szCs w:val="17"/>
                <w:lang w:val="en-US"/>
              </w:rPr>
            </w:pPr>
          </w:p>
          <w:p w14:paraId="7DF300EE" w14:textId="03268B0C" w:rsidR="00695EE1" w:rsidRPr="00C76B9C" w:rsidRDefault="00F27675" w:rsidP="00422E6A">
            <w:pPr>
              <w:rPr>
                <w:sz w:val="17"/>
                <w:szCs w:val="17"/>
                <w:lang w:val="en-US"/>
              </w:rPr>
            </w:pPr>
            <w:r>
              <w:rPr>
                <w:sz w:val="17"/>
                <w:szCs w:val="17"/>
                <w:lang w:val="en-US"/>
              </w:rPr>
              <w:t>W</w:t>
            </w:r>
            <w:r w:rsidR="00B50B7B" w:rsidRPr="00B50B7B">
              <w:rPr>
                <w:sz w:val="17"/>
                <w:szCs w:val="17"/>
                <w:lang w:val="en-US"/>
              </w:rPr>
              <w:t>here climate</w:t>
            </w:r>
            <w:r>
              <w:rPr>
                <w:sz w:val="17"/>
                <w:szCs w:val="17"/>
                <w:lang w:val="en-US"/>
              </w:rPr>
              <w:t>-</w:t>
            </w:r>
            <w:r w:rsidR="00B50B7B" w:rsidRPr="00B50B7B">
              <w:rPr>
                <w:sz w:val="17"/>
                <w:szCs w:val="17"/>
                <w:lang w:val="en-US"/>
              </w:rPr>
              <w:t>related perils coverage is embedded in another wider product, insurers should base their disclosure on the full premium for the product</w:t>
            </w:r>
            <w:r w:rsidR="00465DE0">
              <w:rPr>
                <w:sz w:val="17"/>
                <w:szCs w:val="17"/>
                <w:lang w:val="en-US"/>
              </w:rPr>
              <w:t xml:space="preserve"> </w:t>
            </w:r>
            <w:r w:rsidR="00B50B7B" w:rsidRPr="00B50B7B">
              <w:rPr>
                <w:sz w:val="17"/>
                <w:szCs w:val="17"/>
                <w:lang w:val="en-US"/>
              </w:rPr>
              <w:t>rather than only the share of premium covering specific climate risks</w:t>
            </w:r>
            <w:r w:rsidR="00465DE0">
              <w:rPr>
                <w:sz w:val="17"/>
                <w:szCs w:val="17"/>
                <w:lang w:val="en-US"/>
              </w:rPr>
              <w:t xml:space="preserve">. </w:t>
            </w:r>
            <w:r w:rsidR="000D41DC">
              <w:rPr>
                <w:sz w:val="17"/>
                <w:szCs w:val="17"/>
                <w:lang w:val="en-US"/>
              </w:rPr>
              <w:t>Also</w:t>
            </w:r>
            <w:r w:rsidR="00D03646">
              <w:rPr>
                <w:sz w:val="17"/>
                <w:szCs w:val="17"/>
                <w:lang w:val="en-US"/>
              </w:rPr>
              <w:t>,</w:t>
            </w:r>
            <w:r w:rsidR="000D41DC">
              <w:rPr>
                <w:sz w:val="17"/>
                <w:szCs w:val="17"/>
                <w:lang w:val="en-US"/>
              </w:rPr>
              <w:t xml:space="preserve"> w</w:t>
            </w:r>
            <w:r w:rsidR="00422E6A" w:rsidRPr="00422E6A">
              <w:rPr>
                <w:sz w:val="17"/>
                <w:szCs w:val="17"/>
                <w:lang w:val="en-US"/>
              </w:rPr>
              <w:t xml:space="preserve">ith </w:t>
            </w:r>
            <w:r w:rsidR="00422E6A">
              <w:rPr>
                <w:sz w:val="17"/>
                <w:szCs w:val="17"/>
                <w:lang w:val="en-US"/>
              </w:rPr>
              <w:t xml:space="preserve">the split of premiums, </w:t>
            </w:r>
            <w:r w:rsidR="00422E6A" w:rsidRPr="00422E6A">
              <w:rPr>
                <w:sz w:val="17"/>
                <w:szCs w:val="17"/>
                <w:lang w:val="en-US"/>
              </w:rPr>
              <w:t>the reported KPI can give the wrong signals</w:t>
            </w:r>
            <w:r w:rsidR="005169E4">
              <w:rPr>
                <w:sz w:val="17"/>
                <w:szCs w:val="17"/>
                <w:lang w:val="en-US"/>
              </w:rPr>
              <w:t xml:space="preserve"> by </w:t>
            </w:r>
            <w:r w:rsidR="00422E6A" w:rsidRPr="00422E6A">
              <w:rPr>
                <w:sz w:val="17"/>
                <w:szCs w:val="17"/>
                <w:lang w:val="en-US"/>
              </w:rPr>
              <w:t>making an insurer look worse the more risk-based rewards they offer to customers.</w:t>
            </w:r>
          </w:p>
          <w:p w14:paraId="73ADA640" w14:textId="77777777" w:rsidR="00A16266" w:rsidRPr="00C76B9C" w:rsidRDefault="00A16266" w:rsidP="00CA37EC">
            <w:pPr>
              <w:rPr>
                <w:sz w:val="17"/>
                <w:szCs w:val="17"/>
                <w:lang w:val="en-US"/>
              </w:rPr>
            </w:pPr>
          </w:p>
          <w:p w14:paraId="16C28357" w14:textId="43AA9D4C" w:rsidR="007E0EF0" w:rsidRPr="00C76B9C" w:rsidRDefault="00A16266" w:rsidP="00CA37EC">
            <w:pPr>
              <w:rPr>
                <w:sz w:val="17"/>
                <w:szCs w:val="17"/>
                <w:lang w:val="en-US"/>
              </w:rPr>
            </w:pPr>
            <w:r w:rsidRPr="00C76B9C">
              <w:rPr>
                <w:sz w:val="17"/>
                <w:szCs w:val="17"/>
                <w:lang w:val="en-US"/>
              </w:rPr>
              <w:t xml:space="preserve">Moreover, the split of premiums </w:t>
            </w:r>
            <w:r w:rsidR="002B01D2" w:rsidRPr="00C76B9C">
              <w:rPr>
                <w:sz w:val="17"/>
                <w:szCs w:val="17"/>
                <w:lang w:val="en-US"/>
              </w:rPr>
              <w:t xml:space="preserve">does not serve the purpose of the law, and does not </w:t>
            </w:r>
            <w:r w:rsidR="00E44AD9" w:rsidRPr="00C76B9C">
              <w:rPr>
                <w:sz w:val="17"/>
                <w:szCs w:val="17"/>
                <w:lang w:val="en-US"/>
              </w:rPr>
              <w:t xml:space="preserve">consider the </w:t>
            </w:r>
            <w:r w:rsidR="002B01D2" w:rsidRPr="00C76B9C">
              <w:rPr>
                <w:sz w:val="17"/>
                <w:szCs w:val="17"/>
                <w:lang w:val="en-US"/>
              </w:rPr>
              <w:t>(re)insurer’s active role in contributing to the environmental objective of climate change adaptation</w:t>
            </w:r>
            <w:r w:rsidR="00925EEB" w:rsidRPr="00C76B9C">
              <w:rPr>
                <w:sz w:val="17"/>
                <w:szCs w:val="17"/>
                <w:lang w:val="en-US"/>
              </w:rPr>
              <w:t>:</w:t>
            </w:r>
            <w:r w:rsidR="002B01D2" w:rsidRPr="00C76B9C">
              <w:rPr>
                <w:sz w:val="17"/>
                <w:szCs w:val="17"/>
                <w:lang w:val="en-US"/>
              </w:rPr>
              <w:t xml:space="preserve"> Taxonomy aims to achieve transparency, comparability, consistency and reliability of sustainability information</w:t>
            </w:r>
            <w:r w:rsidR="00E64BA3" w:rsidRPr="00C76B9C">
              <w:rPr>
                <w:sz w:val="17"/>
                <w:szCs w:val="17"/>
                <w:lang w:val="en-US"/>
              </w:rPr>
              <w:t>,</w:t>
            </w:r>
            <w:r w:rsidR="002B01D2" w:rsidRPr="00C76B9C">
              <w:rPr>
                <w:sz w:val="17"/>
                <w:szCs w:val="17"/>
                <w:lang w:val="en-US"/>
              </w:rPr>
              <w:t xml:space="preserve"> </w:t>
            </w:r>
            <w:r w:rsidR="00E64BA3" w:rsidRPr="00C76B9C">
              <w:rPr>
                <w:sz w:val="17"/>
                <w:szCs w:val="17"/>
                <w:lang w:val="en-US"/>
              </w:rPr>
              <w:t>while s</w:t>
            </w:r>
            <w:r w:rsidR="002B01D2" w:rsidRPr="00C76B9C">
              <w:rPr>
                <w:sz w:val="17"/>
                <w:szCs w:val="17"/>
                <w:lang w:val="en-US"/>
              </w:rPr>
              <w:t xml:space="preserve">plitting premiums for taxonomy-aligned insurance activities would create inconsistency and incomparability with other </w:t>
            </w:r>
            <w:r w:rsidR="002F4FD2" w:rsidRPr="00C76B9C">
              <w:rPr>
                <w:sz w:val="17"/>
                <w:szCs w:val="17"/>
                <w:lang w:val="en-US"/>
              </w:rPr>
              <w:t xml:space="preserve">financial </w:t>
            </w:r>
            <w:r w:rsidR="002B01D2" w:rsidRPr="00C76B9C">
              <w:rPr>
                <w:sz w:val="17"/>
                <w:szCs w:val="17"/>
                <w:lang w:val="en-US"/>
              </w:rPr>
              <w:t>sectors</w:t>
            </w:r>
            <w:r w:rsidR="002F4FD2" w:rsidRPr="00C76B9C">
              <w:rPr>
                <w:sz w:val="17"/>
                <w:szCs w:val="17"/>
                <w:lang w:val="en-US"/>
              </w:rPr>
              <w:t xml:space="preserve"> </w:t>
            </w:r>
            <w:r w:rsidR="002B01D2" w:rsidRPr="00C76B9C">
              <w:rPr>
                <w:sz w:val="17"/>
                <w:szCs w:val="17"/>
                <w:lang w:val="en-US"/>
              </w:rPr>
              <w:t xml:space="preserve">where </w:t>
            </w:r>
            <w:r w:rsidR="002F4FD2" w:rsidRPr="00C76B9C">
              <w:rPr>
                <w:sz w:val="17"/>
                <w:szCs w:val="17"/>
                <w:lang w:val="en-US"/>
              </w:rPr>
              <w:t xml:space="preserve">splitting </w:t>
            </w:r>
            <w:r w:rsidR="002B01D2" w:rsidRPr="00C76B9C">
              <w:rPr>
                <w:sz w:val="17"/>
                <w:szCs w:val="17"/>
                <w:lang w:val="en-US"/>
              </w:rPr>
              <w:t>premium is not required.</w:t>
            </w:r>
          </w:p>
          <w:p w14:paraId="1F4F6B27" w14:textId="77777777" w:rsidR="00B378D4" w:rsidRPr="00C76B9C" w:rsidRDefault="00B378D4" w:rsidP="00CA37EC">
            <w:pPr>
              <w:rPr>
                <w:sz w:val="17"/>
                <w:szCs w:val="17"/>
                <w:lang w:val="en-US"/>
              </w:rPr>
            </w:pPr>
          </w:p>
          <w:p w14:paraId="27C1F51D" w14:textId="5D915660" w:rsidR="007E0EF0" w:rsidRPr="00C76B9C" w:rsidRDefault="00B378D4" w:rsidP="00CA37EC">
            <w:pPr>
              <w:rPr>
                <w:sz w:val="17"/>
                <w:szCs w:val="17"/>
                <w:lang w:val="en-US"/>
              </w:rPr>
            </w:pPr>
            <w:r w:rsidRPr="00C76B9C">
              <w:rPr>
                <w:sz w:val="17"/>
                <w:szCs w:val="17"/>
                <w:lang w:val="en-US"/>
              </w:rPr>
              <w:t xml:space="preserve">Whether </w:t>
            </w:r>
            <w:r w:rsidR="0004255E" w:rsidRPr="00C76B9C">
              <w:rPr>
                <w:sz w:val="17"/>
                <w:szCs w:val="17"/>
                <w:lang w:val="en-US"/>
              </w:rPr>
              <w:t xml:space="preserve">the split of premiums is pursued, </w:t>
            </w:r>
            <w:r w:rsidR="000C2C34" w:rsidRPr="00C76B9C">
              <w:rPr>
                <w:sz w:val="17"/>
                <w:szCs w:val="17"/>
                <w:lang w:val="en-US"/>
              </w:rPr>
              <w:t xml:space="preserve">it is crucial to </w:t>
            </w:r>
            <w:r w:rsidR="002C16EF" w:rsidRPr="00C76B9C">
              <w:rPr>
                <w:sz w:val="17"/>
                <w:szCs w:val="17"/>
                <w:lang w:val="en-US"/>
              </w:rPr>
              <w:t xml:space="preserve">have the same computation method for aligned and eligible premiums: </w:t>
            </w:r>
            <w:r w:rsidR="00027146" w:rsidRPr="00C76B9C">
              <w:rPr>
                <w:sz w:val="17"/>
                <w:szCs w:val="17"/>
                <w:lang w:val="en-US"/>
              </w:rPr>
              <w:t>in line with the understanding that the KPI category "eligible, but not aligned" should show what is theoretically achievable but has not yet been achieved, the value of the taxonomy eligibility should be considered to be reduced to the premium share that corresponds to the share of insured climate-related perils</w:t>
            </w:r>
            <w:r w:rsidR="009317DC" w:rsidRPr="00C76B9C">
              <w:rPr>
                <w:sz w:val="17"/>
                <w:szCs w:val="17"/>
                <w:lang w:val="en-US"/>
              </w:rPr>
              <w:t xml:space="preserve">; such interpretation for the disclosure of taxonomy eligibility with regard to consistent reporting should be made clear in the Q&amp;A. </w:t>
            </w:r>
          </w:p>
        </w:tc>
      </w:tr>
    </w:tbl>
    <w:p w14:paraId="52BBA13F" w14:textId="77777777" w:rsidR="00CE7933" w:rsidRPr="00C76B9C" w:rsidRDefault="00CE7933" w:rsidP="00CE7933">
      <w:pPr>
        <w:rPr>
          <w:sz w:val="17"/>
          <w:szCs w:val="17"/>
        </w:rPr>
      </w:pPr>
    </w:p>
    <w:p w14:paraId="22EDA2AF" w14:textId="164F36F3" w:rsidR="00D13EEF" w:rsidRPr="00C76B9C" w:rsidRDefault="00CF7CEB" w:rsidP="00CA37EC">
      <w:pPr>
        <w:rPr>
          <w:i/>
          <w:sz w:val="17"/>
          <w:szCs w:val="17"/>
        </w:rPr>
      </w:pPr>
      <w:r w:rsidRPr="00C76B9C">
        <w:rPr>
          <w:sz w:val="17"/>
          <w:szCs w:val="17"/>
          <w:u w:val="single"/>
        </w:rPr>
        <w:t>Question</w:t>
      </w:r>
      <w:r w:rsidR="002A601D" w:rsidRPr="00C76B9C">
        <w:rPr>
          <w:sz w:val="17"/>
          <w:szCs w:val="17"/>
          <w:u w:val="single"/>
        </w:rPr>
        <w:t>s</w:t>
      </w:r>
      <w:r w:rsidRPr="00C76B9C">
        <w:rPr>
          <w:sz w:val="17"/>
          <w:szCs w:val="17"/>
          <w:u w:val="single"/>
        </w:rPr>
        <w:t xml:space="preserve"> </w:t>
      </w:r>
      <w:r w:rsidR="002A601D" w:rsidRPr="00C76B9C">
        <w:rPr>
          <w:sz w:val="17"/>
          <w:szCs w:val="17"/>
          <w:u w:val="single"/>
        </w:rPr>
        <w:t>33 and 37</w:t>
      </w:r>
      <w:r w:rsidR="002A601D" w:rsidRPr="00C76B9C">
        <w:rPr>
          <w:sz w:val="17"/>
          <w:szCs w:val="17"/>
        </w:rPr>
        <w:t xml:space="preserve">: </w:t>
      </w:r>
      <w:r w:rsidR="00D13EEF" w:rsidRPr="00C76B9C">
        <w:rPr>
          <w:i/>
          <w:sz w:val="17"/>
          <w:szCs w:val="17"/>
        </w:rPr>
        <w:t>In cases of financing where the use of proceeds is known, should a financial undertaking be expected to review all the documents attesting compliance with the TSC or should it accept the assessment of that compliance, including verification or assurance, submitted by the counterparty?</w:t>
      </w:r>
      <w:r w:rsidR="003A7132" w:rsidRPr="00C76B9C">
        <w:rPr>
          <w:i/>
          <w:sz w:val="17"/>
          <w:szCs w:val="17"/>
        </w:rPr>
        <w:t xml:space="preserve"> Do financial undertakings </w:t>
      </w:r>
      <w:r w:rsidR="003A7132" w:rsidRPr="00C76B9C">
        <w:rPr>
          <w:i/>
          <w:sz w:val="17"/>
          <w:szCs w:val="17"/>
        </w:rPr>
        <w:lastRenderedPageBreak/>
        <w:t>have to comply with minimum safeguards in conducting their activities or is compliance with minimum safeguards only relevant at the level of the investee company?</w:t>
      </w:r>
    </w:p>
    <w:p w14:paraId="7719ABB4" w14:textId="77777777" w:rsidR="003A7132" w:rsidRPr="00C76B9C" w:rsidRDefault="003A7132" w:rsidP="003A7132">
      <w:pPr>
        <w:rPr>
          <w:i/>
          <w:iCs/>
          <w:sz w:val="17"/>
          <w:szCs w:val="17"/>
          <w:lang w:val="en-US"/>
        </w:rPr>
      </w:pPr>
    </w:p>
    <w:p w14:paraId="2D49301E" w14:textId="77777777" w:rsidR="007B3E8C" w:rsidRPr="00C76B9C" w:rsidRDefault="003A7132" w:rsidP="007B3E8C">
      <w:pPr>
        <w:rPr>
          <w:i/>
          <w:sz w:val="17"/>
          <w:szCs w:val="17"/>
        </w:rPr>
      </w:pPr>
      <w:r w:rsidRPr="00C76B9C">
        <w:rPr>
          <w:sz w:val="17"/>
          <w:szCs w:val="17"/>
          <w:lang w:val="en-US"/>
        </w:rPr>
        <w:t>EC</w:t>
      </w:r>
      <w:r w:rsidR="0052118E" w:rsidRPr="00C76B9C">
        <w:rPr>
          <w:sz w:val="17"/>
          <w:szCs w:val="17"/>
          <w:lang w:val="en-US"/>
        </w:rPr>
        <w:t xml:space="preserve"> </w:t>
      </w:r>
      <w:r w:rsidR="004E32A1" w:rsidRPr="00C76B9C">
        <w:rPr>
          <w:sz w:val="17"/>
          <w:szCs w:val="17"/>
          <w:lang w:val="en-US"/>
        </w:rPr>
        <w:t>(</w:t>
      </w:r>
      <w:r w:rsidR="007B3E8C" w:rsidRPr="00C76B9C">
        <w:rPr>
          <w:sz w:val="17"/>
          <w:szCs w:val="17"/>
          <w:lang w:val="en-US"/>
        </w:rPr>
        <w:t>Q33)</w:t>
      </w:r>
      <w:r w:rsidRPr="00C76B9C">
        <w:rPr>
          <w:sz w:val="17"/>
          <w:szCs w:val="17"/>
          <w:lang w:val="en-US"/>
        </w:rPr>
        <w:t>:</w:t>
      </w:r>
      <w:r w:rsidR="007B3E8C" w:rsidRPr="00C76B9C">
        <w:rPr>
          <w:sz w:val="17"/>
          <w:szCs w:val="17"/>
          <w:lang w:val="en-US"/>
        </w:rPr>
        <w:t xml:space="preserve"> </w:t>
      </w:r>
      <w:r w:rsidR="007B3E8C" w:rsidRPr="00C76B9C">
        <w:rPr>
          <w:i/>
          <w:sz w:val="17"/>
          <w:szCs w:val="17"/>
        </w:rPr>
        <w:t xml:space="preserve">Financial undertakings rely on the accuracy of data and evidence provided by their counterparties. However, financial undertakings are also required to conduct adequate due diligence provided for in Directives 2009/65/EC57, 2009/138/EC58, and 2011/61/EU59, CRD, MiFID, and ensure their own compliance with the applicable law. (…) Therefore, financial undertakings should check whether the information concerning Taxonomy- alignment of economic activities provided by their counterparties includes adequate documentary evidence that respective individual TSC are met. </w:t>
      </w:r>
    </w:p>
    <w:p w14:paraId="39D73A30" w14:textId="77777777" w:rsidR="001D42B7" w:rsidRPr="00C76B9C" w:rsidRDefault="001D42B7" w:rsidP="007B3E8C">
      <w:pPr>
        <w:rPr>
          <w:i/>
          <w:iCs/>
          <w:sz w:val="17"/>
          <w:szCs w:val="17"/>
        </w:rPr>
      </w:pPr>
    </w:p>
    <w:p w14:paraId="7D188945" w14:textId="55084447" w:rsidR="001D42B7" w:rsidRPr="00C76B9C" w:rsidRDefault="001D42B7" w:rsidP="007B3E8C">
      <w:pPr>
        <w:rPr>
          <w:i/>
          <w:sz w:val="17"/>
          <w:szCs w:val="17"/>
        </w:rPr>
      </w:pPr>
      <w:r w:rsidRPr="00C76B9C">
        <w:rPr>
          <w:sz w:val="17"/>
          <w:szCs w:val="17"/>
        </w:rPr>
        <w:t>EC (</w:t>
      </w:r>
      <w:r w:rsidR="00871BDC" w:rsidRPr="00C76B9C">
        <w:rPr>
          <w:sz w:val="17"/>
          <w:szCs w:val="17"/>
        </w:rPr>
        <w:t>Q37):</w:t>
      </w:r>
      <w:r w:rsidR="00EF41FB" w:rsidRPr="00C76B9C">
        <w:rPr>
          <w:sz w:val="17"/>
          <w:szCs w:val="17"/>
        </w:rPr>
        <w:t xml:space="preserve"> </w:t>
      </w:r>
      <w:r w:rsidR="00EF41FB" w:rsidRPr="00C76B9C">
        <w:rPr>
          <w:i/>
          <w:sz w:val="17"/>
          <w:szCs w:val="17"/>
        </w:rPr>
        <w:t>However, financial undertakings should obtain adequate documentary evidence, such as Taxonomy-disclosures by the non-financial undertakings under the Disclosures Delegated Act, ascertaining that undertakings to which they are exposed meet the minimum safeguards to be able to compute as Taxonomy-aligned the exposures to those undertakings.</w:t>
      </w:r>
    </w:p>
    <w:p w14:paraId="0CBE398E" w14:textId="77777777" w:rsidR="00EF41FB" w:rsidRPr="00C76B9C" w:rsidRDefault="00EF41FB" w:rsidP="007B3E8C">
      <w:pPr>
        <w:rPr>
          <w:b/>
          <w:bCs/>
          <w:i/>
          <w:iCs/>
          <w:sz w:val="17"/>
          <w:szCs w:val="17"/>
        </w:rPr>
      </w:pPr>
    </w:p>
    <w:p w14:paraId="09493608" w14:textId="03AC1ECF" w:rsidR="00D13EEF" w:rsidRPr="00C76B9C" w:rsidRDefault="003E029E" w:rsidP="009336F7">
      <w:pPr>
        <w:pBdr>
          <w:top w:val="single" w:sz="4" w:space="1" w:color="auto"/>
          <w:left w:val="single" w:sz="4" w:space="4" w:color="auto"/>
          <w:bottom w:val="single" w:sz="4" w:space="1" w:color="auto"/>
          <w:right w:val="single" w:sz="4" w:space="4" w:color="auto"/>
        </w:pBdr>
        <w:rPr>
          <w:sz w:val="17"/>
          <w:szCs w:val="17"/>
        </w:rPr>
      </w:pPr>
      <w:r w:rsidRPr="00C76B9C">
        <w:rPr>
          <w:sz w:val="17"/>
          <w:szCs w:val="17"/>
        </w:rPr>
        <w:t>This interpretation is operationally impracticable</w:t>
      </w:r>
      <w:r w:rsidR="00F045AF" w:rsidRPr="00C76B9C">
        <w:rPr>
          <w:sz w:val="17"/>
          <w:szCs w:val="17"/>
        </w:rPr>
        <w:t>, and goes beyond what is required from the level 2 legislation.</w:t>
      </w:r>
      <w:r w:rsidR="00B7759B" w:rsidRPr="00C76B9C">
        <w:rPr>
          <w:sz w:val="17"/>
          <w:szCs w:val="17"/>
        </w:rPr>
        <w:t xml:space="preserve"> </w:t>
      </w:r>
    </w:p>
    <w:p w14:paraId="75A3E725" w14:textId="1CDBD3BC" w:rsidR="00B7759B" w:rsidRPr="00C76B9C" w:rsidRDefault="00B7759B" w:rsidP="009336F7">
      <w:pPr>
        <w:pBdr>
          <w:top w:val="single" w:sz="4" w:space="1" w:color="auto"/>
          <w:left w:val="single" w:sz="4" w:space="4" w:color="auto"/>
          <w:bottom w:val="single" w:sz="4" w:space="1" w:color="auto"/>
          <w:right w:val="single" w:sz="4" w:space="4" w:color="auto"/>
        </w:pBdr>
        <w:rPr>
          <w:sz w:val="17"/>
          <w:szCs w:val="17"/>
        </w:rPr>
      </w:pPr>
      <w:r w:rsidRPr="00C76B9C">
        <w:rPr>
          <w:sz w:val="17"/>
          <w:szCs w:val="17"/>
        </w:rPr>
        <w:t>The answer provided creates an operational overburden for FMPs</w:t>
      </w:r>
      <w:r w:rsidR="002333C3" w:rsidRPr="00C76B9C">
        <w:rPr>
          <w:sz w:val="17"/>
          <w:szCs w:val="17"/>
        </w:rPr>
        <w:t>: f</w:t>
      </w:r>
      <w:r w:rsidRPr="00C76B9C">
        <w:rPr>
          <w:sz w:val="17"/>
          <w:szCs w:val="17"/>
        </w:rPr>
        <w:t>inancial undertakings that handle investment portfolios with hundreds of counterparties cannot obtain individual documentary evidence from investee compan</w:t>
      </w:r>
      <w:r w:rsidR="002333C3" w:rsidRPr="00C76B9C">
        <w:rPr>
          <w:sz w:val="17"/>
          <w:szCs w:val="17"/>
        </w:rPr>
        <w:t>ies</w:t>
      </w:r>
      <w:r w:rsidRPr="00C76B9C">
        <w:rPr>
          <w:sz w:val="17"/>
          <w:szCs w:val="17"/>
        </w:rPr>
        <w:t xml:space="preserve">. FMPs </w:t>
      </w:r>
      <w:r w:rsidR="00DD2E95" w:rsidRPr="00C76B9C">
        <w:rPr>
          <w:sz w:val="17"/>
          <w:szCs w:val="17"/>
        </w:rPr>
        <w:t xml:space="preserve">mostly </w:t>
      </w:r>
      <w:r w:rsidR="00E464C1" w:rsidRPr="00C76B9C">
        <w:rPr>
          <w:sz w:val="17"/>
          <w:szCs w:val="17"/>
        </w:rPr>
        <w:t xml:space="preserve">rely </w:t>
      </w:r>
      <w:r w:rsidRPr="00C76B9C">
        <w:rPr>
          <w:sz w:val="17"/>
          <w:szCs w:val="17"/>
        </w:rPr>
        <w:t>on data providers to fill their taxonomy reporting</w:t>
      </w:r>
      <w:r w:rsidR="006F3D6C" w:rsidRPr="00C76B9C">
        <w:rPr>
          <w:sz w:val="17"/>
          <w:szCs w:val="17"/>
        </w:rPr>
        <w:t>,</w:t>
      </w:r>
      <w:r w:rsidRPr="00C76B9C">
        <w:rPr>
          <w:sz w:val="17"/>
          <w:szCs w:val="17"/>
        </w:rPr>
        <w:t xml:space="preserve"> and it would be hugely disproportionate to ask them to individually check M</w:t>
      </w:r>
      <w:r w:rsidR="00A855DC" w:rsidRPr="00C76B9C">
        <w:rPr>
          <w:sz w:val="17"/>
          <w:szCs w:val="17"/>
        </w:rPr>
        <w:t xml:space="preserve">inimum </w:t>
      </w:r>
      <w:r w:rsidRPr="00C76B9C">
        <w:rPr>
          <w:sz w:val="17"/>
          <w:szCs w:val="17"/>
        </w:rPr>
        <w:t>S</w:t>
      </w:r>
      <w:r w:rsidR="00A855DC" w:rsidRPr="00C76B9C">
        <w:rPr>
          <w:sz w:val="17"/>
          <w:szCs w:val="17"/>
        </w:rPr>
        <w:t xml:space="preserve">ocial </w:t>
      </w:r>
      <w:r w:rsidRPr="00C76B9C">
        <w:rPr>
          <w:sz w:val="17"/>
          <w:szCs w:val="17"/>
        </w:rPr>
        <w:t>S</w:t>
      </w:r>
      <w:r w:rsidR="00A855DC" w:rsidRPr="00C76B9C">
        <w:rPr>
          <w:sz w:val="17"/>
          <w:szCs w:val="17"/>
        </w:rPr>
        <w:t>afeguard</w:t>
      </w:r>
      <w:r w:rsidR="00C248B5" w:rsidRPr="00C76B9C">
        <w:rPr>
          <w:sz w:val="17"/>
          <w:szCs w:val="17"/>
        </w:rPr>
        <w:t>s</w:t>
      </w:r>
      <w:r w:rsidRPr="00C76B9C">
        <w:rPr>
          <w:sz w:val="17"/>
          <w:szCs w:val="17"/>
        </w:rPr>
        <w:t xml:space="preserve"> </w:t>
      </w:r>
      <w:r w:rsidR="00C248B5" w:rsidRPr="00C76B9C">
        <w:rPr>
          <w:sz w:val="17"/>
          <w:szCs w:val="17"/>
        </w:rPr>
        <w:t xml:space="preserve">(MSS) </w:t>
      </w:r>
      <w:r w:rsidRPr="00C76B9C">
        <w:rPr>
          <w:sz w:val="17"/>
          <w:szCs w:val="17"/>
        </w:rPr>
        <w:t>compliance of counterparties. In addition, as taxonomy data is subject to external verification, such complementary due diligence is also unnecessary</w:t>
      </w:r>
      <w:r w:rsidR="00DD2E95" w:rsidRPr="00C76B9C">
        <w:rPr>
          <w:sz w:val="17"/>
          <w:szCs w:val="17"/>
        </w:rPr>
        <w:t>: e</w:t>
      </w:r>
      <w:r w:rsidRPr="00C76B9C">
        <w:rPr>
          <w:sz w:val="17"/>
          <w:szCs w:val="17"/>
        </w:rPr>
        <w:t>xternal auditors a</w:t>
      </w:r>
      <w:r w:rsidR="00DD2E95" w:rsidRPr="00C76B9C">
        <w:rPr>
          <w:sz w:val="17"/>
          <w:szCs w:val="17"/>
        </w:rPr>
        <w:t>re</w:t>
      </w:r>
      <w:r w:rsidRPr="00C76B9C">
        <w:rPr>
          <w:sz w:val="17"/>
          <w:szCs w:val="17"/>
        </w:rPr>
        <w:t xml:space="preserve"> much better placed to assess compliance of MSS than investment teams of financial institutions.</w:t>
      </w:r>
    </w:p>
    <w:p w14:paraId="3F722D53" w14:textId="77777777" w:rsidR="009336F7" w:rsidRPr="00C76B9C" w:rsidRDefault="009336F7" w:rsidP="003D0236">
      <w:pPr>
        <w:rPr>
          <w:sz w:val="17"/>
          <w:szCs w:val="17"/>
        </w:rPr>
      </w:pPr>
    </w:p>
    <w:p w14:paraId="4B0ADDB4" w14:textId="60B31022" w:rsidR="00A81BFC" w:rsidRPr="00C76B9C" w:rsidRDefault="00B75572" w:rsidP="00A81BFC">
      <w:pPr>
        <w:rPr>
          <w:i/>
          <w:iCs/>
          <w:sz w:val="17"/>
          <w:szCs w:val="17"/>
          <w:lang w:val="en-US"/>
        </w:rPr>
      </w:pPr>
      <w:r w:rsidRPr="00C76B9C">
        <w:rPr>
          <w:sz w:val="17"/>
          <w:szCs w:val="17"/>
          <w:u w:val="single"/>
        </w:rPr>
        <w:t>Question 31:</w:t>
      </w:r>
      <w:r w:rsidRPr="00C76B9C">
        <w:rPr>
          <w:i/>
          <w:iCs/>
          <w:sz w:val="17"/>
          <w:szCs w:val="17"/>
        </w:rPr>
        <w:t xml:space="preserve"> </w:t>
      </w:r>
      <w:r w:rsidR="00A81BFC" w:rsidRPr="00C76B9C">
        <w:rPr>
          <w:rFonts w:eastAsiaTheme="minorEastAsia"/>
          <w:i/>
          <w:sz w:val="17"/>
          <w:szCs w:val="17"/>
          <w:lang w:val="en-US"/>
        </w:rPr>
        <w:t>How should financial undertakings compute the breakdowns of their KPIs per environmental objectives?</w:t>
      </w:r>
    </w:p>
    <w:p w14:paraId="4CDBDCB7" w14:textId="7AE82A9D" w:rsidR="00B75572" w:rsidRPr="00C76B9C" w:rsidRDefault="00B75572" w:rsidP="003D0236">
      <w:pPr>
        <w:rPr>
          <w:i/>
          <w:iCs/>
          <w:sz w:val="17"/>
          <w:szCs w:val="17"/>
        </w:rPr>
      </w:pPr>
    </w:p>
    <w:p w14:paraId="22AF05D3" w14:textId="2F4DE73D" w:rsidR="00A81BFC" w:rsidRPr="00C76B9C" w:rsidRDefault="00A81BFC" w:rsidP="003D0236">
      <w:pPr>
        <w:rPr>
          <w:i/>
          <w:sz w:val="17"/>
          <w:szCs w:val="17"/>
        </w:rPr>
      </w:pPr>
      <w:r w:rsidRPr="00C76B9C">
        <w:rPr>
          <w:sz w:val="17"/>
          <w:szCs w:val="17"/>
        </w:rPr>
        <w:t xml:space="preserve">EC: </w:t>
      </w:r>
      <w:r w:rsidR="003F1D3F" w:rsidRPr="00C76B9C">
        <w:rPr>
          <w:i/>
          <w:iCs/>
          <w:sz w:val="17"/>
          <w:szCs w:val="17"/>
        </w:rPr>
        <w:t xml:space="preserve">Where the same exposure is relevant for two or more environmental objectives, financial undertakings should </w:t>
      </w:r>
      <w:r w:rsidR="003F1D3F" w:rsidRPr="00C76B9C">
        <w:rPr>
          <w:i/>
          <w:sz w:val="17"/>
          <w:szCs w:val="17"/>
        </w:rPr>
        <w:t xml:space="preserve">allocate it to the most relevant objective </w:t>
      </w:r>
      <w:r w:rsidR="003F1D3F" w:rsidRPr="00C76B9C">
        <w:rPr>
          <w:i/>
          <w:iCs/>
          <w:sz w:val="17"/>
          <w:szCs w:val="17"/>
        </w:rPr>
        <w:t xml:space="preserve">based on the information provided by the non-financial counterparty. </w:t>
      </w:r>
      <w:r w:rsidR="003F1D3F" w:rsidRPr="00C76B9C">
        <w:rPr>
          <w:i/>
          <w:sz w:val="17"/>
          <w:szCs w:val="17"/>
        </w:rPr>
        <w:t>Double counting is not allowed.</w:t>
      </w:r>
    </w:p>
    <w:p w14:paraId="0F61A931" w14:textId="77777777" w:rsidR="003F1D3F" w:rsidRPr="00C76B9C" w:rsidRDefault="003F1D3F" w:rsidP="003D0236">
      <w:pPr>
        <w:rPr>
          <w:b/>
          <w:bCs/>
          <w:i/>
          <w:iCs/>
          <w:sz w:val="17"/>
          <w:szCs w:val="17"/>
        </w:rPr>
      </w:pPr>
    </w:p>
    <w:p w14:paraId="2F3D936D" w14:textId="35F3C590" w:rsidR="003F1D3F" w:rsidRPr="00825FC4" w:rsidRDefault="00512B54" w:rsidP="004220EF">
      <w:pPr>
        <w:pBdr>
          <w:top w:val="single" w:sz="4" w:space="1" w:color="auto"/>
          <w:left w:val="single" w:sz="4" w:space="4" w:color="auto"/>
          <w:bottom w:val="single" w:sz="4" w:space="1" w:color="auto"/>
          <w:right w:val="single" w:sz="4" w:space="4" w:color="auto"/>
        </w:pBdr>
        <w:rPr>
          <w:sz w:val="17"/>
          <w:szCs w:val="17"/>
          <w:lang w:val="en-US"/>
        </w:rPr>
      </w:pPr>
      <w:r>
        <w:rPr>
          <w:sz w:val="17"/>
          <w:szCs w:val="17"/>
        </w:rPr>
        <w:t>This interpretation is flawed</w:t>
      </w:r>
      <w:r w:rsidR="00BE7B47" w:rsidRPr="00C76B9C">
        <w:rPr>
          <w:sz w:val="17"/>
          <w:szCs w:val="17"/>
        </w:rPr>
        <w:t>, financial undertakings should not bear the responsibility of choosing between several environmental objectives</w:t>
      </w:r>
      <w:r w:rsidR="00DB3713" w:rsidRPr="00C76B9C">
        <w:rPr>
          <w:sz w:val="17"/>
          <w:szCs w:val="17"/>
        </w:rPr>
        <w:t>; t</w:t>
      </w:r>
      <w:r w:rsidR="00BE7B47" w:rsidRPr="00C76B9C">
        <w:rPr>
          <w:sz w:val="17"/>
          <w:szCs w:val="17"/>
        </w:rPr>
        <w:t>he non-financial entities should clarify which is the main objective pursued.</w:t>
      </w:r>
    </w:p>
    <w:p w14:paraId="5E903577" w14:textId="77777777" w:rsidR="004220EF" w:rsidRPr="00825FC4" w:rsidRDefault="004220EF" w:rsidP="004220EF">
      <w:pPr>
        <w:rPr>
          <w:sz w:val="17"/>
          <w:szCs w:val="17"/>
          <w:lang w:val="en-US"/>
        </w:rPr>
      </w:pPr>
    </w:p>
    <w:p w14:paraId="46AEBB82" w14:textId="4D063740" w:rsidR="004220EF" w:rsidRPr="00C76B9C" w:rsidRDefault="005E77CF" w:rsidP="004220EF">
      <w:pPr>
        <w:rPr>
          <w:i/>
          <w:sz w:val="17"/>
          <w:szCs w:val="17"/>
          <w:lang w:val="en-US"/>
        </w:rPr>
      </w:pPr>
      <w:r w:rsidRPr="00C76B9C">
        <w:rPr>
          <w:sz w:val="17"/>
          <w:szCs w:val="17"/>
          <w:u w:val="single"/>
          <w:lang w:val="en-US"/>
        </w:rPr>
        <w:t>Question 2</w:t>
      </w:r>
      <w:r w:rsidR="00566446" w:rsidRPr="00C76B9C">
        <w:rPr>
          <w:sz w:val="17"/>
          <w:szCs w:val="17"/>
          <w:u w:val="single"/>
          <w:lang w:val="en-US"/>
        </w:rPr>
        <w:t>3</w:t>
      </w:r>
      <w:r w:rsidRPr="00C76B9C">
        <w:rPr>
          <w:sz w:val="17"/>
          <w:szCs w:val="17"/>
          <w:u w:val="single"/>
          <w:lang w:val="en-US"/>
        </w:rPr>
        <w:t>:</w:t>
      </w:r>
      <w:r w:rsidR="00566446" w:rsidRPr="00C76B9C">
        <w:rPr>
          <w:i/>
          <w:sz w:val="17"/>
          <w:szCs w:val="17"/>
          <w:u w:val="single"/>
          <w:lang w:val="en-US"/>
        </w:rPr>
        <w:t xml:space="preserve"> </w:t>
      </w:r>
      <w:r w:rsidR="00566446" w:rsidRPr="00C76B9C">
        <w:rPr>
          <w:i/>
          <w:sz w:val="17"/>
          <w:szCs w:val="17"/>
        </w:rPr>
        <w:t>If a credit institution assumes that buildings with an expired EPC class A which constitute collateral of residential mortgages in its portfolio are within the top 15% of the national or regional building stock expressed as operational primary energy demand (PED), would this constitute an estimate that could only be used for voluntary reporting?</w:t>
      </w:r>
      <w:r w:rsidRPr="00C76B9C">
        <w:rPr>
          <w:i/>
          <w:sz w:val="17"/>
          <w:szCs w:val="17"/>
          <w:lang w:val="en-US"/>
        </w:rPr>
        <w:t xml:space="preserve"> </w:t>
      </w:r>
    </w:p>
    <w:p w14:paraId="10FE313C" w14:textId="77777777" w:rsidR="00566446" w:rsidRPr="00825FC4" w:rsidRDefault="00566446" w:rsidP="004220EF">
      <w:pPr>
        <w:rPr>
          <w:sz w:val="17"/>
          <w:szCs w:val="17"/>
          <w:lang w:val="en-US"/>
        </w:rPr>
      </w:pPr>
    </w:p>
    <w:p w14:paraId="778BB6A2" w14:textId="12D0FC8E" w:rsidR="00566446" w:rsidRPr="00C76B9C" w:rsidRDefault="00566446" w:rsidP="004220EF">
      <w:pPr>
        <w:rPr>
          <w:sz w:val="17"/>
          <w:szCs w:val="17"/>
          <w:lang w:val="en-US"/>
        </w:rPr>
      </w:pPr>
      <w:r w:rsidRPr="00C76B9C">
        <w:rPr>
          <w:sz w:val="17"/>
          <w:szCs w:val="17"/>
          <w:lang w:val="en-US"/>
        </w:rPr>
        <w:t xml:space="preserve">EC: </w:t>
      </w:r>
      <w:r w:rsidR="005850C3" w:rsidRPr="00C76B9C">
        <w:rPr>
          <w:i/>
          <w:sz w:val="17"/>
          <w:szCs w:val="17"/>
        </w:rPr>
        <w:t xml:space="preserve">Assuming that buildings with expired EPC class A labels are automatically in the top 15% performance bracket alone would not on its own suffice to ascertain their Taxonomy-alignment and their inclusion into the numerator of relevant KPIs. Estimates of Taxonomy-alignment may, however, be disclosed on a voluntary basis </w:t>
      </w:r>
      <w:bookmarkStart w:id="1" w:name="_Hlk158912354"/>
      <w:r w:rsidR="005850C3" w:rsidRPr="00C76B9C">
        <w:rPr>
          <w:i/>
          <w:sz w:val="17"/>
          <w:szCs w:val="17"/>
        </w:rPr>
        <w:t>separately from the mandatory KPIs together with the methodology used to calculate such estimates.</w:t>
      </w:r>
    </w:p>
    <w:p w14:paraId="4960D2AE" w14:textId="77777777" w:rsidR="004220EF" w:rsidRPr="00825FC4" w:rsidRDefault="004220EF" w:rsidP="004220EF">
      <w:pPr>
        <w:rPr>
          <w:sz w:val="17"/>
          <w:szCs w:val="17"/>
          <w:lang w:val="en-US"/>
        </w:rPr>
      </w:pPr>
      <w:bookmarkStart w:id="2" w:name="_Hlk158912339"/>
    </w:p>
    <w:p w14:paraId="7C3C63D6" w14:textId="0D749CF8" w:rsidR="00152882" w:rsidRPr="00C76B9C" w:rsidRDefault="00FB34C9" w:rsidP="00825F28">
      <w:pPr>
        <w:pBdr>
          <w:top w:val="single" w:sz="4" w:space="1" w:color="auto"/>
          <w:left w:val="single" w:sz="4" w:space="4" w:color="auto"/>
          <w:bottom w:val="single" w:sz="4" w:space="1" w:color="auto"/>
          <w:right w:val="single" w:sz="4" w:space="4" w:color="auto"/>
        </w:pBdr>
        <w:rPr>
          <w:sz w:val="17"/>
          <w:szCs w:val="17"/>
          <w:lang w:val="en-US"/>
        </w:rPr>
      </w:pPr>
      <w:bookmarkStart w:id="3" w:name="BorderPlate"/>
      <w:bookmarkEnd w:id="3"/>
      <w:r w:rsidRPr="00C76B9C">
        <w:rPr>
          <w:sz w:val="17"/>
          <w:szCs w:val="17"/>
          <w:lang w:val="en-US"/>
        </w:rPr>
        <w:t>Assumption that buildings with expired EPC class A labels are automatically in the top 15% performance bracket alone</w:t>
      </w:r>
      <w:r w:rsidR="00EA4528" w:rsidRPr="00C76B9C">
        <w:rPr>
          <w:sz w:val="17"/>
          <w:szCs w:val="17"/>
          <w:lang w:val="en-US"/>
        </w:rPr>
        <w:t xml:space="preserve"> </w:t>
      </w:r>
      <w:r w:rsidR="00802BAB" w:rsidRPr="00C76B9C">
        <w:rPr>
          <w:sz w:val="17"/>
          <w:szCs w:val="17"/>
          <w:lang w:val="en-US"/>
        </w:rPr>
        <w:t xml:space="preserve">should be </w:t>
      </w:r>
      <w:r w:rsidRPr="00C76B9C">
        <w:rPr>
          <w:sz w:val="17"/>
          <w:szCs w:val="17"/>
          <w:lang w:val="en-US"/>
        </w:rPr>
        <w:t>suffic</w:t>
      </w:r>
      <w:r w:rsidR="00802BAB" w:rsidRPr="00C76B9C">
        <w:rPr>
          <w:sz w:val="17"/>
          <w:szCs w:val="17"/>
          <w:lang w:val="en-US"/>
        </w:rPr>
        <w:t>i</w:t>
      </w:r>
      <w:r w:rsidRPr="00C76B9C">
        <w:rPr>
          <w:sz w:val="17"/>
          <w:szCs w:val="17"/>
          <w:lang w:val="en-US"/>
        </w:rPr>
        <w:t>e</w:t>
      </w:r>
      <w:r w:rsidR="00802BAB" w:rsidRPr="00C76B9C">
        <w:rPr>
          <w:sz w:val="17"/>
          <w:szCs w:val="17"/>
          <w:lang w:val="en-US"/>
        </w:rPr>
        <w:t>nt</w:t>
      </w:r>
      <w:r w:rsidRPr="00C76B9C">
        <w:rPr>
          <w:sz w:val="17"/>
          <w:szCs w:val="17"/>
          <w:lang w:val="en-US"/>
        </w:rPr>
        <w:t xml:space="preserve"> to ascertain their Taxonomy-alignment and their inclusion into the numerator of relevant </w:t>
      </w:r>
      <w:bookmarkEnd w:id="2"/>
      <w:r w:rsidRPr="00C76B9C">
        <w:rPr>
          <w:sz w:val="17"/>
          <w:szCs w:val="17"/>
          <w:lang w:val="en-US"/>
        </w:rPr>
        <w:t>KPIs</w:t>
      </w:r>
      <w:r w:rsidR="00EA4528" w:rsidRPr="00C76B9C">
        <w:rPr>
          <w:sz w:val="17"/>
          <w:szCs w:val="17"/>
          <w:lang w:val="en-US"/>
        </w:rPr>
        <w:t xml:space="preserve">; </w:t>
      </w:r>
      <w:proofErr w:type="gramStart"/>
      <w:r w:rsidR="00EA4528" w:rsidRPr="00C76B9C">
        <w:rPr>
          <w:sz w:val="17"/>
          <w:szCs w:val="17"/>
          <w:lang w:val="en-US"/>
        </w:rPr>
        <w:t>otherwise</w:t>
      </w:r>
      <w:proofErr w:type="gramEnd"/>
      <w:r w:rsidR="00EA4528" w:rsidRPr="00C76B9C">
        <w:rPr>
          <w:sz w:val="17"/>
          <w:szCs w:val="17"/>
          <w:lang w:val="en-US"/>
        </w:rPr>
        <w:t xml:space="preserve"> the </w:t>
      </w:r>
      <w:r w:rsidR="00067730" w:rsidRPr="00C76B9C">
        <w:rPr>
          <w:sz w:val="17"/>
          <w:szCs w:val="17"/>
          <w:lang w:val="en-US"/>
        </w:rPr>
        <w:t xml:space="preserve">investigation and reporting </w:t>
      </w:r>
      <w:r w:rsidR="00EA4528" w:rsidRPr="00C76B9C">
        <w:rPr>
          <w:sz w:val="17"/>
          <w:szCs w:val="17"/>
          <w:lang w:val="en-US"/>
        </w:rPr>
        <w:t xml:space="preserve">burden </w:t>
      </w:r>
      <w:r w:rsidR="00AD4217" w:rsidRPr="00C76B9C">
        <w:rPr>
          <w:sz w:val="17"/>
          <w:szCs w:val="17"/>
          <w:lang w:val="en-US"/>
        </w:rPr>
        <w:t xml:space="preserve">for FMPs </w:t>
      </w:r>
      <w:r w:rsidR="00EA4528" w:rsidRPr="00C76B9C">
        <w:rPr>
          <w:sz w:val="17"/>
          <w:szCs w:val="17"/>
          <w:lang w:val="en-US"/>
        </w:rPr>
        <w:t xml:space="preserve">would be excessive. </w:t>
      </w:r>
    </w:p>
    <w:p w14:paraId="1BA80B81" w14:textId="77777777" w:rsidR="00825F28" w:rsidRDefault="00825F28" w:rsidP="00825F28">
      <w:pPr>
        <w:rPr>
          <w:sz w:val="17"/>
          <w:szCs w:val="17"/>
          <w:lang w:val="en-US"/>
        </w:rPr>
      </w:pPr>
    </w:p>
    <w:bookmarkEnd w:id="1"/>
    <w:p w14:paraId="0FDD868A" w14:textId="4AA86571" w:rsidR="00EE7BB7" w:rsidRDefault="00EE7BB7" w:rsidP="00692E1D">
      <w:pPr>
        <w:rPr>
          <w:sz w:val="17"/>
          <w:szCs w:val="17"/>
          <w:u w:val="single"/>
          <w:lang w:val="en-US"/>
        </w:rPr>
      </w:pPr>
    </w:p>
    <w:p w14:paraId="38D1B8EC" w14:textId="602542B2" w:rsidR="00A03620" w:rsidRPr="000E60B4" w:rsidRDefault="00EE7BB7" w:rsidP="00692E1D">
      <w:pPr>
        <w:rPr>
          <w:i/>
          <w:iCs/>
          <w:sz w:val="17"/>
          <w:szCs w:val="17"/>
          <w:lang w:val="en-US"/>
        </w:rPr>
      </w:pPr>
      <w:r>
        <w:rPr>
          <w:sz w:val="17"/>
          <w:szCs w:val="17"/>
          <w:u w:val="single"/>
          <w:lang w:val="en-US"/>
        </w:rPr>
        <w:t>Section 1. Context:</w:t>
      </w:r>
      <w:r w:rsidRPr="000E60B4">
        <w:rPr>
          <w:sz w:val="17"/>
          <w:szCs w:val="17"/>
          <w:lang w:val="en-US"/>
        </w:rPr>
        <w:t xml:space="preserve"> </w:t>
      </w:r>
      <w:r w:rsidRPr="000E60B4">
        <w:rPr>
          <w:i/>
          <w:iCs/>
          <w:sz w:val="17"/>
          <w:szCs w:val="17"/>
          <w:lang w:val="en-US"/>
        </w:rPr>
        <w:t>Neverthe</w:t>
      </w:r>
      <w:r w:rsidR="00692E1D" w:rsidRPr="000E60B4">
        <w:rPr>
          <w:i/>
          <w:iCs/>
          <w:sz w:val="17"/>
          <w:szCs w:val="17"/>
          <w:lang w:val="en-US"/>
        </w:rPr>
        <w:t>less, in the absence of sufficient data and adequate evidence, financial undertakings are encouraged to disclose on a voluntary basis and separately from their KPIs:</w:t>
      </w:r>
      <w:r w:rsidR="00A03620" w:rsidRPr="000E60B4">
        <w:rPr>
          <w:i/>
          <w:iCs/>
          <w:sz w:val="17"/>
          <w:szCs w:val="17"/>
          <w:lang w:val="en-US"/>
        </w:rPr>
        <w:t xml:space="preserve"> […] </w:t>
      </w:r>
    </w:p>
    <w:p w14:paraId="2630FE79" w14:textId="1C5B019A" w:rsidR="00A57682" w:rsidRPr="000E60B4" w:rsidRDefault="00EE7BB7" w:rsidP="00A57682">
      <w:pPr>
        <w:pStyle w:val="Odsekzoznamu"/>
        <w:numPr>
          <w:ilvl w:val="0"/>
          <w:numId w:val="17"/>
        </w:numPr>
        <w:rPr>
          <w:i/>
          <w:iCs/>
          <w:sz w:val="17"/>
          <w:szCs w:val="17"/>
        </w:rPr>
      </w:pPr>
      <w:r w:rsidRPr="000E60B4">
        <w:rPr>
          <w:rFonts w:ascii="Verdana" w:hAnsi="Verdana"/>
          <w:i/>
          <w:iCs/>
          <w:sz w:val="17"/>
          <w:szCs w:val="17"/>
        </w:rPr>
        <w:t>any information in relation to a partial alignment of their exposures with the EU Taxonomy (i.e. where only certain Taxonomy criteria are met or are proved to be met).</w:t>
      </w:r>
      <w:r w:rsidRPr="000E60B4">
        <w:rPr>
          <w:i/>
          <w:iCs/>
          <w:sz w:val="17"/>
          <w:szCs w:val="17"/>
        </w:rPr>
        <w:t xml:space="preserve"> </w:t>
      </w:r>
    </w:p>
    <w:p w14:paraId="114AFD9D" w14:textId="77777777" w:rsidR="00A564D4" w:rsidRPr="00A564D4" w:rsidRDefault="00A564D4" w:rsidP="00A564D4">
      <w:pPr>
        <w:rPr>
          <w:i/>
          <w:iCs/>
          <w:sz w:val="17"/>
          <w:szCs w:val="17"/>
          <w:u w:val="single"/>
        </w:rPr>
      </w:pPr>
    </w:p>
    <w:p w14:paraId="409F3895" w14:textId="4C136E13" w:rsidR="00A57682" w:rsidRPr="00C76B9C" w:rsidRDefault="00A57682" w:rsidP="00A57682">
      <w:pPr>
        <w:pBdr>
          <w:top w:val="single" w:sz="4" w:space="1" w:color="auto"/>
          <w:left w:val="single" w:sz="4" w:space="4" w:color="auto"/>
          <w:bottom w:val="single" w:sz="4" w:space="1" w:color="auto"/>
          <w:right w:val="single" w:sz="4" w:space="4" w:color="auto"/>
        </w:pBdr>
        <w:rPr>
          <w:sz w:val="17"/>
          <w:szCs w:val="17"/>
          <w:lang w:val="en-US"/>
        </w:rPr>
      </w:pPr>
      <w:r w:rsidRPr="00A57682">
        <w:rPr>
          <w:sz w:val="17"/>
          <w:szCs w:val="17"/>
          <w:lang w:val="en-US"/>
        </w:rPr>
        <w:t xml:space="preserve">There is no requirement in the delegated act to publish information on partial alignment of FMPs exposures. In addition, this would be practically unfeasible and would put </w:t>
      </w:r>
      <w:r w:rsidR="00D442BA">
        <w:rPr>
          <w:sz w:val="17"/>
          <w:szCs w:val="17"/>
          <w:lang w:val="en-US"/>
        </w:rPr>
        <w:t xml:space="preserve">an </w:t>
      </w:r>
      <w:r w:rsidRPr="00A57682">
        <w:rPr>
          <w:sz w:val="17"/>
          <w:szCs w:val="17"/>
          <w:lang w:val="en-US"/>
        </w:rPr>
        <w:t>excessive burden on financial actors. Indeed, FMPs do not have the resources to check partial alignment of thousands of counterparties they hold in their portfolios.</w:t>
      </w:r>
    </w:p>
    <w:p w14:paraId="374A70B0" w14:textId="77777777" w:rsidR="00A57682" w:rsidRDefault="00A57682" w:rsidP="00A57682">
      <w:pPr>
        <w:rPr>
          <w:sz w:val="17"/>
          <w:szCs w:val="17"/>
          <w:lang w:val="en-US"/>
        </w:rPr>
      </w:pPr>
    </w:p>
    <w:p w14:paraId="59AC21FC" w14:textId="77777777" w:rsidR="004A6112" w:rsidRDefault="004A6112" w:rsidP="00A57682">
      <w:pPr>
        <w:rPr>
          <w:sz w:val="17"/>
          <w:szCs w:val="17"/>
          <w:lang w:val="en-US"/>
        </w:rPr>
      </w:pPr>
    </w:p>
    <w:p w14:paraId="6B7004DC" w14:textId="77777777" w:rsidR="004A6112" w:rsidRDefault="004A6112" w:rsidP="00A57682">
      <w:pPr>
        <w:rPr>
          <w:sz w:val="17"/>
          <w:szCs w:val="17"/>
          <w:lang w:val="en-US"/>
        </w:rPr>
      </w:pPr>
    </w:p>
    <w:p w14:paraId="6DFF677C" w14:textId="2BB90C98" w:rsidR="001B6491" w:rsidRPr="00825FC4" w:rsidRDefault="001B6491" w:rsidP="001B6491">
      <w:pPr>
        <w:rPr>
          <w:b/>
          <w:bCs/>
          <w:sz w:val="17"/>
          <w:szCs w:val="17"/>
          <w:u w:val="single"/>
        </w:rPr>
      </w:pPr>
      <w:r w:rsidRPr="00825FC4">
        <w:rPr>
          <w:b/>
          <w:bCs/>
          <w:sz w:val="17"/>
          <w:szCs w:val="17"/>
          <w:u w:val="single"/>
        </w:rPr>
        <w:t xml:space="preserve">ANNEX: </w:t>
      </w:r>
      <w:r w:rsidR="00E85E84" w:rsidRPr="00825FC4">
        <w:rPr>
          <w:b/>
          <w:bCs/>
          <w:sz w:val="17"/>
          <w:szCs w:val="17"/>
          <w:u w:val="single"/>
        </w:rPr>
        <w:t>q</w:t>
      </w:r>
      <w:r w:rsidRPr="00825FC4">
        <w:rPr>
          <w:b/>
          <w:bCs/>
          <w:sz w:val="17"/>
          <w:szCs w:val="17"/>
          <w:u w:val="single"/>
        </w:rPr>
        <w:t xml:space="preserve">uantitative templates to be </w:t>
      </w:r>
      <w:r w:rsidR="009E4EE1" w:rsidRPr="00825FC4">
        <w:rPr>
          <w:b/>
          <w:bCs/>
          <w:sz w:val="17"/>
          <w:szCs w:val="17"/>
          <w:u w:val="single"/>
        </w:rPr>
        <w:t xml:space="preserve">filled in </w:t>
      </w:r>
      <w:r w:rsidRPr="00825FC4">
        <w:rPr>
          <w:b/>
          <w:bCs/>
          <w:sz w:val="17"/>
          <w:szCs w:val="17"/>
          <w:u w:val="single"/>
        </w:rPr>
        <w:t>by an insurance group according to the Q&amp;A</w:t>
      </w:r>
    </w:p>
    <w:p w14:paraId="7A320411" w14:textId="77777777" w:rsidR="001B6491" w:rsidRPr="00825FC4" w:rsidRDefault="001B6491" w:rsidP="001B6491">
      <w:pPr>
        <w:rPr>
          <w:b/>
          <w:bCs/>
          <w:sz w:val="17"/>
          <w:szCs w:val="17"/>
        </w:rPr>
      </w:pPr>
    </w:p>
    <w:p w14:paraId="6BD30279" w14:textId="77777777" w:rsidR="001B6491" w:rsidRPr="00825FC4" w:rsidRDefault="001B6491" w:rsidP="001B6491">
      <w:pPr>
        <w:rPr>
          <w:b/>
          <w:bCs/>
          <w:sz w:val="17"/>
          <w:szCs w:val="17"/>
        </w:rPr>
      </w:pPr>
      <w:r w:rsidRPr="00825FC4">
        <w:rPr>
          <w:b/>
          <w:bCs/>
          <w:sz w:val="17"/>
          <w:szCs w:val="17"/>
        </w:rPr>
        <w:t xml:space="preserve">Underwriting KPI </w:t>
      </w:r>
    </w:p>
    <w:p w14:paraId="1912D75E" w14:textId="77777777" w:rsidR="001B6491" w:rsidRPr="00825FC4" w:rsidRDefault="001B6491" w:rsidP="00370F88">
      <w:pPr>
        <w:pStyle w:val="Odsekzoznamu"/>
        <w:numPr>
          <w:ilvl w:val="0"/>
          <w:numId w:val="11"/>
        </w:numPr>
        <w:rPr>
          <w:rFonts w:ascii="Verdana" w:hAnsi="Verdana"/>
          <w:sz w:val="17"/>
          <w:szCs w:val="17"/>
        </w:rPr>
      </w:pPr>
      <w:r w:rsidRPr="00825FC4">
        <w:rPr>
          <w:rFonts w:ascii="Verdana" w:hAnsi="Verdana"/>
          <w:sz w:val="17"/>
          <w:szCs w:val="17"/>
        </w:rPr>
        <w:t>1 mandatory template (Annex 10 of DDA) for the non-life underwriting KPI</w:t>
      </w:r>
    </w:p>
    <w:p w14:paraId="02DCEAEC" w14:textId="77777777" w:rsidR="001B6491" w:rsidRPr="00825FC4" w:rsidRDefault="001B6491" w:rsidP="00370F88">
      <w:pPr>
        <w:pStyle w:val="Odsekzoznamu"/>
        <w:numPr>
          <w:ilvl w:val="0"/>
          <w:numId w:val="11"/>
        </w:numPr>
        <w:rPr>
          <w:rFonts w:ascii="Verdana" w:hAnsi="Verdana"/>
          <w:sz w:val="17"/>
          <w:szCs w:val="17"/>
        </w:rPr>
      </w:pPr>
      <w:r w:rsidRPr="00825FC4">
        <w:rPr>
          <w:rFonts w:ascii="Verdana" w:hAnsi="Verdana"/>
          <w:sz w:val="17"/>
          <w:szCs w:val="17"/>
        </w:rPr>
        <w:t>5 mandatory templates on nuclear &amp; gas exposures (Annex 12 of DDA + Q.29 of EU Commission Q&amp;A December 2023)</w:t>
      </w:r>
    </w:p>
    <w:p w14:paraId="388C148F" w14:textId="77777777" w:rsidR="00031D13" w:rsidRPr="00825FC4" w:rsidRDefault="00031D13" w:rsidP="00E85E84">
      <w:pPr>
        <w:ind w:left="-207"/>
        <w:rPr>
          <w:sz w:val="17"/>
          <w:szCs w:val="17"/>
        </w:rPr>
      </w:pPr>
    </w:p>
    <w:p w14:paraId="702D14EE" w14:textId="77777777" w:rsidR="001B6491" w:rsidRPr="00825FC4" w:rsidRDefault="001B6491" w:rsidP="001B6491">
      <w:pPr>
        <w:rPr>
          <w:b/>
          <w:bCs/>
          <w:sz w:val="17"/>
          <w:szCs w:val="17"/>
        </w:rPr>
      </w:pPr>
      <w:r w:rsidRPr="00825FC4">
        <w:rPr>
          <w:b/>
          <w:bCs/>
          <w:sz w:val="17"/>
          <w:szCs w:val="17"/>
        </w:rPr>
        <w:t>Investment KPI</w:t>
      </w:r>
    </w:p>
    <w:p w14:paraId="0C88ED52" w14:textId="77777777" w:rsidR="001B6491" w:rsidRPr="00825FC4" w:rsidRDefault="001B6491" w:rsidP="00370F88">
      <w:pPr>
        <w:pStyle w:val="Odsekzoznamu"/>
        <w:numPr>
          <w:ilvl w:val="0"/>
          <w:numId w:val="12"/>
        </w:numPr>
        <w:rPr>
          <w:rFonts w:ascii="Verdana" w:hAnsi="Verdana"/>
          <w:sz w:val="17"/>
          <w:szCs w:val="17"/>
        </w:rPr>
      </w:pPr>
      <w:r w:rsidRPr="00825FC4">
        <w:rPr>
          <w:rFonts w:ascii="Verdana" w:hAnsi="Verdana"/>
          <w:sz w:val="17"/>
          <w:szCs w:val="17"/>
        </w:rPr>
        <w:t>3 mandatory templates (annex 10 of DDA)</w:t>
      </w:r>
    </w:p>
    <w:p w14:paraId="7C051AC2" w14:textId="77777777" w:rsidR="001B6491" w:rsidRPr="00825FC4" w:rsidRDefault="001B6491" w:rsidP="00370F88">
      <w:pPr>
        <w:pStyle w:val="Odsekzoznamu"/>
        <w:numPr>
          <w:ilvl w:val="0"/>
          <w:numId w:val="12"/>
        </w:numPr>
        <w:rPr>
          <w:rFonts w:ascii="Verdana" w:hAnsi="Verdana"/>
          <w:sz w:val="17"/>
          <w:szCs w:val="17"/>
        </w:rPr>
      </w:pPr>
      <w:r w:rsidRPr="00825FC4">
        <w:rPr>
          <w:rFonts w:ascii="Verdana" w:hAnsi="Verdana"/>
          <w:sz w:val="17"/>
          <w:szCs w:val="17"/>
        </w:rPr>
        <w:t>3 optional templates with the voluntary information in case the data from counterparties is estimated (Commission Draft Notice 2022 – Q.20)</w:t>
      </w:r>
    </w:p>
    <w:p w14:paraId="6AE0789D" w14:textId="77777777" w:rsidR="001B6491" w:rsidRPr="00825FC4" w:rsidRDefault="001B6491" w:rsidP="00370F88">
      <w:pPr>
        <w:pStyle w:val="Odsekzoznamu"/>
        <w:numPr>
          <w:ilvl w:val="0"/>
          <w:numId w:val="12"/>
        </w:numPr>
        <w:rPr>
          <w:rFonts w:ascii="Verdana" w:hAnsi="Verdana"/>
          <w:sz w:val="17"/>
          <w:szCs w:val="17"/>
        </w:rPr>
      </w:pPr>
      <w:r w:rsidRPr="00825FC4">
        <w:rPr>
          <w:rFonts w:ascii="Verdana" w:hAnsi="Verdana"/>
          <w:sz w:val="17"/>
          <w:szCs w:val="17"/>
        </w:rPr>
        <w:t>1 optional template with voluntary additional quantitative information on counterparties not subject to the Taxonomy Regulation (Art 7 paragraph 7 of DDA)</w:t>
      </w:r>
    </w:p>
    <w:p w14:paraId="40800DDB" w14:textId="77777777" w:rsidR="001B6491" w:rsidRPr="00825FC4" w:rsidRDefault="001B6491" w:rsidP="00370F88">
      <w:pPr>
        <w:pStyle w:val="Odsekzoznamu"/>
        <w:numPr>
          <w:ilvl w:val="0"/>
          <w:numId w:val="12"/>
        </w:numPr>
        <w:rPr>
          <w:rFonts w:ascii="Verdana" w:hAnsi="Verdana"/>
          <w:sz w:val="17"/>
          <w:szCs w:val="17"/>
        </w:rPr>
      </w:pPr>
      <w:r w:rsidRPr="00825FC4">
        <w:rPr>
          <w:rFonts w:ascii="Verdana" w:hAnsi="Verdana"/>
          <w:sz w:val="17"/>
          <w:szCs w:val="17"/>
        </w:rPr>
        <w:t>5 mandatory templates on nuclear &amp; gas exposures with regards the turnover-based investment KPI (annex 12 of DDA)</w:t>
      </w:r>
    </w:p>
    <w:p w14:paraId="0BA056EA" w14:textId="77777777" w:rsidR="001B6491" w:rsidRPr="00825FC4" w:rsidRDefault="001B6491" w:rsidP="00370F88">
      <w:pPr>
        <w:pStyle w:val="Odsekzoznamu"/>
        <w:numPr>
          <w:ilvl w:val="0"/>
          <w:numId w:val="12"/>
        </w:numPr>
        <w:rPr>
          <w:rFonts w:ascii="Verdana" w:hAnsi="Verdana"/>
          <w:sz w:val="17"/>
          <w:szCs w:val="17"/>
        </w:rPr>
      </w:pPr>
      <w:r w:rsidRPr="00825FC4">
        <w:rPr>
          <w:rFonts w:ascii="Verdana" w:hAnsi="Verdana"/>
          <w:sz w:val="17"/>
          <w:szCs w:val="17"/>
        </w:rPr>
        <w:t xml:space="preserve">5 mandatory templates on nuclear &amp; gas exposures with regards the </w:t>
      </w:r>
      <w:proofErr w:type="spellStart"/>
      <w:r w:rsidRPr="00825FC4">
        <w:rPr>
          <w:rFonts w:ascii="Verdana" w:hAnsi="Verdana"/>
          <w:sz w:val="17"/>
          <w:szCs w:val="17"/>
        </w:rPr>
        <w:t>CapEx</w:t>
      </w:r>
      <w:proofErr w:type="spellEnd"/>
      <w:r w:rsidRPr="00825FC4">
        <w:rPr>
          <w:rFonts w:ascii="Verdana" w:hAnsi="Verdana"/>
          <w:sz w:val="17"/>
          <w:szCs w:val="17"/>
        </w:rPr>
        <w:t xml:space="preserve"> based investment KPI (annex 12 of DDA)</w:t>
      </w:r>
    </w:p>
    <w:p w14:paraId="1E3422B3" w14:textId="77777777" w:rsidR="001B6491" w:rsidRPr="00825FC4" w:rsidRDefault="001B6491" w:rsidP="001B6491">
      <w:pPr>
        <w:rPr>
          <w:sz w:val="17"/>
          <w:szCs w:val="17"/>
        </w:rPr>
      </w:pPr>
    </w:p>
    <w:p w14:paraId="3D7A3AA4" w14:textId="4102A9AD" w:rsidR="001B6491" w:rsidRPr="00825FC4" w:rsidRDefault="001B6491" w:rsidP="001B6491">
      <w:pPr>
        <w:rPr>
          <w:b/>
          <w:bCs/>
          <w:sz w:val="17"/>
          <w:szCs w:val="17"/>
        </w:rPr>
      </w:pPr>
      <w:r w:rsidRPr="00825FC4">
        <w:rPr>
          <w:b/>
          <w:bCs/>
          <w:sz w:val="17"/>
          <w:szCs w:val="17"/>
        </w:rPr>
        <w:t>Consolidated KPI</w:t>
      </w:r>
    </w:p>
    <w:p w14:paraId="15287D19" w14:textId="77777777" w:rsidR="001B6491" w:rsidRPr="00825FC4" w:rsidRDefault="001B6491" w:rsidP="00370F88">
      <w:pPr>
        <w:pStyle w:val="Odsekzoznamu"/>
        <w:numPr>
          <w:ilvl w:val="0"/>
          <w:numId w:val="13"/>
        </w:numPr>
        <w:rPr>
          <w:rFonts w:ascii="Verdana" w:hAnsi="Verdana"/>
          <w:sz w:val="17"/>
          <w:szCs w:val="17"/>
        </w:rPr>
      </w:pPr>
      <w:r w:rsidRPr="00825FC4">
        <w:rPr>
          <w:rFonts w:ascii="Verdana" w:hAnsi="Verdana"/>
          <w:sz w:val="17"/>
          <w:szCs w:val="17"/>
        </w:rPr>
        <w:t xml:space="preserve">1 template with combined insurance KPIs mixing underwriting and investment KPI (Q4 of EU Commission Q&amp;A December 2023) </w:t>
      </w:r>
    </w:p>
    <w:p w14:paraId="4D53E18D" w14:textId="77777777" w:rsidR="001B6491" w:rsidRPr="00825FC4" w:rsidRDefault="001B6491" w:rsidP="00370F88">
      <w:pPr>
        <w:pStyle w:val="Odsekzoznamu"/>
        <w:numPr>
          <w:ilvl w:val="0"/>
          <w:numId w:val="13"/>
        </w:numPr>
        <w:rPr>
          <w:rFonts w:ascii="Verdana" w:hAnsi="Verdana"/>
          <w:sz w:val="17"/>
          <w:szCs w:val="17"/>
        </w:rPr>
      </w:pPr>
      <w:r w:rsidRPr="00825FC4">
        <w:rPr>
          <w:rFonts w:ascii="Verdana" w:hAnsi="Verdana"/>
          <w:sz w:val="17"/>
          <w:szCs w:val="17"/>
        </w:rPr>
        <w:t>1 template with all financial KPIs of a group + the consolidated group KPI (Q7 of EU Commission Q&amp;A December 2023)</w:t>
      </w:r>
    </w:p>
    <w:p w14:paraId="2600C447" w14:textId="77777777" w:rsidR="001B6491" w:rsidRPr="00825FC4" w:rsidRDefault="001B6491" w:rsidP="001B6491">
      <w:pPr>
        <w:rPr>
          <w:sz w:val="17"/>
          <w:szCs w:val="17"/>
        </w:rPr>
      </w:pPr>
    </w:p>
    <w:p w14:paraId="06769A68" w14:textId="7AFD1D56" w:rsidR="001B6491" w:rsidRPr="00825FC4" w:rsidRDefault="001B6491" w:rsidP="00370F88">
      <w:pPr>
        <w:pStyle w:val="Odsekzoznamu"/>
        <w:numPr>
          <w:ilvl w:val="0"/>
          <w:numId w:val="14"/>
        </w:numPr>
        <w:rPr>
          <w:rFonts w:ascii="Verdana" w:hAnsi="Verdana"/>
          <w:b/>
          <w:bCs/>
          <w:sz w:val="17"/>
          <w:szCs w:val="17"/>
        </w:rPr>
      </w:pPr>
      <w:r w:rsidRPr="00825FC4">
        <w:rPr>
          <w:rFonts w:ascii="Verdana" w:hAnsi="Verdana"/>
          <w:b/>
          <w:bCs/>
          <w:sz w:val="17"/>
          <w:szCs w:val="17"/>
        </w:rPr>
        <w:t>25 tables only for taxonomy regulation</w:t>
      </w:r>
      <w:r w:rsidR="00816570" w:rsidRPr="00825FC4">
        <w:rPr>
          <w:rFonts w:ascii="Verdana" w:hAnsi="Verdana"/>
          <w:b/>
          <w:bCs/>
          <w:sz w:val="17"/>
          <w:szCs w:val="17"/>
        </w:rPr>
        <w:t>,</w:t>
      </w:r>
      <w:r w:rsidRPr="00825FC4">
        <w:rPr>
          <w:rFonts w:ascii="Verdana" w:hAnsi="Verdana"/>
          <w:b/>
          <w:bCs/>
          <w:sz w:val="17"/>
          <w:szCs w:val="17"/>
        </w:rPr>
        <w:t xml:space="preserve"> of which more than half (15) on nuclear and gas </w:t>
      </w:r>
    </w:p>
    <w:p w14:paraId="0F0E4D9E" w14:textId="77777777" w:rsidR="001B6491" w:rsidRPr="00825FC4" w:rsidRDefault="001B6491" w:rsidP="00370F88">
      <w:pPr>
        <w:pStyle w:val="Odsekzoznamu"/>
        <w:numPr>
          <w:ilvl w:val="0"/>
          <w:numId w:val="14"/>
        </w:numPr>
        <w:rPr>
          <w:rFonts w:ascii="Verdana" w:hAnsi="Verdana"/>
          <w:b/>
          <w:bCs/>
          <w:sz w:val="17"/>
          <w:szCs w:val="17"/>
        </w:rPr>
      </w:pPr>
      <w:r w:rsidRPr="00825FC4">
        <w:rPr>
          <w:rFonts w:ascii="Verdana" w:hAnsi="Verdana"/>
          <w:b/>
          <w:bCs/>
          <w:sz w:val="17"/>
          <w:szCs w:val="17"/>
        </w:rPr>
        <w:t xml:space="preserve">Tables are highly complex and will only create confusion for readers. </w:t>
      </w:r>
    </w:p>
    <w:p w14:paraId="6D3058AC" w14:textId="77777777" w:rsidR="000365CB" w:rsidRPr="00825FC4" w:rsidRDefault="000365CB" w:rsidP="00825F28">
      <w:pPr>
        <w:rPr>
          <w:sz w:val="17"/>
          <w:szCs w:val="17"/>
          <w:lang w:val="en-US"/>
        </w:rPr>
      </w:pPr>
    </w:p>
    <w:p w14:paraId="4949E8D4" w14:textId="77777777" w:rsidR="000365CB" w:rsidRDefault="000365CB" w:rsidP="00825F28">
      <w:pPr>
        <w:rPr>
          <w:lang w:val="en-US"/>
        </w:rPr>
      </w:pPr>
    </w:p>
    <w:p w14:paraId="2F8D7908" w14:textId="77777777" w:rsidR="00E46FF7" w:rsidRDefault="00E46FF7" w:rsidP="00825F28">
      <w:pPr>
        <w:rPr>
          <w:lang w:val="en-US"/>
        </w:rPr>
      </w:pPr>
    </w:p>
    <w:p w14:paraId="33CEFBC2" w14:textId="606699A2" w:rsidR="00440FEE" w:rsidRPr="003D0236" w:rsidRDefault="003715C9" w:rsidP="003D0236">
      <w:pPr>
        <w:autoSpaceDE w:val="0"/>
        <w:autoSpaceDN w:val="0"/>
        <w:adjustRightInd w:val="0"/>
        <w:rPr>
          <w:sz w:val="17"/>
          <w:szCs w:val="17"/>
        </w:rPr>
      </w:pPr>
      <w:r w:rsidRPr="003D0236">
        <w:rPr>
          <w:sz w:val="17"/>
          <w:szCs w:val="17"/>
        </w:rPr>
        <w:t>Insurance Europe is the European insurance and reinsurance federation. Through its 37 member bodies — the national insurance associations — it represents all types and sizes of insurance and reinsurance undertakings. Insurance Europe, which is based in Brussels, represents undertakings that account for around 95% of total European premium income. Insurance makes a major contribution to Europe’s economic growth and development. European insurers pay out over €1 000bn annually — or €2.8bn a day — in claims, directly employ more than 920 000 people and invest over €10.6trn in the economy.</w:t>
      </w:r>
    </w:p>
    <w:sectPr w:rsidR="00440FEE" w:rsidRPr="003D0236">
      <w:headerReference w:type="first" r:id="rId12"/>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21DF" w14:textId="77777777" w:rsidR="00183B24" w:rsidRDefault="00183B24">
      <w:pPr>
        <w:spacing w:line="240" w:lineRule="auto"/>
      </w:pPr>
      <w:r>
        <w:separator/>
      </w:r>
    </w:p>
  </w:endnote>
  <w:endnote w:type="continuationSeparator" w:id="0">
    <w:p w14:paraId="6AEF760F" w14:textId="77777777" w:rsidR="00183B24" w:rsidRDefault="00183B24">
      <w:pPr>
        <w:spacing w:line="240" w:lineRule="auto"/>
      </w:pPr>
      <w:r>
        <w:continuationSeparator/>
      </w:r>
    </w:p>
  </w:endnote>
  <w:endnote w:type="continuationNotice" w:id="1">
    <w:p w14:paraId="79C188BA" w14:textId="77777777" w:rsidR="00183B24" w:rsidRDefault="00183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3C63" w14:textId="77777777" w:rsidR="00183B24" w:rsidRDefault="00183B24">
      <w:pPr>
        <w:spacing w:line="240" w:lineRule="auto"/>
      </w:pPr>
      <w:r>
        <w:separator/>
      </w:r>
    </w:p>
  </w:footnote>
  <w:footnote w:type="continuationSeparator" w:id="0">
    <w:p w14:paraId="4916A0B0" w14:textId="77777777" w:rsidR="00183B24" w:rsidRDefault="00183B24">
      <w:pPr>
        <w:spacing w:line="240" w:lineRule="auto"/>
      </w:pPr>
      <w:r>
        <w:continuationSeparator/>
      </w:r>
    </w:p>
  </w:footnote>
  <w:footnote w:type="continuationNotice" w:id="1">
    <w:p w14:paraId="4281B06E" w14:textId="77777777" w:rsidR="00183B24" w:rsidRDefault="00183B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5DF4" w14:textId="6A7F323D" w:rsidR="0017261F" w:rsidRDefault="00C949C4" w:rsidP="000049CE">
    <w:pPr>
      <w:rPr>
        <w:b/>
        <w:i/>
        <w:color w:val="002957"/>
        <w:sz w:val="32"/>
        <w:szCs w:val="32"/>
      </w:rPr>
    </w:pPr>
    <w:r w:rsidRPr="000D41DA">
      <w:rPr>
        <w:rFonts w:ascii="Frutiger LT Com 45 Light" w:hAnsi="Frutiger LT Com 45 Light"/>
        <w:noProof/>
        <w:szCs w:val="18"/>
        <w:lang w:val="nl-BE" w:eastAsia="nl-BE"/>
      </w:rPr>
      <w:drawing>
        <wp:anchor distT="0" distB="0" distL="114300" distR="114300" simplePos="0" relativeHeight="251658240" behindDoc="0" locked="0" layoutInCell="1" allowOverlap="1" wp14:anchorId="0DB77B4E" wp14:editId="61C480E9">
          <wp:simplePos x="0" y="0"/>
          <wp:positionH relativeFrom="page">
            <wp:posOffset>497205</wp:posOffset>
          </wp:positionH>
          <wp:positionV relativeFrom="page">
            <wp:posOffset>605718</wp:posOffset>
          </wp:positionV>
          <wp:extent cx="1457325" cy="895350"/>
          <wp:effectExtent l="0" t="0" r="9525" b="0"/>
          <wp:wrapSquare wrapText="bothSides"/>
          <wp:docPr id="3" name="Picture 3"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7325" cy="895350"/>
                  </a:xfrm>
                  <a:prstGeom prst="rect">
                    <a:avLst/>
                  </a:prstGeom>
                  <a:noFill/>
                </pic:spPr>
              </pic:pic>
            </a:graphicData>
          </a:graphic>
        </wp:anchor>
      </w:drawing>
    </w:r>
    <w:r w:rsidR="00152882">
      <w:tab/>
    </w:r>
    <w:r w:rsidR="00152882">
      <w:tab/>
    </w:r>
    <w:r w:rsidR="00152882" w:rsidRPr="00240F50">
      <w:rPr>
        <w:rFonts w:cs="Arial"/>
        <w:b/>
        <w:color w:val="002957"/>
        <w:sz w:val="40"/>
        <w:szCs w:val="40"/>
      </w:rPr>
      <w:tab/>
    </w:r>
    <w:r w:rsidR="00152882" w:rsidRPr="00240F50">
      <w:rPr>
        <w:rFonts w:cs="Arial"/>
        <w:b/>
        <w:color w:val="002957"/>
        <w:sz w:val="40"/>
        <w:szCs w:val="40"/>
      </w:rPr>
      <w:tab/>
    </w:r>
    <w:r w:rsidR="00152882" w:rsidRPr="00240F50">
      <w:rPr>
        <w:rFonts w:cs="Arial"/>
        <w:b/>
        <w:color w:val="002957"/>
        <w:sz w:val="40"/>
        <w:szCs w:val="40"/>
      </w:rPr>
      <w:tab/>
    </w:r>
    <w:r w:rsidR="00152882" w:rsidRPr="00240F50">
      <w:rPr>
        <w:rFonts w:cs="Arial"/>
        <w:b/>
        <w:color w:val="002957"/>
        <w:sz w:val="40"/>
        <w:szCs w:val="40"/>
      </w:rPr>
      <w:tab/>
    </w:r>
    <w:r w:rsidR="00152882" w:rsidRPr="00240F50">
      <w:rPr>
        <w:rFonts w:cs="Arial"/>
        <w:b/>
        <w:color w:val="002957"/>
        <w:sz w:val="40"/>
        <w:szCs w:val="40"/>
      </w:rPr>
      <w:tab/>
    </w:r>
    <w:r w:rsidR="00152882" w:rsidRPr="0085650F">
      <w:rPr>
        <w:rFonts w:cs="Arial"/>
        <w:b/>
        <w:sz w:val="40"/>
        <w:szCs w:val="40"/>
      </w:rPr>
      <w:tab/>
    </w:r>
    <w:bookmarkStart w:id="4" w:name="Draft1st"/>
    <w:bookmarkEnd w:id="4"/>
  </w:p>
  <w:p w14:paraId="3654217F" w14:textId="6F048877" w:rsidR="0067515B" w:rsidRPr="00D74967" w:rsidRDefault="0067515B">
    <w:pPr>
      <w:pStyle w:val="CEADraft"/>
      <w:rPr>
        <w:color w:val="002957"/>
        <w:lang w:val="en-US"/>
      </w:rPr>
    </w:pPr>
  </w:p>
  <w:p w14:paraId="5495E665" w14:textId="77777777" w:rsidR="0067515B" w:rsidRPr="00D74967" w:rsidRDefault="0067515B">
    <w:pPr>
      <w:rPr>
        <w:color w:val="002957"/>
        <w:lang w:val="en-US"/>
      </w:rPr>
    </w:pPr>
  </w:p>
  <w:p w14:paraId="4A139438" w14:textId="77777777" w:rsidR="00C949C4" w:rsidRDefault="00C949C4">
    <w:pPr>
      <w:rPr>
        <w:color w:val="002957"/>
        <w:lang w:val="en-US"/>
      </w:rPr>
    </w:pPr>
  </w:p>
  <w:p w14:paraId="1022C302" w14:textId="77777777" w:rsidR="00C949C4" w:rsidRDefault="00C949C4">
    <w:pPr>
      <w:rPr>
        <w:color w:val="002957"/>
        <w:lang w:val="en-US"/>
      </w:rPr>
    </w:pPr>
  </w:p>
  <w:p w14:paraId="159BB191" w14:textId="77777777" w:rsidR="00C949C4" w:rsidRDefault="00C949C4">
    <w:pPr>
      <w:rPr>
        <w:color w:val="002957"/>
        <w:lang w:val="en-US"/>
      </w:rPr>
    </w:pPr>
  </w:p>
  <w:p w14:paraId="731A6F24" w14:textId="77777777" w:rsidR="00C949C4" w:rsidRPr="00D74967" w:rsidRDefault="00C949C4">
    <w:pPr>
      <w:rPr>
        <w:color w:val="002957"/>
        <w:lang w:val="en-US"/>
      </w:rPr>
    </w:pPr>
  </w:p>
  <w:bookmarkStart w:id="5" w:name="Document_title_"/>
  <w:p w14:paraId="15B481B1" w14:textId="2253AF5D" w:rsidR="0067515B" w:rsidRPr="00D74967" w:rsidRDefault="005720EB" w:rsidP="00240F50">
    <w:pPr>
      <w:pStyle w:val="CEAPositionPaperTitle"/>
      <w:ind w:left="0"/>
      <w:rPr>
        <w:b w:val="0"/>
        <w:color w:val="002957"/>
        <w:sz w:val="28"/>
        <w:szCs w:val="28"/>
        <w:lang w:val="en-US"/>
      </w:rPr>
    </w:pPr>
    <w:sdt>
      <w:sdtPr>
        <w:rPr>
          <w:b w:val="0"/>
          <w:color w:val="002957"/>
          <w:sz w:val="28"/>
          <w:szCs w:val="28"/>
          <w:lang w:val="en-US"/>
        </w:rPr>
        <w:id w:val="-1374918777"/>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0F642A">
          <w:rPr>
            <w:b w:val="0"/>
            <w:color w:val="002957"/>
            <w:sz w:val="28"/>
            <w:szCs w:val="28"/>
            <w:lang w:val="en-US"/>
          </w:rPr>
          <w:t>Insurance Europe position paper on EU Taxonomy Art. 8 Q&amp;A</w:t>
        </w:r>
      </w:sdtContent>
    </w:sdt>
    <w:bookmarkEnd w:id="5"/>
  </w:p>
  <w:p w14:paraId="48E02457" w14:textId="77777777" w:rsidR="0067515B" w:rsidRPr="00D74967" w:rsidRDefault="0067515B">
    <w:pPr>
      <w:rPr>
        <w:lang w:val="en-US"/>
      </w:rPr>
    </w:pPr>
  </w:p>
  <w:p w14:paraId="59DEEA8E" w14:textId="4569E380" w:rsidR="0067515B" w:rsidRPr="00D74967" w:rsidRDefault="0067515B">
    <w:pPr>
      <w:rPr>
        <w:lang w:val="en-US"/>
      </w:rPr>
    </w:pP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424893" w:rsidRPr="000D41DA" w14:paraId="4B45CDA3" w14:textId="77777777" w:rsidTr="00240F50">
      <w:trPr>
        <w:cantSplit/>
        <w:trHeight w:hRule="exact" w:val="584"/>
      </w:trPr>
      <w:tc>
        <w:tcPr>
          <w:tcW w:w="1536" w:type="dxa"/>
          <w:shd w:val="clear" w:color="auto" w:fill="auto"/>
          <w:vAlign w:val="center"/>
        </w:tcPr>
        <w:p w14:paraId="57D93854" w14:textId="77777777" w:rsidR="0067515B" w:rsidRPr="0085650F" w:rsidRDefault="00152882">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sdt>
          <w:sdtPr>
            <w:id w:val="-2128765903"/>
            <w:placeholder>
              <w:docPart w:val="B622DF60584F42E5BD7F31BDC31BD6AB"/>
            </w:placeholde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4352DA30" w14:textId="38BDF7BC" w:rsidR="0067515B" w:rsidRPr="00585988" w:rsidRDefault="007F0BA9" w:rsidP="00537BED">
              <w:r>
                <w:t>ECO-CRISF-24-022</w:t>
              </w:r>
            </w:p>
          </w:sdtContent>
        </w:sdt>
      </w:tc>
      <w:tc>
        <w:tcPr>
          <w:tcW w:w="1570" w:type="dxa"/>
          <w:shd w:val="clear" w:color="auto" w:fill="auto"/>
          <w:vAlign w:val="center"/>
        </w:tcPr>
        <w:p w14:paraId="5C893DF3" w14:textId="77777777" w:rsidR="0067515B" w:rsidRPr="0085650F" w:rsidRDefault="00152882">
          <w:pPr>
            <w:pStyle w:val="CEALabel"/>
            <w:rPr>
              <w:b w:val="0"/>
              <w:color w:val="002957"/>
              <w:sz w:val="17"/>
              <w:szCs w:val="17"/>
            </w:rPr>
          </w:pPr>
          <w:r w:rsidRPr="0085650F">
            <w:rPr>
              <w:b w:val="0"/>
              <w:color w:val="002957"/>
              <w:sz w:val="17"/>
              <w:szCs w:val="17"/>
            </w:rPr>
            <w:t>Date:</w:t>
          </w:r>
        </w:p>
      </w:tc>
      <w:tc>
        <w:tcPr>
          <w:tcW w:w="2976" w:type="dxa"/>
          <w:shd w:val="clear" w:color="auto" w:fill="auto"/>
          <w:vAlign w:val="center"/>
        </w:tcPr>
        <w:p w14:paraId="181A7D4E" w14:textId="317BE28B" w:rsidR="0067515B" w:rsidRPr="00585988" w:rsidRDefault="000F642A">
          <w:pPr>
            <w:jc w:val="left"/>
            <w:rPr>
              <w:color w:val="002957"/>
              <w:sz w:val="17"/>
              <w:szCs w:val="17"/>
            </w:rPr>
          </w:pPr>
          <w:r>
            <w:rPr>
              <w:color w:val="002957"/>
              <w:sz w:val="17"/>
              <w:szCs w:val="17"/>
            </w:rPr>
            <w:t>1</w:t>
          </w:r>
          <w:r w:rsidR="007F0BA9">
            <w:rPr>
              <w:color w:val="002957"/>
              <w:sz w:val="17"/>
              <w:szCs w:val="17"/>
            </w:rPr>
            <w:t>6</w:t>
          </w:r>
          <w:r w:rsidR="00E704D0">
            <w:rPr>
              <w:color w:val="002957"/>
              <w:sz w:val="17"/>
              <w:szCs w:val="17"/>
            </w:rPr>
            <w:t>-0</w:t>
          </w:r>
          <w:r w:rsidR="00F8466E">
            <w:rPr>
              <w:color w:val="002957"/>
              <w:sz w:val="17"/>
              <w:szCs w:val="17"/>
            </w:rPr>
            <w:t>2</w:t>
          </w:r>
          <w:r w:rsidR="00E704D0">
            <w:rPr>
              <w:color w:val="002957"/>
              <w:sz w:val="17"/>
              <w:szCs w:val="17"/>
            </w:rPr>
            <w:t>-2024</w:t>
          </w:r>
        </w:p>
      </w:tc>
    </w:tr>
    <w:tr w:rsidR="00424893" w:rsidRPr="000D41DA" w14:paraId="71283189" w14:textId="77777777" w:rsidTr="00240F50">
      <w:trPr>
        <w:cantSplit/>
        <w:trHeight w:hRule="exact" w:val="584"/>
      </w:trPr>
      <w:tc>
        <w:tcPr>
          <w:tcW w:w="1536" w:type="dxa"/>
          <w:shd w:val="clear" w:color="auto" w:fill="auto"/>
          <w:vAlign w:val="center"/>
        </w:tcPr>
        <w:p w14:paraId="4FEEB7D0" w14:textId="77777777" w:rsidR="0067515B" w:rsidRPr="0085650F" w:rsidRDefault="00152882">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140E78FD" w14:textId="05D12A56" w:rsidR="0067515B" w:rsidRPr="00585988" w:rsidRDefault="0067515B">
          <w:pPr>
            <w:jc w:val="left"/>
            <w:rPr>
              <w:color w:val="002957"/>
              <w:sz w:val="17"/>
              <w:szCs w:val="17"/>
            </w:rPr>
          </w:pPr>
        </w:p>
      </w:tc>
      <w:tc>
        <w:tcPr>
          <w:tcW w:w="1570" w:type="dxa"/>
          <w:shd w:val="clear" w:color="auto" w:fill="auto"/>
          <w:vAlign w:val="center"/>
        </w:tcPr>
        <w:p w14:paraId="0A442DE6" w14:textId="77777777" w:rsidR="0067515B" w:rsidRPr="00585988" w:rsidRDefault="0067515B">
          <w:pPr>
            <w:rPr>
              <w:color w:val="002957"/>
              <w:sz w:val="17"/>
              <w:szCs w:val="17"/>
            </w:rPr>
          </w:pPr>
        </w:p>
      </w:tc>
      <w:tc>
        <w:tcPr>
          <w:tcW w:w="2976" w:type="dxa"/>
          <w:shd w:val="clear" w:color="auto" w:fill="auto"/>
          <w:vAlign w:val="center"/>
        </w:tcPr>
        <w:p w14:paraId="74A17591" w14:textId="0AA37B00" w:rsidR="0067515B" w:rsidRPr="00585988" w:rsidRDefault="0067515B">
          <w:pPr>
            <w:jc w:val="left"/>
            <w:rPr>
              <w:color w:val="002957"/>
              <w:sz w:val="17"/>
              <w:szCs w:val="17"/>
            </w:rPr>
          </w:pPr>
        </w:p>
      </w:tc>
    </w:tr>
    <w:tr w:rsidR="00424893" w:rsidRPr="000D41DA" w14:paraId="024FCDC9" w14:textId="77777777" w:rsidTr="00240F50">
      <w:trPr>
        <w:cantSplit/>
        <w:trHeight w:hRule="exact" w:val="584"/>
      </w:trPr>
      <w:tc>
        <w:tcPr>
          <w:tcW w:w="1536" w:type="dxa"/>
          <w:shd w:val="clear" w:color="auto" w:fill="auto"/>
          <w:vAlign w:val="center"/>
        </w:tcPr>
        <w:p w14:paraId="2E014A55" w14:textId="77777777" w:rsidR="0067515B" w:rsidRPr="0085650F" w:rsidRDefault="00152882">
          <w:pPr>
            <w:pStyle w:val="CEALabel"/>
            <w:rPr>
              <w:b w:val="0"/>
              <w:color w:val="002957"/>
              <w:sz w:val="17"/>
              <w:szCs w:val="17"/>
            </w:rPr>
          </w:pPr>
          <w:r w:rsidRPr="0085650F">
            <w:rPr>
              <w:b w:val="0"/>
              <w:color w:val="002957"/>
              <w:sz w:val="17"/>
              <w:szCs w:val="17"/>
            </w:rPr>
            <w:t>Related documents:</w:t>
          </w:r>
        </w:p>
      </w:tc>
      <w:tc>
        <w:tcPr>
          <w:tcW w:w="3557" w:type="dxa"/>
          <w:shd w:val="clear" w:color="auto" w:fill="auto"/>
          <w:vAlign w:val="center"/>
        </w:tcPr>
        <w:p w14:paraId="028D7892" w14:textId="124FA640" w:rsidR="0067515B" w:rsidRPr="00585988" w:rsidRDefault="0067515B">
          <w:pPr>
            <w:jc w:val="left"/>
            <w:rPr>
              <w:color w:val="002957"/>
              <w:sz w:val="17"/>
              <w:szCs w:val="17"/>
            </w:rPr>
          </w:pPr>
        </w:p>
      </w:tc>
      <w:tc>
        <w:tcPr>
          <w:tcW w:w="1570" w:type="dxa"/>
          <w:shd w:val="clear" w:color="auto" w:fill="auto"/>
          <w:vAlign w:val="center"/>
        </w:tcPr>
        <w:p w14:paraId="08573CC7" w14:textId="77777777" w:rsidR="0067515B" w:rsidRPr="00585988" w:rsidRDefault="0067515B">
          <w:pPr>
            <w:rPr>
              <w:color w:val="002957"/>
              <w:sz w:val="17"/>
              <w:szCs w:val="17"/>
            </w:rPr>
          </w:pPr>
        </w:p>
      </w:tc>
      <w:tc>
        <w:tcPr>
          <w:tcW w:w="2976" w:type="dxa"/>
          <w:shd w:val="clear" w:color="auto" w:fill="auto"/>
          <w:vAlign w:val="center"/>
        </w:tcPr>
        <w:p w14:paraId="15C35991" w14:textId="77777777" w:rsidR="0067515B" w:rsidRPr="00585988" w:rsidRDefault="0067515B">
          <w:pPr>
            <w:jc w:val="left"/>
            <w:rPr>
              <w:b/>
              <w:color w:val="002957"/>
              <w:sz w:val="17"/>
              <w:szCs w:val="17"/>
            </w:rPr>
          </w:pPr>
        </w:p>
      </w:tc>
    </w:tr>
    <w:tr w:rsidR="00424893" w:rsidRPr="000D41DA" w14:paraId="07D47AE0" w14:textId="77777777" w:rsidTr="00240F50">
      <w:trPr>
        <w:cantSplit/>
        <w:trHeight w:hRule="exact" w:val="584"/>
      </w:trPr>
      <w:tc>
        <w:tcPr>
          <w:tcW w:w="1536" w:type="dxa"/>
          <w:shd w:val="clear" w:color="auto" w:fill="auto"/>
          <w:vAlign w:val="center"/>
        </w:tcPr>
        <w:p w14:paraId="4A965280" w14:textId="77777777" w:rsidR="0067515B" w:rsidRPr="0085650F" w:rsidRDefault="00152882">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03E7DCB9" w14:textId="011D3199" w:rsidR="0067515B" w:rsidRPr="00585988" w:rsidRDefault="00E704D0">
          <w:pPr>
            <w:jc w:val="left"/>
            <w:rPr>
              <w:color w:val="002957"/>
              <w:sz w:val="17"/>
              <w:szCs w:val="17"/>
            </w:rPr>
          </w:pPr>
          <w:r>
            <w:rPr>
              <w:color w:val="002957"/>
              <w:sz w:val="17"/>
              <w:szCs w:val="17"/>
            </w:rPr>
            <w:t>Philippe Angelis</w:t>
          </w:r>
        </w:p>
      </w:tc>
      <w:tc>
        <w:tcPr>
          <w:tcW w:w="1570" w:type="dxa"/>
          <w:shd w:val="clear" w:color="auto" w:fill="auto"/>
          <w:vAlign w:val="center"/>
        </w:tcPr>
        <w:p w14:paraId="710B5A54" w14:textId="77777777" w:rsidR="0067515B" w:rsidRPr="0085650F" w:rsidRDefault="00152882">
          <w:pPr>
            <w:pStyle w:val="CEALabel"/>
            <w:rPr>
              <w:b w:val="0"/>
              <w:color w:val="002957"/>
              <w:sz w:val="17"/>
              <w:szCs w:val="17"/>
            </w:rPr>
          </w:pPr>
          <w:r w:rsidRPr="0085650F">
            <w:rPr>
              <w:b w:val="0"/>
              <w:color w:val="002957"/>
              <w:sz w:val="17"/>
              <w:szCs w:val="17"/>
            </w:rPr>
            <w:t>E-mail:</w:t>
          </w:r>
        </w:p>
      </w:tc>
      <w:tc>
        <w:tcPr>
          <w:tcW w:w="2976" w:type="dxa"/>
          <w:shd w:val="clear" w:color="auto" w:fill="auto"/>
          <w:vAlign w:val="center"/>
        </w:tcPr>
        <w:p w14:paraId="5B954066" w14:textId="60813B4D" w:rsidR="0067515B" w:rsidRPr="00585988" w:rsidRDefault="00E704D0">
          <w:pPr>
            <w:jc w:val="left"/>
            <w:rPr>
              <w:color w:val="002957"/>
              <w:sz w:val="17"/>
              <w:szCs w:val="17"/>
            </w:rPr>
          </w:pPr>
          <w:r>
            <w:rPr>
              <w:color w:val="002957"/>
              <w:sz w:val="17"/>
              <w:szCs w:val="17"/>
            </w:rPr>
            <w:t>Angelis@insuranceeurope.eu</w:t>
          </w:r>
        </w:p>
      </w:tc>
    </w:tr>
    <w:tr w:rsidR="00424893" w:rsidRPr="000D41DA" w14:paraId="605BBAF5" w14:textId="77777777" w:rsidTr="00240F50">
      <w:trPr>
        <w:cantSplit/>
        <w:trHeight w:hRule="exact" w:val="584"/>
      </w:trPr>
      <w:tc>
        <w:tcPr>
          <w:tcW w:w="1536" w:type="dxa"/>
          <w:shd w:val="clear" w:color="auto" w:fill="auto"/>
          <w:vAlign w:val="center"/>
        </w:tcPr>
        <w:p w14:paraId="7D7A937A" w14:textId="77777777" w:rsidR="0067515B" w:rsidRPr="0085650F" w:rsidRDefault="00152882">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6278A0AF" w14:textId="77777777" w:rsidR="0067515B" w:rsidRPr="00585988" w:rsidRDefault="00152882">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9F36CD">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48B95308" w14:textId="77777777" w:rsidR="0067515B" w:rsidRPr="00585988" w:rsidRDefault="00974483">
          <w:pPr>
            <w:ind w:right="-117"/>
            <w:rPr>
              <w:b/>
              <w:color w:val="002957"/>
              <w:sz w:val="17"/>
              <w:szCs w:val="17"/>
            </w:rPr>
          </w:pPr>
          <w:r>
            <w:rPr>
              <w:rFonts w:cs="Arial"/>
              <w:color w:val="002957"/>
              <w:sz w:val="17"/>
              <w:szCs w:val="17"/>
            </w:rPr>
            <w:t xml:space="preserve">Transparency Register </w:t>
          </w:r>
          <w:r w:rsidR="00152882" w:rsidRPr="00585988">
            <w:rPr>
              <w:rFonts w:cs="Arial"/>
              <w:color w:val="002957"/>
              <w:sz w:val="17"/>
              <w:szCs w:val="17"/>
            </w:rPr>
            <w:t>ID no.:</w:t>
          </w:r>
        </w:p>
      </w:tc>
      <w:tc>
        <w:tcPr>
          <w:tcW w:w="2976" w:type="dxa"/>
          <w:shd w:val="clear" w:color="auto" w:fill="auto"/>
          <w:vAlign w:val="center"/>
        </w:tcPr>
        <w:p w14:paraId="08B3449C" w14:textId="77777777" w:rsidR="0067515B" w:rsidRPr="00585988" w:rsidRDefault="00152882">
          <w:pPr>
            <w:rPr>
              <w:color w:val="002957"/>
              <w:sz w:val="17"/>
              <w:szCs w:val="17"/>
            </w:rPr>
          </w:pPr>
          <w:r w:rsidRPr="00585988">
            <w:rPr>
              <w:rFonts w:cs="Tahoma"/>
              <w:color w:val="002957"/>
              <w:sz w:val="17"/>
              <w:szCs w:val="17"/>
            </w:rPr>
            <w:t>33213703459-54</w:t>
          </w:r>
        </w:p>
      </w:tc>
    </w:tr>
  </w:tbl>
  <w:p w14:paraId="3A20423D" w14:textId="77777777" w:rsidR="0067515B" w:rsidRPr="000D41DA" w:rsidRDefault="0067515B">
    <w:pPr>
      <w:rPr>
        <w:b/>
        <w:sz w:val="22"/>
        <w:szCs w:val="22"/>
      </w:rPr>
    </w:pPr>
  </w:p>
  <w:p w14:paraId="6A01980C" w14:textId="77777777" w:rsidR="0067515B" w:rsidRPr="000D41DA" w:rsidRDefault="0067515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81E"/>
    <w:multiLevelType w:val="hybridMultilevel"/>
    <w:tmpl w:val="F86838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222DF"/>
    <w:multiLevelType w:val="hybridMultilevel"/>
    <w:tmpl w:val="210C45E6"/>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9454A4B"/>
    <w:multiLevelType w:val="hybridMultilevel"/>
    <w:tmpl w:val="BF9A17A4"/>
    <w:lvl w:ilvl="0" w:tplc="2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054071E"/>
    <w:multiLevelType w:val="hybridMultilevel"/>
    <w:tmpl w:val="EBE65710"/>
    <w:lvl w:ilvl="0" w:tplc="A0240652">
      <w:start w:val="165"/>
      <w:numFmt w:val="bullet"/>
      <w:pStyle w:val="CEABullet-Level2"/>
      <w:lvlText w:val=""/>
      <w:lvlJc w:val="left"/>
      <w:pPr>
        <w:ind w:left="1723" w:hanging="360"/>
      </w:pPr>
      <w:rPr>
        <w:rFonts w:ascii="Symbol" w:hAnsi="Symbol" w:hint="default"/>
        <w:color w:val="auto"/>
      </w:rPr>
    </w:lvl>
    <w:lvl w:ilvl="1" w:tplc="080C0003" w:tentative="1">
      <w:start w:val="1"/>
      <w:numFmt w:val="bullet"/>
      <w:lvlText w:val="o"/>
      <w:lvlJc w:val="left"/>
      <w:pPr>
        <w:ind w:left="2443" w:hanging="360"/>
      </w:pPr>
      <w:rPr>
        <w:rFonts w:ascii="Courier New" w:hAnsi="Courier New" w:cs="Courier New" w:hint="default"/>
      </w:rPr>
    </w:lvl>
    <w:lvl w:ilvl="2" w:tplc="080C0005" w:tentative="1">
      <w:start w:val="1"/>
      <w:numFmt w:val="bullet"/>
      <w:lvlText w:val=""/>
      <w:lvlJc w:val="left"/>
      <w:pPr>
        <w:ind w:left="3163" w:hanging="360"/>
      </w:pPr>
      <w:rPr>
        <w:rFonts w:ascii="Wingdings" w:hAnsi="Wingdings" w:hint="default"/>
      </w:rPr>
    </w:lvl>
    <w:lvl w:ilvl="3" w:tplc="080C0001" w:tentative="1">
      <w:start w:val="1"/>
      <w:numFmt w:val="bullet"/>
      <w:lvlText w:val=""/>
      <w:lvlJc w:val="left"/>
      <w:pPr>
        <w:ind w:left="3883" w:hanging="360"/>
      </w:pPr>
      <w:rPr>
        <w:rFonts w:ascii="Symbol" w:hAnsi="Symbol" w:hint="default"/>
      </w:rPr>
    </w:lvl>
    <w:lvl w:ilvl="4" w:tplc="080C0003" w:tentative="1">
      <w:start w:val="1"/>
      <w:numFmt w:val="bullet"/>
      <w:lvlText w:val="o"/>
      <w:lvlJc w:val="left"/>
      <w:pPr>
        <w:ind w:left="4603" w:hanging="360"/>
      </w:pPr>
      <w:rPr>
        <w:rFonts w:ascii="Courier New" w:hAnsi="Courier New" w:cs="Courier New" w:hint="default"/>
      </w:rPr>
    </w:lvl>
    <w:lvl w:ilvl="5" w:tplc="080C0005" w:tentative="1">
      <w:start w:val="1"/>
      <w:numFmt w:val="bullet"/>
      <w:lvlText w:val=""/>
      <w:lvlJc w:val="left"/>
      <w:pPr>
        <w:ind w:left="5323" w:hanging="360"/>
      </w:pPr>
      <w:rPr>
        <w:rFonts w:ascii="Wingdings" w:hAnsi="Wingdings" w:hint="default"/>
      </w:rPr>
    </w:lvl>
    <w:lvl w:ilvl="6" w:tplc="080C0001" w:tentative="1">
      <w:start w:val="1"/>
      <w:numFmt w:val="bullet"/>
      <w:lvlText w:val=""/>
      <w:lvlJc w:val="left"/>
      <w:pPr>
        <w:ind w:left="6043" w:hanging="360"/>
      </w:pPr>
      <w:rPr>
        <w:rFonts w:ascii="Symbol" w:hAnsi="Symbol" w:hint="default"/>
      </w:rPr>
    </w:lvl>
    <w:lvl w:ilvl="7" w:tplc="080C0003" w:tentative="1">
      <w:start w:val="1"/>
      <w:numFmt w:val="bullet"/>
      <w:lvlText w:val="o"/>
      <w:lvlJc w:val="left"/>
      <w:pPr>
        <w:ind w:left="6763" w:hanging="360"/>
      </w:pPr>
      <w:rPr>
        <w:rFonts w:ascii="Courier New" w:hAnsi="Courier New" w:cs="Courier New" w:hint="default"/>
      </w:rPr>
    </w:lvl>
    <w:lvl w:ilvl="8" w:tplc="080C0005" w:tentative="1">
      <w:start w:val="1"/>
      <w:numFmt w:val="bullet"/>
      <w:lvlText w:val=""/>
      <w:lvlJc w:val="left"/>
      <w:pPr>
        <w:ind w:left="7483" w:hanging="360"/>
      </w:pPr>
      <w:rPr>
        <w:rFonts w:ascii="Wingdings" w:hAnsi="Wingdings" w:hint="default"/>
      </w:rPr>
    </w:lvl>
  </w:abstractNum>
  <w:abstractNum w:abstractNumId="4" w15:restartNumberingAfterBreak="0">
    <w:nsid w:val="2D165B52"/>
    <w:multiLevelType w:val="hybridMultilevel"/>
    <w:tmpl w:val="F98E6CF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2CF6C91"/>
    <w:multiLevelType w:val="hybridMultilevel"/>
    <w:tmpl w:val="ACB677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FD3416E"/>
    <w:multiLevelType w:val="hybridMultilevel"/>
    <w:tmpl w:val="AB5EC49C"/>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3CF18CF"/>
    <w:multiLevelType w:val="hybridMultilevel"/>
    <w:tmpl w:val="70D0768A"/>
    <w:lvl w:ilvl="0" w:tplc="877C1F98">
      <w:start w:val="1"/>
      <w:numFmt w:val="bullet"/>
      <w:lvlText w:val=""/>
      <w:lvlJc w:val="left"/>
      <w:pPr>
        <w:ind w:left="-207" w:hanging="360"/>
      </w:pPr>
      <w:rPr>
        <w:rFonts w:ascii="Wingdings" w:eastAsiaTheme="minorHAnsi" w:hAnsi="Wingdings"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8"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9" w15:restartNumberingAfterBreak="0">
    <w:nsid w:val="47DB60DC"/>
    <w:multiLevelType w:val="hybridMultilevel"/>
    <w:tmpl w:val="4378E876"/>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A1661B0"/>
    <w:multiLevelType w:val="hybridMultilevel"/>
    <w:tmpl w:val="AB440414"/>
    <w:lvl w:ilvl="0" w:tplc="01FCA3DC">
      <w:numFmt w:val="bullet"/>
      <w:lvlText w:val="-"/>
      <w:lvlJc w:val="left"/>
      <w:pPr>
        <w:ind w:left="-207" w:hanging="360"/>
      </w:pPr>
      <w:rPr>
        <w:rFonts w:ascii="Garamond" w:eastAsiaTheme="minorHAnsi" w:hAnsi="Garamond"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1" w15:restartNumberingAfterBreak="0">
    <w:nsid w:val="518F252D"/>
    <w:multiLevelType w:val="hybridMultilevel"/>
    <w:tmpl w:val="C6F08F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652050F9"/>
    <w:multiLevelType w:val="hybridMultilevel"/>
    <w:tmpl w:val="AE1C0448"/>
    <w:lvl w:ilvl="0" w:tplc="4C9C679E">
      <w:start w:val="6"/>
      <w:numFmt w:val="bullet"/>
      <w:lvlText w:val="-"/>
      <w:lvlJc w:val="left"/>
      <w:pPr>
        <w:ind w:left="720" w:hanging="360"/>
      </w:pPr>
      <w:rPr>
        <w:rFonts w:ascii="Verdana" w:eastAsia="Times New Roman" w:hAnsi="Verdana"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0B3D52"/>
    <w:multiLevelType w:val="hybridMultilevel"/>
    <w:tmpl w:val="44B2B67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74594107"/>
    <w:multiLevelType w:val="hybridMultilevel"/>
    <w:tmpl w:val="B8AC479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7B831428"/>
    <w:multiLevelType w:val="hybridMultilevel"/>
    <w:tmpl w:val="043CB6EE"/>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589659867">
    <w:abstractNumId w:val="13"/>
  </w:num>
  <w:num w:numId="2" w16cid:durableId="596257977">
    <w:abstractNumId w:val="3"/>
  </w:num>
  <w:num w:numId="3" w16cid:durableId="883491780">
    <w:abstractNumId w:val="8"/>
  </w:num>
  <w:num w:numId="4" w16cid:durableId="1348629232">
    <w:abstractNumId w:val="5"/>
  </w:num>
  <w:num w:numId="5" w16cid:durableId="729496172">
    <w:abstractNumId w:val="4"/>
  </w:num>
  <w:num w:numId="6" w16cid:durableId="931159452">
    <w:abstractNumId w:val="0"/>
  </w:num>
  <w:num w:numId="7" w16cid:durableId="1450271455">
    <w:abstractNumId w:val="11"/>
  </w:num>
  <w:num w:numId="8" w16cid:durableId="1345739469">
    <w:abstractNumId w:val="12"/>
  </w:num>
  <w:num w:numId="9" w16cid:durableId="1384056663">
    <w:abstractNumId w:val="10"/>
  </w:num>
  <w:num w:numId="10" w16cid:durableId="903881694">
    <w:abstractNumId w:val="7"/>
  </w:num>
  <w:num w:numId="11" w16cid:durableId="714812296">
    <w:abstractNumId w:val="9"/>
  </w:num>
  <w:num w:numId="12" w16cid:durableId="326203649">
    <w:abstractNumId w:val="15"/>
  </w:num>
  <w:num w:numId="13" w16cid:durableId="1112439238">
    <w:abstractNumId w:val="16"/>
  </w:num>
  <w:num w:numId="14" w16cid:durableId="1312296873">
    <w:abstractNumId w:val="2"/>
  </w:num>
  <w:num w:numId="15" w16cid:durableId="228002275">
    <w:abstractNumId w:val="1"/>
  </w:num>
  <w:num w:numId="16" w16cid:durableId="1046099652">
    <w:abstractNumId w:val="6"/>
  </w:num>
  <w:num w:numId="17" w16cid:durableId="1239900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007BF"/>
    <w:rsid w:val="000009E0"/>
    <w:rsid w:val="00002312"/>
    <w:rsid w:val="000049CE"/>
    <w:rsid w:val="000053F8"/>
    <w:rsid w:val="000069F2"/>
    <w:rsid w:val="000125F6"/>
    <w:rsid w:val="00013EE9"/>
    <w:rsid w:val="0001406F"/>
    <w:rsid w:val="0001511A"/>
    <w:rsid w:val="0001588E"/>
    <w:rsid w:val="00016FBF"/>
    <w:rsid w:val="00017E2D"/>
    <w:rsid w:val="00020124"/>
    <w:rsid w:val="00021CBA"/>
    <w:rsid w:val="00024F12"/>
    <w:rsid w:val="00026FE1"/>
    <w:rsid w:val="00027146"/>
    <w:rsid w:val="00030E81"/>
    <w:rsid w:val="00031D13"/>
    <w:rsid w:val="00031EE6"/>
    <w:rsid w:val="00032C1F"/>
    <w:rsid w:val="0003336E"/>
    <w:rsid w:val="000345E8"/>
    <w:rsid w:val="000365CB"/>
    <w:rsid w:val="00036FE2"/>
    <w:rsid w:val="0004255E"/>
    <w:rsid w:val="0004352C"/>
    <w:rsid w:val="0004755F"/>
    <w:rsid w:val="00050621"/>
    <w:rsid w:val="00055B0D"/>
    <w:rsid w:val="000602B5"/>
    <w:rsid w:val="000611CB"/>
    <w:rsid w:val="000621C4"/>
    <w:rsid w:val="00065170"/>
    <w:rsid w:val="00066760"/>
    <w:rsid w:val="00067730"/>
    <w:rsid w:val="00077A99"/>
    <w:rsid w:val="000800BD"/>
    <w:rsid w:val="00080315"/>
    <w:rsid w:val="0008034A"/>
    <w:rsid w:val="00081766"/>
    <w:rsid w:val="00083A5B"/>
    <w:rsid w:val="00084C2C"/>
    <w:rsid w:val="000857F7"/>
    <w:rsid w:val="000901BA"/>
    <w:rsid w:val="0009091F"/>
    <w:rsid w:val="0009296D"/>
    <w:rsid w:val="0009297A"/>
    <w:rsid w:val="00092DE7"/>
    <w:rsid w:val="0009571C"/>
    <w:rsid w:val="00097367"/>
    <w:rsid w:val="000A0169"/>
    <w:rsid w:val="000A1CF7"/>
    <w:rsid w:val="000A1F48"/>
    <w:rsid w:val="000A36A8"/>
    <w:rsid w:val="000A3AC3"/>
    <w:rsid w:val="000A3CB2"/>
    <w:rsid w:val="000A4067"/>
    <w:rsid w:val="000A4284"/>
    <w:rsid w:val="000A5CA9"/>
    <w:rsid w:val="000A5D2D"/>
    <w:rsid w:val="000A7B7B"/>
    <w:rsid w:val="000B1CFA"/>
    <w:rsid w:val="000B3C3E"/>
    <w:rsid w:val="000B6699"/>
    <w:rsid w:val="000C2C34"/>
    <w:rsid w:val="000C488F"/>
    <w:rsid w:val="000C53CF"/>
    <w:rsid w:val="000C7D9C"/>
    <w:rsid w:val="000D0915"/>
    <w:rsid w:val="000D3311"/>
    <w:rsid w:val="000D3916"/>
    <w:rsid w:val="000D3A9E"/>
    <w:rsid w:val="000D41DC"/>
    <w:rsid w:val="000D58F0"/>
    <w:rsid w:val="000D6093"/>
    <w:rsid w:val="000D71AC"/>
    <w:rsid w:val="000E0082"/>
    <w:rsid w:val="000E48AD"/>
    <w:rsid w:val="000E60B4"/>
    <w:rsid w:val="000F03A0"/>
    <w:rsid w:val="000F642A"/>
    <w:rsid w:val="000F69C7"/>
    <w:rsid w:val="00104313"/>
    <w:rsid w:val="001068CC"/>
    <w:rsid w:val="001070BD"/>
    <w:rsid w:val="001132D2"/>
    <w:rsid w:val="00113B8C"/>
    <w:rsid w:val="00115BA4"/>
    <w:rsid w:val="00116434"/>
    <w:rsid w:val="0012136B"/>
    <w:rsid w:val="0012252E"/>
    <w:rsid w:val="0012253D"/>
    <w:rsid w:val="00124601"/>
    <w:rsid w:val="0012469D"/>
    <w:rsid w:val="001256AB"/>
    <w:rsid w:val="00127B48"/>
    <w:rsid w:val="001325D6"/>
    <w:rsid w:val="00133A35"/>
    <w:rsid w:val="00136836"/>
    <w:rsid w:val="0013699A"/>
    <w:rsid w:val="00137026"/>
    <w:rsid w:val="00137804"/>
    <w:rsid w:val="00140468"/>
    <w:rsid w:val="00142F5F"/>
    <w:rsid w:val="001457F0"/>
    <w:rsid w:val="00147F45"/>
    <w:rsid w:val="0015106F"/>
    <w:rsid w:val="001524F6"/>
    <w:rsid w:val="00152882"/>
    <w:rsid w:val="0015291B"/>
    <w:rsid w:val="00154D56"/>
    <w:rsid w:val="00156317"/>
    <w:rsid w:val="0015675D"/>
    <w:rsid w:val="00160C59"/>
    <w:rsid w:val="00161475"/>
    <w:rsid w:val="001614B3"/>
    <w:rsid w:val="00161EA9"/>
    <w:rsid w:val="00161FEC"/>
    <w:rsid w:val="00164003"/>
    <w:rsid w:val="001668D0"/>
    <w:rsid w:val="00167E18"/>
    <w:rsid w:val="0017261F"/>
    <w:rsid w:val="00173239"/>
    <w:rsid w:val="0018274F"/>
    <w:rsid w:val="0018374B"/>
    <w:rsid w:val="00183B24"/>
    <w:rsid w:val="00186D15"/>
    <w:rsid w:val="001915DB"/>
    <w:rsid w:val="001929D2"/>
    <w:rsid w:val="00192E3D"/>
    <w:rsid w:val="00194C56"/>
    <w:rsid w:val="00197A83"/>
    <w:rsid w:val="001A417E"/>
    <w:rsid w:val="001B22B1"/>
    <w:rsid w:val="001B34F3"/>
    <w:rsid w:val="001B3C98"/>
    <w:rsid w:val="001B4AB3"/>
    <w:rsid w:val="001B509D"/>
    <w:rsid w:val="001B50F1"/>
    <w:rsid w:val="001B6491"/>
    <w:rsid w:val="001C0A7A"/>
    <w:rsid w:val="001C0AFD"/>
    <w:rsid w:val="001C2B51"/>
    <w:rsid w:val="001C31C9"/>
    <w:rsid w:val="001C43CA"/>
    <w:rsid w:val="001C4466"/>
    <w:rsid w:val="001C5A3D"/>
    <w:rsid w:val="001C7AF5"/>
    <w:rsid w:val="001D06CD"/>
    <w:rsid w:val="001D3884"/>
    <w:rsid w:val="001D42B7"/>
    <w:rsid w:val="001E1648"/>
    <w:rsid w:val="001E212D"/>
    <w:rsid w:val="001E3A60"/>
    <w:rsid w:val="001E7CF0"/>
    <w:rsid w:val="001E7F5F"/>
    <w:rsid w:val="001F1257"/>
    <w:rsid w:val="001F3547"/>
    <w:rsid w:val="002015AA"/>
    <w:rsid w:val="002017C3"/>
    <w:rsid w:val="00201F73"/>
    <w:rsid w:val="0020474A"/>
    <w:rsid w:val="00207069"/>
    <w:rsid w:val="00207F32"/>
    <w:rsid w:val="00207F50"/>
    <w:rsid w:val="00211AA4"/>
    <w:rsid w:val="00214284"/>
    <w:rsid w:val="00215289"/>
    <w:rsid w:val="00216973"/>
    <w:rsid w:val="00217025"/>
    <w:rsid w:val="00220154"/>
    <w:rsid w:val="00225AB8"/>
    <w:rsid w:val="002262BC"/>
    <w:rsid w:val="00227448"/>
    <w:rsid w:val="00227B45"/>
    <w:rsid w:val="002333C3"/>
    <w:rsid w:val="00233F1A"/>
    <w:rsid w:val="00234828"/>
    <w:rsid w:val="00240F50"/>
    <w:rsid w:val="00241940"/>
    <w:rsid w:val="00242F86"/>
    <w:rsid w:val="00244612"/>
    <w:rsid w:val="002456BA"/>
    <w:rsid w:val="00250E58"/>
    <w:rsid w:val="00251752"/>
    <w:rsid w:val="00252901"/>
    <w:rsid w:val="00253BE7"/>
    <w:rsid w:val="00261545"/>
    <w:rsid w:val="0027186E"/>
    <w:rsid w:val="0027335C"/>
    <w:rsid w:val="002753EF"/>
    <w:rsid w:val="002831F6"/>
    <w:rsid w:val="002849F9"/>
    <w:rsid w:val="00285BB4"/>
    <w:rsid w:val="00287238"/>
    <w:rsid w:val="00291ED9"/>
    <w:rsid w:val="00292884"/>
    <w:rsid w:val="00293AFB"/>
    <w:rsid w:val="0029495E"/>
    <w:rsid w:val="00296A63"/>
    <w:rsid w:val="00296A6D"/>
    <w:rsid w:val="002974F2"/>
    <w:rsid w:val="00297BE3"/>
    <w:rsid w:val="002A193B"/>
    <w:rsid w:val="002A530E"/>
    <w:rsid w:val="002A601D"/>
    <w:rsid w:val="002B01D2"/>
    <w:rsid w:val="002B1B5A"/>
    <w:rsid w:val="002B398A"/>
    <w:rsid w:val="002B57C4"/>
    <w:rsid w:val="002B6815"/>
    <w:rsid w:val="002C0410"/>
    <w:rsid w:val="002C16EF"/>
    <w:rsid w:val="002C2B63"/>
    <w:rsid w:val="002C53B8"/>
    <w:rsid w:val="002C6141"/>
    <w:rsid w:val="002C6A90"/>
    <w:rsid w:val="002C7B05"/>
    <w:rsid w:val="002E02F2"/>
    <w:rsid w:val="002E16A2"/>
    <w:rsid w:val="002E1CC2"/>
    <w:rsid w:val="002E32CC"/>
    <w:rsid w:val="002F062D"/>
    <w:rsid w:val="002F12C5"/>
    <w:rsid w:val="002F4FD2"/>
    <w:rsid w:val="002F79A8"/>
    <w:rsid w:val="002F7F75"/>
    <w:rsid w:val="00300909"/>
    <w:rsid w:val="003020E5"/>
    <w:rsid w:val="00302264"/>
    <w:rsid w:val="00305DA6"/>
    <w:rsid w:val="00306CD3"/>
    <w:rsid w:val="00312578"/>
    <w:rsid w:val="00312BB7"/>
    <w:rsid w:val="00313EDB"/>
    <w:rsid w:val="00317F45"/>
    <w:rsid w:val="003202B3"/>
    <w:rsid w:val="0032055A"/>
    <w:rsid w:val="003234E5"/>
    <w:rsid w:val="0032497D"/>
    <w:rsid w:val="00325E3C"/>
    <w:rsid w:val="00326C19"/>
    <w:rsid w:val="003310F0"/>
    <w:rsid w:val="00332D13"/>
    <w:rsid w:val="0033352B"/>
    <w:rsid w:val="00333573"/>
    <w:rsid w:val="00334652"/>
    <w:rsid w:val="003377BF"/>
    <w:rsid w:val="003409AD"/>
    <w:rsid w:val="00346792"/>
    <w:rsid w:val="003512AF"/>
    <w:rsid w:val="00353722"/>
    <w:rsid w:val="00356201"/>
    <w:rsid w:val="00362611"/>
    <w:rsid w:val="00362AF4"/>
    <w:rsid w:val="00363EBE"/>
    <w:rsid w:val="003659E5"/>
    <w:rsid w:val="00370F88"/>
    <w:rsid w:val="003715C9"/>
    <w:rsid w:val="00372FC9"/>
    <w:rsid w:val="003732E7"/>
    <w:rsid w:val="00373375"/>
    <w:rsid w:val="0037486E"/>
    <w:rsid w:val="0038116F"/>
    <w:rsid w:val="00381ECB"/>
    <w:rsid w:val="00382F7E"/>
    <w:rsid w:val="003923AF"/>
    <w:rsid w:val="00394B44"/>
    <w:rsid w:val="003951C5"/>
    <w:rsid w:val="00396EB6"/>
    <w:rsid w:val="003978F4"/>
    <w:rsid w:val="00397E21"/>
    <w:rsid w:val="003A2A67"/>
    <w:rsid w:val="003A4283"/>
    <w:rsid w:val="003A6E0F"/>
    <w:rsid w:val="003A7132"/>
    <w:rsid w:val="003B0284"/>
    <w:rsid w:val="003B294F"/>
    <w:rsid w:val="003B2ED7"/>
    <w:rsid w:val="003B6BA7"/>
    <w:rsid w:val="003C3285"/>
    <w:rsid w:val="003C4A34"/>
    <w:rsid w:val="003C4BB0"/>
    <w:rsid w:val="003D0236"/>
    <w:rsid w:val="003D29C9"/>
    <w:rsid w:val="003D2C75"/>
    <w:rsid w:val="003D6F50"/>
    <w:rsid w:val="003E029E"/>
    <w:rsid w:val="003E251B"/>
    <w:rsid w:val="003E2998"/>
    <w:rsid w:val="003E633E"/>
    <w:rsid w:val="003E641A"/>
    <w:rsid w:val="003E76AE"/>
    <w:rsid w:val="003F16B8"/>
    <w:rsid w:val="003F1D3F"/>
    <w:rsid w:val="003F30D1"/>
    <w:rsid w:val="003F359E"/>
    <w:rsid w:val="00402FFB"/>
    <w:rsid w:val="0040430F"/>
    <w:rsid w:val="00406D2B"/>
    <w:rsid w:val="00407B3E"/>
    <w:rsid w:val="004112D3"/>
    <w:rsid w:val="00411C07"/>
    <w:rsid w:val="00413658"/>
    <w:rsid w:val="00414660"/>
    <w:rsid w:val="00416194"/>
    <w:rsid w:val="00421E51"/>
    <w:rsid w:val="004220EF"/>
    <w:rsid w:val="00422E6A"/>
    <w:rsid w:val="00424893"/>
    <w:rsid w:val="00432861"/>
    <w:rsid w:val="00434FAA"/>
    <w:rsid w:val="00435782"/>
    <w:rsid w:val="00435F66"/>
    <w:rsid w:val="00436B1D"/>
    <w:rsid w:val="00440FEE"/>
    <w:rsid w:val="00442106"/>
    <w:rsid w:val="00443285"/>
    <w:rsid w:val="00443D25"/>
    <w:rsid w:val="00446981"/>
    <w:rsid w:val="004477D0"/>
    <w:rsid w:val="004539D0"/>
    <w:rsid w:val="004553BF"/>
    <w:rsid w:val="004556F9"/>
    <w:rsid w:val="00463907"/>
    <w:rsid w:val="0046511C"/>
    <w:rsid w:val="00465B88"/>
    <w:rsid w:val="00465DE0"/>
    <w:rsid w:val="00466AEE"/>
    <w:rsid w:val="0047524F"/>
    <w:rsid w:val="00476EB7"/>
    <w:rsid w:val="00484DF9"/>
    <w:rsid w:val="00490345"/>
    <w:rsid w:val="0049058C"/>
    <w:rsid w:val="004916B4"/>
    <w:rsid w:val="00495AC5"/>
    <w:rsid w:val="00495B19"/>
    <w:rsid w:val="00495F1C"/>
    <w:rsid w:val="004A6112"/>
    <w:rsid w:val="004A6177"/>
    <w:rsid w:val="004A70A2"/>
    <w:rsid w:val="004B2ED3"/>
    <w:rsid w:val="004B3D0C"/>
    <w:rsid w:val="004B4404"/>
    <w:rsid w:val="004B4A28"/>
    <w:rsid w:val="004B58DD"/>
    <w:rsid w:val="004C160A"/>
    <w:rsid w:val="004C19F2"/>
    <w:rsid w:val="004C1A19"/>
    <w:rsid w:val="004C31FF"/>
    <w:rsid w:val="004C3ABF"/>
    <w:rsid w:val="004C417D"/>
    <w:rsid w:val="004C7748"/>
    <w:rsid w:val="004C7F08"/>
    <w:rsid w:val="004D6D42"/>
    <w:rsid w:val="004D6D67"/>
    <w:rsid w:val="004D6D8D"/>
    <w:rsid w:val="004E32A1"/>
    <w:rsid w:val="004E349F"/>
    <w:rsid w:val="004E4387"/>
    <w:rsid w:val="004E7974"/>
    <w:rsid w:val="004F141B"/>
    <w:rsid w:val="004F1750"/>
    <w:rsid w:val="004F4942"/>
    <w:rsid w:val="00501CC4"/>
    <w:rsid w:val="00505C7B"/>
    <w:rsid w:val="00506200"/>
    <w:rsid w:val="00506B52"/>
    <w:rsid w:val="00506FB2"/>
    <w:rsid w:val="0051038B"/>
    <w:rsid w:val="00511FB9"/>
    <w:rsid w:val="00512B3F"/>
    <w:rsid w:val="00512B54"/>
    <w:rsid w:val="00513A10"/>
    <w:rsid w:val="00514067"/>
    <w:rsid w:val="00516667"/>
    <w:rsid w:val="005169E4"/>
    <w:rsid w:val="0052118E"/>
    <w:rsid w:val="0052327C"/>
    <w:rsid w:val="005233FB"/>
    <w:rsid w:val="00526835"/>
    <w:rsid w:val="0052752C"/>
    <w:rsid w:val="00533C30"/>
    <w:rsid w:val="00534318"/>
    <w:rsid w:val="00535066"/>
    <w:rsid w:val="0053752F"/>
    <w:rsid w:val="00537BED"/>
    <w:rsid w:val="0054032B"/>
    <w:rsid w:val="00552E49"/>
    <w:rsid w:val="00554731"/>
    <w:rsid w:val="00555CD8"/>
    <w:rsid w:val="0055681B"/>
    <w:rsid w:val="00557745"/>
    <w:rsid w:val="00557BDC"/>
    <w:rsid w:val="00561394"/>
    <w:rsid w:val="005620B9"/>
    <w:rsid w:val="00566446"/>
    <w:rsid w:val="00566823"/>
    <w:rsid w:val="00570304"/>
    <w:rsid w:val="005720EB"/>
    <w:rsid w:val="005748B7"/>
    <w:rsid w:val="00575800"/>
    <w:rsid w:val="00576504"/>
    <w:rsid w:val="005807DA"/>
    <w:rsid w:val="005829A5"/>
    <w:rsid w:val="005841FD"/>
    <w:rsid w:val="005850C3"/>
    <w:rsid w:val="0059351A"/>
    <w:rsid w:val="00596736"/>
    <w:rsid w:val="005A04BC"/>
    <w:rsid w:val="005A10FB"/>
    <w:rsid w:val="005A33A0"/>
    <w:rsid w:val="005B73D0"/>
    <w:rsid w:val="005C5B06"/>
    <w:rsid w:val="005D2F1F"/>
    <w:rsid w:val="005D386D"/>
    <w:rsid w:val="005D3B16"/>
    <w:rsid w:val="005D4A1B"/>
    <w:rsid w:val="005D7FB3"/>
    <w:rsid w:val="005E114A"/>
    <w:rsid w:val="005E131D"/>
    <w:rsid w:val="005E1B55"/>
    <w:rsid w:val="005E384A"/>
    <w:rsid w:val="005E5B41"/>
    <w:rsid w:val="005E77CF"/>
    <w:rsid w:val="005F5236"/>
    <w:rsid w:val="006020E7"/>
    <w:rsid w:val="0060422B"/>
    <w:rsid w:val="00604D2C"/>
    <w:rsid w:val="0061698D"/>
    <w:rsid w:val="00620753"/>
    <w:rsid w:val="00621E81"/>
    <w:rsid w:val="00625D3E"/>
    <w:rsid w:val="006274F4"/>
    <w:rsid w:val="00632533"/>
    <w:rsid w:val="00633B8A"/>
    <w:rsid w:val="006347E8"/>
    <w:rsid w:val="00634D10"/>
    <w:rsid w:val="0063505E"/>
    <w:rsid w:val="00640D82"/>
    <w:rsid w:val="006427CF"/>
    <w:rsid w:val="00650103"/>
    <w:rsid w:val="00652C41"/>
    <w:rsid w:val="0065325B"/>
    <w:rsid w:val="006538B3"/>
    <w:rsid w:val="006544A5"/>
    <w:rsid w:val="006547C5"/>
    <w:rsid w:val="00660E5C"/>
    <w:rsid w:val="00663CD6"/>
    <w:rsid w:val="00664248"/>
    <w:rsid w:val="00672842"/>
    <w:rsid w:val="006732EB"/>
    <w:rsid w:val="00673F13"/>
    <w:rsid w:val="006740AE"/>
    <w:rsid w:val="0067515B"/>
    <w:rsid w:val="00675715"/>
    <w:rsid w:val="00681967"/>
    <w:rsid w:val="00682836"/>
    <w:rsid w:val="00690772"/>
    <w:rsid w:val="006908B6"/>
    <w:rsid w:val="00692DBA"/>
    <w:rsid w:val="00692E1D"/>
    <w:rsid w:val="006957AC"/>
    <w:rsid w:val="006959FD"/>
    <w:rsid w:val="00695EE1"/>
    <w:rsid w:val="0069666F"/>
    <w:rsid w:val="0069751F"/>
    <w:rsid w:val="006A5396"/>
    <w:rsid w:val="006B001A"/>
    <w:rsid w:val="006B0845"/>
    <w:rsid w:val="006B213A"/>
    <w:rsid w:val="006B288A"/>
    <w:rsid w:val="006B3369"/>
    <w:rsid w:val="006B3A5C"/>
    <w:rsid w:val="006B4A13"/>
    <w:rsid w:val="006B7CA9"/>
    <w:rsid w:val="006C1807"/>
    <w:rsid w:val="006C1B9E"/>
    <w:rsid w:val="006C50FA"/>
    <w:rsid w:val="006C5892"/>
    <w:rsid w:val="006C5A6A"/>
    <w:rsid w:val="006C6FED"/>
    <w:rsid w:val="006C7923"/>
    <w:rsid w:val="006D0426"/>
    <w:rsid w:val="006D17CB"/>
    <w:rsid w:val="006D2F3F"/>
    <w:rsid w:val="006D7492"/>
    <w:rsid w:val="006E0A3E"/>
    <w:rsid w:val="006E0A7F"/>
    <w:rsid w:val="006E2D1E"/>
    <w:rsid w:val="006E3E6C"/>
    <w:rsid w:val="006E6A0F"/>
    <w:rsid w:val="006F0752"/>
    <w:rsid w:val="006F0E0E"/>
    <w:rsid w:val="006F1DEA"/>
    <w:rsid w:val="006F2E27"/>
    <w:rsid w:val="006F3D6C"/>
    <w:rsid w:val="006F659B"/>
    <w:rsid w:val="006F7E2B"/>
    <w:rsid w:val="0070079F"/>
    <w:rsid w:val="00700CD9"/>
    <w:rsid w:val="007054B2"/>
    <w:rsid w:val="007108C9"/>
    <w:rsid w:val="00711099"/>
    <w:rsid w:val="00712578"/>
    <w:rsid w:val="00714DDD"/>
    <w:rsid w:val="00715EB8"/>
    <w:rsid w:val="00716ED8"/>
    <w:rsid w:val="0072176C"/>
    <w:rsid w:val="00725002"/>
    <w:rsid w:val="0072715F"/>
    <w:rsid w:val="00735FD4"/>
    <w:rsid w:val="00742148"/>
    <w:rsid w:val="00743D6F"/>
    <w:rsid w:val="0074423F"/>
    <w:rsid w:val="00745BB3"/>
    <w:rsid w:val="00745C5F"/>
    <w:rsid w:val="007479A6"/>
    <w:rsid w:val="00751D46"/>
    <w:rsid w:val="00752590"/>
    <w:rsid w:val="00754C41"/>
    <w:rsid w:val="007552DF"/>
    <w:rsid w:val="007558FB"/>
    <w:rsid w:val="007569A4"/>
    <w:rsid w:val="00757B2D"/>
    <w:rsid w:val="00760B7D"/>
    <w:rsid w:val="007620F2"/>
    <w:rsid w:val="00762B62"/>
    <w:rsid w:val="00763B3A"/>
    <w:rsid w:val="007640F6"/>
    <w:rsid w:val="00765B0A"/>
    <w:rsid w:val="00772E05"/>
    <w:rsid w:val="00773210"/>
    <w:rsid w:val="007748EE"/>
    <w:rsid w:val="00776E27"/>
    <w:rsid w:val="007852A2"/>
    <w:rsid w:val="0078548D"/>
    <w:rsid w:val="007959F1"/>
    <w:rsid w:val="007977CD"/>
    <w:rsid w:val="007A6883"/>
    <w:rsid w:val="007A68F1"/>
    <w:rsid w:val="007B3119"/>
    <w:rsid w:val="007B3E8C"/>
    <w:rsid w:val="007B5942"/>
    <w:rsid w:val="007C0F9B"/>
    <w:rsid w:val="007C1FA0"/>
    <w:rsid w:val="007C3AF9"/>
    <w:rsid w:val="007C6059"/>
    <w:rsid w:val="007C68A1"/>
    <w:rsid w:val="007D388E"/>
    <w:rsid w:val="007D4F9A"/>
    <w:rsid w:val="007D65F6"/>
    <w:rsid w:val="007D6650"/>
    <w:rsid w:val="007D757F"/>
    <w:rsid w:val="007D7F1B"/>
    <w:rsid w:val="007E0EF0"/>
    <w:rsid w:val="007E4DD0"/>
    <w:rsid w:val="007E504A"/>
    <w:rsid w:val="007E68AE"/>
    <w:rsid w:val="007F0BA9"/>
    <w:rsid w:val="007F11B1"/>
    <w:rsid w:val="007F65EC"/>
    <w:rsid w:val="007F7B85"/>
    <w:rsid w:val="008014F0"/>
    <w:rsid w:val="00802827"/>
    <w:rsid w:val="00802BAB"/>
    <w:rsid w:val="0081314D"/>
    <w:rsid w:val="00813680"/>
    <w:rsid w:val="00816570"/>
    <w:rsid w:val="00825DAE"/>
    <w:rsid w:val="00825F28"/>
    <w:rsid w:val="00825FC4"/>
    <w:rsid w:val="00831EAA"/>
    <w:rsid w:val="00832934"/>
    <w:rsid w:val="00832DEA"/>
    <w:rsid w:val="0083416B"/>
    <w:rsid w:val="00835A42"/>
    <w:rsid w:val="00835D4A"/>
    <w:rsid w:val="00836C97"/>
    <w:rsid w:val="00841413"/>
    <w:rsid w:val="00845671"/>
    <w:rsid w:val="008463E5"/>
    <w:rsid w:val="0085081D"/>
    <w:rsid w:val="00851CE8"/>
    <w:rsid w:val="00851EC0"/>
    <w:rsid w:val="0085202D"/>
    <w:rsid w:val="008533FA"/>
    <w:rsid w:val="008534EB"/>
    <w:rsid w:val="00854621"/>
    <w:rsid w:val="008555ED"/>
    <w:rsid w:val="00855C76"/>
    <w:rsid w:val="0085652E"/>
    <w:rsid w:val="008565E9"/>
    <w:rsid w:val="00856C1F"/>
    <w:rsid w:val="00860D8F"/>
    <w:rsid w:val="00860F5A"/>
    <w:rsid w:val="00865A3E"/>
    <w:rsid w:val="00867FC0"/>
    <w:rsid w:val="00871BDC"/>
    <w:rsid w:val="00873852"/>
    <w:rsid w:val="00874E6A"/>
    <w:rsid w:val="0088152B"/>
    <w:rsid w:val="008943E0"/>
    <w:rsid w:val="00896246"/>
    <w:rsid w:val="0089726A"/>
    <w:rsid w:val="008A04FF"/>
    <w:rsid w:val="008A0661"/>
    <w:rsid w:val="008A28F4"/>
    <w:rsid w:val="008A2E1B"/>
    <w:rsid w:val="008A3B06"/>
    <w:rsid w:val="008B7276"/>
    <w:rsid w:val="008C16C3"/>
    <w:rsid w:val="008C1AD9"/>
    <w:rsid w:val="008C1F04"/>
    <w:rsid w:val="008C6581"/>
    <w:rsid w:val="008C6A7D"/>
    <w:rsid w:val="008D4131"/>
    <w:rsid w:val="008D55A5"/>
    <w:rsid w:val="008D69D9"/>
    <w:rsid w:val="008D762E"/>
    <w:rsid w:val="008D79E3"/>
    <w:rsid w:val="008D7D47"/>
    <w:rsid w:val="008E3833"/>
    <w:rsid w:val="008E6879"/>
    <w:rsid w:val="008F154C"/>
    <w:rsid w:val="008F21EC"/>
    <w:rsid w:val="008F44BC"/>
    <w:rsid w:val="008F4674"/>
    <w:rsid w:val="008F49C4"/>
    <w:rsid w:val="008F4B09"/>
    <w:rsid w:val="008F5F48"/>
    <w:rsid w:val="008F6A67"/>
    <w:rsid w:val="008F6CB2"/>
    <w:rsid w:val="008F7FE9"/>
    <w:rsid w:val="00902A64"/>
    <w:rsid w:val="00902BF4"/>
    <w:rsid w:val="0090630B"/>
    <w:rsid w:val="00906E47"/>
    <w:rsid w:val="00907DA6"/>
    <w:rsid w:val="00912173"/>
    <w:rsid w:val="0091356D"/>
    <w:rsid w:val="00914135"/>
    <w:rsid w:val="009146B1"/>
    <w:rsid w:val="00921973"/>
    <w:rsid w:val="00921EAF"/>
    <w:rsid w:val="00922768"/>
    <w:rsid w:val="009233F9"/>
    <w:rsid w:val="00925EEB"/>
    <w:rsid w:val="009317DC"/>
    <w:rsid w:val="009336F7"/>
    <w:rsid w:val="0094079E"/>
    <w:rsid w:val="00940A6D"/>
    <w:rsid w:val="00940CE9"/>
    <w:rsid w:val="00940D17"/>
    <w:rsid w:val="00941623"/>
    <w:rsid w:val="00942769"/>
    <w:rsid w:val="00945E08"/>
    <w:rsid w:val="00946B8C"/>
    <w:rsid w:val="00951307"/>
    <w:rsid w:val="00952CB1"/>
    <w:rsid w:val="0095301D"/>
    <w:rsid w:val="00953096"/>
    <w:rsid w:val="00953BA7"/>
    <w:rsid w:val="00953E65"/>
    <w:rsid w:val="00954775"/>
    <w:rsid w:val="00955C6E"/>
    <w:rsid w:val="009570C0"/>
    <w:rsid w:val="009621BE"/>
    <w:rsid w:val="00963995"/>
    <w:rsid w:val="009639CD"/>
    <w:rsid w:val="00964527"/>
    <w:rsid w:val="00964A5A"/>
    <w:rsid w:val="00972340"/>
    <w:rsid w:val="009728B6"/>
    <w:rsid w:val="00972A0E"/>
    <w:rsid w:val="00972FFA"/>
    <w:rsid w:val="00974483"/>
    <w:rsid w:val="00982A49"/>
    <w:rsid w:val="0098790F"/>
    <w:rsid w:val="009923B3"/>
    <w:rsid w:val="0099273D"/>
    <w:rsid w:val="00994E70"/>
    <w:rsid w:val="00995684"/>
    <w:rsid w:val="00995749"/>
    <w:rsid w:val="00996B5B"/>
    <w:rsid w:val="00997149"/>
    <w:rsid w:val="009A0897"/>
    <w:rsid w:val="009B1AC1"/>
    <w:rsid w:val="009B279E"/>
    <w:rsid w:val="009B285A"/>
    <w:rsid w:val="009B35F9"/>
    <w:rsid w:val="009B65D3"/>
    <w:rsid w:val="009B73AE"/>
    <w:rsid w:val="009C0364"/>
    <w:rsid w:val="009C2B3E"/>
    <w:rsid w:val="009C3472"/>
    <w:rsid w:val="009C38FF"/>
    <w:rsid w:val="009C510C"/>
    <w:rsid w:val="009C6847"/>
    <w:rsid w:val="009D6439"/>
    <w:rsid w:val="009D70DB"/>
    <w:rsid w:val="009E2276"/>
    <w:rsid w:val="009E38B8"/>
    <w:rsid w:val="009E4EE1"/>
    <w:rsid w:val="009E5111"/>
    <w:rsid w:val="009E6ECD"/>
    <w:rsid w:val="009F01EC"/>
    <w:rsid w:val="009F277C"/>
    <w:rsid w:val="009F36CD"/>
    <w:rsid w:val="009F5EB6"/>
    <w:rsid w:val="00A01B78"/>
    <w:rsid w:val="00A03620"/>
    <w:rsid w:val="00A05280"/>
    <w:rsid w:val="00A0720E"/>
    <w:rsid w:val="00A07CBC"/>
    <w:rsid w:val="00A1027B"/>
    <w:rsid w:val="00A10448"/>
    <w:rsid w:val="00A1474A"/>
    <w:rsid w:val="00A16266"/>
    <w:rsid w:val="00A17CE7"/>
    <w:rsid w:val="00A2073A"/>
    <w:rsid w:val="00A213B4"/>
    <w:rsid w:val="00A22E38"/>
    <w:rsid w:val="00A22F89"/>
    <w:rsid w:val="00A24FD9"/>
    <w:rsid w:val="00A25B34"/>
    <w:rsid w:val="00A27886"/>
    <w:rsid w:val="00A3014B"/>
    <w:rsid w:val="00A33BA5"/>
    <w:rsid w:val="00A341B2"/>
    <w:rsid w:val="00A41E2C"/>
    <w:rsid w:val="00A43395"/>
    <w:rsid w:val="00A43C02"/>
    <w:rsid w:val="00A4463C"/>
    <w:rsid w:val="00A446AF"/>
    <w:rsid w:val="00A45AA5"/>
    <w:rsid w:val="00A4667D"/>
    <w:rsid w:val="00A4672B"/>
    <w:rsid w:val="00A4791A"/>
    <w:rsid w:val="00A50947"/>
    <w:rsid w:val="00A547D0"/>
    <w:rsid w:val="00A55271"/>
    <w:rsid w:val="00A564D4"/>
    <w:rsid w:val="00A57682"/>
    <w:rsid w:val="00A66099"/>
    <w:rsid w:val="00A672A8"/>
    <w:rsid w:val="00A730B2"/>
    <w:rsid w:val="00A75349"/>
    <w:rsid w:val="00A75E99"/>
    <w:rsid w:val="00A76E06"/>
    <w:rsid w:val="00A77DA9"/>
    <w:rsid w:val="00A81BFC"/>
    <w:rsid w:val="00A830F1"/>
    <w:rsid w:val="00A83A10"/>
    <w:rsid w:val="00A855DC"/>
    <w:rsid w:val="00A873F0"/>
    <w:rsid w:val="00A91D91"/>
    <w:rsid w:val="00A92A0E"/>
    <w:rsid w:val="00A96E07"/>
    <w:rsid w:val="00AA1D03"/>
    <w:rsid w:val="00AA6383"/>
    <w:rsid w:val="00AA792F"/>
    <w:rsid w:val="00AB06D6"/>
    <w:rsid w:val="00AB2BE9"/>
    <w:rsid w:val="00AC1BAB"/>
    <w:rsid w:val="00AC4AA5"/>
    <w:rsid w:val="00AD0CEA"/>
    <w:rsid w:val="00AD4217"/>
    <w:rsid w:val="00AD613A"/>
    <w:rsid w:val="00AD6177"/>
    <w:rsid w:val="00AD7325"/>
    <w:rsid w:val="00AD7656"/>
    <w:rsid w:val="00AE016A"/>
    <w:rsid w:val="00AE17AB"/>
    <w:rsid w:val="00AE1D3D"/>
    <w:rsid w:val="00AE4AD8"/>
    <w:rsid w:val="00AE64F3"/>
    <w:rsid w:val="00AF0EB2"/>
    <w:rsid w:val="00AF3B58"/>
    <w:rsid w:val="00AF4233"/>
    <w:rsid w:val="00AF4265"/>
    <w:rsid w:val="00B00CFE"/>
    <w:rsid w:val="00B07945"/>
    <w:rsid w:val="00B110D5"/>
    <w:rsid w:val="00B151E4"/>
    <w:rsid w:val="00B1659F"/>
    <w:rsid w:val="00B24AF1"/>
    <w:rsid w:val="00B26651"/>
    <w:rsid w:val="00B32EA3"/>
    <w:rsid w:val="00B378D4"/>
    <w:rsid w:val="00B37E4D"/>
    <w:rsid w:val="00B4055B"/>
    <w:rsid w:val="00B40B05"/>
    <w:rsid w:val="00B438D7"/>
    <w:rsid w:val="00B50B7B"/>
    <w:rsid w:val="00B50BCD"/>
    <w:rsid w:val="00B612E4"/>
    <w:rsid w:val="00B64EC8"/>
    <w:rsid w:val="00B65C67"/>
    <w:rsid w:val="00B65CF6"/>
    <w:rsid w:val="00B672FD"/>
    <w:rsid w:val="00B71C1C"/>
    <w:rsid w:val="00B72F5A"/>
    <w:rsid w:val="00B75572"/>
    <w:rsid w:val="00B772A3"/>
    <w:rsid w:val="00B7759B"/>
    <w:rsid w:val="00B77883"/>
    <w:rsid w:val="00B804C7"/>
    <w:rsid w:val="00B81DEE"/>
    <w:rsid w:val="00B82DC1"/>
    <w:rsid w:val="00B83304"/>
    <w:rsid w:val="00B833D3"/>
    <w:rsid w:val="00B84F14"/>
    <w:rsid w:val="00B858ED"/>
    <w:rsid w:val="00B919B2"/>
    <w:rsid w:val="00B93554"/>
    <w:rsid w:val="00B93CF0"/>
    <w:rsid w:val="00B97BFC"/>
    <w:rsid w:val="00BA5F48"/>
    <w:rsid w:val="00BB1728"/>
    <w:rsid w:val="00BB2EEC"/>
    <w:rsid w:val="00BB2F0E"/>
    <w:rsid w:val="00BB30EB"/>
    <w:rsid w:val="00BB3D71"/>
    <w:rsid w:val="00BB5484"/>
    <w:rsid w:val="00BB5727"/>
    <w:rsid w:val="00BB7CE4"/>
    <w:rsid w:val="00BC0C36"/>
    <w:rsid w:val="00BC196F"/>
    <w:rsid w:val="00BC402E"/>
    <w:rsid w:val="00BC4E09"/>
    <w:rsid w:val="00BC52DC"/>
    <w:rsid w:val="00BC5FDE"/>
    <w:rsid w:val="00BC71EB"/>
    <w:rsid w:val="00BD13C2"/>
    <w:rsid w:val="00BD3110"/>
    <w:rsid w:val="00BD41CA"/>
    <w:rsid w:val="00BD57C4"/>
    <w:rsid w:val="00BD6D08"/>
    <w:rsid w:val="00BE0237"/>
    <w:rsid w:val="00BE0824"/>
    <w:rsid w:val="00BE1ABC"/>
    <w:rsid w:val="00BE1C5B"/>
    <w:rsid w:val="00BE2788"/>
    <w:rsid w:val="00BE61C3"/>
    <w:rsid w:val="00BE6374"/>
    <w:rsid w:val="00BE7525"/>
    <w:rsid w:val="00BE7B47"/>
    <w:rsid w:val="00BF0174"/>
    <w:rsid w:val="00BF0423"/>
    <w:rsid w:val="00BF11D2"/>
    <w:rsid w:val="00BF27CB"/>
    <w:rsid w:val="00BF4AA7"/>
    <w:rsid w:val="00BF6100"/>
    <w:rsid w:val="00BF65F7"/>
    <w:rsid w:val="00BF7F8E"/>
    <w:rsid w:val="00C00159"/>
    <w:rsid w:val="00C019F6"/>
    <w:rsid w:val="00C03CBD"/>
    <w:rsid w:val="00C04CD4"/>
    <w:rsid w:val="00C06CD0"/>
    <w:rsid w:val="00C07867"/>
    <w:rsid w:val="00C07984"/>
    <w:rsid w:val="00C07E85"/>
    <w:rsid w:val="00C10EC2"/>
    <w:rsid w:val="00C12A12"/>
    <w:rsid w:val="00C12BCC"/>
    <w:rsid w:val="00C15A03"/>
    <w:rsid w:val="00C17129"/>
    <w:rsid w:val="00C248B5"/>
    <w:rsid w:val="00C26915"/>
    <w:rsid w:val="00C318D5"/>
    <w:rsid w:val="00C343E8"/>
    <w:rsid w:val="00C3572E"/>
    <w:rsid w:val="00C40A19"/>
    <w:rsid w:val="00C43BCE"/>
    <w:rsid w:val="00C44650"/>
    <w:rsid w:val="00C4481A"/>
    <w:rsid w:val="00C46155"/>
    <w:rsid w:val="00C46449"/>
    <w:rsid w:val="00C4777D"/>
    <w:rsid w:val="00C50CA1"/>
    <w:rsid w:val="00C515D9"/>
    <w:rsid w:val="00C5449D"/>
    <w:rsid w:val="00C54595"/>
    <w:rsid w:val="00C6103B"/>
    <w:rsid w:val="00C619F8"/>
    <w:rsid w:val="00C63055"/>
    <w:rsid w:val="00C65AC9"/>
    <w:rsid w:val="00C66212"/>
    <w:rsid w:val="00C67886"/>
    <w:rsid w:val="00C703E7"/>
    <w:rsid w:val="00C706A5"/>
    <w:rsid w:val="00C71459"/>
    <w:rsid w:val="00C716C7"/>
    <w:rsid w:val="00C728C8"/>
    <w:rsid w:val="00C73F5C"/>
    <w:rsid w:val="00C74412"/>
    <w:rsid w:val="00C75008"/>
    <w:rsid w:val="00C76B9C"/>
    <w:rsid w:val="00C82E0C"/>
    <w:rsid w:val="00C85385"/>
    <w:rsid w:val="00C947A4"/>
    <w:rsid w:val="00C949C4"/>
    <w:rsid w:val="00C95C2C"/>
    <w:rsid w:val="00C975A5"/>
    <w:rsid w:val="00C97E54"/>
    <w:rsid w:val="00CA2D37"/>
    <w:rsid w:val="00CA37EC"/>
    <w:rsid w:val="00CA3D7F"/>
    <w:rsid w:val="00CA537F"/>
    <w:rsid w:val="00CA7F65"/>
    <w:rsid w:val="00CB1716"/>
    <w:rsid w:val="00CB21BC"/>
    <w:rsid w:val="00CB2AD1"/>
    <w:rsid w:val="00CB6D9D"/>
    <w:rsid w:val="00CC18F2"/>
    <w:rsid w:val="00CC2057"/>
    <w:rsid w:val="00CC2944"/>
    <w:rsid w:val="00CC3C90"/>
    <w:rsid w:val="00CC62DF"/>
    <w:rsid w:val="00CD0F42"/>
    <w:rsid w:val="00CD1364"/>
    <w:rsid w:val="00CD2A55"/>
    <w:rsid w:val="00CD2E4F"/>
    <w:rsid w:val="00CD5A53"/>
    <w:rsid w:val="00CE1DEA"/>
    <w:rsid w:val="00CE4C35"/>
    <w:rsid w:val="00CE5FBE"/>
    <w:rsid w:val="00CE75ED"/>
    <w:rsid w:val="00CE7914"/>
    <w:rsid w:val="00CE7933"/>
    <w:rsid w:val="00CF1C7F"/>
    <w:rsid w:val="00CF7CE8"/>
    <w:rsid w:val="00CF7CEB"/>
    <w:rsid w:val="00D00E8E"/>
    <w:rsid w:val="00D02594"/>
    <w:rsid w:val="00D03646"/>
    <w:rsid w:val="00D03CA9"/>
    <w:rsid w:val="00D13EEF"/>
    <w:rsid w:val="00D14B41"/>
    <w:rsid w:val="00D170E5"/>
    <w:rsid w:val="00D17441"/>
    <w:rsid w:val="00D210AA"/>
    <w:rsid w:val="00D22BE3"/>
    <w:rsid w:val="00D258FD"/>
    <w:rsid w:val="00D30FA1"/>
    <w:rsid w:val="00D441BC"/>
    <w:rsid w:val="00D442BA"/>
    <w:rsid w:val="00D462E4"/>
    <w:rsid w:val="00D500EE"/>
    <w:rsid w:val="00D50B8B"/>
    <w:rsid w:val="00D57C1E"/>
    <w:rsid w:val="00D604BD"/>
    <w:rsid w:val="00D60FBE"/>
    <w:rsid w:val="00D615BB"/>
    <w:rsid w:val="00D66433"/>
    <w:rsid w:val="00D710DC"/>
    <w:rsid w:val="00D74967"/>
    <w:rsid w:val="00D749A1"/>
    <w:rsid w:val="00D804EA"/>
    <w:rsid w:val="00D81759"/>
    <w:rsid w:val="00D85A93"/>
    <w:rsid w:val="00D87A51"/>
    <w:rsid w:val="00D9344E"/>
    <w:rsid w:val="00D94D1D"/>
    <w:rsid w:val="00D95BA7"/>
    <w:rsid w:val="00D95FDE"/>
    <w:rsid w:val="00DA0703"/>
    <w:rsid w:val="00DA332C"/>
    <w:rsid w:val="00DA4764"/>
    <w:rsid w:val="00DA54A9"/>
    <w:rsid w:val="00DA6BA3"/>
    <w:rsid w:val="00DA6DB0"/>
    <w:rsid w:val="00DA76D2"/>
    <w:rsid w:val="00DB3713"/>
    <w:rsid w:val="00DB39F2"/>
    <w:rsid w:val="00DB5DAB"/>
    <w:rsid w:val="00DB7DFB"/>
    <w:rsid w:val="00DC3A69"/>
    <w:rsid w:val="00DC3F5F"/>
    <w:rsid w:val="00DC4707"/>
    <w:rsid w:val="00DC5A33"/>
    <w:rsid w:val="00DC5A52"/>
    <w:rsid w:val="00DC6282"/>
    <w:rsid w:val="00DC74D1"/>
    <w:rsid w:val="00DD0F8A"/>
    <w:rsid w:val="00DD2E95"/>
    <w:rsid w:val="00DD3994"/>
    <w:rsid w:val="00DD4134"/>
    <w:rsid w:val="00DE0A2F"/>
    <w:rsid w:val="00DE10F7"/>
    <w:rsid w:val="00DE7B59"/>
    <w:rsid w:val="00DF47BD"/>
    <w:rsid w:val="00DF4D61"/>
    <w:rsid w:val="00E01706"/>
    <w:rsid w:val="00E04A98"/>
    <w:rsid w:val="00E06853"/>
    <w:rsid w:val="00E10CE3"/>
    <w:rsid w:val="00E110C1"/>
    <w:rsid w:val="00E1205E"/>
    <w:rsid w:val="00E13B9A"/>
    <w:rsid w:val="00E13E9E"/>
    <w:rsid w:val="00E14398"/>
    <w:rsid w:val="00E15400"/>
    <w:rsid w:val="00E213AF"/>
    <w:rsid w:val="00E2184D"/>
    <w:rsid w:val="00E309BE"/>
    <w:rsid w:val="00E318D4"/>
    <w:rsid w:val="00E33F55"/>
    <w:rsid w:val="00E373D5"/>
    <w:rsid w:val="00E42203"/>
    <w:rsid w:val="00E42B9C"/>
    <w:rsid w:val="00E42D3C"/>
    <w:rsid w:val="00E438A3"/>
    <w:rsid w:val="00E44AD9"/>
    <w:rsid w:val="00E464C1"/>
    <w:rsid w:val="00E46FF7"/>
    <w:rsid w:val="00E51995"/>
    <w:rsid w:val="00E56E3C"/>
    <w:rsid w:val="00E57E09"/>
    <w:rsid w:val="00E63528"/>
    <w:rsid w:val="00E63598"/>
    <w:rsid w:val="00E64BA3"/>
    <w:rsid w:val="00E66AD2"/>
    <w:rsid w:val="00E704D0"/>
    <w:rsid w:val="00E71E31"/>
    <w:rsid w:val="00E8051A"/>
    <w:rsid w:val="00E80595"/>
    <w:rsid w:val="00E806E7"/>
    <w:rsid w:val="00E806F4"/>
    <w:rsid w:val="00E828F9"/>
    <w:rsid w:val="00E82E9C"/>
    <w:rsid w:val="00E85E84"/>
    <w:rsid w:val="00E87FCE"/>
    <w:rsid w:val="00E90160"/>
    <w:rsid w:val="00EA1B74"/>
    <w:rsid w:val="00EA3FA4"/>
    <w:rsid w:val="00EA407F"/>
    <w:rsid w:val="00EA4528"/>
    <w:rsid w:val="00EA5CBC"/>
    <w:rsid w:val="00EA719C"/>
    <w:rsid w:val="00EB1C1B"/>
    <w:rsid w:val="00EB25C5"/>
    <w:rsid w:val="00EB6C9E"/>
    <w:rsid w:val="00EB7AF7"/>
    <w:rsid w:val="00EC7DEC"/>
    <w:rsid w:val="00ED013E"/>
    <w:rsid w:val="00EE22ED"/>
    <w:rsid w:val="00EE32EA"/>
    <w:rsid w:val="00EE3D69"/>
    <w:rsid w:val="00EE40F2"/>
    <w:rsid w:val="00EE4F1B"/>
    <w:rsid w:val="00EE7603"/>
    <w:rsid w:val="00EE7BB7"/>
    <w:rsid w:val="00EF1CC7"/>
    <w:rsid w:val="00EF41FB"/>
    <w:rsid w:val="00EF688F"/>
    <w:rsid w:val="00EF6D63"/>
    <w:rsid w:val="00F03067"/>
    <w:rsid w:val="00F045AF"/>
    <w:rsid w:val="00F05716"/>
    <w:rsid w:val="00F10029"/>
    <w:rsid w:val="00F12CFF"/>
    <w:rsid w:val="00F14456"/>
    <w:rsid w:val="00F152F1"/>
    <w:rsid w:val="00F21292"/>
    <w:rsid w:val="00F2197C"/>
    <w:rsid w:val="00F24391"/>
    <w:rsid w:val="00F27675"/>
    <w:rsid w:val="00F27851"/>
    <w:rsid w:val="00F31FFF"/>
    <w:rsid w:val="00F34778"/>
    <w:rsid w:val="00F3504E"/>
    <w:rsid w:val="00F400AE"/>
    <w:rsid w:val="00F4114C"/>
    <w:rsid w:val="00F45E52"/>
    <w:rsid w:val="00F46956"/>
    <w:rsid w:val="00F47E9B"/>
    <w:rsid w:val="00F50508"/>
    <w:rsid w:val="00F52A1C"/>
    <w:rsid w:val="00F53FFC"/>
    <w:rsid w:val="00F62B41"/>
    <w:rsid w:val="00F65A22"/>
    <w:rsid w:val="00F65F6E"/>
    <w:rsid w:val="00F71684"/>
    <w:rsid w:val="00F72779"/>
    <w:rsid w:val="00F72C30"/>
    <w:rsid w:val="00F72D66"/>
    <w:rsid w:val="00F757F3"/>
    <w:rsid w:val="00F7584C"/>
    <w:rsid w:val="00F76220"/>
    <w:rsid w:val="00F778BB"/>
    <w:rsid w:val="00F77C9A"/>
    <w:rsid w:val="00F8012B"/>
    <w:rsid w:val="00F81198"/>
    <w:rsid w:val="00F829B3"/>
    <w:rsid w:val="00F83939"/>
    <w:rsid w:val="00F8466E"/>
    <w:rsid w:val="00F84E2B"/>
    <w:rsid w:val="00F86E80"/>
    <w:rsid w:val="00F8705B"/>
    <w:rsid w:val="00F9025A"/>
    <w:rsid w:val="00F905A1"/>
    <w:rsid w:val="00F92BE1"/>
    <w:rsid w:val="00F938DF"/>
    <w:rsid w:val="00F96C48"/>
    <w:rsid w:val="00FA4536"/>
    <w:rsid w:val="00FA561C"/>
    <w:rsid w:val="00FA5A10"/>
    <w:rsid w:val="00FA5C38"/>
    <w:rsid w:val="00FB34C9"/>
    <w:rsid w:val="00FB5093"/>
    <w:rsid w:val="00FB5B9D"/>
    <w:rsid w:val="00FC1365"/>
    <w:rsid w:val="00FC6467"/>
    <w:rsid w:val="00FC75A3"/>
    <w:rsid w:val="00FC7AC4"/>
    <w:rsid w:val="00FD1311"/>
    <w:rsid w:val="00FD60DB"/>
    <w:rsid w:val="00FE0D2A"/>
    <w:rsid w:val="00FE5F29"/>
    <w:rsid w:val="00FE798E"/>
    <w:rsid w:val="00FF4459"/>
    <w:rsid w:val="00FF5827"/>
    <w:rsid w:val="041728FD"/>
    <w:rsid w:val="046375FA"/>
    <w:rsid w:val="10A9B7C8"/>
    <w:rsid w:val="1A8C8264"/>
    <w:rsid w:val="1DD95A0C"/>
    <w:rsid w:val="21C2B706"/>
    <w:rsid w:val="299AD720"/>
    <w:rsid w:val="2BBA7CFE"/>
    <w:rsid w:val="2C4A5F29"/>
    <w:rsid w:val="2DAB1E5F"/>
    <w:rsid w:val="30C2D929"/>
    <w:rsid w:val="32CDB8C7"/>
    <w:rsid w:val="33D0AE2F"/>
    <w:rsid w:val="343A1405"/>
    <w:rsid w:val="3601E5C9"/>
    <w:rsid w:val="3655B9AF"/>
    <w:rsid w:val="388958C6"/>
    <w:rsid w:val="45D906F1"/>
    <w:rsid w:val="64C96D75"/>
    <w:rsid w:val="79C83948"/>
    <w:rsid w:val="7E38C204"/>
    <w:rsid w:val="7F76F4A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7CE9"/>
  <w15:docId w15:val="{005DE373-B789-4B08-B014-F260A2F5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table" w:styleId="Mriekatabuky">
    <w:name w:val="Table Grid"/>
    <w:basedOn w:val="Normlnatabuka"/>
    <w:uiPriority w:val="59"/>
    <w:rsid w:val="0012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748EE"/>
    <w:rPr>
      <w:color w:val="0000FF" w:themeColor="hyperlink"/>
      <w:u w:val="single"/>
    </w:rPr>
  </w:style>
  <w:style w:type="character" w:styleId="Nevyrieenzmienka">
    <w:name w:val="Unresolved Mention"/>
    <w:basedOn w:val="Predvolenpsmoodseku"/>
    <w:uiPriority w:val="99"/>
    <w:semiHidden/>
    <w:unhideWhenUsed/>
    <w:rsid w:val="007748EE"/>
    <w:rPr>
      <w:color w:val="605E5C"/>
      <w:shd w:val="clear" w:color="auto" w:fill="E1DFDD"/>
    </w:rPr>
  </w:style>
  <w:style w:type="paragraph" w:styleId="Odsekzoznamu">
    <w:name w:val="List Paragraph"/>
    <w:basedOn w:val="Normlny"/>
    <w:uiPriority w:val="34"/>
    <w:qFormat/>
    <w:rsid w:val="007479A6"/>
    <w:pPr>
      <w:spacing w:after="160" w:line="259" w:lineRule="auto"/>
      <w:ind w:left="720"/>
      <w:contextualSpacing/>
      <w:jc w:val="left"/>
    </w:pPr>
    <w:rPr>
      <w:rFonts w:asciiTheme="minorHAnsi" w:eastAsiaTheme="minorHAnsi" w:hAnsiTheme="minorHAnsi" w:cstheme="minorBidi"/>
      <w:kern w:val="2"/>
      <w:sz w:val="22"/>
      <w:szCs w:val="22"/>
      <w:lang w:val="en-US"/>
      <w14:ligatures w14:val="standardContextual"/>
    </w:rPr>
  </w:style>
  <w:style w:type="paragraph" w:styleId="Normlnywebov">
    <w:name w:val="Normal (Web)"/>
    <w:basedOn w:val="Normlny"/>
    <w:uiPriority w:val="99"/>
    <w:semiHidden/>
    <w:unhideWhenUsed/>
    <w:rsid w:val="00EE40F2"/>
    <w:pPr>
      <w:spacing w:before="100" w:beforeAutospacing="1" w:after="100" w:afterAutospacing="1" w:line="240" w:lineRule="auto"/>
      <w:jc w:val="left"/>
    </w:pPr>
    <w:rPr>
      <w:rFonts w:ascii="Times New Roman" w:hAnsi="Times New Roman"/>
      <w:sz w:val="24"/>
      <w:lang w:val="en-US"/>
    </w:rPr>
  </w:style>
  <w:style w:type="character" w:styleId="Odkaznakomentr">
    <w:name w:val="annotation reference"/>
    <w:basedOn w:val="Predvolenpsmoodseku"/>
    <w:uiPriority w:val="99"/>
    <w:semiHidden/>
    <w:unhideWhenUsed/>
    <w:rsid w:val="001A417E"/>
    <w:rPr>
      <w:sz w:val="16"/>
      <w:szCs w:val="16"/>
    </w:rPr>
  </w:style>
  <w:style w:type="paragraph" w:styleId="Textkomentra">
    <w:name w:val="annotation text"/>
    <w:basedOn w:val="Normlny"/>
    <w:link w:val="TextkomentraChar"/>
    <w:uiPriority w:val="99"/>
    <w:unhideWhenUsed/>
    <w:rsid w:val="001A417E"/>
    <w:pPr>
      <w:spacing w:line="240" w:lineRule="auto"/>
    </w:pPr>
    <w:rPr>
      <w:sz w:val="20"/>
      <w:szCs w:val="20"/>
    </w:rPr>
  </w:style>
  <w:style w:type="character" w:customStyle="1" w:styleId="TextkomentraChar">
    <w:name w:val="Text komentára Char"/>
    <w:basedOn w:val="Predvolenpsmoodseku"/>
    <w:link w:val="Textkomentra"/>
    <w:uiPriority w:val="99"/>
    <w:rsid w:val="001A417E"/>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1A417E"/>
    <w:rPr>
      <w:b/>
      <w:bCs/>
    </w:rPr>
  </w:style>
  <w:style w:type="character" w:customStyle="1" w:styleId="PredmetkomentraChar">
    <w:name w:val="Predmet komentára Char"/>
    <w:basedOn w:val="TextkomentraChar"/>
    <w:link w:val="Predmetkomentra"/>
    <w:uiPriority w:val="99"/>
    <w:semiHidden/>
    <w:rsid w:val="001A417E"/>
    <w:rPr>
      <w:rFonts w:ascii="Verdana" w:eastAsia="Times New Roman" w:hAnsi="Verdana" w:cs="Times New Roman"/>
      <w:b/>
      <w:bCs/>
      <w:sz w:val="20"/>
      <w:szCs w:val="20"/>
      <w:lang w:val="en-GB"/>
    </w:rPr>
  </w:style>
  <w:style w:type="character" w:styleId="Zmienka">
    <w:name w:val="Mention"/>
    <w:basedOn w:val="Predvolenpsmoodseku"/>
    <w:uiPriority w:val="99"/>
    <w:unhideWhenUsed/>
    <w:rsid w:val="001A417E"/>
    <w:rPr>
      <w:color w:val="2B579A"/>
      <w:shd w:val="clear" w:color="auto" w:fill="E1DFDD"/>
    </w:rPr>
  </w:style>
  <w:style w:type="paragraph" w:styleId="PredformtovanHTML">
    <w:name w:val="HTML Preformatted"/>
    <w:basedOn w:val="Normlny"/>
    <w:link w:val="PredformtovanHTMLChar"/>
    <w:uiPriority w:val="99"/>
    <w:semiHidden/>
    <w:unhideWhenUsed/>
    <w:rsid w:val="0016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en-US"/>
    </w:rPr>
  </w:style>
  <w:style w:type="character" w:customStyle="1" w:styleId="PredformtovanHTMLChar">
    <w:name w:val="Predformátované HTML Char"/>
    <w:basedOn w:val="Predvolenpsmoodseku"/>
    <w:link w:val="PredformtovanHTML"/>
    <w:uiPriority w:val="99"/>
    <w:semiHidden/>
    <w:rsid w:val="00161EA9"/>
    <w:rPr>
      <w:rFonts w:ascii="Courier New" w:eastAsia="Times New Roman" w:hAnsi="Courier New" w:cs="Courier New"/>
      <w:sz w:val="20"/>
      <w:szCs w:val="20"/>
      <w:lang w:val="en-US"/>
    </w:rPr>
  </w:style>
  <w:style w:type="paragraph" w:styleId="Revzia">
    <w:name w:val="Revision"/>
    <w:hidden/>
    <w:uiPriority w:val="99"/>
    <w:semiHidden/>
    <w:rsid w:val="00F8466E"/>
    <w:pPr>
      <w:spacing w:after="0" w:line="240" w:lineRule="auto"/>
    </w:pPr>
    <w:rPr>
      <w:rFonts w:ascii="Verdana" w:eastAsia="Times New Roman" w:hAnsi="Verdana" w:cs="Times New Roman"/>
      <w:sz w:val="18"/>
      <w:szCs w:val="24"/>
      <w:lang w:val="en-GB"/>
    </w:rPr>
  </w:style>
  <w:style w:type="character" w:customStyle="1" w:styleId="TITRE2">
    <w:name w:val="TITRE 2"/>
    <w:basedOn w:val="Predvolenpsmoodseku"/>
    <w:uiPriority w:val="1"/>
    <w:qFormat/>
    <w:rsid w:val="0085202D"/>
    <w:rPr>
      <w:rFonts w:ascii="Garamond" w:eastAsia="Garamond" w:hAnsi="Garamond" w:cs="Garamond"/>
      <w:b/>
      <w:color w:val="000000" w:themeColor="text1"/>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17234">
      <w:bodyDiv w:val="1"/>
      <w:marLeft w:val="0"/>
      <w:marRight w:val="0"/>
      <w:marTop w:val="0"/>
      <w:marBottom w:val="0"/>
      <w:divBdr>
        <w:top w:val="none" w:sz="0" w:space="0" w:color="auto"/>
        <w:left w:val="none" w:sz="0" w:space="0" w:color="auto"/>
        <w:bottom w:val="none" w:sz="0" w:space="0" w:color="auto"/>
        <w:right w:val="none" w:sz="0" w:space="0" w:color="auto"/>
      </w:divBdr>
    </w:div>
    <w:div w:id="436368041">
      <w:bodyDiv w:val="1"/>
      <w:marLeft w:val="0"/>
      <w:marRight w:val="0"/>
      <w:marTop w:val="0"/>
      <w:marBottom w:val="0"/>
      <w:divBdr>
        <w:top w:val="none" w:sz="0" w:space="0" w:color="auto"/>
        <w:left w:val="none" w:sz="0" w:space="0" w:color="auto"/>
        <w:bottom w:val="none" w:sz="0" w:space="0" w:color="auto"/>
        <w:right w:val="none" w:sz="0" w:space="0" w:color="auto"/>
      </w:divBdr>
    </w:div>
    <w:div w:id="533074995">
      <w:bodyDiv w:val="1"/>
      <w:marLeft w:val="0"/>
      <w:marRight w:val="0"/>
      <w:marTop w:val="0"/>
      <w:marBottom w:val="0"/>
      <w:divBdr>
        <w:top w:val="none" w:sz="0" w:space="0" w:color="auto"/>
        <w:left w:val="none" w:sz="0" w:space="0" w:color="auto"/>
        <w:bottom w:val="none" w:sz="0" w:space="0" w:color="auto"/>
        <w:right w:val="none" w:sz="0" w:space="0" w:color="auto"/>
      </w:divBdr>
    </w:div>
    <w:div w:id="542668756">
      <w:bodyDiv w:val="1"/>
      <w:marLeft w:val="0"/>
      <w:marRight w:val="0"/>
      <w:marTop w:val="0"/>
      <w:marBottom w:val="0"/>
      <w:divBdr>
        <w:top w:val="none" w:sz="0" w:space="0" w:color="auto"/>
        <w:left w:val="none" w:sz="0" w:space="0" w:color="auto"/>
        <w:bottom w:val="none" w:sz="0" w:space="0" w:color="auto"/>
        <w:right w:val="none" w:sz="0" w:space="0" w:color="auto"/>
      </w:divBdr>
    </w:div>
    <w:div w:id="562061312">
      <w:bodyDiv w:val="1"/>
      <w:marLeft w:val="0"/>
      <w:marRight w:val="0"/>
      <w:marTop w:val="0"/>
      <w:marBottom w:val="0"/>
      <w:divBdr>
        <w:top w:val="none" w:sz="0" w:space="0" w:color="auto"/>
        <w:left w:val="none" w:sz="0" w:space="0" w:color="auto"/>
        <w:bottom w:val="none" w:sz="0" w:space="0" w:color="auto"/>
        <w:right w:val="none" w:sz="0" w:space="0" w:color="auto"/>
      </w:divBdr>
    </w:div>
    <w:div w:id="992634867">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 w:id="1574702637">
      <w:bodyDiv w:val="1"/>
      <w:marLeft w:val="0"/>
      <w:marRight w:val="0"/>
      <w:marTop w:val="0"/>
      <w:marBottom w:val="0"/>
      <w:divBdr>
        <w:top w:val="none" w:sz="0" w:space="0" w:color="auto"/>
        <w:left w:val="none" w:sz="0" w:space="0" w:color="auto"/>
        <w:bottom w:val="none" w:sz="0" w:space="0" w:color="auto"/>
        <w:right w:val="none" w:sz="0" w:space="0" w:color="auto"/>
      </w:divBdr>
    </w:div>
    <w:div w:id="2059863999">
      <w:bodyDiv w:val="1"/>
      <w:marLeft w:val="0"/>
      <w:marRight w:val="0"/>
      <w:marTop w:val="0"/>
      <w:marBottom w:val="0"/>
      <w:divBdr>
        <w:top w:val="none" w:sz="0" w:space="0" w:color="auto"/>
        <w:left w:val="none" w:sz="0" w:space="0" w:color="auto"/>
        <w:bottom w:val="none" w:sz="0" w:space="0" w:color="auto"/>
        <w:right w:val="none" w:sz="0" w:space="0" w:color="auto"/>
      </w:divBdr>
    </w:div>
    <w:div w:id="2067339325">
      <w:bodyDiv w:val="1"/>
      <w:marLeft w:val="0"/>
      <w:marRight w:val="0"/>
      <w:marTop w:val="0"/>
      <w:marBottom w:val="0"/>
      <w:divBdr>
        <w:top w:val="none" w:sz="0" w:space="0" w:color="auto"/>
        <w:left w:val="none" w:sz="0" w:space="0" w:color="auto"/>
        <w:bottom w:val="none" w:sz="0" w:space="0" w:color="auto"/>
        <w:right w:val="none" w:sz="0" w:space="0" w:color="auto"/>
      </w:divBdr>
    </w:div>
    <w:div w:id="20911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uranceeurope.sharepoint.com/:b:/s/extranet/EaQ_W5eTRiVDtO3CMWFPt9EBZoX7dfs0CW31Vn6ilYbYD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103175A-9402-4B30-B3A5-FCC1C0934D84}"/>
      </w:docPartPr>
      <w:docPartBody>
        <w:p w:rsidR="00427EDA" w:rsidRDefault="009C6847">
          <w:r w:rsidRPr="008C7EEE">
            <w:rPr>
              <w:rStyle w:val="Zstupntext"/>
            </w:rPr>
            <w:t>Click or tap here to enter text.</w:t>
          </w:r>
        </w:p>
      </w:docPartBody>
    </w:docPart>
    <w:docPart>
      <w:docPartPr>
        <w:name w:val="B622DF60584F42E5BD7F31BDC31BD6AB"/>
        <w:category>
          <w:name w:val="General"/>
          <w:gallery w:val="placeholder"/>
        </w:category>
        <w:types>
          <w:type w:val="bbPlcHdr"/>
        </w:types>
        <w:behaviors>
          <w:behavior w:val="content"/>
        </w:behaviors>
        <w:guid w:val="{39A4C8E2-B84E-4BBC-AA16-09716DA64947}"/>
      </w:docPartPr>
      <w:docPartBody>
        <w:p w:rsidR="00F715D7" w:rsidRDefault="00481BBF" w:rsidP="00481BBF">
          <w:pPr>
            <w:pStyle w:val="B622DF60584F42E5BD7F31BDC31BD6AB"/>
          </w:pPr>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70"/>
    <w:rsid w:val="00067782"/>
    <w:rsid w:val="000C2F7C"/>
    <w:rsid w:val="000F1CB6"/>
    <w:rsid w:val="002B7C8A"/>
    <w:rsid w:val="002C6BA8"/>
    <w:rsid w:val="002D1639"/>
    <w:rsid w:val="00427EDA"/>
    <w:rsid w:val="00481BBF"/>
    <w:rsid w:val="004A7F99"/>
    <w:rsid w:val="004F7FCD"/>
    <w:rsid w:val="0057158E"/>
    <w:rsid w:val="005833E3"/>
    <w:rsid w:val="005E3342"/>
    <w:rsid w:val="00634188"/>
    <w:rsid w:val="0065770E"/>
    <w:rsid w:val="007B6BB0"/>
    <w:rsid w:val="009C6847"/>
    <w:rsid w:val="00A241AE"/>
    <w:rsid w:val="00A307CB"/>
    <w:rsid w:val="00A41444"/>
    <w:rsid w:val="00A901DE"/>
    <w:rsid w:val="00AE5214"/>
    <w:rsid w:val="00AF50EC"/>
    <w:rsid w:val="00B460D4"/>
    <w:rsid w:val="00BF733A"/>
    <w:rsid w:val="00CD0D36"/>
    <w:rsid w:val="00D83A69"/>
    <w:rsid w:val="00E36D51"/>
    <w:rsid w:val="00E401F3"/>
    <w:rsid w:val="00E87DC1"/>
    <w:rsid w:val="00F36970"/>
    <w:rsid w:val="00F50DB0"/>
    <w:rsid w:val="00F633AE"/>
    <w:rsid w:val="00F67907"/>
    <w:rsid w:val="00F715D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9A498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81BBF"/>
    <w:rPr>
      <w:color w:val="808080"/>
    </w:rPr>
  </w:style>
  <w:style w:type="paragraph" w:customStyle="1" w:styleId="B622DF60584F42E5BD7F31BDC31BD6AB">
    <w:name w:val="B622DF60584F42E5BD7F31BDC31BD6AB"/>
    <w:rsid w:val="00481BBF"/>
    <w:pPr>
      <w:spacing w:after="160" w:line="259"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ddee4349-d6c5-476b-a1c6-d791a1a12d6c" xsi:nil="true"/>
    <Feedback_x0020_type xmlns="ddee4349-d6c5-476b-a1c6-d791a1a12d6c" xsi:nil="true"/>
    <Allow_x0020_uploads xmlns="ddee4349-d6c5-476b-a1c6-d791a1a12d6c" xsi:nil="true"/>
    <Allow_x0020_comments xmlns="ddee4349-d6c5-476b-a1c6-d791a1a12d6c" xsi:nil="true"/>
    <Leading_x0020_document xmlns="ddee4349-d6c5-476b-a1c6-d791a1a12d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0CA08016993649B987301C6C20DE93" ma:contentTypeVersion="9" ma:contentTypeDescription="Create a new document." ma:contentTypeScope="" ma:versionID="9df650a23b796ee3225d8d0f06e14915">
  <xsd:schema xmlns:xsd="http://www.w3.org/2001/XMLSchema" xmlns:xs="http://www.w3.org/2001/XMLSchema" xmlns:p="http://schemas.microsoft.com/office/2006/metadata/properties" xmlns:ns2="ddee4349-d6c5-476b-a1c6-d791a1a12d6c" targetNamespace="http://schemas.microsoft.com/office/2006/metadata/properties" ma:root="true" ma:fieldsID="191b4cb0518fe7937a4b07a992340f03" ns2:_="">
    <xsd:import namespace="ddee4349-d6c5-476b-a1c6-d791a1a12d6c"/>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349-d6c5-476b-a1c6-d791a1a12d6c"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85A1-11AA-442D-8577-727460E39C5A}">
  <ds:schemaRef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ddee4349-d6c5-476b-a1c6-d791a1a12d6c"/>
    <ds:schemaRef ds:uri="http://www.w3.org/XML/1998/namespace"/>
    <ds:schemaRef ds:uri="http://purl.org/dc/elements/1.1/"/>
  </ds:schemaRefs>
</ds:datastoreItem>
</file>

<file path=customXml/itemProps2.xml><?xml version="1.0" encoding="utf-8"?>
<ds:datastoreItem xmlns:ds="http://schemas.openxmlformats.org/officeDocument/2006/customXml" ds:itemID="{4ADB71A0-2A86-463B-BC03-BAAA05D73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349-d6c5-476b-a1c6-d791a1a12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4.xml><?xml version="1.0" encoding="utf-8"?>
<ds:datastoreItem xmlns:ds="http://schemas.openxmlformats.org/officeDocument/2006/customXml" ds:itemID="{5BF0DC3C-DEE0-460C-B589-0465E6B4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4351</Words>
  <Characters>24803</Characters>
  <Application>Microsoft Office Word</Application>
  <DocSecurity>4</DocSecurity>
  <Lines>206</Lines>
  <Paragraphs>58</Paragraphs>
  <ScaleCrop>false</ScaleCrop>
  <Company>Insurance Europe</Company>
  <LinksUpToDate>false</LinksUpToDate>
  <CharactersWithSpaces>29096</CharactersWithSpaces>
  <SharedDoc>false</SharedDoc>
  <HLinks>
    <vt:vector size="6" baseType="variant">
      <vt:variant>
        <vt:i4>8060934</vt:i4>
      </vt:variant>
      <vt:variant>
        <vt:i4>0</vt:i4>
      </vt:variant>
      <vt:variant>
        <vt:i4>0</vt:i4>
      </vt:variant>
      <vt:variant>
        <vt:i4>5</vt:i4>
      </vt:variant>
      <vt:variant>
        <vt:lpwstr>https://insuranceeurope.sharepoint.com/:b:/s/extranet/EaQ_W5eTRiVDtO3CMWFPt9EBZoX7dfs0CW31Vn6ilYbYDg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Europe position paper on EU Taxonomy Art. 8 Q&amp;A</dc:title>
  <dc:subject/>
  <dc:creator>Insurance Europe</dc:creator>
  <cp:keywords/>
  <cp:lastModifiedBy>jozef.bachnicek</cp:lastModifiedBy>
  <cp:revision>2</cp:revision>
  <dcterms:created xsi:type="dcterms:W3CDTF">2024-02-16T13:01:00Z</dcterms:created>
  <dcterms:modified xsi:type="dcterms:W3CDTF">2024-02-16T13:01:00Z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0x010100F10CA08016993649B987301C6C20DE93</vt:lpwstr>
  </property>
  <property fmtid="{D5CDD505-2E9C-101B-9397-08002B2CF9AE}" pid="3" name="_dlc_DocIdItemGuid">
    <vt:lpwstr>53f2ccfc-cb5c-4b2a-a083-e4a7e98f292e</vt:lpwstr>
  </property>
</Properties>
</file>