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C3E0E" w14:textId="3A3AFE56" w:rsidR="0016089A" w:rsidRDefault="00F65F76" w:rsidP="0016089A">
      <w:pPr>
        <w:pStyle w:val="CEAStandardHeading"/>
        <w:rPr>
          <w:sz w:val="19"/>
          <w:szCs w:val="19"/>
        </w:rPr>
      </w:pPr>
      <w:r>
        <w:rPr>
          <w:sz w:val="19"/>
          <w:szCs w:val="19"/>
        </w:rPr>
        <w:t xml:space="preserve">Input requested </w:t>
      </w:r>
    </w:p>
    <w:p w14:paraId="05279749" w14:textId="2743D633" w:rsidR="00E6525D" w:rsidRDefault="00E6525D" w:rsidP="00E6525D">
      <w:pPr>
        <w:rPr>
          <w:sz w:val="17"/>
          <w:szCs w:val="17"/>
        </w:rPr>
      </w:pPr>
      <w:r w:rsidRPr="00BD6EC1">
        <w:rPr>
          <w:sz w:val="17"/>
          <w:szCs w:val="17"/>
        </w:rPr>
        <w:t>Members are invited to flag any concerns they may have over the findings by EIOPA</w:t>
      </w:r>
      <w:r w:rsidR="008B3AEA">
        <w:rPr>
          <w:sz w:val="17"/>
          <w:szCs w:val="17"/>
        </w:rPr>
        <w:t xml:space="preserve">’s </w:t>
      </w:r>
      <w:r w:rsidRPr="00BD6EC1">
        <w:rPr>
          <w:sz w:val="17"/>
          <w:szCs w:val="17"/>
        </w:rPr>
        <w:t xml:space="preserve">Consumer Trends Report </w:t>
      </w:r>
      <w:r w:rsidR="008B3AEA">
        <w:rPr>
          <w:sz w:val="17"/>
          <w:szCs w:val="17"/>
        </w:rPr>
        <w:t xml:space="preserve">(CTR) </w:t>
      </w:r>
      <w:r w:rsidRPr="00BD6EC1">
        <w:rPr>
          <w:sz w:val="17"/>
          <w:szCs w:val="17"/>
        </w:rPr>
        <w:t>(</w:t>
      </w:r>
      <w:hyperlink r:id="rId11" w:history="1">
        <w:r w:rsidRPr="002455E2">
          <w:rPr>
            <w:rStyle w:val="Hypertextovprepojenie"/>
            <w:sz w:val="17"/>
            <w:szCs w:val="17"/>
            <w:lang w:val="en-US"/>
          </w:rPr>
          <w:t>Langlois@insuranceeurope.eu</w:t>
        </w:r>
      </w:hyperlink>
      <w:r w:rsidR="00BE294F">
        <w:rPr>
          <w:sz w:val="17"/>
          <w:szCs w:val="17"/>
          <w:lang w:val="en-US"/>
        </w:rPr>
        <w:t xml:space="preserve"> </w:t>
      </w:r>
      <w:r w:rsidR="00A04CCE">
        <w:rPr>
          <w:sz w:val="17"/>
          <w:szCs w:val="17"/>
          <w:lang w:val="en-US"/>
        </w:rPr>
        <w:t xml:space="preserve">&amp; </w:t>
      </w:r>
      <w:hyperlink r:id="rId12" w:history="1">
        <w:r w:rsidR="00A04CCE" w:rsidRPr="003E470B">
          <w:rPr>
            <w:rStyle w:val="Hypertextovprepojenie"/>
            <w:sz w:val="17"/>
            <w:szCs w:val="17"/>
            <w:lang w:val="en-US"/>
          </w:rPr>
          <w:t>Mihaylova@insuranceeurope.eu</w:t>
        </w:r>
      </w:hyperlink>
      <w:r w:rsidR="00A04CCE">
        <w:rPr>
          <w:sz w:val="17"/>
          <w:szCs w:val="17"/>
          <w:lang w:val="en-US"/>
        </w:rPr>
        <w:t xml:space="preserve">) by </w:t>
      </w:r>
      <w:r w:rsidR="00A04CCE" w:rsidRPr="00EB0210">
        <w:rPr>
          <w:b/>
          <w:sz w:val="17"/>
          <w:szCs w:val="17"/>
          <w:lang w:val="en-US"/>
        </w:rPr>
        <w:t xml:space="preserve">Friday, </w:t>
      </w:r>
      <w:r w:rsidR="00EB0210" w:rsidRPr="00EB0210">
        <w:rPr>
          <w:b/>
          <w:sz w:val="17"/>
          <w:szCs w:val="17"/>
          <w:lang w:val="en-US"/>
        </w:rPr>
        <w:t>1 March</w:t>
      </w:r>
      <w:r w:rsidR="00A04CCE" w:rsidRPr="00EB0210">
        <w:rPr>
          <w:b/>
          <w:sz w:val="17"/>
          <w:szCs w:val="17"/>
          <w:lang w:val="en-US"/>
        </w:rPr>
        <w:t>, cob</w:t>
      </w:r>
      <w:r w:rsidR="00A04CCE" w:rsidRPr="00EB0210">
        <w:rPr>
          <w:b/>
          <w:bCs/>
          <w:sz w:val="17"/>
          <w:szCs w:val="17"/>
        </w:rPr>
        <w:t>.</w:t>
      </w:r>
    </w:p>
    <w:p w14:paraId="13B1501A" w14:textId="77777777" w:rsidR="00F65F76" w:rsidRDefault="00F65F76" w:rsidP="0016089A">
      <w:pPr>
        <w:pStyle w:val="CEAStandardHeading"/>
        <w:rPr>
          <w:sz w:val="19"/>
          <w:szCs w:val="19"/>
        </w:rPr>
      </w:pPr>
    </w:p>
    <w:p w14:paraId="74A1FC51" w14:textId="2084B154" w:rsidR="00F65F76" w:rsidRDefault="00F65F76" w:rsidP="0016089A">
      <w:pPr>
        <w:pStyle w:val="CEAStandardHeading"/>
        <w:rPr>
          <w:sz w:val="19"/>
          <w:szCs w:val="19"/>
        </w:rPr>
      </w:pPr>
      <w:r>
        <w:rPr>
          <w:sz w:val="19"/>
          <w:szCs w:val="19"/>
        </w:rPr>
        <w:t>Summary</w:t>
      </w:r>
    </w:p>
    <w:p w14:paraId="7B898D4C" w14:textId="0F2E3E45" w:rsidR="00B05ECC" w:rsidRPr="00A57B08" w:rsidRDefault="00B05ECC" w:rsidP="00B05ECC">
      <w:pPr>
        <w:rPr>
          <w:sz w:val="17"/>
          <w:szCs w:val="17"/>
        </w:rPr>
      </w:pPr>
      <w:r w:rsidRPr="00A57B08">
        <w:rPr>
          <w:sz w:val="17"/>
          <w:szCs w:val="17"/>
        </w:rPr>
        <w:t xml:space="preserve">Members will find in annex an overview of the </w:t>
      </w:r>
      <w:hyperlink r:id="rId13" w:history="1">
        <w:r w:rsidRPr="00A57B08">
          <w:rPr>
            <w:rStyle w:val="Hypertextovprepojenie"/>
            <w:sz w:val="17"/>
            <w:szCs w:val="17"/>
          </w:rPr>
          <w:t>EIOPA Consumer Trends Report</w:t>
        </w:r>
      </w:hyperlink>
      <w:r w:rsidRPr="00A57B08">
        <w:rPr>
          <w:sz w:val="17"/>
          <w:szCs w:val="17"/>
        </w:rPr>
        <w:t xml:space="preserve">, published on </w:t>
      </w:r>
      <w:r w:rsidRPr="00A57B08">
        <w:rPr>
          <w:sz w:val="17"/>
          <w:szCs w:val="17"/>
          <w:lang w:val="en-US"/>
        </w:rPr>
        <w:t xml:space="preserve">23 </w:t>
      </w:r>
      <w:r w:rsidRPr="00A57B08">
        <w:rPr>
          <w:sz w:val="17"/>
          <w:szCs w:val="17"/>
        </w:rPr>
        <w:t>January (</w:t>
      </w:r>
      <w:hyperlink r:id="rId14" w:history="1">
        <w:r w:rsidRPr="00A57B08">
          <w:rPr>
            <w:rStyle w:val="Hypertextovprepojenie"/>
            <w:sz w:val="17"/>
            <w:szCs w:val="17"/>
          </w:rPr>
          <w:t>FLASH-2</w:t>
        </w:r>
        <w:r w:rsidRPr="00A57B08">
          <w:rPr>
            <w:rStyle w:val="Hypertextovprepojenie"/>
            <w:sz w:val="17"/>
            <w:szCs w:val="17"/>
            <w:lang w:val="en-US"/>
          </w:rPr>
          <w:t>4</w:t>
        </w:r>
        <w:r w:rsidRPr="00A57B08">
          <w:rPr>
            <w:rStyle w:val="Hypertextovprepojenie"/>
            <w:sz w:val="17"/>
            <w:szCs w:val="17"/>
          </w:rPr>
          <w:t>-</w:t>
        </w:r>
        <w:r w:rsidRPr="00A57B08">
          <w:rPr>
            <w:rStyle w:val="Hypertextovprepojenie"/>
            <w:sz w:val="17"/>
            <w:szCs w:val="17"/>
            <w:lang w:val="en-US"/>
          </w:rPr>
          <w:t>193</w:t>
        </w:r>
      </w:hyperlink>
      <w:r w:rsidRPr="00A57B08">
        <w:rPr>
          <w:sz w:val="17"/>
          <w:szCs w:val="17"/>
        </w:rPr>
        <w:t>).</w:t>
      </w:r>
    </w:p>
    <w:p w14:paraId="66FE9E9C" w14:textId="77777777" w:rsidR="00B05ECC" w:rsidRPr="00A57B08" w:rsidRDefault="00B05ECC" w:rsidP="00B05ECC">
      <w:pPr>
        <w:rPr>
          <w:sz w:val="17"/>
          <w:szCs w:val="17"/>
        </w:rPr>
      </w:pPr>
    </w:p>
    <w:p w14:paraId="5117A634" w14:textId="77777777" w:rsidR="00B05ECC" w:rsidRPr="00A57B08" w:rsidRDefault="00B05ECC" w:rsidP="00B05ECC">
      <w:pPr>
        <w:rPr>
          <w:sz w:val="17"/>
          <w:szCs w:val="17"/>
        </w:rPr>
      </w:pPr>
      <w:r w:rsidRPr="00A57B08">
        <w:rPr>
          <w:sz w:val="17"/>
          <w:szCs w:val="17"/>
        </w:rPr>
        <w:t>Key points to flag include:</w:t>
      </w:r>
    </w:p>
    <w:p w14:paraId="13500970" w14:textId="78649E15" w:rsidR="00B05ECC" w:rsidRPr="00A57B08" w:rsidRDefault="00B05ECC" w:rsidP="00B05ECC">
      <w:pPr>
        <w:pStyle w:val="CEABullet-Level1"/>
        <w:rPr>
          <w:szCs w:val="17"/>
        </w:rPr>
      </w:pPr>
      <w:r w:rsidRPr="00A57B08">
        <w:rPr>
          <w:szCs w:val="17"/>
        </w:rPr>
        <w:t xml:space="preserve">Continued </w:t>
      </w:r>
      <w:r w:rsidRPr="00A57B08">
        <w:rPr>
          <w:b/>
          <w:bCs/>
          <w:szCs w:val="17"/>
        </w:rPr>
        <w:t>value for money</w:t>
      </w:r>
      <w:r w:rsidRPr="00A57B08">
        <w:rPr>
          <w:szCs w:val="17"/>
        </w:rPr>
        <w:t xml:space="preserve"> </w:t>
      </w:r>
      <w:r w:rsidR="0030257D" w:rsidRPr="00A57B08">
        <w:rPr>
          <w:szCs w:val="17"/>
        </w:rPr>
        <w:t>issues</w:t>
      </w:r>
      <w:r w:rsidR="00F451D4" w:rsidRPr="00A57B08">
        <w:rPr>
          <w:szCs w:val="17"/>
        </w:rPr>
        <w:t>,</w:t>
      </w:r>
      <w:r w:rsidR="0030257D" w:rsidRPr="00A57B08">
        <w:rPr>
          <w:szCs w:val="17"/>
        </w:rPr>
        <w:t xml:space="preserve"> </w:t>
      </w:r>
      <w:r w:rsidR="00726C66" w:rsidRPr="00A57B08">
        <w:rPr>
          <w:szCs w:val="17"/>
        </w:rPr>
        <w:t xml:space="preserve">with a risk that </w:t>
      </w:r>
      <w:r w:rsidR="0030257D" w:rsidRPr="00A57B08">
        <w:rPr>
          <w:szCs w:val="17"/>
        </w:rPr>
        <w:t xml:space="preserve">EIOPA’s conclusions are used in the Retail Investment Strategy (RIS) </w:t>
      </w:r>
      <w:r w:rsidR="00F451D4" w:rsidRPr="00A57B08">
        <w:rPr>
          <w:szCs w:val="17"/>
        </w:rPr>
        <w:t xml:space="preserve">and benchmarking </w:t>
      </w:r>
      <w:r w:rsidR="0030257D" w:rsidRPr="00A57B08">
        <w:rPr>
          <w:szCs w:val="17"/>
        </w:rPr>
        <w:t>discussions.</w:t>
      </w:r>
      <w:r w:rsidR="00726C66" w:rsidRPr="00A57B08">
        <w:rPr>
          <w:color w:val="auto"/>
          <w:szCs w:val="17"/>
        </w:rPr>
        <w:t xml:space="preserve"> </w:t>
      </w:r>
    </w:p>
    <w:p w14:paraId="0086BA6D" w14:textId="77777777" w:rsidR="00B05ECC" w:rsidRPr="00A57B08" w:rsidRDefault="00B05ECC" w:rsidP="00B05ECC">
      <w:pPr>
        <w:pStyle w:val="CEABullet-Level1"/>
        <w:rPr>
          <w:szCs w:val="17"/>
        </w:rPr>
      </w:pPr>
      <w:r w:rsidRPr="00A57B08">
        <w:rPr>
          <w:b/>
          <w:bCs/>
          <w:szCs w:val="17"/>
        </w:rPr>
        <w:t>Inflation’s significant impact</w:t>
      </w:r>
      <w:r w:rsidRPr="00A57B08">
        <w:rPr>
          <w:szCs w:val="17"/>
        </w:rPr>
        <w:t xml:space="preserve"> on insurance and pension consumers, particularly vulnerable ones.</w:t>
      </w:r>
    </w:p>
    <w:p w14:paraId="4BAA8592" w14:textId="08C949B6" w:rsidR="00B05ECC" w:rsidRPr="00A57B08" w:rsidRDefault="00B05ECC" w:rsidP="00B05ECC">
      <w:pPr>
        <w:pStyle w:val="CEABullet-Level1"/>
        <w:rPr>
          <w:szCs w:val="17"/>
        </w:rPr>
      </w:pPr>
      <w:r w:rsidRPr="00A57B08">
        <w:rPr>
          <w:b/>
          <w:bCs/>
          <w:szCs w:val="17"/>
        </w:rPr>
        <w:t>Risks of discriminatory practices</w:t>
      </w:r>
      <w:r w:rsidRPr="00A57B08">
        <w:rPr>
          <w:szCs w:val="17"/>
        </w:rPr>
        <w:t xml:space="preserve"> affecting certain types of consumers (</w:t>
      </w:r>
      <w:proofErr w:type="spellStart"/>
      <w:r w:rsidRPr="00A57B08">
        <w:rPr>
          <w:szCs w:val="17"/>
        </w:rPr>
        <w:t>ie</w:t>
      </w:r>
      <w:proofErr w:type="spellEnd"/>
      <w:r w:rsidRPr="00A57B08">
        <w:rPr>
          <w:szCs w:val="17"/>
        </w:rPr>
        <w:t>, female consumers and minorities) in relation to exclusions/product design and pricing practices.</w:t>
      </w:r>
    </w:p>
    <w:p w14:paraId="67D2FEB1" w14:textId="77777777" w:rsidR="00B05ECC" w:rsidRPr="00A57B08" w:rsidRDefault="00B05ECC" w:rsidP="00B05ECC">
      <w:pPr>
        <w:pStyle w:val="CEABullet-Level1"/>
        <w:rPr>
          <w:szCs w:val="17"/>
        </w:rPr>
      </w:pPr>
      <w:r w:rsidRPr="00A57B08">
        <w:rPr>
          <w:szCs w:val="17"/>
        </w:rPr>
        <w:t xml:space="preserve">Persisting issues related to </w:t>
      </w:r>
      <w:r w:rsidRPr="00A57B08">
        <w:rPr>
          <w:b/>
          <w:bCs/>
          <w:szCs w:val="17"/>
        </w:rPr>
        <w:t>poor value of ancillary products</w:t>
      </w:r>
      <w:r w:rsidRPr="00A57B08">
        <w:rPr>
          <w:szCs w:val="17"/>
        </w:rPr>
        <w:t>, high commissions and aggressive sales techniques in digital sales.</w:t>
      </w:r>
    </w:p>
    <w:p w14:paraId="2481AAA3" w14:textId="77777777" w:rsidR="00B05ECC" w:rsidRPr="00A57B08" w:rsidRDefault="00B05ECC" w:rsidP="00B05ECC">
      <w:pPr>
        <w:pStyle w:val="CEABullet-Level1"/>
        <w:rPr>
          <w:szCs w:val="17"/>
        </w:rPr>
      </w:pPr>
      <w:r w:rsidRPr="00A57B08">
        <w:rPr>
          <w:szCs w:val="17"/>
        </w:rPr>
        <w:t>Increased digitalisation in insurance and pension sectors.</w:t>
      </w:r>
    </w:p>
    <w:p w14:paraId="1D7BFCFE" w14:textId="77777777" w:rsidR="00B05ECC" w:rsidRPr="00A57B08" w:rsidRDefault="00B05ECC" w:rsidP="00B05ECC">
      <w:pPr>
        <w:pStyle w:val="CEABullet-Level1"/>
        <w:rPr>
          <w:szCs w:val="17"/>
        </w:rPr>
      </w:pPr>
      <w:r w:rsidRPr="00A57B08">
        <w:rPr>
          <w:szCs w:val="17"/>
        </w:rPr>
        <w:t xml:space="preserve">Rising consumer interest in sustainable products, coupled with the growing risk of </w:t>
      </w:r>
      <w:r w:rsidRPr="00A57B08">
        <w:rPr>
          <w:b/>
          <w:bCs/>
          <w:szCs w:val="17"/>
        </w:rPr>
        <w:t>greenwashing</w:t>
      </w:r>
      <w:r w:rsidRPr="00A57B08">
        <w:rPr>
          <w:szCs w:val="17"/>
        </w:rPr>
        <w:t>.</w:t>
      </w:r>
    </w:p>
    <w:p w14:paraId="766FCCC1" w14:textId="77777777" w:rsidR="00D42500" w:rsidRPr="00A57B08" w:rsidRDefault="00D42500" w:rsidP="0016089A">
      <w:pPr>
        <w:pStyle w:val="CEAStandardHeading"/>
        <w:rPr>
          <w:b/>
          <w:sz w:val="17"/>
          <w:szCs w:val="17"/>
        </w:rPr>
      </w:pPr>
    </w:p>
    <w:p w14:paraId="1833DCB7" w14:textId="77777777" w:rsidR="00D42500" w:rsidRPr="00A57B08" w:rsidRDefault="00D42500" w:rsidP="0016089A">
      <w:pPr>
        <w:pStyle w:val="CEAStandardHeading"/>
        <w:rPr>
          <w:b/>
          <w:sz w:val="17"/>
          <w:szCs w:val="17"/>
        </w:rPr>
      </w:pPr>
    </w:p>
    <w:p w14:paraId="7E194390" w14:textId="0D3DF477" w:rsidR="0056147E" w:rsidRPr="00A57B08" w:rsidRDefault="00E064AF" w:rsidP="00E064AF">
      <w:pPr>
        <w:pStyle w:val="CEAStandardHeading"/>
        <w:rPr>
          <w:sz w:val="17"/>
          <w:szCs w:val="17"/>
        </w:rPr>
      </w:pPr>
      <w:r w:rsidRPr="00A57B08">
        <w:rPr>
          <w:sz w:val="17"/>
          <w:szCs w:val="17"/>
        </w:rPr>
        <w:t>Next steps</w:t>
      </w:r>
    </w:p>
    <w:p w14:paraId="30180276" w14:textId="77777777" w:rsidR="00A04CCE" w:rsidRPr="00A57B08" w:rsidRDefault="00A04CCE" w:rsidP="00A04CCE">
      <w:pPr>
        <w:pStyle w:val="CEABullet-Level1"/>
        <w:rPr>
          <w:szCs w:val="17"/>
        </w:rPr>
      </w:pPr>
      <w:r w:rsidRPr="00A57B08">
        <w:rPr>
          <w:szCs w:val="17"/>
        </w:rPr>
        <w:t xml:space="preserve">The work towards the next CTR is expected to commence in the summer, with EIOPA providing a questionnaire survey to relevant stakeholders, including national supervisory authorities, consumer representatives, broker representatives and insurers. </w:t>
      </w:r>
    </w:p>
    <w:p w14:paraId="24232F01" w14:textId="77777777" w:rsidR="00A04CCE" w:rsidRPr="00A57B08" w:rsidRDefault="00A04CCE" w:rsidP="00A04CCE">
      <w:pPr>
        <w:pStyle w:val="CEABullet-Level1"/>
        <w:rPr>
          <w:szCs w:val="17"/>
        </w:rPr>
      </w:pPr>
      <w:r w:rsidRPr="00A57B08">
        <w:rPr>
          <w:szCs w:val="17"/>
        </w:rPr>
        <w:t xml:space="preserve">It is not yet known what will be the focus areas in the next CTR. </w:t>
      </w:r>
    </w:p>
    <w:p w14:paraId="74CEED70" w14:textId="77777777" w:rsidR="00A04CCE" w:rsidRPr="00A57B08" w:rsidRDefault="00A04CCE" w:rsidP="00A04CCE">
      <w:pPr>
        <w:jc w:val="left"/>
        <w:rPr>
          <w:sz w:val="17"/>
          <w:szCs w:val="17"/>
        </w:rPr>
      </w:pPr>
    </w:p>
    <w:p w14:paraId="64002780" w14:textId="74F83C7A" w:rsidR="00445D1E" w:rsidRPr="00A57B08" w:rsidRDefault="00445D1E" w:rsidP="007D6B18">
      <w:pPr>
        <w:rPr>
          <w:sz w:val="17"/>
          <w:szCs w:val="17"/>
        </w:rPr>
      </w:pPr>
    </w:p>
    <w:p w14:paraId="78BF4390" w14:textId="77777777" w:rsidR="000B5F58" w:rsidRPr="00A57B08" w:rsidRDefault="000B5F58" w:rsidP="007D6B18">
      <w:pPr>
        <w:rPr>
          <w:sz w:val="17"/>
          <w:szCs w:val="17"/>
        </w:rPr>
      </w:pPr>
    </w:p>
    <w:p w14:paraId="15541AD8" w14:textId="77777777" w:rsidR="000B5F58" w:rsidRDefault="000B5F58" w:rsidP="007D6B18">
      <w:pPr>
        <w:rPr>
          <w:sz w:val="17"/>
          <w:szCs w:val="17"/>
        </w:rPr>
      </w:pPr>
    </w:p>
    <w:p w14:paraId="6A5BA989" w14:textId="77777777" w:rsidR="000B5F58" w:rsidRDefault="000B5F58" w:rsidP="007D6B18">
      <w:pPr>
        <w:rPr>
          <w:sz w:val="17"/>
          <w:szCs w:val="17"/>
        </w:rPr>
      </w:pPr>
    </w:p>
    <w:p w14:paraId="3471C647" w14:textId="77777777" w:rsidR="000B5F58" w:rsidRDefault="000B5F58" w:rsidP="007D6B18">
      <w:pPr>
        <w:rPr>
          <w:sz w:val="17"/>
          <w:szCs w:val="17"/>
        </w:rPr>
      </w:pPr>
    </w:p>
    <w:p w14:paraId="5456A7B0" w14:textId="77777777" w:rsidR="000B5F58" w:rsidRDefault="000B5F58" w:rsidP="007D6B18">
      <w:pPr>
        <w:rPr>
          <w:sz w:val="17"/>
          <w:szCs w:val="17"/>
        </w:rPr>
      </w:pPr>
    </w:p>
    <w:p w14:paraId="1798BC6C" w14:textId="77777777" w:rsidR="000B5F58" w:rsidRDefault="000B5F58" w:rsidP="007D6B18">
      <w:pPr>
        <w:rPr>
          <w:sz w:val="17"/>
          <w:szCs w:val="17"/>
        </w:rPr>
      </w:pPr>
    </w:p>
    <w:p w14:paraId="4C87E6AD" w14:textId="77777777" w:rsidR="000B5F58" w:rsidRDefault="000B5F58" w:rsidP="007D6B18">
      <w:pPr>
        <w:rPr>
          <w:sz w:val="17"/>
          <w:szCs w:val="17"/>
        </w:rPr>
      </w:pPr>
    </w:p>
    <w:p w14:paraId="3F98904F" w14:textId="77777777" w:rsidR="000B5F58" w:rsidRDefault="000B5F58" w:rsidP="007D6B18">
      <w:pPr>
        <w:rPr>
          <w:sz w:val="17"/>
          <w:szCs w:val="17"/>
        </w:rPr>
      </w:pPr>
    </w:p>
    <w:p w14:paraId="1BEE3B5B" w14:textId="77777777" w:rsidR="000B5F58" w:rsidRDefault="000B5F58" w:rsidP="007D6B18">
      <w:pPr>
        <w:rPr>
          <w:sz w:val="17"/>
          <w:szCs w:val="17"/>
        </w:rPr>
      </w:pPr>
    </w:p>
    <w:p w14:paraId="3051531C" w14:textId="77777777" w:rsidR="000B5F58" w:rsidRDefault="000B5F58" w:rsidP="007D6B18">
      <w:pPr>
        <w:rPr>
          <w:sz w:val="17"/>
          <w:szCs w:val="17"/>
        </w:rPr>
      </w:pPr>
    </w:p>
    <w:p w14:paraId="6C81ACA9" w14:textId="77777777" w:rsidR="000B5F58" w:rsidRDefault="000B5F58" w:rsidP="007D6B18">
      <w:pPr>
        <w:rPr>
          <w:sz w:val="17"/>
          <w:szCs w:val="17"/>
        </w:rPr>
      </w:pPr>
    </w:p>
    <w:p w14:paraId="7CAA3744" w14:textId="77777777" w:rsidR="000B5F58" w:rsidRDefault="000B5F58" w:rsidP="007D6B18">
      <w:pPr>
        <w:rPr>
          <w:sz w:val="17"/>
          <w:szCs w:val="17"/>
        </w:rPr>
      </w:pPr>
    </w:p>
    <w:p w14:paraId="011ACBBB" w14:textId="77777777" w:rsidR="00113B67" w:rsidRDefault="00113B67" w:rsidP="00113B67">
      <w:pPr>
        <w:pStyle w:val="CEAStandardHeading"/>
        <w:jc w:val="center"/>
        <w:rPr>
          <w:sz w:val="19"/>
          <w:szCs w:val="19"/>
        </w:rPr>
      </w:pPr>
      <w:r w:rsidRPr="00A95F2D">
        <w:rPr>
          <w:sz w:val="19"/>
          <w:szCs w:val="19"/>
        </w:rPr>
        <w:t>Annex – EIOPA Consumer Trends Report 202</w:t>
      </w:r>
      <w:r>
        <w:rPr>
          <w:sz w:val="19"/>
          <w:szCs w:val="19"/>
        </w:rPr>
        <w:t>3</w:t>
      </w:r>
    </w:p>
    <w:p w14:paraId="7C067CFA" w14:textId="77777777" w:rsidR="00113B67" w:rsidRPr="00A95F2D" w:rsidRDefault="00113B67" w:rsidP="00113B67">
      <w:pPr>
        <w:pStyle w:val="CEAStandardHeading"/>
        <w:jc w:val="center"/>
        <w:rPr>
          <w:sz w:val="19"/>
          <w:szCs w:val="19"/>
        </w:rPr>
      </w:pPr>
    </w:p>
    <w:p w14:paraId="1FF57DEE" w14:textId="77777777" w:rsidR="00113B67" w:rsidRPr="00C62D39" w:rsidRDefault="00113B67" w:rsidP="00113B67">
      <w:pPr>
        <w:pStyle w:val="Odsekzoznamu"/>
        <w:numPr>
          <w:ilvl w:val="0"/>
          <w:numId w:val="4"/>
        </w:numPr>
        <w:jc w:val="both"/>
        <w:rPr>
          <w:rFonts w:ascii="Verdana" w:hAnsi="Verdana"/>
          <w:b/>
          <w:bCs/>
          <w:color w:val="00B050"/>
          <w:sz w:val="17"/>
          <w:szCs w:val="17"/>
        </w:rPr>
      </w:pPr>
      <w:r w:rsidRPr="00C62D39">
        <w:rPr>
          <w:rFonts w:ascii="Verdana" w:hAnsi="Verdana"/>
          <w:b/>
          <w:bCs/>
          <w:color w:val="00B050"/>
          <w:sz w:val="17"/>
          <w:szCs w:val="17"/>
        </w:rPr>
        <w:t>Green: positive developments for the insurance sector</w:t>
      </w:r>
    </w:p>
    <w:p w14:paraId="27ECE343" w14:textId="77777777" w:rsidR="00113B67" w:rsidRPr="00CB185F" w:rsidRDefault="00113B67" w:rsidP="00113B67">
      <w:pPr>
        <w:pStyle w:val="Odsekzoznamu"/>
        <w:numPr>
          <w:ilvl w:val="0"/>
          <w:numId w:val="4"/>
        </w:numPr>
        <w:jc w:val="both"/>
        <w:rPr>
          <w:rFonts w:ascii="Verdana" w:hAnsi="Verdana"/>
          <w:b/>
          <w:bCs/>
          <w:color w:val="FFC000"/>
          <w:sz w:val="17"/>
          <w:szCs w:val="17"/>
        </w:rPr>
      </w:pPr>
      <w:r w:rsidRPr="00CB185F">
        <w:rPr>
          <w:rFonts w:ascii="Verdana" w:hAnsi="Verdana"/>
          <w:b/>
          <w:bCs/>
          <w:color w:val="FFC000"/>
          <w:sz w:val="17"/>
          <w:szCs w:val="17"/>
        </w:rPr>
        <w:t xml:space="preserve">Orange: topics that deserve a close follow-up because of their potential developments </w:t>
      </w:r>
    </w:p>
    <w:p w14:paraId="45D745F9" w14:textId="1AC1D160" w:rsidR="00113B67" w:rsidRPr="00CB185F" w:rsidRDefault="00113B67" w:rsidP="00113B67">
      <w:pPr>
        <w:pStyle w:val="Odsekzoznamu"/>
        <w:numPr>
          <w:ilvl w:val="0"/>
          <w:numId w:val="4"/>
        </w:numPr>
        <w:jc w:val="both"/>
        <w:rPr>
          <w:rFonts w:ascii="Verdana" w:hAnsi="Verdana"/>
          <w:b/>
          <w:bCs/>
          <w:color w:val="FF0000"/>
          <w:sz w:val="17"/>
          <w:szCs w:val="17"/>
        </w:rPr>
      </w:pPr>
      <w:r w:rsidRPr="00CB185F">
        <w:rPr>
          <w:rFonts w:ascii="Verdana" w:hAnsi="Verdana"/>
          <w:b/>
          <w:bCs/>
          <w:color w:val="FF0000"/>
          <w:sz w:val="17"/>
          <w:szCs w:val="17"/>
        </w:rPr>
        <w:t>Red: negative developments for the insurance sector</w:t>
      </w:r>
    </w:p>
    <w:p w14:paraId="6EA449FB" w14:textId="77777777" w:rsidR="00113B67" w:rsidRPr="000B257F" w:rsidRDefault="00113B67" w:rsidP="00113B67">
      <w:pPr>
        <w:pStyle w:val="CEAStandardHeading"/>
        <w:rPr>
          <w:sz w:val="19"/>
          <w:szCs w:val="19"/>
        </w:rPr>
      </w:pPr>
      <w:r>
        <w:rPr>
          <w:sz w:val="19"/>
          <w:szCs w:val="19"/>
        </w:rPr>
        <w:t xml:space="preserve">Executive </w:t>
      </w:r>
      <w:r w:rsidRPr="00CE6BD9">
        <w:rPr>
          <w:sz w:val="19"/>
          <w:szCs w:val="19"/>
        </w:rPr>
        <w:t>Summary</w:t>
      </w:r>
    </w:p>
    <w:p w14:paraId="2FB70AEF" w14:textId="362DBDE7" w:rsidR="00113B67" w:rsidRPr="005562D1" w:rsidRDefault="00113B67" w:rsidP="00113B67">
      <w:pPr>
        <w:pStyle w:val="CEABullet-Level1"/>
        <w:rPr>
          <w:color w:val="FF0000"/>
        </w:rPr>
      </w:pPr>
      <w:r w:rsidRPr="00560982">
        <w:rPr>
          <w:b/>
          <w:bCs/>
        </w:rPr>
        <w:t>High inflation and rising interest rates</w:t>
      </w:r>
      <w:r>
        <w:rPr>
          <w:lang w:val="en-US"/>
        </w:rPr>
        <w:t xml:space="preserve"> </w:t>
      </w:r>
      <w:r w:rsidRPr="005C47CF">
        <w:t xml:space="preserve">are </w:t>
      </w:r>
      <w:r w:rsidRPr="007F6A61">
        <w:rPr>
          <w:b/>
          <w:bCs/>
          <w:color w:val="FF0000"/>
        </w:rPr>
        <w:t>negatively impacting the real returns of insurance and pension products</w:t>
      </w:r>
      <w:r w:rsidRPr="005C47CF">
        <w:t xml:space="preserve"> in the EU. This situation, along with the cost-of-living crisis, is leading consumers to make financially harmful decisions, </w:t>
      </w:r>
      <w:r w:rsidRPr="005562D1">
        <w:rPr>
          <w:b/>
          <w:color w:val="FF0000"/>
        </w:rPr>
        <w:t>potentially resulting in underinsurance</w:t>
      </w:r>
      <w:r w:rsidRPr="005562D1">
        <w:rPr>
          <w:color w:val="FF0000"/>
        </w:rPr>
        <w:t>.</w:t>
      </w:r>
    </w:p>
    <w:p w14:paraId="1C2B4A45" w14:textId="1C8A1688" w:rsidR="00113B67" w:rsidRPr="005C47CF" w:rsidRDefault="00113B67" w:rsidP="00113B67">
      <w:pPr>
        <w:pStyle w:val="CEABullet-Level1"/>
      </w:pPr>
      <w:r w:rsidRPr="007F6A61">
        <w:rPr>
          <w:b/>
          <w:bCs/>
          <w:color w:val="FF0000"/>
          <w:lang w:val="en-US"/>
        </w:rPr>
        <w:t xml:space="preserve">A </w:t>
      </w:r>
      <w:r w:rsidRPr="007F6A61">
        <w:rPr>
          <w:b/>
          <w:bCs/>
          <w:color w:val="FF0000"/>
        </w:rPr>
        <w:t>gender gap and unfair treatment of minority groups</w:t>
      </w:r>
      <w:r w:rsidRPr="007F6A61">
        <w:rPr>
          <w:color w:val="FF0000"/>
        </w:rPr>
        <w:t xml:space="preserve"> </w:t>
      </w:r>
      <w:r w:rsidRPr="005C47CF">
        <w:t>in access to insurance and pensions in the EU</w:t>
      </w:r>
      <w:r>
        <w:rPr>
          <w:lang w:val="en-US"/>
        </w:rPr>
        <w:t xml:space="preserve"> persists</w:t>
      </w:r>
      <w:r w:rsidRPr="005C47CF">
        <w:t xml:space="preserve">, with </w:t>
      </w:r>
      <w:r w:rsidR="007B3E49" w:rsidRPr="005562D1">
        <w:rPr>
          <w:b/>
          <w:color w:val="FF0000"/>
        </w:rPr>
        <w:t>some consumers</w:t>
      </w:r>
      <w:r>
        <w:rPr>
          <w:b/>
          <w:color w:val="FF0000"/>
        </w:rPr>
        <w:t xml:space="preserve"> </w:t>
      </w:r>
      <w:r w:rsidRPr="005562D1">
        <w:rPr>
          <w:b/>
          <w:color w:val="FF0000"/>
        </w:rPr>
        <w:t>being less financially confident and feeling unfairly treated due to non-dominant traits</w:t>
      </w:r>
      <w:r w:rsidRPr="005C47CF">
        <w:t>.</w:t>
      </w:r>
    </w:p>
    <w:p w14:paraId="43CCEB91" w14:textId="2DD833FC" w:rsidR="00113B67" w:rsidRPr="005C47CF" w:rsidRDefault="00113B67" w:rsidP="00113B67">
      <w:pPr>
        <w:pStyle w:val="CEABullet-Level1"/>
      </w:pPr>
      <w:r w:rsidRPr="005C47CF">
        <w:t xml:space="preserve">There are </w:t>
      </w:r>
      <w:r w:rsidRPr="007F6A61">
        <w:rPr>
          <w:b/>
          <w:bCs/>
          <w:color w:val="FF0000"/>
        </w:rPr>
        <w:t>concerns</w:t>
      </w:r>
      <w:r w:rsidRPr="005C47CF">
        <w:t xml:space="preserve"> about the </w:t>
      </w:r>
      <w:r w:rsidRPr="007F6A61">
        <w:rPr>
          <w:b/>
          <w:bCs/>
          <w:color w:val="FF0000"/>
        </w:rPr>
        <w:t>value for money</w:t>
      </w:r>
      <w:r w:rsidRPr="007F6A61">
        <w:rPr>
          <w:color w:val="FF0000"/>
        </w:rPr>
        <w:t xml:space="preserve"> </w:t>
      </w:r>
      <w:r w:rsidRPr="005C47CF">
        <w:t xml:space="preserve">in some insurance products, especially </w:t>
      </w:r>
      <w:r w:rsidRPr="007F6A61">
        <w:rPr>
          <w:b/>
          <w:bCs/>
        </w:rPr>
        <w:t>unit-linked and hybrid ones</w:t>
      </w:r>
      <w:r w:rsidRPr="005C47CF">
        <w:t>. High complexity, costs, and poor performance are key issues, with a significant number of consumers dissatisfied with the value offered by these products</w:t>
      </w:r>
      <w:r w:rsidR="006F53A1">
        <w:t xml:space="preserve">; </w:t>
      </w:r>
      <w:r w:rsidR="006F53A1" w:rsidRPr="005562D1">
        <w:rPr>
          <w:b/>
          <w:color w:val="00B050"/>
        </w:rPr>
        <w:t>however, most consumers f</w:t>
      </w:r>
      <w:r w:rsidR="009C41C3" w:rsidRPr="005562D1">
        <w:rPr>
          <w:b/>
          <w:color w:val="00B050"/>
        </w:rPr>
        <w:t>eel their products offer good value for money</w:t>
      </w:r>
      <w:r w:rsidRPr="005562D1">
        <w:rPr>
          <w:b/>
          <w:color w:val="00B050"/>
        </w:rPr>
        <w:t>.</w:t>
      </w:r>
    </w:p>
    <w:p w14:paraId="277603DA" w14:textId="5AEDB1A2" w:rsidR="00113B67" w:rsidRPr="005C47CF" w:rsidRDefault="00113B67" w:rsidP="00113B67">
      <w:pPr>
        <w:pStyle w:val="CEABullet-Level1"/>
      </w:pPr>
      <w:r w:rsidRPr="005C47CF">
        <w:t xml:space="preserve">The insurance sector is experiencing </w:t>
      </w:r>
      <w:r w:rsidRPr="007F6A61">
        <w:rPr>
          <w:b/>
          <w:bCs/>
          <w:color w:val="00B050"/>
        </w:rPr>
        <w:t>increased digital distribution</w:t>
      </w:r>
      <w:r w:rsidRPr="005C47CF">
        <w:t xml:space="preserve">, offering </w:t>
      </w:r>
      <w:r w:rsidR="00B30B14">
        <w:t>some</w:t>
      </w:r>
      <w:r w:rsidRPr="005C47CF">
        <w:t xml:space="preserve"> benefits like improved customer experience and efficiency. However, this also brings risks such as </w:t>
      </w:r>
      <w:r w:rsidRPr="007F6A61">
        <w:rPr>
          <w:b/>
          <w:bCs/>
          <w:color w:val="FFC000"/>
        </w:rPr>
        <w:t>inadequate regulatory disclosure and aggressive sales tactics</w:t>
      </w:r>
      <w:r w:rsidR="00C40BD1">
        <w:rPr>
          <w:b/>
          <w:color w:val="FFC000"/>
        </w:rPr>
        <w:t xml:space="preserve"> (</w:t>
      </w:r>
      <w:proofErr w:type="spellStart"/>
      <w:r w:rsidR="00C40BD1">
        <w:rPr>
          <w:b/>
          <w:color w:val="FFC000"/>
        </w:rPr>
        <w:t>ie</w:t>
      </w:r>
      <w:proofErr w:type="spellEnd"/>
      <w:r w:rsidR="00C40BD1">
        <w:rPr>
          <w:b/>
          <w:color w:val="FFC000"/>
        </w:rPr>
        <w:t>, “dark patterns”)</w:t>
      </w:r>
      <w:r w:rsidRPr="005C47CF">
        <w:t>.</w:t>
      </w:r>
    </w:p>
    <w:p w14:paraId="757E846E" w14:textId="77777777" w:rsidR="00113B67" w:rsidRPr="005C47CF" w:rsidRDefault="00113B67" w:rsidP="00113B67">
      <w:pPr>
        <w:pStyle w:val="CEABullet-Level1"/>
      </w:pPr>
      <w:r w:rsidRPr="005C47CF">
        <w:t xml:space="preserve">Despite </w:t>
      </w:r>
      <w:r w:rsidRPr="007F6A61">
        <w:rPr>
          <w:b/>
          <w:bCs/>
          <w:color w:val="00B050"/>
        </w:rPr>
        <w:t>improvements in transparency and financial literacy</w:t>
      </w:r>
      <w:r w:rsidRPr="005C47CF">
        <w:t>, many EU consumers are concerned about their retirement finances. Transparency and clear information are crucial for informed decision-making in pension schemes.</w:t>
      </w:r>
    </w:p>
    <w:p w14:paraId="4F0C02BB" w14:textId="77777777" w:rsidR="00057553" w:rsidRDefault="00113B67" w:rsidP="00085514">
      <w:pPr>
        <w:pStyle w:val="CEABullet-Level1"/>
      </w:pPr>
      <w:r>
        <w:rPr>
          <w:lang w:val="en-US"/>
        </w:rPr>
        <w:t>O</w:t>
      </w:r>
      <w:proofErr w:type="spellStart"/>
      <w:r w:rsidRPr="005C47CF">
        <w:t>ngoing</w:t>
      </w:r>
      <w:proofErr w:type="spellEnd"/>
      <w:r w:rsidRPr="005C47CF">
        <w:t xml:space="preserve"> issues like </w:t>
      </w:r>
      <w:r w:rsidRPr="007F6A61">
        <w:rPr>
          <w:b/>
          <w:bCs/>
          <w:color w:val="FF0000"/>
        </w:rPr>
        <w:t>mis-selling</w:t>
      </w:r>
      <w:r w:rsidRPr="007F6A61">
        <w:rPr>
          <w:color w:val="FF0000"/>
        </w:rPr>
        <w:t xml:space="preserve"> </w:t>
      </w:r>
      <w:r w:rsidRPr="005C47CF">
        <w:t xml:space="preserve">in insurance and pension products, the impact of natural disasters on </w:t>
      </w:r>
      <w:r w:rsidRPr="007F6A61">
        <w:rPr>
          <w:b/>
          <w:bCs/>
          <w:color w:val="FF0000"/>
        </w:rPr>
        <w:t>coverage gaps</w:t>
      </w:r>
      <w:r w:rsidRPr="005C47CF">
        <w:t xml:space="preserve">, and concerns with </w:t>
      </w:r>
      <w:r w:rsidRPr="007F6A61">
        <w:rPr>
          <w:b/>
          <w:bCs/>
          <w:color w:val="FF0000"/>
        </w:rPr>
        <w:t>cross-selling practices</w:t>
      </w:r>
      <w:r w:rsidRPr="007F6A61">
        <w:rPr>
          <w:color w:val="FF0000"/>
          <w:lang w:val="en-US"/>
        </w:rPr>
        <w:t xml:space="preserve"> </w:t>
      </w:r>
      <w:r>
        <w:rPr>
          <w:lang w:val="en-US"/>
        </w:rPr>
        <w:t>have been identified.</w:t>
      </w:r>
      <w:r w:rsidRPr="005C47CF">
        <w:t xml:space="preserve"> </w:t>
      </w:r>
    </w:p>
    <w:p w14:paraId="76826974" w14:textId="5A4F048A" w:rsidR="00113B67" w:rsidRDefault="00057553" w:rsidP="00085514">
      <w:pPr>
        <w:pStyle w:val="CEABullet-Level1"/>
      </w:pPr>
      <w:r>
        <w:t>T</w:t>
      </w:r>
      <w:r w:rsidR="00113B67" w:rsidRPr="005C47CF">
        <w:t>here</w:t>
      </w:r>
      <w:r w:rsidR="00113B67">
        <w:rPr>
          <w:lang w:val="en-US"/>
        </w:rPr>
        <w:t xml:space="preserve"> is </w:t>
      </w:r>
      <w:r w:rsidR="00113B67" w:rsidRPr="005C47CF">
        <w:t xml:space="preserve">also a rise in </w:t>
      </w:r>
      <w:r w:rsidR="00113B67" w:rsidRPr="007F6A61">
        <w:rPr>
          <w:b/>
          <w:bCs/>
          <w:color w:val="00B050"/>
        </w:rPr>
        <w:t>consumer awareness of sustainable insurance and pension products</w:t>
      </w:r>
      <w:r w:rsidR="00113B67" w:rsidRPr="005C47CF">
        <w:t>.</w:t>
      </w:r>
    </w:p>
    <w:p w14:paraId="06B3B0DD" w14:textId="77777777" w:rsidR="00085514" w:rsidRPr="00085514" w:rsidRDefault="00085514" w:rsidP="00085514">
      <w:pPr>
        <w:pStyle w:val="CEABullet-Level1"/>
        <w:numPr>
          <w:ilvl w:val="0"/>
          <w:numId w:val="0"/>
        </w:numPr>
        <w:ind w:left="720"/>
      </w:pPr>
    </w:p>
    <w:p w14:paraId="4F8900E4" w14:textId="1D5B7496" w:rsidR="0020614B" w:rsidRDefault="0020614B" w:rsidP="00113B67">
      <w:pPr>
        <w:pStyle w:val="CEAStandardHeading"/>
        <w:rPr>
          <w:sz w:val="19"/>
          <w:szCs w:val="19"/>
        </w:rPr>
      </w:pPr>
      <w:r>
        <w:rPr>
          <w:sz w:val="19"/>
          <w:szCs w:val="19"/>
        </w:rPr>
        <w:t>Insurance and Pension Trends</w:t>
      </w:r>
    </w:p>
    <w:p w14:paraId="04147FC7" w14:textId="71972C3C" w:rsidR="00113B67" w:rsidRPr="00362F24" w:rsidRDefault="00113B67" w:rsidP="00113B67">
      <w:pPr>
        <w:pStyle w:val="CEAStandardHeading"/>
        <w:rPr>
          <w:rFonts w:asciiTheme="minorHAnsi" w:eastAsiaTheme="minorHAnsi" w:hAnsiTheme="minorHAnsi" w:cstheme="minorBidi"/>
          <w:b/>
          <w:color w:val="auto"/>
          <w:kern w:val="2"/>
          <w:sz w:val="18"/>
          <w:szCs w:val="18"/>
          <w:lang w:val="en-US"/>
          <w14:ligatures w14:val="standardContextual"/>
        </w:rPr>
      </w:pPr>
      <w:r w:rsidRPr="00362F24">
        <w:rPr>
          <w:b/>
          <w:color w:val="auto"/>
          <w:sz w:val="18"/>
          <w:szCs w:val="18"/>
        </w:rPr>
        <w:t>Impact of Inflation on Insurance and Pension Products:</w:t>
      </w:r>
      <w:r w:rsidRPr="00362F24">
        <w:rPr>
          <w:rFonts w:asciiTheme="minorHAnsi" w:eastAsiaTheme="minorHAnsi" w:hAnsiTheme="minorHAnsi" w:cstheme="minorBidi"/>
          <w:b/>
          <w:color w:val="auto"/>
          <w:kern w:val="2"/>
          <w:sz w:val="18"/>
          <w:szCs w:val="18"/>
          <w:lang w:val="en-US"/>
          <w14:ligatures w14:val="standardContextual"/>
        </w:rPr>
        <w:t xml:space="preserve"> </w:t>
      </w:r>
    </w:p>
    <w:p w14:paraId="2176B9DB" w14:textId="3F122606" w:rsidR="00113B67" w:rsidRPr="005F5042" w:rsidRDefault="00113B67" w:rsidP="00113B67">
      <w:pPr>
        <w:pStyle w:val="CEABullet-Level1"/>
        <w:rPr>
          <w:lang w:val="en-US"/>
        </w:rPr>
      </w:pPr>
      <w:r w:rsidRPr="1BF36FA6">
        <w:rPr>
          <w:rFonts w:eastAsiaTheme="minorEastAsia"/>
          <w:lang w:val="en-US"/>
        </w:rPr>
        <w:t xml:space="preserve">High inflation and rising </w:t>
      </w:r>
      <w:r w:rsidRPr="1BF36FA6">
        <w:rPr>
          <w:rFonts w:eastAsiaTheme="minorEastAsia"/>
        </w:rPr>
        <w:t xml:space="preserve">interest rates have led to </w:t>
      </w:r>
      <w:r w:rsidRPr="1BF36FA6">
        <w:rPr>
          <w:rFonts w:eastAsiaTheme="minorEastAsia"/>
          <w:b/>
          <w:color w:val="FF0000"/>
        </w:rPr>
        <w:t xml:space="preserve">lower or negative real investment returns for insurance and pensions </w:t>
      </w:r>
      <w:r w:rsidRPr="1BF36FA6">
        <w:rPr>
          <w:rFonts w:eastAsiaTheme="minorEastAsia"/>
          <w:color w:val="000000" w:themeColor="text1"/>
        </w:rPr>
        <w:t>(fig 1)</w:t>
      </w:r>
      <w:r w:rsidRPr="1BF36FA6">
        <w:rPr>
          <w:rFonts w:eastAsiaTheme="minorEastAsia"/>
        </w:rPr>
        <w:t xml:space="preserve">, </w:t>
      </w:r>
      <w:r w:rsidRPr="1BF36FA6">
        <w:rPr>
          <w:rFonts w:eastAsiaTheme="minorEastAsia"/>
          <w:b/>
          <w:color w:val="FF0000"/>
        </w:rPr>
        <w:t xml:space="preserve">less disposable income to be allocated to </w:t>
      </w:r>
      <w:r w:rsidR="001104F8" w:rsidRPr="1BF36FA6">
        <w:rPr>
          <w:rFonts w:eastAsiaTheme="minorEastAsia"/>
          <w:b/>
          <w:color w:val="FF0000"/>
        </w:rPr>
        <w:t>these</w:t>
      </w:r>
      <w:r w:rsidRPr="1BF36FA6">
        <w:rPr>
          <w:rFonts w:eastAsiaTheme="minorEastAsia"/>
          <w:b/>
          <w:color w:val="FF0000"/>
        </w:rPr>
        <w:t xml:space="preserve"> investments</w:t>
      </w:r>
      <w:r w:rsidRPr="1BF36FA6">
        <w:rPr>
          <w:rFonts w:eastAsiaTheme="minorEastAsia"/>
        </w:rPr>
        <w:t xml:space="preserve">, </w:t>
      </w:r>
      <w:r w:rsidRPr="00772756">
        <w:rPr>
          <w:b/>
          <w:bCs/>
          <w:color w:val="FF0000"/>
        </w:rPr>
        <w:t xml:space="preserve">reduction in life insurance </w:t>
      </w:r>
      <w:r w:rsidR="009F2C6B">
        <w:rPr>
          <w:b/>
          <w:bCs/>
          <w:color w:val="FF0000"/>
        </w:rPr>
        <w:t>gross written premiums (GWP)</w:t>
      </w:r>
      <w:r w:rsidRPr="00772756">
        <w:rPr>
          <w:b/>
          <w:bCs/>
          <w:color w:val="FF0000"/>
        </w:rPr>
        <w:t xml:space="preserve"> </w:t>
      </w:r>
      <w:r w:rsidR="00C024DA">
        <w:rPr>
          <w:b/>
          <w:color w:val="FF0000"/>
        </w:rPr>
        <w:t xml:space="preserve">of </w:t>
      </w:r>
      <w:r w:rsidR="00EC32F7">
        <w:rPr>
          <w:b/>
          <w:color w:val="FF0000"/>
        </w:rPr>
        <w:t>9% as per Solvency II data</w:t>
      </w:r>
      <w:r w:rsidR="00C024DA">
        <w:rPr>
          <w:b/>
          <w:color w:val="FF0000"/>
        </w:rPr>
        <w:t xml:space="preserve"> </w:t>
      </w:r>
      <w:r w:rsidRPr="00772756">
        <w:rPr>
          <w:b/>
          <w:bCs/>
          <w:color w:val="FF0000"/>
        </w:rPr>
        <w:t xml:space="preserve">and the number of </w:t>
      </w:r>
      <w:r w:rsidRPr="00736FCA">
        <w:rPr>
          <w:b/>
          <w:bCs/>
          <w:color w:val="FF0000"/>
          <w:lang w:val="en-US"/>
        </w:rPr>
        <w:t xml:space="preserve">insurance </w:t>
      </w:r>
      <w:r w:rsidRPr="00772756">
        <w:rPr>
          <w:b/>
          <w:bCs/>
          <w:color w:val="FF0000"/>
        </w:rPr>
        <w:t>contracts</w:t>
      </w:r>
      <w:r>
        <w:rPr>
          <w:lang w:val="en-US"/>
        </w:rPr>
        <w:t xml:space="preserve"> (fig 4)</w:t>
      </w:r>
      <w:r w:rsidR="00445662">
        <w:rPr>
          <w:lang w:val="en-US"/>
        </w:rPr>
        <w:t>.</w:t>
      </w:r>
      <w:r w:rsidR="005159F0">
        <w:t xml:space="preserve"> </w:t>
      </w:r>
    </w:p>
    <w:p w14:paraId="62C4C1C0" w14:textId="5EE1B962" w:rsidR="00113B67" w:rsidRPr="007D03BF" w:rsidRDefault="00113B67" w:rsidP="00113B67">
      <w:pPr>
        <w:pStyle w:val="CEABullet-Level1"/>
        <w:rPr>
          <w:lang w:val="en-US"/>
        </w:rPr>
      </w:pPr>
      <w:r w:rsidRPr="1BF36FA6">
        <w:rPr>
          <w:rFonts w:eastAsiaTheme="minorEastAsia"/>
        </w:rPr>
        <w:t xml:space="preserve">On the other hand, some providers have begun </w:t>
      </w:r>
      <w:r w:rsidRPr="1BF36FA6">
        <w:rPr>
          <w:rFonts w:eastAsiaTheme="minorEastAsia"/>
          <w:b/>
          <w:color w:val="00B050"/>
        </w:rPr>
        <w:t>offering products with guaranteed returns above 0%</w:t>
      </w:r>
      <w:r w:rsidR="000C0CD8" w:rsidRPr="00B77D37">
        <w:rPr>
          <w:color w:val="00B050"/>
        </w:rPr>
        <w:t xml:space="preserve">, </w:t>
      </w:r>
      <w:r w:rsidR="000C0CD8" w:rsidRPr="00B77D37">
        <w:rPr>
          <w:b/>
          <w:bCs/>
          <w:color w:val="00B050"/>
        </w:rPr>
        <w:t>with IBIPs and pension products expected to outperform inflation</w:t>
      </w:r>
      <w:r w:rsidR="000C0CD8" w:rsidRPr="00B77D37">
        <w:rPr>
          <w:color w:val="00B050"/>
        </w:rPr>
        <w:t xml:space="preserve"> </w:t>
      </w:r>
      <w:r w:rsidR="000C0CD8">
        <w:t>once it reaches the target rate of the E</w:t>
      </w:r>
      <w:r w:rsidR="009F2C6B">
        <w:t>uropean Central Bank</w:t>
      </w:r>
      <w:r w:rsidR="000C0CD8">
        <w:t>.</w:t>
      </w:r>
    </w:p>
    <w:p w14:paraId="3149CF9F" w14:textId="194C032F" w:rsidR="00113B67" w:rsidRPr="000B270D" w:rsidRDefault="00ED3A58" w:rsidP="00113B67">
      <w:pPr>
        <w:pStyle w:val="CEABullet-Level1"/>
        <w:rPr>
          <w:lang w:val="en-US"/>
        </w:rPr>
      </w:pPr>
      <w:r w:rsidRPr="00846B66">
        <w:rPr>
          <w:b/>
          <w:bCs/>
          <w:color w:val="FFC000"/>
        </w:rPr>
        <w:t>C</w:t>
      </w:r>
      <w:r w:rsidR="00113B67" w:rsidRPr="00846B66">
        <w:rPr>
          <w:b/>
          <w:bCs/>
          <w:color w:val="FFC000"/>
        </w:rPr>
        <w:t>onsumer confidence in retirement security has decreased</w:t>
      </w:r>
      <w:r w:rsidR="00113B67">
        <w:t xml:space="preserve"> (fig 3), amounting to 42%.</w:t>
      </w:r>
    </w:p>
    <w:p w14:paraId="58249BF4" w14:textId="2B45A2ED" w:rsidR="00673728" w:rsidRPr="003C61C0" w:rsidRDefault="0055404A" w:rsidP="008E1713">
      <w:pPr>
        <w:pStyle w:val="CEABullet-Level1"/>
        <w:rPr>
          <w:b/>
          <w:color w:val="00B050"/>
        </w:rPr>
      </w:pPr>
      <w:r>
        <w:rPr>
          <w:lang w:val="en-US"/>
        </w:rPr>
        <w:t>Inflation prompted some</w:t>
      </w:r>
      <w:r w:rsidR="00113B67">
        <w:rPr>
          <w:lang w:val="en-US"/>
        </w:rPr>
        <w:t xml:space="preserve"> </w:t>
      </w:r>
      <w:r w:rsidR="00113B67" w:rsidRPr="00772756">
        <w:t xml:space="preserve">consumers </w:t>
      </w:r>
      <w:r>
        <w:rPr>
          <w:lang w:val="en-US"/>
        </w:rPr>
        <w:t xml:space="preserve">to </w:t>
      </w:r>
      <w:r w:rsidRPr="0055404A">
        <w:rPr>
          <w:b/>
          <w:bCs/>
          <w:color w:val="FF0000"/>
          <w:lang w:val="en-US"/>
        </w:rPr>
        <w:t>suspend</w:t>
      </w:r>
      <w:r w:rsidR="0076430D">
        <w:rPr>
          <w:b/>
          <w:bCs/>
          <w:color w:val="FF0000"/>
          <w:lang w:val="en-US"/>
        </w:rPr>
        <w:t xml:space="preserve"> contributions</w:t>
      </w:r>
      <w:r w:rsidRPr="0055404A">
        <w:rPr>
          <w:b/>
          <w:bCs/>
          <w:color w:val="FF0000"/>
          <w:lang w:val="en-US"/>
        </w:rPr>
        <w:t>, surrender or cancel</w:t>
      </w:r>
      <w:r w:rsidR="00113B67" w:rsidRPr="0055404A">
        <w:rPr>
          <w:b/>
          <w:bCs/>
          <w:color w:val="FF0000"/>
        </w:rPr>
        <w:t xml:space="preserve"> </w:t>
      </w:r>
      <w:r w:rsidR="00113B67" w:rsidRPr="004E63DD">
        <w:rPr>
          <w:b/>
          <w:bCs/>
          <w:color w:val="FF0000"/>
        </w:rPr>
        <w:t>insurance or pension products</w:t>
      </w:r>
      <w:r w:rsidR="003E4877">
        <w:rPr>
          <w:b/>
          <w:color w:val="FF0000"/>
        </w:rPr>
        <w:t xml:space="preserve">; </w:t>
      </w:r>
      <w:r w:rsidR="003E4877" w:rsidRPr="003C61C0">
        <w:rPr>
          <w:b/>
          <w:color w:val="00B050"/>
        </w:rPr>
        <w:t xml:space="preserve">although Solvency II data </w:t>
      </w:r>
      <w:r w:rsidR="004E49BA" w:rsidRPr="003C61C0">
        <w:rPr>
          <w:b/>
          <w:color w:val="00B050"/>
        </w:rPr>
        <w:t>of 2022 does not yet show a substantial increase in</w:t>
      </w:r>
      <w:r w:rsidR="004E49BA">
        <w:rPr>
          <w:b/>
          <w:color w:val="FFC000"/>
        </w:rPr>
        <w:t xml:space="preserve"> </w:t>
      </w:r>
      <w:r w:rsidR="004E49BA" w:rsidRPr="003C61C0">
        <w:rPr>
          <w:b/>
          <w:color w:val="00B050"/>
        </w:rPr>
        <w:t>surrender ratio for life insurance products.</w:t>
      </w:r>
    </w:p>
    <w:p w14:paraId="3F2D00EE" w14:textId="292E809C" w:rsidR="00F82C87" w:rsidRPr="00F82C87" w:rsidRDefault="00113B67" w:rsidP="003C61C0">
      <w:pPr>
        <w:pStyle w:val="CEABullet-Level1"/>
        <w:rPr>
          <w:b/>
          <w:bCs/>
          <w:color w:val="FFC000"/>
        </w:rPr>
      </w:pPr>
      <w:r w:rsidRPr="00F82C87">
        <w:rPr>
          <w:b/>
          <w:bCs/>
          <w:color w:val="FFC000"/>
        </w:rPr>
        <w:t>Many of the NCAs that have not carried out supervisory activities related to inflation</w:t>
      </w:r>
      <w:r w:rsidRPr="00F82C87">
        <w:rPr>
          <w:b/>
          <w:bCs/>
          <w:color w:val="FFC000"/>
          <w:lang w:val="en-US"/>
        </w:rPr>
        <w:t xml:space="preserve"> are planning to do so</w:t>
      </w:r>
      <w:r w:rsidRPr="00F82C87">
        <w:rPr>
          <w:b/>
          <w:bCs/>
          <w:color w:val="FFC000"/>
        </w:rPr>
        <w:t>.</w:t>
      </w:r>
    </w:p>
    <w:p w14:paraId="13ADC6C4" w14:textId="77777777" w:rsidR="00332EC6" w:rsidRDefault="00332EC6" w:rsidP="00C404DD">
      <w:pPr>
        <w:pStyle w:val="CEAStandardHeading"/>
        <w:rPr>
          <w:lang w:val="en-US"/>
        </w:rPr>
      </w:pPr>
    </w:p>
    <w:p w14:paraId="4DA3A95C" w14:textId="47D00DCA" w:rsidR="00C404DD" w:rsidRDefault="00332EC6" w:rsidP="00C404DD">
      <w:pPr>
        <w:pStyle w:val="CEAStandardHeading"/>
        <w:rPr>
          <w:color w:val="auto"/>
          <w:sz w:val="17"/>
          <w:szCs w:val="17"/>
          <w:lang w:val="en-US"/>
        </w:rPr>
      </w:pPr>
      <w:r w:rsidRPr="00E41F43">
        <w:rPr>
          <w:color w:val="auto"/>
          <w:sz w:val="17"/>
          <w:szCs w:val="17"/>
          <w:u w:val="single"/>
          <w:lang w:val="en-US"/>
        </w:rPr>
        <w:t>Secretariat’s remarks</w:t>
      </w:r>
      <w:r w:rsidRPr="00E41F43">
        <w:rPr>
          <w:color w:val="auto"/>
          <w:sz w:val="17"/>
          <w:szCs w:val="17"/>
          <w:lang w:val="en-US"/>
        </w:rPr>
        <w:t>:</w:t>
      </w:r>
    </w:p>
    <w:p w14:paraId="10ADE0F4" w14:textId="77777777" w:rsidR="005B6187" w:rsidRPr="00C7439D" w:rsidRDefault="005B6187" w:rsidP="005B6187">
      <w:pPr>
        <w:pStyle w:val="CEAStandardHeading"/>
        <w:numPr>
          <w:ilvl w:val="0"/>
          <w:numId w:val="8"/>
        </w:numPr>
        <w:rPr>
          <w:color w:val="000000" w:themeColor="text1"/>
          <w:sz w:val="17"/>
          <w:szCs w:val="17"/>
        </w:rPr>
      </w:pPr>
      <w:r w:rsidRPr="00C7439D">
        <w:rPr>
          <w:color w:val="000000" w:themeColor="text1"/>
          <w:sz w:val="17"/>
          <w:szCs w:val="17"/>
        </w:rPr>
        <w:t xml:space="preserve">The inflation's impact on Europe's life insurance and pension sectors has been largely neutral. </w:t>
      </w:r>
    </w:p>
    <w:p w14:paraId="799BB340" w14:textId="4C44302E" w:rsidR="005B6187" w:rsidRPr="00C7439D" w:rsidRDefault="005B6187" w:rsidP="005B6187">
      <w:pPr>
        <w:pStyle w:val="CEAStandardHeading"/>
        <w:numPr>
          <w:ilvl w:val="0"/>
          <w:numId w:val="8"/>
        </w:numPr>
        <w:rPr>
          <w:color w:val="000000" w:themeColor="text1"/>
          <w:sz w:val="17"/>
          <w:szCs w:val="17"/>
        </w:rPr>
      </w:pPr>
      <w:r w:rsidRPr="00C7439D">
        <w:rPr>
          <w:color w:val="000000" w:themeColor="text1"/>
          <w:sz w:val="17"/>
          <w:szCs w:val="17"/>
        </w:rPr>
        <w:t>The third Pan European Pension Survey from 2023 shows that while 6% of consumers dropped their pension plans due to high costs, 19% reduced and 17% postponed their savings. Interestingly, 7% of the respondents increased their contributions and a significant 45 % reported no impact, demonstrating the diverse ways individuals are navigating inflation's challenges in the pension landscape.</w:t>
      </w:r>
    </w:p>
    <w:p w14:paraId="136DE4F2" w14:textId="092C45A4" w:rsidR="00846B66" w:rsidRDefault="00846B66">
      <w:pPr>
        <w:spacing w:after="200" w:line="276" w:lineRule="auto"/>
        <w:jc w:val="left"/>
        <w:rPr>
          <w:rFonts w:cs="Arial"/>
          <w:color w:val="002957"/>
          <w:sz w:val="19"/>
          <w:szCs w:val="19"/>
          <w:lang w:val="en-US"/>
        </w:rPr>
      </w:pPr>
      <w:r>
        <w:rPr>
          <w:sz w:val="19"/>
          <w:szCs w:val="19"/>
          <w:lang w:val="en-US"/>
        </w:rPr>
        <w:br w:type="page"/>
      </w:r>
    </w:p>
    <w:p w14:paraId="02786997" w14:textId="77777777" w:rsidR="00332EC6" w:rsidRDefault="00332EC6" w:rsidP="00C404DD">
      <w:pPr>
        <w:pStyle w:val="CEAStandardHeading"/>
        <w:rPr>
          <w:sz w:val="19"/>
          <w:szCs w:val="19"/>
          <w:lang w:val="en-US"/>
        </w:rPr>
      </w:pPr>
    </w:p>
    <w:p w14:paraId="33B1D8E6" w14:textId="1BC298D5" w:rsidR="00F82C87" w:rsidRPr="00E41F43" w:rsidRDefault="00C404DD" w:rsidP="00C404DD">
      <w:pPr>
        <w:pStyle w:val="CEAStandardHeading"/>
        <w:rPr>
          <w:b/>
          <w:color w:val="auto"/>
          <w:sz w:val="18"/>
          <w:szCs w:val="18"/>
          <w:lang w:val="en-US"/>
        </w:rPr>
      </w:pPr>
      <w:r w:rsidRPr="00E41F43">
        <w:rPr>
          <w:b/>
          <w:color w:val="auto"/>
          <w:sz w:val="18"/>
          <w:szCs w:val="18"/>
          <w:lang w:val="en-US"/>
        </w:rPr>
        <w:t xml:space="preserve">Impact of Inflation on </w:t>
      </w:r>
      <w:r w:rsidR="00727B4C" w:rsidRPr="00E41F43">
        <w:rPr>
          <w:b/>
          <w:color w:val="auto"/>
          <w:sz w:val="18"/>
          <w:szCs w:val="18"/>
          <w:lang w:val="en-US"/>
        </w:rPr>
        <w:t>N</w:t>
      </w:r>
      <w:r w:rsidR="0010428E" w:rsidRPr="00E41F43">
        <w:rPr>
          <w:b/>
          <w:color w:val="auto"/>
          <w:sz w:val="18"/>
          <w:szCs w:val="18"/>
          <w:lang w:val="en-US"/>
        </w:rPr>
        <w:t>on-</w:t>
      </w:r>
      <w:r w:rsidR="00727B4C" w:rsidRPr="00E41F43">
        <w:rPr>
          <w:b/>
          <w:color w:val="auto"/>
          <w:sz w:val="18"/>
          <w:szCs w:val="18"/>
          <w:lang w:val="en-US"/>
        </w:rPr>
        <w:t>Li</w:t>
      </w:r>
      <w:r w:rsidR="0010428E" w:rsidRPr="00E41F43">
        <w:rPr>
          <w:b/>
          <w:color w:val="auto"/>
          <w:sz w:val="18"/>
          <w:szCs w:val="18"/>
          <w:lang w:val="en-US"/>
        </w:rPr>
        <w:t xml:space="preserve">fe </w:t>
      </w:r>
      <w:r w:rsidR="00727B4C" w:rsidRPr="00E41F43">
        <w:rPr>
          <w:b/>
          <w:color w:val="auto"/>
          <w:sz w:val="18"/>
          <w:szCs w:val="18"/>
          <w:lang w:val="en-US"/>
        </w:rPr>
        <w:t>I</w:t>
      </w:r>
      <w:r w:rsidR="0010428E" w:rsidRPr="00E41F43">
        <w:rPr>
          <w:b/>
          <w:color w:val="auto"/>
          <w:sz w:val="18"/>
          <w:szCs w:val="18"/>
          <w:lang w:val="en-US"/>
        </w:rPr>
        <w:t xml:space="preserve">nsurance </w:t>
      </w:r>
      <w:r w:rsidR="00727B4C" w:rsidRPr="00E41F43">
        <w:rPr>
          <w:b/>
          <w:color w:val="auto"/>
          <w:sz w:val="18"/>
          <w:szCs w:val="18"/>
          <w:lang w:val="en-US"/>
        </w:rPr>
        <w:t>C</w:t>
      </w:r>
      <w:r w:rsidR="0010428E" w:rsidRPr="00E41F43">
        <w:rPr>
          <w:b/>
          <w:color w:val="auto"/>
          <w:sz w:val="18"/>
          <w:szCs w:val="18"/>
          <w:lang w:val="en-US"/>
        </w:rPr>
        <w:t>onsumers:</w:t>
      </w:r>
    </w:p>
    <w:p w14:paraId="59E586B8" w14:textId="0C420A45" w:rsidR="0010428E" w:rsidRPr="00E41F43" w:rsidRDefault="0010428E" w:rsidP="0010428E">
      <w:pPr>
        <w:pStyle w:val="CEABullet-Level1"/>
        <w:rPr>
          <w:lang w:val="en-US"/>
        </w:rPr>
      </w:pPr>
      <w:r>
        <w:rPr>
          <w:lang w:val="en-US"/>
        </w:rPr>
        <w:t xml:space="preserve">78% </w:t>
      </w:r>
      <w:r w:rsidR="00B95382">
        <w:rPr>
          <w:lang w:val="en-US"/>
        </w:rPr>
        <w:t>out of</w:t>
      </w:r>
      <w:r w:rsidR="007350BC">
        <w:rPr>
          <w:lang w:val="en-US"/>
        </w:rPr>
        <w:t xml:space="preserve"> 24 </w:t>
      </w:r>
      <w:r>
        <w:rPr>
          <w:lang w:val="en-US"/>
        </w:rPr>
        <w:t>responding N</w:t>
      </w:r>
      <w:r w:rsidR="007305F2">
        <w:rPr>
          <w:lang w:val="en-US"/>
        </w:rPr>
        <w:t>ational Competent Authorities (NCAs)</w:t>
      </w:r>
      <w:r w:rsidR="00CF51C6">
        <w:rPr>
          <w:color w:val="000000" w:themeColor="text1"/>
        </w:rPr>
        <w:t xml:space="preserve"> </w:t>
      </w:r>
      <w:r w:rsidR="00445662">
        <w:rPr>
          <w:color w:val="000000" w:themeColor="text1"/>
        </w:rPr>
        <w:t>reported evidence</w:t>
      </w:r>
      <w:r w:rsidR="00001142">
        <w:rPr>
          <w:color w:val="000000" w:themeColor="text1"/>
        </w:rPr>
        <w:t xml:space="preserve"> of</w:t>
      </w:r>
      <w:r w:rsidR="00445662">
        <w:rPr>
          <w:color w:val="000000" w:themeColor="text1"/>
        </w:rPr>
        <w:t xml:space="preserve"> </w:t>
      </w:r>
      <w:r w:rsidR="00445662" w:rsidRPr="003F1843">
        <w:rPr>
          <w:b/>
          <w:bCs/>
          <w:color w:val="FF0000"/>
        </w:rPr>
        <w:t>increased insurance premiums</w:t>
      </w:r>
      <w:r w:rsidR="00445662">
        <w:rPr>
          <w:color w:val="000000" w:themeColor="text1"/>
        </w:rPr>
        <w:t xml:space="preserve"> and </w:t>
      </w:r>
      <w:r w:rsidR="00445662" w:rsidRPr="003F1843">
        <w:rPr>
          <w:b/>
          <w:bCs/>
          <w:color w:val="FF0000"/>
        </w:rPr>
        <w:t>increased deductibles</w:t>
      </w:r>
      <w:r w:rsidR="00445662" w:rsidRPr="003F1843">
        <w:rPr>
          <w:color w:val="FF0000"/>
        </w:rPr>
        <w:t xml:space="preserve"> </w:t>
      </w:r>
      <w:r w:rsidR="00445662">
        <w:t>(fig 7)</w:t>
      </w:r>
      <w:r w:rsidR="00E054AB" w:rsidRPr="1BF36FA6">
        <w:rPr>
          <w:rFonts w:eastAsiaTheme="minorEastAsia"/>
        </w:rPr>
        <w:t>.</w:t>
      </w:r>
    </w:p>
    <w:p w14:paraId="600FDC88" w14:textId="5B76C269" w:rsidR="00336E62" w:rsidRPr="00E41F43" w:rsidRDefault="00ED3A58" w:rsidP="00E41F43">
      <w:pPr>
        <w:pStyle w:val="CEABullet-Level1"/>
        <w:rPr>
          <w:lang w:val="en-US"/>
        </w:rPr>
      </w:pPr>
      <w:r w:rsidRPr="00424944">
        <w:t xml:space="preserve">11% of EU consumers feel </w:t>
      </w:r>
      <w:r w:rsidRPr="003F1843">
        <w:rPr>
          <w:b/>
          <w:bCs/>
          <w:color w:val="FF0000"/>
        </w:rPr>
        <w:t>underinsured</w:t>
      </w:r>
      <w:r w:rsidRPr="003F1843">
        <w:rPr>
          <w:color w:val="FF0000"/>
        </w:rPr>
        <w:t xml:space="preserve"> </w:t>
      </w:r>
      <w:r w:rsidRPr="00424944">
        <w:t xml:space="preserve">due to </w:t>
      </w:r>
      <w:r>
        <w:t>rising costs (fig 8).</w:t>
      </w:r>
    </w:p>
    <w:p w14:paraId="5DA8EE5E" w14:textId="77777777" w:rsidR="00C404DD" w:rsidRDefault="00C404DD" w:rsidP="00F82C87">
      <w:pPr>
        <w:pStyle w:val="CEAStandardHeading"/>
        <w:rPr>
          <w:sz w:val="19"/>
          <w:szCs w:val="19"/>
        </w:rPr>
      </w:pPr>
    </w:p>
    <w:p w14:paraId="59FEA73C" w14:textId="5F1522BA" w:rsidR="00332EC6" w:rsidRPr="00791E80" w:rsidRDefault="00332EC6" w:rsidP="00332EC6">
      <w:pPr>
        <w:rPr>
          <w:sz w:val="17"/>
          <w:szCs w:val="17"/>
        </w:rPr>
      </w:pPr>
      <w:r w:rsidRPr="00791E80">
        <w:rPr>
          <w:sz w:val="17"/>
          <w:szCs w:val="17"/>
          <w:u w:val="single"/>
        </w:rPr>
        <w:t>Secretariat’s remarks</w:t>
      </w:r>
      <w:r w:rsidRPr="00791E80">
        <w:rPr>
          <w:sz w:val="17"/>
          <w:szCs w:val="17"/>
        </w:rPr>
        <w:t>:</w:t>
      </w:r>
    </w:p>
    <w:p w14:paraId="772853E4" w14:textId="4CB1F5FE" w:rsidR="00F7580E" w:rsidRPr="00C7439D" w:rsidRDefault="00F7580E" w:rsidP="00F7580E">
      <w:pPr>
        <w:pStyle w:val="CEABullet-Level1"/>
        <w:numPr>
          <w:ilvl w:val="0"/>
          <w:numId w:val="12"/>
        </w:numPr>
        <w:rPr>
          <w:color w:val="000000" w:themeColor="text1"/>
        </w:rPr>
      </w:pPr>
      <w:r w:rsidRPr="00C7439D">
        <w:rPr>
          <w:color w:val="000000" w:themeColor="text1"/>
        </w:rPr>
        <w:t xml:space="preserve">The July 2023 survey feedback from our members highlighted a general rise in insurance claims, influenced by factors like climate change and price </w:t>
      </w:r>
      <w:r w:rsidRPr="00C7439D">
        <w:rPr>
          <w:color w:val="000000" w:themeColor="text1"/>
          <w:lang w:val="en-US"/>
        </w:rPr>
        <w:t>increases</w:t>
      </w:r>
      <w:r w:rsidRPr="00C7439D">
        <w:rPr>
          <w:color w:val="000000" w:themeColor="text1"/>
        </w:rPr>
        <w:t xml:space="preserve">, affecting non-life insurance premiums and coverage variably across Member States and business lines. This trend notably impacts the cost of repairing and compensating for insured goods due to higher prices for materials and </w:t>
      </w:r>
      <w:r w:rsidR="00C7439D" w:rsidRPr="00C7439D">
        <w:rPr>
          <w:color w:val="000000" w:themeColor="text1"/>
        </w:rPr>
        <w:t>labour</w:t>
      </w:r>
      <w:r w:rsidRPr="00C7439D">
        <w:rPr>
          <w:color w:val="000000" w:themeColor="text1"/>
        </w:rPr>
        <w:t>.</w:t>
      </w:r>
    </w:p>
    <w:p w14:paraId="6898BB20" w14:textId="77777777" w:rsidR="003E5A34" w:rsidRDefault="003E5A34">
      <w:pPr>
        <w:pStyle w:val="CEABullet-Level1"/>
        <w:numPr>
          <w:ilvl w:val="0"/>
          <w:numId w:val="0"/>
        </w:numPr>
      </w:pPr>
    </w:p>
    <w:p w14:paraId="40FFB351" w14:textId="73A501D7" w:rsidR="00113B67" w:rsidRPr="00D422CA" w:rsidRDefault="00113B67" w:rsidP="00113B67">
      <w:pPr>
        <w:pStyle w:val="CEAStandardHeading"/>
        <w:rPr>
          <w:b/>
          <w:color w:val="auto"/>
          <w:sz w:val="18"/>
          <w:szCs w:val="18"/>
        </w:rPr>
      </w:pPr>
      <w:r w:rsidRPr="00D422CA">
        <w:rPr>
          <w:b/>
          <w:color w:val="auto"/>
          <w:sz w:val="18"/>
          <w:szCs w:val="18"/>
        </w:rPr>
        <w:t>Diversity, Equity and Inclusion (DE</w:t>
      </w:r>
      <w:r w:rsidR="00B02683">
        <w:rPr>
          <w:b/>
          <w:color w:val="auto"/>
          <w:sz w:val="18"/>
          <w:szCs w:val="18"/>
        </w:rPr>
        <w:t>&amp;</w:t>
      </w:r>
      <w:r w:rsidRPr="00D422CA">
        <w:rPr>
          <w:b/>
          <w:color w:val="auto"/>
          <w:sz w:val="18"/>
          <w:szCs w:val="18"/>
        </w:rPr>
        <w:t>I):</w:t>
      </w:r>
    </w:p>
    <w:p w14:paraId="2C8EF654" w14:textId="339876BE" w:rsidR="00113B67" w:rsidRPr="00D07157" w:rsidRDefault="00852B3D" w:rsidP="00113B67">
      <w:pPr>
        <w:pStyle w:val="CEABullet-Level1"/>
      </w:pPr>
      <w:r w:rsidRPr="001B3A94">
        <w:rPr>
          <w:b/>
          <w:color w:val="00B050"/>
        </w:rPr>
        <w:t>57% of consumers feel that they are treated fairly when purchasing insurance or pensions</w:t>
      </w:r>
      <w:r w:rsidR="00B013F1" w:rsidRPr="001B3A94">
        <w:rPr>
          <w:b/>
          <w:color w:val="00B050"/>
        </w:rPr>
        <w:t xml:space="preserve">, </w:t>
      </w:r>
      <w:r w:rsidR="00B013F1">
        <w:rPr>
          <w:b/>
          <w:color w:val="FF0000"/>
        </w:rPr>
        <w:t>while</w:t>
      </w:r>
      <w:r w:rsidRPr="00D07157">
        <w:t xml:space="preserve"> </w:t>
      </w:r>
      <w:r w:rsidR="00113B67" w:rsidRPr="00F87324">
        <w:rPr>
          <w:b/>
          <w:bCs/>
          <w:color w:val="FF0000"/>
        </w:rPr>
        <w:t xml:space="preserve">23% of </w:t>
      </w:r>
      <w:r w:rsidR="00B013F1">
        <w:rPr>
          <w:b/>
          <w:color w:val="FF0000"/>
        </w:rPr>
        <w:t>them believe they are</w:t>
      </w:r>
      <w:r w:rsidR="004C7958">
        <w:rPr>
          <w:b/>
          <w:color w:val="FF0000"/>
        </w:rPr>
        <w:t xml:space="preserve"> no</w:t>
      </w:r>
      <w:r w:rsidR="00B013F1">
        <w:rPr>
          <w:b/>
          <w:color w:val="FF0000"/>
        </w:rPr>
        <w:t>t.</w:t>
      </w:r>
    </w:p>
    <w:p w14:paraId="038CCE6F" w14:textId="164D30B5" w:rsidR="00113B67" w:rsidRPr="00D07157" w:rsidRDefault="00113B67" w:rsidP="00113B67">
      <w:pPr>
        <w:pStyle w:val="CEABullet-Level1"/>
      </w:pPr>
      <w:r w:rsidRPr="00D07157">
        <w:t>A</w:t>
      </w:r>
      <w:r>
        <w:t xml:space="preserve"> </w:t>
      </w:r>
      <w:r w:rsidRPr="006A527C">
        <w:rPr>
          <w:b/>
          <w:bCs/>
          <w:color w:val="FF0000"/>
        </w:rPr>
        <w:t>gender gap exists in access to insurance and pensions</w:t>
      </w:r>
      <w:r w:rsidRPr="00D07157">
        <w:t>, with female consumers having lower access and confidence compared to male consumers</w:t>
      </w:r>
      <w:r w:rsidR="003E092F">
        <w:t xml:space="preserve"> (fig 10)</w:t>
      </w:r>
      <w:r w:rsidRPr="00D07157">
        <w:t>.</w:t>
      </w:r>
    </w:p>
    <w:p w14:paraId="4BD82A9A" w14:textId="0C76EB44" w:rsidR="00113B67" w:rsidRPr="00D07157" w:rsidRDefault="00113B67" w:rsidP="00113B67">
      <w:pPr>
        <w:pStyle w:val="CEABullet-Level1"/>
      </w:pPr>
      <w:r w:rsidRPr="00D07157">
        <w:t>Consumers identifying as minorities</w:t>
      </w:r>
      <w:r w:rsidR="00AD099F">
        <w:t xml:space="preserve">, while </w:t>
      </w:r>
      <w:r w:rsidRPr="00D422CA">
        <w:rPr>
          <w:b/>
          <w:bCs/>
          <w:color w:val="00B050"/>
        </w:rPr>
        <w:t xml:space="preserve">being more covered in </w:t>
      </w:r>
      <w:r w:rsidRPr="00D422CA">
        <w:rPr>
          <w:b/>
          <w:bCs/>
          <w:color w:val="00B050"/>
          <w:lang w:val="en-US"/>
        </w:rPr>
        <w:t xml:space="preserve">accident and health insurance, </w:t>
      </w:r>
      <w:r w:rsidRPr="00D422CA">
        <w:rPr>
          <w:b/>
          <w:bCs/>
          <w:color w:val="00B050"/>
        </w:rPr>
        <w:t>investment/savings product from an insurer</w:t>
      </w:r>
      <w:r w:rsidR="00AD099F" w:rsidRPr="00D422CA">
        <w:rPr>
          <w:b/>
          <w:bCs/>
          <w:color w:val="00B050"/>
          <w:lang w:val="en-US"/>
        </w:rPr>
        <w:t xml:space="preserve"> and </w:t>
      </w:r>
      <w:r w:rsidRPr="00D422CA">
        <w:rPr>
          <w:b/>
          <w:bCs/>
          <w:color w:val="00B050"/>
          <w:lang w:val="en-US"/>
        </w:rPr>
        <w:t>payment protection insurance</w:t>
      </w:r>
      <w:r w:rsidR="00AD099F" w:rsidRPr="00D422CA">
        <w:rPr>
          <w:b/>
          <w:bCs/>
          <w:color w:val="00B050"/>
          <w:lang w:val="en-US"/>
        </w:rPr>
        <w:t xml:space="preserve">, </w:t>
      </w:r>
      <w:r>
        <w:t>have</w:t>
      </w:r>
      <w:r w:rsidR="00AD099F">
        <w:t xml:space="preserve"> overall</w:t>
      </w:r>
      <w:r>
        <w:t xml:space="preserve"> </w:t>
      </w:r>
      <w:r w:rsidRPr="000E6074">
        <w:rPr>
          <w:b/>
          <w:bCs/>
          <w:color w:val="FF0000"/>
        </w:rPr>
        <w:t>lower access to insurance and pension products</w:t>
      </w:r>
      <w:r w:rsidR="00CA5900">
        <w:rPr>
          <w:b/>
          <w:bCs/>
          <w:color w:val="FF0000"/>
        </w:rPr>
        <w:t xml:space="preserve"> </w:t>
      </w:r>
      <w:r w:rsidR="00CA5900" w:rsidRPr="00D422CA">
        <w:rPr>
          <w:color w:val="auto"/>
        </w:rPr>
        <w:t>(fig 11)</w:t>
      </w:r>
      <w:r w:rsidRPr="00D422CA">
        <w:rPr>
          <w:color w:val="auto"/>
        </w:rPr>
        <w:t>.</w:t>
      </w:r>
    </w:p>
    <w:p w14:paraId="37C07A62" w14:textId="7F4FB18D" w:rsidR="006033BE" w:rsidRPr="005F36CA" w:rsidRDefault="006033BE" w:rsidP="006033BE">
      <w:pPr>
        <w:pStyle w:val="CEABullet-Level1"/>
        <w:rPr>
          <w:lang w:val="en-US"/>
        </w:rPr>
      </w:pPr>
      <w:r w:rsidRPr="001A48B4">
        <w:rPr>
          <w:b/>
          <w:color w:val="FF0000"/>
        </w:rPr>
        <w:t xml:space="preserve">48% of EU consumers </w:t>
      </w:r>
      <w:r w:rsidRPr="00D422CA">
        <w:rPr>
          <w:color w:val="auto"/>
        </w:rPr>
        <w:t>believe that insurance policies contain many</w:t>
      </w:r>
      <w:r w:rsidRPr="00D422CA">
        <w:rPr>
          <w:b/>
          <w:color w:val="auto"/>
        </w:rPr>
        <w:t xml:space="preserve"> </w:t>
      </w:r>
      <w:r w:rsidRPr="001A48B4">
        <w:rPr>
          <w:b/>
          <w:color w:val="FF0000"/>
        </w:rPr>
        <w:t xml:space="preserve">exclusions </w:t>
      </w:r>
      <w:r w:rsidRPr="00D422CA">
        <w:rPr>
          <w:b/>
          <w:bCs/>
          <w:color w:val="FF0000"/>
          <w:lang w:val="en-US"/>
        </w:rPr>
        <w:t>which target</w:t>
      </w:r>
      <w:r w:rsidRPr="00D422CA">
        <w:rPr>
          <w:b/>
          <w:color w:val="FF0000"/>
        </w:rPr>
        <w:t xml:space="preserve"> their specific situations</w:t>
      </w:r>
      <w:r w:rsidRPr="00EB2538">
        <w:t xml:space="preserve">, often resulting from </w:t>
      </w:r>
      <w:r w:rsidR="006B3D25">
        <w:rPr>
          <w:lang w:val="en-US"/>
        </w:rPr>
        <w:t xml:space="preserve">discriminatory practices in </w:t>
      </w:r>
      <w:r w:rsidRPr="00EB2538">
        <w:t>product designs and distribution</w:t>
      </w:r>
      <w:r>
        <w:rPr>
          <w:lang w:val="en-US"/>
        </w:rPr>
        <w:t>.</w:t>
      </w:r>
    </w:p>
    <w:p w14:paraId="2E1B30D8" w14:textId="7EDF52A0" w:rsidR="00712B1B" w:rsidRDefault="00943C47" w:rsidP="00712B1B">
      <w:pPr>
        <w:pStyle w:val="CEABullet-Level1"/>
      </w:pPr>
      <w:r w:rsidRPr="00943C47">
        <w:rPr>
          <w:b/>
          <w:color w:val="FF0000"/>
        </w:rPr>
        <w:t xml:space="preserve">The rate of younger consumers and those from minority groups halting regular contributions to their IBIPs and other insurance products </w:t>
      </w:r>
      <w:r w:rsidRPr="00D422CA">
        <w:rPr>
          <w:color w:val="auto"/>
        </w:rPr>
        <w:t>due to the cost-of-living crisis</w:t>
      </w:r>
      <w:r w:rsidRPr="00D422CA">
        <w:rPr>
          <w:b/>
          <w:color w:val="auto"/>
        </w:rPr>
        <w:t xml:space="preserve"> </w:t>
      </w:r>
      <w:r w:rsidRPr="00943C47">
        <w:rPr>
          <w:b/>
          <w:color w:val="FF0000"/>
        </w:rPr>
        <w:t>is twice the EU average</w:t>
      </w:r>
      <w:r>
        <w:rPr>
          <w:lang w:val="en-US"/>
        </w:rPr>
        <w:t>.</w:t>
      </w:r>
    </w:p>
    <w:p w14:paraId="19FB5053" w14:textId="77777777" w:rsidR="00712B1B" w:rsidRDefault="00712B1B" w:rsidP="00712B1B">
      <w:pPr>
        <w:pStyle w:val="CEABullet-Level1"/>
        <w:numPr>
          <w:ilvl w:val="0"/>
          <w:numId w:val="0"/>
        </w:numPr>
      </w:pPr>
    </w:p>
    <w:p w14:paraId="6BBB2246" w14:textId="77777777" w:rsidR="008E209D" w:rsidRPr="00D422CA" w:rsidRDefault="008E209D" w:rsidP="008E209D">
      <w:pPr>
        <w:rPr>
          <w:sz w:val="17"/>
          <w:szCs w:val="17"/>
        </w:rPr>
      </w:pPr>
      <w:r w:rsidRPr="00D422CA">
        <w:rPr>
          <w:sz w:val="17"/>
          <w:szCs w:val="17"/>
          <w:u w:val="single"/>
        </w:rPr>
        <w:t>Secretariat’s remarks</w:t>
      </w:r>
      <w:r w:rsidRPr="00D422CA">
        <w:rPr>
          <w:sz w:val="17"/>
          <w:szCs w:val="17"/>
        </w:rPr>
        <w:t>:</w:t>
      </w:r>
    </w:p>
    <w:p w14:paraId="6DC981B2" w14:textId="77777777" w:rsidR="00754760" w:rsidRPr="00C7439D" w:rsidRDefault="00754760" w:rsidP="00754760">
      <w:pPr>
        <w:numPr>
          <w:ilvl w:val="0"/>
          <w:numId w:val="17"/>
        </w:numPr>
        <w:shd w:val="clear" w:color="auto" w:fill="FFFFFF"/>
        <w:spacing w:before="100" w:beforeAutospacing="1" w:after="100" w:afterAutospacing="1"/>
        <w:rPr>
          <w:rFonts w:cs="Arial"/>
          <w:color w:val="000000" w:themeColor="text1"/>
          <w:sz w:val="17"/>
          <w:szCs w:val="17"/>
          <w:lang w:eastAsia="en-GB"/>
        </w:rPr>
      </w:pPr>
      <w:r w:rsidRPr="00C7439D">
        <w:rPr>
          <w:rFonts w:cs="Arial"/>
          <w:color w:val="000000" w:themeColor="text1"/>
          <w:sz w:val="17"/>
          <w:szCs w:val="17"/>
          <w:lang w:eastAsia="en-GB"/>
        </w:rPr>
        <w:t>The gender pension gap and lower pension coverage for vulnerable groups are mainly due to labour market inequalities, such as cultural norms, part-time work in lower-paying sectors, and lower financial literacy among women, rather than being solely the insurance industry's responsibility. Addressing these issues calls for policy interventions like promoting financial literacy, inclusive labour markets, shared caregiving responsibilities, and recognising unpaid labour through potential adjustments in pension systems.</w:t>
      </w:r>
    </w:p>
    <w:p w14:paraId="66818525" w14:textId="77777777" w:rsidR="00754760" w:rsidRPr="00C7439D" w:rsidRDefault="00754760" w:rsidP="00754760">
      <w:pPr>
        <w:numPr>
          <w:ilvl w:val="0"/>
          <w:numId w:val="17"/>
        </w:numPr>
        <w:shd w:val="clear" w:color="auto" w:fill="FFFFFF"/>
        <w:spacing w:before="100" w:beforeAutospacing="1" w:after="100" w:afterAutospacing="1"/>
        <w:rPr>
          <w:rFonts w:cs="Arial"/>
          <w:color w:val="000000" w:themeColor="text1"/>
          <w:sz w:val="17"/>
          <w:szCs w:val="17"/>
          <w:lang w:eastAsia="en-GB"/>
        </w:rPr>
      </w:pPr>
      <w:r w:rsidRPr="00C7439D">
        <w:rPr>
          <w:rFonts w:cs="Arial"/>
          <w:color w:val="000000" w:themeColor="text1"/>
          <w:sz w:val="17"/>
          <w:szCs w:val="17"/>
          <w:lang w:eastAsia="en-GB"/>
        </w:rPr>
        <w:t>The insurance industry supports interventions that acknowledge unpaid labour and aims to bridge the gender pension gap, suggesting solutions like pension care credits and equitable pension redistribution for caregivers. However, it emphasises the importance of maintaining risk-based underwriting while advocating for collaborative efforts with the public sector to tackle these societal challenges effectively.</w:t>
      </w:r>
    </w:p>
    <w:p w14:paraId="11DDC379" w14:textId="77777777" w:rsidR="00754760" w:rsidRPr="00C7439D" w:rsidRDefault="00754760" w:rsidP="00754760">
      <w:pPr>
        <w:numPr>
          <w:ilvl w:val="0"/>
          <w:numId w:val="17"/>
        </w:numPr>
        <w:shd w:val="clear" w:color="auto" w:fill="FFFFFF"/>
        <w:spacing w:before="100" w:beforeAutospacing="1" w:after="100" w:afterAutospacing="1"/>
        <w:rPr>
          <w:rFonts w:cs="Arial"/>
          <w:color w:val="000000" w:themeColor="text1"/>
          <w:sz w:val="17"/>
          <w:szCs w:val="17"/>
          <w:lang w:eastAsia="en-GB"/>
        </w:rPr>
      </w:pPr>
      <w:r w:rsidRPr="00C7439D">
        <w:rPr>
          <w:rFonts w:cs="Arial"/>
          <w:color w:val="000000" w:themeColor="text1"/>
          <w:sz w:val="17"/>
          <w:szCs w:val="17"/>
          <w:lang w:eastAsia="en-GB"/>
        </w:rPr>
        <w:t>Concerns about the vague definition of vulnerable consumers and inadequate service for individuals with past medical conditions, highlighted by EIOPA’s findings, suggest a need for broader consumer protections and discussions on extending the right to be forgotten (RTBF) to more diseases, indicating a push for more inclusive insurance practices and policy adjustments.</w:t>
      </w:r>
    </w:p>
    <w:p w14:paraId="0AAC898F" w14:textId="3BADCBD0" w:rsidR="0093744B" w:rsidRDefault="0093744B">
      <w:pPr>
        <w:spacing w:after="200" w:line="276" w:lineRule="auto"/>
        <w:jc w:val="left"/>
        <w:rPr>
          <w:rFonts w:cs="Frutiger LT Std 45 Light"/>
          <w:color w:val="000000"/>
          <w:sz w:val="17"/>
          <w:szCs w:val="20"/>
        </w:rPr>
      </w:pPr>
      <w:r>
        <w:br w:type="page"/>
      </w:r>
    </w:p>
    <w:p w14:paraId="1570B711" w14:textId="77777777" w:rsidR="00563B76" w:rsidRPr="00035BE7" w:rsidRDefault="00563B76" w:rsidP="00712B1B">
      <w:pPr>
        <w:pStyle w:val="CEABullet-Level1"/>
        <w:numPr>
          <w:ilvl w:val="0"/>
          <w:numId w:val="0"/>
        </w:numPr>
      </w:pPr>
    </w:p>
    <w:p w14:paraId="0C5EAC7C" w14:textId="28E086AA" w:rsidR="00153EF0" w:rsidRPr="00D422CA" w:rsidRDefault="00153EF0" w:rsidP="00D422CA">
      <w:pPr>
        <w:rPr>
          <w:szCs w:val="17"/>
          <w:lang w:val="en-US"/>
        </w:rPr>
      </w:pPr>
      <w:r w:rsidRPr="00D422CA">
        <w:rPr>
          <w:rFonts w:cs="Arial"/>
          <w:color w:val="002957"/>
          <w:szCs w:val="22"/>
        </w:rPr>
        <w:t xml:space="preserve">Insurance Trends </w:t>
      </w:r>
    </w:p>
    <w:p w14:paraId="33821629" w14:textId="77777777" w:rsidR="00113B67" w:rsidRPr="00D422CA" w:rsidRDefault="00113B67" w:rsidP="00113B67">
      <w:pPr>
        <w:pStyle w:val="CEAStandardHeading"/>
        <w:rPr>
          <w:b/>
          <w:color w:val="auto"/>
          <w:sz w:val="18"/>
          <w:szCs w:val="18"/>
        </w:rPr>
      </w:pPr>
      <w:r w:rsidRPr="00D422CA">
        <w:rPr>
          <w:b/>
          <w:color w:val="auto"/>
          <w:sz w:val="18"/>
          <w:szCs w:val="18"/>
        </w:rPr>
        <w:t>Value for Money:</w:t>
      </w:r>
    </w:p>
    <w:p w14:paraId="6DE49CB4" w14:textId="5F69D789" w:rsidR="00BD6C58" w:rsidRPr="00871D18" w:rsidRDefault="00E55E44" w:rsidP="00113B67">
      <w:pPr>
        <w:pStyle w:val="CEABullet-Level1"/>
      </w:pPr>
      <w:r>
        <w:rPr>
          <w:b/>
          <w:color w:val="00B050"/>
        </w:rPr>
        <w:t>M</w:t>
      </w:r>
      <w:r w:rsidR="00113B67" w:rsidRPr="00871D18">
        <w:rPr>
          <w:b/>
          <w:color w:val="00B050"/>
        </w:rPr>
        <w:t>ost consumers</w:t>
      </w:r>
      <w:r w:rsidR="00113B67" w:rsidRPr="00A308BE">
        <w:rPr>
          <w:b/>
          <w:color w:val="00B050"/>
        </w:rPr>
        <w:t xml:space="preserve"> </w:t>
      </w:r>
      <w:r w:rsidR="00113B67" w:rsidRPr="00871D18">
        <w:rPr>
          <w:b/>
          <w:color w:val="00B050"/>
        </w:rPr>
        <w:t xml:space="preserve">feel that their products </w:t>
      </w:r>
      <w:r w:rsidR="00113B67" w:rsidRPr="00D422CA">
        <w:rPr>
          <w:b/>
          <w:bCs/>
          <w:color w:val="00B050"/>
        </w:rPr>
        <w:t>offer value for money</w:t>
      </w:r>
      <w:r w:rsidR="00BD6C58">
        <w:rPr>
          <w:color w:val="000000" w:themeColor="text1"/>
        </w:rPr>
        <w:t xml:space="preserve">. </w:t>
      </w:r>
    </w:p>
    <w:p w14:paraId="2098DF4A" w14:textId="242AC3BE" w:rsidR="00113B67" w:rsidRPr="00C438A7" w:rsidRDefault="00BD6C58" w:rsidP="00113B67">
      <w:pPr>
        <w:pStyle w:val="CEABullet-Level1"/>
      </w:pPr>
      <w:r>
        <w:rPr>
          <w:color w:val="000000" w:themeColor="text1"/>
        </w:rPr>
        <w:t>For IBIPs</w:t>
      </w:r>
      <w:r w:rsidR="00113B67" w:rsidRPr="00D422CA">
        <w:rPr>
          <w:color w:val="000000" w:themeColor="text1"/>
        </w:rPr>
        <w:t>,</w:t>
      </w:r>
      <w:r w:rsidR="00113B67">
        <w:rPr>
          <w:b/>
          <w:bCs/>
          <w:color w:val="92D050"/>
        </w:rPr>
        <w:t xml:space="preserve"> </w:t>
      </w:r>
      <w:r w:rsidR="00113B67">
        <w:t xml:space="preserve">the percentage of consumers who believe their products do not offer them value for money is the </w:t>
      </w:r>
      <w:r w:rsidR="00113B67" w:rsidRPr="00DC3F87">
        <w:rPr>
          <w:b/>
          <w:bCs/>
          <w:color w:val="FF0000"/>
        </w:rPr>
        <w:t>highest for IBIPs</w:t>
      </w:r>
      <w:r w:rsidR="00113B67">
        <w:rPr>
          <w:b/>
          <w:bCs/>
          <w:color w:val="FF0000"/>
        </w:rPr>
        <w:t xml:space="preserve"> (27</w:t>
      </w:r>
      <w:r w:rsidR="00113B67" w:rsidRPr="00BD6C58">
        <w:rPr>
          <w:b/>
          <w:bCs/>
          <w:color w:val="FF0000"/>
        </w:rPr>
        <w:t>%)</w:t>
      </w:r>
      <w:r w:rsidR="00E55E44">
        <w:rPr>
          <w:color w:val="auto"/>
        </w:rPr>
        <w:t xml:space="preserve">, </w:t>
      </w:r>
      <w:r w:rsidR="00E55E44" w:rsidRPr="00871D18">
        <w:rPr>
          <w:b/>
          <w:color w:val="00B050"/>
        </w:rPr>
        <w:t xml:space="preserve">while 66% of consumers believe their IBIP(s) </w:t>
      </w:r>
      <w:r w:rsidR="00DA35B1">
        <w:rPr>
          <w:b/>
          <w:color w:val="00B050"/>
        </w:rPr>
        <w:t>provide</w:t>
      </w:r>
      <w:r w:rsidR="00E55E44">
        <w:rPr>
          <w:b/>
          <w:color w:val="00B050"/>
        </w:rPr>
        <w:t xml:space="preserve"> them </w:t>
      </w:r>
      <w:r w:rsidR="00DA35B1">
        <w:rPr>
          <w:b/>
          <w:color w:val="00B050"/>
        </w:rPr>
        <w:t>with</w:t>
      </w:r>
      <w:r w:rsidR="00E55E44" w:rsidRPr="00871D18">
        <w:rPr>
          <w:b/>
          <w:color w:val="00B050"/>
        </w:rPr>
        <w:t xml:space="preserve"> good value for money.</w:t>
      </w:r>
      <w:r w:rsidR="003C3222" w:rsidRPr="00871D18">
        <w:rPr>
          <w:color w:val="00B050"/>
        </w:rPr>
        <w:t xml:space="preserve"> </w:t>
      </w:r>
    </w:p>
    <w:p w14:paraId="23BADCCC" w14:textId="4450F313" w:rsidR="00113B67" w:rsidRDefault="00113B67" w:rsidP="00113B67">
      <w:pPr>
        <w:pStyle w:val="CEABullet-Level1"/>
      </w:pPr>
      <w:r w:rsidRPr="007E6540">
        <w:rPr>
          <w:b/>
          <w:bCs/>
          <w:color w:val="FF0000"/>
        </w:rPr>
        <w:t xml:space="preserve">Unit-linked products are of high concern, </w:t>
      </w:r>
      <w:r w:rsidRPr="007A07B0">
        <w:rPr>
          <w:color w:val="000000" w:themeColor="text1"/>
          <w:lang w:val="en-US"/>
        </w:rPr>
        <w:t xml:space="preserve">with </w:t>
      </w:r>
      <w:r w:rsidRPr="007A07B0">
        <w:rPr>
          <w:color w:val="000000" w:themeColor="text1"/>
        </w:rPr>
        <w:t xml:space="preserve">an increase in their commission rates and a significant drop in returns, leading to a </w:t>
      </w:r>
      <w:r w:rsidRPr="008A3D7F">
        <w:rPr>
          <w:b/>
          <w:bCs/>
          <w:color w:val="FF0000"/>
        </w:rPr>
        <w:t>rise</w:t>
      </w:r>
      <w:r w:rsidRPr="007A07B0">
        <w:rPr>
          <w:color w:val="000000" w:themeColor="text1"/>
          <w:lang w:val="en-US"/>
        </w:rPr>
        <w:t xml:space="preserve"> (+69%)</w:t>
      </w:r>
      <w:r w:rsidRPr="007A07B0">
        <w:rPr>
          <w:color w:val="000000" w:themeColor="text1"/>
        </w:rPr>
        <w:t xml:space="preserve"> in related </w:t>
      </w:r>
      <w:r w:rsidRPr="008A3D7F">
        <w:rPr>
          <w:b/>
          <w:bCs/>
          <w:color w:val="FF0000"/>
        </w:rPr>
        <w:t>complaints</w:t>
      </w:r>
      <w:r>
        <w:rPr>
          <w:lang w:val="en-US"/>
        </w:rPr>
        <w:t>.</w:t>
      </w:r>
      <w:r w:rsidR="00B37F61">
        <w:t xml:space="preserve"> However, EIOPA admits that IBIPs-related complaints </w:t>
      </w:r>
      <w:r w:rsidR="0005299B">
        <w:t>are neglig</w:t>
      </w:r>
      <w:r w:rsidR="002E345D">
        <w:t>ible</w:t>
      </w:r>
      <w:r>
        <w:t>.</w:t>
      </w:r>
    </w:p>
    <w:p w14:paraId="55DFEE95" w14:textId="17A40A2C" w:rsidR="00331000" w:rsidRPr="00D422CA" w:rsidRDefault="00DC39AF" w:rsidP="003C3222">
      <w:pPr>
        <w:pStyle w:val="CEABullet-Level1"/>
      </w:pPr>
      <w:r w:rsidRPr="2F9E1F8C">
        <w:rPr>
          <w:color w:val="auto"/>
        </w:rPr>
        <w:t>EIOPA observed continued</w:t>
      </w:r>
      <w:r w:rsidR="00331000">
        <w:rPr>
          <w:color w:val="auto"/>
        </w:rPr>
        <w:t xml:space="preserve"> concerns with the quality of advice and </w:t>
      </w:r>
      <w:r w:rsidR="00331000" w:rsidRPr="00D422CA">
        <w:rPr>
          <w:b/>
          <w:color w:val="FF0000"/>
        </w:rPr>
        <w:t>possible conflicts of interests</w:t>
      </w:r>
      <w:r w:rsidR="00331000" w:rsidRPr="00D422CA">
        <w:rPr>
          <w:color w:val="FF0000"/>
        </w:rPr>
        <w:t xml:space="preserve"> </w:t>
      </w:r>
      <w:r w:rsidR="00331000">
        <w:rPr>
          <w:color w:val="auto"/>
        </w:rPr>
        <w:t xml:space="preserve">in the sale of IBIPs and in particular in the sale of unit-linked products. </w:t>
      </w:r>
    </w:p>
    <w:p w14:paraId="3BAE9EDF" w14:textId="197846CF" w:rsidR="003C3222" w:rsidRDefault="00113B67" w:rsidP="00D422CA">
      <w:pPr>
        <w:pStyle w:val="CEABullet-Level1"/>
      </w:pPr>
      <w:r w:rsidRPr="00836424">
        <w:rPr>
          <w:b/>
          <w:bCs/>
          <w:color w:val="FF0000"/>
        </w:rPr>
        <w:t>60%</w:t>
      </w:r>
      <w:r w:rsidRPr="00836424">
        <w:rPr>
          <w:color w:val="FF0000"/>
        </w:rPr>
        <w:t xml:space="preserve"> </w:t>
      </w:r>
      <w:r w:rsidRPr="007A07B0">
        <w:rPr>
          <w:color w:val="000000" w:themeColor="text1"/>
        </w:rPr>
        <w:t>of EU consumers find it</w:t>
      </w:r>
      <w:r w:rsidRPr="007A07B0">
        <w:rPr>
          <w:b/>
          <w:bCs/>
          <w:color w:val="000000" w:themeColor="text1"/>
        </w:rPr>
        <w:t xml:space="preserve"> </w:t>
      </w:r>
      <w:r>
        <w:rPr>
          <w:b/>
          <w:bCs/>
          <w:color w:val="FF0000"/>
        </w:rPr>
        <w:t xml:space="preserve">difficult </w:t>
      </w:r>
      <w:r w:rsidRPr="007A07B0">
        <w:rPr>
          <w:b/>
          <w:bCs/>
          <w:color w:val="FF0000"/>
        </w:rPr>
        <w:t>to get unbiased insurance advice</w:t>
      </w:r>
      <w:r>
        <w:rPr>
          <w:b/>
          <w:bCs/>
          <w:color w:val="FF0000"/>
        </w:rPr>
        <w:t xml:space="preserve"> </w:t>
      </w:r>
      <w:r w:rsidRPr="00D448AD">
        <w:rPr>
          <w:color w:val="auto"/>
        </w:rPr>
        <w:t xml:space="preserve">(which is a </w:t>
      </w:r>
      <w:r w:rsidRPr="00D422CA">
        <w:rPr>
          <w:b/>
          <w:bCs/>
          <w:color w:val="00B050"/>
        </w:rPr>
        <w:t>decrease from the 64%</w:t>
      </w:r>
      <w:r w:rsidRPr="00D422CA">
        <w:rPr>
          <w:color w:val="00B050"/>
        </w:rPr>
        <w:t xml:space="preserve"> </w:t>
      </w:r>
      <w:r w:rsidRPr="00D448AD">
        <w:rPr>
          <w:color w:val="auto"/>
        </w:rPr>
        <w:t>observed in 2022</w:t>
      </w:r>
      <w:r w:rsidR="002B6724">
        <w:rPr>
          <w:color w:val="auto"/>
        </w:rPr>
        <w:t xml:space="preserve">, but </w:t>
      </w:r>
      <w:r w:rsidR="00F34135">
        <w:rPr>
          <w:color w:val="auto"/>
        </w:rPr>
        <w:t xml:space="preserve">it is not clear </w:t>
      </w:r>
      <w:r w:rsidR="004E2E0A">
        <w:rPr>
          <w:color w:val="auto"/>
        </w:rPr>
        <w:t>if the sample and questions remain the same</w:t>
      </w:r>
      <w:r w:rsidRPr="00D448AD">
        <w:rPr>
          <w:color w:val="auto"/>
        </w:rPr>
        <w:t>)</w:t>
      </w:r>
      <w:r w:rsidRPr="007A07B0">
        <w:rPr>
          <w:color w:val="000000" w:themeColor="text1"/>
        </w:rPr>
        <w:t>, and</w:t>
      </w:r>
      <w:r w:rsidRPr="007A07B0">
        <w:rPr>
          <w:b/>
          <w:bCs/>
          <w:color w:val="000000" w:themeColor="text1"/>
        </w:rPr>
        <w:t xml:space="preserve"> </w:t>
      </w:r>
      <w:r w:rsidRPr="007A07B0">
        <w:rPr>
          <w:b/>
          <w:bCs/>
          <w:color w:val="FF0000"/>
        </w:rPr>
        <w:t>only 29% see transparency in commissions and fees</w:t>
      </w:r>
      <w:r w:rsidRPr="00AF3940">
        <w:t>.</w:t>
      </w:r>
      <w:r w:rsidR="00120973">
        <w:t xml:space="preserve"> However, </w:t>
      </w:r>
      <w:r w:rsidR="00D2605B">
        <w:t>consumers’ trust is not significantly higher in countries with a ban on inducements.</w:t>
      </w:r>
    </w:p>
    <w:p w14:paraId="0D69EB97" w14:textId="2CE72CCE" w:rsidR="00113B67" w:rsidRDefault="00113B67" w:rsidP="00113B67">
      <w:pPr>
        <w:pStyle w:val="CEABullet-Level2"/>
      </w:pPr>
      <w:r w:rsidRPr="00762738">
        <w:t xml:space="preserve">In 2024, </w:t>
      </w:r>
      <w:r w:rsidRPr="00D6793B">
        <w:rPr>
          <w:b/>
          <w:bCs/>
          <w:color w:val="FF0000"/>
        </w:rPr>
        <w:t xml:space="preserve">EIOPA intends to provide NCAs with value for money benchmarks </w:t>
      </w:r>
      <w:r w:rsidRPr="00762738">
        <w:t>based on its methodology from December 2023</w:t>
      </w:r>
      <w:r>
        <w:t>.</w:t>
      </w:r>
    </w:p>
    <w:p w14:paraId="337FA82B" w14:textId="19053C60" w:rsidR="00113B67" w:rsidRDefault="00113B67" w:rsidP="00113B67">
      <w:pPr>
        <w:pStyle w:val="CEABullet-Level2"/>
      </w:pPr>
      <w:r w:rsidRPr="00D6793B">
        <w:rPr>
          <w:b/>
          <w:bCs/>
          <w:color w:val="FFC000"/>
        </w:rPr>
        <w:t xml:space="preserve">NCAs are focusing on value for money in their </w:t>
      </w:r>
      <w:r w:rsidR="00D73DEE">
        <w:rPr>
          <w:b/>
          <w:bCs/>
          <w:color w:val="FFC000"/>
        </w:rPr>
        <w:t>follow-up</w:t>
      </w:r>
      <w:r w:rsidRPr="00D6793B">
        <w:rPr>
          <w:b/>
          <w:bCs/>
          <w:color w:val="FFC000"/>
        </w:rPr>
        <w:t xml:space="preserve"> bancassurance thematic review</w:t>
      </w:r>
      <w:r w:rsidRPr="003564DA">
        <w:t>.</w:t>
      </w:r>
    </w:p>
    <w:p w14:paraId="0C799ED8" w14:textId="77777777" w:rsidR="008E209D" w:rsidRDefault="008E209D" w:rsidP="008E209D"/>
    <w:p w14:paraId="0225A16A" w14:textId="5B69FF72" w:rsidR="008E209D" w:rsidRDefault="008E209D" w:rsidP="00D422CA">
      <w:pPr>
        <w:rPr>
          <w:sz w:val="17"/>
          <w:szCs w:val="17"/>
        </w:rPr>
      </w:pPr>
      <w:r w:rsidRPr="00D422CA">
        <w:rPr>
          <w:sz w:val="17"/>
          <w:szCs w:val="17"/>
          <w:u w:val="single"/>
        </w:rPr>
        <w:t>Secretariat’s remarks</w:t>
      </w:r>
      <w:r w:rsidRPr="00D422CA">
        <w:rPr>
          <w:sz w:val="17"/>
          <w:szCs w:val="17"/>
        </w:rPr>
        <w:t>:</w:t>
      </w:r>
    </w:p>
    <w:p w14:paraId="499175FB" w14:textId="77777777" w:rsidR="00C560F8" w:rsidRPr="00A22697" w:rsidRDefault="00C560F8" w:rsidP="00C560F8">
      <w:pPr>
        <w:pStyle w:val="CEABullet-Level1"/>
        <w:rPr>
          <w:color w:val="000000" w:themeColor="text1"/>
        </w:rPr>
      </w:pPr>
      <w:r w:rsidRPr="00A22697">
        <w:rPr>
          <w:color w:val="000000" w:themeColor="text1"/>
        </w:rPr>
        <w:t>Despite consumers finding value in their products, EIOPA's reports often highlight negative aspects, using selective cases to make EU-wide conclusions, and questionably asserting that products do not deliver value without detailed justification in their reports. This approach overlooks qualitative benefits of insurance products like financial guarantees and sustainability features, and critiques costs and complexities of IBIPs that are actually integral to consumer protection.</w:t>
      </w:r>
    </w:p>
    <w:p w14:paraId="0E780651" w14:textId="08C0ECFE" w:rsidR="009A3DA3" w:rsidRPr="00A22697" w:rsidRDefault="00C560F8" w:rsidP="00CF3386">
      <w:pPr>
        <w:pStyle w:val="CEABullet-Level1"/>
        <w:rPr>
          <w:color w:val="000000" w:themeColor="text1"/>
        </w:rPr>
      </w:pPr>
      <w:r w:rsidRPr="00A22697">
        <w:rPr>
          <w:color w:val="000000" w:themeColor="text1"/>
        </w:rPr>
        <w:t>EIOPA's narrow focus on the cost and performance of IBIPs fails to acknowledge the comprehensive benefits and protections offered to consumers, urging a more nuanced interpretation of Solvency II data that differentiates between types of commissions and the actual value provided by insurance products.</w:t>
      </w:r>
    </w:p>
    <w:p w14:paraId="0EBBFFDA" w14:textId="77777777" w:rsidR="00B2571D" w:rsidRPr="003B33A7" w:rsidRDefault="00B2571D" w:rsidP="003B33A7">
      <w:pPr>
        <w:pStyle w:val="CEABullet-Level1"/>
        <w:numPr>
          <w:ilvl w:val="0"/>
          <w:numId w:val="0"/>
        </w:numPr>
        <w:ind w:left="720"/>
      </w:pPr>
    </w:p>
    <w:p w14:paraId="52ED79E7" w14:textId="77777777" w:rsidR="00113B67" w:rsidRPr="00D422CA" w:rsidRDefault="00113B67" w:rsidP="00113B67">
      <w:pPr>
        <w:pStyle w:val="CEAStandardHeading"/>
        <w:rPr>
          <w:b/>
          <w:color w:val="auto"/>
          <w:sz w:val="18"/>
          <w:szCs w:val="18"/>
        </w:rPr>
      </w:pPr>
      <w:r w:rsidRPr="00D422CA">
        <w:rPr>
          <w:b/>
          <w:color w:val="auto"/>
          <w:sz w:val="18"/>
          <w:szCs w:val="18"/>
        </w:rPr>
        <w:t>Digital Distribution:</w:t>
      </w:r>
    </w:p>
    <w:p w14:paraId="7B6A760B" w14:textId="2C66B9EC" w:rsidR="00113B67" w:rsidRPr="00183BF9" w:rsidRDefault="00113B67" w:rsidP="00113B67">
      <w:pPr>
        <w:pStyle w:val="CEABullet-Level1"/>
      </w:pPr>
      <w:r w:rsidRPr="00D422CA">
        <w:rPr>
          <w:b/>
          <w:bCs/>
          <w:color w:val="00B050"/>
        </w:rPr>
        <w:t>Digital distribution in the insurance sector is increasing</w:t>
      </w:r>
      <w:r w:rsidRPr="00183BF9">
        <w:t>,</w:t>
      </w:r>
      <w:r>
        <w:t xml:space="preserve"> leading to faster consumer experience, informe</w:t>
      </w:r>
      <w:r w:rsidR="0002666F">
        <w:t>d</w:t>
      </w:r>
      <w:r>
        <w:t xml:space="preserve"> decision-making and lower consumer prices</w:t>
      </w:r>
      <w:r w:rsidRPr="00183BF9">
        <w:t>.</w:t>
      </w:r>
      <w:r w:rsidR="00961C51">
        <w:t xml:space="preserve"> At the same time, </w:t>
      </w:r>
      <w:r w:rsidR="00961C51">
        <w:rPr>
          <w:rStyle w:val="ui-provider"/>
        </w:rPr>
        <w:t>EIOPA notes that consumers prefer face-to-face advice when buying more sophisticated products such as IBIPs or household insurance with various options, while for less sophisticated products like travel insurance they prefer faster processes.</w:t>
      </w:r>
    </w:p>
    <w:p w14:paraId="278875CA" w14:textId="33E7B812" w:rsidR="00113B67" w:rsidRPr="00F5286F" w:rsidRDefault="00113B67" w:rsidP="00113B67">
      <w:pPr>
        <w:pStyle w:val="CEABullet-Level1"/>
      </w:pPr>
      <w:r w:rsidRPr="00D422CA">
        <w:rPr>
          <w:b/>
          <w:bCs/>
          <w:color w:val="00B050"/>
        </w:rPr>
        <w:t>25% of EU consumers have purchased insurance online</w:t>
      </w:r>
      <w:r w:rsidR="00C46413">
        <w:rPr>
          <w:b/>
          <w:bCs/>
          <w:color w:val="00B050"/>
        </w:rPr>
        <w:t xml:space="preserve"> </w:t>
      </w:r>
      <w:r w:rsidR="00C46413" w:rsidRPr="00D422CA">
        <w:rPr>
          <w:color w:val="auto"/>
        </w:rPr>
        <w:t>(fig 19)</w:t>
      </w:r>
      <w:r w:rsidRPr="00D422CA">
        <w:rPr>
          <w:color w:val="auto"/>
        </w:rPr>
        <w:t>.</w:t>
      </w:r>
      <w:r w:rsidRPr="00D422CA">
        <w:rPr>
          <w:b/>
          <w:color w:val="auto"/>
        </w:rPr>
        <w:t xml:space="preserve"> </w:t>
      </w:r>
    </w:p>
    <w:p w14:paraId="391B8446" w14:textId="77777777" w:rsidR="00113B67" w:rsidRPr="00183BF9" w:rsidRDefault="00113B67" w:rsidP="00113B67">
      <w:pPr>
        <w:pStyle w:val="CEABullet-Level1"/>
      </w:pPr>
      <w:r w:rsidRPr="00183BF9">
        <w:t xml:space="preserve">Digital distribution poses risks such as </w:t>
      </w:r>
      <w:r w:rsidRPr="00B66E92">
        <w:rPr>
          <w:b/>
          <w:bCs/>
          <w:color w:val="FF0000"/>
        </w:rPr>
        <w:t>poor accessibility of regulatory disclosures</w:t>
      </w:r>
      <w:r w:rsidRPr="00B66E92">
        <w:rPr>
          <w:color w:val="FF0000"/>
        </w:rPr>
        <w:t xml:space="preserve"> </w:t>
      </w:r>
      <w:r>
        <w:t>(22% of NCAs)</w:t>
      </w:r>
      <w:r w:rsidRPr="00183BF9">
        <w:t xml:space="preserve">, </w:t>
      </w:r>
      <w:r w:rsidRPr="00B66E92">
        <w:rPr>
          <w:b/>
          <w:bCs/>
          <w:color w:val="FF0000"/>
        </w:rPr>
        <w:t>dark patterns</w:t>
      </w:r>
      <w:r w:rsidRPr="00B66E92">
        <w:rPr>
          <w:color w:val="FF0000"/>
        </w:rPr>
        <w:t xml:space="preserve"> </w:t>
      </w:r>
      <w:r>
        <w:t xml:space="preserve">(9% of NCAs), </w:t>
      </w:r>
      <w:r w:rsidRPr="00B66E92">
        <w:rPr>
          <w:b/>
          <w:bCs/>
          <w:color w:val="FF0000"/>
        </w:rPr>
        <w:t>aggressive marketing techniques</w:t>
      </w:r>
      <w:r w:rsidRPr="00B66E92">
        <w:rPr>
          <w:color w:val="FF0000"/>
        </w:rPr>
        <w:t xml:space="preserve"> </w:t>
      </w:r>
      <w:r>
        <w:t>(26% of NCAs)</w:t>
      </w:r>
      <w:r w:rsidRPr="00183BF9">
        <w:t>,</w:t>
      </w:r>
      <w:r>
        <w:t xml:space="preserve"> </w:t>
      </w:r>
      <w:r w:rsidRPr="00867EB1">
        <w:rPr>
          <w:b/>
          <w:bCs/>
          <w:color w:val="FF0000"/>
        </w:rPr>
        <w:t>finfluencers, data privacy concerns</w:t>
      </w:r>
      <w:r w:rsidRPr="00867EB1">
        <w:rPr>
          <w:color w:val="FF0000"/>
        </w:rPr>
        <w:t xml:space="preserve"> </w:t>
      </w:r>
      <w:r>
        <w:t>(17% of NCAs), etc.</w:t>
      </w:r>
    </w:p>
    <w:p w14:paraId="6C4AD131" w14:textId="6F4F76F5" w:rsidR="00113B67" w:rsidRDefault="00113B67" w:rsidP="00113B67">
      <w:pPr>
        <w:pStyle w:val="CEABullet-Level1"/>
      </w:pPr>
      <w:r w:rsidRPr="0020183A">
        <w:rPr>
          <w:b/>
          <w:bCs/>
          <w:color w:val="FF0000"/>
          <w:lang w:val="en-US"/>
        </w:rPr>
        <w:t>Differential</w:t>
      </w:r>
      <w:r w:rsidRPr="0020183A">
        <w:rPr>
          <w:b/>
          <w:bCs/>
          <w:color w:val="FF0000"/>
        </w:rPr>
        <w:t xml:space="preserve"> pricing</w:t>
      </w:r>
      <w:r w:rsidRPr="0020183A">
        <w:rPr>
          <w:color w:val="FF0000"/>
          <w:lang w:val="en-US"/>
        </w:rPr>
        <w:t xml:space="preserve"> </w:t>
      </w:r>
      <w:r>
        <w:rPr>
          <w:lang w:val="en-US"/>
        </w:rPr>
        <w:t>has been observed by 4 NCAs</w:t>
      </w:r>
      <w:r w:rsidRPr="00F5286F">
        <w:t xml:space="preserve">, especially in digital sales of </w:t>
      </w:r>
      <w:proofErr w:type="spellStart"/>
      <w:r w:rsidRPr="00F5286F">
        <w:t>commodit</w:t>
      </w:r>
      <w:r w:rsidR="004F1953">
        <w:t>i</w:t>
      </w:r>
      <w:proofErr w:type="spellEnd"/>
      <w:r>
        <w:rPr>
          <w:lang w:val="en-US"/>
        </w:rPr>
        <w:t>s</w:t>
      </w:r>
      <w:r w:rsidRPr="00F5286F">
        <w:t xml:space="preserve">ed products </w:t>
      </w:r>
      <w:proofErr w:type="spellStart"/>
      <w:r w:rsidR="00184550">
        <w:t>eg</w:t>
      </w:r>
      <w:proofErr w:type="spellEnd"/>
      <w:r w:rsidR="00A727DC" w:rsidRPr="00F5286F">
        <w:t xml:space="preserve"> </w:t>
      </w:r>
      <w:r w:rsidRPr="00F5286F">
        <w:t>motor and household insurance</w:t>
      </w:r>
      <w:r>
        <w:rPr>
          <w:lang w:val="en-US"/>
        </w:rPr>
        <w:t xml:space="preserve">, </w:t>
      </w:r>
      <w:r w:rsidRPr="00F5286F">
        <w:t>lead</w:t>
      </w:r>
      <w:proofErr w:type="spellStart"/>
      <w:r>
        <w:rPr>
          <w:lang w:val="en-US"/>
        </w:rPr>
        <w:t>ing</w:t>
      </w:r>
      <w:proofErr w:type="spellEnd"/>
      <w:r w:rsidRPr="00F5286F">
        <w:t xml:space="preserve"> to varied premium offers and concerns about fairness in pricing.</w:t>
      </w:r>
    </w:p>
    <w:p w14:paraId="28224486" w14:textId="504C60DA" w:rsidR="00113B67" w:rsidRDefault="00113B67" w:rsidP="00871D18">
      <w:pPr>
        <w:pStyle w:val="CEABullet-Level1"/>
      </w:pPr>
      <w:r w:rsidRPr="00631286">
        <w:t xml:space="preserve">Multiple </w:t>
      </w:r>
      <w:r w:rsidRPr="002C57A1">
        <w:rPr>
          <w:b/>
          <w:bCs/>
          <w:color w:val="FFC000"/>
        </w:rPr>
        <w:t>NCAs are planning</w:t>
      </w:r>
      <w:r w:rsidRPr="002C57A1">
        <w:rPr>
          <w:color w:val="FFC000"/>
        </w:rPr>
        <w:t xml:space="preserve"> </w:t>
      </w:r>
      <w:r w:rsidRPr="00B01597">
        <w:rPr>
          <w:b/>
          <w:bCs/>
          <w:color w:val="FFC000"/>
        </w:rPr>
        <w:t xml:space="preserve">supervisory activities </w:t>
      </w:r>
      <w:r w:rsidRPr="00B01597">
        <w:rPr>
          <w:b/>
          <w:bCs/>
          <w:color w:val="FFC000"/>
          <w:lang w:val="en-US"/>
        </w:rPr>
        <w:t>related to</w:t>
      </w:r>
      <w:r w:rsidRPr="00B01597">
        <w:rPr>
          <w:b/>
          <w:bCs/>
          <w:color w:val="FFC000"/>
        </w:rPr>
        <w:t xml:space="preserve"> digital distribution</w:t>
      </w:r>
      <w:r w:rsidRPr="00631286">
        <w:t xml:space="preserve">, including </w:t>
      </w:r>
      <w:r>
        <w:rPr>
          <w:lang w:val="en-US"/>
        </w:rPr>
        <w:t xml:space="preserve">off-site </w:t>
      </w:r>
      <w:r w:rsidRPr="00631286">
        <w:t>inspections and thematic reviews</w:t>
      </w:r>
      <w:r>
        <w:t>.</w:t>
      </w:r>
    </w:p>
    <w:p w14:paraId="75AE0914" w14:textId="77777777" w:rsidR="00113B67" w:rsidRDefault="00113B67" w:rsidP="00871D18">
      <w:pPr>
        <w:pStyle w:val="CEABullet-Level1"/>
      </w:pPr>
      <w:r w:rsidRPr="002C57A1">
        <w:rPr>
          <w:b/>
          <w:bCs/>
          <w:color w:val="FFC000"/>
        </w:rPr>
        <w:t>10 NCAs will</w:t>
      </w:r>
      <w:r w:rsidRPr="002C57A1">
        <w:rPr>
          <w:color w:val="FFC000"/>
        </w:rPr>
        <w:t xml:space="preserve"> </w:t>
      </w:r>
      <w:r w:rsidRPr="00B01597">
        <w:rPr>
          <w:b/>
          <w:bCs/>
          <w:color w:val="FFC000"/>
        </w:rPr>
        <w:t>investigate differential pricing practice</w:t>
      </w:r>
      <w:r w:rsidRPr="00B01597">
        <w:rPr>
          <w:b/>
          <w:bCs/>
          <w:color w:val="FFC000"/>
          <w:lang w:val="en-US"/>
        </w:rPr>
        <w:t>s</w:t>
      </w:r>
      <w:r w:rsidRPr="00631286">
        <w:t>.</w:t>
      </w:r>
    </w:p>
    <w:p w14:paraId="3B7810E0" w14:textId="77777777" w:rsidR="00FD3613" w:rsidRDefault="00FD3613" w:rsidP="00FD3613"/>
    <w:p w14:paraId="2C274024" w14:textId="08298E0C" w:rsidR="00FD3613" w:rsidRDefault="00FD3613" w:rsidP="00D422CA">
      <w:pPr>
        <w:rPr>
          <w:sz w:val="17"/>
          <w:szCs w:val="17"/>
        </w:rPr>
      </w:pPr>
      <w:r w:rsidRPr="00D422CA">
        <w:rPr>
          <w:sz w:val="17"/>
          <w:szCs w:val="17"/>
          <w:u w:val="single"/>
        </w:rPr>
        <w:t>Secretariat’s remarks</w:t>
      </w:r>
      <w:r w:rsidRPr="00D422CA">
        <w:rPr>
          <w:sz w:val="17"/>
          <w:szCs w:val="17"/>
        </w:rPr>
        <w:t>:</w:t>
      </w:r>
    </w:p>
    <w:p w14:paraId="1B986919" w14:textId="7F3B29A4" w:rsidR="00E343C8" w:rsidRPr="00E343C8" w:rsidRDefault="006C2020" w:rsidP="003B33A7">
      <w:pPr>
        <w:pStyle w:val="CEABullet-Level1"/>
      </w:pPr>
      <w:r w:rsidRPr="003B33A7">
        <w:t xml:space="preserve">It is positive that EIOPA </w:t>
      </w:r>
      <w:r w:rsidR="00620CAF" w:rsidRPr="003B33A7">
        <w:t xml:space="preserve">adopts an overall balanced approach on the use of digital distribution, </w:t>
      </w:r>
      <w:r w:rsidR="00FB238F" w:rsidRPr="003B33A7">
        <w:t>re</w:t>
      </w:r>
      <w:r w:rsidR="00A12A89" w:rsidRPr="003B33A7">
        <w:t>cognising that consumers might prefer a hybrid approach.</w:t>
      </w:r>
      <w:r w:rsidR="00FB238F" w:rsidRPr="003B33A7">
        <w:t xml:space="preserve"> </w:t>
      </w:r>
    </w:p>
    <w:p w14:paraId="309F3F99" w14:textId="77777777" w:rsidR="00113B67" w:rsidRPr="00D73AAE" w:rsidRDefault="00113B67" w:rsidP="00113B67"/>
    <w:p w14:paraId="0D2D403E" w14:textId="77777777" w:rsidR="00E503E2" w:rsidRDefault="009C3D40" w:rsidP="009C3D40">
      <w:pPr>
        <w:pStyle w:val="CEAStandardHeading"/>
        <w:rPr>
          <w:sz w:val="19"/>
          <w:szCs w:val="19"/>
        </w:rPr>
      </w:pPr>
      <w:r>
        <w:rPr>
          <w:sz w:val="19"/>
          <w:szCs w:val="19"/>
        </w:rPr>
        <w:lastRenderedPageBreak/>
        <w:t xml:space="preserve">Development </w:t>
      </w:r>
      <w:r w:rsidR="00FC0AAA">
        <w:rPr>
          <w:sz w:val="19"/>
          <w:szCs w:val="19"/>
        </w:rPr>
        <w:t>and Recurring Trends</w:t>
      </w:r>
    </w:p>
    <w:p w14:paraId="4AA0C14C" w14:textId="370447F0" w:rsidR="009C3D40" w:rsidRPr="00DC402D" w:rsidRDefault="009C3D40" w:rsidP="009C3D40">
      <w:pPr>
        <w:pStyle w:val="CEAStandardHeading"/>
        <w:rPr>
          <w:b/>
          <w:bCs/>
          <w:color w:val="auto"/>
          <w:sz w:val="18"/>
          <w:szCs w:val="18"/>
        </w:rPr>
      </w:pPr>
      <w:r w:rsidRPr="00DC402D">
        <w:rPr>
          <w:b/>
          <w:bCs/>
          <w:color w:val="auto"/>
          <w:sz w:val="18"/>
          <w:szCs w:val="18"/>
        </w:rPr>
        <w:t>Access to Insurance and Pensions:</w:t>
      </w:r>
    </w:p>
    <w:p w14:paraId="14244B17" w14:textId="77777777" w:rsidR="009C3D40" w:rsidRDefault="009C3D40" w:rsidP="009C3D40">
      <w:pPr>
        <w:pStyle w:val="CEABullet-Level1"/>
      </w:pPr>
      <w:r w:rsidRPr="00506D5E">
        <w:rPr>
          <w:b/>
          <w:bCs/>
          <w:color w:val="FF0000"/>
        </w:rPr>
        <w:t>While 25% of EU consumers lack any type of savings products</w:t>
      </w:r>
      <w:r>
        <w:t xml:space="preserve">, </w:t>
      </w:r>
      <w:r w:rsidRPr="00506D5E">
        <w:rPr>
          <w:b/>
          <w:bCs/>
          <w:color w:val="00B050"/>
        </w:rPr>
        <w:t>21% own an investment/savings product from an insurer</w:t>
      </w:r>
      <w:r w:rsidRPr="00C30AF4">
        <w:t xml:space="preserve">. </w:t>
      </w:r>
    </w:p>
    <w:p w14:paraId="4F6179F6" w14:textId="60E944CD" w:rsidR="009C3D40" w:rsidRDefault="009C3D40" w:rsidP="009C3D40">
      <w:pPr>
        <w:pStyle w:val="CEABullet-Level1"/>
      </w:pPr>
      <w:r w:rsidRPr="00506D5E">
        <w:rPr>
          <w:b/>
          <w:bCs/>
          <w:color w:val="FFC000"/>
        </w:rPr>
        <w:t>Only 9% of consumers do not own any non-life insurance</w:t>
      </w:r>
      <w:r w:rsidRPr="00172486">
        <w:t xml:space="preserve">, </w:t>
      </w:r>
      <w:r w:rsidR="00D3334C">
        <w:t xml:space="preserve">a majority </w:t>
      </w:r>
      <w:r w:rsidR="005E62EA">
        <w:t>holds</w:t>
      </w:r>
      <w:r w:rsidRPr="00172486">
        <w:t xml:space="preserve"> motor </w:t>
      </w:r>
      <w:r w:rsidR="005E62EA">
        <w:t xml:space="preserve">insurance </w:t>
      </w:r>
      <w:r w:rsidRPr="00172486">
        <w:t>(60%) and household insurance (65%).</w:t>
      </w:r>
    </w:p>
    <w:p w14:paraId="6990AC94" w14:textId="77777777" w:rsidR="009C3D40" w:rsidRPr="000D6157" w:rsidRDefault="009C3D40" w:rsidP="009C3D40">
      <w:pPr>
        <w:pStyle w:val="CEABullet-Level1"/>
      </w:pPr>
      <w:r>
        <w:t xml:space="preserve">There has been an </w:t>
      </w:r>
      <w:r w:rsidRPr="00506D5E">
        <w:rPr>
          <w:b/>
          <w:bCs/>
          <w:color w:val="00B050"/>
        </w:rPr>
        <w:t>increase in the ownership of occupational pension schemes (23%), health insurance (6%) and travel insurance (5%).</w:t>
      </w:r>
    </w:p>
    <w:p w14:paraId="6E399E47" w14:textId="77777777" w:rsidR="009C3D40" w:rsidRDefault="009C3D40" w:rsidP="009C3D40">
      <w:pPr>
        <w:pStyle w:val="CEABullet-Level1"/>
      </w:pPr>
      <w:r w:rsidRPr="000D6157">
        <w:t>Only 38% of EU consumers trust pension funds, less than insurers (45%) and banks</w:t>
      </w:r>
      <w:r>
        <w:t xml:space="preserve"> distributing insurance</w:t>
      </w:r>
      <w:r w:rsidRPr="000D6157">
        <w:t xml:space="preserve"> (44%).</w:t>
      </w:r>
    </w:p>
    <w:p w14:paraId="0982E753" w14:textId="77777777" w:rsidR="009C3D40" w:rsidRDefault="009C3D40" w:rsidP="00113B67">
      <w:pPr>
        <w:pStyle w:val="CEAStandardHeading"/>
        <w:rPr>
          <w:sz w:val="19"/>
          <w:szCs w:val="19"/>
        </w:rPr>
      </w:pPr>
    </w:p>
    <w:p w14:paraId="3C54BB2B" w14:textId="5EE4B145" w:rsidR="002F1F42" w:rsidRPr="002664D8" w:rsidRDefault="00C87767" w:rsidP="00C87767">
      <w:pPr>
        <w:rPr>
          <w:sz w:val="17"/>
          <w:szCs w:val="17"/>
        </w:rPr>
      </w:pPr>
      <w:r w:rsidRPr="00D422CA">
        <w:rPr>
          <w:sz w:val="17"/>
          <w:szCs w:val="17"/>
          <w:u w:val="single"/>
        </w:rPr>
        <w:t>Secretariat’s remarks</w:t>
      </w:r>
      <w:r w:rsidRPr="00D422CA">
        <w:rPr>
          <w:sz w:val="17"/>
          <w:szCs w:val="17"/>
        </w:rPr>
        <w:t>:</w:t>
      </w:r>
    </w:p>
    <w:p w14:paraId="2DDE67C3" w14:textId="77777777" w:rsidR="002F1F42" w:rsidRDefault="002F1F42" w:rsidP="002F1F42">
      <w:pPr>
        <w:pStyle w:val="CEABullet-Level1"/>
      </w:pPr>
      <w:r w:rsidRPr="00FA1435">
        <w:t xml:space="preserve">A 2023 survey by Insurance Europe indicates a significant interest in retirement savings among Europeans, with 39% not saving but 58% of these interested, particularly if more information were available, underscoring the need for enhanced financial literacy and advice. </w:t>
      </w:r>
    </w:p>
    <w:p w14:paraId="483F78BC" w14:textId="3697E098" w:rsidR="002F1F42" w:rsidRDefault="002F1F42" w:rsidP="002F1F42">
      <w:pPr>
        <w:pStyle w:val="CEABullet-Level1"/>
      </w:pPr>
      <w:r w:rsidRPr="00FA1435">
        <w:t>Discussions around increasing retirement savings include considering auto-enrolment, with an emphasis on tailoring to national contexts, and improving the clarity and relevance of information provided to consumers, moving away from less valued benefit projections.</w:t>
      </w:r>
    </w:p>
    <w:p w14:paraId="6204A296" w14:textId="77777777" w:rsidR="0063061C" w:rsidRDefault="0063061C" w:rsidP="0063061C">
      <w:pPr>
        <w:pStyle w:val="CEABullet-Level1"/>
        <w:numPr>
          <w:ilvl w:val="0"/>
          <w:numId w:val="0"/>
        </w:numPr>
        <w:ind w:left="720"/>
      </w:pPr>
    </w:p>
    <w:p w14:paraId="6857A9D2" w14:textId="141F22B3" w:rsidR="00113B67" w:rsidRPr="00DC402D" w:rsidRDefault="00113B67" w:rsidP="00113B67">
      <w:pPr>
        <w:pStyle w:val="CEAStandardHeading"/>
        <w:rPr>
          <w:b/>
          <w:color w:val="auto"/>
          <w:sz w:val="18"/>
          <w:szCs w:val="18"/>
        </w:rPr>
      </w:pPr>
      <w:r w:rsidRPr="00DC402D">
        <w:rPr>
          <w:b/>
          <w:color w:val="auto"/>
          <w:sz w:val="18"/>
          <w:szCs w:val="18"/>
        </w:rPr>
        <w:t xml:space="preserve">Transparency and Awareness: </w:t>
      </w:r>
    </w:p>
    <w:p w14:paraId="061AC3F2" w14:textId="77777777" w:rsidR="00113B67" w:rsidRDefault="00113B67" w:rsidP="00113B67">
      <w:pPr>
        <w:pStyle w:val="CEABullet-Level1"/>
      </w:pPr>
      <w:r>
        <w:t xml:space="preserve">14 out of 20 NCAs observed a </w:t>
      </w:r>
      <w:r w:rsidRPr="00DC402D">
        <w:rPr>
          <w:b/>
          <w:bCs/>
          <w:color w:val="00B050"/>
        </w:rPr>
        <w:t>general improvement in pension disclosures</w:t>
      </w:r>
      <w:r w:rsidRPr="00DC402D">
        <w:rPr>
          <w:color w:val="00B050"/>
        </w:rPr>
        <w:t xml:space="preserve"> </w:t>
      </w:r>
      <w:r>
        <w:t>with clearer information, largely due to digitalisation.</w:t>
      </w:r>
    </w:p>
    <w:p w14:paraId="4BDBC88C" w14:textId="77777777" w:rsidR="00113B67" w:rsidRPr="00351AEE" w:rsidRDefault="00113B67" w:rsidP="00113B67">
      <w:pPr>
        <w:pStyle w:val="CEABullet-Level1"/>
      </w:pPr>
      <w:r w:rsidRPr="00DC402D">
        <w:rPr>
          <w:b/>
          <w:bCs/>
          <w:color w:val="00B050"/>
        </w:rPr>
        <w:t>Complaints</w:t>
      </w:r>
      <w:r w:rsidRPr="00DC402D">
        <w:rPr>
          <w:color w:val="00B050"/>
        </w:rPr>
        <w:t xml:space="preserve"> </w:t>
      </w:r>
      <w:r>
        <w:t xml:space="preserve">related to transparency and costs and charges have </w:t>
      </w:r>
      <w:r w:rsidRPr="00DC402D">
        <w:rPr>
          <w:b/>
          <w:bCs/>
          <w:color w:val="00B050"/>
        </w:rPr>
        <w:t>decreased</w:t>
      </w:r>
      <w:r w:rsidRPr="00DC402D">
        <w:rPr>
          <w:b/>
          <w:bCs/>
          <w:color w:val="auto"/>
        </w:rPr>
        <w:t>.</w:t>
      </w:r>
    </w:p>
    <w:p w14:paraId="6C243AAD" w14:textId="2CC3D6D2" w:rsidR="00113B67" w:rsidRPr="00DC402D" w:rsidRDefault="00113B67" w:rsidP="00113B67">
      <w:pPr>
        <w:pStyle w:val="CEABullet-Level1"/>
        <w:rPr>
          <w:b/>
          <w:bCs/>
          <w:color w:val="00B050"/>
        </w:rPr>
      </w:pPr>
      <w:r w:rsidRPr="00DC402D">
        <w:rPr>
          <w:b/>
          <w:bCs/>
          <w:color w:val="00B050"/>
        </w:rPr>
        <w:t>Rise in consumers' pension knowledge</w:t>
      </w:r>
      <w:r w:rsidRPr="00DC402D">
        <w:rPr>
          <w:b/>
          <w:bCs/>
          <w:color w:val="00B050"/>
          <w:lang w:val="en-US"/>
        </w:rPr>
        <w:t xml:space="preserve"> (50% of NCAs)</w:t>
      </w:r>
      <w:r w:rsidRPr="00DC402D">
        <w:rPr>
          <w:b/>
          <w:bCs/>
          <w:color w:val="00B050"/>
        </w:rPr>
        <w:t xml:space="preserve"> and interest in private pension products</w:t>
      </w:r>
      <w:r w:rsidRPr="00DC402D">
        <w:rPr>
          <w:b/>
          <w:bCs/>
          <w:color w:val="00B050"/>
          <w:lang w:val="en-US"/>
        </w:rPr>
        <w:t>.</w:t>
      </w:r>
    </w:p>
    <w:p w14:paraId="03F129EC" w14:textId="77777777" w:rsidR="00113B67" w:rsidRPr="00C5304F" w:rsidRDefault="00113B67" w:rsidP="00871D18">
      <w:pPr>
        <w:pStyle w:val="CEABullet-Level1"/>
      </w:pPr>
      <w:r>
        <w:t xml:space="preserve">EIOPA will </w:t>
      </w:r>
      <w:r w:rsidRPr="00B44066">
        <w:rPr>
          <w:b/>
          <w:bCs/>
          <w:color w:val="FFC000"/>
        </w:rPr>
        <w:t>continue to monitor pension disclosures and transparency</w:t>
      </w:r>
      <w:r>
        <w:t>.</w:t>
      </w:r>
    </w:p>
    <w:p w14:paraId="55E1F3BD" w14:textId="77777777" w:rsidR="00113B67" w:rsidRDefault="00113B67" w:rsidP="00113B67">
      <w:pPr>
        <w:pStyle w:val="CEABullet-Level1"/>
        <w:numPr>
          <w:ilvl w:val="0"/>
          <w:numId w:val="0"/>
        </w:numPr>
        <w:ind w:left="720"/>
      </w:pPr>
    </w:p>
    <w:p w14:paraId="58506B8E" w14:textId="77777777" w:rsidR="00113B67" w:rsidRPr="00DC402D" w:rsidRDefault="00113B67" w:rsidP="00113B67">
      <w:pPr>
        <w:pStyle w:val="CEAStandardHeading"/>
        <w:rPr>
          <w:b/>
          <w:color w:val="auto"/>
          <w:sz w:val="18"/>
          <w:szCs w:val="18"/>
        </w:rPr>
      </w:pPr>
      <w:r w:rsidRPr="00DC402D">
        <w:rPr>
          <w:b/>
          <w:color w:val="auto"/>
          <w:sz w:val="18"/>
          <w:szCs w:val="18"/>
        </w:rPr>
        <w:t xml:space="preserve">Sustainability Claims: </w:t>
      </w:r>
    </w:p>
    <w:p w14:paraId="203B14E2" w14:textId="77777777" w:rsidR="00113B67" w:rsidRPr="0078582E" w:rsidRDefault="00113B67" w:rsidP="00113B67">
      <w:pPr>
        <w:pStyle w:val="CEABullet-Level1"/>
      </w:pPr>
      <w:r w:rsidRPr="00DC402D">
        <w:rPr>
          <w:b/>
          <w:bCs/>
          <w:color w:val="00B050"/>
        </w:rPr>
        <w:t>Awareness of sustainable products</w:t>
      </w:r>
      <w:r w:rsidRPr="00DC402D">
        <w:rPr>
          <w:b/>
          <w:bCs/>
          <w:color w:val="00B050"/>
          <w:lang w:val="en-US"/>
        </w:rPr>
        <w:t xml:space="preserve"> and features (32%), as well their availability, has increased</w:t>
      </w:r>
      <w:r w:rsidRPr="00C30AF4">
        <w:t xml:space="preserve">. </w:t>
      </w:r>
    </w:p>
    <w:p w14:paraId="159CE3F7" w14:textId="0747FD5F" w:rsidR="00113B67" w:rsidRPr="00AD0D39" w:rsidRDefault="00113B67" w:rsidP="00113B67">
      <w:pPr>
        <w:pStyle w:val="CEABullet-Level1"/>
      </w:pPr>
      <w:r w:rsidRPr="00C30AF4">
        <w:rPr>
          <w:b/>
          <w:bCs/>
          <w:color w:val="FF0000"/>
        </w:rPr>
        <w:t xml:space="preserve">51% of consumers are </w:t>
      </w:r>
      <w:r w:rsidR="001068D6" w:rsidRPr="00C30AF4">
        <w:rPr>
          <w:b/>
          <w:bCs/>
          <w:color w:val="FF0000"/>
        </w:rPr>
        <w:t>sceptical</w:t>
      </w:r>
      <w:r w:rsidRPr="00C30AF4">
        <w:rPr>
          <w:b/>
          <w:bCs/>
          <w:color w:val="FF0000"/>
        </w:rPr>
        <w:t xml:space="preserve"> of sustainability claims</w:t>
      </w:r>
      <w:r w:rsidRPr="00BC63C4">
        <w:rPr>
          <w:b/>
          <w:bCs/>
          <w:color w:val="FF0000"/>
          <w:lang w:val="en-US"/>
        </w:rPr>
        <w:t xml:space="preserve"> </w:t>
      </w:r>
      <w:r w:rsidRPr="00964742">
        <w:rPr>
          <w:b/>
          <w:bCs/>
          <w:color w:val="FFC000"/>
        </w:rPr>
        <w:t>and 44% find sustainability-related documentation complex</w:t>
      </w:r>
      <w:r w:rsidRPr="00C30AF4">
        <w:t>.</w:t>
      </w:r>
    </w:p>
    <w:p w14:paraId="492CA397" w14:textId="0D7E0DEA" w:rsidR="00113B67" w:rsidRDefault="00113B67" w:rsidP="00113B67">
      <w:pPr>
        <w:pStyle w:val="CEABullet-Level1"/>
      </w:pPr>
      <w:r>
        <w:t xml:space="preserve">There is an </w:t>
      </w:r>
      <w:r w:rsidRPr="00AD0D39">
        <w:rPr>
          <w:b/>
          <w:bCs/>
          <w:color w:val="FF0000"/>
        </w:rPr>
        <w:t>increase in misleading sustainability claims</w:t>
      </w:r>
      <w:r>
        <w:t xml:space="preserve">, heightening the risk of </w:t>
      </w:r>
      <w:r w:rsidRPr="00AD0D39">
        <w:rPr>
          <w:color w:val="000000" w:themeColor="text1"/>
        </w:rPr>
        <w:t>greenwashing</w:t>
      </w:r>
      <w:r>
        <w:t xml:space="preserve"> and eroding consumer trust.</w:t>
      </w:r>
    </w:p>
    <w:p w14:paraId="74931DA3" w14:textId="6188B67C" w:rsidR="00113B67" w:rsidRDefault="00113B67" w:rsidP="00871D18">
      <w:pPr>
        <w:pStyle w:val="CEABullet-Level1"/>
      </w:pPr>
      <w:r>
        <w:t xml:space="preserve">EIOPA will </w:t>
      </w:r>
      <w:r w:rsidRPr="009562F6">
        <w:rPr>
          <w:b/>
          <w:bCs/>
          <w:color w:val="FFC000"/>
        </w:rPr>
        <w:t>continue to monitor and mitigate misleading sustainability claims</w:t>
      </w:r>
      <w:r>
        <w:t>.</w:t>
      </w:r>
    </w:p>
    <w:p w14:paraId="3B512E6C" w14:textId="458D1B08" w:rsidR="00113B67" w:rsidRPr="00332ACE" w:rsidRDefault="00113B67" w:rsidP="00871D18">
      <w:pPr>
        <w:pStyle w:val="CEABullet-Level1"/>
      </w:pPr>
      <w:r>
        <w:t xml:space="preserve">EIOPA will </w:t>
      </w:r>
      <w:r w:rsidRPr="009562F6">
        <w:rPr>
          <w:b/>
          <w:bCs/>
          <w:color w:val="FFC000"/>
        </w:rPr>
        <w:t>publish its final report on greenwashing</w:t>
      </w:r>
      <w:r w:rsidRPr="009562F6">
        <w:rPr>
          <w:color w:val="FFC000"/>
        </w:rPr>
        <w:t xml:space="preserve"> </w:t>
      </w:r>
      <w:r>
        <w:t>in June 2024</w:t>
      </w:r>
      <w:r w:rsidR="005D74F5">
        <w:t>.</w:t>
      </w:r>
    </w:p>
    <w:p w14:paraId="346EBF60" w14:textId="77777777" w:rsidR="00113B67" w:rsidRDefault="00113B67" w:rsidP="00113B67">
      <w:pPr>
        <w:pStyle w:val="CEAStandardHeading"/>
        <w:rPr>
          <w:sz w:val="19"/>
          <w:szCs w:val="19"/>
        </w:rPr>
      </w:pPr>
    </w:p>
    <w:p w14:paraId="17B08D0F" w14:textId="77777777" w:rsidR="00113B67" w:rsidRPr="00DC402D" w:rsidRDefault="00113B67" w:rsidP="00113B67">
      <w:pPr>
        <w:pStyle w:val="CEAStandardHeading"/>
        <w:rPr>
          <w:b/>
          <w:color w:val="auto"/>
          <w:sz w:val="18"/>
          <w:szCs w:val="18"/>
        </w:rPr>
      </w:pPr>
      <w:r w:rsidRPr="00DC402D">
        <w:rPr>
          <w:b/>
          <w:color w:val="auto"/>
          <w:sz w:val="18"/>
          <w:szCs w:val="18"/>
        </w:rPr>
        <w:t xml:space="preserve">Advice Process: </w:t>
      </w:r>
    </w:p>
    <w:p w14:paraId="6B20415A" w14:textId="77777777" w:rsidR="00113B67" w:rsidRPr="00FB31BD" w:rsidRDefault="00113B67" w:rsidP="00113B67">
      <w:pPr>
        <w:pStyle w:val="CEABullet-Level1"/>
      </w:pPr>
      <w:r w:rsidRPr="00DC402D">
        <w:rPr>
          <w:b/>
          <w:bCs/>
          <w:color w:val="00B050"/>
        </w:rPr>
        <w:t xml:space="preserve">Complaints related to insurance advice </w:t>
      </w:r>
      <w:r w:rsidRPr="00DC402D">
        <w:rPr>
          <w:b/>
          <w:bCs/>
          <w:color w:val="00B050"/>
          <w:lang w:val="en-US"/>
        </w:rPr>
        <w:t xml:space="preserve">and distribution </w:t>
      </w:r>
      <w:r w:rsidRPr="00DC402D">
        <w:rPr>
          <w:b/>
          <w:bCs/>
          <w:color w:val="00B050"/>
        </w:rPr>
        <w:t>decreased</w:t>
      </w:r>
      <w:r w:rsidRPr="00C30AF4">
        <w:t xml:space="preserve">. </w:t>
      </w:r>
    </w:p>
    <w:p w14:paraId="4F780FC8" w14:textId="7DA2537C" w:rsidR="00113B67" w:rsidRPr="00AE0610" w:rsidRDefault="00113B67" w:rsidP="00113B67">
      <w:pPr>
        <w:pStyle w:val="CEABullet-Level1"/>
      </w:pPr>
      <w:r w:rsidRPr="00C30AF4">
        <w:rPr>
          <w:b/>
          <w:bCs/>
          <w:color w:val="FF0000"/>
        </w:rPr>
        <w:t xml:space="preserve">Mis-selling </w:t>
      </w:r>
      <w:r>
        <w:rPr>
          <w:b/>
          <w:bCs/>
          <w:color w:val="FF0000"/>
          <w:lang w:val="en-US"/>
        </w:rPr>
        <w:t>issues</w:t>
      </w:r>
      <w:r w:rsidRPr="00C30AF4">
        <w:rPr>
          <w:b/>
          <w:bCs/>
          <w:color w:val="FF0000"/>
        </w:rPr>
        <w:t xml:space="preserve"> persist</w:t>
      </w:r>
      <w:r w:rsidRPr="00C30AF4">
        <w:t xml:space="preserve">, including </w:t>
      </w:r>
      <w:r>
        <w:rPr>
          <w:lang w:val="en-US"/>
        </w:rPr>
        <w:t xml:space="preserve">a lack of </w:t>
      </w:r>
      <w:r w:rsidRPr="00335D10">
        <w:t xml:space="preserve">demands and needs </w:t>
      </w:r>
      <w:r>
        <w:rPr>
          <w:lang w:val="en-US"/>
        </w:rPr>
        <w:t>test</w:t>
      </w:r>
      <w:r w:rsidRPr="00335D10">
        <w:t>, poor consumer information, conflicts of interest, and insufficient advisor training.</w:t>
      </w:r>
    </w:p>
    <w:p w14:paraId="4C024FAF" w14:textId="77777777" w:rsidR="00113B67" w:rsidRPr="00AE0610" w:rsidRDefault="00113B67" w:rsidP="00113B67">
      <w:pPr>
        <w:pStyle w:val="CEABullet-Level1"/>
        <w:numPr>
          <w:ilvl w:val="0"/>
          <w:numId w:val="0"/>
        </w:numPr>
        <w:ind w:left="720"/>
      </w:pPr>
    </w:p>
    <w:p w14:paraId="0FB7D939" w14:textId="77777777" w:rsidR="00113B67" w:rsidRPr="00DC402D" w:rsidRDefault="00113B67" w:rsidP="00113B67">
      <w:pPr>
        <w:pStyle w:val="CEAStandardHeading"/>
        <w:rPr>
          <w:b/>
          <w:color w:val="auto"/>
          <w:sz w:val="18"/>
          <w:szCs w:val="18"/>
        </w:rPr>
      </w:pPr>
      <w:proofErr w:type="spellStart"/>
      <w:r w:rsidRPr="00DC402D">
        <w:rPr>
          <w:b/>
          <w:color w:val="auto"/>
          <w:sz w:val="18"/>
          <w:szCs w:val="18"/>
        </w:rPr>
        <w:t>NatCat</w:t>
      </w:r>
      <w:proofErr w:type="spellEnd"/>
      <w:r w:rsidRPr="00DC402D">
        <w:rPr>
          <w:b/>
          <w:color w:val="auto"/>
          <w:sz w:val="18"/>
          <w:szCs w:val="18"/>
        </w:rPr>
        <w:t xml:space="preserve"> Protection Gap:</w:t>
      </w:r>
    </w:p>
    <w:p w14:paraId="1B1521B9" w14:textId="77777777" w:rsidR="00113B67" w:rsidRDefault="00113B67" w:rsidP="00113B67">
      <w:pPr>
        <w:pStyle w:val="CEABullet-Level1"/>
      </w:pPr>
      <w:proofErr w:type="spellStart"/>
      <w:r w:rsidRPr="000D7F27">
        <w:rPr>
          <w:b/>
          <w:bCs/>
          <w:color w:val="FF0000"/>
        </w:rPr>
        <w:t>NatCat</w:t>
      </w:r>
      <w:proofErr w:type="spellEnd"/>
      <w:r w:rsidRPr="000D7F27">
        <w:rPr>
          <w:b/>
          <w:bCs/>
          <w:color w:val="FF0000"/>
        </w:rPr>
        <w:t xml:space="preserve"> protection gap persist</w:t>
      </w:r>
      <w:r>
        <w:rPr>
          <w:b/>
          <w:bCs/>
          <w:color w:val="FF0000"/>
        </w:rPr>
        <w:t>s</w:t>
      </w:r>
      <w:r w:rsidRPr="00C30AF4">
        <w:t>, with issues in clarity</w:t>
      </w:r>
      <w:r>
        <w:t xml:space="preserve"> of terms and conditions</w:t>
      </w:r>
      <w:r w:rsidRPr="00C30AF4">
        <w:t xml:space="preserve">, exclusions, and </w:t>
      </w:r>
      <w:r>
        <w:t xml:space="preserve">slower </w:t>
      </w:r>
      <w:r w:rsidRPr="00C30AF4">
        <w:t xml:space="preserve">claims handling. </w:t>
      </w:r>
    </w:p>
    <w:p w14:paraId="7421CC00" w14:textId="7539607E" w:rsidR="00113B67" w:rsidRDefault="00113B67" w:rsidP="00113B67">
      <w:pPr>
        <w:pStyle w:val="CEABullet-Level1"/>
      </w:pPr>
      <w:r>
        <w:t xml:space="preserve">While the </w:t>
      </w:r>
      <w:r w:rsidRPr="008415D9">
        <w:rPr>
          <w:b/>
          <w:bCs/>
          <w:color w:val="FF0000"/>
        </w:rPr>
        <w:t>number of total claims increased</w:t>
      </w:r>
      <w:r w:rsidRPr="00C30AF4">
        <w:t xml:space="preserve"> </w:t>
      </w:r>
      <w:r w:rsidRPr="007004C0">
        <w:rPr>
          <w:b/>
          <w:bCs/>
          <w:color w:val="FF0000"/>
        </w:rPr>
        <w:t>by 87%</w:t>
      </w:r>
      <w:r>
        <w:t xml:space="preserve">, the </w:t>
      </w:r>
      <w:r w:rsidRPr="00DC402D">
        <w:rPr>
          <w:b/>
          <w:bCs/>
          <w:color w:val="00B050"/>
        </w:rPr>
        <w:t>number of EU consumers fully or partially covered slightly increased</w:t>
      </w:r>
      <w:r w:rsidRPr="00C30AF4">
        <w:t>.</w:t>
      </w:r>
    </w:p>
    <w:p w14:paraId="7583B9B8" w14:textId="331A6EF1" w:rsidR="00F81BF8" w:rsidRDefault="00F81BF8" w:rsidP="00871D18">
      <w:pPr>
        <w:pStyle w:val="CEABullet-Level1"/>
      </w:pPr>
      <w:r>
        <w:t>EIOPA publi</w:t>
      </w:r>
      <w:r w:rsidR="005B447F">
        <w:t xml:space="preserve">shed a </w:t>
      </w:r>
      <w:hyperlink r:id="rId15" w:history="1">
        <w:r w:rsidR="00C500AF">
          <w:rPr>
            <w:rStyle w:val="Hypertextovprepojenie"/>
          </w:rPr>
          <w:t>dashboard</w:t>
        </w:r>
      </w:hyperlink>
      <w:r w:rsidR="00C500AF">
        <w:t xml:space="preserve"> </w:t>
      </w:r>
      <w:r w:rsidR="005B447F">
        <w:t>on insurance protection gap for natural catastrophes.</w:t>
      </w:r>
    </w:p>
    <w:p w14:paraId="589C83FB" w14:textId="40F995E2" w:rsidR="005B447F" w:rsidRPr="005B447F" w:rsidRDefault="005B447F" w:rsidP="00871D18">
      <w:pPr>
        <w:pStyle w:val="CEABullet-Level1"/>
      </w:pPr>
      <w:r>
        <w:t>EIOPA</w:t>
      </w:r>
      <w:r w:rsidR="00A71CE9">
        <w:t xml:space="preserve"> pu</w:t>
      </w:r>
      <w:r w:rsidR="0079178C">
        <w:t>blished a</w:t>
      </w:r>
      <w:r>
        <w:t xml:space="preserve"> </w:t>
      </w:r>
      <w:hyperlink r:id="rId16" w:history="1">
        <w:r w:rsidR="0079178C">
          <w:rPr>
            <w:rStyle w:val="Hypertextovprepojenie"/>
          </w:rPr>
          <w:t>consultation</w:t>
        </w:r>
      </w:hyperlink>
      <w:r w:rsidR="00CA7285">
        <w:t xml:space="preserve"> on Staff paper on measures to address demand-side aspects of the </w:t>
      </w:r>
      <w:proofErr w:type="spellStart"/>
      <w:r w:rsidR="00CA7285">
        <w:t>NatCat</w:t>
      </w:r>
      <w:proofErr w:type="spellEnd"/>
      <w:r w:rsidR="00CA7285">
        <w:t xml:space="preserve"> protection gap.</w:t>
      </w:r>
      <w:r w:rsidR="0000078A">
        <w:t xml:space="preserve"> </w:t>
      </w:r>
    </w:p>
    <w:p w14:paraId="74F78E90" w14:textId="1DA09A2E" w:rsidR="00113B67" w:rsidRDefault="00113B67" w:rsidP="00871D18">
      <w:pPr>
        <w:pStyle w:val="CEABullet-Level1"/>
      </w:pPr>
      <w:r>
        <w:t xml:space="preserve">EIOPA will continue to </w:t>
      </w:r>
      <w:r w:rsidRPr="000C2396">
        <w:rPr>
          <w:b/>
          <w:bCs/>
          <w:color w:val="FFC000"/>
        </w:rPr>
        <w:t xml:space="preserve">monitor the </w:t>
      </w:r>
      <w:proofErr w:type="spellStart"/>
      <w:r w:rsidRPr="000C2396">
        <w:rPr>
          <w:b/>
          <w:bCs/>
          <w:color w:val="FFC000"/>
        </w:rPr>
        <w:t>NatCat</w:t>
      </w:r>
      <w:proofErr w:type="spellEnd"/>
      <w:r w:rsidRPr="000C2396">
        <w:rPr>
          <w:b/>
          <w:bCs/>
          <w:color w:val="FFC000"/>
        </w:rPr>
        <w:t xml:space="preserve"> protection gap</w:t>
      </w:r>
      <w:r>
        <w:t>.</w:t>
      </w:r>
    </w:p>
    <w:p w14:paraId="7833A990" w14:textId="24DFB246" w:rsidR="35086346" w:rsidRDefault="35086346" w:rsidP="00C47D17">
      <w:pPr>
        <w:pStyle w:val="CEABullet-Level2"/>
        <w:numPr>
          <w:ilvl w:val="0"/>
          <w:numId w:val="0"/>
        </w:numPr>
      </w:pPr>
    </w:p>
    <w:p w14:paraId="36DD6051" w14:textId="03C71F69" w:rsidR="1BF36FA6" w:rsidRDefault="7AFD2603" w:rsidP="005E41F7">
      <w:pPr>
        <w:pStyle w:val="CEABullet-Level2"/>
        <w:numPr>
          <w:ilvl w:val="0"/>
          <w:numId w:val="0"/>
        </w:numPr>
      </w:pPr>
      <w:r>
        <w:lastRenderedPageBreak/>
        <w:t xml:space="preserve">Secretariat's </w:t>
      </w:r>
      <w:r w:rsidR="4AE19FAF">
        <w:t>remarks</w:t>
      </w:r>
      <w:r>
        <w:t>:</w:t>
      </w:r>
    </w:p>
    <w:p w14:paraId="1FC52E4C" w14:textId="04D3FD27" w:rsidR="00174F07" w:rsidRPr="00972693" w:rsidRDefault="00174F07" w:rsidP="00174F07">
      <w:pPr>
        <w:pStyle w:val="Odsekzoznamu"/>
        <w:numPr>
          <w:ilvl w:val="0"/>
          <w:numId w:val="14"/>
        </w:numPr>
        <w:jc w:val="both"/>
        <w:rPr>
          <w:rFonts w:ascii="Verdana" w:eastAsia="Verdana" w:hAnsi="Verdana" w:cs="Verdana"/>
          <w:sz w:val="17"/>
          <w:szCs w:val="17"/>
        </w:rPr>
      </w:pPr>
      <w:r w:rsidRPr="00972693">
        <w:rPr>
          <w:rFonts w:ascii="Verdana" w:eastAsia="Verdana" w:hAnsi="Verdana" w:cs="Verdana"/>
          <w:sz w:val="17"/>
          <w:szCs w:val="17"/>
        </w:rPr>
        <w:t xml:space="preserve">The reported 87% surge in total claims necessitates verification, highlighting the need for EIOPA to tailor approaches to the EU's diverse </w:t>
      </w:r>
      <w:proofErr w:type="spellStart"/>
      <w:r w:rsidRPr="00972693">
        <w:rPr>
          <w:rFonts w:ascii="Verdana" w:eastAsia="Verdana" w:hAnsi="Verdana" w:cs="Verdana"/>
          <w:sz w:val="17"/>
          <w:szCs w:val="17"/>
        </w:rPr>
        <w:t>natcat</w:t>
      </w:r>
      <w:proofErr w:type="spellEnd"/>
      <w:r w:rsidRPr="00972693">
        <w:rPr>
          <w:rFonts w:ascii="Verdana" w:eastAsia="Verdana" w:hAnsi="Verdana" w:cs="Verdana"/>
          <w:sz w:val="17"/>
          <w:szCs w:val="17"/>
        </w:rPr>
        <w:t xml:space="preserve"> risk landscapes and to concurrently address both demand and supply in closing the protection gap, emphasizing the critical role of climate adaptation and mitigation for sustainable </w:t>
      </w:r>
      <w:proofErr w:type="spellStart"/>
      <w:r w:rsidRPr="00972693">
        <w:rPr>
          <w:rFonts w:ascii="Verdana" w:eastAsia="Verdana" w:hAnsi="Verdana" w:cs="Verdana"/>
          <w:sz w:val="17"/>
          <w:szCs w:val="17"/>
        </w:rPr>
        <w:t>natcat</w:t>
      </w:r>
      <w:proofErr w:type="spellEnd"/>
      <w:r w:rsidRPr="00972693">
        <w:rPr>
          <w:rFonts w:ascii="Verdana" w:eastAsia="Verdana" w:hAnsi="Verdana" w:cs="Verdana"/>
          <w:sz w:val="17"/>
          <w:szCs w:val="17"/>
        </w:rPr>
        <w:t xml:space="preserve"> insurance</w:t>
      </w:r>
      <w:r>
        <w:rPr>
          <w:rFonts w:ascii="Verdana" w:eastAsia="Verdana" w:hAnsi="Verdana" w:cs="Verdana"/>
          <w:sz w:val="17"/>
          <w:szCs w:val="17"/>
        </w:rPr>
        <w:t>.</w:t>
      </w:r>
    </w:p>
    <w:p w14:paraId="58251ADB" w14:textId="77777777" w:rsidR="00113B67" w:rsidRDefault="00113B67" w:rsidP="00113B67">
      <w:pPr>
        <w:pStyle w:val="CEABullet-Level1"/>
        <w:numPr>
          <w:ilvl w:val="0"/>
          <w:numId w:val="0"/>
        </w:numPr>
        <w:ind w:left="720"/>
      </w:pPr>
    </w:p>
    <w:p w14:paraId="228416CE" w14:textId="77777777" w:rsidR="00113B67" w:rsidRPr="00DC402D" w:rsidRDefault="00113B67" w:rsidP="00113B67">
      <w:pPr>
        <w:pStyle w:val="CEAStandardHeading"/>
        <w:rPr>
          <w:b/>
          <w:color w:val="auto"/>
          <w:sz w:val="18"/>
          <w:szCs w:val="18"/>
        </w:rPr>
      </w:pPr>
      <w:r w:rsidRPr="00DC402D">
        <w:rPr>
          <w:b/>
          <w:color w:val="auto"/>
          <w:sz w:val="18"/>
          <w:szCs w:val="18"/>
        </w:rPr>
        <w:t xml:space="preserve">Cross Selling: </w:t>
      </w:r>
    </w:p>
    <w:p w14:paraId="4EAD7EE1" w14:textId="4E4DA905" w:rsidR="00445D1E" w:rsidRPr="00445D1E" w:rsidRDefault="00113B67" w:rsidP="00DC402D">
      <w:pPr>
        <w:pStyle w:val="CEABullet-Level1"/>
        <w:rPr>
          <w:szCs w:val="17"/>
        </w:rPr>
      </w:pPr>
      <w:r w:rsidRPr="00A02D35">
        <w:rPr>
          <w:b/>
          <w:bCs/>
          <w:color w:val="FF0000"/>
        </w:rPr>
        <w:t>Cross</w:t>
      </w:r>
      <w:r w:rsidR="00F82C87">
        <w:rPr>
          <w:b/>
          <w:bCs/>
          <w:color w:val="FF0000"/>
        </w:rPr>
        <w:t xml:space="preserve"> </w:t>
      </w:r>
      <w:r w:rsidRPr="00A02D35">
        <w:rPr>
          <w:b/>
          <w:bCs/>
          <w:color w:val="FF0000"/>
        </w:rPr>
        <w:t>selling practices</w:t>
      </w:r>
      <w:r w:rsidRPr="00C30AF4">
        <w:t xml:space="preserve">, </w:t>
      </w:r>
      <w:r>
        <w:t xml:space="preserve">(in </w:t>
      </w:r>
      <w:r w:rsidRPr="00C30AF4">
        <w:t>credit and payment protection insurance,</w:t>
      </w:r>
      <w:r>
        <w:t xml:space="preserve"> as well as for ancillary insurance products)</w:t>
      </w:r>
      <w:r w:rsidRPr="00C30AF4">
        <w:t xml:space="preserve"> </w:t>
      </w:r>
      <w:r w:rsidRPr="00A02D35">
        <w:rPr>
          <w:b/>
          <w:bCs/>
          <w:color w:val="FF0000"/>
        </w:rPr>
        <w:t>continue to be problematic, with high commission</w:t>
      </w:r>
      <w:r w:rsidR="003974B4">
        <w:rPr>
          <w:b/>
          <w:color w:val="FF0000"/>
        </w:rPr>
        <w:t xml:space="preserve"> rates (</w:t>
      </w:r>
      <w:proofErr w:type="spellStart"/>
      <w:r w:rsidR="003974B4">
        <w:rPr>
          <w:b/>
          <w:color w:val="FF0000"/>
        </w:rPr>
        <w:t>eg</w:t>
      </w:r>
      <w:proofErr w:type="spellEnd"/>
      <w:r w:rsidR="003974B4">
        <w:rPr>
          <w:b/>
          <w:color w:val="FF0000"/>
        </w:rPr>
        <w:t xml:space="preserve"> above 20% in 14 member states </w:t>
      </w:r>
      <w:r w:rsidR="004E084E">
        <w:rPr>
          <w:b/>
          <w:color w:val="FF0000"/>
        </w:rPr>
        <w:t>for certain “life insurance line of business”)</w:t>
      </w:r>
      <w:r w:rsidRPr="00A02D35">
        <w:rPr>
          <w:b/>
          <w:bCs/>
          <w:color w:val="FF0000"/>
        </w:rPr>
        <w:t xml:space="preserve"> and low value being key concerns.</w:t>
      </w:r>
    </w:p>
    <w:p w14:paraId="418FA8EC" w14:textId="3F504079" w:rsidR="00445D1E" w:rsidRPr="00445D1E" w:rsidRDefault="00445D1E" w:rsidP="00445D1E">
      <w:pPr>
        <w:rPr>
          <w:sz w:val="17"/>
          <w:szCs w:val="17"/>
        </w:rPr>
      </w:pPr>
    </w:p>
    <w:p w14:paraId="1ABA58CD" w14:textId="77777777" w:rsidR="00445D1E" w:rsidRPr="00445D1E" w:rsidRDefault="00445D1E" w:rsidP="00445D1E">
      <w:pPr>
        <w:rPr>
          <w:sz w:val="17"/>
          <w:szCs w:val="17"/>
        </w:rPr>
      </w:pPr>
    </w:p>
    <w:sectPr w:rsidR="00445D1E" w:rsidRPr="00445D1E" w:rsidSect="00B371F5">
      <w:headerReference w:type="default" r:id="rId17"/>
      <w:footerReference w:type="default" r:id="rId18"/>
      <w:headerReference w:type="first" r:id="rId19"/>
      <w:footerReference w:type="first" r:id="rId20"/>
      <w:pgSz w:w="11907" w:h="16839" w:code="9"/>
      <w:pgMar w:top="2172" w:right="907" w:bottom="1253" w:left="1418" w:header="709" w:footer="24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FC451" w14:textId="77777777" w:rsidR="00B371F5" w:rsidRDefault="00B371F5" w:rsidP="0016089A">
      <w:pPr>
        <w:spacing w:line="240" w:lineRule="auto"/>
      </w:pPr>
      <w:r>
        <w:separator/>
      </w:r>
    </w:p>
  </w:endnote>
  <w:endnote w:type="continuationSeparator" w:id="0">
    <w:p w14:paraId="1D1BF2BE" w14:textId="77777777" w:rsidR="00B371F5" w:rsidRDefault="00B371F5" w:rsidP="0016089A">
      <w:pPr>
        <w:spacing w:line="240" w:lineRule="auto"/>
      </w:pPr>
      <w:r>
        <w:continuationSeparator/>
      </w:r>
    </w:p>
  </w:endnote>
  <w:endnote w:type="continuationNotice" w:id="1">
    <w:p w14:paraId="221248D6" w14:textId="77777777" w:rsidR="00B371F5" w:rsidRDefault="00B371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4E09" w14:textId="77777777" w:rsidR="00CC269F" w:rsidRPr="00AF0C42" w:rsidRDefault="009406F7" w:rsidP="009406F7">
    <w:pPr>
      <w:framePr w:w="708" w:h="391" w:hRule="exact" w:hSpace="181" w:wrap="around" w:vAnchor="page" w:hAnchor="page" w:x="10320" w:y="16111" w:anchorLock="1"/>
      <w:jc w:val="right"/>
      <w:rPr>
        <w:rFonts w:cs="Tahoma"/>
        <w:color w:val="002957"/>
        <w:sz w:val="14"/>
        <w:szCs w:val="14"/>
      </w:rPr>
    </w:pPr>
    <w:r w:rsidRPr="00AF0C42">
      <w:rPr>
        <w:rFonts w:cs="Tahoma"/>
        <w:color w:val="002957"/>
        <w:sz w:val="14"/>
        <w:szCs w:val="14"/>
      </w:rPr>
      <w:fldChar w:fldCharType="begin"/>
    </w:r>
    <w:r w:rsidRPr="00AF0C42">
      <w:rPr>
        <w:rFonts w:cs="Tahoma"/>
        <w:color w:val="002957"/>
        <w:sz w:val="14"/>
        <w:szCs w:val="14"/>
      </w:rPr>
      <w:instrText xml:space="preserve"> PAGE   \* MERGEFORMAT </w:instrText>
    </w:r>
    <w:r w:rsidRPr="00AF0C42">
      <w:rPr>
        <w:rFonts w:cs="Tahoma"/>
        <w:color w:val="002957"/>
        <w:sz w:val="14"/>
        <w:szCs w:val="14"/>
      </w:rPr>
      <w:fldChar w:fldCharType="separate"/>
    </w:r>
    <w:r w:rsidRPr="00AF0C42">
      <w:rPr>
        <w:rFonts w:cs="Tahoma"/>
        <w:noProof/>
        <w:color w:val="002957"/>
        <w:sz w:val="14"/>
        <w:szCs w:val="14"/>
      </w:rPr>
      <w:t>2</w:t>
    </w:r>
    <w:r w:rsidRPr="00AF0C42">
      <w:rPr>
        <w:rFonts w:cs="Tahoma"/>
        <w:noProof/>
        <w:color w:val="002957"/>
        <w:sz w:val="14"/>
        <w:szCs w:val="14"/>
      </w:rPr>
      <w:fldChar w:fldCharType="end"/>
    </w:r>
  </w:p>
  <w:p w14:paraId="0F45612D" w14:textId="77777777" w:rsidR="00CC269F" w:rsidRPr="0089179F" w:rsidRDefault="00CC269F" w:rsidP="00CC269F">
    <w:pPr>
      <w:tabs>
        <w:tab w:val="right" w:pos="10260"/>
      </w:tabs>
      <w:autoSpaceDE w:val="0"/>
      <w:autoSpaceDN w:val="0"/>
      <w:adjustRightInd w:val="0"/>
      <w:ind w:right="23"/>
      <w:jc w:val="right"/>
      <w:textAlignment w:val="center"/>
      <w:rPr>
        <w:color w:val="0000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ABE5" w14:textId="77777777" w:rsidR="007D6B18" w:rsidRPr="007D6B18" w:rsidRDefault="007D6B18">
    <w:pPr>
      <w:rPr>
        <w:sz w:val="14"/>
        <w:szCs w:val="18"/>
      </w:rPr>
    </w:pPr>
  </w:p>
  <w:tbl>
    <w:tblPr>
      <w:tblStyle w:val="Mriekatabuky"/>
      <w:tblW w:w="9639" w:type="dxa"/>
      <w:tblInd w:w="-142" w:type="dxa"/>
      <w:tblLook w:val="04A0" w:firstRow="1" w:lastRow="0" w:firstColumn="1" w:lastColumn="0" w:noHBand="0" w:noVBand="1"/>
    </w:tblPr>
    <w:tblGrid>
      <w:gridCol w:w="5670"/>
      <w:gridCol w:w="3969"/>
    </w:tblGrid>
    <w:tr w:rsidR="00F71D36" w14:paraId="29E635C5" w14:textId="77777777" w:rsidTr="0060137D">
      <w:tc>
        <w:tcPr>
          <w:tcW w:w="5670" w:type="dxa"/>
          <w:tcBorders>
            <w:top w:val="nil"/>
            <w:left w:val="nil"/>
            <w:bottom w:val="nil"/>
            <w:right w:val="nil"/>
          </w:tcBorders>
        </w:tcPr>
        <w:p w14:paraId="06CCE835" w14:textId="6F076CFA" w:rsidR="00F71D36" w:rsidRPr="00E7145A" w:rsidRDefault="00676E60" w:rsidP="0060137D">
          <w:pPr>
            <w:pStyle w:val="CEAFooterauthorinfo"/>
            <w:ind w:left="30"/>
            <w:rPr>
              <w:b w:val="0"/>
              <w:color w:val="002957"/>
              <w:sz w:val="14"/>
              <w:szCs w:val="14"/>
              <w:lang w:val="fr-BE"/>
            </w:rPr>
          </w:pPr>
          <w:r w:rsidRPr="00676E60">
            <w:rPr>
              <w:b w:val="0"/>
              <w:color w:val="002957"/>
              <w:sz w:val="14"/>
              <w:szCs w:val="14"/>
              <w:lang w:val="fr-BE"/>
            </w:rPr>
            <w:t xml:space="preserve">Maraya Mihaylova </w:t>
          </w:r>
          <w:r w:rsidR="00F71D36" w:rsidRPr="00E7145A">
            <w:rPr>
              <w:b w:val="0"/>
              <w:color w:val="002957"/>
              <w:sz w:val="14"/>
              <w:szCs w:val="14"/>
              <w:lang w:val="fr-BE"/>
            </w:rPr>
            <w:t>•</w:t>
          </w:r>
        </w:p>
        <w:p w14:paraId="7DF4E77B" w14:textId="77777777" w:rsidR="00F71D36" w:rsidRPr="00654C77" w:rsidRDefault="00F71D36" w:rsidP="0060137D">
          <w:pPr>
            <w:pStyle w:val="CEAFooterauthorinfo"/>
            <w:ind w:left="30"/>
            <w:rPr>
              <w:b w:val="0"/>
              <w:color w:val="002957"/>
              <w:sz w:val="14"/>
              <w:szCs w:val="14"/>
              <w:lang w:val="fr-BE"/>
            </w:rPr>
          </w:pPr>
          <w:r w:rsidRPr="00654C77">
            <w:rPr>
              <w:b w:val="0"/>
              <w:color w:val="002957"/>
              <w:sz w:val="14"/>
              <w:szCs w:val="14"/>
              <w:lang w:val="fr-BE"/>
            </w:rPr>
            <w:t xml:space="preserve">Insurance Europe aisbl </w:t>
          </w:r>
          <w:r w:rsidRPr="00C7439D">
            <w:rPr>
              <w:b w:val="0"/>
              <w:color w:val="002957"/>
              <w:sz w:val="14"/>
              <w:szCs w:val="14"/>
              <w:lang w:val="fr-BE"/>
            </w:rPr>
            <w:t>•</w:t>
          </w:r>
          <w:r w:rsidRPr="00654C77">
            <w:rPr>
              <w:b w:val="0"/>
              <w:color w:val="002957"/>
              <w:sz w:val="14"/>
              <w:szCs w:val="14"/>
              <w:lang w:val="fr-BE"/>
            </w:rPr>
            <w:t xml:space="preserve"> Rue du Champ de Mars 23, B-1050 Brussels</w:t>
          </w:r>
        </w:p>
        <w:p w14:paraId="15BFC814" w14:textId="33574AFF" w:rsidR="00F71D36" w:rsidRPr="00F71D36" w:rsidRDefault="00F71D36" w:rsidP="0060137D">
          <w:pPr>
            <w:pStyle w:val="CEAFooterauthorinfo"/>
            <w:ind w:left="30"/>
            <w:rPr>
              <w:b w:val="0"/>
              <w:color w:val="002957"/>
              <w:sz w:val="14"/>
              <w:szCs w:val="14"/>
              <w:lang w:val="pt-PT"/>
            </w:rPr>
          </w:pPr>
          <w:r w:rsidRPr="00CE6BD9">
            <w:rPr>
              <w:b w:val="0"/>
              <w:color w:val="002957"/>
              <w:sz w:val="14"/>
              <w:szCs w:val="14"/>
              <w:lang w:val="pt-PT"/>
            </w:rPr>
            <w:t>Tel:</w:t>
          </w:r>
          <w:r>
            <w:rPr>
              <w:b w:val="0"/>
              <w:color w:val="002957"/>
              <w:sz w:val="14"/>
              <w:szCs w:val="14"/>
              <w:lang w:val="pt-PT"/>
            </w:rPr>
            <w:t xml:space="preserve"> +32 2 894 30 00 • E-mail: </w:t>
          </w:r>
        </w:p>
      </w:tc>
      <w:tc>
        <w:tcPr>
          <w:tcW w:w="3969" w:type="dxa"/>
          <w:tcBorders>
            <w:top w:val="nil"/>
            <w:left w:val="nil"/>
            <w:bottom w:val="nil"/>
            <w:right w:val="nil"/>
          </w:tcBorders>
        </w:tcPr>
        <w:p w14:paraId="796B714B" w14:textId="76735258" w:rsidR="00F71D36" w:rsidRDefault="00043BB0" w:rsidP="00FC1F52">
          <w:pPr>
            <w:pStyle w:val="CEAFooterauthorinfo"/>
            <w:ind w:left="0"/>
            <w:rPr>
              <w:b w:val="0"/>
              <w:color w:val="002957"/>
              <w:sz w:val="14"/>
              <w:szCs w:val="14"/>
            </w:rPr>
          </w:pPr>
          <w:r w:rsidRPr="00043BB0">
            <w:rPr>
              <w:b w:val="0"/>
              <w:color w:val="002957"/>
              <w:sz w:val="14"/>
              <w:szCs w:val="14"/>
            </w:rPr>
            <w:t>© Insurance Europe. Confidential, internal document. Not for distribution, all rights reserved.</w:t>
          </w:r>
        </w:p>
      </w:tc>
    </w:tr>
  </w:tbl>
  <w:p w14:paraId="0533995A" w14:textId="77777777" w:rsidR="00CE2D41" w:rsidRPr="00C7439D" w:rsidRDefault="00CE2D41" w:rsidP="00CC269F">
    <w:pPr>
      <w:pStyle w:val="CEAFooterauthorinfo"/>
      <w:ind w:left="0"/>
      <w:rPr>
        <w:b w:val="0"/>
        <w:color w:val="002957"/>
        <w:sz w:val="14"/>
        <w:szCs w:val="14"/>
      </w:rPr>
    </w:pPr>
  </w:p>
  <w:p w14:paraId="278ED61B" w14:textId="77777777" w:rsidR="000D7957" w:rsidRPr="00C7439D" w:rsidRDefault="000D7957" w:rsidP="00CC269F">
    <w:pPr>
      <w:pStyle w:val="CEAFooterauthorinfo"/>
      <w:ind w:left="0"/>
      <w:rPr>
        <w:rFonts w:cs="Frutiger LT Std 55 Roman"/>
        <w:b w:val="0"/>
        <w:color w:val="82C55B"/>
        <w:sz w:val="14"/>
        <w:szCs w:val="14"/>
        <w:lang w:val="pt-PT"/>
      </w:rPr>
    </w:pPr>
    <w:r w:rsidRPr="00C7439D">
      <w:rPr>
        <w:rFonts w:cs="Frutiger LT Std 55 Roman"/>
        <w:b w:val="0"/>
        <w:color w:val="82C55B"/>
        <w:sz w:val="14"/>
        <w:szCs w:val="14"/>
        <w:lang w:val="pt-PT"/>
      </w:rPr>
      <w:t>www.insuranceeurope.eu</w:t>
    </w:r>
  </w:p>
  <w:p w14:paraId="2DB89D6E" w14:textId="77777777" w:rsidR="00CC269F" w:rsidRPr="007D6B18" w:rsidRDefault="00CC269F">
    <w:pPr>
      <w:pStyle w:val="Pta"/>
      <w:rPr>
        <w:color w:val="002957"/>
        <w:sz w:val="14"/>
        <w:szCs w:val="1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30118" w14:textId="77777777" w:rsidR="00B371F5" w:rsidRDefault="00B371F5" w:rsidP="0016089A">
      <w:pPr>
        <w:spacing w:line="240" w:lineRule="auto"/>
      </w:pPr>
      <w:r>
        <w:separator/>
      </w:r>
    </w:p>
  </w:footnote>
  <w:footnote w:type="continuationSeparator" w:id="0">
    <w:p w14:paraId="5090A448" w14:textId="77777777" w:rsidR="00B371F5" w:rsidRDefault="00B371F5" w:rsidP="0016089A">
      <w:pPr>
        <w:spacing w:line="240" w:lineRule="auto"/>
      </w:pPr>
      <w:r>
        <w:continuationSeparator/>
      </w:r>
    </w:p>
  </w:footnote>
  <w:footnote w:type="continuationNotice" w:id="1">
    <w:p w14:paraId="5CFEB388" w14:textId="77777777" w:rsidR="00B371F5" w:rsidRDefault="00B371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783" w14:textId="77777777" w:rsidR="00CC269F" w:rsidRPr="007D6B18" w:rsidRDefault="00CC269F" w:rsidP="00CC269F">
    <w:pPr>
      <w:pStyle w:val="Noparagraphstyle"/>
      <w:jc w:val="right"/>
      <w:rPr>
        <w:rFonts w:ascii="Verdana" w:hAnsi="Verdana"/>
        <w:sz w:val="18"/>
        <w:szCs w:val="18"/>
      </w:rPr>
    </w:pPr>
  </w:p>
  <w:p w14:paraId="71960902" w14:textId="77777777" w:rsidR="00CC269F" w:rsidRPr="007D6B18" w:rsidRDefault="001C366D" w:rsidP="00CC269F">
    <w:pPr>
      <w:pStyle w:val="Noparagraphstyle"/>
      <w:jc w:val="right"/>
      <w:rPr>
        <w:rFonts w:ascii="Verdana" w:hAnsi="Verdana" w:cs="Arial"/>
        <w:i/>
        <w:iCs/>
        <w:color w:val="034EA2"/>
      </w:rPr>
    </w:pPr>
    <w:r w:rsidRPr="007D6B18">
      <w:rPr>
        <w:rFonts w:ascii="Verdana" w:hAnsi="Verdana"/>
      </w:rPr>
      <w:tab/>
    </w:r>
  </w:p>
  <w:p w14:paraId="23E48B90" w14:textId="77777777" w:rsidR="00CC269F" w:rsidRPr="007D6B18" w:rsidRDefault="001C366D" w:rsidP="00CC269F">
    <w:pPr>
      <w:pStyle w:val="Hlavika"/>
      <w:tabs>
        <w:tab w:val="clear" w:pos="4320"/>
        <w:tab w:val="clear" w:pos="8640"/>
        <w:tab w:val="center" w:pos="0"/>
        <w:tab w:val="right" w:pos="10440"/>
      </w:tabs>
      <w:jc w:val="right"/>
      <w:rPr>
        <w:b/>
        <w:color w:val="034EA2"/>
        <w:sz w:val="40"/>
        <w:szCs w:val="40"/>
      </w:rPr>
    </w:pPr>
    <w:r w:rsidRPr="007D6B18">
      <w:rPr>
        <w:b/>
        <w:noProof/>
        <w:sz w:val="40"/>
        <w:szCs w:val="40"/>
        <w:lang w:val="fr-BE" w:eastAsia="fr-BE"/>
      </w:rPr>
      <w:drawing>
        <wp:anchor distT="0" distB="0" distL="114300" distR="114300" simplePos="0" relativeHeight="251658241" behindDoc="0" locked="0" layoutInCell="1" allowOverlap="1" wp14:anchorId="42212B25" wp14:editId="0D81137F">
          <wp:simplePos x="0" y="0"/>
          <wp:positionH relativeFrom="page">
            <wp:posOffset>521970</wp:posOffset>
          </wp:positionH>
          <wp:positionV relativeFrom="page">
            <wp:posOffset>521970</wp:posOffset>
          </wp:positionV>
          <wp:extent cx="1457325" cy="895350"/>
          <wp:effectExtent l="19050" t="0" r="0" b="0"/>
          <wp:wrapSquare wrapText="bothSides"/>
          <wp:docPr id="1" name="Picture 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Pr="007D6B18">
      <w:rPr>
        <w:b/>
        <w:color w:val="034EA2"/>
        <w:sz w:val="28"/>
        <w:szCs w:val="28"/>
      </w:rPr>
      <w:t xml:space="preserve"> </w:t>
    </w:r>
  </w:p>
  <w:p w14:paraId="11CAD447" w14:textId="6505AD71" w:rsidR="00CC269F" w:rsidRDefault="00CC269F" w:rsidP="00CC269F">
    <w:pPr>
      <w:pStyle w:val="Noparagraphstyle"/>
      <w:rPr>
        <w:rFonts w:ascii="Verdana" w:hAnsi="Verdana"/>
      </w:rPr>
    </w:pPr>
  </w:p>
  <w:p w14:paraId="25DBA3C4" w14:textId="77777777" w:rsidR="007D6B18" w:rsidRPr="007D6B18" w:rsidRDefault="007D6B18" w:rsidP="00CC269F">
    <w:pPr>
      <w:pStyle w:val="Noparagraphstyle"/>
      <w:rPr>
        <w:rFonts w:ascii="Verdana" w:hAnsi="Verdan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6822" w14:textId="77777777" w:rsidR="00CC269F" w:rsidRPr="00CE615B" w:rsidRDefault="001C366D" w:rsidP="00CC269F">
    <w:pPr>
      <w:pStyle w:val="Noparagraphstyle"/>
      <w:tabs>
        <w:tab w:val="left" w:pos="-1800"/>
      </w:tabs>
      <w:jc w:val="right"/>
      <w:rPr>
        <w:rFonts w:ascii="Verdana" w:hAnsi="Verdana"/>
        <w:sz w:val="22"/>
        <w:szCs w:val="22"/>
      </w:rPr>
    </w:pPr>
    <w:r w:rsidRPr="00CE615B">
      <w:rPr>
        <w:rFonts w:ascii="Verdana" w:hAnsi="Verdana"/>
        <w:sz w:val="18"/>
        <w:szCs w:val="18"/>
      </w:rPr>
      <w:br/>
    </w:r>
  </w:p>
  <w:p w14:paraId="16E31AE3" w14:textId="1F3D5061" w:rsidR="00CC269F" w:rsidRPr="00CF35FD" w:rsidRDefault="002E16F6" w:rsidP="007326CF">
    <w:pPr>
      <w:pStyle w:val="Noparagraphstyle"/>
      <w:tabs>
        <w:tab w:val="left" w:pos="-1800"/>
      </w:tabs>
      <w:jc w:val="right"/>
      <w:rPr>
        <w:b/>
        <w:color w:val="002957"/>
        <w:sz w:val="36"/>
        <w:szCs w:val="36"/>
      </w:rPr>
    </w:pPr>
    <w:r w:rsidRPr="00730E61">
      <w:rPr>
        <w:rFonts w:ascii="Verdana" w:hAnsi="Verdana"/>
        <w:color w:val="002957"/>
        <w:sz w:val="36"/>
        <w:szCs w:val="36"/>
      </w:rPr>
      <w:t>Memo for</w:t>
    </w:r>
    <w:r w:rsidR="001C366D" w:rsidRPr="00CF35FD">
      <w:rPr>
        <w:b/>
        <w:noProof/>
        <w:color w:val="002957"/>
        <w:sz w:val="36"/>
        <w:szCs w:val="36"/>
        <w:lang w:val="fr-BE" w:eastAsia="fr-BE"/>
      </w:rPr>
      <w:drawing>
        <wp:anchor distT="0" distB="0" distL="114300" distR="114300" simplePos="0" relativeHeight="251658240" behindDoc="0" locked="0" layoutInCell="1" allowOverlap="1" wp14:anchorId="73A57463" wp14:editId="2D6EE75D">
          <wp:simplePos x="0" y="0"/>
          <wp:positionH relativeFrom="page">
            <wp:posOffset>523875</wp:posOffset>
          </wp:positionH>
          <wp:positionV relativeFrom="page">
            <wp:posOffset>523875</wp:posOffset>
          </wp:positionV>
          <wp:extent cx="1457325" cy="895350"/>
          <wp:effectExtent l="19050" t="0" r="0" b="0"/>
          <wp:wrapSquare wrapText="bothSides"/>
          <wp:docPr id="3" name="Picture 3"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007326CF">
      <w:rPr>
        <w:rFonts w:ascii="Verdana" w:hAnsi="Verdana"/>
        <w:color w:val="002957"/>
        <w:sz w:val="36"/>
        <w:szCs w:val="36"/>
      </w:rPr>
      <w:t xml:space="preserve"> action</w:t>
    </w:r>
  </w:p>
  <w:p w14:paraId="218B26CC" w14:textId="16EB24D2" w:rsidR="009C515F" w:rsidRDefault="009C515F" w:rsidP="009C515F">
    <w:pPr>
      <w:jc w:val="right"/>
      <w:rPr>
        <w:b/>
        <w:i/>
        <w:color w:val="002957"/>
        <w:sz w:val="32"/>
        <w:szCs w:val="32"/>
      </w:rPr>
    </w:pPr>
    <w:r>
      <w:rPr>
        <w:b/>
        <w:color w:val="002957"/>
        <w:sz w:val="36"/>
        <w:szCs w:val="36"/>
      </w:rPr>
      <w:t xml:space="preserve"> </w:t>
    </w:r>
  </w:p>
  <w:p w14:paraId="725C19A7" w14:textId="77777777" w:rsidR="00CC269F" w:rsidRPr="009C515F" w:rsidRDefault="00CC269F" w:rsidP="00CC269F">
    <w:pPr>
      <w:pStyle w:val="CEADocumentTitle"/>
      <w:tabs>
        <w:tab w:val="clear" w:pos="10440"/>
      </w:tabs>
      <w:rPr>
        <w:b w:val="0"/>
        <w:color w:val="002957"/>
        <w:sz w:val="36"/>
        <w:szCs w:val="36"/>
      </w:rPr>
    </w:pPr>
  </w:p>
  <w:p w14:paraId="525108B0" w14:textId="77777777" w:rsidR="00CC269F" w:rsidRPr="00CE6BD9" w:rsidRDefault="00CC269F" w:rsidP="00CC269F">
    <w:pPr>
      <w:pStyle w:val="BodyText-CEA"/>
      <w:jc w:val="left"/>
    </w:pPr>
    <w:bookmarkStart w:id="0" w:name="Draft1st"/>
    <w:bookmarkStart w:id="1" w:name="Header"/>
    <w:bookmarkEnd w:id="0"/>
  </w:p>
  <w:tbl>
    <w:tblPr>
      <w:tblW w:w="0" w:type="auto"/>
      <w:tblInd w:w="-1026" w:type="dxa"/>
      <w:tblLook w:val="04A0" w:firstRow="1" w:lastRow="0" w:firstColumn="1" w:lastColumn="0" w:noHBand="0" w:noVBand="1"/>
    </w:tblPr>
    <w:tblGrid>
      <w:gridCol w:w="1012"/>
      <w:gridCol w:w="9596"/>
    </w:tblGrid>
    <w:tr w:rsidR="00CC269F" w14:paraId="5E4C34F0" w14:textId="77777777" w:rsidTr="00E7145A">
      <w:trPr>
        <w:trHeight w:val="289"/>
      </w:trPr>
      <w:tc>
        <w:tcPr>
          <w:tcW w:w="992" w:type="dxa"/>
          <w:vAlign w:val="center"/>
        </w:tcPr>
        <w:p w14:paraId="09C72CDF" w14:textId="77777777" w:rsidR="00CC269F" w:rsidRPr="00CE6BD9" w:rsidRDefault="001C366D" w:rsidP="00E7145A">
          <w:pPr>
            <w:pStyle w:val="CEALabel"/>
            <w:rPr>
              <w:b w:val="0"/>
              <w:color w:val="002957"/>
              <w:sz w:val="17"/>
              <w:szCs w:val="17"/>
            </w:rPr>
          </w:pPr>
          <w:r w:rsidRPr="00CE6BD9">
            <w:rPr>
              <w:b w:val="0"/>
              <w:color w:val="002957"/>
              <w:sz w:val="17"/>
              <w:szCs w:val="17"/>
            </w:rPr>
            <w:t>To:</w:t>
          </w:r>
        </w:p>
      </w:tc>
      <w:tc>
        <w:tcPr>
          <w:tcW w:w="9837" w:type="dxa"/>
          <w:vAlign w:val="center"/>
        </w:tcPr>
        <w:p w14:paraId="39110DD3" w14:textId="4287934B" w:rsidR="00CC269F" w:rsidRPr="001D1C85" w:rsidRDefault="00C2027F" w:rsidP="00E7145A">
          <w:pPr>
            <w:ind w:left="-90"/>
            <w:jc w:val="left"/>
            <w:rPr>
              <w:color w:val="002957"/>
              <w:sz w:val="17"/>
              <w:szCs w:val="17"/>
            </w:rPr>
          </w:pPr>
          <w:r w:rsidRPr="00C2027F">
            <w:rPr>
              <w:color w:val="002957"/>
              <w:sz w:val="17"/>
              <w:szCs w:val="17"/>
            </w:rPr>
            <w:t>Conduct of Business Committee</w:t>
          </w:r>
        </w:p>
      </w:tc>
    </w:tr>
    <w:tr w:rsidR="00CC269F" w14:paraId="7EE50C63" w14:textId="77777777" w:rsidTr="00E7145A">
      <w:trPr>
        <w:trHeight w:hRule="exact" w:val="288"/>
      </w:trPr>
      <w:tc>
        <w:tcPr>
          <w:tcW w:w="992" w:type="dxa"/>
          <w:vAlign w:val="center"/>
        </w:tcPr>
        <w:p w14:paraId="2C97BA7F" w14:textId="77777777" w:rsidR="00CC269F" w:rsidRPr="00CE6BD9" w:rsidRDefault="001C366D" w:rsidP="00E7145A">
          <w:pPr>
            <w:pStyle w:val="CEALabel"/>
            <w:rPr>
              <w:b w:val="0"/>
              <w:color w:val="002957"/>
              <w:sz w:val="17"/>
              <w:szCs w:val="17"/>
            </w:rPr>
          </w:pPr>
          <w:r w:rsidRPr="00CE6BD9">
            <w:rPr>
              <w:b w:val="0"/>
              <w:color w:val="002957"/>
              <w:sz w:val="17"/>
              <w:szCs w:val="17"/>
            </w:rPr>
            <w:t>From:</w:t>
          </w:r>
        </w:p>
      </w:tc>
      <w:tc>
        <w:tcPr>
          <w:tcW w:w="9837" w:type="dxa"/>
          <w:vAlign w:val="center"/>
        </w:tcPr>
        <w:p w14:paraId="53DA75C6" w14:textId="704E23A3" w:rsidR="00CC269F" w:rsidRPr="001D1C85" w:rsidRDefault="00855974" w:rsidP="00E7145A">
          <w:pPr>
            <w:tabs>
              <w:tab w:val="left" w:pos="1755"/>
            </w:tabs>
            <w:ind w:left="-90"/>
            <w:jc w:val="left"/>
            <w:rPr>
              <w:color w:val="002957"/>
              <w:sz w:val="17"/>
              <w:szCs w:val="17"/>
            </w:rPr>
          </w:pPr>
          <w:r>
            <w:rPr>
              <w:color w:val="002957"/>
              <w:sz w:val="17"/>
              <w:szCs w:val="17"/>
            </w:rPr>
            <w:t>Maraya Mihay</w:t>
          </w:r>
          <w:r w:rsidR="00676E60">
            <w:rPr>
              <w:color w:val="002957"/>
              <w:sz w:val="17"/>
              <w:szCs w:val="17"/>
            </w:rPr>
            <w:t>lova</w:t>
          </w:r>
        </w:p>
      </w:tc>
    </w:tr>
    <w:tr w:rsidR="00CC269F" w14:paraId="05ADA488" w14:textId="77777777" w:rsidTr="008472F8">
      <w:trPr>
        <w:trHeight w:hRule="exact" w:val="552"/>
      </w:trPr>
      <w:tc>
        <w:tcPr>
          <w:tcW w:w="992" w:type="dxa"/>
          <w:vAlign w:val="center"/>
        </w:tcPr>
        <w:p w14:paraId="34191B8A" w14:textId="77777777" w:rsidR="00CC269F" w:rsidRPr="00CE6BD9" w:rsidRDefault="001C366D" w:rsidP="00E7145A">
          <w:pPr>
            <w:pStyle w:val="CEALabel"/>
            <w:rPr>
              <w:b w:val="0"/>
              <w:color w:val="002957"/>
              <w:sz w:val="17"/>
              <w:szCs w:val="17"/>
            </w:rPr>
          </w:pPr>
          <w:r w:rsidRPr="00CE6BD9">
            <w:rPr>
              <w:b w:val="0"/>
              <w:color w:val="002957"/>
              <w:sz w:val="17"/>
              <w:szCs w:val="17"/>
            </w:rPr>
            <w:t>cc:</w:t>
          </w:r>
        </w:p>
      </w:tc>
      <w:tc>
        <w:tcPr>
          <w:tcW w:w="9837" w:type="dxa"/>
          <w:vAlign w:val="center"/>
        </w:tcPr>
        <w:p w14:paraId="4242546D" w14:textId="2F312215" w:rsidR="00CC269F" w:rsidRPr="001D1C85" w:rsidRDefault="00B679C1" w:rsidP="00E7145A">
          <w:pPr>
            <w:ind w:left="-90"/>
            <w:jc w:val="left"/>
            <w:rPr>
              <w:color w:val="002957"/>
              <w:sz w:val="17"/>
              <w:szCs w:val="17"/>
            </w:rPr>
          </w:pPr>
          <w:r>
            <w:rPr>
              <w:color w:val="002957"/>
              <w:sz w:val="17"/>
              <w:szCs w:val="17"/>
            </w:rPr>
            <w:t>General Insurance Committee, Personal Insurance Committee, Economics &amp; Finance Committee, Public Affairs &amp; Communications Committee</w:t>
          </w:r>
          <w:r w:rsidR="00A87BE2" w:rsidRPr="001D1C85">
            <w:rPr>
              <w:color w:val="002957"/>
              <w:sz w:val="17"/>
              <w:szCs w:val="17"/>
            </w:rPr>
            <w:t xml:space="preserve"> </w:t>
          </w:r>
        </w:p>
      </w:tc>
    </w:tr>
    <w:tr w:rsidR="00CC269F" w14:paraId="3BBEE496" w14:textId="77777777" w:rsidTr="00E7145A">
      <w:trPr>
        <w:trHeight w:hRule="exact" w:val="288"/>
      </w:trPr>
      <w:tc>
        <w:tcPr>
          <w:tcW w:w="992" w:type="dxa"/>
          <w:vAlign w:val="center"/>
        </w:tcPr>
        <w:p w14:paraId="718D9B18" w14:textId="77777777" w:rsidR="00CC269F" w:rsidRPr="00CE6BD9" w:rsidRDefault="001C366D" w:rsidP="00E7145A">
          <w:pPr>
            <w:pStyle w:val="CEALabel"/>
            <w:rPr>
              <w:b w:val="0"/>
              <w:color w:val="002957"/>
              <w:sz w:val="17"/>
              <w:szCs w:val="17"/>
            </w:rPr>
          </w:pPr>
          <w:r w:rsidRPr="00CE6BD9">
            <w:rPr>
              <w:b w:val="0"/>
              <w:color w:val="002957"/>
              <w:sz w:val="17"/>
              <w:szCs w:val="17"/>
            </w:rPr>
            <w:t>Date:</w:t>
          </w:r>
        </w:p>
      </w:tc>
      <w:tc>
        <w:tcPr>
          <w:tcW w:w="9837" w:type="dxa"/>
          <w:vAlign w:val="center"/>
        </w:tcPr>
        <w:p w14:paraId="6083CF91" w14:textId="5B27C089" w:rsidR="00CC269F" w:rsidRPr="001D1C85" w:rsidRDefault="00840377" w:rsidP="00E7145A">
          <w:pPr>
            <w:ind w:left="-90"/>
            <w:jc w:val="left"/>
            <w:rPr>
              <w:color w:val="002957"/>
              <w:sz w:val="17"/>
              <w:szCs w:val="17"/>
            </w:rPr>
          </w:pPr>
          <w:r>
            <w:rPr>
              <w:color w:val="002957"/>
              <w:sz w:val="17"/>
              <w:szCs w:val="17"/>
            </w:rPr>
            <w:t>19</w:t>
          </w:r>
          <w:r w:rsidR="00B679C1">
            <w:rPr>
              <w:color w:val="002957"/>
              <w:sz w:val="17"/>
              <w:szCs w:val="17"/>
            </w:rPr>
            <w:t>-0</w:t>
          </w:r>
          <w:r>
            <w:rPr>
              <w:color w:val="002957"/>
              <w:sz w:val="17"/>
              <w:szCs w:val="17"/>
            </w:rPr>
            <w:t>2</w:t>
          </w:r>
          <w:r w:rsidR="00B679C1">
            <w:rPr>
              <w:color w:val="002957"/>
              <w:sz w:val="17"/>
              <w:szCs w:val="17"/>
            </w:rPr>
            <w:t>-2024</w:t>
          </w:r>
        </w:p>
      </w:tc>
    </w:tr>
    <w:tr w:rsidR="00CC269F" w14:paraId="2E3BCFDA" w14:textId="77777777" w:rsidTr="00E7145A">
      <w:trPr>
        <w:trHeight w:hRule="exact" w:val="288"/>
      </w:trPr>
      <w:tc>
        <w:tcPr>
          <w:tcW w:w="992" w:type="dxa"/>
          <w:vAlign w:val="center"/>
        </w:tcPr>
        <w:p w14:paraId="25543273" w14:textId="77777777" w:rsidR="00CC269F" w:rsidRPr="00CE6BD9" w:rsidRDefault="001C366D" w:rsidP="00E7145A">
          <w:pPr>
            <w:pStyle w:val="CEALabel"/>
            <w:rPr>
              <w:b w:val="0"/>
              <w:color w:val="002957"/>
              <w:sz w:val="17"/>
              <w:szCs w:val="17"/>
            </w:rPr>
          </w:pPr>
          <w:r w:rsidRPr="00CE6BD9">
            <w:rPr>
              <w:b w:val="0"/>
              <w:color w:val="002957"/>
              <w:sz w:val="17"/>
              <w:szCs w:val="17"/>
            </w:rPr>
            <w:t>Reference:</w:t>
          </w:r>
        </w:p>
      </w:tc>
      <w:tc>
        <w:tcPr>
          <w:tcW w:w="9837" w:type="dxa"/>
          <w:vAlign w:val="center"/>
        </w:tcPr>
        <w:sdt>
          <w:sdtPr>
            <w:rPr>
              <w:color w:val="002957"/>
              <w:sz w:val="17"/>
              <w:szCs w:val="17"/>
            </w:rPr>
            <w:id w:val="-845242520"/>
            <w:placeholder>
              <w:docPart w:val="DefaultPlaceholder_-1854013440"/>
            </w:placeholder>
            <w:showingPlcHdr/>
            <w:dataBinding w:prefixMappings="xmlns:ns0='http://schemas.microsoft.com/office/2006/metadata/properties' xmlns:ns1='http://www.w3.org/2001/XMLSchema-instance' xmlns:ns2='http://schemas.microsoft.com/office/infopath/2007/PartnerControls' xmlns:ns3='bf2322bd-6ea8-47f2-a340-10b5092f2000' xmlns:ns4='ba225275-dfdd-4507-9cb6-b247f9a8bd33' " w:xpath="/ns0:properties[1]/documentManagement[1]/*[local-name() = 'Reference'][1]" w:storeItemID="{16BE8AC2-BC04-484A-AE5F-6753D3DE5469}"/>
            <w:text/>
          </w:sdtPr>
          <w:sdtEndPr/>
          <w:sdtContent>
            <w:p w14:paraId="2A202518" w14:textId="11F52A62" w:rsidR="00CC269F" w:rsidRPr="001D1C85" w:rsidRDefault="00F65F76" w:rsidP="00E7145A">
              <w:pPr>
                <w:ind w:left="-90"/>
                <w:jc w:val="left"/>
                <w:rPr>
                  <w:color w:val="002957"/>
                  <w:sz w:val="17"/>
                  <w:szCs w:val="17"/>
                </w:rPr>
              </w:pPr>
              <w:r w:rsidRPr="008C7EEE">
                <w:rPr>
                  <w:rStyle w:val="Zstupntext"/>
                </w:rPr>
                <w:t>Click or tap here to enter text.</w:t>
              </w:r>
            </w:p>
          </w:sdtContent>
        </w:sdt>
      </w:tc>
    </w:tr>
    <w:tr w:rsidR="00CC269F" w14:paraId="66970010" w14:textId="302C58AB" w:rsidTr="00E7145A">
      <w:trPr>
        <w:trHeight w:hRule="exact" w:val="288"/>
      </w:trPr>
      <w:tc>
        <w:tcPr>
          <w:tcW w:w="992" w:type="dxa"/>
          <w:vAlign w:val="center"/>
        </w:tcPr>
        <w:p w14:paraId="47A1B8A2" w14:textId="77777777" w:rsidR="00CC269F" w:rsidRPr="00CE6BD9" w:rsidRDefault="00CC269F" w:rsidP="00E7145A">
          <w:pPr>
            <w:pStyle w:val="CEALabel"/>
            <w:rPr>
              <w:b w:val="0"/>
              <w:color w:val="002957"/>
              <w:sz w:val="17"/>
              <w:szCs w:val="17"/>
            </w:rPr>
          </w:pPr>
        </w:p>
      </w:tc>
      <w:tc>
        <w:tcPr>
          <w:tcW w:w="9837" w:type="dxa"/>
          <w:vAlign w:val="center"/>
        </w:tcPr>
        <w:p w14:paraId="223501E9" w14:textId="77777777" w:rsidR="00CC269F" w:rsidRPr="001D1C85" w:rsidRDefault="00CC269F" w:rsidP="00E7145A">
          <w:pPr>
            <w:ind w:left="-90"/>
            <w:jc w:val="left"/>
            <w:rPr>
              <w:color w:val="002957"/>
              <w:sz w:val="17"/>
              <w:szCs w:val="17"/>
            </w:rPr>
          </w:pPr>
        </w:p>
      </w:tc>
    </w:tr>
    <w:tr w:rsidR="00CC269F" w14:paraId="138A0897" w14:textId="77777777" w:rsidTr="00E7145A">
      <w:trPr>
        <w:trHeight w:hRule="exact" w:val="288"/>
      </w:trPr>
      <w:tc>
        <w:tcPr>
          <w:tcW w:w="992" w:type="dxa"/>
          <w:vAlign w:val="center"/>
        </w:tcPr>
        <w:p w14:paraId="49EA5D66" w14:textId="77777777" w:rsidR="00CC269F" w:rsidRPr="00CE6BD9" w:rsidRDefault="001C366D" w:rsidP="00E7145A">
          <w:pPr>
            <w:pStyle w:val="CEALabel"/>
            <w:rPr>
              <w:b w:val="0"/>
              <w:color w:val="002957"/>
              <w:sz w:val="17"/>
              <w:szCs w:val="17"/>
            </w:rPr>
          </w:pPr>
          <w:r w:rsidRPr="00CE6BD9">
            <w:rPr>
              <w:b w:val="0"/>
              <w:color w:val="002957"/>
              <w:sz w:val="17"/>
              <w:szCs w:val="17"/>
            </w:rPr>
            <w:t>Subject:</w:t>
          </w:r>
        </w:p>
      </w:tc>
      <w:tc>
        <w:tcPr>
          <w:tcW w:w="9837" w:type="dxa"/>
          <w:vAlign w:val="center"/>
        </w:tcPr>
        <w:p w14:paraId="3F0DE7FF" w14:textId="30B7429A" w:rsidR="00CC269F" w:rsidRPr="00CE6BD9" w:rsidRDefault="00A63075" w:rsidP="00E7145A">
          <w:pPr>
            <w:pStyle w:val="CEASubjectLine"/>
            <w:ind w:left="-90"/>
            <w:jc w:val="left"/>
            <w:rPr>
              <w:b w:val="0"/>
              <w:color w:val="002957"/>
              <w:sz w:val="17"/>
              <w:szCs w:val="17"/>
            </w:rPr>
          </w:pPr>
          <w:sdt>
            <w:sdtPr>
              <w:rPr>
                <w:b w:val="0"/>
                <w:color w:val="002957"/>
                <w:sz w:val="17"/>
                <w:szCs w:val="17"/>
              </w:rPr>
              <w:alias w:val="Title"/>
              <w:tag w:val=""/>
              <w:id w:val="1845366650"/>
              <w:placeholder>
                <w:docPart w:val="584EF38CAE9A4F80AF2F6FA01859F6AD"/>
              </w:placeholder>
              <w:dataBinding w:prefixMappings="xmlns:ns0='http://purl.org/dc/elements/1.1/' xmlns:ns1='http://schemas.openxmlformats.org/package/2006/metadata/core-properties' " w:xpath="/ns1:coreProperties[1]/ns0:title[1]" w:storeItemID="{6C3C8BC8-F283-45AE-878A-BAB7291924A1}"/>
              <w:text/>
            </w:sdtPr>
            <w:sdtEndPr/>
            <w:sdtContent>
              <w:r w:rsidR="00F65F76">
                <w:rPr>
                  <w:b w:val="0"/>
                  <w:color w:val="002957"/>
                  <w:sz w:val="17"/>
                  <w:szCs w:val="17"/>
                </w:rPr>
                <w:t>EIOPA Consumer Trends Report 2023</w:t>
              </w:r>
            </w:sdtContent>
          </w:sdt>
          <w:bookmarkEnd w:id="1"/>
        </w:p>
      </w:tc>
    </w:tr>
  </w:tbl>
  <w:p w14:paraId="3178525D" w14:textId="77777777" w:rsidR="00CC269F" w:rsidRPr="00CE6BD9" w:rsidRDefault="00CC269F" w:rsidP="00CC269F">
    <w:pPr>
      <w:pStyle w:val="Noparagraphstyle"/>
      <w:rPr>
        <w:rFonts w:ascii="Verdana" w:hAnsi="Verdana" w:cs="Arial"/>
        <w:i/>
        <w:iCs/>
        <w:color w:val="034EA2"/>
      </w:rPr>
    </w:pPr>
  </w:p>
  <w:p w14:paraId="6FFC7487" w14:textId="77777777" w:rsidR="00CC269F" w:rsidRDefault="00CC269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pt;height:8.25pt" o:bullet="t">
        <v:imagedata r:id="rId3" o:title="CEA - Bullets Rounded Squares_BulletLevel3_forMS"/>
      </v:shape>
    </w:pict>
  </w:numPicBullet>
  <w:abstractNum w:abstractNumId="0" w15:restartNumberingAfterBreak="0">
    <w:nsid w:val="0AD22398"/>
    <w:multiLevelType w:val="hybridMultilevel"/>
    <w:tmpl w:val="FFFFFFFF"/>
    <w:lvl w:ilvl="0" w:tplc="09AEB00A">
      <w:start w:val="1"/>
      <w:numFmt w:val="bullet"/>
      <w:lvlText w:val=""/>
      <w:lvlJc w:val="left"/>
      <w:pPr>
        <w:ind w:left="720" w:hanging="360"/>
      </w:pPr>
      <w:rPr>
        <w:rFonts w:ascii="Symbol" w:hAnsi="Symbol" w:hint="default"/>
      </w:rPr>
    </w:lvl>
    <w:lvl w:ilvl="1" w:tplc="F7C26EA8">
      <w:start w:val="1"/>
      <w:numFmt w:val="bullet"/>
      <w:lvlText w:val="o"/>
      <w:lvlJc w:val="left"/>
      <w:pPr>
        <w:ind w:left="1440" w:hanging="360"/>
      </w:pPr>
      <w:rPr>
        <w:rFonts w:ascii="Courier New" w:hAnsi="Courier New" w:hint="default"/>
      </w:rPr>
    </w:lvl>
    <w:lvl w:ilvl="2" w:tplc="C1044F16">
      <w:start w:val="1"/>
      <w:numFmt w:val="bullet"/>
      <w:lvlText w:val=""/>
      <w:lvlJc w:val="left"/>
      <w:pPr>
        <w:ind w:left="2160" w:hanging="360"/>
      </w:pPr>
      <w:rPr>
        <w:rFonts w:ascii="Wingdings" w:hAnsi="Wingdings" w:hint="default"/>
      </w:rPr>
    </w:lvl>
    <w:lvl w:ilvl="3" w:tplc="75465E0C">
      <w:start w:val="1"/>
      <w:numFmt w:val="bullet"/>
      <w:lvlText w:val=""/>
      <w:lvlJc w:val="left"/>
      <w:pPr>
        <w:ind w:left="2880" w:hanging="360"/>
      </w:pPr>
      <w:rPr>
        <w:rFonts w:ascii="Symbol" w:hAnsi="Symbol" w:hint="default"/>
      </w:rPr>
    </w:lvl>
    <w:lvl w:ilvl="4" w:tplc="456A4818">
      <w:start w:val="1"/>
      <w:numFmt w:val="bullet"/>
      <w:lvlText w:val="o"/>
      <w:lvlJc w:val="left"/>
      <w:pPr>
        <w:ind w:left="3600" w:hanging="360"/>
      </w:pPr>
      <w:rPr>
        <w:rFonts w:ascii="Courier New" w:hAnsi="Courier New" w:hint="default"/>
      </w:rPr>
    </w:lvl>
    <w:lvl w:ilvl="5" w:tplc="3AFADB5E">
      <w:start w:val="1"/>
      <w:numFmt w:val="bullet"/>
      <w:lvlText w:val=""/>
      <w:lvlJc w:val="left"/>
      <w:pPr>
        <w:ind w:left="4320" w:hanging="360"/>
      </w:pPr>
      <w:rPr>
        <w:rFonts w:ascii="Wingdings" w:hAnsi="Wingdings" w:hint="default"/>
      </w:rPr>
    </w:lvl>
    <w:lvl w:ilvl="6" w:tplc="590A6F2A">
      <w:start w:val="1"/>
      <w:numFmt w:val="bullet"/>
      <w:lvlText w:val=""/>
      <w:lvlJc w:val="left"/>
      <w:pPr>
        <w:ind w:left="5040" w:hanging="360"/>
      </w:pPr>
      <w:rPr>
        <w:rFonts w:ascii="Symbol" w:hAnsi="Symbol" w:hint="default"/>
      </w:rPr>
    </w:lvl>
    <w:lvl w:ilvl="7" w:tplc="29004474">
      <w:start w:val="1"/>
      <w:numFmt w:val="bullet"/>
      <w:lvlText w:val="o"/>
      <w:lvlJc w:val="left"/>
      <w:pPr>
        <w:ind w:left="5760" w:hanging="360"/>
      </w:pPr>
      <w:rPr>
        <w:rFonts w:ascii="Courier New" w:hAnsi="Courier New" w:hint="default"/>
      </w:rPr>
    </w:lvl>
    <w:lvl w:ilvl="8" w:tplc="68F603A2">
      <w:start w:val="1"/>
      <w:numFmt w:val="bullet"/>
      <w:lvlText w:val=""/>
      <w:lvlJc w:val="left"/>
      <w:pPr>
        <w:ind w:left="6480" w:hanging="360"/>
      </w:pPr>
      <w:rPr>
        <w:rFonts w:ascii="Wingdings" w:hAnsi="Wingdings" w:hint="default"/>
      </w:rPr>
    </w:lvl>
  </w:abstractNum>
  <w:abstractNum w:abstractNumId="1" w15:restartNumberingAfterBreak="0">
    <w:nsid w:val="1054071E"/>
    <w:multiLevelType w:val="hybridMultilevel"/>
    <w:tmpl w:val="AE5EF62A"/>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18A223A0"/>
    <w:multiLevelType w:val="hybridMultilevel"/>
    <w:tmpl w:val="AFB43C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E3F6CC6"/>
    <w:multiLevelType w:val="hybridMultilevel"/>
    <w:tmpl w:val="07C6A4BC"/>
    <w:lvl w:ilvl="0" w:tplc="13CCF036">
      <w:start w:val="7"/>
      <w:numFmt w:val="bullet"/>
      <w:lvlText w:val=""/>
      <w:lvlJc w:val="left"/>
      <w:pPr>
        <w:ind w:left="720" w:hanging="360"/>
      </w:pPr>
      <w:rPr>
        <w:rFonts w:ascii="Wingdings" w:eastAsia="Times New Roman" w:hAnsi="Wingdings" w:cs="Frutiger LT Std 45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9900C7D"/>
    <w:multiLevelType w:val="multilevel"/>
    <w:tmpl w:val="9A06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1127E"/>
    <w:multiLevelType w:val="hybridMultilevel"/>
    <w:tmpl w:val="71C63C0E"/>
    <w:lvl w:ilvl="0" w:tplc="7592C142">
      <w:start w:val="7"/>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20E52EF"/>
    <w:multiLevelType w:val="hybridMultilevel"/>
    <w:tmpl w:val="B1548F3C"/>
    <w:lvl w:ilvl="0" w:tplc="DC203800">
      <w:start w:val="7"/>
      <w:numFmt w:val="bullet"/>
      <w:lvlText w:val=""/>
      <w:lvlJc w:val="left"/>
      <w:pPr>
        <w:ind w:left="720" w:hanging="360"/>
      </w:pPr>
      <w:rPr>
        <w:rFonts w:ascii="Wingdings" w:eastAsia="Times New Roman" w:hAnsi="Wingdings" w:cs="Frutiger LT Std 45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47E4D85"/>
    <w:multiLevelType w:val="hybridMultilevel"/>
    <w:tmpl w:val="01BCF15E"/>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8" w15:restartNumberingAfterBreak="0">
    <w:nsid w:val="4E5610AC"/>
    <w:multiLevelType w:val="multilevel"/>
    <w:tmpl w:val="8E80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0C505C"/>
    <w:multiLevelType w:val="multilevel"/>
    <w:tmpl w:val="1BB2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015675"/>
    <w:multiLevelType w:val="hybridMultilevel"/>
    <w:tmpl w:val="16E6ECB4"/>
    <w:lvl w:ilvl="0" w:tplc="5D0619FE">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99E2B88"/>
    <w:multiLevelType w:val="hybridMultilevel"/>
    <w:tmpl w:val="E312EDA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DE125F2"/>
    <w:multiLevelType w:val="hybridMultilevel"/>
    <w:tmpl w:val="C798B0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F4623D3"/>
    <w:multiLevelType w:val="hybridMultilevel"/>
    <w:tmpl w:val="3280B7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5383232"/>
    <w:multiLevelType w:val="hybridMultilevel"/>
    <w:tmpl w:val="D24099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9A34436"/>
    <w:multiLevelType w:val="multilevel"/>
    <w:tmpl w:val="2A6C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9E5A64"/>
    <w:multiLevelType w:val="multilevel"/>
    <w:tmpl w:val="F478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8E564F"/>
    <w:multiLevelType w:val="hybridMultilevel"/>
    <w:tmpl w:val="CC765A8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1038579">
    <w:abstractNumId w:val="11"/>
  </w:num>
  <w:num w:numId="2" w16cid:durableId="547375238">
    <w:abstractNumId w:val="1"/>
  </w:num>
  <w:num w:numId="3" w16cid:durableId="949512402">
    <w:abstractNumId w:val="7"/>
  </w:num>
  <w:num w:numId="4" w16cid:durableId="1740447127">
    <w:abstractNumId w:val="10"/>
  </w:num>
  <w:num w:numId="5" w16cid:durableId="1126239415">
    <w:abstractNumId w:val="3"/>
  </w:num>
  <w:num w:numId="6" w16cid:durableId="874000042">
    <w:abstractNumId w:val="6"/>
  </w:num>
  <w:num w:numId="7" w16cid:durableId="1560822182">
    <w:abstractNumId w:val="5"/>
  </w:num>
  <w:num w:numId="8" w16cid:durableId="1531147402">
    <w:abstractNumId w:val="2"/>
  </w:num>
  <w:num w:numId="9" w16cid:durableId="1777292616">
    <w:abstractNumId w:val="17"/>
  </w:num>
  <w:num w:numId="10" w16cid:durableId="1498423472">
    <w:abstractNumId w:val="15"/>
  </w:num>
  <w:num w:numId="11" w16cid:durableId="1920868587">
    <w:abstractNumId w:val="4"/>
  </w:num>
  <w:num w:numId="12" w16cid:durableId="1260410691">
    <w:abstractNumId w:val="13"/>
  </w:num>
  <w:num w:numId="13" w16cid:durableId="440302930">
    <w:abstractNumId w:val="14"/>
  </w:num>
  <w:num w:numId="14" w16cid:durableId="880480630">
    <w:abstractNumId w:val="0"/>
  </w:num>
  <w:num w:numId="15" w16cid:durableId="289215655">
    <w:abstractNumId w:val="12"/>
  </w:num>
  <w:num w:numId="16" w16cid:durableId="482939733">
    <w:abstractNumId w:val="9"/>
  </w:num>
  <w:num w:numId="17" w16cid:durableId="269365014">
    <w:abstractNumId w:val="8"/>
  </w:num>
  <w:num w:numId="18" w16cid:durableId="995842574">
    <w:abstractNumId w:val="16"/>
  </w:num>
  <w:num w:numId="19" w16cid:durableId="1892113594">
    <w:abstractNumId w:val="11"/>
  </w:num>
  <w:num w:numId="20" w16cid:durableId="1677265486">
    <w:abstractNumId w:val="11"/>
  </w:num>
  <w:num w:numId="21" w16cid:durableId="1867676535">
    <w:abstractNumId w:val="1"/>
  </w:num>
  <w:num w:numId="22" w16cid:durableId="438716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35"/>
    <w:rsid w:val="0000078A"/>
    <w:rsid w:val="00001142"/>
    <w:rsid w:val="00001ADA"/>
    <w:rsid w:val="00010825"/>
    <w:rsid w:val="00014195"/>
    <w:rsid w:val="00015AAC"/>
    <w:rsid w:val="000174EF"/>
    <w:rsid w:val="00022504"/>
    <w:rsid w:val="0002666F"/>
    <w:rsid w:val="00034AC6"/>
    <w:rsid w:val="00035AFA"/>
    <w:rsid w:val="00035BE7"/>
    <w:rsid w:val="00036662"/>
    <w:rsid w:val="000412E3"/>
    <w:rsid w:val="00041548"/>
    <w:rsid w:val="00043BB0"/>
    <w:rsid w:val="00043CB2"/>
    <w:rsid w:val="00043D23"/>
    <w:rsid w:val="000468B4"/>
    <w:rsid w:val="00046EC2"/>
    <w:rsid w:val="0005299B"/>
    <w:rsid w:val="00057137"/>
    <w:rsid w:val="00057553"/>
    <w:rsid w:val="00065170"/>
    <w:rsid w:val="0006520C"/>
    <w:rsid w:val="000743AE"/>
    <w:rsid w:val="000763A3"/>
    <w:rsid w:val="00077F94"/>
    <w:rsid w:val="00080529"/>
    <w:rsid w:val="00081F97"/>
    <w:rsid w:val="00085514"/>
    <w:rsid w:val="000874EF"/>
    <w:rsid w:val="00090D5A"/>
    <w:rsid w:val="00090FAE"/>
    <w:rsid w:val="0009179D"/>
    <w:rsid w:val="000918AF"/>
    <w:rsid w:val="000971BA"/>
    <w:rsid w:val="000A0585"/>
    <w:rsid w:val="000A0958"/>
    <w:rsid w:val="000A7DC0"/>
    <w:rsid w:val="000B206E"/>
    <w:rsid w:val="000B3540"/>
    <w:rsid w:val="000B43B5"/>
    <w:rsid w:val="000B4D8F"/>
    <w:rsid w:val="000B5A37"/>
    <w:rsid w:val="000B5F58"/>
    <w:rsid w:val="000C0CD8"/>
    <w:rsid w:val="000C58E3"/>
    <w:rsid w:val="000C7ED4"/>
    <w:rsid w:val="000C7F06"/>
    <w:rsid w:val="000D2CD2"/>
    <w:rsid w:val="000D74D1"/>
    <w:rsid w:val="000D7957"/>
    <w:rsid w:val="000E1FAA"/>
    <w:rsid w:val="000E6902"/>
    <w:rsid w:val="000F0178"/>
    <w:rsid w:val="000F0639"/>
    <w:rsid w:val="000F29A9"/>
    <w:rsid w:val="000F49B8"/>
    <w:rsid w:val="000F5700"/>
    <w:rsid w:val="000F5C8C"/>
    <w:rsid w:val="000F6DDE"/>
    <w:rsid w:val="000F74EA"/>
    <w:rsid w:val="000F76EF"/>
    <w:rsid w:val="00102395"/>
    <w:rsid w:val="001024DB"/>
    <w:rsid w:val="0010428E"/>
    <w:rsid w:val="00104424"/>
    <w:rsid w:val="0010470B"/>
    <w:rsid w:val="00104FDE"/>
    <w:rsid w:val="001068D6"/>
    <w:rsid w:val="0011048E"/>
    <w:rsid w:val="001104F8"/>
    <w:rsid w:val="00111783"/>
    <w:rsid w:val="00111FC8"/>
    <w:rsid w:val="00113B67"/>
    <w:rsid w:val="00114FCC"/>
    <w:rsid w:val="00115618"/>
    <w:rsid w:val="00120973"/>
    <w:rsid w:val="00122D4E"/>
    <w:rsid w:val="00123001"/>
    <w:rsid w:val="00124BBF"/>
    <w:rsid w:val="0012556D"/>
    <w:rsid w:val="00126E3E"/>
    <w:rsid w:val="001351F6"/>
    <w:rsid w:val="001379E0"/>
    <w:rsid w:val="0014120E"/>
    <w:rsid w:val="00142E4A"/>
    <w:rsid w:val="00142EB7"/>
    <w:rsid w:val="00142FE4"/>
    <w:rsid w:val="0014537F"/>
    <w:rsid w:val="00147043"/>
    <w:rsid w:val="001511E6"/>
    <w:rsid w:val="00151884"/>
    <w:rsid w:val="00153121"/>
    <w:rsid w:val="00153EF0"/>
    <w:rsid w:val="001546EF"/>
    <w:rsid w:val="0016038F"/>
    <w:rsid w:val="0016089A"/>
    <w:rsid w:val="00167AD4"/>
    <w:rsid w:val="00172C5F"/>
    <w:rsid w:val="00174351"/>
    <w:rsid w:val="00174A43"/>
    <w:rsid w:val="00174F07"/>
    <w:rsid w:val="00176D29"/>
    <w:rsid w:val="001814ED"/>
    <w:rsid w:val="00183883"/>
    <w:rsid w:val="00183FC8"/>
    <w:rsid w:val="00184520"/>
    <w:rsid w:val="00184550"/>
    <w:rsid w:val="00186558"/>
    <w:rsid w:val="00187DBD"/>
    <w:rsid w:val="001913A6"/>
    <w:rsid w:val="00192A21"/>
    <w:rsid w:val="001944B6"/>
    <w:rsid w:val="00196E9A"/>
    <w:rsid w:val="001A1DC3"/>
    <w:rsid w:val="001A2627"/>
    <w:rsid w:val="001A2F2E"/>
    <w:rsid w:val="001A383B"/>
    <w:rsid w:val="001A48B4"/>
    <w:rsid w:val="001A4CF5"/>
    <w:rsid w:val="001A517F"/>
    <w:rsid w:val="001A59BD"/>
    <w:rsid w:val="001A6854"/>
    <w:rsid w:val="001A68A5"/>
    <w:rsid w:val="001A7050"/>
    <w:rsid w:val="001B021B"/>
    <w:rsid w:val="001B3A94"/>
    <w:rsid w:val="001B6EEA"/>
    <w:rsid w:val="001C186E"/>
    <w:rsid w:val="001C366D"/>
    <w:rsid w:val="001E3E55"/>
    <w:rsid w:val="001F77E5"/>
    <w:rsid w:val="0020230C"/>
    <w:rsid w:val="0020272E"/>
    <w:rsid w:val="00205399"/>
    <w:rsid w:val="0020614B"/>
    <w:rsid w:val="00207731"/>
    <w:rsid w:val="00207AA5"/>
    <w:rsid w:val="00210602"/>
    <w:rsid w:val="00211BC5"/>
    <w:rsid w:val="00215243"/>
    <w:rsid w:val="0023029F"/>
    <w:rsid w:val="00232701"/>
    <w:rsid w:val="00232D32"/>
    <w:rsid w:val="0023495E"/>
    <w:rsid w:val="0023561B"/>
    <w:rsid w:val="00237CD2"/>
    <w:rsid w:val="0024370F"/>
    <w:rsid w:val="002454B1"/>
    <w:rsid w:val="002464AF"/>
    <w:rsid w:val="00246B4A"/>
    <w:rsid w:val="00250A0F"/>
    <w:rsid w:val="00260DE7"/>
    <w:rsid w:val="002664D8"/>
    <w:rsid w:val="00266CFB"/>
    <w:rsid w:val="0026747B"/>
    <w:rsid w:val="002751D8"/>
    <w:rsid w:val="00276CA4"/>
    <w:rsid w:val="00280103"/>
    <w:rsid w:val="00280783"/>
    <w:rsid w:val="00282373"/>
    <w:rsid w:val="00283AD6"/>
    <w:rsid w:val="00285097"/>
    <w:rsid w:val="0028641D"/>
    <w:rsid w:val="00286C6D"/>
    <w:rsid w:val="00292BF7"/>
    <w:rsid w:val="00292DC7"/>
    <w:rsid w:val="00292FB0"/>
    <w:rsid w:val="002937A8"/>
    <w:rsid w:val="0029450F"/>
    <w:rsid w:val="002A2167"/>
    <w:rsid w:val="002A3EED"/>
    <w:rsid w:val="002A4F80"/>
    <w:rsid w:val="002A5153"/>
    <w:rsid w:val="002A7C82"/>
    <w:rsid w:val="002B33EE"/>
    <w:rsid w:val="002B6724"/>
    <w:rsid w:val="002B6EED"/>
    <w:rsid w:val="002B7058"/>
    <w:rsid w:val="002B7E37"/>
    <w:rsid w:val="002C47A9"/>
    <w:rsid w:val="002C570F"/>
    <w:rsid w:val="002C57A1"/>
    <w:rsid w:val="002D1838"/>
    <w:rsid w:val="002D41D6"/>
    <w:rsid w:val="002D5406"/>
    <w:rsid w:val="002E1582"/>
    <w:rsid w:val="002E16F6"/>
    <w:rsid w:val="002E345D"/>
    <w:rsid w:val="002E484C"/>
    <w:rsid w:val="002E56BC"/>
    <w:rsid w:val="002F1F42"/>
    <w:rsid w:val="002F42DC"/>
    <w:rsid w:val="002F5BF1"/>
    <w:rsid w:val="0030257D"/>
    <w:rsid w:val="00304696"/>
    <w:rsid w:val="0030536D"/>
    <w:rsid w:val="00305B8D"/>
    <w:rsid w:val="00310080"/>
    <w:rsid w:val="00312ECE"/>
    <w:rsid w:val="00313269"/>
    <w:rsid w:val="00314450"/>
    <w:rsid w:val="00316A35"/>
    <w:rsid w:val="00317B8A"/>
    <w:rsid w:val="0032378A"/>
    <w:rsid w:val="0032483A"/>
    <w:rsid w:val="0033093A"/>
    <w:rsid w:val="00331000"/>
    <w:rsid w:val="00331464"/>
    <w:rsid w:val="00331FE0"/>
    <w:rsid w:val="00332EC6"/>
    <w:rsid w:val="00334FE2"/>
    <w:rsid w:val="0033614E"/>
    <w:rsid w:val="0033616C"/>
    <w:rsid w:val="00336E62"/>
    <w:rsid w:val="00341299"/>
    <w:rsid w:val="00345C6D"/>
    <w:rsid w:val="00351EF1"/>
    <w:rsid w:val="003522B1"/>
    <w:rsid w:val="003564DA"/>
    <w:rsid w:val="00361022"/>
    <w:rsid w:val="00362F24"/>
    <w:rsid w:val="00365432"/>
    <w:rsid w:val="00365B2D"/>
    <w:rsid w:val="00373BC8"/>
    <w:rsid w:val="00376F7C"/>
    <w:rsid w:val="00380556"/>
    <w:rsid w:val="00383497"/>
    <w:rsid w:val="00384FFF"/>
    <w:rsid w:val="00392288"/>
    <w:rsid w:val="00394E0A"/>
    <w:rsid w:val="003974B4"/>
    <w:rsid w:val="003A078B"/>
    <w:rsid w:val="003A2FD8"/>
    <w:rsid w:val="003A6AFA"/>
    <w:rsid w:val="003B1091"/>
    <w:rsid w:val="003B33A7"/>
    <w:rsid w:val="003B50C4"/>
    <w:rsid w:val="003B6F9C"/>
    <w:rsid w:val="003B7BCE"/>
    <w:rsid w:val="003C061F"/>
    <w:rsid w:val="003C2B22"/>
    <w:rsid w:val="003C3222"/>
    <w:rsid w:val="003C3DD3"/>
    <w:rsid w:val="003C5909"/>
    <w:rsid w:val="003C61C0"/>
    <w:rsid w:val="003D203C"/>
    <w:rsid w:val="003D3F8A"/>
    <w:rsid w:val="003D7283"/>
    <w:rsid w:val="003D7387"/>
    <w:rsid w:val="003D7BCE"/>
    <w:rsid w:val="003E092F"/>
    <w:rsid w:val="003E3D1F"/>
    <w:rsid w:val="003E40D5"/>
    <w:rsid w:val="003E4877"/>
    <w:rsid w:val="003E5A34"/>
    <w:rsid w:val="003E6ACF"/>
    <w:rsid w:val="003E7922"/>
    <w:rsid w:val="003F0833"/>
    <w:rsid w:val="003F33D1"/>
    <w:rsid w:val="003F3426"/>
    <w:rsid w:val="003F5CC2"/>
    <w:rsid w:val="004019CA"/>
    <w:rsid w:val="00402B68"/>
    <w:rsid w:val="00405C75"/>
    <w:rsid w:val="0041201E"/>
    <w:rsid w:val="00412E3E"/>
    <w:rsid w:val="0041539A"/>
    <w:rsid w:val="004155AF"/>
    <w:rsid w:val="00415E9D"/>
    <w:rsid w:val="00417FAB"/>
    <w:rsid w:val="0042011B"/>
    <w:rsid w:val="00421518"/>
    <w:rsid w:val="00422ACA"/>
    <w:rsid w:val="00423A75"/>
    <w:rsid w:val="00425286"/>
    <w:rsid w:val="00434A04"/>
    <w:rsid w:val="00436C15"/>
    <w:rsid w:val="00437725"/>
    <w:rsid w:val="00440FEE"/>
    <w:rsid w:val="00445662"/>
    <w:rsid w:val="00445D1E"/>
    <w:rsid w:val="0044692D"/>
    <w:rsid w:val="0045682E"/>
    <w:rsid w:val="0046365D"/>
    <w:rsid w:val="00473056"/>
    <w:rsid w:val="00477068"/>
    <w:rsid w:val="004817F5"/>
    <w:rsid w:val="004825A3"/>
    <w:rsid w:val="004830B1"/>
    <w:rsid w:val="0048443C"/>
    <w:rsid w:val="00490EBA"/>
    <w:rsid w:val="004A098E"/>
    <w:rsid w:val="004A2BFB"/>
    <w:rsid w:val="004A7740"/>
    <w:rsid w:val="004A7BF3"/>
    <w:rsid w:val="004B4521"/>
    <w:rsid w:val="004B5230"/>
    <w:rsid w:val="004C1A27"/>
    <w:rsid w:val="004C1FFA"/>
    <w:rsid w:val="004C4D9D"/>
    <w:rsid w:val="004C58B2"/>
    <w:rsid w:val="004C68E7"/>
    <w:rsid w:val="004C7958"/>
    <w:rsid w:val="004D0FA9"/>
    <w:rsid w:val="004D11C5"/>
    <w:rsid w:val="004D3096"/>
    <w:rsid w:val="004D47F8"/>
    <w:rsid w:val="004D6E90"/>
    <w:rsid w:val="004E03CC"/>
    <w:rsid w:val="004E084E"/>
    <w:rsid w:val="004E10BA"/>
    <w:rsid w:val="004E2E0A"/>
    <w:rsid w:val="004E49BA"/>
    <w:rsid w:val="004E6023"/>
    <w:rsid w:val="004E754F"/>
    <w:rsid w:val="004F00B4"/>
    <w:rsid w:val="004F1953"/>
    <w:rsid w:val="004F38E1"/>
    <w:rsid w:val="00501B13"/>
    <w:rsid w:val="00502E1E"/>
    <w:rsid w:val="00504878"/>
    <w:rsid w:val="00504CAF"/>
    <w:rsid w:val="00506D58"/>
    <w:rsid w:val="00510648"/>
    <w:rsid w:val="00513CA0"/>
    <w:rsid w:val="0051470B"/>
    <w:rsid w:val="0051567E"/>
    <w:rsid w:val="005159F0"/>
    <w:rsid w:val="00515B25"/>
    <w:rsid w:val="005160ED"/>
    <w:rsid w:val="00520E00"/>
    <w:rsid w:val="00522FB0"/>
    <w:rsid w:val="00532510"/>
    <w:rsid w:val="005367C5"/>
    <w:rsid w:val="00541DEA"/>
    <w:rsid w:val="00543C16"/>
    <w:rsid w:val="00544A27"/>
    <w:rsid w:val="0054641A"/>
    <w:rsid w:val="00551DA6"/>
    <w:rsid w:val="00552783"/>
    <w:rsid w:val="00553DA6"/>
    <w:rsid w:val="0055404A"/>
    <w:rsid w:val="00554C7A"/>
    <w:rsid w:val="005562D1"/>
    <w:rsid w:val="00557B85"/>
    <w:rsid w:val="0056147E"/>
    <w:rsid w:val="00563B76"/>
    <w:rsid w:val="00566BA8"/>
    <w:rsid w:val="0057087C"/>
    <w:rsid w:val="00571DFE"/>
    <w:rsid w:val="00572DEB"/>
    <w:rsid w:val="005827D7"/>
    <w:rsid w:val="00585DE0"/>
    <w:rsid w:val="005868CE"/>
    <w:rsid w:val="00586AE9"/>
    <w:rsid w:val="00587F45"/>
    <w:rsid w:val="005935D8"/>
    <w:rsid w:val="00596F07"/>
    <w:rsid w:val="00597E71"/>
    <w:rsid w:val="005A0940"/>
    <w:rsid w:val="005A46DF"/>
    <w:rsid w:val="005A49C9"/>
    <w:rsid w:val="005B1678"/>
    <w:rsid w:val="005B4416"/>
    <w:rsid w:val="005B447F"/>
    <w:rsid w:val="005B45AB"/>
    <w:rsid w:val="005B6187"/>
    <w:rsid w:val="005C1920"/>
    <w:rsid w:val="005C2A2B"/>
    <w:rsid w:val="005C47A2"/>
    <w:rsid w:val="005C640E"/>
    <w:rsid w:val="005C6841"/>
    <w:rsid w:val="005C7563"/>
    <w:rsid w:val="005D153E"/>
    <w:rsid w:val="005D62B7"/>
    <w:rsid w:val="005D67BA"/>
    <w:rsid w:val="005D74F5"/>
    <w:rsid w:val="005D79EA"/>
    <w:rsid w:val="005E189A"/>
    <w:rsid w:val="005E2FBF"/>
    <w:rsid w:val="005E3305"/>
    <w:rsid w:val="005E41F7"/>
    <w:rsid w:val="005E4CF3"/>
    <w:rsid w:val="005E4F74"/>
    <w:rsid w:val="005E5F91"/>
    <w:rsid w:val="005E62EA"/>
    <w:rsid w:val="005E682B"/>
    <w:rsid w:val="005F3F29"/>
    <w:rsid w:val="005F6407"/>
    <w:rsid w:val="005F70A9"/>
    <w:rsid w:val="0060137D"/>
    <w:rsid w:val="006033BE"/>
    <w:rsid w:val="00607BDA"/>
    <w:rsid w:val="00620CAF"/>
    <w:rsid w:val="00620EAC"/>
    <w:rsid w:val="0062182F"/>
    <w:rsid w:val="006241D4"/>
    <w:rsid w:val="0063061C"/>
    <w:rsid w:val="00631309"/>
    <w:rsid w:val="006334BF"/>
    <w:rsid w:val="00633C49"/>
    <w:rsid w:val="006344DC"/>
    <w:rsid w:val="00637932"/>
    <w:rsid w:val="00637CDE"/>
    <w:rsid w:val="00644F52"/>
    <w:rsid w:val="00645187"/>
    <w:rsid w:val="006451A0"/>
    <w:rsid w:val="00645E9B"/>
    <w:rsid w:val="00645F2F"/>
    <w:rsid w:val="00646E80"/>
    <w:rsid w:val="0064777D"/>
    <w:rsid w:val="00654200"/>
    <w:rsid w:val="00654C77"/>
    <w:rsid w:val="0066554D"/>
    <w:rsid w:val="0067122A"/>
    <w:rsid w:val="00673728"/>
    <w:rsid w:val="00676E60"/>
    <w:rsid w:val="00677927"/>
    <w:rsid w:val="00683C71"/>
    <w:rsid w:val="0068467D"/>
    <w:rsid w:val="00684DFF"/>
    <w:rsid w:val="0068715E"/>
    <w:rsid w:val="0069100A"/>
    <w:rsid w:val="00691685"/>
    <w:rsid w:val="00692C0E"/>
    <w:rsid w:val="0069604E"/>
    <w:rsid w:val="00696677"/>
    <w:rsid w:val="00696BE3"/>
    <w:rsid w:val="00697722"/>
    <w:rsid w:val="006A16A6"/>
    <w:rsid w:val="006A2882"/>
    <w:rsid w:val="006A418E"/>
    <w:rsid w:val="006A4D82"/>
    <w:rsid w:val="006A5900"/>
    <w:rsid w:val="006A7B09"/>
    <w:rsid w:val="006B3D25"/>
    <w:rsid w:val="006B687F"/>
    <w:rsid w:val="006C165F"/>
    <w:rsid w:val="006C2020"/>
    <w:rsid w:val="006C23F0"/>
    <w:rsid w:val="006C3AAC"/>
    <w:rsid w:val="006C7D99"/>
    <w:rsid w:val="006D29DE"/>
    <w:rsid w:val="006D2C83"/>
    <w:rsid w:val="006D594C"/>
    <w:rsid w:val="006D5C6C"/>
    <w:rsid w:val="006D5FEA"/>
    <w:rsid w:val="006D68B8"/>
    <w:rsid w:val="006D7444"/>
    <w:rsid w:val="006E63CD"/>
    <w:rsid w:val="006E7483"/>
    <w:rsid w:val="006F0606"/>
    <w:rsid w:val="006F53A1"/>
    <w:rsid w:val="006F79AF"/>
    <w:rsid w:val="00702BFE"/>
    <w:rsid w:val="0071136A"/>
    <w:rsid w:val="00712B1B"/>
    <w:rsid w:val="00712FCA"/>
    <w:rsid w:val="007159AC"/>
    <w:rsid w:val="0071661F"/>
    <w:rsid w:val="00726C66"/>
    <w:rsid w:val="00727B4C"/>
    <w:rsid w:val="007305F2"/>
    <w:rsid w:val="00730E61"/>
    <w:rsid w:val="007326CF"/>
    <w:rsid w:val="007350BC"/>
    <w:rsid w:val="00735B27"/>
    <w:rsid w:val="0073626D"/>
    <w:rsid w:val="00741DE3"/>
    <w:rsid w:val="00743EAE"/>
    <w:rsid w:val="00747F95"/>
    <w:rsid w:val="00751346"/>
    <w:rsid w:val="00753C6B"/>
    <w:rsid w:val="00754760"/>
    <w:rsid w:val="007550CD"/>
    <w:rsid w:val="00757D9E"/>
    <w:rsid w:val="0076349F"/>
    <w:rsid w:val="0076430D"/>
    <w:rsid w:val="00773372"/>
    <w:rsid w:val="0077450F"/>
    <w:rsid w:val="00774596"/>
    <w:rsid w:val="00775C49"/>
    <w:rsid w:val="00781C95"/>
    <w:rsid w:val="00790E83"/>
    <w:rsid w:val="00790EB6"/>
    <w:rsid w:val="0079178C"/>
    <w:rsid w:val="00791E80"/>
    <w:rsid w:val="007931A3"/>
    <w:rsid w:val="007A115C"/>
    <w:rsid w:val="007A28C0"/>
    <w:rsid w:val="007A664A"/>
    <w:rsid w:val="007B17BA"/>
    <w:rsid w:val="007B3E49"/>
    <w:rsid w:val="007C1DA7"/>
    <w:rsid w:val="007C46DE"/>
    <w:rsid w:val="007C48DA"/>
    <w:rsid w:val="007C49D5"/>
    <w:rsid w:val="007D1110"/>
    <w:rsid w:val="007D516B"/>
    <w:rsid w:val="007D6B18"/>
    <w:rsid w:val="007E7A39"/>
    <w:rsid w:val="007F01C5"/>
    <w:rsid w:val="007F0F75"/>
    <w:rsid w:val="007F236B"/>
    <w:rsid w:val="007F3D9A"/>
    <w:rsid w:val="007F523F"/>
    <w:rsid w:val="007F6A61"/>
    <w:rsid w:val="007F7C60"/>
    <w:rsid w:val="008002DC"/>
    <w:rsid w:val="0080245E"/>
    <w:rsid w:val="00804AA4"/>
    <w:rsid w:val="00804AB0"/>
    <w:rsid w:val="00804C83"/>
    <w:rsid w:val="0081128F"/>
    <w:rsid w:val="008116EA"/>
    <w:rsid w:val="008119E7"/>
    <w:rsid w:val="0081307B"/>
    <w:rsid w:val="00813F68"/>
    <w:rsid w:val="00815444"/>
    <w:rsid w:val="00817400"/>
    <w:rsid w:val="0082235C"/>
    <w:rsid w:val="008269EF"/>
    <w:rsid w:val="0083203B"/>
    <w:rsid w:val="00834D92"/>
    <w:rsid w:val="00836D1B"/>
    <w:rsid w:val="00840377"/>
    <w:rsid w:val="008421D2"/>
    <w:rsid w:val="00842B9B"/>
    <w:rsid w:val="0084428F"/>
    <w:rsid w:val="00845AFB"/>
    <w:rsid w:val="00845F9C"/>
    <w:rsid w:val="00846B66"/>
    <w:rsid w:val="008472F8"/>
    <w:rsid w:val="008521BB"/>
    <w:rsid w:val="00852B3D"/>
    <w:rsid w:val="008541FD"/>
    <w:rsid w:val="00855974"/>
    <w:rsid w:val="00855BD7"/>
    <w:rsid w:val="00860E0E"/>
    <w:rsid w:val="008618FD"/>
    <w:rsid w:val="00862E2D"/>
    <w:rsid w:val="0086310D"/>
    <w:rsid w:val="00866809"/>
    <w:rsid w:val="0086699F"/>
    <w:rsid w:val="00871D18"/>
    <w:rsid w:val="00885DA3"/>
    <w:rsid w:val="00887FDE"/>
    <w:rsid w:val="00891DBD"/>
    <w:rsid w:val="00891E3A"/>
    <w:rsid w:val="00892459"/>
    <w:rsid w:val="00893A5C"/>
    <w:rsid w:val="008963F1"/>
    <w:rsid w:val="00897CA6"/>
    <w:rsid w:val="008B05B6"/>
    <w:rsid w:val="008B184B"/>
    <w:rsid w:val="008B2620"/>
    <w:rsid w:val="008B2D09"/>
    <w:rsid w:val="008B32B5"/>
    <w:rsid w:val="008B3AEA"/>
    <w:rsid w:val="008C0ACA"/>
    <w:rsid w:val="008C16BF"/>
    <w:rsid w:val="008C248B"/>
    <w:rsid w:val="008D04D1"/>
    <w:rsid w:val="008D0E0D"/>
    <w:rsid w:val="008D30B5"/>
    <w:rsid w:val="008D7D24"/>
    <w:rsid w:val="008E1713"/>
    <w:rsid w:val="008E209D"/>
    <w:rsid w:val="008E2794"/>
    <w:rsid w:val="008E4DC6"/>
    <w:rsid w:val="008E697F"/>
    <w:rsid w:val="008E69A8"/>
    <w:rsid w:val="008E712E"/>
    <w:rsid w:val="008F181B"/>
    <w:rsid w:val="008F2346"/>
    <w:rsid w:val="008F3765"/>
    <w:rsid w:val="008F4694"/>
    <w:rsid w:val="008F5AC9"/>
    <w:rsid w:val="00904726"/>
    <w:rsid w:val="009102CA"/>
    <w:rsid w:val="00912E28"/>
    <w:rsid w:val="009210D6"/>
    <w:rsid w:val="00922AA1"/>
    <w:rsid w:val="009260F8"/>
    <w:rsid w:val="009333B2"/>
    <w:rsid w:val="009341ED"/>
    <w:rsid w:val="009349A8"/>
    <w:rsid w:val="00934F78"/>
    <w:rsid w:val="0093744B"/>
    <w:rsid w:val="009406F7"/>
    <w:rsid w:val="00941318"/>
    <w:rsid w:val="009427AD"/>
    <w:rsid w:val="00942C2C"/>
    <w:rsid w:val="009439AC"/>
    <w:rsid w:val="00943C47"/>
    <w:rsid w:val="009471AB"/>
    <w:rsid w:val="009475FB"/>
    <w:rsid w:val="00951A8F"/>
    <w:rsid w:val="0095301B"/>
    <w:rsid w:val="00954121"/>
    <w:rsid w:val="00954F9B"/>
    <w:rsid w:val="00956331"/>
    <w:rsid w:val="0095640A"/>
    <w:rsid w:val="00961C51"/>
    <w:rsid w:val="00964742"/>
    <w:rsid w:val="009648BC"/>
    <w:rsid w:val="00964989"/>
    <w:rsid w:val="0096552F"/>
    <w:rsid w:val="00970D51"/>
    <w:rsid w:val="00972693"/>
    <w:rsid w:val="009771DD"/>
    <w:rsid w:val="00980A92"/>
    <w:rsid w:val="009855E7"/>
    <w:rsid w:val="00986F3E"/>
    <w:rsid w:val="009870D9"/>
    <w:rsid w:val="00991CC7"/>
    <w:rsid w:val="00992227"/>
    <w:rsid w:val="00997ABE"/>
    <w:rsid w:val="009A06C3"/>
    <w:rsid w:val="009A2D62"/>
    <w:rsid w:val="009A32FD"/>
    <w:rsid w:val="009A3DA3"/>
    <w:rsid w:val="009A7505"/>
    <w:rsid w:val="009A7ECD"/>
    <w:rsid w:val="009C3D40"/>
    <w:rsid w:val="009C41C3"/>
    <w:rsid w:val="009C42DB"/>
    <w:rsid w:val="009C515F"/>
    <w:rsid w:val="009C7130"/>
    <w:rsid w:val="009C7AEA"/>
    <w:rsid w:val="009D280F"/>
    <w:rsid w:val="009D54B4"/>
    <w:rsid w:val="009D5C52"/>
    <w:rsid w:val="009D76BF"/>
    <w:rsid w:val="009E0C1A"/>
    <w:rsid w:val="009E6CFA"/>
    <w:rsid w:val="009F1E28"/>
    <w:rsid w:val="009F2C6B"/>
    <w:rsid w:val="009F424A"/>
    <w:rsid w:val="009F4B8E"/>
    <w:rsid w:val="009F56C8"/>
    <w:rsid w:val="00A04CCE"/>
    <w:rsid w:val="00A05D50"/>
    <w:rsid w:val="00A06614"/>
    <w:rsid w:val="00A06F2A"/>
    <w:rsid w:val="00A07970"/>
    <w:rsid w:val="00A12A89"/>
    <w:rsid w:val="00A1543B"/>
    <w:rsid w:val="00A22697"/>
    <w:rsid w:val="00A22743"/>
    <w:rsid w:val="00A24BD7"/>
    <w:rsid w:val="00A2501C"/>
    <w:rsid w:val="00A2755A"/>
    <w:rsid w:val="00A27622"/>
    <w:rsid w:val="00A277EE"/>
    <w:rsid w:val="00A308BE"/>
    <w:rsid w:val="00A3454B"/>
    <w:rsid w:val="00A34C39"/>
    <w:rsid w:val="00A36559"/>
    <w:rsid w:val="00A368EB"/>
    <w:rsid w:val="00A5158E"/>
    <w:rsid w:val="00A5434D"/>
    <w:rsid w:val="00A57B08"/>
    <w:rsid w:val="00A63075"/>
    <w:rsid w:val="00A63735"/>
    <w:rsid w:val="00A6446C"/>
    <w:rsid w:val="00A71CE9"/>
    <w:rsid w:val="00A727DC"/>
    <w:rsid w:val="00A76455"/>
    <w:rsid w:val="00A769FE"/>
    <w:rsid w:val="00A7789E"/>
    <w:rsid w:val="00A77B2B"/>
    <w:rsid w:val="00A83295"/>
    <w:rsid w:val="00A87BE2"/>
    <w:rsid w:val="00AA3D36"/>
    <w:rsid w:val="00AA6D4C"/>
    <w:rsid w:val="00AB07E4"/>
    <w:rsid w:val="00AB139A"/>
    <w:rsid w:val="00AB3585"/>
    <w:rsid w:val="00AB73E7"/>
    <w:rsid w:val="00AC17B7"/>
    <w:rsid w:val="00AC5BDE"/>
    <w:rsid w:val="00AD099F"/>
    <w:rsid w:val="00AD7D02"/>
    <w:rsid w:val="00AE0656"/>
    <w:rsid w:val="00AE0944"/>
    <w:rsid w:val="00AE1148"/>
    <w:rsid w:val="00AE1EB3"/>
    <w:rsid w:val="00AE5279"/>
    <w:rsid w:val="00AE54F0"/>
    <w:rsid w:val="00AE5760"/>
    <w:rsid w:val="00AE5E1E"/>
    <w:rsid w:val="00AF0C42"/>
    <w:rsid w:val="00AF19F2"/>
    <w:rsid w:val="00AF50AF"/>
    <w:rsid w:val="00AF706E"/>
    <w:rsid w:val="00AF77F2"/>
    <w:rsid w:val="00B013F1"/>
    <w:rsid w:val="00B01898"/>
    <w:rsid w:val="00B02683"/>
    <w:rsid w:val="00B04B44"/>
    <w:rsid w:val="00B05818"/>
    <w:rsid w:val="00B05ECC"/>
    <w:rsid w:val="00B1030A"/>
    <w:rsid w:val="00B10380"/>
    <w:rsid w:val="00B11260"/>
    <w:rsid w:val="00B1135B"/>
    <w:rsid w:val="00B1270C"/>
    <w:rsid w:val="00B13A4E"/>
    <w:rsid w:val="00B166B9"/>
    <w:rsid w:val="00B17823"/>
    <w:rsid w:val="00B20D83"/>
    <w:rsid w:val="00B212AB"/>
    <w:rsid w:val="00B22CA6"/>
    <w:rsid w:val="00B23439"/>
    <w:rsid w:val="00B2571D"/>
    <w:rsid w:val="00B30B14"/>
    <w:rsid w:val="00B32BC9"/>
    <w:rsid w:val="00B34D9A"/>
    <w:rsid w:val="00B370A2"/>
    <w:rsid w:val="00B371F5"/>
    <w:rsid w:val="00B37628"/>
    <w:rsid w:val="00B37F61"/>
    <w:rsid w:val="00B40219"/>
    <w:rsid w:val="00B41F00"/>
    <w:rsid w:val="00B45C27"/>
    <w:rsid w:val="00B46105"/>
    <w:rsid w:val="00B46573"/>
    <w:rsid w:val="00B5003D"/>
    <w:rsid w:val="00B60C64"/>
    <w:rsid w:val="00B6236B"/>
    <w:rsid w:val="00B679C1"/>
    <w:rsid w:val="00B74C8A"/>
    <w:rsid w:val="00B74D12"/>
    <w:rsid w:val="00B77D37"/>
    <w:rsid w:val="00B80D8C"/>
    <w:rsid w:val="00B85EC3"/>
    <w:rsid w:val="00B87CF3"/>
    <w:rsid w:val="00B87DDA"/>
    <w:rsid w:val="00B915D7"/>
    <w:rsid w:val="00B923BD"/>
    <w:rsid w:val="00B93AD1"/>
    <w:rsid w:val="00B95382"/>
    <w:rsid w:val="00B97186"/>
    <w:rsid w:val="00BA6356"/>
    <w:rsid w:val="00BB568D"/>
    <w:rsid w:val="00BB72BC"/>
    <w:rsid w:val="00BC0E12"/>
    <w:rsid w:val="00BC5B9D"/>
    <w:rsid w:val="00BC6F1D"/>
    <w:rsid w:val="00BC79DD"/>
    <w:rsid w:val="00BD0186"/>
    <w:rsid w:val="00BD02F1"/>
    <w:rsid w:val="00BD032D"/>
    <w:rsid w:val="00BD141F"/>
    <w:rsid w:val="00BD2EA2"/>
    <w:rsid w:val="00BD6C58"/>
    <w:rsid w:val="00BD707B"/>
    <w:rsid w:val="00BE21C6"/>
    <w:rsid w:val="00BE22C3"/>
    <w:rsid w:val="00BE294F"/>
    <w:rsid w:val="00BE3862"/>
    <w:rsid w:val="00BE5556"/>
    <w:rsid w:val="00BE5B9B"/>
    <w:rsid w:val="00BE697C"/>
    <w:rsid w:val="00BE6E55"/>
    <w:rsid w:val="00BF1A7B"/>
    <w:rsid w:val="00BF3499"/>
    <w:rsid w:val="00BF6346"/>
    <w:rsid w:val="00BF7006"/>
    <w:rsid w:val="00C024DA"/>
    <w:rsid w:val="00C034FF"/>
    <w:rsid w:val="00C04D57"/>
    <w:rsid w:val="00C07461"/>
    <w:rsid w:val="00C2001E"/>
    <w:rsid w:val="00C2027F"/>
    <w:rsid w:val="00C22070"/>
    <w:rsid w:val="00C22B0F"/>
    <w:rsid w:val="00C25F1E"/>
    <w:rsid w:val="00C404DD"/>
    <w:rsid w:val="00C40BD1"/>
    <w:rsid w:val="00C426A3"/>
    <w:rsid w:val="00C43E8F"/>
    <w:rsid w:val="00C449C7"/>
    <w:rsid w:val="00C44E79"/>
    <w:rsid w:val="00C46413"/>
    <w:rsid w:val="00C47D17"/>
    <w:rsid w:val="00C500AF"/>
    <w:rsid w:val="00C54E9C"/>
    <w:rsid w:val="00C55877"/>
    <w:rsid w:val="00C560F8"/>
    <w:rsid w:val="00C62D39"/>
    <w:rsid w:val="00C66A46"/>
    <w:rsid w:val="00C70502"/>
    <w:rsid w:val="00C72EAE"/>
    <w:rsid w:val="00C7312B"/>
    <w:rsid w:val="00C7439D"/>
    <w:rsid w:val="00C765D8"/>
    <w:rsid w:val="00C76849"/>
    <w:rsid w:val="00C80F7F"/>
    <w:rsid w:val="00C87767"/>
    <w:rsid w:val="00C87FEB"/>
    <w:rsid w:val="00C9321B"/>
    <w:rsid w:val="00CA50EC"/>
    <w:rsid w:val="00CA57B7"/>
    <w:rsid w:val="00CA5900"/>
    <w:rsid w:val="00CA7285"/>
    <w:rsid w:val="00CB2496"/>
    <w:rsid w:val="00CC0EAF"/>
    <w:rsid w:val="00CC1BA5"/>
    <w:rsid w:val="00CC269F"/>
    <w:rsid w:val="00CC56CB"/>
    <w:rsid w:val="00CC5BB4"/>
    <w:rsid w:val="00CD3685"/>
    <w:rsid w:val="00CD4732"/>
    <w:rsid w:val="00CD6835"/>
    <w:rsid w:val="00CD6C9D"/>
    <w:rsid w:val="00CE28AF"/>
    <w:rsid w:val="00CE2B23"/>
    <w:rsid w:val="00CE2D41"/>
    <w:rsid w:val="00CE4C42"/>
    <w:rsid w:val="00CE506D"/>
    <w:rsid w:val="00CE52AC"/>
    <w:rsid w:val="00CE5931"/>
    <w:rsid w:val="00CE5F22"/>
    <w:rsid w:val="00CF20CA"/>
    <w:rsid w:val="00CF3386"/>
    <w:rsid w:val="00CF3893"/>
    <w:rsid w:val="00CF4A60"/>
    <w:rsid w:val="00CF51C6"/>
    <w:rsid w:val="00CF5C9A"/>
    <w:rsid w:val="00D02172"/>
    <w:rsid w:val="00D04866"/>
    <w:rsid w:val="00D11486"/>
    <w:rsid w:val="00D12205"/>
    <w:rsid w:val="00D14E6E"/>
    <w:rsid w:val="00D154EC"/>
    <w:rsid w:val="00D21111"/>
    <w:rsid w:val="00D23294"/>
    <w:rsid w:val="00D2605B"/>
    <w:rsid w:val="00D3334C"/>
    <w:rsid w:val="00D33CCD"/>
    <w:rsid w:val="00D363A1"/>
    <w:rsid w:val="00D40D1A"/>
    <w:rsid w:val="00D422CA"/>
    <w:rsid w:val="00D42500"/>
    <w:rsid w:val="00D4455F"/>
    <w:rsid w:val="00D46E25"/>
    <w:rsid w:val="00D55447"/>
    <w:rsid w:val="00D57000"/>
    <w:rsid w:val="00D600F0"/>
    <w:rsid w:val="00D61E36"/>
    <w:rsid w:val="00D650A2"/>
    <w:rsid w:val="00D652F0"/>
    <w:rsid w:val="00D66A3B"/>
    <w:rsid w:val="00D7087C"/>
    <w:rsid w:val="00D716B3"/>
    <w:rsid w:val="00D7275E"/>
    <w:rsid w:val="00D73DD9"/>
    <w:rsid w:val="00D73DEE"/>
    <w:rsid w:val="00D74DC6"/>
    <w:rsid w:val="00D84FB7"/>
    <w:rsid w:val="00D969C4"/>
    <w:rsid w:val="00DA18C3"/>
    <w:rsid w:val="00DA1A7E"/>
    <w:rsid w:val="00DA35B1"/>
    <w:rsid w:val="00DA35E2"/>
    <w:rsid w:val="00DA395C"/>
    <w:rsid w:val="00DA3CBE"/>
    <w:rsid w:val="00DA5201"/>
    <w:rsid w:val="00DA642B"/>
    <w:rsid w:val="00DB1F3F"/>
    <w:rsid w:val="00DB4175"/>
    <w:rsid w:val="00DB5139"/>
    <w:rsid w:val="00DC39AF"/>
    <w:rsid w:val="00DC402D"/>
    <w:rsid w:val="00DC54D1"/>
    <w:rsid w:val="00DC7843"/>
    <w:rsid w:val="00DD2736"/>
    <w:rsid w:val="00DD491D"/>
    <w:rsid w:val="00DD5176"/>
    <w:rsid w:val="00DD6A05"/>
    <w:rsid w:val="00DE431E"/>
    <w:rsid w:val="00DF1193"/>
    <w:rsid w:val="00DF62C0"/>
    <w:rsid w:val="00DF7A32"/>
    <w:rsid w:val="00E0177E"/>
    <w:rsid w:val="00E01DE5"/>
    <w:rsid w:val="00E02C80"/>
    <w:rsid w:val="00E030A8"/>
    <w:rsid w:val="00E03974"/>
    <w:rsid w:val="00E04190"/>
    <w:rsid w:val="00E045BB"/>
    <w:rsid w:val="00E054AB"/>
    <w:rsid w:val="00E06111"/>
    <w:rsid w:val="00E064AF"/>
    <w:rsid w:val="00E07C05"/>
    <w:rsid w:val="00E11F68"/>
    <w:rsid w:val="00E15310"/>
    <w:rsid w:val="00E23C5F"/>
    <w:rsid w:val="00E24B62"/>
    <w:rsid w:val="00E272A0"/>
    <w:rsid w:val="00E343C8"/>
    <w:rsid w:val="00E36034"/>
    <w:rsid w:val="00E41C76"/>
    <w:rsid w:val="00E41F43"/>
    <w:rsid w:val="00E42608"/>
    <w:rsid w:val="00E45CBF"/>
    <w:rsid w:val="00E503E2"/>
    <w:rsid w:val="00E51758"/>
    <w:rsid w:val="00E5181C"/>
    <w:rsid w:val="00E51A24"/>
    <w:rsid w:val="00E52D0E"/>
    <w:rsid w:val="00E53512"/>
    <w:rsid w:val="00E53EE6"/>
    <w:rsid w:val="00E5481B"/>
    <w:rsid w:val="00E5553A"/>
    <w:rsid w:val="00E55E44"/>
    <w:rsid w:val="00E5632F"/>
    <w:rsid w:val="00E568C0"/>
    <w:rsid w:val="00E570F8"/>
    <w:rsid w:val="00E57643"/>
    <w:rsid w:val="00E62AFC"/>
    <w:rsid w:val="00E62C2B"/>
    <w:rsid w:val="00E63B3E"/>
    <w:rsid w:val="00E6525D"/>
    <w:rsid w:val="00E65E99"/>
    <w:rsid w:val="00E66B85"/>
    <w:rsid w:val="00E66F52"/>
    <w:rsid w:val="00E67474"/>
    <w:rsid w:val="00E70BCA"/>
    <w:rsid w:val="00E7145A"/>
    <w:rsid w:val="00E71AB8"/>
    <w:rsid w:val="00E71CD6"/>
    <w:rsid w:val="00E7508B"/>
    <w:rsid w:val="00E75859"/>
    <w:rsid w:val="00E75AE5"/>
    <w:rsid w:val="00E82BD3"/>
    <w:rsid w:val="00E82D50"/>
    <w:rsid w:val="00E83974"/>
    <w:rsid w:val="00E84DA5"/>
    <w:rsid w:val="00E8521A"/>
    <w:rsid w:val="00E867B8"/>
    <w:rsid w:val="00E905AE"/>
    <w:rsid w:val="00E910FB"/>
    <w:rsid w:val="00E919C7"/>
    <w:rsid w:val="00E91ED0"/>
    <w:rsid w:val="00E929BE"/>
    <w:rsid w:val="00E93314"/>
    <w:rsid w:val="00E966CB"/>
    <w:rsid w:val="00E96AC8"/>
    <w:rsid w:val="00E96BDD"/>
    <w:rsid w:val="00EA07D0"/>
    <w:rsid w:val="00EA6B95"/>
    <w:rsid w:val="00EA7416"/>
    <w:rsid w:val="00EB0210"/>
    <w:rsid w:val="00EB2900"/>
    <w:rsid w:val="00EB3A47"/>
    <w:rsid w:val="00EB64C3"/>
    <w:rsid w:val="00EC32F7"/>
    <w:rsid w:val="00EC4FC5"/>
    <w:rsid w:val="00EC5509"/>
    <w:rsid w:val="00EC7469"/>
    <w:rsid w:val="00ED3A58"/>
    <w:rsid w:val="00ED6DE9"/>
    <w:rsid w:val="00ED7D19"/>
    <w:rsid w:val="00EE203A"/>
    <w:rsid w:val="00EF4B36"/>
    <w:rsid w:val="00EF6699"/>
    <w:rsid w:val="00EF6BC0"/>
    <w:rsid w:val="00F04B69"/>
    <w:rsid w:val="00F05582"/>
    <w:rsid w:val="00F05AEF"/>
    <w:rsid w:val="00F11137"/>
    <w:rsid w:val="00F118D1"/>
    <w:rsid w:val="00F230B4"/>
    <w:rsid w:val="00F24964"/>
    <w:rsid w:val="00F30D1E"/>
    <w:rsid w:val="00F34135"/>
    <w:rsid w:val="00F365E5"/>
    <w:rsid w:val="00F41770"/>
    <w:rsid w:val="00F4236E"/>
    <w:rsid w:val="00F451D4"/>
    <w:rsid w:val="00F46BD2"/>
    <w:rsid w:val="00F5320C"/>
    <w:rsid w:val="00F54FEC"/>
    <w:rsid w:val="00F56FC9"/>
    <w:rsid w:val="00F5724D"/>
    <w:rsid w:val="00F60E75"/>
    <w:rsid w:val="00F64C53"/>
    <w:rsid w:val="00F65F76"/>
    <w:rsid w:val="00F703B1"/>
    <w:rsid w:val="00F70E3A"/>
    <w:rsid w:val="00F71D36"/>
    <w:rsid w:val="00F7580E"/>
    <w:rsid w:val="00F81BF8"/>
    <w:rsid w:val="00F82C87"/>
    <w:rsid w:val="00F840C4"/>
    <w:rsid w:val="00F8705B"/>
    <w:rsid w:val="00F93B04"/>
    <w:rsid w:val="00F950E8"/>
    <w:rsid w:val="00FA2F63"/>
    <w:rsid w:val="00FA3752"/>
    <w:rsid w:val="00FA660C"/>
    <w:rsid w:val="00FB238F"/>
    <w:rsid w:val="00FC0AAA"/>
    <w:rsid w:val="00FC1F52"/>
    <w:rsid w:val="00FC2EDE"/>
    <w:rsid w:val="00FC693E"/>
    <w:rsid w:val="00FD28A3"/>
    <w:rsid w:val="00FD3613"/>
    <w:rsid w:val="00FD39C6"/>
    <w:rsid w:val="00FD44C7"/>
    <w:rsid w:val="00FD4CFF"/>
    <w:rsid w:val="00FD5F8E"/>
    <w:rsid w:val="00FE210C"/>
    <w:rsid w:val="00FE2E50"/>
    <w:rsid w:val="00FE4DCE"/>
    <w:rsid w:val="00FF1E20"/>
    <w:rsid w:val="00FF4742"/>
    <w:rsid w:val="00FF64BF"/>
    <w:rsid w:val="00FF6602"/>
    <w:rsid w:val="0150DD83"/>
    <w:rsid w:val="018BCF58"/>
    <w:rsid w:val="03FC9829"/>
    <w:rsid w:val="0464F6A1"/>
    <w:rsid w:val="07391F1E"/>
    <w:rsid w:val="07DCE48C"/>
    <w:rsid w:val="08307310"/>
    <w:rsid w:val="0899617C"/>
    <w:rsid w:val="08CB5184"/>
    <w:rsid w:val="09B9B375"/>
    <w:rsid w:val="09C78945"/>
    <w:rsid w:val="0AD93B22"/>
    <w:rsid w:val="0D36EC98"/>
    <w:rsid w:val="10017E6B"/>
    <w:rsid w:val="123AEE99"/>
    <w:rsid w:val="128BCA82"/>
    <w:rsid w:val="13216116"/>
    <w:rsid w:val="1330DF7C"/>
    <w:rsid w:val="1353A77D"/>
    <w:rsid w:val="1390F68D"/>
    <w:rsid w:val="14CB9B6C"/>
    <w:rsid w:val="1515F355"/>
    <w:rsid w:val="158F5047"/>
    <w:rsid w:val="15A1783D"/>
    <w:rsid w:val="163E4831"/>
    <w:rsid w:val="17184398"/>
    <w:rsid w:val="18303564"/>
    <w:rsid w:val="188300B3"/>
    <w:rsid w:val="1906DC8F"/>
    <w:rsid w:val="194FA894"/>
    <w:rsid w:val="1B84E336"/>
    <w:rsid w:val="1BF36FA6"/>
    <w:rsid w:val="1EB17AE0"/>
    <w:rsid w:val="1FD0A9AC"/>
    <w:rsid w:val="220FCE44"/>
    <w:rsid w:val="2295F01E"/>
    <w:rsid w:val="22D7ADDF"/>
    <w:rsid w:val="2495B0E8"/>
    <w:rsid w:val="253404A5"/>
    <w:rsid w:val="255B4961"/>
    <w:rsid w:val="257E2975"/>
    <w:rsid w:val="27ACB232"/>
    <w:rsid w:val="288413F2"/>
    <w:rsid w:val="28921F92"/>
    <w:rsid w:val="294A6369"/>
    <w:rsid w:val="2A86E66A"/>
    <w:rsid w:val="2AF516EE"/>
    <w:rsid w:val="2B25104F"/>
    <w:rsid w:val="2B53318D"/>
    <w:rsid w:val="2C3E79CD"/>
    <w:rsid w:val="2F9E1F8C"/>
    <w:rsid w:val="3001FFBF"/>
    <w:rsid w:val="30028DE7"/>
    <w:rsid w:val="30ACBEEA"/>
    <w:rsid w:val="32660295"/>
    <w:rsid w:val="3275D0FD"/>
    <w:rsid w:val="3293190D"/>
    <w:rsid w:val="334E4084"/>
    <w:rsid w:val="35086346"/>
    <w:rsid w:val="35173E40"/>
    <w:rsid w:val="3A1F8D38"/>
    <w:rsid w:val="3AB40804"/>
    <w:rsid w:val="3AF7B541"/>
    <w:rsid w:val="3AFEC14E"/>
    <w:rsid w:val="3B7680B2"/>
    <w:rsid w:val="3CCE39DA"/>
    <w:rsid w:val="3D1B8EC4"/>
    <w:rsid w:val="3E16F2C7"/>
    <w:rsid w:val="3ECF274D"/>
    <w:rsid w:val="3F2C69D7"/>
    <w:rsid w:val="4035025F"/>
    <w:rsid w:val="404B15ED"/>
    <w:rsid w:val="43470E0C"/>
    <w:rsid w:val="454EFB55"/>
    <w:rsid w:val="4600BDBE"/>
    <w:rsid w:val="468D70B2"/>
    <w:rsid w:val="4748B576"/>
    <w:rsid w:val="47FF7E01"/>
    <w:rsid w:val="4839774F"/>
    <w:rsid w:val="489A32BC"/>
    <w:rsid w:val="4945B8E2"/>
    <w:rsid w:val="498B1D98"/>
    <w:rsid w:val="4AE19FAF"/>
    <w:rsid w:val="4B14B0E6"/>
    <w:rsid w:val="4BEB3754"/>
    <w:rsid w:val="4C039241"/>
    <w:rsid w:val="4C489B58"/>
    <w:rsid w:val="4CD4C7F5"/>
    <w:rsid w:val="512896A0"/>
    <w:rsid w:val="51CADE04"/>
    <w:rsid w:val="530333EF"/>
    <w:rsid w:val="535C0FB7"/>
    <w:rsid w:val="53A99684"/>
    <w:rsid w:val="545F810E"/>
    <w:rsid w:val="5793DAFA"/>
    <w:rsid w:val="58082BA9"/>
    <w:rsid w:val="588DE587"/>
    <w:rsid w:val="59947540"/>
    <w:rsid w:val="5A80BE66"/>
    <w:rsid w:val="5BB264AE"/>
    <w:rsid w:val="5E01506C"/>
    <w:rsid w:val="6000D3ED"/>
    <w:rsid w:val="609800AA"/>
    <w:rsid w:val="60C31306"/>
    <w:rsid w:val="61484EC8"/>
    <w:rsid w:val="61E196FA"/>
    <w:rsid w:val="6217E666"/>
    <w:rsid w:val="62598067"/>
    <w:rsid w:val="633E8B8C"/>
    <w:rsid w:val="6549C93D"/>
    <w:rsid w:val="6699BB8B"/>
    <w:rsid w:val="669FCB88"/>
    <w:rsid w:val="66FDB143"/>
    <w:rsid w:val="673F8876"/>
    <w:rsid w:val="68E7EB81"/>
    <w:rsid w:val="6AF75417"/>
    <w:rsid w:val="6C0E777E"/>
    <w:rsid w:val="6C503044"/>
    <w:rsid w:val="6C73EEC8"/>
    <w:rsid w:val="6DDB7849"/>
    <w:rsid w:val="70D467BB"/>
    <w:rsid w:val="7138DB4D"/>
    <w:rsid w:val="727340C9"/>
    <w:rsid w:val="72D05032"/>
    <w:rsid w:val="732CA663"/>
    <w:rsid w:val="734FA1C7"/>
    <w:rsid w:val="7485DFE2"/>
    <w:rsid w:val="74A7AA29"/>
    <w:rsid w:val="75801784"/>
    <w:rsid w:val="76012F27"/>
    <w:rsid w:val="7601F8BD"/>
    <w:rsid w:val="7735CC91"/>
    <w:rsid w:val="77385BFA"/>
    <w:rsid w:val="7814F99E"/>
    <w:rsid w:val="7827DE6D"/>
    <w:rsid w:val="7902F6C7"/>
    <w:rsid w:val="79981C18"/>
    <w:rsid w:val="79BD9DBE"/>
    <w:rsid w:val="7AD529AE"/>
    <w:rsid w:val="7AD65583"/>
    <w:rsid w:val="7AFD2603"/>
    <w:rsid w:val="7B1FCDA2"/>
    <w:rsid w:val="7B359EC1"/>
    <w:rsid w:val="7BDB2DC5"/>
    <w:rsid w:val="7BFC69D9"/>
    <w:rsid w:val="7E13EB31"/>
    <w:rsid w:val="7E254B9B"/>
    <w:rsid w:val="7EEA3BCE"/>
    <w:rsid w:val="7F084045"/>
    <w:rsid w:val="7F1E9DB1"/>
    <w:rsid w:val="7F83E296"/>
    <w:rsid w:val="7FA643D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4C4D5C0"/>
  <w15:docId w15:val="{56A12248-19D1-4EAB-BE04-5A449400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089A"/>
    <w:pPr>
      <w:spacing w:after="0" w:line="288" w:lineRule="auto"/>
      <w:jc w:val="both"/>
    </w:pPr>
    <w:rPr>
      <w:rFonts w:ascii="Verdana" w:eastAsia="Times New Roman" w:hAnsi="Verdana" w:cs="Times New Roman"/>
      <w:sz w:val="20"/>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6089A"/>
    <w:pPr>
      <w:tabs>
        <w:tab w:val="center" w:pos="4320"/>
        <w:tab w:val="right" w:pos="8640"/>
      </w:tabs>
    </w:pPr>
  </w:style>
  <w:style w:type="character" w:customStyle="1" w:styleId="HlavikaChar">
    <w:name w:val="Hlavička Char"/>
    <w:basedOn w:val="Predvolenpsmoodseku"/>
    <w:link w:val="Hlavika"/>
    <w:semiHidden/>
    <w:rsid w:val="0016089A"/>
    <w:rPr>
      <w:rFonts w:ascii="Verdana" w:eastAsia="Times New Roman" w:hAnsi="Verdana" w:cs="Times New Roman"/>
      <w:sz w:val="20"/>
      <w:szCs w:val="24"/>
      <w:lang w:val="en-GB"/>
    </w:rPr>
  </w:style>
  <w:style w:type="paragraph" w:styleId="Pta">
    <w:name w:val="footer"/>
    <w:basedOn w:val="Normlny"/>
    <w:link w:val="PtaChar"/>
    <w:semiHidden/>
    <w:rsid w:val="0016089A"/>
    <w:pPr>
      <w:tabs>
        <w:tab w:val="center" w:pos="4320"/>
        <w:tab w:val="right" w:pos="8640"/>
      </w:tabs>
    </w:pPr>
  </w:style>
  <w:style w:type="character" w:customStyle="1" w:styleId="PtaChar">
    <w:name w:val="Päta Char"/>
    <w:basedOn w:val="Predvolenpsmoodseku"/>
    <w:link w:val="Pta"/>
    <w:semiHidden/>
    <w:rsid w:val="0016089A"/>
    <w:rPr>
      <w:rFonts w:ascii="Verdana" w:eastAsia="Times New Roman" w:hAnsi="Verdana" w:cs="Times New Roman"/>
      <w:sz w:val="20"/>
      <w:szCs w:val="24"/>
      <w:lang w:val="en-GB"/>
    </w:rPr>
  </w:style>
  <w:style w:type="paragraph" w:customStyle="1" w:styleId="Noparagraphstyle">
    <w:name w:val="[No paragraph style]"/>
    <w:semiHidden/>
    <w:rsid w:val="0016089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6089A"/>
  </w:style>
  <w:style w:type="paragraph" w:customStyle="1" w:styleId="BodyText-CEA">
    <w:name w:val="Body Text - CEA"/>
    <w:basedOn w:val="Normlny"/>
    <w:semiHidden/>
    <w:rsid w:val="0016089A"/>
    <w:pPr>
      <w:autoSpaceDE w:val="0"/>
      <w:autoSpaceDN w:val="0"/>
      <w:adjustRightInd w:val="0"/>
      <w:spacing w:line="24" w:lineRule="atLeast"/>
      <w:jc w:val="right"/>
      <w:textAlignment w:val="center"/>
    </w:pPr>
    <w:rPr>
      <w:rFonts w:cs="Arial"/>
      <w:b/>
      <w:color w:val="034EA2"/>
      <w:w w:val="90"/>
      <w:sz w:val="16"/>
      <w:szCs w:val="16"/>
    </w:rPr>
  </w:style>
  <w:style w:type="character" w:styleId="Zstupntext">
    <w:name w:val="Placeholder Text"/>
    <w:basedOn w:val="Predvolenpsmoodseku"/>
    <w:uiPriority w:val="99"/>
    <w:semiHidden/>
    <w:rsid w:val="0016089A"/>
    <w:rPr>
      <w:color w:val="808080"/>
    </w:rPr>
  </w:style>
  <w:style w:type="paragraph" w:customStyle="1" w:styleId="CEADraft">
    <w:name w:val="CEA Draft"/>
    <w:basedOn w:val="Normlny"/>
    <w:semiHidden/>
    <w:qFormat/>
    <w:rsid w:val="0016089A"/>
    <w:pPr>
      <w:jc w:val="right"/>
    </w:pPr>
    <w:rPr>
      <w:rFonts w:cs="Arial"/>
      <w:b/>
      <w:color w:val="034EA2"/>
      <w:sz w:val="32"/>
      <w:szCs w:val="40"/>
    </w:rPr>
  </w:style>
  <w:style w:type="paragraph" w:customStyle="1" w:styleId="CEAFooterauthorinfo">
    <w:name w:val="CEA Footer (author info)"/>
    <w:basedOn w:val="Normlny"/>
    <w:semiHidden/>
    <w:qFormat/>
    <w:rsid w:val="0016089A"/>
    <w:pPr>
      <w:autoSpaceDE w:val="0"/>
      <w:autoSpaceDN w:val="0"/>
      <w:adjustRightInd w:val="0"/>
      <w:ind w:left="546"/>
      <w:textAlignment w:val="center"/>
    </w:pPr>
    <w:rPr>
      <w:rFonts w:cs="Arial"/>
      <w:b/>
      <w:color w:val="034EA2"/>
      <w:sz w:val="16"/>
      <w:szCs w:val="16"/>
    </w:rPr>
  </w:style>
  <w:style w:type="paragraph" w:customStyle="1" w:styleId="CEALabel">
    <w:name w:val="CEA Label"/>
    <w:basedOn w:val="Normlny"/>
    <w:semiHidden/>
    <w:qFormat/>
    <w:rsid w:val="0016089A"/>
    <w:pPr>
      <w:tabs>
        <w:tab w:val="right" w:pos="360"/>
        <w:tab w:val="left" w:pos="540"/>
      </w:tabs>
      <w:autoSpaceDE w:val="0"/>
      <w:autoSpaceDN w:val="0"/>
      <w:adjustRightInd w:val="0"/>
      <w:spacing w:before="30"/>
      <w:jc w:val="right"/>
      <w:textAlignment w:val="center"/>
    </w:pPr>
    <w:rPr>
      <w:rFonts w:cs="Arial"/>
      <w:b/>
      <w:color w:val="034EA2"/>
      <w:spacing w:val="-4"/>
      <w:w w:val="90"/>
      <w:sz w:val="16"/>
      <w:szCs w:val="16"/>
    </w:rPr>
  </w:style>
  <w:style w:type="paragraph" w:customStyle="1" w:styleId="CEASubjectLine">
    <w:name w:val="CEA Subject Line"/>
    <w:basedOn w:val="Normlny"/>
    <w:semiHidden/>
    <w:qFormat/>
    <w:rsid w:val="0016089A"/>
    <w:rPr>
      <w:rFonts w:cs="Arial"/>
      <w:b/>
      <w:szCs w:val="20"/>
    </w:rPr>
  </w:style>
  <w:style w:type="paragraph" w:customStyle="1" w:styleId="CEADocumentTitle">
    <w:name w:val="CEA Document Title"/>
    <w:basedOn w:val="Hlavika"/>
    <w:semiHidden/>
    <w:qFormat/>
    <w:rsid w:val="0016089A"/>
    <w:pPr>
      <w:tabs>
        <w:tab w:val="clear" w:pos="4320"/>
        <w:tab w:val="clear" w:pos="8640"/>
        <w:tab w:val="center" w:pos="0"/>
        <w:tab w:val="right" w:pos="10440"/>
      </w:tabs>
      <w:jc w:val="right"/>
    </w:pPr>
    <w:rPr>
      <w:b/>
      <w:noProof/>
      <w:color w:val="034EA2"/>
      <w:sz w:val="40"/>
      <w:szCs w:val="40"/>
      <w:lang w:eastAsia="nl-NL"/>
    </w:rPr>
  </w:style>
  <w:style w:type="paragraph" w:customStyle="1" w:styleId="CEAStandardHeading">
    <w:name w:val="CEA Standard Heading"/>
    <w:basedOn w:val="Normlny"/>
    <w:qFormat/>
    <w:rsid w:val="0016089A"/>
    <w:pPr>
      <w:autoSpaceDE w:val="0"/>
      <w:autoSpaceDN w:val="0"/>
      <w:adjustRightInd w:val="0"/>
      <w:textAlignment w:val="center"/>
    </w:pPr>
    <w:rPr>
      <w:rFonts w:cs="Arial"/>
      <w:color w:val="002957"/>
      <w:szCs w:val="22"/>
    </w:rPr>
  </w:style>
  <w:style w:type="paragraph" w:styleId="Textbubliny">
    <w:name w:val="Balloon Text"/>
    <w:basedOn w:val="Normlny"/>
    <w:link w:val="TextbublinyChar"/>
    <w:uiPriority w:val="99"/>
    <w:semiHidden/>
    <w:unhideWhenUsed/>
    <w:rsid w:val="0016089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6089A"/>
    <w:rPr>
      <w:rFonts w:ascii="Tahoma" w:eastAsia="Times New Roman" w:hAnsi="Tahoma" w:cs="Tahoma"/>
      <w:sz w:val="16"/>
      <w:szCs w:val="16"/>
      <w:lang w:val="en-GB"/>
    </w:rPr>
  </w:style>
  <w:style w:type="paragraph" w:customStyle="1" w:styleId="CEABullet-Level1">
    <w:name w:val="CEA Bullet - Level 1"/>
    <w:basedOn w:val="Normlny"/>
    <w:qFormat/>
    <w:rsid w:val="00314450"/>
    <w:pPr>
      <w:numPr>
        <w:numId w:val="20"/>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314450"/>
    <w:pPr>
      <w:numPr>
        <w:numId w:val="21"/>
      </w:numPr>
    </w:pPr>
  </w:style>
  <w:style w:type="paragraph" w:customStyle="1" w:styleId="CEABullet-Level3">
    <w:name w:val="CEA Bullet - Level 3"/>
    <w:basedOn w:val="Normlny"/>
    <w:qFormat/>
    <w:rsid w:val="00314450"/>
    <w:pPr>
      <w:numPr>
        <w:numId w:val="22"/>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425286"/>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425286"/>
    <w:pPr>
      <w:jc w:val="right"/>
    </w:pPr>
    <w:rPr>
      <w:rFonts w:cs="Frutiger LT Std 55 Roman"/>
      <w:b/>
      <w:color w:val="0032FF"/>
      <w:sz w:val="40"/>
      <w:szCs w:val="40"/>
    </w:rPr>
  </w:style>
  <w:style w:type="paragraph" w:customStyle="1" w:styleId="CEAFootnote">
    <w:name w:val="CEA Footnote"/>
    <w:basedOn w:val="Normlny"/>
    <w:semiHidden/>
    <w:qFormat/>
    <w:rsid w:val="00425286"/>
    <w:pPr>
      <w:spacing w:line="240" w:lineRule="auto"/>
    </w:pPr>
    <w:rPr>
      <w:sz w:val="16"/>
    </w:rPr>
  </w:style>
  <w:style w:type="character" w:customStyle="1" w:styleId="CEAGraphTitle">
    <w:name w:val="CEA Graph Title"/>
    <w:uiPriority w:val="1"/>
    <w:qFormat/>
    <w:rsid w:val="00425286"/>
    <w:rPr>
      <w:rFonts w:ascii="Verdana" w:hAnsi="Verdana"/>
      <w:smallCaps w:val="0"/>
      <w:sz w:val="19"/>
      <w:lang w:val="en-GB"/>
    </w:rPr>
  </w:style>
  <w:style w:type="character" w:customStyle="1" w:styleId="CEAGraphX">
    <w:name w:val="CEA Graph X"/>
    <w:uiPriority w:val="1"/>
    <w:qFormat/>
    <w:rsid w:val="00425286"/>
    <w:rPr>
      <w:rFonts w:ascii="Verdana" w:hAnsi="Verdana"/>
      <w:smallCaps/>
      <w:sz w:val="19"/>
      <w:lang w:val="en-GB"/>
    </w:rPr>
  </w:style>
  <w:style w:type="paragraph" w:customStyle="1" w:styleId="CEAPositionPaperTitle">
    <w:name w:val="CEA Position Paper Title"/>
    <w:basedOn w:val="Normlny"/>
    <w:semiHidden/>
    <w:qFormat/>
    <w:rsid w:val="00425286"/>
    <w:pPr>
      <w:ind w:left="-27"/>
    </w:pPr>
    <w:rPr>
      <w:b/>
      <w:color w:val="034EA2"/>
      <w:sz w:val="32"/>
      <w:szCs w:val="32"/>
    </w:rPr>
  </w:style>
  <w:style w:type="paragraph" w:customStyle="1" w:styleId="CEAPressReleaseSubtitle">
    <w:name w:val="CEA Press Release Subtitle"/>
    <w:basedOn w:val="Normlny"/>
    <w:semiHidden/>
    <w:qFormat/>
    <w:rsid w:val="00425286"/>
    <w:rPr>
      <w:sz w:val="22"/>
      <w:szCs w:val="22"/>
    </w:rPr>
  </w:style>
  <w:style w:type="paragraph" w:customStyle="1" w:styleId="CEAPressReleaseTitle">
    <w:name w:val="CEA Press Release Title"/>
    <w:basedOn w:val="Normlny"/>
    <w:semiHidden/>
    <w:qFormat/>
    <w:rsid w:val="00425286"/>
    <w:pPr>
      <w:autoSpaceDE w:val="0"/>
      <w:autoSpaceDN w:val="0"/>
      <w:adjustRightInd w:val="0"/>
      <w:spacing w:line="240" w:lineRule="auto"/>
    </w:pPr>
    <w:rPr>
      <w:rFonts w:ascii="Frutiger LT Com 45 Light" w:hAnsi="Frutiger LT Com 45 Light"/>
      <w:b/>
      <w:color w:val="034EA2"/>
      <w:sz w:val="36"/>
      <w:szCs w:val="36"/>
    </w:rPr>
  </w:style>
  <w:style w:type="table" w:styleId="Mriekatabuky">
    <w:name w:val="Table Grid"/>
    <w:basedOn w:val="Normlnatabuka"/>
    <w:uiPriority w:val="59"/>
    <w:rsid w:val="00F71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6525D"/>
    <w:rPr>
      <w:color w:val="0000FF" w:themeColor="hyperlink"/>
      <w:u w:val="single"/>
    </w:rPr>
  </w:style>
  <w:style w:type="paragraph" w:styleId="Odsekzoznamu">
    <w:name w:val="List Paragraph"/>
    <w:basedOn w:val="Normlny"/>
    <w:uiPriority w:val="34"/>
    <w:qFormat/>
    <w:rsid w:val="00113B67"/>
    <w:pPr>
      <w:spacing w:after="160" w:line="259" w:lineRule="auto"/>
      <w:ind w:left="720"/>
      <w:contextualSpacing/>
      <w:jc w:val="left"/>
    </w:pPr>
    <w:rPr>
      <w:rFonts w:asciiTheme="minorHAnsi" w:eastAsiaTheme="minorHAnsi" w:hAnsiTheme="minorHAnsi" w:cstheme="minorBidi"/>
      <w:kern w:val="2"/>
      <w:sz w:val="22"/>
      <w:szCs w:val="22"/>
      <w:lang w:val="en-US"/>
      <w14:ligatures w14:val="standardContextual"/>
    </w:rPr>
  </w:style>
  <w:style w:type="character" w:styleId="Nevyrieenzmienka">
    <w:name w:val="Unresolved Mention"/>
    <w:basedOn w:val="Predvolenpsmoodseku"/>
    <w:uiPriority w:val="99"/>
    <w:semiHidden/>
    <w:unhideWhenUsed/>
    <w:rsid w:val="00AD7D02"/>
    <w:rPr>
      <w:color w:val="605E5C"/>
      <w:shd w:val="clear" w:color="auto" w:fill="E1DFDD"/>
    </w:rPr>
  </w:style>
  <w:style w:type="paragraph" w:styleId="Revzia">
    <w:name w:val="Revision"/>
    <w:hidden/>
    <w:uiPriority w:val="99"/>
    <w:semiHidden/>
    <w:rsid w:val="00631309"/>
    <w:pPr>
      <w:spacing w:after="0" w:line="240" w:lineRule="auto"/>
    </w:pPr>
    <w:rPr>
      <w:rFonts w:ascii="Verdana" w:eastAsia="Times New Roman" w:hAnsi="Verdana" w:cs="Times New Roman"/>
      <w:sz w:val="20"/>
      <w:szCs w:val="24"/>
      <w:lang w:val="en-GB"/>
    </w:rPr>
  </w:style>
  <w:style w:type="paragraph" w:styleId="Normlnywebov">
    <w:name w:val="Normal (Web)"/>
    <w:basedOn w:val="Normlny"/>
    <w:uiPriority w:val="99"/>
    <w:semiHidden/>
    <w:unhideWhenUsed/>
    <w:rsid w:val="00E272A0"/>
    <w:pPr>
      <w:spacing w:before="100" w:beforeAutospacing="1" w:after="100" w:afterAutospacing="1" w:line="240" w:lineRule="auto"/>
      <w:jc w:val="left"/>
    </w:pPr>
    <w:rPr>
      <w:rFonts w:ascii="Times New Roman" w:hAnsi="Times New Roman"/>
      <w:sz w:val="24"/>
      <w:lang w:eastAsia="en-GB"/>
    </w:rPr>
  </w:style>
  <w:style w:type="character" w:styleId="Vrazn">
    <w:name w:val="Strong"/>
    <w:basedOn w:val="Predvolenpsmoodseku"/>
    <w:uiPriority w:val="22"/>
    <w:qFormat/>
    <w:rsid w:val="00E272A0"/>
    <w:rPr>
      <w:b/>
      <w:bCs/>
    </w:rPr>
  </w:style>
  <w:style w:type="character" w:styleId="Odkaznakomentr">
    <w:name w:val="annotation reference"/>
    <w:basedOn w:val="Predvolenpsmoodseku"/>
    <w:uiPriority w:val="99"/>
    <w:semiHidden/>
    <w:unhideWhenUsed/>
    <w:rsid w:val="00DA18C3"/>
    <w:rPr>
      <w:sz w:val="16"/>
      <w:szCs w:val="16"/>
    </w:rPr>
  </w:style>
  <w:style w:type="paragraph" w:styleId="Textkomentra">
    <w:name w:val="annotation text"/>
    <w:basedOn w:val="Normlny"/>
    <w:link w:val="TextkomentraChar"/>
    <w:uiPriority w:val="99"/>
    <w:unhideWhenUsed/>
    <w:rsid w:val="00DA18C3"/>
    <w:pPr>
      <w:spacing w:line="240" w:lineRule="auto"/>
    </w:pPr>
    <w:rPr>
      <w:szCs w:val="20"/>
    </w:rPr>
  </w:style>
  <w:style w:type="character" w:customStyle="1" w:styleId="TextkomentraChar">
    <w:name w:val="Text komentára Char"/>
    <w:basedOn w:val="Predvolenpsmoodseku"/>
    <w:link w:val="Textkomentra"/>
    <w:uiPriority w:val="99"/>
    <w:rsid w:val="00DA18C3"/>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DA18C3"/>
    <w:rPr>
      <w:b/>
      <w:bCs/>
    </w:rPr>
  </w:style>
  <w:style w:type="character" w:customStyle="1" w:styleId="PredmetkomentraChar">
    <w:name w:val="Predmet komentára Char"/>
    <w:basedOn w:val="TextkomentraChar"/>
    <w:link w:val="Predmetkomentra"/>
    <w:uiPriority w:val="99"/>
    <w:semiHidden/>
    <w:rsid w:val="00DA18C3"/>
    <w:rPr>
      <w:rFonts w:ascii="Verdana" w:eastAsia="Times New Roman" w:hAnsi="Verdana" w:cs="Times New Roman"/>
      <w:b/>
      <w:bCs/>
      <w:sz w:val="20"/>
      <w:szCs w:val="20"/>
      <w:lang w:val="en-GB"/>
    </w:rPr>
  </w:style>
  <w:style w:type="character" w:styleId="Zmienka">
    <w:name w:val="Mention"/>
    <w:basedOn w:val="Predvolenpsmoodseku"/>
    <w:uiPriority w:val="99"/>
    <w:unhideWhenUsed/>
    <w:rsid w:val="00DA18C3"/>
    <w:rPr>
      <w:color w:val="2B579A"/>
      <w:shd w:val="clear" w:color="auto" w:fill="E1DFDD"/>
    </w:rPr>
  </w:style>
  <w:style w:type="character" w:customStyle="1" w:styleId="ui-provider">
    <w:name w:val="ui-provider"/>
    <w:basedOn w:val="Predvolenpsmoodseku"/>
    <w:rsid w:val="00DA18C3"/>
  </w:style>
  <w:style w:type="character" w:styleId="PouitHypertextovPrepojenie">
    <w:name w:val="FollowedHyperlink"/>
    <w:basedOn w:val="Predvolenpsmoodseku"/>
    <w:uiPriority w:val="99"/>
    <w:semiHidden/>
    <w:unhideWhenUsed/>
    <w:rsid w:val="00DA18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09151">
      <w:bodyDiv w:val="1"/>
      <w:marLeft w:val="0"/>
      <w:marRight w:val="0"/>
      <w:marTop w:val="0"/>
      <w:marBottom w:val="0"/>
      <w:divBdr>
        <w:top w:val="none" w:sz="0" w:space="0" w:color="auto"/>
        <w:left w:val="none" w:sz="0" w:space="0" w:color="auto"/>
        <w:bottom w:val="none" w:sz="0" w:space="0" w:color="auto"/>
        <w:right w:val="none" w:sz="0" w:space="0" w:color="auto"/>
      </w:divBdr>
    </w:div>
    <w:div w:id="162873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opa.europa.eu/publications/consumer-trends-report-2023_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ihaylova@insuranceeurope.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iopa.europa.eu/consultations/consultation-staff-paper-measures-address-demand-side-aspects-natcat-protection-gap_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nglois@insuranceeurope.eu" TargetMode="External"/><Relationship Id="rId5" Type="http://schemas.openxmlformats.org/officeDocument/2006/relationships/numbering" Target="numbering.xml"/><Relationship Id="rId15" Type="http://schemas.openxmlformats.org/officeDocument/2006/relationships/hyperlink" Target="https://www.eiopa.europa.eu/tools-and-data/dashboard-insurance-protection-gap-natural-catastrophes_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uranceeurope.sharepoint.com/:b:/s/extranet/Edzqi7gO0yBJk3ahyj2CnwQBP4YwnhK2N7gXLGBCC6N5OA"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4EF38CAE9A4F80AF2F6FA01859F6AD"/>
        <w:category>
          <w:name w:val="General"/>
          <w:gallery w:val="placeholder"/>
        </w:category>
        <w:types>
          <w:type w:val="bbPlcHdr"/>
        </w:types>
        <w:behaviors>
          <w:behavior w:val="content"/>
        </w:behaviors>
        <w:guid w:val="{728CBCCC-8DFB-4F0E-A3A0-D9B9750E4ED6}"/>
      </w:docPartPr>
      <w:docPartBody>
        <w:p w:rsidR="00D92B7A" w:rsidRDefault="005F6EC7" w:rsidP="005F6EC7">
          <w:pPr>
            <w:pStyle w:val="584EF38CAE9A4F80AF2F6FA01859F6AD"/>
          </w:pPr>
          <w:r w:rsidRPr="00714930">
            <w:rPr>
              <w:rStyle w:val="Zstupntext"/>
            </w:rPr>
            <w:t>[Reference]</w:t>
          </w:r>
        </w:p>
      </w:docPartBody>
    </w:docPart>
    <w:docPart>
      <w:docPartPr>
        <w:name w:val="DefaultPlaceholder_-1854013440"/>
        <w:category>
          <w:name w:val="General"/>
          <w:gallery w:val="placeholder"/>
        </w:category>
        <w:types>
          <w:type w:val="bbPlcHdr"/>
        </w:types>
        <w:behaviors>
          <w:behavior w:val="content"/>
        </w:behaviors>
        <w:guid w:val="{E9B5BF68-3ABB-4D0B-A9B2-745F30B74DE3}"/>
      </w:docPartPr>
      <w:docPartBody>
        <w:p w:rsidR="002B5C47" w:rsidRDefault="00E01FEE">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EC7"/>
    <w:rsid w:val="00070455"/>
    <w:rsid w:val="000A2869"/>
    <w:rsid w:val="000C72E8"/>
    <w:rsid w:val="000F1CBF"/>
    <w:rsid w:val="00157260"/>
    <w:rsid w:val="0025136D"/>
    <w:rsid w:val="002B5C47"/>
    <w:rsid w:val="002D33A2"/>
    <w:rsid w:val="002E46BB"/>
    <w:rsid w:val="002F10AE"/>
    <w:rsid w:val="002F3188"/>
    <w:rsid w:val="00341B8D"/>
    <w:rsid w:val="005F6EC7"/>
    <w:rsid w:val="006176F5"/>
    <w:rsid w:val="00640933"/>
    <w:rsid w:val="006704B4"/>
    <w:rsid w:val="00810417"/>
    <w:rsid w:val="00862FB7"/>
    <w:rsid w:val="008900A2"/>
    <w:rsid w:val="008900D7"/>
    <w:rsid w:val="008C581B"/>
    <w:rsid w:val="00925F9C"/>
    <w:rsid w:val="00931FEF"/>
    <w:rsid w:val="009C2D5E"/>
    <w:rsid w:val="009D681A"/>
    <w:rsid w:val="00A33A87"/>
    <w:rsid w:val="00A638E5"/>
    <w:rsid w:val="00AC0801"/>
    <w:rsid w:val="00B0010A"/>
    <w:rsid w:val="00B00F08"/>
    <w:rsid w:val="00B17031"/>
    <w:rsid w:val="00B4295B"/>
    <w:rsid w:val="00BD6431"/>
    <w:rsid w:val="00C36ED0"/>
    <w:rsid w:val="00C4199B"/>
    <w:rsid w:val="00C70074"/>
    <w:rsid w:val="00C8618B"/>
    <w:rsid w:val="00C96AA8"/>
    <w:rsid w:val="00CE18CD"/>
    <w:rsid w:val="00D92B7A"/>
    <w:rsid w:val="00D969C7"/>
    <w:rsid w:val="00DD3CE1"/>
    <w:rsid w:val="00DF362A"/>
    <w:rsid w:val="00E01FEE"/>
    <w:rsid w:val="00EF3787"/>
    <w:rsid w:val="00F0495E"/>
    <w:rsid w:val="00F60817"/>
    <w:rsid w:val="00F674CA"/>
    <w:rsid w:val="00F8150F"/>
    <w:rsid w:val="00F85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D6431"/>
    <w:rPr>
      <w:color w:val="808080"/>
    </w:rPr>
  </w:style>
  <w:style w:type="paragraph" w:customStyle="1" w:styleId="584EF38CAE9A4F80AF2F6FA01859F6AD">
    <w:name w:val="584EF38CAE9A4F80AF2F6FA01859F6AD"/>
    <w:rsid w:val="005F6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ype_x0020_of_x0020_document xmlns="8e2fa3e8-2a79-469f-97a4-24e1528d9bfe" xsi:nil="true"/>
    <Validated xmlns="8e2fa3e8-2a79-469f-97a4-24e1528d9bfe">false</Validated>
    <Allow_x0020_uploads xmlns="8e2fa3e8-2a79-469f-97a4-24e1528d9bfe" xsi:nil="true"/>
    <Allow_x0020_comments xmlns="8e2fa3e8-2a79-469f-97a4-24e1528d9bfe" xsi:nil="true"/>
    <Type_x0020_of_x0020_memo xmlns="8e2fa3e8-2a79-469f-97a4-24e1528d9bfe" xsi:nil="true"/>
    <Display_x0020_validated_x0020_documents_x0020_library_x0020_button xmlns="8e2fa3e8-2a79-469f-97a4-24e1528d9bfe">false</Display_x0020_validated_x0020_documents_x0020_library_x0020_button>
    <Feedback_x0020_type xmlns="8e2fa3e8-2a79-469f-97a4-24e1528d9bfe" xsi:nil="true"/>
    <isAnnex xmlns="8e2fa3e8-2a79-469f-97a4-24e1528d9bfe" xsi:nil="true"/>
    <Can_x0020_be_x0020_edited xmlns="8e2fa3e8-2a79-469f-97a4-24e1528d9bfe">false</Can_x0020_be_x0020_edited>
    <Uploads xmlns="8e2fa3e8-2a79-469f-97a4-24e1528d9bfe" xsi:nil="true"/>
    <Leading_x0020_document xmlns="8e2fa3e8-2a79-469f-97a4-24e1528d9bfe" xsi:nil="true"/>
    <Deadline xmlns="8e2fa3e8-2a79-469f-97a4-24e1528d9bfe" xsi:nil="true"/>
    <AllowComments xmlns="8e2fa3e8-2a79-469f-97a4-24e1528d9bfe">true</AllowComments>
    <ValidationComment xmlns="8e2fa3e8-2a79-469f-97a4-24e1528d9b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ublished Documents" ma:contentTypeID="0x010100CE905BBD780A1647B74BBB1064A49D57" ma:contentTypeVersion="23" ma:contentTypeDescription="Published Documents Content types for Insurance Europe" ma:contentTypeScope="" ma:versionID="2157e597525325d259cb4c067c55b4f2">
  <xsd:schema xmlns:xsd="http://www.w3.org/2001/XMLSchema" xmlns:xs="http://www.w3.org/2001/XMLSchema" xmlns:p="http://schemas.microsoft.com/office/2006/metadata/properties" xmlns:ns2="8e2fa3e8-2a79-469f-97a4-24e1528d9bfe" targetNamespace="http://schemas.microsoft.com/office/2006/metadata/properties" ma:root="true" ma:fieldsID="e989101349a981f7776369283b97ae2a" ns2:_="">
    <xsd:import namespace="8e2fa3e8-2a79-469f-97a4-24e1528d9bfe"/>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fa3e8-2a79-469f-97a4-24e1528d9bfe"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1A68F-22AE-448E-AF3B-67E4905B1BE8}">
  <ds:schemaRefs>
    <ds:schemaRef ds:uri="http://schemas.openxmlformats.org/officeDocument/2006/bibliography"/>
  </ds:schemaRefs>
</ds:datastoreItem>
</file>

<file path=customXml/itemProps2.xml><?xml version="1.0" encoding="utf-8"?>
<ds:datastoreItem xmlns:ds="http://schemas.openxmlformats.org/officeDocument/2006/customXml" ds:itemID="{16BE8AC2-BC04-484A-AE5F-6753D3DE5469}">
  <ds:schemaRefs>
    <ds:schemaRef ds:uri="http://purl.org/dc/dcmitype/"/>
    <ds:schemaRef ds:uri="http://schemas.openxmlformats.org/package/2006/metadata/core-properties"/>
    <ds:schemaRef ds:uri="http://schemas.microsoft.com/office/2006/metadata/properties"/>
    <ds:schemaRef ds:uri="8e2fa3e8-2a79-469f-97a4-24e1528d9bfe"/>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80D543F7-D990-4A6E-8CB8-19DE2D01605D}">
  <ds:schemaRefs>
    <ds:schemaRef ds:uri="http://schemas.microsoft.com/sharepoint/v3/contenttype/forms"/>
  </ds:schemaRefs>
</ds:datastoreItem>
</file>

<file path=customXml/itemProps4.xml><?xml version="1.0" encoding="utf-8"?>
<ds:datastoreItem xmlns:ds="http://schemas.openxmlformats.org/officeDocument/2006/customXml" ds:itemID="{F3869D81-FAD6-4485-9654-E2B82C0CC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fa3e8-2a79-469f-97a4-24e1528d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2274</Words>
  <Characters>12967</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Test title</vt:lpstr>
    </vt:vector>
  </TitlesOfParts>
  <Company>Insurance Europe</Company>
  <LinksUpToDate>false</LinksUpToDate>
  <CharactersWithSpaces>15211</CharactersWithSpaces>
  <SharedDoc>false</SharedDoc>
  <HLinks>
    <vt:vector size="66" baseType="variant">
      <vt:variant>
        <vt:i4>6357082</vt:i4>
      </vt:variant>
      <vt:variant>
        <vt:i4>21</vt:i4>
      </vt:variant>
      <vt:variant>
        <vt:i4>0</vt:i4>
      </vt:variant>
      <vt:variant>
        <vt:i4>5</vt:i4>
      </vt:variant>
      <vt:variant>
        <vt:lpwstr>https://www.eiopa.europa.eu/consultations/consultation-staff-paper-measures-address-demand-side-aspects-natcat-protection-gap_en</vt:lpwstr>
      </vt:variant>
      <vt:variant>
        <vt:lpwstr/>
      </vt:variant>
      <vt:variant>
        <vt:i4>852069</vt:i4>
      </vt:variant>
      <vt:variant>
        <vt:i4>18</vt:i4>
      </vt:variant>
      <vt:variant>
        <vt:i4>0</vt:i4>
      </vt:variant>
      <vt:variant>
        <vt:i4>5</vt:i4>
      </vt:variant>
      <vt:variant>
        <vt:lpwstr>https://www.eiopa.europa.eu/tools-and-data/dashboard-insurance-protection-gap-natural-catastrophes_en</vt:lpwstr>
      </vt:variant>
      <vt:variant>
        <vt:lpwstr/>
      </vt:variant>
      <vt:variant>
        <vt:i4>2359422</vt:i4>
      </vt:variant>
      <vt:variant>
        <vt:i4>15</vt:i4>
      </vt:variant>
      <vt:variant>
        <vt:i4>0</vt:i4>
      </vt:variant>
      <vt:variant>
        <vt:i4>5</vt:i4>
      </vt:variant>
      <vt:variant>
        <vt:lpwstr>https://insuranceeurope.sharepoint.com/sites/extranet/Distribution PG/Forms/AllItems.aspx?id=%2Fsites%2Fextranet%2FDistribution%20PG%2F2023%2FCOB%2DDSC%2D23%2D111%2Epdf&amp;parent=%2Fsites%2Fextranet%2FDistribution%20PG%2F2023</vt:lpwstr>
      </vt:variant>
      <vt:variant>
        <vt:lpwstr/>
      </vt:variant>
      <vt:variant>
        <vt:i4>1376342</vt:i4>
      </vt:variant>
      <vt:variant>
        <vt:i4>12</vt:i4>
      </vt:variant>
      <vt:variant>
        <vt:i4>0</vt:i4>
      </vt:variant>
      <vt:variant>
        <vt:i4>5</vt:i4>
      </vt:variant>
      <vt:variant>
        <vt:lpwstr>https://www.oecd-ilibrary.org/sites/a9f80ab9-en/index.html?itemId=/content/component/a9f80ab9-en</vt:lpwstr>
      </vt:variant>
      <vt:variant>
        <vt:lpwstr/>
      </vt:variant>
      <vt:variant>
        <vt:i4>5767234</vt:i4>
      </vt:variant>
      <vt:variant>
        <vt:i4>9</vt:i4>
      </vt:variant>
      <vt:variant>
        <vt:i4>0</vt:i4>
      </vt:variant>
      <vt:variant>
        <vt:i4>5</vt:i4>
      </vt:variant>
      <vt:variant>
        <vt:lpwstr>https://insuranceeurope.sharepoint.com/:b:/s/extranet/Edzqi7gO0yBJk3ahyj2CnwQBP4YwnhK2N7gXLGBCC6N5OA</vt:lpwstr>
      </vt:variant>
      <vt:variant>
        <vt:lpwstr/>
      </vt:variant>
      <vt:variant>
        <vt:i4>3670111</vt:i4>
      </vt:variant>
      <vt:variant>
        <vt:i4>6</vt:i4>
      </vt:variant>
      <vt:variant>
        <vt:i4>0</vt:i4>
      </vt:variant>
      <vt:variant>
        <vt:i4>5</vt:i4>
      </vt:variant>
      <vt:variant>
        <vt:lpwstr>https://www.eiopa.europa.eu/publications/consumer-trends-report-2023_en</vt:lpwstr>
      </vt:variant>
      <vt:variant>
        <vt:lpwstr/>
      </vt:variant>
      <vt:variant>
        <vt:i4>6881352</vt:i4>
      </vt:variant>
      <vt:variant>
        <vt:i4>3</vt:i4>
      </vt:variant>
      <vt:variant>
        <vt:i4>0</vt:i4>
      </vt:variant>
      <vt:variant>
        <vt:i4>5</vt:i4>
      </vt:variant>
      <vt:variant>
        <vt:lpwstr>mailto:Mihaylova@insuranceeurope.eu</vt:lpwstr>
      </vt:variant>
      <vt:variant>
        <vt:lpwstr/>
      </vt:variant>
      <vt:variant>
        <vt:i4>41</vt:i4>
      </vt:variant>
      <vt:variant>
        <vt:i4>0</vt:i4>
      </vt:variant>
      <vt:variant>
        <vt:i4>0</vt:i4>
      </vt:variant>
      <vt:variant>
        <vt:i4>5</vt:i4>
      </vt:variant>
      <vt:variant>
        <vt:lpwstr>mailto:Langlois@insuranceeurope.eu</vt:lpwstr>
      </vt:variant>
      <vt:variant>
        <vt:lpwstr/>
      </vt:variant>
      <vt:variant>
        <vt:i4>6881352</vt:i4>
      </vt:variant>
      <vt:variant>
        <vt:i4>6</vt:i4>
      </vt:variant>
      <vt:variant>
        <vt:i4>0</vt:i4>
      </vt:variant>
      <vt:variant>
        <vt:i4>5</vt:i4>
      </vt:variant>
      <vt:variant>
        <vt:lpwstr>mailto:Mihaylova@insuranceeurope.eu</vt:lpwstr>
      </vt:variant>
      <vt:variant>
        <vt:lpwstr/>
      </vt:variant>
      <vt:variant>
        <vt:i4>6881352</vt:i4>
      </vt:variant>
      <vt:variant>
        <vt:i4>3</vt:i4>
      </vt:variant>
      <vt:variant>
        <vt:i4>0</vt:i4>
      </vt:variant>
      <vt:variant>
        <vt:i4>5</vt:i4>
      </vt:variant>
      <vt:variant>
        <vt:lpwstr>mailto:Mihaylova@insuranceeurope.eu</vt:lpwstr>
      </vt:variant>
      <vt:variant>
        <vt:lpwstr/>
      </vt:variant>
      <vt:variant>
        <vt:i4>6881352</vt:i4>
      </vt:variant>
      <vt:variant>
        <vt:i4>0</vt:i4>
      </vt:variant>
      <vt:variant>
        <vt:i4>0</vt:i4>
      </vt:variant>
      <vt:variant>
        <vt:i4>5</vt:i4>
      </vt:variant>
      <vt:variant>
        <vt:lpwstr>mailto:Mihaylova@insuranceeurope.eu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EIOPA Consumer Trends Report 2023</dc:title>
  <dc:subject/>
  <dc:creator>Insurance Europe</dc:creator>
  <cp:keywords/>
  <cp:lastModifiedBy>jozef.bachnicek</cp:lastModifiedBy>
  <cp:revision>2</cp:revision>
  <dcterms:created xsi:type="dcterms:W3CDTF">2024-02-19T10:31:00Z</dcterms:created>
  <dcterms:modified xsi:type="dcterms:W3CDTF">2024-02-19T10:31:00Z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0x010100CE905BBD780A1647B74BBB1064A49D57</vt:lpwstr>
  </property>
  <property fmtid="{D5CDD505-2E9C-101B-9397-08002B2CF9AE}" pid="3" name="_dlc_DocIdItemGuid">
    <vt:lpwstr>0346ef59-a094-4daa-9a3f-3542a4e487ae</vt:lpwstr>
  </property>
  <property fmtid="{D5CDD505-2E9C-101B-9397-08002B2CF9AE}" pid="4" name="MediaServiceImageTags">
    <vt:lpwstr/>
  </property>
  <property fmtid="{D5CDD505-2E9C-101B-9397-08002B2CF9AE}" pid="5" name="Document type">
    <vt:lpwstr>Memo for Action</vt:lpwstr>
  </property>
  <property fmtid="{D5CDD505-2E9C-101B-9397-08002B2CF9AE}" pid="6" name="Year">
    <vt:lpwstr>2024</vt:lpwstr>
  </property>
  <property fmtid="{D5CDD505-2E9C-101B-9397-08002B2CF9AE}" pid="7" name="SharedWithUsers">
    <vt:lpwstr>5256;#Titouan Langlois;#8731;#Maraya Mihaylova;#64;#William Vidonja</vt:lpwstr>
  </property>
  <property fmtid="{D5CDD505-2E9C-101B-9397-08002B2CF9AE}" pid="8" name="Reference">
    <vt:lpwstr>COB-24-010</vt:lpwstr>
  </property>
</Properties>
</file>