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288BC" w14:textId="77777777" w:rsidR="00152882" w:rsidRPr="003D0236" w:rsidRDefault="00152882" w:rsidP="003D0236">
      <w:pPr>
        <w:rPr>
          <w:sz w:val="17"/>
          <w:szCs w:val="17"/>
        </w:rPr>
        <w:sectPr w:rsidR="00152882" w:rsidRPr="003D0236" w:rsidSect="00240F50">
          <w:headerReference w:type="even" r:id="rId11"/>
          <w:headerReference w:type="default" r:id="rId12"/>
          <w:footerReference w:type="even" r:id="rId13"/>
          <w:footerReference w:type="default" r:id="rId14"/>
          <w:headerReference w:type="first" r:id="rId15"/>
          <w:footerReference w:type="first" r:id="rId16"/>
          <w:pgSz w:w="11907" w:h="16839" w:code="9"/>
          <w:pgMar w:top="2336" w:right="907" w:bottom="1599" w:left="1418" w:header="709" w:footer="238" w:gutter="0"/>
          <w:cols w:space="708"/>
          <w:titlePg/>
          <w:docGrid w:linePitch="360"/>
        </w:sectPr>
      </w:pPr>
    </w:p>
    <w:p w14:paraId="60010971" w14:textId="2517873D" w:rsidR="00AC4EFD" w:rsidRPr="003D0236" w:rsidRDefault="00AC4EFD" w:rsidP="00AC4EFD">
      <w:pPr>
        <w:autoSpaceDE w:val="0"/>
        <w:autoSpaceDN w:val="0"/>
        <w:adjustRightInd w:val="0"/>
        <w:rPr>
          <w:b/>
          <w:color w:val="002957"/>
          <w:sz w:val="17"/>
          <w:szCs w:val="17"/>
        </w:rPr>
      </w:pPr>
      <w:r>
        <w:rPr>
          <w:b/>
          <w:color w:val="002957"/>
          <w:sz w:val="17"/>
          <w:szCs w:val="17"/>
        </w:rPr>
        <w:t xml:space="preserve">Background </w:t>
      </w:r>
    </w:p>
    <w:p w14:paraId="3715A5EE" w14:textId="05819194" w:rsidR="00AC4EFD" w:rsidRDefault="00F02485" w:rsidP="00AC4EFD">
      <w:pPr>
        <w:autoSpaceDE w:val="0"/>
        <w:autoSpaceDN w:val="0"/>
        <w:adjustRightInd w:val="0"/>
        <w:rPr>
          <w:sz w:val="17"/>
          <w:szCs w:val="17"/>
        </w:rPr>
      </w:pPr>
      <w:r w:rsidRPr="008B2C0E">
        <w:rPr>
          <w:sz w:val="17"/>
          <w:szCs w:val="17"/>
        </w:rPr>
        <w:t>T</w:t>
      </w:r>
      <w:r w:rsidRPr="00F02485">
        <w:rPr>
          <w:sz w:val="17"/>
          <w:szCs w:val="17"/>
        </w:rPr>
        <w:t xml:space="preserve">he </w:t>
      </w:r>
      <w:r w:rsidR="008B2C0E" w:rsidRPr="004177B6">
        <w:rPr>
          <w:b/>
          <w:bCs/>
          <w:sz w:val="17"/>
          <w:szCs w:val="17"/>
        </w:rPr>
        <w:t xml:space="preserve">Sustainable Finance Disclosure Regulation </w:t>
      </w:r>
      <w:r w:rsidR="002F062B" w:rsidRPr="004177B6">
        <w:rPr>
          <w:b/>
          <w:bCs/>
          <w:sz w:val="17"/>
          <w:szCs w:val="17"/>
        </w:rPr>
        <w:t>(</w:t>
      </w:r>
      <w:r w:rsidRPr="004177B6">
        <w:rPr>
          <w:b/>
          <w:bCs/>
          <w:sz w:val="17"/>
          <w:szCs w:val="17"/>
        </w:rPr>
        <w:t>SFDR</w:t>
      </w:r>
      <w:r w:rsidR="002F062B" w:rsidRPr="009F4696">
        <w:rPr>
          <w:b/>
          <w:bCs/>
          <w:sz w:val="17"/>
          <w:szCs w:val="17"/>
        </w:rPr>
        <w:t>)</w:t>
      </w:r>
      <w:r w:rsidRPr="00F02485">
        <w:rPr>
          <w:sz w:val="17"/>
          <w:szCs w:val="17"/>
        </w:rPr>
        <w:t xml:space="preserve"> </w:t>
      </w:r>
      <w:r w:rsidR="00B466CA">
        <w:rPr>
          <w:sz w:val="17"/>
          <w:szCs w:val="17"/>
        </w:rPr>
        <w:t xml:space="preserve">introduces </w:t>
      </w:r>
      <w:r w:rsidR="00B466CA" w:rsidRPr="009F4696">
        <w:rPr>
          <w:b/>
          <w:bCs/>
          <w:sz w:val="17"/>
          <w:szCs w:val="17"/>
        </w:rPr>
        <w:t>product level and entity level disclosures</w:t>
      </w:r>
      <w:r w:rsidR="00B466CA">
        <w:rPr>
          <w:sz w:val="17"/>
          <w:szCs w:val="17"/>
        </w:rPr>
        <w:t xml:space="preserve"> to</w:t>
      </w:r>
      <w:r w:rsidR="00B466CA" w:rsidRPr="00F02485">
        <w:rPr>
          <w:sz w:val="17"/>
          <w:szCs w:val="17"/>
        </w:rPr>
        <w:t xml:space="preserve"> </w:t>
      </w:r>
      <w:r w:rsidRPr="00F02485">
        <w:rPr>
          <w:sz w:val="17"/>
          <w:szCs w:val="17"/>
        </w:rPr>
        <w:t xml:space="preserve">financial market participants </w:t>
      </w:r>
      <w:r w:rsidR="002F062B">
        <w:rPr>
          <w:sz w:val="17"/>
          <w:szCs w:val="17"/>
        </w:rPr>
        <w:t xml:space="preserve">(FMPs) </w:t>
      </w:r>
      <w:r w:rsidRPr="00F02485">
        <w:rPr>
          <w:sz w:val="17"/>
          <w:szCs w:val="17"/>
        </w:rPr>
        <w:t xml:space="preserve">and financial advisers </w:t>
      </w:r>
      <w:r w:rsidR="002F062B">
        <w:rPr>
          <w:sz w:val="17"/>
          <w:szCs w:val="17"/>
        </w:rPr>
        <w:t xml:space="preserve">(FAs) </w:t>
      </w:r>
      <w:r w:rsidRPr="00F02485">
        <w:rPr>
          <w:sz w:val="17"/>
          <w:szCs w:val="17"/>
        </w:rPr>
        <w:t xml:space="preserve">to </w:t>
      </w:r>
      <w:r w:rsidRPr="009F4696">
        <w:rPr>
          <w:sz w:val="17"/>
          <w:szCs w:val="17"/>
        </w:rPr>
        <w:t>inform investors about</w:t>
      </w:r>
      <w:r w:rsidRPr="00F02485">
        <w:rPr>
          <w:sz w:val="17"/>
          <w:szCs w:val="17"/>
        </w:rPr>
        <w:t xml:space="preserve"> how they consider </w:t>
      </w:r>
      <w:r w:rsidRPr="009F4696">
        <w:rPr>
          <w:sz w:val="17"/>
          <w:szCs w:val="17"/>
        </w:rPr>
        <w:t>sustainability risks</w:t>
      </w:r>
      <w:r w:rsidRPr="00415356">
        <w:rPr>
          <w:sz w:val="17"/>
          <w:szCs w:val="17"/>
        </w:rPr>
        <w:t>.</w:t>
      </w:r>
      <w:r w:rsidRPr="00F02485">
        <w:rPr>
          <w:sz w:val="17"/>
          <w:szCs w:val="17"/>
        </w:rPr>
        <w:t xml:space="preserve"> </w:t>
      </w:r>
      <w:r w:rsidR="00AC7EEC">
        <w:rPr>
          <w:sz w:val="17"/>
          <w:szCs w:val="17"/>
        </w:rPr>
        <w:t>Entitie</w:t>
      </w:r>
      <w:r w:rsidR="00C6624C">
        <w:rPr>
          <w:sz w:val="17"/>
          <w:szCs w:val="17"/>
        </w:rPr>
        <w:t xml:space="preserve">s </w:t>
      </w:r>
      <w:r w:rsidR="00AC7EEC">
        <w:rPr>
          <w:sz w:val="17"/>
          <w:szCs w:val="17"/>
        </w:rPr>
        <w:t xml:space="preserve">under scope </w:t>
      </w:r>
      <w:r w:rsidR="46754329" w:rsidRPr="7D8C8D09">
        <w:rPr>
          <w:sz w:val="17"/>
          <w:szCs w:val="17"/>
        </w:rPr>
        <w:t>must</w:t>
      </w:r>
      <w:r w:rsidRPr="00F02485">
        <w:rPr>
          <w:sz w:val="17"/>
          <w:szCs w:val="17"/>
        </w:rPr>
        <w:t xml:space="preserve"> make this information available with regard to specific products, but also relating to their respective firm as a whole</w:t>
      </w:r>
      <w:r w:rsidR="00163682">
        <w:rPr>
          <w:sz w:val="17"/>
          <w:szCs w:val="17"/>
        </w:rPr>
        <w:t xml:space="preserve">, </w:t>
      </w:r>
      <w:r w:rsidRPr="00F02485">
        <w:rPr>
          <w:sz w:val="17"/>
          <w:szCs w:val="17"/>
        </w:rPr>
        <w:t>via their websites, in product pre-contractual documents and in annual reports</w:t>
      </w:r>
      <w:r w:rsidR="00AC7EEC">
        <w:rPr>
          <w:sz w:val="17"/>
          <w:szCs w:val="17"/>
        </w:rPr>
        <w:t>.</w:t>
      </w:r>
    </w:p>
    <w:p w14:paraId="60348503" w14:textId="77777777" w:rsidR="000C27FE" w:rsidRDefault="000C27FE" w:rsidP="00AC4EFD">
      <w:pPr>
        <w:autoSpaceDE w:val="0"/>
        <w:autoSpaceDN w:val="0"/>
        <w:adjustRightInd w:val="0"/>
        <w:rPr>
          <w:sz w:val="17"/>
          <w:szCs w:val="17"/>
        </w:rPr>
      </w:pPr>
    </w:p>
    <w:p w14:paraId="39FFBE87" w14:textId="12706638" w:rsidR="000C27FE" w:rsidRPr="00F5690A" w:rsidRDefault="007D5B59" w:rsidP="007D5B59">
      <w:pPr>
        <w:autoSpaceDE w:val="0"/>
        <w:autoSpaceDN w:val="0"/>
        <w:adjustRightInd w:val="0"/>
        <w:rPr>
          <w:bCs/>
          <w:color w:val="000000" w:themeColor="text1"/>
          <w:sz w:val="17"/>
          <w:szCs w:val="17"/>
        </w:rPr>
      </w:pPr>
      <w:r w:rsidRPr="00F5690A">
        <w:rPr>
          <w:bCs/>
          <w:color w:val="000000" w:themeColor="text1"/>
          <w:sz w:val="17"/>
          <w:szCs w:val="17"/>
        </w:rPr>
        <w:t xml:space="preserve">The SFDR entered into force in March 2021. The SDFR </w:t>
      </w:r>
      <w:r w:rsidR="00776456" w:rsidRPr="7D8C8D09">
        <w:rPr>
          <w:color w:val="000000" w:themeColor="text1"/>
          <w:sz w:val="17"/>
          <w:szCs w:val="17"/>
        </w:rPr>
        <w:t>require</w:t>
      </w:r>
      <w:r w:rsidR="00776456">
        <w:rPr>
          <w:color w:val="000000" w:themeColor="text1"/>
          <w:sz w:val="17"/>
          <w:szCs w:val="17"/>
        </w:rPr>
        <w:t>d</w:t>
      </w:r>
      <w:r w:rsidR="00776456" w:rsidRPr="7D8C8D09">
        <w:rPr>
          <w:color w:val="000000" w:themeColor="text1"/>
          <w:sz w:val="17"/>
          <w:szCs w:val="17"/>
        </w:rPr>
        <w:t xml:space="preserve"> </w:t>
      </w:r>
      <w:r w:rsidR="10835D9A" w:rsidRPr="7D8C8D09">
        <w:rPr>
          <w:color w:val="000000" w:themeColor="text1"/>
          <w:sz w:val="17"/>
          <w:szCs w:val="17"/>
        </w:rPr>
        <w:t xml:space="preserve">the disclosure of </w:t>
      </w:r>
      <w:r w:rsidR="00776456">
        <w:rPr>
          <w:color w:val="000000" w:themeColor="text1"/>
          <w:sz w:val="17"/>
          <w:szCs w:val="17"/>
        </w:rPr>
        <w:t>entity</w:t>
      </w:r>
      <w:r w:rsidR="007E43F4">
        <w:rPr>
          <w:color w:val="000000" w:themeColor="text1"/>
          <w:sz w:val="17"/>
          <w:szCs w:val="17"/>
        </w:rPr>
        <w:t xml:space="preserve"> level</w:t>
      </w:r>
      <w:r w:rsidR="00776456" w:rsidRPr="7D8C8D09">
        <w:rPr>
          <w:color w:val="000000" w:themeColor="text1"/>
          <w:sz w:val="17"/>
          <w:szCs w:val="17"/>
        </w:rPr>
        <w:t xml:space="preserve"> </w:t>
      </w:r>
      <w:r w:rsidR="10835D9A" w:rsidRPr="7D8C8D09">
        <w:rPr>
          <w:color w:val="000000" w:themeColor="text1"/>
          <w:sz w:val="17"/>
          <w:szCs w:val="17"/>
        </w:rPr>
        <w:t>information</w:t>
      </w:r>
      <w:r w:rsidR="007E43F4">
        <w:rPr>
          <w:color w:val="000000" w:themeColor="text1"/>
          <w:sz w:val="17"/>
          <w:szCs w:val="17"/>
        </w:rPr>
        <w:t xml:space="preserve"> i</w:t>
      </w:r>
      <w:r w:rsidR="007E43F4">
        <w:rPr>
          <w:bCs/>
          <w:color w:val="000000" w:themeColor="text1"/>
          <w:sz w:val="17"/>
          <w:szCs w:val="17"/>
        </w:rPr>
        <w:t>n</w:t>
      </w:r>
      <w:r w:rsidR="6370A6AF" w:rsidRPr="7D8C8D09">
        <w:rPr>
          <w:color w:val="000000" w:themeColor="text1"/>
          <w:sz w:val="17"/>
          <w:szCs w:val="17"/>
        </w:rPr>
        <w:t xml:space="preserve"> </w:t>
      </w:r>
      <w:r w:rsidR="00E2158D" w:rsidRPr="00F5690A">
        <w:rPr>
          <w:bCs/>
          <w:color w:val="000000" w:themeColor="text1"/>
          <w:sz w:val="17"/>
          <w:szCs w:val="17"/>
        </w:rPr>
        <w:t xml:space="preserve">2023, </w:t>
      </w:r>
      <w:r w:rsidRPr="00F5690A">
        <w:rPr>
          <w:bCs/>
          <w:color w:val="000000" w:themeColor="text1"/>
          <w:sz w:val="17"/>
          <w:szCs w:val="17"/>
        </w:rPr>
        <w:t xml:space="preserve">covering the previous </w:t>
      </w:r>
      <w:r w:rsidR="00C2694B">
        <w:rPr>
          <w:bCs/>
          <w:color w:val="000000" w:themeColor="text1"/>
          <w:sz w:val="17"/>
          <w:szCs w:val="17"/>
        </w:rPr>
        <w:t xml:space="preserve">financial </w:t>
      </w:r>
      <w:r w:rsidR="00931180">
        <w:rPr>
          <w:bCs/>
          <w:color w:val="000000" w:themeColor="text1"/>
          <w:sz w:val="17"/>
          <w:szCs w:val="17"/>
        </w:rPr>
        <w:t>year (</w:t>
      </w:r>
      <w:r w:rsidRPr="00F5690A">
        <w:rPr>
          <w:bCs/>
          <w:color w:val="000000" w:themeColor="text1"/>
          <w:sz w:val="17"/>
          <w:szCs w:val="17"/>
        </w:rPr>
        <w:t>FY</w:t>
      </w:r>
      <w:r w:rsidR="00931180">
        <w:rPr>
          <w:bCs/>
          <w:color w:val="000000" w:themeColor="text1"/>
          <w:sz w:val="17"/>
          <w:szCs w:val="17"/>
        </w:rPr>
        <w:t>)</w:t>
      </w:r>
      <w:r w:rsidRPr="00F5690A">
        <w:rPr>
          <w:bCs/>
          <w:color w:val="000000" w:themeColor="text1"/>
          <w:sz w:val="17"/>
          <w:szCs w:val="17"/>
        </w:rPr>
        <w:t>.</w:t>
      </w:r>
      <w:r w:rsidR="0019012A">
        <w:rPr>
          <w:bCs/>
          <w:color w:val="000000" w:themeColor="text1"/>
          <w:sz w:val="17"/>
          <w:szCs w:val="17"/>
        </w:rPr>
        <w:t xml:space="preserve"> </w:t>
      </w:r>
      <w:r w:rsidR="0019012A" w:rsidRPr="004177B6">
        <w:rPr>
          <w:bCs/>
          <w:color w:val="000000" w:themeColor="text1"/>
          <w:sz w:val="17"/>
          <w:szCs w:val="17"/>
        </w:rPr>
        <w:t xml:space="preserve">The European Commission </w:t>
      </w:r>
      <w:r w:rsidR="001144C8">
        <w:rPr>
          <w:bCs/>
          <w:color w:val="000000" w:themeColor="text1"/>
          <w:sz w:val="17"/>
          <w:szCs w:val="17"/>
        </w:rPr>
        <w:t>(EC)</w:t>
      </w:r>
      <w:r w:rsidR="0019012A" w:rsidRPr="004177B6">
        <w:rPr>
          <w:bCs/>
          <w:color w:val="000000" w:themeColor="text1"/>
          <w:sz w:val="17"/>
          <w:szCs w:val="17"/>
        </w:rPr>
        <w:t xml:space="preserve"> is</w:t>
      </w:r>
      <w:r w:rsidR="00394977" w:rsidRPr="004177B6">
        <w:rPr>
          <w:bCs/>
          <w:color w:val="000000" w:themeColor="text1"/>
          <w:sz w:val="17"/>
          <w:szCs w:val="17"/>
        </w:rPr>
        <w:t xml:space="preserve"> </w:t>
      </w:r>
      <w:r w:rsidR="0019012A" w:rsidRPr="004177B6">
        <w:rPr>
          <w:bCs/>
          <w:color w:val="000000" w:themeColor="text1"/>
          <w:sz w:val="17"/>
          <w:szCs w:val="17"/>
        </w:rPr>
        <w:t>carrying out</w:t>
      </w:r>
      <w:r w:rsidR="0019012A" w:rsidRPr="00DA4466">
        <w:rPr>
          <w:bCs/>
          <w:color w:val="000000" w:themeColor="text1"/>
          <w:sz w:val="17"/>
          <w:szCs w:val="17"/>
        </w:rPr>
        <w:t xml:space="preserve"> a comprehensive assessment of the SFDR framework, looking at issues such as legal certainty and usability, addressing both the Regulation (</w:t>
      </w:r>
      <w:r w:rsidR="0019012A" w:rsidRPr="00394977">
        <w:rPr>
          <w:b/>
          <w:color w:val="000000" w:themeColor="text1"/>
          <w:sz w:val="17"/>
          <w:szCs w:val="17"/>
        </w:rPr>
        <w:t xml:space="preserve">level </w:t>
      </w:r>
      <w:r w:rsidR="007D7D62" w:rsidRPr="00394977">
        <w:rPr>
          <w:b/>
          <w:color w:val="000000" w:themeColor="text1"/>
          <w:sz w:val="17"/>
          <w:szCs w:val="17"/>
        </w:rPr>
        <w:t>1 review</w:t>
      </w:r>
      <w:r w:rsidR="007D7D62" w:rsidRPr="00DA4466">
        <w:rPr>
          <w:bCs/>
          <w:color w:val="000000" w:themeColor="text1"/>
          <w:sz w:val="17"/>
          <w:szCs w:val="17"/>
        </w:rPr>
        <w:t>)</w:t>
      </w:r>
      <w:r w:rsidR="0019012A" w:rsidRPr="00DA4466">
        <w:rPr>
          <w:bCs/>
          <w:color w:val="000000" w:themeColor="text1"/>
          <w:sz w:val="17"/>
          <w:szCs w:val="17"/>
        </w:rPr>
        <w:t xml:space="preserve"> </w:t>
      </w:r>
      <w:r w:rsidR="0019012A" w:rsidRPr="004177B6">
        <w:rPr>
          <w:bCs/>
          <w:color w:val="000000" w:themeColor="text1"/>
          <w:sz w:val="17"/>
          <w:szCs w:val="17"/>
        </w:rPr>
        <w:t>and</w:t>
      </w:r>
      <w:r w:rsidR="0019012A" w:rsidRPr="00DA4466">
        <w:rPr>
          <w:bCs/>
          <w:color w:val="000000" w:themeColor="text1"/>
          <w:sz w:val="17"/>
          <w:szCs w:val="17"/>
        </w:rPr>
        <w:t xml:space="preserve"> </w:t>
      </w:r>
      <w:r w:rsidR="00DA4466" w:rsidRPr="00DA4466">
        <w:rPr>
          <w:bCs/>
          <w:color w:val="000000" w:themeColor="text1"/>
          <w:sz w:val="17"/>
          <w:szCs w:val="17"/>
        </w:rPr>
        <w:t>the Regulatory Technical Standards</w:t>
      </w:r>
      <w:r w:rsidR="007D7D62" w:rsidRPr="00DA4466">
        <w:rPr>
          <w:bCs/>
          <w:color w:val="000000" w:themeColor="text1"/>
          <w:sz w:val="17"/>
          <w:szCs w:val="17"/>
        </w:rPr>
        <w:t xml:space="preserve"> (</w:t>
      </w:r>
      <w:r w:rsidR="007D7D62" w:rsidRPr="00394977">
        <w:rPr>
          <w:b/>
          <w:color w:val="000000" w:themeColor="text1"/>
          <w:sz w:val="17"/>
          <w:szCs w:val="17"/>
        </w:rPr>
        <w:t>level 2 review</w:t>
      </w:r>
      <w:r w:rsidR="007D7D62" w:rsidRPr="00DA4466">
        <w:rPr>
          <w:bCs/>
          <w:color w:val="000000" w:themeColor="text1"/>
          <w:sz w:val="17"/>
          <w:szCs w:val="17"/>
        </w:rPr>
        <w:t>).</w:t>
      </w:r>
    </w:p>
    <w:p w14:paraId="0CF56696" w14:textId="77777777" w:rsidR="00AC4EFD" w:rsidRDefault="00AC4EFD" w:rsidP="00F02447">
      <w:pPr>
        <w:autoSpaceDE w:val="0"/>
        <w:autoSpaceDN w:val="0"/>
        <w:adjustRightInd w:val="0"/>
        <w:rPr>
          <w:b/>
          <w:color w:val="002957"/>
          <w:sz w:val="17"/>
          <w:szCs w:val="17"/>
        </w:rPr>
      </w:pPr>
    </w:p>
    <w:p w14:paraId="06A83131" w14:textId="6ECB6BD9" w:rsidR="00F02447" w:rsidRPr="003D0236" w:rsidRDefault="00B97475" w:rsidP="00F02447">
      <w:pPr>
        <w:autoSpaceDE w:val="0"/>
        <w:autoSpaceDN w:val="0"/>
        <w:adjustRightInd w:val="0"/>
        <w:rPr>
          <w:b/>
          <w:color w:val="002957"/>
          <w:sz w:val="17"/>
          <w:szCs w:val="17"/>
        </w:rPr>
      </w:pPr>
      <w:r>
        <w:rPr>
          <w:b/>
          <w:color w:val="002957"/>
          <w:sz w:val="17"/>
          <w:szCs w:val="17"/>
        </w:rPr>
        <w:t xml:space="preserve">Issues with </w:t>
      </w:r>
      <w:r w:rsidR="00861264">
        <w:rPr>
          <w:b/>
          <w:color w:val="002957"/>
          <w:sz w:val="17"/>
          <w:szCs w:val="17"/>
        </w:rPr>
        <w:t>the current framework</w:t>
      </w:r>
      <w:r w:rsidR="007565AA">
        <w:rPr>
          <w:b/>
          <w:color w:val="002957"/>
          <w:sz w:val="17"/>
          <w:szCs w:val="17"/>
        </w:rPr>
        <w:t xml:space="preserve"> </w:t>
      </w:r>
    </w:p>
    <w:p w14:paraId="78C7A5CA" w14:textId="46925DD8" w:rsidR="00E5563C" w:rsidRDefault="007E76AD" w:rsidP="00F02447">
      <w:pPr>
        <w:rPr>
          <w:sz w:val="17"/>
          <w:szCs w:val="17"/>
        </w:rPr>
      </w:pPr>
      <w:r>
        <w:rPr>
          <w:sz w:val="17"/>
          <w:szCs w:val="17"/>
        </w:rPr>
        <w:t xml:space="preserve">The SFDR was </w:t>
      </w:r>
      <w:r w:rsidRPr="00F5690A">
        <w:rPr>
          <w:b/>
          <w:bCs/>
          <w:sz w:val="17"/>
          <w:szCs w:val="17"/>
        </w:rPr>
        <w:t xml:space="preserve">conceived </w:t>
      </w:r>
      <w:r w:rsidR="005C3036" w:rsidRPr="00F5690A">
        <w:rPr>
          <w:b/>
          <w:bCs/>
          <w:sz w:val="17"/>
          <w:szCs w:val="17"/>
        </w:rPr>
        <w:t>as a disclosure regime</w:t>
      </w:r>
      <w:r>
        <w:rPr>
          <w:sz w:val="17"/>
          <w:szCs w:val="17"/>
        </w:rPr>
        <w:t xml:space="preserve"> but</w:t>
      </w:r>
      <w:r w:rsidRPr="005C3036">
        <w:rPr>
          <w:sz w:val="17"/>
          <w:szCs w:val="17"/>
        </w:rPr>
        <w:t xml:space="preserve"> </w:t>
      </w:r>
      <w:r w:rsidR="005C3036" w:rsidRPr="004D188B">
        <w:rPr>
          <w:b/>
          <w:bCs/>
          <w:sz w:val="17"/>
          <w:szCs w:val="17"/>
        </w:rPr>
        <w:t xml:space="preserve">in practice </w:t>
      </w:r>
      <w:r w:rsidR="00180A81">
        <w:rPr>
          <w:b/>
          <w:bCs/>
          <w:sz w:val="17"/>
          <w:szCs w:val="17"/>
        </w:rPr>
        <w:t>it</w:t>
      </w:r>
      <w:r w:rsidR="00A76FF7" w:rsidRPr="004D188B">
        <w:rPr>
          <w:b/>
          <w:bCs/>
          <w:sz w:val="17"/>
          <w:szCs w:val="17"/>
        </w:rPr>
        <w:t xml:space="preserve"> </w:t>
      </w:r>
      <w:r w:rsidR="005C3036" w:rsidRPr="004D188B">
        <w:rPr>
          <w:b/>
          <w:bCs/>
          <w:sz w:val="17"/>
          <w:szCs w:val="17"/>
        </w:rPr>
        <w:t>is used</w:t>
      </w:r>
      <w:r w:rsidR="00A76FF7" w:rsidRPr="004D188B">
        <w:rPr>
          <w:b/>
          <w:bCs/>
          <w:sz w:val="17"/>
          <w:szCs w:val="17"/>
        </w:rPr>
        <w:t xml:space="preserve"> </w:t>
      </w:r>
      <w:r w:rsidR="005C3036" w:rsidRPr="004D188B">
        <w:rPr>
          <w:b/>
          <w:bCs/>
          <w:sz w:val="17"/>
          <w:szCs w:val="17"/>
        </w:rPr>
        <w:t>as a labelling scheme</w:t>
      </w:r>
      <w:r w:rsidR="005C3036" w:rsidRPr="005C3036">
        <w:rPr>
          <w:sz w:val="17"/>
          <w:szCs w:val="17"/>
        </w:rPr>
        <w:t xml:space="preserve"> for </w:t>
      </w:r>
      <w:r w:rsidR="00DC00AA">
        <w:rPr>
          <w:sz w:val="17"/>
          <w:szCs w:val="17"/>
        </w:rPr>
        <w:t>sustainable</w:t>
      </w:r>
      <w:r w:rsidR="00E108AC">
        <w:rPr>
          <w:sz w:val="17"/>
          <w:szCs w:val="17"/>
        </w:rPr>
        <w:t xml:space="preserve"> </w:t>
      </w:r>
      <w:r w:rsidR="00A76FF7">
        <w:rPr>
          <w:sz w:val="17"/>
          <w:szCs w:val="17"/>
        </w:rPr>
        <w:t>products</w:t>
      </w:r>
      <w:r w:rsidR="00CB1B78">
        <w:rPr>
          <w:sz w:val="17"/>
          <w:szCs w:val="17"/>
        </w:rPr>
        <w:t>.</w:t>
      </w:r>
      <w:r w:rsidR="00CB1B78" w:rsidRPr="005C3036">
        <w:rPr>
          <w:sz w:val="17"/>
          <w:szCs w:val="17"/>
        </w:rPr>
        <w:t xml:space="preserve"> </w:t>
      </w:r>
      <w:r w:rsidR="001A6AE4">
        <w:rPr>
          <w:sz w:val="17"/>
          <w:szCs w:val="17"/>
        </w:rPr>
        <w:t xml:space="preserve">This was already recognised by the EC when they ran a public consultation on a potential review of the SFDR in </w:t>
      </w:r>
      <w:r w:rsidR="00E92CD2">
        <w:rPr>
          <w:sz w:val="17"/>
          <w:szCs w:val="17"/>
        </w:rPr>
        <w:t>December 2023</w:t>
      </w:r>
      <w:r w:rsidR="001A6AE4">
        <w:rPr>
          <w:sz w:val="17"/>
          <w:szCs w:val="17"/>
        </w:rPr>
        <w:t>.</w:t>
      </w:r>
      <w:r w:rsidR="00EE7AA5">
        <w:rPr>
          <w:sz w:val="17"/>
          <w:szCs w:val="17"/>
        </w:rPr>
        <w:t xml:space="preserve"> </w:t>
      </w:r>
      <w:r w:rsidR="00EE7AA5" w:rsidRPr="00EE7AA5">
        <w:rPr>
          <w:sz w:val="17"/>
          <w:szCs w:val="17"/>
        </w:rPr>
        <w:t xml:space="preserve">While the choice of direction should be based on thorough analysis, the use of the current </w:t>
      </w:r>
      <w:r w:rsidR="00B9570F">
        <w:rPr>
          <w:sz w:val="17"/>
          <w:szCs w:val="17"/>
        </w:rPr>
        <w:t>R</w:t>
      </w:r>
      <w:r w:rsidR="00EE7AA5" w:rsidRPr="00EE7AA5">
        <w:rPr>
          <w:sz w:val="17"/>
          <w:szCs w:val="17"/>
        </w:rPr>
        <w:t>egulation as a labelling system is instead held as evidence of this being the best option</w:t>
      </w:r>
      <w:r w:rsidR="00B9570F">
        <w:rPr>
          <w:sz w:val="17"/>
          <w:szCs w:val="17"/>
        </w:rPr>
        <w:t>.</w:t>
      </w:r>
    </w:p>
    <w:p w14:paraId="3322A2D7" w14:textId="77777777" w:rsidR="00E5563C" w:rsidRDefault="00E5563C" w:rsidP="00F02447">
      <w:pPr>
        <w:rPr>
          <w:sz w:val="17"/>
          <w:szCs w:val="17"/>
        </w:rPr>
      </w:pPr>
    </w:p>
    <w:p w14:paraId="7AD33BA9" w14:textId="1675C7CB" w:rsidR="001F0722" w:rsidRPr="00B46E9A" w:rsidRDefault="00ED56FE" w:rsidP="009C3FE5">
      <w:pPr>
        <w:rPr>
          <w:sz w:val="17"/>
          <w:szCs w:val="17"/>
        </w:rPr>
      </w:pPr>
      <w:r w:rsidRPr="00440A0C">
        <w:rPr>
          <w:b/>
          <w:sz w:val="17"/>
          <w:szCs w:val="17"/>
        </w:rPr>
        <w:t>T</w:t>
      </w:r>
      <w:r w:rsidR="006F58D0" w:rsidRPr="00440A0C">
        <w:rPr>
          <w:b/>
          <w:sz w:val="17"/>
          <w:szCs w:val="17"/>
        </w:rPr>
        <w:t>he SFDR</w:t>
      </w:r>
      <w:r w:rsidRPr="00440A0C">
        <w:rPr>
          <w:b/>
          <w:sz w:val="17"/>
          <w:szCs w:val="17"/>
        </w:rPr>
        <w:t xml:space="preserve"> </w:t>
      </w:r>
      <w:r w:rsidR="006F58D0" w:rsidRPr="00440A0C">
        <w:rPr>
          <w:b/>
          <w:sz w:val="17"/>
          <w:szCs w:val="17"/>
        </w:rPr>
        <w:t>omi</w:t>
      </w:r>
      <w:r w:rsidR="003539F5" w:rsidRPr="00440A0C">
        <w:rPr>
          <w:b/>
          <w:sz w:val="17"/>
          <w:szCs w:val="17"/>
        </w:rPr>
        <w:t xml:space="preserve">ts </w:t>
      </w:r>
      <w:r w:rsidR="002A4AF5" w:rsidRPr="00440A0C">
        <w:rPr>
          <w:b/>
          <w:sz w:val="17"/>
          <w:szCs w:val="17"/>
        </w:rPr>
        <w:t>‘</w:t>
      </w:r>
      <w:r w:rsidR="006F58D0" w:rsidRPr="00440A0C">
        <w:rPr>
          <w:b/>
          <w:sz w:val="17"/>
          <w:szCs w:val="17"/>
        </w:rPr>
        <w:t>transition</w:t>
      </w:r>
      <w:r w:rsidR="002A4AF5" w:rsidRPr="00440A0C">
        <w:rPr>
          <w:b/>
          <w:sz w:val="17"/>
          <w:szCs w:val="17"/>
        </w:rPr>
        <w:t>’</w:t>
      </w:r>
      <w:r w:rsidR="006F58D0" w:rsidRPr="00440A0C">
        <w:rPr>
          <w:b/>
          <w:sz w:val="17"/>
          <w:szCs w:val="17"/>
        </w:rPr>
        <w:t xml:space="preserve"> products</w:t>
      </w:r>
      <w:r w:rsidR="00B35256">
        <w:rPr>
          <w:sz w:val="17"/>
          <w:szCs w:val="17"/>
        </w:rPr>
        <w:t>,</w:t>
      </w:r>
      <w:r w:rsidR="00F24124">
        <w:rPr>
          <w:sz w:val="17"/>
          <w:szCs w:val="17"/>
        </w:rPr>
        <w:t xml:space="preserve"> </w:t>
      </w:r>
      <w:r w:rsidR="009B6AD7">
        <w:rPr>
          <w:sz w:val="17"/>
          <w:szCs w:val="17"/>
        </w:rPr>
        <w:t xml:space="preserve">i.e. those </w:t>
      </w:r>
      <w:r w:rsidR="00B35256">
        <w:rPr>
          <w:sz w:val="17"/>
          <w:szCs w:val="17"/>
        </w:rPr>
        <w:t xml:space="preserve">products that, while not making investments </w:t>
      </w:r>
      <w:r w:rsidR="00A44299">
        <w:rPr>
          <w:sz w:val="17"/>
          <w:szCs w:val="17"/>
        </w:rPr>
        <w:t xml:space="preserve">that are already sustainable, have a clear aim to bring </w:t>
      </w:r>
      <w:r w:rsidR="00216895">
        <w:rPr>
          <w:sz w:val="17"/>
          <w:szCs w:val="17"/>
        </w:rPr>
        <w:t xml:space="preserve">measurable improvements to </w:t>
      </w:r>
      <w:r w:rsidR="00CE22C3">
        <w:rPr>
          <w:sz w:val="17"/>
          <w:szCs w:val="17"/>
        </w:rPr>
        <w:t xml:space="preserve">the sustainability profile </w:t>
      </w:r>
      <w:r w:rsidR="00440A0C">
        <w:rPr>
          <w:sz w:val="17"/>
          <w:szCs w:val="17"/>
        </w:rPr>
        <w:t>of the assets they invest in.</w:t>
      </w:r>
      <w:r w:rsidR="00B46E9A">
        <w:rPr>
          <w:sz w:val="17"/>
          <w:szCs w:val="17"/>
        </w:rPr>
        <w:t xml:space="preserve"> </w:t>
      </w:r>
      <w:r w:rsidR="00146D4B">
        <w:rPr>
          <w:sz w:val="17"/>
          <w:szCs w:val="17"/>
        </w:rPr>
        <w:t xml:space="preserve">Taking into account transition </w:t>
      </w:r>
      <w:r w:rsidR="009C3FE5" w:rsidRPr="009C3FE5">
        <w:rPr>
          <w:sz w:val="17"/>
          <w:szCs w:val="17"/>
        </w:rPr>
        <w:t xml:space="preserve">may require a </w:t>
      </w:r>
      <w:r w:rsidR="00A711F7">
        <w:rPr>
          <w:sz w:val="17"/>
          <w:szCs w:val="17"/>
        </w:rPr>
        <w:t xml:space="preserve">clarification </w:t>
      </w:r>
      <w:r w:rsidR="009C3FE5" w:rsidRPr="009C3FE5">
        <w:rPr>
          <w:sz w:val="17"/>
          <w:szCs w:val="17"/>
        </w:rPr>
        <w:t xml:space="preserve">of </w:t>
      </w:r>
      <w:r w:rsidR="009C3FE5" w:rsidRPr="00A711F7">
        <w:rPr>
          <w:b/>
          <w:sz w:val="17"/>
          <w:szCs w:val="17"/>
        </w:rPr>
        <w:t xml:space="preserve">the </w:t>
      </w:r>
      <w:r w:rsidR="00B71378">
        <w:rPr>
          <w:b/>
          <w:bCs/>
          <w:sz w:val="17"/>
          <w:szCs w:val="17"/>
        </w:rPr>
        <w:t xml:space="preserve">SFDR </w:t>
      </w:r>
      <w:r w:rsidR="009C3FE5" w:rsidRPr="00A711F7">
        <w:rPr>
          <w:b/>
          <w:sz w:val="17"/>
          <w:szCs w:val="17"/>
        </w:rPr>
        <w:t xml:space="preserve">concept of </w:t>
      </w:r>
      <w:r w:rsidR="00B46E9A" w:rsidRPr="00A711F7">
        <w:rPr>
          <w:b/>
          <w:sz w:val="17"/>
          <w:szCs w:val="17"/>
        </w:rPr>
        <w:t>‘S</w:t>
      </w:r>
      <w:r w:rsidR="009C3FE5" w:rsidRPr="00A711F7">
        <w:rPr>
          <w:b/>
          <w:sz w:val="17"/>
          <w:szCs w:val="17"/>
        </w:rPr>
        <w:t xml:space="preserve">ustainable </w:t>
      </w:r>
      <w:r w:rsidR="00B46E9A" w:rsidRPr="00A711F7">
        <w:rPr>
          <w:b/>
          <w:sz w:val="17"/>
          <w:szCs w:val="17"/>
        </w:rPr>
        <w:t>I</w:t>
      </w:r>
      <w:r w:rsidR="009C3FE5" w:rsidRPr="00A711F7">
        <w:rPr>
          <w:b/>
          <w:sz w:val="17"/>
          <w:szCs w:val="17"/>
        </w:rPr>
        <w:t>nvestment</w:t>
      </w:r>
      <w:r w:rsidR="00B46E9A" w:rsidRPr="00A711F7">
        <w:rPr>
          <w:b/>
          <w:sz w:val="17"/>
          <w:szCs w:val="17"/>
        </w:rPr>
        <w:t>’</w:t>
      </w:r>
      <w:r w:rsidR="009C3FE5" w:rsidRPr="009C3FE5">
        <w:rPr>
          <w:sz w:val="17"/>
          <w:szCs w:val="17"/>
        </w:rPr>
        <w:t xml:space="preserve"> in </w:t>
      </w:r>
      <w:r w:rsidR="00B46E9A">
        <w:rPr>
          <w:sz w:val="17"/>
          <w:szCs w:val="17"/>
        </w:rPr>
        <w:t>article 2(17)</w:t>
      </w:r>
      <w:r w:rsidR="009C3FE5" w:rsidRPr="009C3FE5">
        <w:rPr>
          <w:sz w:val="17"/>
          <w:szCs w:val="17"/>
        </w:rPr>
        <w:t xml:space="preserve">, which </w:t>
      </w:r>
      <w:r w:rsidR="009C3FE5" w:rsidRPr="00A711F7">
        <w:rPr>
          <w:b/>
          <w:sz w:val="17"/>
          <w:szCs w:val="17"/>
        </w:rPr>
        <w:t>is too broad and uncertain</w:t>
      </w:r>
      <w:r w:rsidR="00B46E9A">
        <w:rPr>
          <w:sz w:val="17"/>
          <w:szCs w:val="17"/>
        </w:rPr>
        <w:t xml:space="preserve"> now.</w:t>
      </w:r>
      <w:r w:rsidR="00916449" w:rsidRPr="00916449">
        <w:t xml:space="preserve"> </w:t>
      </w:r>
      <w:r w:rsidR="00916449" w:rsidRPr="00916449">
        <w:rPr>
          <w:sz w:val="17"/>
          <w:szCs w:val="17"/>
        </w:rPr>
        <w:t>Furthermore, a clarification would give FMPs legal certainty and could prevent greenwashing.</w:t>
      </w:r>
    </w:p>
    <w:p w14:paraId="760D46E3" w14:textId="77777777" w:rsidR="00440A0C" w:rsidRDefault="00440A0C" w:rsidP="007B4163"/>
    <w:p w14:paraId="027D22E6" w14:textId="7B3D3082" w:rsidR="005F102B" w:rsidRPr="005F102B" w:rsidRDefault="005F102B" w:rsidP="007B4163">
      <w:pPr>
        <w:rPr>
          <w:sz w:val="17"/>
          <w:szCs w:val="17"/>
        </w:rPr>
      </w:pPr>
      <w:r w:rsidRPr="005F102B">
        <w:rPr>
          <w:sz w:val="17"/>
          <w:szCs w:val="17"/>
        </w:rPr>
        <w:t xml:space="preserve">Regarding </w:t>
      </w:r>
      <w:r w:rsidR="0034782C">
        <w:rPr>
          <w:sz w:val="17"/>
          <w:szCs w:val="17"/>
        </w:rPr>
        <w:t xml:space="preserve">the </w:t>
      </w:r>
      <w:r w:rsidRPr="005F102B">
        <w:rPr>
          <w:sz w:val="17"/>
          <w:szCs w:val="17"/>
        </w:rPr>
        <w:t>alignment</w:t>
      </w:r>
      <w:r w:rsidR="007D2A0F">
        <w:rPr>
          <w:sz w:val="17"/>
          <w:szCs w:val="17"/>
        </w:rPr>
        <w:t xml:space="preserve"> </w:t>
      </w:r>
      <w:r w:rsidR="00E71085">
        <w:rPr>
          <w:sz w:val="17"/>
          <w:szCs w:val="17"/>
        </w:rPr>
        <w:t xml:space="preserve">of the SFDR </w:t>
      </w:r>
      <w:r w:rsidR="007D2A0F">
        <w:rPr>
          <w:sz w:val="17"/>
          <w:szCs w:val="17"/>
        </w:rPr>
        <w:t xml:space="preserve">with the </w:t>
      </w:r>
      <w:r w:rsidR="00815288">
        <w:rPr>
          <w:sz w:val="17"/>
          <w:szCs w:val="17"/>
        </w:rPr>
        <w:t xml:space="preserve">EU </w:t>
      </w:r>
      <w:r w:rsidR="007D2A0F">
        <w:rPr>
          <w:sz w:val="17"/>
          <w:szCs w:val="17"/>
        </w:rPr>
        <w:t>Taxonomy</w:t>
      </w:r>
      <w:r w:rsidRPr="005F102B">
        <w:rPr>
          <w:sz w:val="17"/>
          <w:szCs w:val="17"/>
        </w:rPr>
        <w:t xml:space="preserve">, the </w:t>
      </w:r>
      <w:r w:rsidR="007D2A0F">
        <w:rPr>
          <w:sz w:val="17"/>
          <w:szCs w:val="17"/>
        </w:rPr>
        <w:t>T</w:t>
      </w:r>
      <w:r w:rsidRPr="005F102B">
        <w:rPr>
          <w:sz w:val="17"/>
          <w:szCs w:val="17"/>
        </w:rPr>
        <w:t>axonomy</w:t>
      </w:r>
      <w:r w:rsidR="00350A91">
        <w:rPr>
          <w:sz w:val="17"/>
          <w:szCs w:val="17"/>
        </w:rPr>
        <w:t xml:space="preserve"> </w:t>
      </w:r>
      <w:r w:rsidRPr="005F102B">
        <w:rPr>
          <w:sz w:val="17"/>
          <w:szCs w:val="17"/>
        </w:rPr>
        <w:t>is currently the only harmonised framework that provides</w:t>
      </w:r>
      <w:r w:rsidR="00730A1C">
        <w:rPr>
          <w:sz w:val="17"/>
          <w:szCs w:val="17"/>
        </w:rPr>
        <w:t xml:space="preserve"> </w:t>
      </w:r>
      <w:r w:rsidRPr="005F102B">
        <w:rPr>
          <w:sz w:val="17"/>
          <w:szCs w:val="17"/>
        </w:rPr>
        <w:t>a definition of environmentally sustainable activities at EU level</w:t>
      </w:r>
      <w:r w:rsidR="009B748F">
        <w:rPr>
          <w:sz w:val="17"/>
          <w:szCs w:val="17"/>
        </w:rPr>
        <w:t>,</w:t>
      </w:r>
      <w:r w:rsidR="009B748F" w:rsidRPr="005F102B">
        <w:rPr>
          <w:sz w:val="17"/>
          <w:szCs w:val="17"/>
        </w:rPr>
        <w:t xml:space="preserve"> </w:t>
      </w:r>
      <w:r w:rsidR="009B748F">
        <w:rPr>
          <w:sz w:val="17"/>
          <w:szCs w:val="17"/>
        </w:rPr>
        <w:t>but</w:t>
      </w:r>
      <w:r w:rsidR="005800BA">
        <w:rPr>
          <w:sz w:val="17"/>
          <w:szCs w:val="17"/>
        </w:rPr>
        <w:t xml:space="preserve"> </w:t>
      </w:r>
      <w:r w:rsidRPr="00F84AFA">
        <w:rPr>
          <w:b/>
          <w:sz w:val="17"/>
          <w:szCs w:val="17"/>
        </w:rPr>
        <w:t>the</w:t>
      </w:r>
      <w:r w:rsidRPr="005F102B">
        <w:rPr>
          <w:sz w:val="17"/>
          <w:szCs w:val="17"/>
        </w:rPr>
        <w:t xml:space="preserve"> </w:t>
      </w:r>
      <w:r w:rsidRPr="00583044">
        <w:rPr>
          <w:b/>
          <w:bCs/>
          <w:sz w:val="17"/>
          <w:szCs w:val="17"/>
        </w:rPr>
        <w:t xml:space="preserve">current gap in the % of </w:t>
      </w:r>
      <w:r w:rsidR="00730A1C" w:rsidRPr="00583044">
        <w:rPr>
          <w:b/>
          <w:bCs/>
          <w:sz w:val="17"/>
          <w:szCs w:val="17"/>
        </w:rPr>
        <w:t>T</w:t>
      </w:r>
      <w:r w:rsidRPr="00583044">
        <w:rPr>
          <w:b/>
          <w:bCs/>
          <w:sz w:val="17"/>
          <w:szCs w:val="17"/>
        </w:rPr>
        <w:t>axonomy</w:t>
      </w:r>
      <w:r w:rsidR="00F03A16" w:rsidRPr="00583044">
        <w:rPr>
          <w:b/>
          <w:bCs/>
          <w:sz w:val="17"/>
          <w:szCs w:val="17"/>
        </w:rPr>
        <w:t>-</w:t>
      </w:r>
      <w:r w:rsidRPr="00583044">
        <w:rPr>
          <w:b/>
          <w:bCs/>
          <w:sz w:val="17"/>
          <w:szCs w:val="17"/>
        </w:rPr>
        <w:t>alignment of</w:t>
      </w:r>
      <w:r w:rsidR="00146B8A" w:rsidRPr="00583044">
        <w:rPr>
          <w:b/>
          <w:bCs/>
          <w:sz w:val="17"/>
          <w:szCs w:val="17"/>
        </w:rPr>
        <w:t xml:space="preserve"> </w:t>
      </w:r>
      <w:r w:rsidRPr="00583044">
        <w:rPr>
          <w:b/>
          <w:bCs/>
          <w:sz w:val="17"/>
          <w:szCs w:val="17"/>
        </w:rPr>
        <w:t>econo</w:t>
      </w:r>
      <w:r w:rsidR="00F03A16" w:rsidRPr="00583044">
        <w:rPr>
          <w:b/>
          <w:bCs/>
          <w:sz w:val="17"/>
          <w:szCs w:val="17"/>
        </w:rPr>
        <w:t xml:space="preserve">mic activities </w:t>
      </w:r>
      <w:r w:rsidRPr="00583044">
        <w:rPr>
          <w:b/>
          <w:bCs/>
          <w:sz w:val="17"/>
          <w:szCs w:val="17"/>
        </w:rPr>
        <w:t>jeopardises efforts made by investors</w:t>
      </w:r>
      <w:r w:rsidR="00730A1C">
        <w:rPr>
          <w:sz w:val="17"/>
          <w:szCs w:val="17"/>
        </w:rPr>
        <w:t xml:space="preserve">. </w:t>
      </w:r>
    </w:p>
    <w:p w14:paraId="26506900" w14:textId="77777777" w:rsidR="00EE46EA" w:rsidRDefault="00EE46EA" w:rsidP="007B4163"/>
    <w:p w14:paraId="395C51A1" w14:textId="2520ADA5" w:rsidR="00016802" w:rsidRDefault="007B4163" w:rsidP="007B4163">
      <w:pPr>
        <w:rPr>
          <w:sz w:val="17"/>
          <w:szCs w:val="17"/>
        </w:rPr>
      </w:pPr>
      <w:r w:rsidRPr="00583044">
        <w:rPr>
          <w:b/>
          <w:bCs/>
          <w:sz w:val="17"/>
          <w:szCs w:val="17"/>
        </w:rPr>
        <w:t>Cost</w:t>
      </w:r>
      <w:r w:rsidR="00F84AFA">
        <w:rPr>
          <w:b/>
          <w:bCs/>
          <w:sz w:val="17"/>
          <w:szCs w:val="17"/>
        </w:rPr>
        <w:t>s</w:t>
      </w:r>
      <w:r w:rsidRPr="00583044">
        <w:rPr>
          <w:b/>
          <w:bCs/>
          <w:sz w:val="17"/>
          <w:szCs w:val="17"/>
        </w:rPr>
        <w:t xml:space="preserve"> </w:t>
      </w:r>
      <w:r w:rsidR="00F84AFA">
        <w:rPr>
          <w:b/>
          <w:bCs/>
          <w:sz w:val="17"/>
          <w:szCs w:val="17"/>
        </w:rPr>
        <w:t xml:space="preserve">are </w:t>
      </w:r>
      <w:r w:rsidRPr="00583044">
        <w:rPr>
          <w:b/>
          <w:bCs/>
          <w:sz w:val="17"/>
          <w:szCs w:val="17"/>
        </w:rPr>
        <w:t>a significant concern for</w:t>
      </w:r>
      <w:r w:rsidR="00F46D02">
        <w:rPr>
          <w:b/>
          <w:bCs/>
          <w:sz w:val="17"/>
          <w:szCs w:val="17"/>
        </w:rPr>
        <w:t xml:space="preserve"> </w:t>
      </w:r>
      <w:r w:rsidRPr="00583044">
        <w:rPr>
          <w:b/>
          <w:bCs/>
          <w:sz w:val="17"/>
          <w:szCs w:val="17"/>
        </w:rPr>
        <w:t>implementing the SFDR</w:t>
      </w:r>
      <w:r w:rsidR="00AF38A1">
        <w:rPr>
          <w:sz w:val="17"/>
          <w:szCs w:val="17"/>
        </w:rPr>
        <w:t xml:space="preserve">: </w:t>
      </w:r>
      <w:r w:rsidRPr="007B4163">
        <w:rPr>
          <w:sz w:val="17"/>
          <w:szCs w:val="17"/>
        </w:rPr>
        <w:t>IT structures and developments,</w:t>
      </w:r>
      <w:r w:rsidR="00AF38A1">
        <w:rPr>
          <w:sz w:val="17"/>
          <w:szCs w:val="17"/>
        </w:rPr>
        <w:t xml:space="preserve"> </w:t>
      </w:r>
      <w:r w:rsidRPr="007B4163">
        <w:rPr>
          <w:sz w:val="17"/>
          <w:szCs w:val="17"/>
        </w:rPr>
        <w:t>external data providers</w:t>
      </w:r>
      <w:r w:rsidR="00AF38A1">
        <w:rPr>
          <w:sz w:val="17"/>
          <w:szCs w:val="17"/>
        </w:rPr>
        <w:t xml:space="preserve">, </w:t>
      </w:r>
      <w:r w:rsidRPr="007B4163">
        <w:rPr>
          <w:sz w:val="17"/>
          <w:szCs w:val="17"/>
        </w:rPr>
        <w:t xml:space="preserve">necessary </w:t>
      </w:r>
      <w:r w:rsidR="000710B5" w:rsidRPr="1D8C2685">
        <w:rPr>
          <w:sz w:val="17"/>
          <w:szCs w:val="17"/>
        </w:rPr>
        <w:t>full-time</w:t>
      </w:r>
      <w:r w:rsidR="1CEF0231" w:rsidRPr="1D8C2685">
        <w:rPr>
          <w:sz w:val="17"/>
          <w:szCs w:val="17"/>
        </w:rPr>
        <w:t xml:space="preserve"> equivalents </w:t>
      </w:r>
      <w:r w:rsidR="000710B5">
        <w:rPr>
          <w:sz w:val="17"/>
          <w:szCs w:val="17"/>
        </w:rPr>
        <w:t>(</w:t>
      </w:r>
      <w:r w:rsidRPr="007B4163">
        <w:rPr>
          <w:sz w:val="17"/>
          <w:szCs w:val="17"/>
        </w:rPr>
        <w:t>FTEs</w:t>
      </w:r>
      <w:r w:rsidR="000710B5">
        <w:rPr>
          <w:sz w:val="17"/>
          <w:szCs w:val="17"/>
        </w:rPr>
        <w:t>)</w:t>
      </w:r>
      <w:r w:rsidRPr="007B4163">
        <w:rPr>
          <w:sz w:val="17"/>
          <w:szCs w:val="17"/>
        </w:rPr>
        <w:t>, distribution channels</w:t>
      </w:r>
      <w:r w:rsidR="00E77D9C">
        <w:rPr>
          <w:sz w:val="17"/>
          <w:szCs w:val="17"/>
        </w:rPr>
        <w:t xml:space="preserve">, </w:t>
      </w:r>
      <w:r w:rsidRPr="007B4163">
        <w:rPr>
          <w:sz w:val="17"/>
          <w:szCs w:val="17"/>
        </w:rPr>
        <w:t>training of distributors</w:t>
      </w:r>
      <w:r w:rsidR="00E77D9C">
        <w:rPr>
          <w:sz w:val="17"/>
          <w:szCs w:val="17"/>
        </w:rPr>
        <w:t>, etc</w:t>
      </w:r>
      <w:r w:rsidRPr="007B4163">
        <w:rPr>
          <w:sz w:val="17"/>
          <w:szCs w:val="17"/>
        </w:rPr>
        <w:t>.</w:t>
      </w:r>
      <w:r w:rsidR="005F321A">
        <w:rPr>
          <w:sz w:val="17"/>
          <w:szCs w:val="17"/>
        </w:rPr>
        <w:t xml:space="preserve"> </w:t>
      </w:r>
      <w:r w:rsidR="00D64E8A">
        <w:rPr>
          <w:b/>
          <w:sz w:val="17"/>
          <w:szCs w:val="17"/>
        </w:rPr>
        <w:t>I</w:t>
      </w:r>
      <w:r w:rsidR="005F321A" w:rsidRPr="00A711F7">
        <w:rPr>
          <w:b/>
          <w:sz w:val="17"/>
          <w:szCs w:val="17"/>
        </w:rPr>
        <w:t>nsurers are also experiencing data gaps and difficulties in the collection and comparability of data</w:t>
      </w:r>
      <w:r w:rsidR="005F321A" w:rsidRPr="005F321A">
        <w:rPr>
          <w:sz w:val="17"/>
          <w:szCs w:val="17"/>
        </w:rPr>
        <w:t>.</w:t>
      </w:r>
    </w:p>
    <w:p w14:paraId="79E70DBE" w14:textId="77777777" w:rsidR="00252BD3" w:rsidRDefault="00252BD3" w:rsidP="00252BD3">
      <w:pPr>
        <w:rPr>
          <w:sz w:val="17"/>
          <w:szCs w:val="17"/>
        </w:rPr>
      </w:pPr>
    </w:p>
    <w:p w14:paraId="79A05233" w14:textId="2005B9EE" w:rsidR="00252BD3" w:rsidRDefault="00252BD3" w:rsidP="007B4163">
      <w:pPr>
        <w:rPr>
          <w:sz w:val="17"/>
          <w:szCs w:val="17"/>
        </w:rPr>
      </w:pPr>
      <w:r w:rsidRPr="00252BD3">
        <w:rPr>
          <w:sz w:val="17"/>
          <w:szCs w:val="17"/>
        </w:rPr>
        <w:t>As product manufacturers, Europe</w:t>
      </w:r>
      <w:r>
        <w:rPr>
          <w:sz w:val="17"/>
          <w:szCs w:val="17"/>
        </w:rPr>
        <w:t xml:space="preserve">an </w:t>
      </w:r>
      <w:r w:rsidRPr="00252BD3">
        <w:rPr>
          <w:sz w:val="17"/>
          <w:szCs w:val="17"/>
        </w:rPr>
        <w:t>insurers highlight that</w:t>
      </w:r>
      <w:r w:rsidR="00A75FE4">
        <w:rPr>
          <w:sz w:val="17"/>
          <w:szCs w:val="17"/>
        </w:rPr>
        <w:t xml:space="preserve"> </w:t>
      </w:r>
      <w:r w:rsidRPr="00EB5D10">
        <w:rPr>
          <w:b/>
          <w:bCs/>
          <w:sz w:val="17"/>
          <w:szCs w:val="17"/>
        </w:rPr>
        <w:t>SFDR templates are difficult to understand for consumers</w:t>
      </w:r>
      <w:r w:rsidR="00336C1B">
        <w:rPr>
          <w:sz w:val="17"/>
          <w:szCs w:val="17"/>
        </w:rPr>
        <w:t xml:space="preserve">: </w:t>
      </w:r>
      <w:r w:rsidRPr="00252BD3">
        <w:rPr>
          <w:sz w:val="17"/>
          <w:szCs w:val="17"/>
        </w:rPr>
        <w:t>c</w:t>
      </w:r>
      <w:r w:rsidR="00484938">
        <w:rPr>
          <w:sz w:val="17"/>
          <w:szCs w:val="17"/>
        </w:rPr>
        <w:t>onsumer</w:t>
      </w:r>
      <w:r w:rsidRPr="00252BD3">
        <w:rPr>
          <w:sz w:val="17"/>
          <w:szCs w:val="17"/>
        </w:rPr>
        <w:t>s are being provided with disclosures that are too detailed</w:t>
      </w:r>
      <w:r w:rsidR="00EB5D10">
        <w:rPr>
          <w:sz w:val="17"/>
          <w:szCs w:val="17"/>
        </w:rPr>
        <w:t xml:space="preserve">, while </w:t>
      </w:r>
      <w:r w:rsidR="00F41369">
        <w:rPr>
          <w:sz w:val="17"/>
          <w:szCs w:val="17"/>
        </w:rPr>
        <w:t xml:space="preserve">SFDR templates </w:t>
      </w:r>
      <w:r w:rsidRPr="00252BD3">
        <w:rPr>
          <w:sz w:val="17"/>
          <w:szCs w:val="17"/>
        </w:rPr>
        <w:t>should include clear and accessible information needed to support financial decision-making</w:t>
      </w:r>
      <w:r w:rsidR="00787CD4">
        <w:rPr>
          <w:sz w:val="17"/>
          <w:szCs w:val="17"/>
        </w:rPr>
        <w:t xml:space="preserve"> </w:t>
      </w:r>
      <w:r w:rsidRPr="00252BD3">
        <w:rPr>
          <w:sz w:val="17"/>
          <w:szCs w:val="17"/>
        </w:rPr>
        <w:t>and sustainability preferences</w:t>
      </w:r>
      <w:r w:rsidR="005759DC">
        <w:rPr>
          <w:sz w:val="17"/>
          <w:szCs w:val="17"/>
        </w:rPr>
        <w:t xml:space="preserve"> under the </w:t>
      </w:r>
      <w:r w:rsidR="000E3E2C" w:rsidRPr="000E3E2C">
        <w:rPr>
          <w:sz w:val="17"/>
          <w:szCs w:val="17"/>
        </w:rPr>
        <w:t xml:space="preserve">Insurance Distribution Directive </w:t>
      </w:r>
      <w:r w:rsidR="00983A17">
        <w:rPr>
          <w:sz w:val="17"/>
          <w:szCs w:val="17"/>
        </w:rPr>
        <w:t>(</w:t>
      </w:r>
      <w:r w:rsidR="005759DC">
        <w:rPr>
          <w:sz w:val="17"/>
          <w:szCs w:val="17"/>
        </w:rPr>
        <w:t>IDD</w:t>
      </w:r>
      <w:r w:rsidR="00983A17">
        <w:rPr>
          <w:sz w:val="17"/>
          <w:szCs w:val="17"/>
        </w:rPr>
        <w:t>)</w:t>
      </w:r>
      <w:r w:rsidR="005759DC">
        <w:rPr>
          <w:sz w:val="17"/>
          <w:szCs w:val="17"/>
        </w:rPr>
        <w:t xml:space="preserve"> framework</w:t>
      </w:r>
      <w:r w:rsidRPr="00252BD3">
        <w:rPr>
          <w:sz w:val="17"/>
          <w:szCs w:val="17"/>
        </w:rPr>
        <w:t>.</w:t>
      </w:r>
      <w:r w:rsidR="00F41369">
        <w:rPr>
          <w:sz w:val="17"/>
          <w:szCs w:val="17"/>
        </w:rPr>
        <w:t xml:space="preserve"> </w:t>
      </w:r>
    </w:p>
    <w:p w14:paraId="5CF36808" w14:textId="77777777" w:rsidR="005D179C" w:rsidRPr="00EB5D10" w:rsidRDefault="005D179C" w:rsidP="007B4163">
      <w:pPr>
        <w:rPr>
          <w:b/>
          <w:bCs/>
          <w:sz w:val="17"/>
          <w:szCs w:val="17"/>
        </w:rPr>
      </w:pPr>
    </w:p>
    <w:p w14:paraId="112308F6" w14:textId="1F2D9B01" w:rsidR="000F35EF" w:rsidRDefault="007B3A8A" w:rsidP="007B4163">
      <w:pPr>
        <w:rPr>
          <w:sz w:val="17"/>
          <w:szCs w:val="17"/>
        </w:rPr>
      </w:pPr>
      <w:r>
        <w:rPr>
          <w:sz w:val="17"/>
          <w:szCs w:val="17"/>
        </w:rPr>
        <w:t xml:space="preserve">The </w:t>
      </w:r>
      <w:r w:rsidR="007B64EA">
        <w:rPr>
          <w:sz w:val="17"/>
          <w:szCs w:val="17"/>
        </w:rPr>
        <w:t xml:space="preserve">disclosure </w:t>
      </w:r>
      <w:r>
        <w:rPr>
          <w:sz w:val="17"/>
          <w:szCs w:val="17"/>
        </w:rPr>
        <w:t>of e</w:t>
      </w:r>
      <w:r w:rsidR="008112AE" w:rsidRPr="008112AE">
        <w:rPr>
          <w:sz w:val="17"/>
          <w:szCs w:val="17"/>
        </w:rPr>
        <w:t>ntity</w:t>
      </w:r>
      <w:r w:rsidR="000E0645">
        <w:rPr>
          <w:sz w:val="17"/>
          <w:szCs w:val="17"/>
        </w:rPr>
        <w:t xml:space="preserve"> </w:t>
      </w:r>
      <w:r w:rsidR="008112AE" w:rsidRPr="008112AE">
        <w:rPr>
          <w:sz w:val="17"/>
          <w:szCs w:val="17"/>
        </w:rPr>
        <w:t>level P</w:t>
      </w:r>
      <w:r w:rsidR="007067BF">
        <w:rPr>
          <w:sz w:val="17"/>
          <w:szCs w:val="17"/>
        </w:rPr>
        <w:t xml:space="preserve">rinciple </w:t>
      </w:r>
      <w:r w:rsidR="008112AE" w:rsidRPr="008112AE">
        <w:rPr>
          <w:sz w:val="17"/>
          <w:szCs w:val="17"/>
        </w:rPr>
        <w:t>A</w:t>
      </w:r>
      <w:r w:rsidR="007067BF">
        <w:rPr>
          <w:sz w:val="17"/>
          <w:szCs w:val="17"/>
        </w:rPr>
        <w:t xml:space="preserve">dverse </w:t>
      </w:r>
      <w:r w:rsidR="008112AE" w:rsidRPr="008112AE">
        <w:rPr>
          <w:sz w:val="17"/>
          <w:szCs w:val="17"/>
        </w:rPr>
        <w:t>I</w:t>
      </w:r>
      <w:r w:rsidR="007067BF">
        <w:rPr>
          <w:sz w:val="17"/>
          <w:szCs w:val="17"/>
        </w:rPr>
        <w:t>mpact (PAI)</w:t>
      </w:r>
      <w:r w:rsidR="008112AE" w:rsidRPr="008112AE">
        <w:rPr>
          <w:sz w:val="17"/>
          <w:szCs w:val="17"/>
        </w:rPr>
        <w:t xml:space="preserve"> </w:t>
      </w:r>
      <w:r w:rsidR="007B64EA">
        <w:rPr>
          <w:sz w:val="17"/>
          <w:szCs w:val="17"/>
        </w:rPr>
        <w:t xml:space="preserve">under </w:t>
      </w:r>
      <w:r w:rsidR="008112AE" w:rsidRPr="008112AE">
        <w:rPr>
          <w:sz w:val="17"/>
          <w:szCs w:val="17"/>
        </w:rPr>
        <w:t>the SFDR</w:t>
      </w:r>
      <w:r>
        <w:rPr>
          <w:sz w:val="17"/>
          <w:szCs w:val="17"/>
        </w:rPr>
        <w:t xml:space="preserve"> generates </w:t>
      </w:r>
      <w:r w:rsidR="00AC5CC6">
        <w:rPr>
          <w:sz w:val="17"/>
          <w:szCs w:val="17"/>
        </w:rPr>
        <w:t>duplication of efforts and</w:t>
      </w:r>
      <w:r w:rsidR="005645C4">
        <w:rPr>
          <w:sz w:val="17"/>
          <w:szCs w:val="17"/>
        </w:rPr>
        <w:t xml:space="preserve"> </w:t>
      </w:r>
      <w:r w:rsidR="000B2992">
        <w:rPr>
          <w:sz w:val="17"/>
          <w:szCs w:val="17"/>
        </w:rPr>
        <w:t xml:space="preserve">risks of </w:t>
      </w:r>
      <w:r w:rsidR="00260EC4">
        <w:rPr>
          <w:sz w:val="17"/>
          <w:szCs w:val="17"/>
        </w:rPr>
        <w:t>inconsistency.</w:t>
      </w:r>
      <w:r w:rsidR="00726D9B">
        <w:rPr>
          <w:sz w:val="17"/>
          <w:szCs w:val="17"/>
        </w:rPr>
        <w:t xml:space="preserve"> </w:t>
      </w:r>
      <w:r w:rsidR="008112AE" w:rsidRPr="008112AE">
        <w:rPr>
          <w:sz w:val="17"/>
          <w:szCs w:val="17"/>
        </w:rPr>
        <w:t xml:space="preserve">While entity level disclosures </w:t>
      </w:r>
      <w:r w:rsidR="007744D6" w:rsidRPr="007744D6">
        <w:rPr>
          <w:sz w:val="17"/>
          <w:szCs w:val="17"/>
        </w:rPr>
        <w:t>should be limited to FMPs that are not subject to the</w:t>
      </w:r>
      <w:r w:rsidR="007744D6" w:rsidRPr="007744D6">
        <w:t xml:space="preserve"> </w:t>
      </w:r>
      <w:r w:rsidR="007744D6" w:rsidRPr="007744D6">
        <w:rPr>
          <w:sz w:val="17"/>
          <w:szCs w:val="17"/>
        </w:rPr>
        <w:t xml:space="preserve">Corporate Sustainability Reporting Directive </w:t>
      </w:r>
      <w:r w:rsidR="00061FDE">
        <w:rPr>
          <w:sz w:val="17"/>
          <w:szCs w:val="17"/>
        </w:rPr>
        <w:t>(</w:t>
      </w:r>
      <w:r w:rsidR="007744D6" w:rsidRPr="007744D6">
        <w:rPr>
          <w:sz w:val="17"/>
          <w:szCs w:val="17"/>
        </w:rPr>
        <w:t>CSRD</w:t>
      </w:r>
      <w:r w:rsidR="00061FDE">
        <w:rPr>
          <w:sz w:val="17"/>
          <w:szCs w:val="17"/>
        </w:rPr>
        <w:t>)</w:t>
      </w:r>
      <w:r w:rsidR="007744D6" w:rsidRPr="007744D6">
        <w:rPr>
          <w:sz w:val="17"/>
          <w:szCs w:val="17"/>
        </w:rPr>
        <w:t xml:space="preserve"> and to the information not covered by the European Sustainability Reporting Standards </w:t>
      </w:r>
      <w:r w:rsidR="00061FDE">
        <w:rPr>
          <w:sz w:val="17"/>
          <w:szCs w:val="17"/>
        </w:rPr>
        <w:t xml:space="preserve">(ESRS), </w:t>
      </w:r>
      <w:r w:rsidR="008112AE" w:rsidRPr="008112AE">
        <w:rPr>
          <w:sz w:val="17"/>
          <w:szCs w:val="17"/>
        </w:rPr>
        <w:t>product</w:t>
      </w:r>
      <w:r w:rsidR="00DE2D1D">
        <w:rPr>
          <w:sz w:val="17"/>
          <w:szCs w:val="17"/>
        </w:rPr>
        <w:t xml:space="preserve"> </w:t>
      </w:r>
      <w:r w:rsidR="008112AE" w:rsidRPr="008112AE">
        <w:rPr>
          <w:sz w:val="17"/>
          <w:szCs w:val="17"/>
        </w:rPr>
        <w:t>level disclosures should be covered by the S</w:t>
      </w:r>
      <w:r w:rsidR="005645C4">
        <w:rPr>
          <w:sz w:val="17"/>
          <w:szCs w:val="17"/>
        </w:rPr>
        <w:t xml:space="preserve">FDR </w:t>
      </w:r>
      <w:r w:rsidR="008112AE" w:rsidRPr="008112AE">
        <w:rPr>
          <w:sz w:val="17"/>
          <w:szCs w:val="17"/>
        </w:rPr>
        <w:t>only</w:t>
      </w:r>
      <w:r w:rsidR="00B65D71">
        <w:rPr>
          <w:sz w:val="17"/>
          <w:szCs w:val="17"/>
        </w:rPr>
        <w:t xml:space="preserve">. </w:t>
      </w:r>
      <w:r w:rsidR="00BD6312">
        <w:rPr>
          <w:sz w:val="17"/>
          <w:szCs w:val="17"/>
        </w:rPr>
        <w:t>Moreover</w:t>
      </w:r>
      <w:r w:rsidR="00376BC7">
        <w:rPr>
          <w:sz w:val="17"/>
          <w:szCs w:val="17"/>
        </w:rPr>
        <w:t xml:space="preserve">, </w:t>
      </w:r>
      <w:r w:rsidR="000F35EF" w:rsidRPr="00A711F7">
        <w:rPr>
          <w:b/>
          <w:sz w:val="17"/>
          <w:szCs w:val="17"/>
        </w:rPr>
        <w:t>P</w:t>
      </w:r>
      <w:r w:rsidR="007067BF">
        <w:rPr>
          <w:b/>
          <w:sz w:val="17"/>
          <w:szCs w:val="17"/>
        </w:rPr>
        <w:t>AI</w:t>
      </w:r>
      <w:r w:rsidR="00834E01">
        <w:rPr>
          <w:b/>
          <w:sz w:val="17"/>
          <w:szCs w:val="17"/>
        </w:rPr>
        <w:t xml:space="preserve"> </w:t>
      </w:r>
      <w:r w:rsidR="000F35EF" w:rsidRPr="00A711F7">
        <w:rPr>
          <w:b/>
          <w:sz w:val="17"/>
          <w:szCs w:val="17"/>
        </w:rPr>
        <w:t>reporting</w:t>
      </w:r>
      <w:r w:rsidR="005759DC">
        <w:rPr>
          <w:sz w:val="17"/>
          <w:szCs w:val="17"/>
        </w:rPr>
        <w:t xml:space="preserve"> </w:t>
      </w:r>
      <w:r w:rsidR="000F35EF" w:rsidRPr="00A711F7">
        <w:rPr>
          <w:b/>
          <w:sz w:val="17"/>
          <w:szCs w:val="17"/>
        </w:rPr>
        <w:t>only started in June 2023</w:t>
      </w:r>
      <w:r w:rsidR="00192A08">
        <w:rPr>
          <w:sz w:val="17"/>
          <w:szCs w:val="17"/>
        </w:rPr>
        <w:t xml:space="preserve">: </w:t>
      </w:r>
      <w:r w:rsidR="000F35EF" w:rsidRPr="000F35EF">
        <w:rPr>
          <w:sz w:val="17"/>
          <w:szCs w:val="17"/>
        </w:rPr>
        <w:t>adding further requirements seems premature.</w:t>
      </w:r>
    </w:p>
    <w:p w14:paraId="1506E975" w14:textId="77777777" w:rsidR="004C1F40" w:rsidRDefault="004C1F40" w:rsidP="007B4163">
      <w:pPr>
        <w:rPr>
          <w:sz w:val="17"/>
          <w:szCs w:val="17"/>
        </w:rPr>
      </w:pPr>
    </w:p>
    <w:p w14:paraId="6810CFF2" w14:textId="641DFFBD" w:rsidR="004C1F40" w:rsidRDefault="004C1F40" w:rsidP="007B4163">
      <w:pPr>
        <w:rPr>
          <w:sz w:val="17"/>
          <w:szCs w:val="17"/>
        </w:rPr>
      </w:pPr>
      <w:r>
        <w:rPr>
          <w:sz w:val="17"/>
          <w:szCs w:val="17"/>
        </w:rPr>
        <w:t xml:space="preserve">Lastly, </w:t>
      </w:r>
      <w:r w:rsidRPr="009E61D8">
        <w:rPr>
          <w:b/>
          <w:bCs/>
          <w:sz w:val="17"/>
          <w:szCs w:val="17"/>
        </w:rPr>
        <w:t>the assessment of whether changes</w:t>
      </w:r>
      <w:r>
        <w:rPr>
          <w:b/>
          <w:bCs/>
          <w:sz w:val="17"/>
          <w:szCs w:val="17"/>
        </w:rPr>
        <w:t xml:space="preserve"> </w:t>
      </w:r>
      <w:r w:rsidRPr="009E61D8">
        <w:rPr>
          <w:b/>
          <w:bCs/>
          <w:sz w:val="17"/>
          <w:szCs w:val="17"/>
        </w:rPr>
        <w:t>should be introduced in the</w:t>
      </w:r>
      <w:r w:rsidRPr="009E61D8">
        <w:rPr>
          <w:b/>
          <w:bCs/>
        </w:rPr>
        <w:t xml:space="preserve"> </w:t>
      </w:r>
      <w:r w:rsidRPr="009E61D8">
        <w:rPr>
          <w:b/>
          <w:bCs/>
          <w:sz w:val="17"/>
          <w:szCs w:val="17"/>
        </w:rPr>
        <w:t>Regulatory Technical Standards (level 2 review) should be done together with the scrutiny of the Regulation (level 1 review)</w:t>
      </w:r>
      <w:r>
        <w:rPr>
          <w:sz w:val="17"/>
          <w:szCs w:val="17"/>
        </w:rPr>
        <w:t xml:space="preserve"> for a holistic review, as t</w:t>
      </w:r>
      <w:r w:rsidRPr="000F35EF">
        <w:rPr>
          <w:sz w:val="17"/>
          <w:szCs w:val="17"/>
        </w:rPr>
        <w:t xml:space="preserve">he SFDR is a part of a larger set of </w:t>
      </w:r>
      <w:r>
        <w:rPr>
          <w:sz w:val="17"/>
          <w:szCs w:val="17"/>
        </w:rPr>
        <w:t>sustainability-related rules</w:t>
      </w:r>
      <w:r w:rsidR="00B83810">
        <w:rPr>
          <w:sz w:val="17"/>
          <w:szCs w:val="17"/>
        </w:rPr>
        <w:t>.</w:t>
      </w:r>
    </w:p>
    <w:p w14:paraId="1571A464" w14:textId="77777777" w:rsidR="006361D5" w:rsidRDefault="006361D5" w:rsidP="003D0236">
      <w:pPr>
        <w:rPr>
          <w:sz w:val="17"/>
          <w:szCs w:val="17"/>
        </w:rPr>
      </w:pPr>
    </w:p>
    <w:p w14:paraId="3F96351B" w14:textId="268493E7" w:rsidR="00E6346D" w:rsidRPr="003D0236" w:rsidRDefault="00E6346D" w:rsidP="00E6346D">
      <w:pPr>
        <w:autoSpaceDE w:val="0"/>
        <w:autoSpaceDN w:val="0"/>
        <w:adjustRightInd w:val="0"/>
        <w:rPr>
          <w:b/>
          <w:color w:val="002957"/>
          <w:sz w:val="17"/>
          <w:szCs w:val="17"/>
        </w:rPr>
      </w:pPr>
      <w:r>
        <w:rPr>
          <w:b/>
          <w:color w:val="002957"/>
          <w:sz w:val="17"/>
          <w:szCs w:val="17"/>
        </w:rPr>
        <w:t>Recommendation</w:t>
      </w:r>
      <w:r w:rsidR="0089181C">
        <w:rPr>
          <w:b/>
          <w:color w:val="002957"/>
          <w:sz w:val="17"/>
          <w:szCs w:val="17"/>
        </w:rPr>
        <w:t xml:space="preserve">s </w:t>
      </w:r>
      <w:r>
        <w:rPr>
          <w:b/>
          <w:color w:val="002957"/>
          <w:sz w:val="17"/>
          <w:szCs w:val="17"/>
        </w:rPr>
        <w:t>for the way forward</w:t>
      </w:r>
    </w:p>
    <w:p w14:paraId="0080205C" w14:textId="77A2DA48" w:rsidR="00E6346D" w:rsidRDefault="005645C4" w:rsidP="00E6346D">
      <w:pPr>
        <w:rPr>
          <w:sz w:val="17"/>
          <w:szCs w:val="17"/>
        </w:rPr>
      </w:pPr>
      <w:r>
        <w:rPr>
          <w:sz w:val="17"/>
          <w:szCs w:val="17"/>
        </w:rPr>
        <w:t xml:space="preserve">To </w:t>
      </w:r>
      <w:r w:rsidRPr="005645C4">
        <w:rPr>
          <w:sz w:val="17"/>
          <w:szCs w:val="17"/>
        </w:rPr>
        <w:t xml:space="preserve">effectively address the shortcomings of the current SFDR framework as identified in the previous section and </w:t>
      </w:r>
      <w:r w:rsidR="004177B6">
        <w:rPr>
          <w:sz w:val="17"/>
          <w:szCs w:val="17"/>
        </w:rPr>
        <w:t xml:space="preserve">to </w:t>
      </w:r>
      <w:r w:rsidRPr="005645C4">
        <w:rPr>
          <w:sz w:val="17"/>
          <w:szCs w:val="17"/>
        </w:rPr>
        <w:t xml:space="preserve">better </w:t>
      </w:r>
      <w:r w:rsidR="59DBAF03" w:rsidRPr="7D8C8D09">
        <w:rPr>
          <w:sz w:val="17"/>
          <w:szCs w:val="17"/>
        </w:rPr>
        <w:t>consider</w:t>
      </w:r>
      <w:r w:rsidRPr="005645C4">
        <w:rPr>
          <w:sz w:val="17"/>
          <w:szCs w:val="17"/>
        </w:rPr>
        <w:t xml:space="preserve"> the specificities of the insurance sector, </w:t>
      </w:r>
      <w:r w:rsidR="00594FEC">
        <w:rPr>
          <w:sz w:val="17"/>
          <w:szCs w:val="17"/>
        </w:rPr>
        <w:t xml:space="preserve">Insurance Europe </w:t>
      </w:r>
      <w:r w:rsidRPr="005645C4">
        <w:rPr>
          <w:sz w:val="17"/>
          <w:szCs w:val="17"/>
        </w:rPr>
        <w:t>provide</w:t>
      </w:r>
      <w:r w:rsidR="00594FEC">
        <w:rPr>
          <w:sz w:val="17"/>
          <w:szCs w:val="17"/>
        </w:rPr>
        <w:t>s</w:t>
      </w:r>
      <w:r w:rsidRPr="005645C4">
        <w:rPr>
          <w:sz w:val="17"/>
          <w:szCs w:val="17"/>
        </w:rPr>
        <w:t xml:space="preserve"> the following recommendations:</w:t>
      </w:r>
    </w:p>
    <w:p w14:paraId="06F84374" w14:textId="77777777" w:rsidR="005645C4" w:rsidRDefault="005645C4" w:rsidP="00E6346D">
      <w:pPr>
        <w:rPr>
          <w:sz w:val="17"/>
          <w:szCs w:val="17"/>
        </w:rPr>
      </w:pPr>
    </w:p>
    <w:p w14:paraId="535E58AA" w14:textId="77777777" w:rsidR="00F44F57" w:rsidRDefault="005645C4" w:rsidP="00E6346D">
      <w:pPr>
        <w:rPr>
          <w:b/>
          <w:bCs/>
          <w:sz w:val="17"/>
          <w:szCs w:val="17"/>
        </w:rPr>
      </w:pPr>
      <w:r w:rsidRPr="00D61C0D">
        <w:rPr>
          <w:b/>
          <w:bCs/>
          <w:sz w:val="17"/>
          <w:szCs w:val="17"/>
        </w:rPr>
        <w:t xml:space="preserve">Concerning the </w:t>
      </w:r>
      <w:r w:rsidR="000A26A4">
        <w:rPr>
          <w:b/>
          <w:bCs/>
          <w:sz w:val="17"/>
          <w:szCs w:val="17"/>
        </w:rPr>
        <w:t xml:space="preserve">upcoming </w:t>
      </w:r>
      <w:r w:rsidRPr="00D61C0D">
        <w:rPr>
          <w:b/>
          <w:bCs/>
          <w:sz w:val="17"/>
          <w:szCs w:val="17"/>
        </w:rPr>
        <w:t>level 1 review</w:t>
      </w:r>
      <w:r>
        <w:rPr>
          <w:b/>
          <w:bCs/>
          <w:sz w:val="17"/>
          <w:szCs w:val="17"/>
        </w:rPr>
        <w:t xml:space="preserve"> </w:t>
      </w:r>
    </w:p>
    <w:p w14:paraId="6D7B4919" w14:textId="77777777" w:rsidR="00F44F57" w:rsidRDefault="00F44F57" w:rsidP="00E6346D">
      <w:pPr>
        <w:rPr>
          <w:b/>
          <w:bCs/>
          <w:sz w:val="17"/>
          <w:szCs w:val="17"/>
        </w:rPr>
      </w:pPr>
    </w:p>
    <w:p w14:paraId="38FF084B" w14:textId="444CDEE0" w:rsidR="00F44F57" w:rsidRPr="006D4D52" w:rsidRDefault="00F44F57" w:rsidP="00F44F57">
      <w:pPr>
        <w:pStyle w:val="Odsekzoznamu"/>
        <w:numPr>
          <w:ilvl w:val="0"/>
          <w:numId w:val="9"/>
        </w:numPr>
        <w:rPr>
          <w:sz w:val="17"/>
          <w:szCs w:val="17"/>
        </w:rPr>
      </w:pPr>
      <w:r>
        <w:rPr>
          <w:b/>
          <w:bCs/>
          <w:sz w:val="17"/>
          <w:szCs w:val="17"/>
        </w:rPr>
        <w:t xml:space="preserve">The </w:t>
      </w:r>
      <w:r w:rsidRPr="006D4D52">
        <w:rPr>
          <w:b/>
          <w:bCs/>
          <w:sz w:val="17"/>
          <w:szCs w:val="17"/>
        </w:rPr>
        <w:t>SFDR’s main goal should remain product transparency</w:t>
      </w:r>
      <w:r w:rsidRPr="006D4D52">
        <w:rPr>
          <w:sz w:val="17"/>
          <w:szCs w:val="17"/>
        </w:rPr>
        <w:t xml:space="preserve">. The SFDR should mainly focus on product level disclosures, entity level disclosures should be limited to FMPs that are not subject to the CSRD and to the information not covered </w:t>
      </w:r>
      <w:r>
        <w:rPr>
          <w:sz w:val="17"/>
          <w:szCs w:val="17"/>
        </w:rPr>
        <w:t xml:space="preserve">by the </w:t>
      </w:r>
      <w:r w:rsidRPr="006D4D52">
        <w:rPr>
          <w:sz w:val="17"/>
          <w:szCs w:val="17"/>
        </w:rPr>
        <w:t>E</w:t>
      </w:r>
      <w:r>
        <w:rPr>
          <w:sz w:val="17"/>
          <w:szCs w:val="17"/>
        </w:rPr>
        <w:t xml:space="preserve">uropean </w:t>
      </w:r>
      <w:r w:rsidRPr="006D4D52">
        <w:rPr>
          <w:sz w:val="17"/>
          <w:szCs w:val="17"/>
        </w:rPr>
        <w:t>S</w:t>
      </w:r>
      <w:r>
        <w:rPr>
          <w:sz w:val="17"/>
          <w:szCs w:val="17"/>
        </w:rPr>
        <w:t xml:space="preserve">ustainability </w:t>
      </w:r>
      <w:r w:rsidRPr="006D4D52">
        <w:rPr>
          <w:sz w:val="17"/>
          <w:szCs w:val="17"/>
        </w:rPr>
        <w:t>R</w:t>
      </w:r>
      <w:r>
        <w:rPr>
          <w:sz w:val="17"/>
          <w:szCs w:val="17"/>
        </w:rPr>
        <w:t xml:space="preserve">eporting </w:t>
      </w:r>
      <w:r w:rsidRPr="006D4D52">
        <w:rPr>
          <w:sz w:val="17"/>
          <w:szCs w:val="17"/>
        </w:rPr>
        <w:t>S</w:t>
      </w:r>
      <w:r>
        <w:rPr>
          <w:sz w:val="17"/>
          <w:szCs w:val="17"/>
        </w:rPr>
        <w:t>tandards (ESRS)</w:t>
      </w:r>
      <w:r w:rsidRPr="006D4D52">
        <w:rPr>
          <w:sz w:val="17"/>
          <w:szCs w:val="17"/>
        </w:rPr>
        <w:t xml:space="preserve">. Moreover, </w:t>
      </w:r>
      <w:r w:rsidRPr="006D4D52">
        <w:rPr>
          <w:b/>
          <w:bCs/>
          <w:sz w:val="17"/>
          <w:szCs w:val="17"/>
        </w:rPr>
        <w:t>the mandatory list of Principle Adverse Impact</w:t>
      </w:r>
      <w:r w:rsidR="00647D42">
        <w:rPr>
          <w:b/>
          <w:bCs/>
          <w:sz w:val="17"/>
          <w:szCs w:val="17"/>
        </w:rPr>
        <w:t xml:space="preserve"> (PAI)</w:t>
      </w:r>
      <w:r w:rsidRPr="006D4D52">
        <w:rPr>
          <w:b/>
          <w:bCs/>
          <w:sz w:val="17"/>
          <w:szCs w:val="17"/>
        </w:rPr>
        <w:t xml:space="preserve"> indicators should be revised to keep only the most relevant ones</w:t>
      </w:r>
      <w:r w:rsidRPr="006D4D52">
        <w:rPr>
          <w:sz w:val="17"/>
          <w:szCs w:val="17"/>
        </w:rPr>
        <w:t>.</w:t>
      </w:r>
    </w:p>
    <w:p w14:paraId="2AEDF50C" w14:textId="0537CDD7" w:rsidR="00F44F57" w:rsidRDefault="00040E1A" w:rsidP="00F44F57">
      <w:pPr>
        <w:pStyle w:val="Odsekzoznamu"/>
        <w:numPr>
          <w:ilvl w:val="0"/>
          <w:numId w:val="9"/>
        </w:numPr>
        <w:rPr>
          <w:sz w:val="17"/>
          <w:szCs w:val="17"/>
        </w:rPr>
      </w:pPr>
      <w:r>
        <w:rPr>
          <w:b/>
          <w:bCs/>
          <w:sz w:val="17"/>
          <w:szCs w:val="17"/>
        </w:rPr>
        <w:t>A</w:t>
      </w:r>
      <w:r w:rsidR="00F44F57" w:rsidRPr="006D4D52">
        <w:rPr>
          <w:b/>
          <w:bCs/>
          <w:sz w:val="17"/>
          <w:szCs w:val="17"/>
        </w:rPr>
        <w:t xml:space="preserve">ny categorisation system should be </w:t>
      </w:r>
      <w:r w:rsidR="008C374A">
        <w:rPr>
          <w:b/>
          <w:bCs/>
          <w:sz w:val="17"/>
          <w:szCs w:val="17"/>
        </w:rPr>
        <w:t xml:space="preserve">univocal and </w:t>
      </w:r>
      <w:r w:rsidR="00F44F57" w:rsidRPr="006D4D52">
        <w:rPr>
          <w:b/>
          <w:bCs/>
          <w:sz w:val="17"/>
          <w:szCs w:val="17"/>
        </w:rPr>
        <w:t>consistent with other components of the EU legislation</w:t>
      </w:r>
      <w:r w:rsidR="00F44F57" w:rsidRPr="006D4D52">
        <w:rPr>
          <w:sz w:val="17"/>
          <w:szCs w:val="17"/>
        </w:rPr>
        <w:t xml:space="preserve"> (i.e. C</w:t>
      </w:r>
      <w:r w:rsidR="00F44F57">
        <w:rPr>
          <w:sz w:val="17"/>
          <w:szCs w:val="17"/>
        </w:rPr>
        <w:t>SRD</w:t>
      </w:r>
      <w:r w:rsidR="00F44F57" w:rsidRPr="006D4D52">
        <w:rPr>
          <w:sz w:val="17"/>
          <w:szCs w:val="17"/>
        </w:rPr>
        <w:t xml:space="preserve">, Corporate Sustainability Due Diligence Directive, Taxonomy, </w:t>
      </w:r>
      <w:r w:rsidR="00522BC9">
        <w:rPr>
          <w:sz w:val="17"/>
          <w:szCs w:val="17"/>
        </w:rPr>
        <w:t xml:space="preserve">sustainability preferences under </w:t>
      </w:r>
      <w:r w:rsidR="006872E3">
        <w:rPr>
          <w:sz w:val="17"/>
          <w:szCs w:val="17"/>
        </w:rPr>
        <w:t>IDD</w:t>
      </w:r>
      <w:r w:rsidR="00B702C4">
        <w:rPr>
          <w:sz w:val="17"/>
          <w:szCs w:val="17"/>
        </w:rPr>
        <w:t>-</w:t>
      </w:r>
      <w:r w:rsidR="006872E3">
        <w:rPr>
          <w:sz w:val="17"/>
          <w:szCs w:val="17"/>
        </w:rPr>
        <w:t>Mi</w:t>
      </w:r>
      <w:r w:rsidR="00B702C4">
        <w:rPr>
          <w:sz w:val="17"/>
          <w:szCs w:val="17"/>
        </w:rPr>
        <w:t xml:space="preserve">FID II, </w:t>
      </w:r>
      <w:r w:rsidR="00F44F57" w:rsidRPr="006D4D52">
        <w:rPr>
          <w:sz w:val="17"/>
          <w:szCs w:val="17"/>
        </w:rPr>
        <w:t xml:space="preserve">Solvency II when considering science-based targets and credible transition plans). </w:t>
      </w:r>
      <w:r w:rsidR="00025194">
        <w:rPr>
          <w:sz w:val="17"/>
          <w:szCs w:val="17"/>
        </w:rPr>
        <w:t xml:space="preserve">In particular, </w:t>
      </w:r>
      <w:r w:rsidR="00025194">
        <w:rPr>
          <w:b/>
          <w:bCs/>
          <w:sz w:val="17"/>
          <w:szCs w:val="17"/>
        </w:rPr>
        <w:t>a</w:t>
      </w:r>
      <w:r w:rsidR="00025194" w:rsidRPr="00025194">
        <w:rPr>
          <w:b/>
          <w:bCs/>
          <w:sz w:val="17"/>
          <w:szCs w:val="17"/>
        </w:rPr>
        <w:t>ny categorisation system should be the basis for the integration of sustainability preferences:</w:t>
      </w:r>
      <w:r w:rsidR="00025194" w:rsidRPr="00025194">
        <w:rPr>
          <w:sz w:val="17"/>
          <w:szCs w:val="17"/>
        </w:rPr>
        <w:t xml:space="preserve"> there should be a perfect alignment between the product categories and the sustainability preference definition (including the underlying products) both in IDD and MIFID II. Moreover, it should be subject to consumer testing to understand if it supports consumers in identifying products that match their sustainability preferences</w:t>
      </w:r>
      <w:r w:rsidR="00025194">
        <w:rPr>
          <w:sz w:val="17"/>
          <w:szCs w:val="17"/>
        </w:rPr>
        <w:t>. Furthermore, p</w:t>
      </w:r>
      <w:r w:rsidR="00F44F57" w:rsidRPr="006D4D52">
        <w:rPr>
          <w:sz w:val="17"/>
          <w:szCs w:val="17"/>
        </w:rPr>
        <w:t xml:space="preserve">roduct categories should be compatible with the European Securities and Markets Authority’s Guidelines on funds’ names using ESG or sustainability-related terms.   </w:t>
      </w:r>
    </w:p>
    <w:p w14:paraId="6FF898BA" w14:textId="6217D520" w:rsidR="009E1F6E" w:rsidRPr="002861E7" w:rsidRDefault="00630000" w:rsidP="00630000">
      <w:pPr>
        <w:pStyle w:val="Odsekzoznamu"/>
        <w:numPr>
          <w:ilvl w:val="0"/>
          <w:numId w:val="9"/>
        </w:numPr>
        <w:rPr>
          <w:sz w:val="17"/>
          <w:szCs w:val="17"/>
        </w:rPr>
      </w:pPr>
      <w:r w:rsidRPr="1AA0F306">
        <w:rPr>
          <w:b/>
          <w:bCs/>
          <w:sz w:val="17"/>
          <w:szCs w:val="17"/>
        </w:rPr>
        <w:t xml:space="preserve">Any categorisation system cannot disregard the current art. 8 </w:t>
      </w:r>
      <w:r w:rsidR="000F1E47" w:rsidRPr="1AA0F306">
        <w:rPr>
          <w:b/>
          <w:bCs/>
          <w:sz w:val="17"/>
          <w:szCs w:val="17"/>
        </w:rPr>
        <w:t>or</w:t>
      </w:r>
      <w:r w:rsidRPr="1AA0F306">
        <w:rPr>
          <w:b/>
          <w:bCs/>
          <w:sz w:val="17"/>
          <w:szCs w:val="17"/>
        </w:rPr>
        <w:t xml:space="preserve"> art. 9 SFDR products</w:t>
      </w:r>
      <w:r w:rsidRPr="1AA0F306">
        <w:rPr>
          <w:sz w:val="17"/>
          <w:szCs w:val="17"/>
        </w:rPr>
        <w:t xml:space="preserve"> and all the products commercialised so far </w:t>
      </w:r>
      <w:r w:rsidR="00567E1F" w:rsidRPr="1AA0F306">
        <w:rPr>
          <w:sz w:val="17"/>
          <w:szCs w:val="17"/>
        </w:rPr>
        <w:t>must</w:t>
      </w:r>
      <w:r w:rsidRPr="1AA0F306">
        <w:rPr>
          <w:sz w:val="17"/>
          <w:szCs w:val="17"/>
        </w:rPr>
        <w:t xml:space="preserve"> be safeguarded. If needed, a clear </w:t>
      </w:r>
      <w:r w:rsidRPr="00C552E1">
        <w:rPr>
          <w:b/>
          <w:bCs/>
          <w:sz w:val="17"/>
          <w:szCs w:val="17"/>
        </w:rPr>
        <w:t>transition path</w:t>
      </w:r>
      <w:r w:rsidRPr="1AA0F306">
        <w:rPr>
          <w:sz w:val="17"/>
          <w:szCs w:val="17"/>
        </w:rPr>
        <w:t xml:space="preserve"> from the current SFDR products to the new product categories should be considered, allowing an appropriate </w:t>
      </w:r>
      <w:r w:rsidRPr="00C552E1">
        <w:rPr>
          <w:b/>
          <w:bCs/>
          <w:sz w:val="17"/>
          <w:szCs w:val="17"/>
        </w:rPr>
        <w:t>grandfathering period</w:t>
      </w:r>
      <w:r w:rsidRPr="1AA0F306">
        <w:rPr>
          <w:sz w:val="17"/>
          <w:szCs w:val="17"/>
        </w:rPr>
        <w:t xml:space="preserve"> for product</w:t>
      </w:r>
      <w:r w:rsidR="3A1C9FB6" w:rsidRPr="1AA0F306">
        <w:rPr>
          <w:sz w:val="17"/>
          <w:szCs w:val="17"/>
        </w:rPr>
        <w:t>s</w:t>
      </w:r>
      <w:r w:rsidRPr="1AA0F306">
        <w:rPr>
          <w:sz w:val="17"/>
          <w:szCs w:val="17"/>
        </w:rPr>
        <w:t xml:space="preserve"> already distributed.</w:t>
      </w:r>
    </w:p>
    <w:p w14:paraId="05DE91FF" w14:textId="7478F781" w:rsidR="00F44F57" w:rsidRPr="006D4D52" w:rsidRDefault="00F44F57" w:rsidP="00F44F57">
      <w:pPr>
        <w:pStyle w:val="Odsekzoznamu"/>
        <w:numPr>
          <w:ilvl w:val="0"/>
          <w:numId w:val="9"/>
        </w:numPr>
        <w:rPr>
          <w:sz w:val="17"/>
          <w:szCs w:val="17"/>
        </w:rPr>
      </w:pPr>
      <w:r w:rsidRPr="1AA0F306">
        <w:rPr>
          <w:b/>
          <w:bCs/>
          <w:sz w:val="17"/>
          <w:szCs w:val="17"/>
        </w:rPr>
        <w:t>Any categorisation system should better integrate sovereign exposures</w:t>
      </w:r>
      <w:r w:rsidRPr="1AA0F306">
        <w:rPr>
          <w:sz w:val="17"/>
          <w:szCs w:val="17"/>
        </w:rPr>
        <w:t xml:space="preserve">: this asset class is penalized under the current SFDR framework, despite being often used by (re)insurers for providing a diversified portfolio with good returns to customers, </w:t>
      </w:r>
      <w:r w:rsidR="49A98037" w:rsidRPr="1AA0F306">
        <w:rPr>
          <w:sz w:val="17"/>
          <w:szCs w:val="17"/>
        </w:rPr>
        <w:t xml:space="preserve">as well as </w:t>
      </w:r>
      <w:r w:rsidRPr="1AA0F306">
        <w:rPr>
          <w:sz w:val="17"/>
          <w:szCs w:val="17"/>
        </w:rPr>
        <w:t>for asset-liability matching.</w:t>
      </w:r>
    </w:p>
    <w:p w14:paraId="4693A5CC" w14:textId="77777777" w:rsidR="00F44F57" w:rsidRPr="006D4D52" w:rsidRDefault="00F44F57" w:rsidP="00F44F57">
      <w:pPr>
        <w:pStyle w:val="Odsekzoznamu"/>
        <w:numPr>
          <w:ilvl w:val="0"/>
          <w:numId w:val="9"/>
        </w:numPr>
        <w:rPr>
          <w:sz w:val="17"/>
          <w:szCs w:val="17"/>
        </w:rPr>
      </w:pPr>
      <w:r w:rsidRPr="006D4D52">
        <w:rPr>
          <w:b/>
          <w:bCs/>
          <w:sz w:val="17"/>
          <w:szCs w:val="17"/>
        </w:rPr>
        <w:t>Categories should be suitable for broadly diversified portfolios and the diversified range of products they cover</w:t>
      </w:r>
      <w:r w:rsidRPr="000478BE">
        <w:rPr>
          <w:sz w:val="17"/>
          <w:szCs w:val="17"/>
        </w:rPr>
        <w:t xml:space="preserve">, including </w:t>
      </w:r>
      <w:r w:rsidRPr="000710B5">
        <w:rPr>
          <w:sz w:val="17"/>
          <w:szCs w:val="17"/>
        </w:rPr>
        <w:t>Multi-Option Products</w:t>
      </w:r>
      <w:r>
        <w:rPr>
          <w:sz w:val="17"/>
          <w:szCs w:val="17"/>
        </w:rPr>
        <w:t xml:space="preserve"> (</w:t>
      </w:r>
      <w:r w:rsidRPr="000478BE">
        <w:rPr>
          <w:sz w:val="17"/>
          <w:szCs w:val="17"/>
        </w:rPr>
        <w:t>MOPs</w:t>
      </w:r>
      <w:r>
        <w:rPr>
          <w:sz w:val="17"/>
          <w:szCs w:val="17"/>
        </w:rPr>
        <w:t>)</w:t>
      </w:r>
      <w:r w:rsidRPr="000478BE">
        <w:rPr>
          <w:sz w:val="17"/>
          <w:szCs w:val="17"/>
        </w:rPr>
        <w:t>.</w:t>
      </w:r>
      <w:r w:rsidRPr="006D4D52">
        <w:rPr>
          <w:sz w:val="17"/>
          <w:szCs w:val="17"/>
        </w:rPr>
        <w:t xml:space="preserve"> Categories should guarantee that all investment instruments (e.g. government bonds) of portfolios are covered by the metrics of the system.</w:t>
      </w:r>
    </w:p>
    <w:p w14:paraId="294C6BDC" w14:textId="77777777" w:rsidR="00F44F57" w:rsidRDefault="00F44F57" w:rsidP="00F44F57">
      <w:pPr>
        <w:pStyle w:val="Odsekzoznamu"/>
        <w:numPr>
          <w:ilvl w:val="0"/>
          <w:numId w:val="9"/>
        </w:numPr>
        <w:rPr>
          <w:sz w:val="17"/>
          <w:szCs w:val="17"/>
        </w:rPr>
      </w:pPr>
      <w:r>
        <w:rPr>
          <w:b/>
          <w:bCs/>
          <w:sz w:val="17"/>
          <w:szCs w:val="17"/>
        </w:rPr>
        <w:t>I</w:t>
      </w:r>
      <w:r w:rsidRPr="006D4D52">
        <w:rPr>
          <w:b/>
          <w:bCs/>
          <w:sz w:val="17"/>
          <w:szCs w:val="17"/>
        </w:rPr>
        <w:t>nsurers support the introduction of a ‘transition</w:t>
      </w:r>
      <w:r>
        <w:rPr>
          <w:b/>
          <w:bCs/>
          <w:sz w:val="17"/>
          <w:szCs w:val="17"/>
        </w:rPr>
        <w:t>’</w:t>
      </w:r>
      <w:r w:rsidRPr="006D4D52">
        <w:rPr>
          <w:b/>
          <w:bCs/>
          <w:sz w:val="17"/>
          <w:szCs w:val="17"/>
        </w:rPr>
        <w:t xml:space="preserve"> category</w:t>
      </w:r>
      <w:r w:rsidRPr="006D4D52">
        <w:rPr>
          <w:sz w:val="17"/>
          <w:szCs w:val="17"/>
        </w:rPr>
        <w:t xml:space="preserve"> qualified through criteria such as: exclusions strategy; pre-defined, measurable, positive ESG-related outcome; credible transition plan. Climate transition targets should include carbon removal and evaluation of sovereigns’ transition pathways.</w:t>
      </w:r>
    </w:p>
    <w:p w14:paraId="6BF00C89" w14:textId="78BFFECC" w:rsidR="002B2B3B" w:rsidRPr="006D4D52" w:rsidRDefault="00C96A9B" w:rsidP="00F44F57">
      <w:pPr>
        <w:pStyle w:val="Odsekzoznamu"/>
        <w:numPr>
          <w:ilvl w:val="0"/>
          <w:numId w:val="9"/>
        </w:numPr>
        <w:rPr>
          <w:sz w:val="17"/>
          <w:szCs w:val="17"/>
        </w:rPr>
      </w:pPr>
      <w:r w:rsidRPr="00C552E1">
        <w:rPr>
          <w:b/>
          <w:bCs/>
          <w:sz w:val="17"/>
          <w:szCs w:val="17"/>
        </w:rPr>
        <w:t>A</w:t>
      </w:r>
      <w:r w:rsidR="00562FB7">
        <w:rPr>
          <w:b/>
          <w:bCs/>
          <w:sz w:val="17"/>
          <w:szCs w:val="17"/>
        </w:rPr>
        <w:t>ny</w:t>
      </w:r>
      <w:r w:rsidRPr="00C552E1">
        <w:rPr>
          <w:b/>
          <w:bCs/>
          <w:sz w:val="17"/>
          <w:szCs w:val="17"/>
        </w:rPr>
        <w:t xml:space="preserve"> categorisation system should</w:t>
      </w:r>
      <w:r w:rsidRPr="00C96A9B">
        <w:rPr>
          <w:sz w:val="17"/>
          <w:szCs w:val="17"/>
        </w:rPr>
        <w:t xml:space="preserve"> be based on information provided under SFDR and </w:t>
      </w:r>
      <w:r w:rsidRPr="00C552E1">
        <w:rPr>
          <w:b/>
          <w:bCs/>
          <w:sz w:val="17"/>
          <w:szCs w:val="17"/>
        </w:rPr>
        <w:t>not add a new level of complexity</w:t>
      </w:r>
      <w:r w:rsidRPr="00C96A9B">
        <w:rPr>
          <w:sz w:val="17"/>
          <w:szCs w:val="17"/>
        </w:rPr>
        <w:t xml:space="preserve"> by introducing additional KPIs</w:t>
      </w:r>
      <w:r w:rsidR="00526A80">
        <w:rPr>
          <w:sz w:val="17"/>
          <w:szCs w:val="17"/>
        </w:rPr>
        <w:t xml:space="preserve"> or </w:t>
      </w:r>
      <w:r w:rsidRPr="00C96A9B">
        <w:rPr>
          <w:sz w:val="17"/>
          <w:szCs w:val="17"/>
        </w:rPr>
        <w:t>metrics</w:t>
      </w:r>
      <w:r w:rsidR="00526A80">
        <w:rPr>
          <w:sz w:val="17"/>
          <w:szCs w:val="17"/>
        </w:rPr>
        <w:t>,</w:t>
      </w:r>
      <w:r w:rsidRPr="00C96A9B">
        <w:rPr>
          <w:sz w:val="17"/>
          <w:szCs w:val="17"/>
        </w:rPr>
        <w:t xml:space="preserve"> to avoid an information overload for retail investors. However, investments supporting the transition efforts of the real economy should be considered as an additional element</w:t>
      </w:r>
      <w:r w:rsidR="00526A80">
        <w:rPr>
          <w:sz w:val="17"/>
          <w:szCs w:val="17"/>
        </w:rPr>
        <w:t>.</w:t>
      </w:r>
    </w:p>
    <w:p w14:paraId="73D2AE36" w14:textId="7131CF15" w:rsidR="00F44F57" w:rsidRPr="006D4D52" w:rsidRDefault="00F01749" w:rsidP="00F44F57">
      <w:pPr>
        <w:pStyle w:val="Odsekzoznamu"/>
        <w:numPr>
          <w:ilvl w:val="0"/>
          <w:numId w:val="9"/>
        </w:numPr>
        <w:rPr>
          <w:sz w:val="17"/>
          <w:szCs w:val="17"/>
        </w:rPr>
      </w:pPr>
      <w:r>
        <w:rPr>
          <w:sz w:val="17"/>
          <w:szCs w:val="17"/>
        </w:rPr>
        <w:t>In principle, c</w:t>
      </w:r>
      <w:r w:rsidR="00F44F57" w:rsidRPr="006D4D52">
        <w:rPr>
          <w:sz w:val="17"/>
          <w:szCs w:val="17"/>
        </w:rPr>
        <w:t xml:space="preserve">ategories should be mutually exclusive However, </w:t>
      </w:r>
      <w:r w:rsidR="00F44F57" w:rsidRPr="006D4D52">
        <w:rPr>
          <w:b/>
          <w:bCs/>
          <w:sz w:val="17"/>
          <w:szCs w:val="17"/>
        </w:rPr>
        <w:t>product categories should not represent a very narrow (or even non-existent) product offer</w:t>
      </w:r>
      <w:r w:rsidR="00F44F57" w:rsidRPr="006D4D52">
        <w:rPr>
          <w:sz w:val="17"/>
          <w:szCs w:val="17"/>
        </w:rPr>
        <w:t xml:space="preserve">. Hence, it is crucial that a ‘mixed </w:t>
      </w:r>
      <w:r w:rsidR="00F44F57" w:rsidRPr="006D4D52">
        <w:rPr>
          <w:sz w:val="17"/>
          <w:szCs w:val="17"/>
        </w:rPr>
        <w:lastRenderedPageBreak/>
        <w:t>category’</w:t>
      </w:r>
      <w:r w:rsidR="009375F9">
        <w:rPr>
          <w:sz w:val="17"/>
          <w:szCs w:val="17"/>
        </w:rPr>
        <w:t>, qualified through credible criteria,</w:t>
      </w:r>
      <w:r w:rsidR="002861E7">
        <w:rPr>
          <w:sz w:val="17"/>
          <w:szCs w:val="17"/>
        </w:rPr>
        <w:t xml:space="preserve"> </w:t>
      </w:r>
      <w:r w:rsidR="00F44F57" w:rsidRPr="006D4D52">
        <w:rPr>
          <w:sz w:val="17"/>
          <w:szCs w:val="17"/>
        </w:rPr>
        <w:t>is introduced alongside ‘sustainable’ and ‘transition’ categories.</w:t>
      </w:r>
      <w:r w:rsidR="00072C3A">
        <w:rPr>
          <w:sz w:val="17"/>
          <w:szCs w:val="17"/>
        </w:rPr>
        <w:t xml:space="preserve"> This would also be useful for MOPs.</w:t>
      </w:r>
      <w:r w:rsidR="00F44F57" w:rsidRPr="006D4D52">
        <w:rPr>
          <w:sz w:val="17"/>
          <w:szCs w:val="17"/>
        </w:rPr>
        <w:t xml:space="preserve">   </w:t>
      </w:r>
    </w:p>
    <w:p w14:paraId="74723EE8" w14:textId="77777777" w:rsidR="00F44F57" w:rsidRPr="006D4D52" w:rsidRDefault="00F44F57" w:rsidP="00F44F57">
      <w:pPr>
        <w:pStyle w:val="Odsekzoznamu"/>
        <w:numPr>
          <w:ilvl w:val="0"/>
          <w:numId w:val="9"/>
        </w:numPr>
        <w:rPr>
          <w:sz w:val="17"/>
          <w:szCs w:val="17"/>
        </w:rPr>
      </w:pPr>
      <w:r w:rsidRPr="006D4D52">
        <w:rPr>
          <w:sz w:val="17"/>
          <w:szCs w:val="17"/>
        </w:rPr>
        <w:t xml:space="preserve">If the SFDR offers a positive categorisation for ‘sustainable’ and ‘transition’ products, </w:t>
      </w:r>
      <w:r w:rsidRPr="006D4D52">
        <w:rPr>
          <w:b/>
          <w:bCs/>
          <w:sz w:val="17"/>
          <w:szCs w:val="17"/>
        </w:rPr>
        <w:t>it is important that any categorisation system</w:t>
      </w:r>
      <w:r w:rsidRPr="006D4D52">
        <w:rPr>
          <w:sz w:val="17"/>
          <w:szCs w:val="17"/>
        </w:rPr>
        <w:t xml:space="preserve"> </w:t>
      </w:r>
      <w:r w:rsidRPr="006D4D52">
        <w:rPr>
          <w:b/>
          <w:bCs/>
          <w:sz w:val="17"/>
          <w:szCs w:val="17"/>
        </w:rPr>
        <w:t>does not undermine products which do not cater to sustainability preferences</w:t>
      </w:r>
      <w:r w:rsidRPr="006D4D52">
        <w:rPr>
          <w:sz w:val="17"/>
          <w:szCs w:val="17"/>
        </w:rPr>
        <w:t xml:space="preserve"> (like ‘article 6 products’ under the current SFDR framework).</w:t>
      </w:r>
    </w:p>
    <w:p w14:paraId="17F96098" w14:textId="490D27C8" w:rsidR="00F44F57" w:rsidRPr="0038216F" w:rsidRDefault="00F44F57" w:rsidP="0038216F">
      <w:pPr>
        <w:pStyle w:val="Odsekzoznamu"/>
        <w:numPr>
          <w:ilvl w:val="0"/>
          <w:numId w:val="9"/>
        </w:numPr>
        <w:rPr>
          <w:sz w:val="17"/>
          <w:szCs w:val="17"/>
        </w:rPr>
      </w:pPr>
      <w:r w:rsidRPr="006D4D52">
        <w:rPr>
          <w:sz w:val="17"/>
          <w:szCs w:val="17"/>
        </w:rPr>
        <w:t xml:space="preserve">Considering the development of categorisation systems in other jurisdictions (e.g. in the UK), </w:t>
      </w:r>
      <w:r w:rsidRPr="006D4D52">
        <w:rPr>
          <w:b/>
          <w:bCs/>
          <w:sz w:val="17"/>
          <w:szCs w:val="17"/>
        </w:rPr>
        <w:t>efforts should be made to</w:t>
      </w:r>
      <w:r w:rsidRPr="006D4D52">
        <w:rPr>
          <w:sz w:val="17"/>
          <w:szCs w:val="17"/>
        </w:rPr>
        <w:t xml:space="preserve"> </w:t>
      </w:r>
      <w:r w:rsidRPr="006D4D52">
        <w:rPr>
          <w:b/>
          <w:bCs/>
          <w:sz w:val="17"/>
          <w:szCs w:val="17"/>
        </w:rPr>
        <w:t>pursue interoperability across jurisdictions</w:t>
      </w:r>
      <w:r w:rsidRPr="006D4D52">
        <w:rPr>
          <w:sz w:val="17"/>
          <w:szCs w:val="17"/>
        </w:rPr>
        <w:t xml:space="preserve"> and to prevent a situation where the same financial product is deemed sustainable in a country but not in </w:t>
      </w:r>
      <w:r>
        <w:rPr>
          <w:sz w:val="17"/>
          <w:szCs w:val="17"/>
        </w:rPr>
        <w:t>others</w:t>
      </w:r>
      <w:r w:rsidRPr="006D4D52">
        <w:rPr>
          <w:sz w:val="17"/>
          <w:szCs w:val="17"/>
        </w:rPr>
        <w:t>.</w:t>
      </w:r>
    </w:p>
    <w:p w14:paraId="5EBB315A" w14:textId="17264EAC" w:rsidR="006A01E7" w:rsidRPr="002861E7" w:rsidRDefault="00A85171" w:rsidP="00EC0D56">
      <w:pPr>
        <w:pStyle w:val="Odsekzoznamu"/>
        <w:numPr>
          <w:ilvl w:val="0"/>
          <w:numId w:val="9"/>
        </w:numPr>
        <w:rPr>
          <w:sz w:val="17"/>
          <w:szCs w:val="17"/>
        </w:rPr>
      </w:pPr>
      <w:r w:rsidRPr="00A85171">
        <w:rPr>
          <w:sz w:val="17"/>
          <w:szCs w:val="17"/>
        </w:rPr>
        <w:t>A</w:t>
      </w:r>
      <w:r w:rsidR="007C39B2">
        <w:rPr>
          <w:sz w:val="17"/>
          <w:szCs w:val="17"/>
        </w:rPr>
        <w:t>ny</w:t>
      </w:r>
      <w:r w:rsidRPr="00A85171">
        <w:rPr>
          <w:sz w:val="17"/>
          <w:szCs w:val="17"/>
        </w:rPr>
        <w:t xml:space="preserve"> categorisation system for financial products should ensure </w:t>
      </w:r>
      <w:r w:rsidRPr="00C552E1">
        <w:rPr>
          <w:b/>
          <w:bCs/>
          <w:sz w:val="17"/>
          <w:szCs w:val="17"/>
        </w:rPr>
        <w:t>fair and transparent information for retail customers for all types of financial products</w:t>
      </w:r>
      <w:r w:rsidRPr="00A85171">
        <w:rPr>
          <w:sz w:val="17"/>
          <w:szCs w:val="17"/>
        </w:rPr>
        <w:t>. Different approaches and dimensions of sustainability should be reflected adequately and without hierarchy. In this respect, the ESA</w:t>
      </w:r>
      <w:r>
        <w:rPr>
          <w:sz w:val="17"/>
          <w:szCs w:val="17"/>
        </w:rPr>
        <w:t>s</w:t>
      </w:r>
      <w:r w:rsidRPr="00A85171">
        <w:rPr>
          <w:sz w:val="17"/>
          <w:szCs w:val="17"/>
        </w:rPr>
        <w:t xml:space="preserve"> proposal</w:t>
      </w:r>
      <w:r w:rsidR="0027411C">
        <w:rPr>
          <w:sz w:val="17"/>
          <w:szCs w:val="17"/>
        </w:rPr>
        <w:t xml:space="preserve"> </w:t>
      </w:r>
      <w:r w:rsidR="00BE1444">
        <w:rPr>
          <w:sz w:val="17"/>
          <w:szCs w:val="17"/>
        </w:rPr>
        <w:t xml:space="preserve">with </w:t>
      </w:r>
      <w:r w:rsidR="00BE1444" w:rsidRPr="00BE1444">
        <w:rPr>
          <w:sz w:val="17"/>
          <w:szCs w:val="17"/>
        </w:rPr>
        <w:t xml:space="preserve">a hierarchical indicator-based system </w:t>
      </w:r>
      <w:r w:rsidRPr="00A85171">
        <w:rPr>
          <w:sz w:val="17"/>
          <w:szCs w:val="17"/>
        </w:rPr>
        <w:t>is inappropriate.</w:t>
      </w:r>
    </w:p>
    <w:p w14:paraId="5C3BAD3B" w14:textId="77777777" w:rsidR="00F44F57" w:rsidRDefault="00F44F57" w:rsidP="00E6346D">
      <w:pPr>
        <w:rPr>
          <w:b/>
          <w:bCs/>
          <w:sz w:val="17"/>
          <w:szCs w:val="17"/>
        </w:rPr>
      </w:pPr>
    </w:p>
    <w:p w14:paraId="34305269" w14:textId="77777777" w:rsidR="005577FE" w:rsidRDefault="005577FE" w:rsidP="005577FE">
      <w:pPr>
        <w:rPr>
          <w:b/>
          <w:bCs/>
          <w:sz w:val="17"/>
          <w:szCs w:val="17"/>
        </w:rPr>
      </w:pPr>
      <w:r w:rsidRPr="00FB0AC2">
        <w:rPr>
          <w:b/>
          <w:bCs/>
          <w:sz w:val="17"/>
          <w:szCs w:val="17"/>
        </w:rPr>
        <w:t>Concerning the level 2 review</w:t>
      </w:r>
      <w:r>
        <w:rPr>
          <w:b/>
          <w:bCs/>
          <w:sz w:val="17"/>
          <w:szCs w:val="17"/>
        </w:rPr>
        <w:t xml:space="preserve"> </w:t>
      </w:r>
    </w:p>
    <w:p w14:paraId="3CD668AD" w14:textId="77777777" w:rsidR="005577FE" w:rsidRDefault="005577FE" w:rsidP="005577FE">
      <w:pPr>
        <w:rPr>
          <w:b/>
          <w:bCs/>
          <w:sz w:val="17"/>
          <w:szCs w:val="17"/>
        </w:rPr>
      </w:pPr>
    </w:p>
    <w:p w14:paraId="087A8938" w14:textId="77777777" w:rsidR="005577FE" w:rsidRPr="00C17E86" w:rsidRDefault="005577FE" w:rsidP="005577FE">
      <w:pPr>
        <w:pStyle w:val="Odsekzoznamu"/>
        <w:numPr>
          <w:ilvl w:val="0"/>
          <w:numId w:val="10"/>
        </w:numPr>
        <w:rPr>
          <w:sz w:val="17"/>
          <w:szCs w:val="17"/>
        </w:rPr>
      </w:pPr>
      <w:r>
        <w:rPr>
          <w:b/>
          <w:bCs/>
          <w:sz w:val="17"/>
          <w:szCs w:val="17"/>
        </w:rPr>
        <w:t>T</w:t>
      </w:r>
      <w:r w:rsidRPr="00C17E86">
        <w:rPr>
          <w:b/>
          <w:bCs/>
          <w:sz w:val="17"/>
          <w:szCs w:val="17"/>
        </w:rPr>
        <w:t xml:space="preserve">he SFDR level 1 and level 2 reviews </w:t>
      </w:r>
      <w:r>
        <w:rPr>
          <w:b/>
          <w:bCs/>
          <w:sz w:val="17"/>
          <w:szCs w:val="17"/>
        </w:rPr>
        <w:t>should be</w:t>
      </w:r>
      <w:r w:rsidRPr="00C17E86">
        <w:rPr>
          <w:b/>
          <w:bCs/>
          <w:sz w:val="17"/>
          <w:szCs w:val="17"/>
        </w:rPr>
        <w:t xml:space="preserve"> coordinated</w:t>
      </w:r>
      <w:r w:rsidRPr="00C17E86">
        <w:rPr>
          <w:sz w:val="17"/>
          <w:szCs w:val="17"/>
        </w:rPr>
        <w:t xml:space="preserve"> to guarantee legal certainty and deliver a successful law-making process, preventing overlapping and double efforts. Consequently, (re)insurers support the EC delaying the adoption of the level 2 measures proposed by the ESAs to reconsider changes to the SFDR holistically.</w:t>
      </w:r>
    </w:p>
    <w:p w14:paraId="5FEEF10C" w14:textId="77777777" w:rsidR="005577FE" w:rsidRPr="00C17E86" w:rsidRDefault="005577FE" w:rsidP="005577FE">
      <w:pPr>
        <w:pStyle w:val="Odsekzoznamu"/>
        <w:numPr>
          <w:ilvl w:val="0"/>
          <w:numId w:val="10"/>
        </w:numPr>
        <w:rPr>
          <w:sz w:val="17"/>
          <w:szCs w:val="17"/>
        </w:rPr>
      </w:pPr>
      <w:r w:rsidRPr="00C17E86">
        <w:rPr>
          <w:b/>
          <w:bCs/>
          <w:sz w:val="17"/>
          <w:szCs w:val="17"/>
        </w:rPr>
        <w:t>It is vital that Principal Adverse Impact (PAI) indicators are consistent and aligned with disclosure requirements under the ESRS</w:t>
      </w:r>
      <w:r w:rsidRPr="00C17E86">
        <w:rPr>
          <w:sz w:val="17"/>
          <w:szCs w:val="17"/>
        </w:rPr>
        <w:t xml:space="preserve"> to ensure the ability of F</w:t>
      </w:r>
      <w:r>
        <w:rPr>
          <w:sz w:val="17"/>
          <w:szCs w:val="17"/>
        </w:rPr>
        <w:t>MP</w:t>
      </w:r>
      <w:r w:rsidRPr="00C17E86">
        <w:rPr>
          <w:sz w:val="17"/>
          <w:szCs w:val="17"/>
        </w:rPr>
        <w:t>s to perform their PAI statement disclosures. Therefore, (re)insurers strongly advocate for the publication of a coverage ratio alongside PAIs indicators that will allow FMPs to meet their own requirements.</w:t>
      </w:r>
    </w:p>
    <w:p w14:paraId="6CA2530A" w14:textId="77777777" w:rsidR="005577FE" w:rsidRPr="00DB1142" w:rsidRDefault="005577FE" w:rsidP="005577FE">
      <w:pPr>
        <w:pStyle w:val="Odsekzoznamu"/>
        <w:numPr>
          <w:ilvl w:val="0"/>
          <w:numId w:val="10"/>
        </w:numPr>
        <w:rPr>
          <w:color w:val="000000" w:themeColor="text1"/>
          <w:sz w:val="17"/>
          <w:szCs w:val="17"/>
        </w:rPr>
      </w:pPr>
      <w:r>
        <w:rPr>
          <w:b/>
          <w:bCs/>
          <w:sz w:val="17"/>
          <w:szCs w:val="17"/>
        </w:rPr>
        <w:t>There should be no additional</w:t>
      </w:r>
      <w:r w:rsidRPr="00C17E86">
        <w:rPr>
          <w:b/>
          <w:bCs/>
          <w:sz w:val="17"/>
          <w:szCs w:val="17"/>
        </w:rPr>
        <w:t xml:space="preserve"> mandatory (or optional) indicators </w:t>
      </w:r>
      <w:r>
        <w:rPr>
          <w:b/>
          <w:bCs/>
          <w:sz w:val="17"/>
          <w:szCs w:val="17"/>
        </w:rPr>
        <w:t xml:space="preserve">as it </w:t>
      </w:r>
      <w:r w:rsidRPr="00C17E86">
        <w:rPr>
          <w:b/>
          <w:bCs/>
          <w:sz w:val="17"/>
          <w:szCs w:val="17"/>
        </w:rPr>
        <w:t>further stresses the data collection challenge</w:t>
      </w:r>
      <w:r w:rsidRPr="00C17E86">
        <w:rPr>
          <w:sz w:val="17"/>
          <w:szCs w:val="17"/>
        </w:rPr>
        <w:t xml:space="preserve">, especially until data is available from the investee companies under the CSRD and via an accessible data source like the European Single Access Point </w:t>
      </w:r>
      <w:r>
        <w:rPr>
          <w:sz w:val="17"/>
          <w:szCs w:val="17"/>
        </w:rPr>
        <w:t xml:space="preserve">(ESAP) </w:t>
      </w:r>
      <w:r w:rsidRPr="00C17E86">
        <w:rPr>
          <w:sz w:val="17"/>
          <w:szCs w:val="17"/>
        </w:rPr>
        <w:t xml:space="preserve">- even though the lack of data will persist for non-CSRD companies, leaving FMPs with challenges collecting the data required. </w:t>
      </w:r>
    </w:p>
    <w:p w14:paraId="2A58A63D" w14:textId="77777777" w:rsidR="005577FE" w:rsidRPr="002861E7" w:rsidRDefault="005577FE" w:rsidP="005577FE">
      <w:pPr>
        <w:pStyle w:val="Odsekzoznamu"/>
        <w:numPr>
          <w:ilvl w:val="0"/>
          <w:numId w:val="10"/>
        </w:numPr>
        <w:rPr>
          <w:color w:val="000000" w:themeColor="text1"/>
          <w:sz w:val="17"/>
          <w:szCs w:val="17"/>
        </w:rPr>
      </w:pPr>
      <w:r>
        <w:rPr>
          <w:b/>
          <w:bCs/>
          <w:color w:val="000000" w:themeColor="text1"/>
          <w:sz w:val="17"/>
          <w:szCs w:val="17"/>
        </w:rPr>
        <w:t>T</w:t>
      </w:r>
      <w:r w:rsidRPr="00C17E86">
        <w:rPr>
          <w:b/>
          <w:bCs/>
          <w:color w:val="000000" w:themeColor="text1"/>
          <w:sz w:val="17"/>
          <w:szCs w:val="17"/>
        </w:rPr>
        <w:t>he definition of ‘all investments’ adopted for the insurance sector</w:t>
      </w:r>
      <w:r>
        <w:rPr>
          <w:b/>
          <w:bCs/>
          <w:color w:val="000000" w:themeColor="text1"/>
          <w:sz w:val="17"/>
          <w:szCs w:val="17"/>
        </w:rPr>
        <w:t xml:space="preserve"> should be revised.</w:t>
      </w:r>
      <w:r w:rsidRPr="00C17E86">
        <w:rPr>
          <w:color w:val="000000" w:themeColor="text1"/>
          <w:sz w:val="17"/>
          <w:szCs w:val="17"/>
        </w:rPr>
        <w:t xml:space="preserve"> </w:t>
      </w:r>
      <w:r>
        <w:rPr>
          <w:color w:val="000000" w:themeColor="text1"/>
          <w:sz w:val="17"/>
          <w:szCs w:val="17"/>
        </w:rPr>
        <w:t>T</w:t>
      </w:r>
      <w:r w:rsidRPr="00C17E86">
        <w:rPr>
          <w:color w:val="000000" w:themeColor="text1"/>
          <w:sz w:val="17"/>
          <w:szCs w:val="17"/>
        </w:rPr>
        <w:t>he definition encompasses many assets that have nothing to do with investments (deposit to cedants, cash equivalents) and will artificially increase the denominator of PAI indicators. A definition that only consider investments should be adopted, instead.</w:t>
      </w:r>
      <w:r>
        <w:rPr>
          <w:color w:val="000000" w:themeColor="text1"/>
          <w:sz w:val="17"/>
          <w:szCs w:val="17"/>
        </w:rPr>
        <w:t xml:space="preserve"> </w:t>
      </w:r>
      <w:r w:rsidRPr="00276093">
        <w:rPr>
          <w:color w:val="000000" w:themeColor="text1"/>
          <w:sz w:val="17"/>
          <w:szCs w:val="17"/>
        </w:rPr>
        <w:t xml:space="preserve">Furthermore, the definition of </w:t>
      </w:r>
      <w:r>
        <w:rPr>
          <w:color w:val="000000" w:themeColor="text1"/>
          <w:sz w:val="17"/>
          <w:szCs w:val="17"/>
        </w:rPr>
        <w:t>‘</w:t>
      </w:r>
      <w:r w:rsidRPr="00276093">
        <w:rPr>
          <w:color w:val="000000" w:themeColor="text1"/>
          <w:sz w:val="17"/>
          <w:szCs w:val="17"/>
        </w:rPr>
        <w:t>all investments</w:t>
      </w:r>
      <w:r>
        <w:rPr>
          <w:color w:val="000000" w:themeColor="text1"/>
          <w:sz w:val="17"/>
          <w:szCs w:val="17"/>
        </w:rPr>
        <w:t>’</w:t>
      </w:r>
      <w:r w:rsidRPr="00276093">
        <w:rPr>
          <w:color w:val="000000" w:themeColor="text1"/>
          <w:sz w:val="17"/>
          <w:szCs w:val="17"/>
        </w:rPr>
        <w:t xml:space="preserve"> should only comprise investment</w:t>
      </w:r>
      <w:r>
        <w:rPr>
          <w:color w:val="000000" w:themeColor="text1"/>
          <w:sz w:val="17"/>
          <w:szCs w:val="17"/>
        </w:rPr>
        <w:t xml:space="preserve"> where </w:t>
      </w:r>
      <w:r w:rsidRPr="00276093">
        <w:rPr>
          <w:color w:val="000000" w:themeColor="text1"/>
          <w:sz w:val="17"/>
          <w:szCs w:val="17"/>
        </w:rPr>
        <w:t>the insurer has taken the investment decision</w:t>
      </w:r>
      <w:r>
        <w:rPr>
          <w:color w:val="000000" w:themeColor="text1"/>
          <w:sz w:val="17"/>
          <w:szCs w:val="17"/>
        </w:rPr>
        <w:t>,</w:t>
      </w:r>
      <w:r w:rsidRPr="00276093">
        <w:rPr>
          <w:color w:val="000000" w:themeColor="text1"/>
          <w:sz w:val="17"/>
          <w:szCs w:val="17"/>
        </w:rPr>
        <w:t xml:space="preserve"> and not the c</w:t>
      </w:r>
      <w:r>
        <w:rPr>
          <w:color w:val="000000" w:themeColor="text1"/>
          <w:sz w:val="17"/>
          <w:szCs w:val="17"/>
        </w:rPr>
        <w:t>ustomer</w:t>
      </w:r>
      <w:r w:rsidRPr="00276093">
        <w:rPr>
          <w:color w:val="000000" w:themeColor="text1"/>
          <w:sz w:val="17"/>
          <w:szCs w:val="17"/>
        </w:rPr>
        <w:t xml:space="preserve"> (i.e. IBIPs).</w:t>
      </w:r>
    </w:p>
    <w:p w14:paraId="25EE3287" w14:textId="77777777" w:rsidR="005577FE" w:rsidRPr="00C17E86" w:rsidRDefault="005577FE" w:rsidP="005577FE">
      <w:pPr>
        <w:pStyle w:val="Odsekzoznamu"/>
        <w:numPr>
          <w:ilvl w:val="0"/>
          <w:numId w:val="10"/>
        </w:numPr>
        <w:rPr>
          <w:sz w:val="17"/>
          <w:szCs w:val="17"/>
        </w:rPr>
      </w:pPr>
      <w:r>
        <w:rPr>
          <w:b/>
          <w:bCs/>
          <w:sz w:val="17"/>
          <w:szCs w:val="17"/>
        </w:rPr>
        <w:t>I</w:t>
      </w:r>
      <w:r w:rsidRPr="00C17E86">
        <w:rPr>
          <w:b/>
          <w:bCs/>
          <w:sz w:val="17"/>
          <w:szCs w:val="17"/>
        </w:rPr>
        <w:t>nsurers support the proposed dashboard in the SFDR templates</w:t>
      </w:r>
      <w:r w:rsidRPr="00C17E86">
        <w:rPr>
          <w:sz w:val="17"/>
          <w:szCs w:val="17"/>
        </w:rPr>
        <w:t xml:space="preserve">, as it would provide consumers with a straightforward highlight of the product’s key characteristics. It can </w:t>
      </w:r>
      <w:r>
        <w:rPr>
          <w:sz w:val="17"/>
          <w:szCs w:val="17"/>
        </w:rPr>
        <w:t xml:space="preserve">also </w:t>
      </w:r>
      <w:r w:rsidRPr="00C17E86">
        <w:rPr>
          <w:sz w:val="17"/>
          <w:szCs w:val="17"/>
        </w:rPr>
        <w:t xml:space="preserve">become a useful instrument to favour the matching between consumers sustainability preferences expressed during the suitability test and product features. </w:t>
      </w:r>
      <w:r>
        <w:rPr>
          <w:sz w:val="17"/>
          <w:szCs w:val="17"/>
        </w:rPr>
        <w:t>I</w:t>
      </w:r>
      <w:r w:rsidRPr="00C17E86">
        <w:rPr>
          <w:sz w:val="17"/>
          <w:szCs w:val="17"/>
        </w:rPr>
        <w:t>nsurers</w:t>
      </w:r>
      <w:r>
        <w:rPr>
          <w:sz w:val="17"/>
          <w:szCs w:val="17"/>
        </w:rPr>
        <w:t xml:space="preserve"> recommend</w:t>
      </w:r>
      <w:r w:rsidRPr="00C17E86">
        <w:rPr>
          <w:sz w:val="17"/>
          <w:szCs w:val="17"/>
        </w:rPr>
        <w:t xml:space="preserve"> the use of consumer testing</w:t>
      </w:r>
      <w:r>
        <w:rPr>
          <w:sz w:val="17"/>
          <w:szCs w:val="17"/>
        </w:rPr>
        <w:t xml:space="preserve"> to make sure that the dashboard is workable and meaningful for consumers</w:t>
      </w:r>
      <w:r w:rsidRPr="00C17E86">
        <w:rPr>
          <w:sz w:val="17"/>
          <w:szCs w:val="17"/>
        </w:rPr>
        <w:t>.</w:t>
      </w:r>
    </w:p>
    <w:p w14:paraId="3E1519A5" w14:textId="77777777" w:rsidR="005577FE" w:rsidRPr="001B00FC" w:rsidRDefault="005577FE" w:rsidP="005577FE">
      <w:pPr>
        <w:pStyle w:val="Odsekzoznamu"/>
        <w:numPr>
          <w:ilvl w:val="0"/>
          <w:numId w:val="10"/>
        </w:numPr>
        <w:rPr>
          <w:sz w:val="17"/>
          <w:szCs w:val="17"/>
        </w:rPr>
      </w:pPr>
      <w:r>
        <w:rPr>
          <w:b/>
          <w:bCs/>
          <w:sz w:val="17"/>
          <w:szCs w:val="17"/>
        </w:rPr>
        <w:t>I</w:t>
      </w:r>
      <w:r w:rsidRPr="00C17E86">
        <w:rPr>
          <w:b/>
          <w:bCs/>
          <w:sz w:val="17"/>
          <w:szCs w:val="17"/>
        </w:rPr>
        <w:t>nsurers welcome the possibility to use cross-referencing to the existing SFDR disclosures for Multi-Option Products periodic disclosures</w:t>
      </w:r>
      <w:r w:rsidRPr="00C17E86">
        <w:rPr>
          <w:sz w:val="17"/>
          <w:szCs w:val="17"/>
        </w:rPr>
        <w:t>, which will simplify the provision of information. Indeed, insurers advocate for flexibility in disclosure requirements of Multi-Option Products.</w:t>
      </w:r>
    </w:p>
    <w:p w14:paraId="4A85960C" w14:textId="77777777" w:rsidR="005577FE" w:rsidRDefault="005577FE" w:rsidP="005577FE">
      <w:pPr>
        <w:rPr>
          <w:b/>
          <w:bCs/>
          <w:sz w:val="17"/>
          <w:szCs w:val="17"/>
        </w:rPr>
      </w:pPr>
    </w:p>
    <w:p w14:paraId="38EBF8EB" w14:textId="77777777" w:rsidR="00F44F57" w:rsidRDefault="00F44F57" w:rsidP="00E6346D">
      <w:pPr>
        <w:rPr>
          <w:b/>
          <w:bCs/>
          <w:sz w:val="17"/>
          <w:szCs w:val="17"/>
        </w:rPr>
      </w:pPr>
    </w:p>
    <w:p w14:paraId="18118A7F" w14:textId="77777777" w:rsidR="005577FE" w:rsidRDefault="005577FE" w:rsidP="00E6346D">
      <w:pPr>
        <w:rPr>
          <w:b/>
          <w:bCs/>
          <w:sz w:val="17"/>
          <w:szCs w:val="17"/>
        </w:rPr>
      </w:pPr>
    </w:p>
    <w:p w14:paraId="70FE3103" w14:textId="77777777" w:rsidR="005577FE" w:rsidRDefault="005577FE" w:rsidP="00E6346D">
      <w:pPr>
        <w:rPr>
          <w:b/>
          <w:bCs/>
          <w:sz w:val="17"/>
          <w:szCs w:val="17"/>
        </w:rPr>
      </w:pPr>
    </w:p>
    <w:p w14:paraId="13A9FFAE" w14:textId="77777777" w:rsidR="003B3CB3" w:rsidRDefault="003B3CB3" w:rsidP="00E6346D">
      <w:pPr>
        <w:rPr>
          <w:b/>
          <w:bCs/>
          <w:sz w:val="17"/>
          <w:szCs w:val="17"/>
        </w:rPr>
      </w:pPr>
    </w:p>
    <w:p w14:paraId="4EFA0144" w14:textId="77777777" w:rsidR="005577FE" w:rsidRDefault="005577FE" w:rsidP="00E6346D">
      <w:pPr>
        <w:rPr>
          <w:b/>
          <w:bCs/>
          <w:sz w:val="17"/>
          <w:szCs w:val="17"/>
        </w:rPr>
      </w:pPr>
    </w:p>
    <w:p w14:paraId="33CEFBC2" w14:textId="084281CA" w:rsidR="00440FEE" w:rsidRPr="00F91704" w:rsidRDefault="005577FE" w:rsidP="003B3CB3">
      <w:pPr>
        <w:autoSpaceDE w:val="0"/>
        <w:autoSpaceDN w:val="0"/>
        <w:adjustRightInd w:val="0"/>
        <w:rPr>
          <w:i/>
          <w:iCs/>
          <w:sz w:val="17"/>
          <w:szCs w:val="17"/>
        </w:rPr>
      </w:pPr>
      <w:r w:rsidRPr="004C693C">
        <w:rPr>
          <w:i/>
          <w:iCs/>
          <w:sz w:val="14"/>
          <w:szCs w:val="14"/>
        </w:rPr>
        <w:t>Insurance Europe is the European insurance and reinsurance federation. Through its 37 member bodies — the national insurance associations — it represents all types and sizes of insurance and reinsurance undertakings. Insurance Europe, which is based in Brussels, represents undertakings that account for around 95% of total European premium income. Insurance makes a major contribution to Europe’s economic growth and development. European insurers pay out over €1 000bn annually — or €2.8bn a day — in claims, directly employ more than 920 000 people and invest over €10.6trn in the economy.</w:t>
      </w:r>
      <w:bookmarkStart w:id="2" w:name="BorderPlate"/>
      <w:bookmarkEnd w:id="2"/>
    </w:p>
    <w:sectPr w:rsidR="00440FEE" w:rsidRPr="00F91704" w:rsidSect="00A711F7">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3D710" w14:textId="77777777" w:rsidR="00097CD9" w:rsidRDefault="00097CD9">
      <w:pPr>
        <w:spacing w:line="240" w:lineRule="auto"/>
      </w:pPr>
      <w:r>
        <w:separator/>
      </w:r>
    </w:p>
  </w:endnote>
  <w:endnote w:type="continuationSeparator" w:id="0">
    <w:p w14:paraId="322F3249" w14:textId="77777777" w:rsidR="00097CD9" w:rsidRDefault="00097CD9">
      <w:pPr>
        <w:spacing w:line="240" w:lineRule="auto"/>
      </w:pPr>
      <w:r>
        <w:continuationSeparator/>
      </w:r>
    </w:p>
  </w:endnote>
  <w:endnote w:type="continuationNotice" w:id="1">
    <w:p w14:paraId="07BED595" w14:textId="77777777" w:rsidR="00097CD9" w:rsidRDefault="00097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A777" w14:textId="77777777" w:rsidR="00302FE2" w:rsidRDefault="00152882" w:rsidP="00A711F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302FE2" w:rsidRDefault="00302FE2" w:rsidP="00A711F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342C" w14:textId="77777777" w:rsidR="00302FE2" w:rsidRPr="007748EE" w:rsidRDefault="00152882" w:rsidP="00A711F7">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302FE2" w:rsidRPr="0085650F" w:rsidRDefault="00302FE2" w:rsidP="00A711F7">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Pr="00076D6D" w:rsidRDefault="0012469D"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19503539"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007748EE" w:rsidRPr="009F19B1">
              <w:rPr>
                <w:rStyle w:val="Hypertextovprepojenie"/>
                <w:b w:val="0"/>
                <w:sz w:val="14"/>
                <w:szCs w:val="14"/>
                <w:lang w:val="pt-PT"/>
              </w:rPr>
              <w:t>info@insuranceeurope.eu</w:t>
            </w:r>
          </w:hyperlink>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302FE2" w:rsidRPr="004164CD" w:rsidRDefault="00302FE2">
    <w:pPr>
      <w:pStyle w:val="Pta"/>
      <w:rPr>
        <w:color w:val="002957"/>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94595" w14:textId="77777777" w:rsidR="00097CD9" w:rsidRDefault="00097CD9">
      <w:pPr>
        <w:spacing w:line="240" w:lineRule="auto"/>
      </w:pPr>
      <w:r>
        <w:separator/>
      </w:r>
    </w:p>
  </w:footnote>
  <w:footnote w:type="continuationSeparator" w:id="0">
    <w:p w14:paraId="1E1A5336" w14:textId="77777777" w:rsidR="00097CD9" w:rsidRDefault="00097CD9">
      <w:pPr>
        <w:spacing w:line="240" w:lineRule="auto"/>
      </w:pPr>
      <w:r>
        <w:continuationSeparator/>
      </w:r>
    </w:p>
  </w:footnote>
  <w:footnote w:type="continuationNotice" w:id="1">
    <w:p w14:paraId="0889BF2F" w14:textId="77777777" w:rsidR="00097CD9" w:rsidRDefault="00097C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905F4" w14:textId="27689C0D" w:rsidR="008A4702" w:rsidRDefault="008A5CBD">
    <w:pPr>
      <w:pStyle w:val="Hlavika"/>
    </w:pPr>
    <w:r>
      <w:rPr>
        <w:noProof/>
      </w:rPr>
      <w:pict w14:anchorId="0FA77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491454" o:spid="_x0000_s1026" type="#_x0000_t136" style="position:absolute;left:0;text-align:left;margin-left:0;margin-top:0;width:506.6pt;height:168.85pt;rotation:315;z-index:-25165823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157A" w14:textId="12739E54" w:rsidR="00302FE2" w:rsidRPr="00323E1C" w:rsidRDefault="008A5CBD" w:rsidP="00A711F7">
    <w:pPr>
      <w:pStyle w:val="Noparagraphstyle"/>
      <w:jc w:val="right"/>
      <w:rPr>
        <w:rFonts w:ascii="Verdana" w:hAnsi="Verdana"/>
        <w:sz w:val="18"/>
        <w:szCs w:val="18"/>
      </w:rPr>
    </w:pPr>
    <w:r>
      <w:rPr>
        <w:noProof/>
      </w:rPr>
      <w:pict w14:anchorId="361D0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491455" o:spid="_x0000_s1027" type="#_x0000_t136" style="position:absolute;left:0;text-align:left;margin-left:0;margin-top:0;width:506.6pt;height:168.85pt;rotation:315;z-index:-251658235;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152882" w:rsidRPr="000D41DA">
      <w:rPr>
        <w:rFonts w:ascii="Frutiger LT Com 45 Light" w:hAnsi="Frutiger LT Com 45 Light"/>
        <w:noProof/>
        <w:lang w:val="nl-BE" w:eastAsia="nl-BE"/>
      </w:rPr>
      <w:drawing>
        <wp:anchor distT="0" distB="0" distL="114300" distR="114300" simplePos="0" relativeHeight="251658241"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302FE2" w:rsidRPr="0085650F" w:rsidRDefault="00152882" w:rsidP="00A711F7">
    <w:pPr>
      <w:pStyle w:val="Noparagraphstyle"/>
      <w:jc w:val="right"/>
      <w:rPr>
        <w:rFonts w:ascii="Verdana" w:hAnsi="Verdana" w:cs="Arial"/>
        <w:i/>
        <w:iCs/>
        <w:color w:val="034EA2"/>
      </w:rPr>
    </w:pPr>
    <w:r w:rsidRPr="00323E1C">
      <w:rPr>
        <w:rFonts w:ascii="Verdana" w:hAnsi="Verdana"/>
      </w:rPr>
      <w:tab/>
    </w:r>
  </w:p>
  <w:p w14:paraId="6A05B2BD" w14:textId="77777777" w:rsidR="00302FE2" w:rsidRPr="00491802" w:rsidRDefault="00302FE2" w:rsidP="00A711F7">
    <w:pPr>
      <w:pStyle w:val="Hlavika"/>
      <w:tabs>
        <w:tab w:val="clear" w:pos="4320"/>
        <w:tab w:val="clear" w:pos="8640"/>
        <w:tab w:val="center" w:pos="0"/>
        <w:tab w:val="right" w:pos="104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4349" w14:textId="5468A349" w:rsidR="00302FE2" w:rsidRPr="00323E1C" w:rsidRDefault="008A5CBD" w:rsidP="00A711F7">
    <w:pPr>
      <w:pStyle w:val="Noparagraphstyle"/>
      <w:jc w:val="right"/>
      <w:rPr>
        <w:rFonts w:ascii="Verdana" w:hAnsi="Verdana"/>
        <w:sz w:val="18"/>
        <w:szCs w:val="18"/>
      </w:rPr>
    </w:pPr>
    <w:r>
      <w:rPr>
        <w:noProof/>
      </w:rPr>
      <w:pict w14:anchorId="506BD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491453" o:spid="_x0000_s1025" type="#_x0000_t136" style="position:absolute;left:0;text-align:left;margin-left:0;margin-top:0;width:506.6pt;height:168.85pt;rotation:315;z-index:-251658237;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152882" w:rsidRPr="000D41DA">
      <w:rPr>
        <w:rFonts w:ascii="Frutiger LT Com 45 Light" w:hAnsi="Frutiger LT Com 45 Light"/>
        <w:noProof/>
        <w:sz w:val="18"/>
        <w:szCs w:val="18"/>
        <w:lang w:val="nl-BE" w:eastAsia="nl-BE"/>
      </w:rPr>
      <w:drawing>
        <wp:anchor distT="0" distB="0" distL="114300" distR="114300" simplePos="0" relativeHeight="251658240"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2081F8F" w14:textId="77777777" w:rsidR="00302FE2" w:rsidRDefault="00302FE2">
    <w:pPr>
      <w:pStyle w:val="Hlavika"/>
    </w:pPr>
  </w:p>
  <w:p w14:paraId="4CAF9B32" w14:textId="77777777" w:rsidR="00302FE2" w:rsidRDefault="00302FE2">
    <w:pPr>
      <w:pStyle w:val="Hlavika"/>
    </w:pPr>
  </w:p>
  <w:p w14:paraId="07E1BCBC" w14:textId="77777777" w:rsidR="00302FE2" w:rsidRDefault="00302FE2">
    <w:pPr>
      <w:pStyle w:val="Hlavika"/>
    </w:pPr>
  </w:p>
  <w:p w14:paraId="28CF5DF4" w14:textId="6A7F323D" w:rsidR="0017261F" w:rsidRDefault="0015288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0" w:name="Draft1st"/>
    <w:bookmarkEnd w:id="0"/>
  </w:p>
  <w:p w14:paraId="3654217F" w14:textId="77777777" w:rsidR="00302FE2" w:rsidRPr="00D74967" w:rsidRDefault="00302FE2" w:rsidP="00A711F7">
    <w:pPr>
      <w:pStyle w:val="CEADraft"/>
      <w:rPr>
        <w:color w:val="002957"/>
        <w:lang w:val="en-US"/>
      </w:rPr>
    </w:pPr>
  </w:p>
  <w:bookmarkStart w:id="1" w:name="Document_title_"/>
  <w:p w14:paraId="48E02457" w14:textId="4EF2B380" w:rsidR="00302FE2" w:rsidRPr="00F91704" w:rsidRDefault="008A5CBD" w:rsidP="00F91704">
    <w:pPr>
      <w:pStyle w:val="CEAPositionPaperTitle"/>
      <w:ind w:left="0"/>
      <w:rPr>
        <w:b w:val="0"/>
        <w:color w:val="002957"/>
        <w:sz w:val="28"/>
        <w:szCs w:val="28"/>
        <w:lang w:val="en-US"/>
      </w:rPr>
    </w:pPr>
    <w:sdt>
      <w:sdtPr>
        <w:rPr>
          <w:b w:val="0"/>
          <w:color w:val="002957"/>
          <w:sz w:val="28"/>
          <w:szCs w:val="28"/>
          <w:lang w:val="en-US"/>
        </w:rPr>
        <w:id w:val="-1374918777"/>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577FE">
          <w:rPr>
            <w:b w:val="0"/>
            <w:color w:val="002957"/>
            <w:sz w:val="28"/>
            <w:szCs w:val="28"/>
            <w:lang w:val="en-US"/>
          </w:rPr>
          <w:t>Insurance Europe Key Messages on the SFDR Framework</w:t>
        </w:r>
      </w:sdtContent>
    </w:sdt>
    <w:bookmarkEnd w:id="1"/>
  </w:p>
  <w:p w14:paraId="59DEEA8E" w14:textId="77777777" w:rsidR="00302FE2" w:rsidRPr="00D74967" w:rsidRDefault="00152882" w:rsidP="00A711F7">
    <w:pPr>
      <w:rPr>
        <w:lang w:val="en-US"/>
      </w:rPr>
    </w:pPr>
    <w:r>
      <w:rPr>
        <w:noProof/>
        <w:lang w:val="nl-BE" w:eastAsia="nl-BE"/>
      </w:rPr>
      <mc:AlternateContent>
        <mc:Choice Requires="wps">
          <w:drawing>
            <wp:anchor distT="0" distB="0" distL="114300" distR="114300" simplePos="0" relativeHeight="251658242" behindDoc="1" locked="1" layoutInCell="1" allowOverlap="1" wp14:anchorId="7F115990" wp14:editId="04D6EFB2">
              <wp:simplePos x="0" y="0"/>
              <wp:positionH relativeFrom="margin">
                <wp:align>left</wp:align>
              </wp:positionH>
              <wp:positionV relativeFrom="paragraph">
                <wp:posOffset>88265</wp:posOffset>
              </wp:positionV>
              <wp:extent cx="6124575" cy="1752600"/>
              <wp:effectExtent l="0" t="0" r="28575"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52600"/>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6D846" id="AutoShape 18" o:spid="_x0000_s1026" style="position:absolute;margin-left:0;margin-top:6.95pt;width:482.25pt;height:138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A711F7" w:rsidRPr="000D41DA" w14:paraId="4B45CDA3" w14:textId="77777777" w:rsidTr="00240F50">
      <w:trPr>
        <w:cantSplit/>
        <w:trHeight w:hRule="exact" w:val="584"/>
      </w:trPr>
      <w:tc>
        <w:tcPr>
          <w:tcW w:w="1536" w:type="dxa"/>
          <w:shd w:val="clear" w:color="auto" w:fill="auto"/>
          <w:vAlign w:val="center"/>
        </w:tcPr>
        <w:p w14:paraId="57D93854" w14:textId="77777777" w:rsidR="00302FE2" w:rsidRPr="0085650F" w:rsidRDefault="00152882" w:rsidP="00A711F7">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rPr>
              <w:color w:val="002957"/>
              <w:sz w:val="17"/>
              <w:szCs w:val="17"/>
            </w:rPr>
            <w:id w:val="-2128765903"/>
            <w:placeholder>
              <w:docPart w:val="DefaultPlaceholder_-1854013440"/>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52DA30" w14:textId="2B33053B" w:rsidR="00302FE2" w:rsidRPr="00585988" w:rsidRDefault="00D93258" w:rsidP="003F5A63">
              <w:pPr>
                <w:jc w:val="left"/>
                <w:rPr>
                  <w:color w:val="002957"/>
                  <w:sz w:val="17"/>
                  <w:szCs w:val="17"/>
                </w:rPr>
              </w:pPr>
              <w:r>
                <w:rPr>
                  <w:color w:val="002957"/>
                  <w:sz w:val="17"/>
                  <w:szCs w:val="17"/>
                </w:rPr>
                <w:t>ECO-CRISF-24-160</w:t>
              </w:r>
            </w:p>
          </w:sdtContent>
        </w:sdt>
      </w:tc>
      <w:tc>
        <w:tcPr>
          <w:tcW w:w="1570" w:type="dxa"/>
          <w:shd w:val="clear" w:color="auto" w:fill="auto"/>
          <w:vAlign w:val="center"/>
        </w:tcPr>
        <w:p w14:paraId="5C893DF3" w14:textId="77777777" w:rsidR="00302FE2" w:rsidRPr="0085650F" w:rsidRDefault="00152882" w:rsidP="00A711F7">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81A7D4E" w14:textId="0BF5F8F9" w:rsidR="00302FE2" w:rsidRPr="00585988" w:rsidRDefault="00711E33" w:rsidP="00A711F7">
          <w:pPr>
            <w:jc w:val="left"/>
            <w:rPr>
              <w:color w:val="002957"/>
              <w:sz w:val="17"/>
              <w:szCs w:val="17"/>
            </w:rPr>
          </w:pPr>
          <w:r>
            <w:rPr>
              <w:color w:val="002957"/>
              <w:sz w:val="17"/>
              <w:szCs w:val="17"/>
            </w:rPr>
            <w:t>1</w:t>
          </w:r>
          <w:r w:rsidR="00B35DE9">
            <w:rPr>
              <w:color w:val="002957"/>
              <w:sz w:val="17"/>
              <w:szCs w:val="17"/>
            </w:rPr>
            <w:t>8</w:t>
          </w:r>
          <w:r w:rsidR="00E704D0">
            <w:rPr>
              <w:color w:val="002957"/>
              <w:sz w:val="17"/>
              <w:szCs w:val="17"/>
            </w:rPr>
            <w:t>-</w:t>
          </w:r>
          <w:r w:rsidR="00112A4E">
            <w:rPr>
              <w:color w:val="002957"/>
              <w:sz w:val="17"/>
              <w:szCs w:val="17"/>
            </w:rPr>
            <w:t>10-</w:t>
          </w:r>
          <w:r w:rsidR="00E704D0">
            <w:rPr>
              <w:color w:val="002957"/>
              <w:sz w:val="17"/>
              <w:szCs w:val="17"/>
            </w:rPr>
            <w:t>2024</w:t>
          </w:r>
        </w:p>
      </w:tc>
    </w:tr>
    <w:tr w:rsidR="003965DE" w:rsidRPr="000D41DA" w14:paraId="71283189" w14:textId="77777777" w:rsidTr="00A711F7">
      <w:trPr>
        <w:cantSplit/>
        <w:trHeight w:hRule="exact" w:val="584"/>
      </w:trPr>
      <w:tc>
        <w:tcPr>
          <w:tcW w:w="1536" w:type="dxa"/>
          <w:shd w:val="clear" w:color="auto" w:fill="auto"/>
          <w:vAlign w:val="center"/>
        </w:tcPr>
        <w:p w14:paraId="4FEEB7D0" w14:textId="77777777" w:rsidR="003965DE" w:rsidRPr="0085650F" w:rsidRDefault="003965DE" w:rsidP="00A711F7">
          <w:pPr>
            <w:pStyle w:val="CEALabel"/>
            <w:rPr>
              <w:b w:val="0"/>
              <w:color w:val="002957"/>
              <w:sz w:val="17"/>
              <w:szCs w:val="17"/>
            </w:rPr>
          </w:pPr>
          <w:r w:rsidRPr="0085650F">
            <w:rPr>
              <w:b w:val="0"/>
              <w:color w:val="002957"/>
              <w:sz w:val="17"/>
              <w:szCs w:val="17"/>
            </w:rPr>
            <w:t>Referring to:</w:t>
          </w:r>
        </w:p>
      </w:tc>
      <w:tc>
        <w:tcPr>
          <w:tcW w:w="8103" w:type="dxa"/>
          <w:gridSpan w:val="3"/>
          <w:shd w:val="clear" w:color="auto" w:fill="auto"/>
          <w:vAlign w:val="center"/>
        </w:tcPr>
        <w:p w14:paraId="74A17591" w14:textId="55BD9BDA" w:rsidR="003965DE" w:rsidRPr="00D663EC" w:rsidRDefault="003965DE" w:rsidP="00D663EC">
          <w:pPr>
            <w:rPr>
              <w:sz w:val="17"/>
              <w:szCs w:val="17"/>
            </w:rPr>
          </w:pPr>
          <w:hyperlink r:id="rId2" w:history="1">
            <w:r>
              <w:rPr>
                <w:rStyle w:val="Hypertextovprepojenie"/>
                <w:sz w:val="17"/>
                <w:szCs w:val="17"/>
              </w:rPr>
              <w:t>Sustainability-related disclosure in the financial services sector</w:t>
            </w:r>
          </w:hyperlink>
          <w:r>
            <w:rPr>
              <w:sz w:val="17"/>
              <w:szCs w:val="17"/>
            </w:rPr>
            <w:t xml:space="preserve"> </w:t>
          </w:r>
        </w:p>
      </w:tc>
    </w:tr>
    <w:tr w:rsidR="00A711F7" w:rsidRPr="000D41DA" w14:paraId="07D47AE0" w14:textId="77777777" w:rsidTr="00240F50">
      <w:trPr>
        <w:cantSplit/>
        <w:trHeight w:hRule="exact" w:val="584"/>
      </w:trPr>
      <w:tc>
        <w:tcPr>
          <w:tcW w:w="1536" w:type="dxa"/>
          <w:shd w:val="clear" w:color="auto" w:fill="auto"/>
          <w:vAlign w:val="center"/>
        </w:tcPr>
        <w:p w14:paraId="4A965280" w14:textId="77777777" w:rsidR="00302FE2" w:rsidRPr="0085650F" w:rsidRDefault="00152882" w:rsidP="00A711F7">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03E7DCB9" w14:textId="79C241D3" w:rsidR="00302FE2" w:rsidRPr="00585988" w:rsidRDefault="00E704D0" w:rsidP="00A711F7">
          <w:pPr>
            <w:jc w:val="left"/>
            <w:rPr>
              <w:color w:val="002957"/>
              <w:sz w:val="17"/>
              <w:szCs w:val="17"/>
            </w:rPr>
          </w:pPr>
          <w:r>
            <w:rPr>
              <w:color w:val="002957"/>
              <w:sz w:val="17"/>
              <w:szCs w:val="17"/>
            </w:rPr>
            <w:t>Luca Motta</w:t>
          </w:r>
          <w:r w:rsidR="00DE0A2F" w:rsidRPr="00DE0A2F">
            <w:rPr>
              <w:color w:val="002957"/>
              <w:sz w:val="17"/>
              <w:szCs w:val="17"/>
            </w:rPr>
            <w:t xml:space="preserve"> </w:t>
          </w:r>
        </w:p>
      </w:tc>
      <w:tc>
        <w:tcPr>
          <w:tcW w:w="1570" w:type="dxa"/>
          <w:shd w:val="clear" w:color="auto" w:fill="auto"/>
          <w:vAlign w:val="center"/>
        </w:tcPr>
        <w:p w14:paraId="710B5A54" w14:textId="77777777" w:rsidR="00302FE2" w:rsidRPr="0085650F" w:rsidRDefault="00152882" w:rsidP="00A711F7">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5B954066" w14:textId="18616ADC" w:rsidR="00302FE2" w:rsidRPr="00585988" w:rsidRDefault="00E704D0" w:rsidP="00A711F7">
          <w:pPr>
            <w:jc w:val="left"/>
            <w:rPr>
              <w:color w:val="002957"/>
              <w:sz w:val="17"/>
              <w:szCs w:val="17"/>
            </w:rPr>
          </w:pPr>
          <w:r>
            <w:rPr>
              <w:color w:val="002957"/>
              <w:sz w:val="17"/>
              <w:szCs w:val="17"/>
            </w:rPr>
            <w:t>motta@insuranceeurope.eu</w:t>
          </w:r>
        </w:p>
      </w:tc>
    </w:tr>
    <w:tr w:rsidR="00A711F7" w:rsidRPr="000D41DA" w14:paraId="605BBAF5" w14:textId="77777777" w:rsidTr="00240F50">
      <w:trPr>
        <w:cantSplit/>
        <w:trHeight w:hRule="exact" w:val="584"/>
      </w:trPr>
      <w:tc>
        <w:tcPr>
          <w:tcW w:w="1536" w:type="dxa"/>
          <w:shd w:val="clear" w:color="auto" w:fill="auto"/>
          <w:vAlign w:val="center"/>
        </w:tcPr>
        <w:p w14:paraId="7D7A937A" w14:textId="77777777" w:rsidR="00302FE2" w:rsidRPr="0085650F" w:rsidRDefault="00152882" w:rsidP="00A711F7">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6278A0AF" w14:textId="77777777" w:rsidR="00302FE2" w:rsidRPr="00585988" w:rsidRDefault="00152882" w:rsidP="00A711F7">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9F36CD">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48B95308" w14:textId="77777777" w:rsidR="00302FE2" w:rsidRPr="00585988" w:rsidRDefault="00974483" w:rsidP="00A711F7">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6" w:type="dxa"/>
          <w:shd w:val="clear" w:color="auto" w:fill="auto"/>
          <w:vAlign w:val="center"/>
        </w:tcPr>
        <w:p w14:paraId="08B3449C" w14:textId="77777777" w:rsidR="00302FE2" w:rsidRPr="00585988" w:rsidRDefault="00152882" w:rsidP="00A711F7">
          <w:pPr>
            <w:rPr>
              <w:color w:val="002957"/>
              <w:sz w:val="17"/>
              <w:szCs w:val="17"/>
            </w:rPr>
          </w:pPr>
          <w:r w:rsidRPr="00585988">
            <w:rPr>
              <w:rFonts w:cs="Tahoma"/>
              <w:color w:val="002957"/>
              <w:sz w:val="17"/>
              <w:szCs w:val="17"/>
            </w:rPr>
            <w:t>33213703459-54</w:t>
          </w:r>
        </w:p>
      </w:tc>
    </w:tr>
  </w:tbl>
  <w:p w14:paraId="0299F3F5" w14:textId="77777777" w:rsidR="00302FE2" w:rsidRPr="000D41DA" w:rsidRDefault="00302FE2" w:rsidP="002047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6803"/>
    <w:multiLevelType w:val="hybridMultilevel"/>
    <w:tmpl w:val="EF0A0C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601119B"/>
    <w:multiLevelType w:val="hybridMultilevel"/>
    <w:tmpl w:val="17D819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3666131E"/>
    <w:multiLevelType w:val="hybridMultilevel"/>
    <w:tmpl w:val="14382A7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5" w15:restartNumberingAfterBreak="0">
    <w:nsid w:val="458837F9"/>
    <w:multiLevelType w:val="hybridMultilevel"/>
    <w:tmpl w:val="0B9CC38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A58393B"/>
    <w:multiLevelType w:val="hybridMultilevel"/>
    <w:tmpl w:val="794A9B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597BE9"/>
    <w:multiLevelType w:val="hybridMultilevel"/>
    <w:tmpl w:val="AC0249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33F0D0D"/>
    <w:multiLevelType w:val="hybridMultilevel"/>
    <w:tmpl w:val="9FA039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755904464">
    <w:abstractNumId w:val="7"/>
  </w:num>
  <w:num w:numId="2" w16cid:durableId="1130128904">
    <w:abstractNumId w:val="2"/>
  </w:num>
  <w:num w:numId="3" w16cid:durableId="308679419">
    <w:abstractNumId w:val="4"/>
  </w:num>
  <w:num w:numId="4" w16cid:durableId="2051104036">
    <w:abstractNumId w:val="0"/>
  </w:num>
  <w:num w:numId="5" w16cid:durableId="684328419">
    <w:abstractNumId w:val="1"/>
  </w:num>
  <w:num w:numId="6" w16cid:durableId="1470320814">
    <w:abstractNumId w:val="8"/>
  </w:num>
  <w:num w:numId="7" w16cid:durableId="1462768559">
    <w:abstractNumId w:val="6"/>
  </w:num>
  <w:num w:numId="8" w16cid:durableId="902300377">
    <w:abstractNumId w:val="9"/>
  </w:num>
  <w:num w:numId="9" w16cid:durableId="2035497879">
    <w:abstractNumId w:val="5"/>
  </w:num>
  <w:num w:numId="10" w16cid:durableId="529030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42E1"/>
    <w:rsid w:val="000053EB"/>
    <w:rsid w:val="000114BF"/>
    <w:rsid w:val="0001368C"/>
    <w:rsid w:val="00014AD8"/>
    <w:rsid w:val="00016802"/>
    <w:rsid w:val="00017E2D"/>
    <w:rsid w:val="00020124"/>
    <w:rsid w:val="00021914"/>
    <w:rsid w:val="000236AF"/>
    <w:rsid w:val="00023CDF"/>
    <w:rsid w:val="00024518"/>
    <w:rsid w:val="00025194"/>
    <w:rsid w:val="000277CC"/>
    <w:rsid w:val="00030D7F"/>
    <w:rsid w:val="00031EE6"/>
    <w:rsid w:val="00035F74"/>
    <w:rsid w:val="00037516"/>
    <w:rsid w:val="00040DF0"/>
    <w:rsid w:val="00040E1A"/>
    <w:rsid w:val="00043043"/>
    <w:rsid w:val="000432AD"/>
    <w:rsid w:val="00043634"/>
    <w:rsid w:val="0004522B"/>
    <w:rsid w:val="00046597"/>
    <w:rsid w:val="000478BE"/>
    <w:rsid w:val="00051111"/>
    <w:rsid w:val="00052686"/>
    <w:rsid w:val="00054251"/>
    <w:rsid w:val="00054D15"/>
    <w:rsid w:val="00057775"/>
    <w:rsid w:val="0006143E"/>
    <w:rsid w:val="00061FDE"/>
    <w:rsid w:val="000628C7"/>
    <w:rsid w:val="00063CA3"/>
    <w:rsid w:val="000645D8"/>
    <w:rsid w:val="000710B5"/>
    <w:rsid w:val="00072C3A"/>
    <w:rsid w:val="00076D6D"/>
    <w:rsid w:val="0008022A"/>
    <w:rsid w:val="0008034A"/>
    <w:rsid w:val="0008259F"/>
    <w:rsid w:val="00082A9E"/>
    <w:rsid w:val="00083FF9"/>
    <w:rsid w:val="00084F5C"/>
    <w:rsid w:val="00085A0B"/>
    <w:rsid w:val="00085E02"/>
    <w:rsid w:val="000864B3"/>
    <w:rsid w:val="00092295"/>
    <w:rsid w:val="00093600"/>
    <w:rsid w:val="00094E3D"/>
    <w:rsid w:val="00097CD9"/>
    <w:rsid w:val="000A06BD"/>
    <w:rsid w:val="000A0B71"/>
    <w:rsid w:val="000A0C12"/>
    <w:rsid w:val="000A15D8"/>
    <w:rsid w:val="000A26A4"/>
    <w:rsid w:val="000A2D85"/>
    <w:rsid w:val="000A36F2"/>
    <w:rsid w:val="000A48AD"/>
    <w:rsid w:val="000A5912"/>
    <w:rsid w:val="000B16C6"/>
    <w:rsid w:val="000B2992"/>
    <w:rsid w:val="000B4B34"/>
    <w:rsid w:val="000B7AAE"/>
    <w:rsid w:val="000C12DA"/>
    <w:rsid w:val="000C1F9D"/>
    <w:rsid w:val="000C27FE"/>
    <w:rsid w:val="000C4E66"/>
    <w:rsid w:val="000D3A9E"/>
    <w:rsid w:val="000D58F0"/>
    <w:rsid w:val="000E0645"/>
    <w:rsid w:val="000E0F65"/>
    <w:rsid w:val="000E3E2C"/>
    <w:rsid w:val="000E5065"/>
    <w:rsid w:val="000E5310"/>
    <w:rsid w:val="000F1E47"/>
    <w:rsid w:val="000F2065"/>
    <w:rsid w:val="000F35EF"/>
    <w:rsid w:val="000F63CF"/>
    <w:rsid w:val="000F7278"/>
    <w:rsid w:val="00100EDB"/>
    <w:rsid w:val="00101BC5"/>
    <w:rsid w:val="001028BD"/>
    <w:rsid w:val="0010294A"/>
    <w:rsid w:val="0010319C"/>
    <w:rsid w:val="00104BEE"/>
    <w:rsid w:val="00112A4E"/>
    <w:rsid w:val="00113889"/>
    <w:rsid w:val="001144C8"/>
    <w:rsid w:val="00115ACC"/>
    <w:rsid w:val="0011678F"/>
    <w:rsid w:val="001217C6"/>
    <w:rsid w:val="00121F47"/>
    <w:rsid w:val="001224B4"/>
    <w:rsid w:val="001235F4"/>
    <w:rsid w:val="001243D7"/>
    <w:rsid w:val="0012469D"/>
    <w:rsid w:val="001253C9"/>
    <w:rsid w:val="00125BF5"/>
    <w:rsid w:val="00125FCE"/>
    <w:rsid w:val="001271F4"/>
    <w:rsid w:val="00134661"/>
    <w:rsid w:val="00134AF0"/>
    <w:rsid w:val="00136836"/>
    <w:rsid w:val="00137955"/>
    <w:rsid w:val="001427E2"/>
    <w:rsid w:val="00143BF0"/>
    <w:rsid w:val="001441E6"/>
    <w:rsid w:val="00146551"/>
    <w:rsid w:val="00146B8A"/>
    <w:rsid w:val="00146D4B"/>
    <w:rsid w:val="0015047D"/>
    <w:rsid w:val="00152882"/>
    <w:rsid w:val="00154BF5"/>
    <w:rsid w:val="00155227"/>
    <w:rsid w:val="001565F3"/>
    <w:rsid w:val="00156AA5"/>
    <w:rsid w:val="001570B9"/>
    <w:rsid w:val="00157549"/>
    <w:rsid w:val="001633FF"/>
    <w:rsid w:val="00163682"/>
    <w:rsid w:val="00164714"/>
    <w:rsid w:val="00166F81"/>
    <w:rsid w:val="0017261F"/>
    <w:rsid w:val="00172B02"/>
    <w:rsid w:val="00172B3C"/>
    <w:rsid w:val="001763DE"/>
    <w:rsid w:val="00177370"/>
    <w:rsid w:val="0018010A"/>
    <w:rsid w:val="00180A81"/>
    <w:rsid w:val="001856DD"/>
    <w:rsid w:val="00185AD5"/>
    <w:rsid w:val="0018661C"/>
    <w:rsid w:val="0019012A"/>
    <w:rsid w:val="00192A08"/>
    <w:rsid w:val="00193153"/>
    <w:rsid w:val="001944F4"/>
    <w:rsid w:val="001A237F"/>
    <w:rsid w:val="001A25F8"/>
    <w:rsid w:val="001A5BDB"/>
    <w:rsid w:val="001A697E"/>
    <w:rsid w:val="001A6AE4"/>
    <w:rsid w:val="001B00FC"/>
    <w:rsid w:val="001B136E"/>
    <w:rsid w:val="001B36D3"/>
    <w:rsid w:val="001B3DF3"/>
    <w:rsid w:val="001B4AB3"/>
    <w:rsid w:val="001C1C73"/>
    <w:rsid w:val="001C22ED"/>
    <w:rsid w:val="001C4BC0"/>
    <w:rsid w:val="001C764D"/>
    <w:rsid w:val="001D04A6"/>
    <w:rsid w:val="001D10D8"/>
    <w:rsid w:val="001D1642"/>
    <w:rsid w:val="001D4580"/>
    <w:rsid w:val="001D5384"/>
    <w:rsid w:val="001D6DB3"/>
    <w:rsid w:val="001E1E4E"/>
    <w:rsid w:val="001E44F6"/>
    <w:rsid w:val="001E53E2"/>
    <w:rsid w:val="001E644D"/>
    <w:rsid w:val="001E7B58"/>
    <w:rsid w:val="001F0298"/>
    <w:rsid w:val="001F0722"/>
    <w:rsid w:val="001F3749"/>
    <w:rsid w:val="001F6969"/>
    <w:rsid w:val="00200603"/>
    <w:rsid w:val="0020088F"/>
    <w:rsid w:val="00201BCF"/>
    <w:rsid w:val="00201FE2"/>
    <w:rsid w:val="00204737"/>
    <w:rsid w:val="00204AB5"/>
    <w:rsid w:val="00210474"/>
    <w:rsid w:val="002141BD"/>
    <w:rsid w:val="00215CED"/>
    <w:rsid w:val="00216895"/>
    <w:rsid w:val="0021754C"/>
    <w:rsid w:val="00223007"/>
    <w:rsid w:val="00223CFE"/>
    <w:rsid w:val="00224657"/>
    <w:rsid w:val="00224822"/>
    <w:rsid w:val="00224940"/>
    <w:rsid w:val="00224BBE"/>
    <w:rsid w:val="002271C1"/>
    <w:rsid w:val="00233E94"/>
    <w:rsid w:val="002379B4"/>
    <w:rsid w:val="00240773"/>
    <w:rsid w:val="00240F50"/>
    <w:rsid w:val="00246EF7"/>
    <w:rsid w:val="002500FD"/>
    <w:rsid w:val="00250193"/>
    <w:rsid w:val="002506FC"/>
    <w:rsid w:val="00252BD3"/>
    <w:rsid w:val="002533EF"/>
    <w:rsid w:val="00253EF4"/>
    <w:rsid w:val="002566A6"/>
    <w:rsid w:val="00256C14"/>
    <w:rsid w:val="00257322"/>
    <w:rsid w:val="002608C6"/>
    <w:rsid w:val="00260EC4"/>
    <w:rsid w:val="00261545"/>
    <w:rsid w:val="002629F0"/>
    <w:rsid w:val="002634A8"/>
    <w:rsid w:val="00263AF4"/>
    <w:rsid w:val="00267FDC"/>
    <w:rsid w:val="00272792"/>
    <w:rsid w:val="0027399F"/>
    <w:rsid w:val="00273B8A"/>
    <w:rsid w:val="0027411C"/>
    <w:rsid w:val="00274A55"/>
    <w:rsid w:val="00276093"/>
    <w:rsid w:val="00276979"/>
    <w:rsid w:val="00282EF8"/>
    <w:rsid w:val="00283E30"/>
    <w:rsid w:val="002858A7"/>
    <w:rsid w:val="002861E7"/>
    <w:rsid w:val="0028731E"/>
    <w:rsid w:val="00291C92"/>
    <w:rsid w:val="002933FF"/>
    <w:rsid w:val="00293BF8"/>
    <w:rsid w:val="00297224"/>
    <w:rsid w:val="00297B34"/>
    <w:rsid w:val="002A4AF5"/>
    <w:rsid w:val="002A5431"/>
    <w:rsid w:val="002B1A7C"/>
    <w:rsid w:val="002B20E0"/>
    <w:rsid w:val="002B2A78"/>
    <w:rsid w:val="002B2B3B"/>
    <w:rsid w:val="002C1E8F"/>
    <w:rsid w:val="002C4ECF"/>
    <w:rsid w:val="002C53CA"/>
    <w:rsid w:val="002C7C14"/>
    <w:rsid w:val="002C7E85"/>
    <w:rsid w:val="002D5C39"/>
    <w:rsid w:val="002D5F82"/>
    <w:rsid w:val="002D6C2A"/>
    <w:rsid w:val="002D7E30"/>
    <w:rsid w:val="002E0CD6"/>
    <w:rsid w:val="002E4D36"/>
    <w:rsid w:val="002E5C0A"/>
    <w:rsid w:val="002E7636"/>
    <w:rsid w:val="002F062B"/>
    <w:rsid w:val="002F12C5"/>
    <w:rsid w:val="002F285A"/>
    <w:rsid w:val="002F3BC6"/>
    <w:rsid w:val="002F6082"/>
    <w:rsid w:val="00301831"/>
    <w:rsid w:val="0030252F"/>
    <w:rsid w:val="00302532"/>
    <w:rsid w:val="00302FE2"/>
    <w:rsid w:val="003072FC"/>
    <w:rsid w:val="00307C2B"/>
    <w:rsid w:val="003109AD"/>
    <w:rsid w:val="00313A83"/>
    <w:rsid w:val="00316C56"/>
    <w:rsid w:val="00320447"/>
    <w:rsid w:val="0032055A"/>
    <w:rsid w:val="00322ACE"/>
    <w:rsid w:val="00324052"/>
    <w:rsid w:val="0032525F"/>
    <w:rsid w:val="003257A3"/>
    <w:rsid w:val="00330049"/>
    <w:rsid w:val="00330734"/>
    <w:rsid w:val="003330CA"/>
    <w:rsid w:val="00333BED"/>
    <w:rsid w:val="00336C1B"/>
    <w:rsid w:val="003372A3"/>
    <w:rsid w:val="00340542"/>
    <w:rsid w:val="00342747"/>
    <w:rsid w:val="00345B70"/>
    <w:rsid w:val="00346792"/>
    <w:rsid w:val="0034782C"/>
    <w:rsid w:val="00347DE6"/>
    <w:rsid w:val="00350A91"/>
    <w:rsid w:val="003539F5"/>
    <w:rsid w:val="00355CF4"/>
    <w:rsid w:val="00356201"/>
    <w:rsid w:val="00361019"/>
    <w:rsid w:val="00362110"/>
    <w:rsid w:val="00363C8B"/>
    <w:rsid w:val="00364DD4"/>
    <w:rsid w:val="00367865"/>
    <w:rsid w:val="003715C9"/>
    <w:rsid w:val="00376BC7"/>
    <w:rsid w:val="00376D9B"/>
    <w:rsid w:val="0038216F"/>
    <w:rsid w:val="00382549"/>
    <w:rsid w:val="00382F7E"/>
    <w:rsid w:val="0038439F"/>
    <w:rsid w:val="003915FE"/>
    <w:rsid w:val="0039293F"/>
    <w:rsid w:val="00394744"/>
    <w:rsid w:val="00394977"/>
    <w:rsid w:val="003965DE"/>
    <w:rsid w:val="003A2416"/>
    <w:rsid w:val="003A5104"/>
    <w:rsid w:val="003A574F"/>
    <w:rsid w:val="003A6DF7"/>
    <w:rsid w:val="003B2EDD"/>
    <w:rsid w:val="003B3CB3"/>
    <w:rsid w:val="003B461B"/>
    <w:rsid w:val="003B4EBD"/>
    <w:rsid w:val="003B54F9"/>
    <w:rsid w:val="003B6BA7"/>
    <w:rsid w:val="003C13C0"/>
    <w:rsid w:val="003C2780"/>
    <w:rsid w:val="003C5709"/>
    <w:rsid w:val="003D0095"/>
    <w:rsid w:val="003D0236"/>
    <w:rsid w:val="003D2C75"/>
    <w:rsid w:val="003D448B"/>
    <w:rsid w:val="003D54FA"/>
    <w:rsid w:val="003D6EF8"/>
    <w:rsid w:val="003D7569"/>
    <w:rsid w:val="003E007A"/>
    <w:rsid w:val="003E7BCA"/>
    <w:rsid w:val="003F0C28"/>
    <w:rsid w:val="003F1C1B"/>
    <w:rsid w:val="003F3816"/>
    <w:rsid w:val="003F4951"/>
    <w:rsid w:val="003F522E"/>
    <w:rsid w:val="003F5A63"/>
    <w:rsid w:val="0040736D"/>
    <w:rsid w:val="00407B3E"/>
    <w:rsid w:val="0041026F"/>
    <w:rsid w:val="00412BA8"/>
    <w:rsid w:val="00415356"/>
    <w:rsid w:val="004157BE"/>
    <w:rsid w:val="004164CD"/>
    <w:rsid w:val="004177B6"/>
    <w:rsid w:val="0042368E"/>
    <w:rsid w:val="00424DEC"/>
    <w:rsid w:val="00426362"/>
    <w:rsid w:val="00430857"/>
    <w:rsid w:val="00432E4B"/>
    <w:rsid w:val="004364EB"/>
    <w:rsid w:val="0044074B"/>
    <w:rsid w:val="00440A0C"/>
    <w:rsid w:val="00440F5F"/>
    <w:rsid w:val="00440FEE"/>
    <w:rsid w:val="00441DCA"/>
    <w:rsid w:val="00444C91"/>
    <w:rsid w:val="00460721"/>
    <w:rsid w:val="00462A0F"/>
    <w:rsid w:val="00463069"/>
    <w:rsid w:val="00466901"/>
    <w:rsid w:val="004703FE"/>
    <w:rsid w:val="0047500B"/>
    <w:rsid w:val="004767F9"/>
    <w:rsid w:val="00477E03"/>
    <w:rsid w:val="004826B3"/>
    <w:rsid w:val="00484938"/>
    <w:rsid w:val="00485962"/>
    <w:rsid w:val="00487479"/>
    <w:rsid w:val="00495AC5"/>
    <w:rsid w:val="004960F5"/>
    <w:rsid w:val="004A1E95"/>
    <w:rsid w:val="004B1CD4"/>
    <w:rsid w:val="004B46D6"/>
    <w:rsid w:val="004B6163"/>
    <w:rsid w:val="004B6452"/>
    <w:rsid w:val="004C1F40"/>
    <w:rsid w:val="004C304B"/>
    <w:rsid w:val="004C68A8"/>
    <w:rsid w:val="004C693C"/>
    <w:rsid w:val="004D188B"/>
    <w:rsid w:val="004D239B"/>
    <w:rsid w:val="004D5A01"/>
    <w:rsid w:val="004D69FF"/>
    <w:rsid w:val="004D6D42"/>
    <w:rsid w:val="004E13AB"/>
    <w:rsid w:val="004E169E"/>
    <w:rsid w:val="004E50A0"/>
    <w:rsid w:val="004E5207"/>
    <w:rsid w:val="004E5965"/>
    <w:rsid w:val="004E6BD7"/>
    <w:rsid w:val="004F0259"/>
    <w:rsid w:val="004F03C3"/>
    <w:rsid w:val="004F4CBC"/>
    <w:rsid w:val="004F5C0B"/>
    <w:rsid w:val="004F6C5C"/>
    <w:rsid w:val="00501395"/>
    <w:rsid w:val="00501FAB"/>
    <w:rsid w:val="00504193"/>
    <w:rsid w:val="0050752C"/>
    <w:rsid w:val="005203E1"/>
    <w:rsid w:val="00520E3B"/>
    <w:rsid w:val="0052148F"/>
    <w:rsid w:val="005227DB"/>
    <w:rsid w:val="00522BC9"/>
    <w:rsid w:val="00522D50"/>
    <w:rsid w:val="00525E4C"/>
    <w:rsid w:val="00526A80"/>
    <w:rsid w:val="00530CEA"/>
    <w:rsid w:val="00533A38"/>
    <w:rsid w:val="005369E4"/>
    <w:rsid w:val="00541246"/>
    <w:rsid w:val="00542B39"/>
    <w:rsid w:val="0055059B"/>
    <w:rsid w:val="005577FE"/>
    <w:rsid w:val="00557D1C"/>
    <w:rsid w:val="0056137C"/>
    <w:rsid w:val="00562FB7"/>
    <w:rsid w:val="00563576"/>
    <w:rsid w:val="005645C4"/>
    <w:rsid w:val="00567BE1"/>
    <w:rsid w:val="00567C18"/>
    <w:rsid w:val="00567E1F"/>
    <w:rsid w:val="00573340"/>
    <w:rsid w:val="00573903"/>
    <w:rsid w:val="005757FA"/>
    <w:rsid w:val="005759DC"/>
    <w:rsid w:val="00577FC9"/>
    <w:rsid w:val="005800BA"/>
    <w:rsid w:val="00580C39"/>
    <w:rsid w:val="00583044"/>
    <w:rsid w:val="00584E5F"/>
    <w:rsid w:val="00585FC7"/>
    <w:rsid w:val="0058783B"/>
    <w:rsid w:val="00591014"/>
    <w:rsid w:val="00592FAD"/>
    <w:rsid w:val="00594FEC"/>
    <w:rsid w:val="00595F78"/>
    <w:rsid w:val="005A298F"/>
    <w:rsid w:val="005A626D"/>
    <w:rsid w:val="005A7FA6"/>
    <w:rsid w:val="005B1E9D"/>
    <w:rsid w:val="005B21A1"/>
    <w:rsid w:val="005B2806"/>
    <w:rsid w:val="005B3212"/>
    <w:rsid w:val="005C2E0B"/>
    <w:rsid w:val="005C3036"/>
    <w:rsid w:val="005C3B0D"/>
    <w:rsid w:val="005C4155"/>
    <w:rsid w:val="005C4947"/>
    <w:rsid w:val="005C6D5C"/>
    <w:rsid w:val="005D179C"/>
    <w:rsid w:val="005D3924"/>
    <w:rsid w:val="005D61C5"/>
    <w:rsid w:val="005D6514"/>
    <w:rsid w:val="005E400F"/>
    <w:rsid w:val="005E47FC"/>
    <w:rsid w:val="005E4BA8"/>
    <w:rsid w:val="005E64E6"/>
    <w:rsid w:val="005F102B"/>
    <w:rsid w:val="005F321A"/>
    <w:rsid w:val="005F6BCF"/>
    <w:rsid w:val="005F7533"/>
    <w:rsid w:val="005F7F7E"/>
    <w:rsid w:val="0061020C"/>
    <w:rsid w:val="00611AE6"/>
    <w:rsid w:val="006150FA"/>
    <w:rsid w:val="006172CA"/>
    <w:rsid w:val="00620FC9"/>
    <w:rsid w:val="00621821"/>
    <w:rsid w:val="00621E81"/>
    <w:rsid w:val="0062599C"/>
    <w:rsid w:val="00630000"/>
    <w:rsid w:val="006314A9"/>
    <w:rsid w:val="00635DE2"/>
    <w:rsid w:val="006361D5"/>
    <w:rsid w:val="00637077"/>
    <w:rsid w:val="0064159A"/>
    <w:rsid w:val="00644B71"/>
    <w:rsid w:val="00647B79"/>
    <w:rsid w:val="00647D42"/>
    <w:rsid w:val="00650468"/>
    <w:rsid w:val="00653D99"/>
    <w:rsid w:val="00661A1C"/>
    <w:rsid w:val="00664C1E"/>
    <w:rsid w:val="00675925"/>
    <w:rsid w:val="0068325B"/>
    <w:rsid w:val="006872E3"/>
    <w:rsid w:val="00692DBA"/>
    <w:rsid w:val="006A01E7"/>
    <w:rsid w:val="006A1CD2"/>
    <w:rsid w:val="006A57AD"/>
    <w:rsid w:val="006B2491"/>
    <w:rsid w:val="006B593B"/>
    <w:rsid w:val="006B7BE0"/>
    <w:rsid w:val="006C282B"/>
    <w:rsid w:val="006C2CC1"/>
    <w:rsid w:val="006C41A7"/>
    <w:rsid w:val="006C4AA2"/>
    <w:rsid w:val="006D0905"/>
    <w:rsid w:val="006D3F5D"/>
    <w:rsid w:val="006D4D52"/>
    <w:rsid w:val="006E146B"/>
    <w:rsid w:val="006E41F1"/>
    <w:rsid w:val="006E4A32"/>
    <w:rsid w:val="006F3815"/>
    <w:rsid w:val="006F58D0"/>
    <w:rsid w:val="006F5F77"/>
    <w:rsid w:val="00701F70"/>
    <w:rsid w:val="00704E43"/>
    <w:rsid w:val="007067BF"/>
    <w:rsid w:val="00711E33"/>
    <w:rsid w:val="0071269A"/>
    <w:rsid w:val="00712EB0"/>
    <w:rsid w:val="00720D7A"/>
    <w:rsid w:val="00722A0D"/>
    <w:rsid w:val="00726D9B"/>
    <w:rsid w:val="00730A1C"/>
    <w:rsid w:val="007328CB"/>
    <w:rsid w:val="00734CEA"/>
    <w:rsid w:val="00744D73"/>
    <w:rsid w:val="0074517B"/>
    <w:rsid w:val="00745E85"/>
    <w:rsid w:val="00752590"/>
    <w:rsid w:val="007565AA"/>
    <w:rsid w:val="00756AD5"/>
    <w:rsid w:val="00761244"/>
    <w:rsid w:val="00762DFC"/>
    <w:rsid w:val="007645F7"/>
    <w:rsid w:val="00764C9F"/>
    <w:rsid w:val="00764DB3"/>
    <w:rsid w:val="00766BFE"/>
    <w:rsid w:val="00772EB4"/>
    <w:rsid w:val="007744D6"/>
    <w:rsid w:val="007748EE"/>
    <w:rsid w:val="00774DFE"/>
    <w:rsid w:val="00776086"/>
    <w:rsid w:val="00776456"/>
    <w:rsid w:val="007778D3"/>
    <w:rsid w:val="0078109B"/>
    <w:rsid w:val="00783171"/>
    <w:rsid w:val="00786442"/>
    <w:rsid w:val="00787CD4"/>
    <w:rsid w:val="00790752"/>
    <w:rsid w:val="007944E0"/>
    <w:rsid w:val="00795259"/>
    <w:rsid w:val="00796F29"/>
    <w:rsid w:val="007B00AD"/>
    <w:rsid w:val="007B05A5"/>
    <w:rsid w:val="007B2EF6"/>
    <w:rsid w:val="007B3A8A"/>
    <w:rsid w:val="007B4163"/>
    <w:rsid w:val="007B5ED9"/>
    <w:rsid w:val="007B64EA"/>
    <w:rsid w:val="007B7FB8"/>
    <w:rsid w:val="007C02E9"/>
    <w:rsid w:val="007C0800"/>
    <w:rsid w:val="007C39B2"/>
    <w:rsid w:val="007C4EE5"/>
    <w:rsid w:val="007D07D7"/>
    <w:rsid w:val="007D22F9"/>
    <w:rsid w:val="007D2A0F"/>
    <w:rsid w:val="007D35B3"/>
    <w:rsid w:val="007D5B59"/>
    <w:rsid w:val="007D7940"/>
    <w:rsid w:val="007D7D62"/>
    <w:rsid w:val="007E431F"/>
    <w:rsid w:val="007E43F4"/>
    <w:rsid w:val="007E76AD"/>
    <w:rsid w:val="007F0787"/>
    <w:rsid w:val="007F13D2"/>
    <w:rsid w:val="007F1D86"/>
    <w:rsid w:val="007F1FEB"/>
    <w:rsid w:val="007F39AF"/>
    <w:rsid w:val="007F6013"/>
    <w:rsid w:val="0080137E"/>
    <w:rsid w:val="0080472E"/>
    <w:rsid w:val="00805B75"/>
    <w:rsid w:val="008112AE"/>
    <w:rsid w:val="00815288"/>
    <w:rsid w:val="008217F2"/>
    <w:rsid w:val="00823EAF"/>
    <w:rsid w:val="00825DAE"/>
    <w:rsid w:val="008310A0"/>
    <w:rsid w:val="00831E3C"/>
    <w:rsid w:val="00833A33"/>
    <w:rsid w:val="00834E01"/>
    <w:rsid w:val="00835C38"/>
    <w:rsid w:val="008376D1"/>
    <w:rsid w:val="008377C4"/>
    <w:rsid w:val="00837BAC"/>
    <w:rsid w:val="00843406"/>
    <w:rsid w:val="00844A2D"/>
    <w:rsid w:val="00855332"/>
    <w:rsid w:val="00857EC5"/>
    <w:rsid w:val="00861264"/>
    <w:rsid w:val="00864645"/>
    <w:rsid w:val="00864A34"/>
    <w:rsid w:val="00872E0C"/>
    <w:rsid w:val="00877416"/>
    <w:rsid w:val="00884DD2"/>
    <w:rsid w:val="008912AB"/>
    <w:rsid w:val="0089181C"/>
    <w:rsid w:val="00897D38"/>
    <w:rsid w:val="008A0103"/>
    <w:rsid w:val="008A03C7"/>
    <w:rsid w:val="008A2E1B"/>
    <w:rsid w:val="008A4702"/>
    <w:rsid w:val="008A5515"/>
    <w:rsid w:val="008A5CBD"/>
    <w:rsid w:val="008A616C"/>
    <w:rsid w:val="008B2C0E"/>
    <w:rsid w:val="008B4075"/>
    <w:rsid w:val="008C04E9"/>
    <w:rsid w:val="008C374A"/>
    <w:rsid w:val="008C7461"/>
    <w:rsid w:val="008C7E5B"/>
    <w:rsid w:val="008D364E"/>
    <w:rsid w:val="008D4773"/>
    <w:rsid w:val="008D5D8A"/>
    <w:rsid w:val="008D64A8"/>
    <w:rsid w:val="008D7376"/>
    <w:rsid w:val="008E1C5F"/>
    <w:rsid w:val="008E5C9A"/>
    <w:rsid w:val="008E778D"/>
    <w:rsid w:val="008E7A1D"/>
    <w:rsid w:val="008F0984"/>
    <w:rsid w:val="008F2892"/>
    <w:rsid w:val="008F57D6"/>
    <w:rsid w:val="00904135"/>
    <w:rsid w:val="009104E4"/>
    <w:rsid w:val="009160BB"/>
    <w:rsid w:val="00916449"/>
    <w:rsid w:val="00917981"/>
    <w:rsid w:val="0092103D"/>
    <w:rsid w:val="00921673"/>
    <w:rsid w:val="009267D5"/>
    <w:rsid w:val="00931180"/>
    <w:rsid w:val="009322DC"/>
    <w:rsid w:val="009331F6"/>
    <w:rsid w:val="009352DE"/>
    <w:rsid w:val="009375F9"/>
    <w:rsid w:val="00940815"/>
    <w:rsid w:val="00940EC7"/>
    <w:rsid w:val="009468D0"/>
    <w:rsid w:val="00946CC4"/>
    <w:rsid w:val="00950063"/>
    <w:rsid w:val="009573AE"/>
    <w:rsid w:val="009633EE"/>
    <w:rsid w:val="00964007"/>
    <w:rsid w:val="00967595"/>
    <w:rsid w:val="00967DFC"/>
    <w:rsid w:val="009728B6"/>
    <w:rsid w:val="00974483"/>
    <w:rsid w:val="00976AE0"/>
    <w:rsid w:val="0097725B"/>
    <w:rsid w:val="0098170F"/>
    <w:rsid w:val="00981D77"/>
    <w:rsid w:val="00983A17"/>
    <w:rsid w:val="00984C89"/>
    <w:rsid w:val="009907AC"/>
    <w:rsid w:val="009913E9"/>
    <w:rsid w:val="00996595"/>
    <w:rsid w:val="009A1F57"/>
    <w:rsid w:val="009A5065"/>
    <w:rsid w:val="009B0F6C"/>
    <w:rsid w:val="009B49F6"/>
    <w:rsid w:val="009B4B10"/>
    <w:rsid w:val="009B6AD7"/>
    <w:rsid w:val="009B748F"/>
    <w:rsid w:val="009C2B3E"/>
    <w:rsid w:val="009C2FB2"/>
    <w:rsid w:val="009C3FE5"/>
    <w:rsid w:val="009C6847"/>
    <w:rsid w:val="009D3F92"/>
    <w:rsid w:val="009D5327"/>
    <w:rsid w:val="009D5E44"/>
    <w:rsid w:val="009D791F"/>
    <w:rsid w:val="009E0125"/>
    <w:rsid w:val="009E01DF"/>
    <w:rsid w:val="009E117B"/>
    <w:rsid w:val="009E13FA"/>
    <w:rsid w:val="009E1F6E"/>
    <w:rsid w:val="009E61D8"/>
    <w:rsid w:val="009E65BD"/>
    <w:rsid w:val="009F36CD"/>
    <w:rsid w:val="009F4696"/>
    <w:rsid w:val="00A03941"/>
    <w:rsid w:val="00A10DDF"/>
    <w:rsid w:val="00A11745"/>
    <w:rsid w:val="00A26EBE"/>
    <w:rsid w:val="00A274C8"/>
    <w:rsid w:val="00A330EF"/>
    <w:rsid w:val="00A33386"/>
    <w:rsid w:val="00A3438A"/>
    <w:rsid w:val="00A34441"/>
    <w:rsid w:val="00A344D4"/>
    <w:rsid w:val="00A44299"/>
    <w:rsid w:val="00A4463C"/>
    <w:rsid w:val="00A44A2E"/>
    <w:rsid w:val="00A452AB"/>
    <w:rsid w:val="00A474AD"/>
    <w:rsid w:val="00A55940"/>
    <w:rsid w:val="00A564D8"/>
    <w:rsid w:val="00A6129B"/>
    <w:rsid w:val="00A70E01"/>
    <w:rsid w:val="00A711F7"/>
    <w:rsid w:val="00A714EA"/>
    <w:rsid w:val="00A75FE4"/>
    <w:rsid w:val="00A76FF7"/>
    <w:rsid w:val="00A80F62"/>
    <w:rsid w:val="00A84ABB"/>
    <w:rsid w:val="00A85171"/>
    <w:rsid w:val="00A87D37"/>
    <w:rsid w:val="00A94771"/>
    <w:rsid w:val="00A96AA0"/>
    <w:rsid w:val="00AA43E0"/>
    <w:rsid w:val="00AA6851"/>
    <w:rsid w:val="00AA7F6F"/>
    <w:rsid w:val="00AB0A90"/>
    <w:rsid w:val="00AB0D76"/>
    <w:rsid w:val="00AC315C"/>
    <w:rsid w:val="00AC4EFD"/>
    <w:rsid w:val="00AC5CC6"/>
    <w:rsid w:val="00AC6D27"/>
    <w:rsid w:val="00AC6FE4"/>
    <w:rsid w:val="00AC7D8C"/>
    <w:rsid w:val="00AC7EEC"/>
    <w:rsid w:val="00AD3C74"/>
    <w:rsid w:val="00AD3CEA"/>
    <w:rsid w:val="00AD50C4"/>
    <w:rsid w:val="00AE23C8"/>
    <w:rsid w:val="00AE29B5"/>
    <w:rsid w:val="00AE2D2F"/>
    <w:rsid w:val="00AE3ECD"/>
    <w:rsid w:val="00AE4E4E"/>
    <w:rsid w:val="00AE7CDA"/>
    <w:rsid w:val="00AF0DB1"/>
    <w:rsid w:val="00AF38A1"/>
    <w:rsid w:val="00B00DB7"/>
    <w:rsid w:val="00B02AB4"/>
    <w:rsid w:val="00B03F80"/>
    <w:rsid w:val="00B042F9"/>
    <w:rsid w:val="00B07945"/>
    <w:rsid w:val="00B10BF4"/>
    <w:rsid w:val="00B157EB"/>
    <w:rsid w:val="00B1659F"/>
    <w:rsid w:val="00B16ED7"/>
    <w:rsid w:val="00B25101"/>
    <w:rsid w:val="00B254D6"/>
    <w:rsid w:val="00B260D0"/>
    <w:rsid w:val="00B316E3"/>
    <w:rsid w:val="00B33A5C"/>
    <w:rsid w:val="00B35256"/>
    <w:rsid w:val="00B35DE9"/>
    <w:rsid w:val="00B36FDC"/>
    <w:rsid w:val="00B3740D"/>
    <w:rsid w:val="00B41CA0"/>
    <w:rsid w:val="00B44505"/>
    <w:rsid w:val="00B466CA"/>
    <w:rsid w:val="00B46E9A"/>
    <w:rsid w:val="00B46ECD"/>
    <w:rsid w:val="00B4761F"/>
    <w:rsid w:val="00B50E1D"/>
    <w:rsid w:val="00B512FD"/>
    <w:rsid w:val="00B52952"/>
    <w:rsid w:val="00B53CE2"/>
    <w:rsid w:val="00B54FB8"/>
    <w:rsid w:val="00B55BC3"/>
    <w:rsid w:val="00B609A1"/>
    <w:rsid w:val="00B609FD"/>
    <w:rsid w:val="00B60DD2"/>
    <w:rsid w:val="00B61CF4"/>
    <w:rsid w:val="00B6213C"/>
    <w:rsid w:val="00B65351"/>
    <w:rsid w:val="00B65D71"/>
    <w:rsid w:val="00B702C4"/>
    <w:rsid w:val="00B70C5B"/>
    <w:rsid w:val="00B71378"/>
    <w:rsid w:val="00B74716"/>
    <w:rsid w:val="00B83810"/>
    <w:rsid w:val="00B92E0A"/>
    <w:rsid w:val="00B9570F"/>
    <w:rsid w:val="00B97475"/>
    <w:rsid w:val="00B97A9A"/>
    <w:rsid w:val="00B97C39"/>
    <w:rsid w:val="00BA04F5"/>
    <w:rsid w:val="00BA222B"/>
    <w:rsid w:val="00BA27CD"/>
    <w:rsid w:val="00BA5515"/>
    <w:rsid w:val="00BA60B8"/>
    <w:rsid w:val="00BA7151"/>
    <w:rsid w:val="00BB3BA2"/>
    <w:rsid w:val="00BB3D71"/>
    <w:rsid w:val="00BC4E09"/>
    <w:rsid w:val="00BC7142"/>
    <w:rsid w:val="00BD3110"/>
    <w:rsid w:val="00BD320F"/>
    <w:rsid w:val="00BD4602"/>
    <w:rsid w:val="00BD6312"/>
    <w:rsid w:val="00BD795D"/>
    <w:rsid w:val="00BE0ED9"/>
    <w:rsid w:val="00BE1444"/>
    <w:rsid w:val="00BE2486"/>
    <w:rsid w:val="00BE613C"/>
    <w:rsid w:val="00BE7A9E"/>
    <w:rsid w:val="00BF11D2"/>
    <w:rsid w:val="00BF1491"/>
    <w:rsid w:val="00BF20A9"/>
    <w:rsid w:val="00BF4AA7"/>
    <w:rsid w:val="00C018D9"/>
    <w:rsid w:val="00C0497B"/>
    <w:rsid w:val="00C116C7"/>
    <w:rsid w:val="00C162B5"/>
    <w:rsid w:val="00C16FD7"/>
    <w:rsid w:val="00C17E86"/>
    <w:rsid w:val="00C20258"/>
    <w:rsid w:val="00C2089D"/>
    <w:rsid w:val="00C23BBD"/>
    <w:rsid w:val="00C24EC1"/>
    <w:rsid w:val="00C2694B"/>
    <w:rsid w:val="00C30C2A"/>
    <w:rsid w:val="00C31918"/>
    <w:rsid w:val="00C3572E"/>
    <w:rsid w:val="00C36B52"/>
    <w:rsid w:val="00C43C57"/>
    <w:rsid w:val="00C5028D"/>
    <w:rsid w:val="00C5429F"/>
    <w:rsid w:val="00C552E1"/>
    <w:rsid w:val="00C62025"/>
    <w:rsid w:val="00C644DB"/>
    <w:rsid w:val="00C64640"/>
    <w:rsid w:val="00C6624C"/>
    <w:rsid w:val="00C66754"/>
    <w:rsid w:val="00C7266C"/>
    <w:rsid w:val="00C728C8"/>
    <w:rsid w:val="00C749A1"/>
    <w:rsid w:val="00C752EB"/>
    <w:rsid w:val="00C77943"/>
    <w:rsid w:val="00C82045"/>
    <w:rsid w:val="00C92070"/>
    <w:rsid w:val="00C929F0"/>
    <w:rsid w:val="00C96662"/>
    <w:rsid w:val="00C96A9B"/>
    <w:rsid w:val="00CA4192"/>
    <w:rsid w:val="00CB1516"/>
    <w:rsid w:val="00CB1B78"/>
    <w:rsid w:val="00CB2F34"/>
    <w:rsid w:val="00CB35AD"/>
    <w:rsid w:val="00CB3B71"/>
    <w:rsid w:val="00CB5855"/>
    <w:rsid w:val="00CC0098"/>
    <w:rsid w:val="00CC0EA8"/>
    <w:rsid w:val="00CC1803"/>
    <w:rsid w:val="00CC1DB3"/>
    <w:rsid w:val="00CC3B36"/>
    <w:rsid w:val="00CC45C1"/>
    <w:rsid w:val="00CC658E"/>
    <w:rsid w:val="00CC6C97"/>
    <w:rsid w:val="00CC7EB6"/>
    <w:rsid w:val="00CD152C"/>
    <w:rsid w:val="00CD3358"/>
    <w:rsid w:val="00CD3EE3"/>
    <w:rsid w:val="00CD492F"/>
    <w:rsid w:val="00CD6443"/>
    <w:rsid w:val="00CD6DDE"/>
    <w:rsid w:val="00CD7838"/>
    <w:rsid w:val="00CE01C4"/>
    <w:rsid w:val="00CE22C3"/>
    <w:rsid w:val="00CE3B16"/>
    <w:rsid w:val="00CF1500"/>
    <w:rsid w:val="00CF2F88"/>
    <w:rsid w:val="00CF3009"/>
    <w:rsid w:val="00CF3B07"/>
    <w:rsid w:val="00D01D88"/>
    <w:rsid w:val="00D02DAC"/>
    <w:rsid w:val="00D0341A"/>
    <w:rsid w:val="00D07EDA"/>
    <w:rsid w:val="00D14F23"/>
    <w:rsid w:val="00D1602B"/>
    <w:rsid w:val="00D2138A"/>
    <w:rsid w:val="00D21E0A"/>
    <w:rsid w:val="00D231DB"/>
    <w:rsid w:val="00D23330"/>
    <w:rsid w:val="00D25491"/>
    <w:rsid w:val="00D26889"/>
    <w:rsid w:val="00D26F6E"/>
    <w:rsid w:val="00D3091C"/>
    <w:rsid w:val="00D3235E"/>
    <w:rsid w:val="00D42D41"/>
    <w:rsid w:val="00D43321"/>
    <w:rsid w:val="00D46FF8"/>
    <w:rsid w:val="00D4701F"/>
    <w:rsid w:val="00D47CF8"/>
    <w:rsid w:val="00D5137A"/>
    <w:rsid w:val="00D5152A"/>
    <w:rsid w:val="00D551E4"/>
    <w:rsid w:val="00D5613A"/>
    <w:rsid w:val="00D615BB"/>
    <w:rsid w:val="00D61C0D"/>
    <w:rsid w:val="00D64E8A"/>
    <w:rsid w:val="00D65FCD"/>
    <w:rsid w:val="00D663EC"/>
    <w:rsid w:val="00D6659F"/>
    <w:rsid w:val="00D727A1"/>
    <w:rsid w:val="00D72CEE"/>
    <w:rsid w:val="00D73987"/>
    <w:rsid w:val="00D74967"/>
    <w:rsid w:val="00D76485"/>
    <w:rsid w:val="00D81B08"/>
    <w:rsid w:val="00D82040"/>
    <w:rsid w:val="00D83A52"/>
    <w:rsid w:val="00D8532E"/>
    <w:rsid w:val="00D91047"/>
    <w:rsid w:val="00D92992"/>
    <w:rsid w:val="00D92D7C"/>
    <w:rsid w:val="00D93258"/>
    <w:rsid w:val="00D97780"/>
    <w:rsid w:val="00DA25C8"/>
    <w:rsid w:val="00DA2712"/>
    <w:rsid w:val="00DA3CDB"/>
    <w:rsid w:val="00DA4051"/>
    <w:rsid w:val="00DA4466"/>
    <w:rsid w:val="00DA5171"/>
    <w:rsid w:val="00DA6581"/>
    <w:rsid w:val="00DA76D2"/>
    <w:rsid w:val="00DB1142"/>
    <w:rsid w:val="00DC00AA"/>
    <w:rsid w:val="00DC2D0F"/>
    <w:rsid w:val="00DC77F8"/>
    <w:rsid w:val="00DD280F"/>
    <w:rsid w:val="00DD3FAC"/>
    <w:rsid w:val="00DD533C"/>
    <w:rsid w:val="00DE0A2F"/>
    <w:rsid w:val="00DE1006"/>
    <w:rsid w:val="00DE2D1D"/>
    <w:rsid w:val="00DE35CE"/>
    <w:rsid w:val="00DE3E60"/>
    <w:rsid w:val="00DE7509"/>
    <w:rsid w:val="00DE7CEB"/>
    <w:rsid w:val="00DF16D3"/>
    <w:rsid w:val="00DF5E95"/>
    <w:rsid w:val="00E00A00"/>
    <w:rsid w:val="00E03E87"/>
    <w:rsid w:val="00E108AC"/>
    <w:rsid w:val="00E12203"/>
    <w:rsid w:val="00E12286"/>
    <w:rsid w:val="00E12B2E"/>
    <w:rsid w:val="00E157EE"/>
    <w:rsid w:val="00E161E7"/>
    <w:rsid w:val="00E20EC2"/>
    <w:rsid w:val="00E2158D"/>
    <w:rsid w:val="00E25CFF"/>
    <w:rsid w:val="00E2600C"/>
    <w:rsid w:val="00E26845"/>
    <w:rsid w:val="00E26BC3"/>
    <w:rsid w:val="00E27B1D"/>
    <w:rsid w:val="00E3536E"/>
    <w:rsid w:val="00E44427"/>
    <w:rsid w:val="00E44D03"/>
    <w:rsid w:val="00E453D6"/>
    <w:rsid w:val="00E531D2"/>
    <w:rsid w:val="00E5563C"/>
    <w:rsid w:val="00E55C77"/>
    <w:rsid w:val="00E57457"/>
    <w:rsid w:val="00E578C8"/>
    <w:rsid w:val="00E60CBB"/>
    <w:rsid w:val="00E63013"/>
    <w:rsid w:val="00E6346D"/>
    <w:rsid w:val="00E67DA3"/>
    <w:rsid w:val="00E704D0"/>
    <w:rsid w:val="00E71085"/>
    <w:rsid w:val="00E763E6"/>
    <w:rsid w:val="00E77D9C"/>
    <w:rsid w:val="00E81021"/>
    <w:rsid w:val="00E90440"/>
    <w:rsid w:val="00E92CD2"/>
    <w:rsid w:val="00E92DE8"/>
    <w:rsid w:val="00EA3A2A"/>
    <w:rsid w:val="00EB5203"/>
    <w:rsid w:val="00EB5D10"/>
    <w:rsid w:val="00EB5EC4"/>
    <w:rsid w:val="00EB7D7C"/>
    <w:rsid w:val="00EB7E61"/>
    <w:rsid w:val="00EC0D56"/>
    <w:rsid w:val="00EC1482"/>
    <w:rsid w:val="00EC36F8"/>
    <w:rsid w:val="00EC42B0"/>
    <w:rsid w:val="00EC78B2"/>
    <w:rsid w:val="00ED32CB"/>
    <w:rsid w:val="00ED41A0"/>
    <w:rsid w:val="00ED4707"/>
    <w:rsid w:val="00ED56FE"/>
    <w:rsid w:val="00ED6A58"/>
    <w:rsid w:val="00EE15FA"/>
    <w:rsid w:val="00EE16A4"/>
    <w:rsid w:val="00EE46EA"/>
    <w:rsid w:val="00EE7603"/>
    <w:rsid w:val="00EE7AA5"/>
    <w:rsid w:val="00EF5041"/>
    <w:rsid w:val="00F01749"/>
    <w:rsid w:val="00F02447"/>
    <w:rsid w:val="00F02485"/>
    <w:rsid w:val="00F033E9"/>
    <w:rsid w:val="00F03A16"/>
    <w:rsid w:val="00F03BF5"/>
    <w:rsid w:val="00F049B0"/>
    <w:rsid w:val="00F13A74"/>
    <w:rsid w:val="00F13CAC"/>
    <w:rsid w:val="00F207C5"/>
    <w:rsid w:val="00F2336D"/>
    <w:rsid w:val="00F240AE"/>
    <w:rsid w:val="00F24124"/>
    <w:rsid w:val="00F271BD"/>
    <w:rsid w:val="00F35281"/>
    <w:rsid w:val="00F41369"/>
    <w:rsid w:val="00F4210C"/>
    <w:rsid w:val="00F42B92"/>
    <w:rsid w:val="00F44F57"/>
    <w:rsid w:val="00F46793"/>
    <w:rsid w:val="00F46D02"/>
    <w:rsid w:val="00F4776F"/>
    <w:rsid w:val="00F50EAA"/>
    <w:rsid w:val="00F52FCC"/>
    <w:rsid w:val="00F5690A"/>
    <w:rsid w:val="00F57D49"/>
    <w:rsid w:val="00F60659"/>
    <w:rsid w:val="00F611F4"/>
    <w:rsid w:val="00F654A4"/>
    <w:rsid w:val="00F65B97"/>
    <w:rsid w:val="00F6761C"/>
    <w:rsid w:val="00F733EB"/>
    <w:rsid w:val="00F752C4"/>
    <w:rsid w:val="00F76545"/>
    <w:rsid w:val="00F778BB"/>
    <w:rsid w:val="00F82239"/>
    <w:rsid w:val="00F82C55"/>
    <w:rsid w:val="00F82E14"/>
    <w:rsid w:val="00F83868"/>
    <w:rsid w:val="00F84AFA"/>
    <w:rsid w:val="00F84B44"/>
    <w:rsid w:val="00F86DEA"/>
    <w:rsid w:val="00F8705B"/>
    <w:rsid w:val="00F905AB"/>
    <w:rsid w:val="00F91704"/>
    <w:rsid w:val="00F91F97"/>
    <w:rsid w:val="00F9278D"/>
    <w:rsid w:val="00F93CF1"/>
    <w:rsid w:val="00F956EF"/>
    <w:rsid w:val="00F9696C"/>
    <w:rsid w:val="00F96C48"/>
    <w:rsid w:val="00FA0F50"/>
    <w:rsid w:val="00FA4153"/>
    <w:rsid w:val="00FA561C"/>
    <w:rsid w:val="00FA7BDF"/>
    <w:rsid w:val="00FB0AC2"/>
    <w:rsid w:val="00FB0FA3"/>
    <w:rsid w:val="00FB2EE3"/>
    <w:rsid w:val="00FB2FA6"/>
    <w:rsid w:val="00FC096B"/>
    <w:rsid w:val="00FC1E5D"/>
    <w:rsid w:val="00FC3404"/>
    <w:rsid w:val="00FC383F"/>
    <w:rsid w:val="00FC6467"/>
    <w:rsid w:val="00FC73AD"/>
    <w:rsid w:val="00FC7A03"/>
    <w:rsid w:val="00FD1D50"/>
    <w:rsid w:val="00FD40E7"/>
    <w:rsid w:val="00FD5146"/>
    <w:rsid w:val="00FD54D3"/>
    <w:rsid w:val="00FD60DB"/>
    <w:rsid w:val="00FE02AE"/>
    <w:rsid w:val="00FE23DA"/>
    <w:rsid w:val="00FE4290"/>
    <w:rsid w:val="00FE6DB0"/>
    <w:rsid w:val="00FF1727"/>
    <w:rsid w:val="00FF1787"/>
    <w:rsid w:val="00FF451A"/>
    <w:rsid w:val="00FF5640"/>
    <w:rsid w:val="10835D9A"/>
    <w:rsid w:val="1AA0F306"/>
    <w:rsid w:val="1CEF0231"/>
    <w:rsid w:val="1D8C2685"/>
    <w:rsid w:val="2AE6B129"/>
    <w:rsid w:val="2BD3DE74"/>
    <w:rsid w:val="2C9780A4"/>
    <w:rsid w:val="3A1C9FB6"/>
    <w:rsid w:val="3AD1A2EB"/>
    <w:rsid w:val="46003C23"/>
    <w:rsid w:val="46754329"/>
    <w:rsid w:val="49A98037"/>
    <w:rsid w:val="59DBAF03"/>
    <w:rsid w:val="6370A6AF"/>
    <w:rsid w:val="7D8C8D0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7CE9"/>
  <w15:docId w15:val="{7FFB9E92-1F03-4000-A0C3-D31530D2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3404"/>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styleId="Odkaznakomentr">
    <w:name w:val="annotation reference"/>
    <w:basedOn w:val="Predvolenpsmoodseku"/>
    <w:uiPriority w:val="99"/>
    <w:semiHidden/>
    <w:unhideWhenUsed/>
    <w:rsid w:val="00756AD5"/>
    <w:rPr>
      <w:sz w:val="16"/>
      <w:szCs w:val="16"/>
    </w:rPr>
  </w:style>
  <w:style w:type="paragraph" w:styleId="Textkomentra">
    <w:name w:val="annotation text"/>
    <w:basedOn w:val="Normlny"/>
    <w:link w:val="TextkomentraChar"/>
    <w:uiPriority w:val="99"/>
    <w:unhideWhenUsed/>
    <w:rsid w:val="00756AD5"/>
    <w:pPr>
      <w:spacing w:line="240" w:lineRule="auto"/>
    </w:pPr>
    <w:rPr>
      <w:sz w:val="20"/>
      <w:szCs w:val="20"/>
    </w:rPr>
  </w:style>
  <w:style w:type="character" w:customStyle="1" w:styleId="TextkomentraChar">
    <w:name w:val="Text komentára Char"/>
    <w:basedOn w:val="Predvolenpsmoodseku"/>
    <w:link w:val="Textkomentra"/>
    <w:uiPriority w:val="99"/>
    <w:rsid w:val="00756AD5"/>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756AD5"/>
    <w:rPr>
      <w:b/>
      <w:bCs/>
    </w:rPr>
  </w:style>
  <w:style w:type="character" w:customStyle="1" w:styleId="PredmetkomentraChar">
    <w:name w:val="Predmet komentára Char"/>
    <w:basedOn w:val="TextkomentraChar"/>
    <w:link w:val="Predmetkomentra"/>
    <w:uiPriority w:val="99"/>
    <w:semiHidden/>
    <w:rsid w:val="00756AD5"/>
    <w:rPr>
      <w:rFonts w:ascii="Verdana" w:eastAsia="Times New Roman" w:hAnsi="Verdana" w:cs="Times New Roman"/>
      <w:b/>
      <w:bCs/>
      <w:sz w:val="20"/>
      <w:szCs w:val="20"/>
      <w:lang w:val="en-GB"/>
    </w:rPr>
  </w:style>
  <w:style w:type="paragraph" w:styleId="Odsekzoznamu">
    <w:name w:val="List Paragraph"/>
    <w:basedOn w:val="Normlny"/>
    <w:uiPriority w:val="34"/>
    <w:qFormat/>
    <w:rsid w:val="008377C4"/>
    <w:pPr>
      <w:ind w:left="720"/>
      <w:contextualSpacing/>
    </w:pPr>
  </w:style>
  <w:style w:type="paragraph" w:styleId="Textpoznmkypodiarou">
    <w:name w:val="footnote text"/>
    <w:basedOn w:val="Normlny"/>
    <w:link w:val="TextpoznmkypodiarouChar"/>
    <w:uiPriority w:val="99"/>
    <w:unhideWhenUsed/>
    <w:rsid w:val="00E25CFF"/>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E25CFF"/>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E25CFF"/>
    <w:rPr>
      <w:vertAlign w:val="superscript"/>
    </w:rPr>
  </w:style>
  <w:style w:type="paragraph" w:styleId="Revzia">
    <w:name w:val="Revision"/>
    <w:hidden/>
    <w:uiPriority w:val="99"/>
    <w:semiHidden/>
    <w:rsid w:val="002500FD"/>
    <w:pPr>
      <w:spacing w:after="0" w:line="240" w:lineRule="auto"/>
    </w:pPr>
    <w:rPr>
      <w:rFonts w:ascii="Verdana" w:eastAsia="Times New Roman" w:hAnsi="Verdana" w:cs="Times New Roman"/>
      <w:sz w:val="18"/>
      <w:szCs w:val="24"/>
      <w:lang w:val="en-GB"/>
    </w:rPr>
  </w:style>
  <w:style w:type="character" w:styleId="PouitHypertextovPrepojenie">
    <w:name w:val="FollowedHyperlink"/>
    <w:basedOn w:val="Predvolenpsmoodseku"/>
    <w:uiPriority w:val="99"/>
    <w:semiHidden/>
    <w:unhideWhenUsed/>
    <w:rsid w:val="00BE0ED9"/>
    <w:rPr>
      <w:color w:val="800080" w:themeColor="followedHyperlink"/>
      <w:u w:val="single"/>
    </w:rPr>
  </w:style>
  <w:style w:type="character" w:styleId="Zmienka">
    <w:name w:val="Mention"/>
    <w:basedOn w:val="Predvolenpsmoodseku"/>
    <w:uiPriority w:val="99"/>
    <w:unhideWhenUsed/>
    <w:rsid w:val="004C68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finance.ec.europa.eu/sustainable-finance/disclosures/sustainability-related-disclosure-financial-services-sector_e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72FD0"/>
    <w:rsid w:val="000F1CB6"/>
    <w:rsid w:val="00154BF5"/>
    <w:rsid w:val="001763DE"/>
    <w:rsid w:val="001D4580"/>
    <w:rsid w:val="001E1E4E"/>
    <w:rsid w:val="00233DD6"/>
    <w:rsid w:val="00367865"/>
    <w:rsid w:val="00400F0E"/>
    <w:rsid w:val="0041026F"/>
    <w:rsid w:val="00427EDA"/>
    <w:rsid w:val="00477E03"/>
    <w:rsid w:val="004E13AB"/>
    <w:rsid w:val="0057158E"/>
    <w:rsid w:val="006314A9"/>
    <w:rsid w:val="00634188"/>
    <w:rsid w:val="00663F6E"/>
    <w:rsid w:val="006E146B"/>
    <w:rsid w:val="00774DFE"/>
    <w:rsid w:val="0080472E"/>
    <w:rsid w:val="008C04E9"/>
    <w:rsid w:val="009062DC"/>
    <w:rsid w:val="009322DC"/>
    <w:rsid w:val="00967DFC"/>
    <w:rsid w:val="0097243D"/>
    <w:rsid w:val="009C6847"/>
    <w:rsid w:val="00A11745"/>
    <w:rsid w:val="00A21CDA"/>
    <w:rsid w:val="00A307CB"/>
    <w:rsid w:val="00AA43E0"/>
    <w:rsid w:val="00AE29B5"/>
    <w:rsid w:val="00AE7CDA"/>
    <w:rsid w:val="00AF50EC"/>
    <w:rsid w:val="00B215C8"/>
    <w:rsid w:val="00B97C39"/>
    <w:rsid w:val="00BF1491"/>
    <w:rsid w:val="00C43C57"/>
    <w:rsid w:val="00C749A1"/>
    <w:rsid w:val="00CB47CC"/>
    <w:rsid w:val="00CF3B07"/>
    <w:rsid w:val="00D8141C"/>
    <w:rsid w:val="00D83741"/>
    <w:rsid w:val="00DA2DEF"/>
    <w:rsid w:val="00E161E7"/>
    <w:rsid w:val="00E401F3"/>
    <w:rsid w:val="00E67DA3"/>
    <w:rsid w:val="00E81021"/>
    <w:rsid w:val="00F36970"/>
    <w:rsid w:val="00F5192D"/>
    <w:rsid w:val="00F633AE"/>
    <w:rsid w:val="00F67907"/>
    <w:rsid w:val="00FF178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C68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11" ma:contentTypeDescription="Create a new document." ma:contentTypeScope="" ma:versionID="63ba4a142953e3874a4f611ac23dcbee">
  <xsd:schema xmlns:xsd="http://www.w3.org/2001/XMLSchema" xmlns:xs="http://www.w3.org/2001/XMLSchema" xmlns:p="http://schemas.microsoft.com/office/2006/metadata/properties" xmlns:ns2="ddee4349-d6c5-476b-a1c6-d791a1a12d6c" xmlns:ns3="efa07f0a-2279-4397-9381-96c735bff43a" targetNamespace="http://schemas.microsoft.com/office/2006/metadata/properties" ma:root="true" ma:fieldsID="a7f008d25419cfd282394c9e489fe384" ns2:_="" ns3:_="">
    <xsd:import namespace="ddee4349-d6c5-476b-a1c6-d791a1a12d6c"/>
    <xsd:import namespace="efa07f0a-2279-4397-9381-96c735bff43a"/>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07f0a-2279-4397-9381-96c735bff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Props1.xml><?xml version="1.0" encoding="utf-8"?>
<ds:datastoreItem xmlns:ds="http://schemas.openxmlformats.org/officeDocument/2006/customXml" ds:itemID="{ACB003C0-3456-4474-986A-683658242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efa07f0a-2279-4397-9381-96c735bf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B35485A1-11AA-442D-8577-727460E39C5A}">
  <ds:schemaRefs>
    <ds:schemaRef ds:uri="http://purl.org/dc/dcmitype/"/>
    <ds:schemaRef ds:uri="efa07f0a-2279-4397-9381-96c735bff43a"/>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ddee4349-d6c5-476b-a1c6-d791a1a12d6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1666</Words>
  <Characters>9498</Characters>
  <Application>Microsoft Office Word</Application>
  <DocSecurity>4</DocSecurity>
  <Lines>79</Lines>
  <Paragraphs>22</Paragraphs>
  <ScaleCrop>false</ScaleCrop>
  <Company>Insurance Europe</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Key Messages on the SFDR Framework</dc:title>
  <dc:subject/>
  <dc:creator>Insurance Europe</dc:creator>
  <cp:keywords/>
  <cp:lastModifiedBy>jozef.bachnicek</cp:lastModifiedBy>
  <cp:revision>2</cp:revision>
  <dcterms:created xsi:type="dcterms:W3CDTF">2024-10-21T07:08:00Z</dcterms:created>
  <dcterms:modified xsi:type="dcterms:W3CDTF">2024-10-21T07:08:00Z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53f2ccfc-cb5c-4b2a-a083-e4a7e98f292e</vt:lpwstr>
  </property>
</Properties>
</file>