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0288BC" w14:textId="4D4AFB8A" w:rsidR="00152882" w:rsidRPr="003D0236" w:rsidRDefault="00FA03B4" w:rsidP="00572C65">
      <w:pPr>
        <w:tabs>
          <w:tab w:val="left" w:pos="708"/>
          <w:tab w:val="left" w:pos="1500"/>
        </w:tabs>
        <w:rPr>
          <w:sz w:val="17"/>
          <w:szCs w:val="17"/>
        </w:rPr>
        <w:sectPr w:rsidR="00152882" w:rsidRPr="003D0236" w:rsidSect="00240F5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 w:code="9"/>
          <w:pgMar w:top="2336" w:right="907" w:bottom="1599" w:left="1418" w:header="709" w:footer="238" w:gutter="0"/>
          <w:cols w:space="708"/>
          <w:titlePg/>
          <w:docGrid w:linePitch="360"/>
        </w:sectPr>
      </w:pPr>
      <w:r>
        <w:rPr>
          <w:sz w:val="17"/>
          <w:szCs w:val="17"/>
        </w:rPr>
        <w:tab/>
      </w:r>
      <w:r>
        <w:rPr>
          <w:sz w:val="17"/>
          <w:szCs w:val="17"/>
        </w:rPr>
        <w:tab/>
      </w:r>
    </w:p>
    <w:p w14:paraId="67B0D0C6" w14:textId="77777777" w:rsidR="00EC3517" w:rsidRDefault="00EC3517" w:rsidP="003D0236">
      <w:pPr>
        <w:rPr>
          <w:sz w:val="17"/>
          <w:szCs w:val="17"/>
        </w:rPr>
      </w:pPr>
    </w:p>
    <w:p w14:paraId="0A527596" w14:textId="07767E62" w:rsidR="00836034" w:rsidRPr="00A34638" w:rsidRDefault="0068063E" w:rsidP="00836034">
      <w:pPr>
        <w:rPr>
          <w:sz w:val="17"/>
          <w:szCs w:val="17"/>
        </w:rPr>
      </w:pPr>
      <w:r>
        <w:rPr>
          <w:b/>
          <w:color w:val="002957"/>
          <w:sz w:val="17"/>
          <w:szCs w:val="17"/>
        </w:rPr>
        <w:t>Background</w:t>
      </w:r>
      <w:r w:rsidR="00836034">
        <w:rPr>
          <w:b/>
          <w:color w:val="002957"/>
          <w:sz w:val="17"/>
          <w:szCs w:val="17"/>
        </w:rPr>
        <w:t xml:space="preserve"> </w:t>
      </w:r>
    </w:p>
    <w:p w14:paraId="3C8AF517" w14:textId="58EBA748" w:rsidR="00175961" w:rsidRDefault="00AF45CC" w:rsidP="00A34638">
      <w:pPr>
        <w:rPr>
          <w:bCs/>
          <w:color w:val="000000" w:themeColor="text1"/>
          <w:sz w:val="17"/>
          <w:szCs w:val="17"/>
        </w:rPr>
      </w:pPr>
      <w:r w:rsidRPr="00AF45CC">
        <w:rPr>
          <w:bCs/>
          <w:color w:val="000000" w:themeColor="text1"/>
          <w:sz w:val="17"/>
          <w:szCs w:val="17"/>
        </w:rPr>
        <w:t xml:space="preserve">The </w:t>
      </w:r>
      <w:r w:rsidR="00964F9D">
        <w:rPr>
          <w:bCs/>
          <w:color w:val="000000" w:themeColor="text1"/>
          <w:sz w:val="17"/>
          <w:szCs w:val="17"/>
        </w:rPr>
        <w:t>EU T</w:t>
      </w:r>
      <w:r w:rsidRPr="00AF45CC">
        <w:rPr>
          <w:bCs/>
          <w:color w:val="000000" w:themeColor="text1"/>
          <w:sz w:val="17"/>
          <w:szCs w:val="17"/>
        </w:rPr>
        <w:t>axonomy</w:t>
      </w:r>
      <w:r w:rsidR="005B2D1A">
        <w:rPr>
          <w:bCs/>
          <w:color w:val="000000" w:themeColor="text1"/>
          <w:sz w:val="17"/>
          <w:szCs w:val="17"/>
        </w:rPr>
        <w:t xml:space="preserve"> </w:t>
      </w:r>
      <w:r w:rsidRPr="00AF45CC">
        <w:rPr>
          <w:bCs/>
          <w:color w:val="000000" w:themeColor="text1"/>
          <w:sz w:val="17"/>
          <w:szCs w:val="17"/>
        </w:rPr>
        <w:t>is a classification system that defines criteria for economic activities</w:t>
      </w:r>
      <w:r w:rsidR="00964F9D">
        <w:rPr>
          <w:bCs/>
          <w:color w:val="000000" w:themeColor="text1"/>
          <w:sz w:val="17"/>
          <w:szCs w:val="17"/>
        </w:rPr>
        <w:t xml:space="preserve"> </w:t>
      </w:r>
      <w:r w:rsidRPr="00AF45CC">
        <w:rPr>
          <w:bCs/>
          <w:color w:val="000000" w:themeColor="text1"/>
          <w:sz w:val="17"/>
          <w:szCs w:val="17"/>
        </w:rPr>
        <w:t>aligned with a net zero</w:t>
      </w:r>
      <w:r w:rsidR="00964F9D">
        <w:rPr>
          <w:bCs/>
          <w:color w:val="000000" w:themeColor="text1"/>
          <w:sz w:val="17"/>
          <w:szCs w:val="17"/>
        </w:rPr>
        <w:t xml:space="preserve"> </w:t>
      </w:r>
      <w:r w:rsidR="006E0E97">
        <w:rPr>
          <w:bCs/>
          <w:color w:val="000000" w:themeColor="text1"/>
          <w:sz w:val="17"/>
          <w:szCs w:val="17"/>
        </w:rPr>
        <w:t>(</w:t>
      </w:r>
      <w:r w:rsidR="00FD2F8C">
        <w:rPr>
          <w:bCs/>
          <w:color w:val="000000" w:themeColor="text1"/>
          <w:sz w:val="17"/>
          <w:szCs w:val="17"/>
        </w:rPr>
        <w:t>greenhouse gas</w:t>
      </w:r>
      <w:r w:rsidR="006E0E97">
        <w:rPr>
          <w:bCs/>
          <w:color w:val="000000" w:themeColor="text1"/>
          <w:sz w:val="17"/>
          <w:szCs w:val="17"/>
        </w:rPr>
        <w:t>)</w:t>
      </w:r>
      <w:r w:rsidR="00FD2F8C">
        <w:rPr>
          <w:bCs/>
          <w:color w:val="000000" w:themeColor="text1"/>
          <w:sz w:val="17"/>
          <w:szCs w:val="17"/>
        </w:rPr>
        <w:t xml:space="preserve"> </w:t>
      </w:r>
      <w:r w:rsidR="00964F9D">
        <w:rPr>
          <w:bCs/>
          <w:color w:val="000000" w:themeColor="text1"/>
          <w:sz w:val="17"/>
          <w:szCs w:val="17"/>
        </w:rPr>
        <w:t xml:space="preserve">emissions </w:t>
      </w:r>
      <w:r w:rsidRPr="00AF45CC">
        <w:rPr>
          <w:bCs/>
          <w:color w:val="000000" w:themeColor="text1"/>
          <w:sz w:val="17"/>
          <w:szCs w:val="17"/>
        </w:rPr>
        <w:t xml:space="preserve">trajectory by 2050 and the </w:t>
      </w:r>
      <w:r w:rsidR="009A107D">
        <w:rPr>
          <w:bCs/>
          <w:color w:val="000000" w:themeColor="text1"/>
          <w:sz w:val="17"/>
          <w:szCs w:val="17"/>
        </w:rPr>
        <w:t xml:space="preserve">EU </w:t>
      </w:r>
      <w:r w:rsidRPr="00AF45CC">
        <w:rPr>
          <w:bCs/>
          <w:color w:val="000000" w:themeColor="text1"/>
          <w:sz w:val="17"/>
          <w:szCs w:val="17"/>
        </w:rPr>
        <w:t>broader environmental goals other than climate.</w:t>
      </w:r>
    </w:p>
    <w:p w14:paraId="2B34F124" w14:textId="77777777" w:rsidR="009A107D" w:rsidRDefault="009A107D" w:rsidP="00A34638">
      <w:pPr>
        <w:rPr>
          <w:bCs/>
          <w:color w:val="000000" w:themeColor="text1"/>
          <w:sz w:val="17"/>
          <w:szCs w:val="17"/>
        </w:rPr>
      </w:pPr>
    </w:p>
    <w:p w14:paraId="42A36C3C" w14:textId="37E0D723" w:rsidR="00463084" w:rsidRPr="003120A5" w:rsidRDefault="005B2D1A" w:rsidP="2A58905E">
      <w:pPr>
        <w:rPr>
          <w:bCs/>
          <w:color w:val="000000" w:themeColor="text1"/>
          <w:sz w:val="17"/>
          <w:szCs w:val="17"/>
        </w:rPr>
      </w:pPr>
      <w:r w:rsidRPr="003120A5">
        <w:rPr>
          <w:bCs/>
          <w:color w:val="000000" w:themeColor="text1"/>
          <w:sz w:val="17"/>
          <w:szCs w:val="17"/>
        </w:rPr>
        <w:t>Under the regulation, f</w:t>
      </w:r>
      <w:r w:rsidR="009A107D" w:rsidRPr="003120A5">
        <w:rPr>
          <w:bCs/>
          <w:color w:val="000000" w:themeColor="text1"/>
          <w:sz w:val="17"/>
          <w:szCs w:val="17"/>
        </w:rPr>
        <w:t xml:space="preserve">rom </w:t>
      </w:r>
      <w:r w:rsidR="00970C05" w:rsidRPr="003120A5">
        <w:rPr>
          <w:bCs/>
          <w:color w:val="000000" w:themeColor="text1"/>
          <w:sz w:val="17"/>
          <w:szCs w:val="17"/>
        </w:rPr>
        <w:t>financial year (</w:t>
      </w:r>
      <w:r w:rsidR="009A107D" w:rsidRPr="003120A5">
        <w:rPr>
          <w:bCs/>
          <w:color w:val="000000" w:themeColor="text1"/>
          <w:sz w:val="17"/>
          <w:szCs w:val="17"/>
        </w:rPr>
        <w:t>FY</w:t>
      </w:r>
      <w:r w:rsidR="00970C05" w:rsidRPr="003120A5">
        <w:rPr>
          <w:bCs/>
          <w:color w:val="000000" w:themeColor="text1"/>
          <w:sz w:val="17"/>
          <w:szCs w:val="17"/>
        </w:rPr>
        <w:t>)</w:t>
      </w:r>
      <w:r w:rsidR="009A107D" w:rsidRPr="003120A5">
        <w:rPr>
          <w:bCs/>
          <w:color w:val="000000" w:themeColor="text1"/>
          <w:sz w:val="17"/>
          <w:szCs w:val="17"/>
        </w:rPr>
        <w:t xml:space="preserve"> 2021,</w:t>
      </w:r>
      <w:r w:rsidRPr="003120A5">
        <w:rPr>
          <w:bCs/>
          <w:color w:val="000000" w:themeColor="text1"/>
          <w:sz w:val="17"/>
          <w:szCs w:val="17"/>
        </w:rPr>
        <w:t xml:space="preserve"> </w:t>
      </w:r>
      <w:r w:rsidR="009A107D" w:rsidRPr="003120A5">
        <w:rPr>
          <w:bCs/>
          <w:color w:val="000000" w:themeColor="text1"/>
          <w:sz w:val="17"/>
          <w:szCs w:val="17"/>
        </w:rPr>
        <w:t xml:space="preserve">insurers must </w:t>
      </w:r>
      <w:r w:rsidR="009A107D" w:rsidRPr="003120A5">
        <w:rPr>
          <w:b/>
          <w:bCs/>
          <w:color w:val="000000" w:themeColor="text1"/>
          <w:sz w:val="17"/>
          <w:szCs w:val="17"/>
        </w:rPr>
        <w:t>report how much of their underwriting and investment activities is Taxonomy-eligible</w:t>
      </w:r>
      <w:r w:rsidR="009A107D" w:rsidRPr="003120A5">
        <w:rPr>
          <w:bCs/>
          <w:color w:val="000000" w:themeColor="text1"/>
          <w:sz w:val="17"/>
          <w:szCs w:val="17"/>
        </w:rPr>
        <w:t xml:space="preserve">. </w:t>
      </w:r>
      <w:r w:rsidR="009400A2" w:rsidRPr="003120A5">
        <w:rPr>
          <w:bCs/>
          <w:color w:val="000000" w:themeColor="text1"/>
          <w:sz w:val="17"/>
          <w:szCs w:val="17"/>
        </w:rPr>
        <w:t>Additionally, f</w:t>
      </w:r>
      <w:r w:rsidR="009A107D" w:rsidRPr="003120A5">
        <w:rPr>
          <w:bCs/>
          <w:color w:val="000000" w:themeColor="text1"/>
          <w:sz w:val="17"/>
          <w:szCs w:val="17"/>
        </w:rPr>
        <w:t>rom FY 2023, insurers</w:t>
      </w:r>
      <w:r w:rsidR="009400A2" w:rsidRPr="003120A5">
        <w:rPr>
          <w:bCs/>
          <w:color w:val="000000" w:themeColor="text1"/>
          <w:sz w:val="17"/>
          <w:szCs w:val="17"/>
        </w:rPr>
        <w:t xml:space="preserve"> </w:t>
      </w:r>
      <w:r w:rsidR="009A107D" w:rsidRPr="003120A5">
        <w:rPr>
          <w:bCs/>
          <w:color w:val="000000" w:themeColor="text1"/>
          <w:sz w:val="17"/>
          <w:szCs w:val="17"/>
        </w:rPr>
        <w:t xml:space="preserve">must </w:t>
      </w:r>
      <w:r w:rsidR="009A107D" w:rsidRPr="003120A5">
        <w:rPr>
          <w:b/>
          <w:bCs/>
          <w:color w:val="000000" w:themeColor="text1"/>
          <w:sz w:val="17"/>
          <w:szCs w:val="17"/>
        </w:rPr>
        <w:t>report on their Taxonomy-alignment through two Key Performance Indicators</w:t>
      </w:r>
      <w:r w:rsidR="007E03A3" w:rsidRPr="003120A5">
        <w:rPr>
          <w:b/>
          <w:bCs/>
          <w:color w:val="000000" w:themeColor="text1"/>
          <w:sz w:val="17"/>
          <w:szCs w:val="17"/>
        </w:rPr>
        <w:t xml:space="preserve"> (KPIs)</w:t>
      </w:r>
      <w:r w:rsidR="009A107D" w:rsidRPr="003120A5">
        <w:rPr>
          <w:bCs/>
          <w:color w:val="000000" w:themeColor="text1"/>
          <w:sz w:val="17"/>
          <w:szCs w:val="17"/>
        </w:rPr>
        <w:t xml:space="preserve">: </w:t>
      </w:r>
    </w:p>
    <w:p w14:paraId="1C90ADB6" w14:textId="64A27072" w:rsidR="00246725" w:rsidRPr="003120A5" w:rsidRDefault="5A92ED7A" w:rsidP="00246725">
      <w:pPr>
        <w:pStyle w:val="Odsekzoznamu"/>
        <w:numPr>
          <w:ilvl w:val="0"/>
          <w:numId w:val="18"/>
        </w:numPr>
        <w:rPr>
          <w:color w:val="000000" w:themeColor="text1"/>
          <w:sz w:val="17"/>
          <w:szCs w:val="17"/>
        </w:rPr>
      </w:pPr>
      <w:r w:rsidRPr="003120A5">
        <w:rPr>
          <w:color w:val="000000" w:themeColor="text1"/>
          <w:sz w:val="17"/>
          <w:szCs w:val="17"/>
        </w:rPr>
        <w:t xml:space="preserve">an </w:t>
      </w:r>
      <w:r w:rsidR="009A107D" w:rsidRPr="003120A5">
        <w:rPr>
          <w:b/>
          <w:color w:val="000000" w:themeColor="text1"/>
          <w:sz w:val="17"/>
          <w:szCs w:val="17"/>
        </w:rPr>
        <w:t>Investment KPI</w:t>
      </w:r>
      <w:r w:rsidR="009A107D" w:rsidRPr="003120A5">
        <w:rPr>
          <w:color w:val="000000" w:themeColor="text1"/>
          <w:sz w:val="17"/>
          <w:szCs w:val="17"/>
        </w:rPr>
        <w:t xml:space="preserve">, which </w:t>
      </w:r>
      <w:r w:rsidR="00F63F0E" w:rsidRPr="003120A5">
        <w:rPr>
          <w:bCs/>
          <w:color w:val="000000" w:themeColor="text1"/>
          <w:sz w:val="17"/>
          <w:szCs w:val="17"/>
        </w:rPr>
        <w:t xml:space="preserve">aims to </w:t>
      </w:r>
      <w:r w:rsidR="009A107D" w:rsidRPr="003120A5">
        <w:rPr>
          <w:color w:val="000000" w:themeColor="text1"/>
          <w:sz w:val="17"/>
          <w:szCs w:val="17"/>
        </w:rPr>
        <w:t>show the proportion of to</w:t>
      </w:r>
      <w:r w:rsidR="009A107D" w:rsidRPr="003120A5">
        <w:rPr>
          <w:sz w:val="17"/>
          <w:szCs w:val="17"/>
        </w:rPr>
        <w:t>tal assets a</w:t>
      </w:r>
      <w:r w:rsidR="00020D95" w:rsidRPr="003120A5">
        <w:rPr>
          <w:sz w:val="17"/>
          <w:szCs w:val="17"/>
        </w:rPr>
        <w:t>n</w:t>
      </w:r>
      <w:r w:rsidR="009A107D" w:rsidRPr="003120A5">
        <w:rPr>
          <w:sz w:val="17"/>
          <w:szCs w:val="17"/>
        </w:rPr>
        <w:t xml:space="preserve"> insurer has invested in Taxonomy-aligned activities</w:t>
      </w:r>
      <w:r w:rsidR="00D54255" w:rsidRPr="003120A5">
        <w:rPr>
          <w:sz w:val="17"/>
          <w:szCs w:val="17"/>
        </w:rPr>
        <w:t>;</w:t>
      </w:r>
      <w:r w:rsidR="7FBF3426" w:rsidRPr="003120A5">
        <w:rPr>
          <w:sz w:val="17"/>
          <w:szCs w:val="17"/>
        </w:rPr>
        <w:t xml:space="preserve"> </w:t>
      </w:r>
    </w:p>
    <w:p w14:paraId="32687071" w14:textId="208B56E1" w:rsidR="2A58905E" w:rsidRPr="003120A5" w:rsidRDefault="7FBF3426" w:rsidP="003704A9">
      <w:pPr>
        <w:pStyle w:val="Odsekzoznamu"/>
        <w:numPr>
          <w:ilvl w:val="0"/>
          <w:numId w:val="18"/>
        </w:numPr>
        <w:rPr>
          <w:color w:val="000000" w:themeColor="text1"/>
          <w:sz w:val="17"/>
          <w:szCs w:val="17"/>
        </w:rPr>
      </w:pPr>
      <w:r w:rsidRPr="003120A5">
        <w:rPr>
          <w:sz w:val="17"/>
          <w:szCs w:val="17"/>
        </w:rPr>
        <w:t>an</w:t>
      </w:r>
      <w:r w:rsidR="009A107D" w:rsidRPr="003120A5">
        <w:rPr>
          <w:sz w:val="17"/>
          <w:szCs w:val="17"/>
        </w:rPr>
        <w:t xml:space="preserve"> </w:t>
      </w:r>
      <w:r w:rsidR="009A107D" w:rsidRPr="003120A5">
        <w:rPr>
          <w:b/>
          <w:sz w:val="17"/>
          <w:szCs w:val="17"/>
        </w:rPr>
        <w:t>Underwriting KPI</w:t>
      </w:r>
      <w:r w:rsidR="009A107D" w:rsidRPr="003120A5">
        <w:rPr>
          <w:sz w:val="17"/>
          <w:szCs w:val="17"/>
        </w:rPr>
        <w:t xml:space="preserve">, which shows what proportion of </w:t>
      </w:r>
      <w:r w:rsidR="007E56DE" w:rsidRPr="003120A5">
        <w:rPr>
          <w:sz w:val="17"/>
          <w:szCs w:val="17"/>
        </w:rPr>
        <w:t xml:space="preserve">insurers’ </w:t>
      </w:r>
      <w:r w:rsidR="009A107D" w:rsidRPr="003120A5">
        <w:rPr>
          <w:sz w:val="17"/>
          <w:szCs w:val="17"/>
        </w:rPr>
        <w:t xml:space="preserve">total non-life underwriting premiums are Taxonomy-aligned. </w:t>
      </w:r>
      <w:r w:rsidR="009A107D" w:rsidRPr="003120A5">
        <w:rPr>
          <w:color w:val="000000" w:themeColor="text1"/>
          <w:sz w:val="17"/>
          <w:szCs w:val="17"/>
        </w:rPr>
        <w:cr/>
      </w:r>
    </w:p>
    <w:p w14:paraId="12CEEF94" w14:textId="48148158" w:rsidR="009A107D" w:rsidRPr="003120A5" w:rsidRDefault="009A107D" w:rsidP="009A107D">
      <w:pPr>
        <w:rPr>
          <w:bCs/>
          <w:color w:val="000000" w:themeColor="text1"/>
          <w:sz w:val="17"/>
          <w:szCs w:val="17"/>
        </w:rPr>
      </w:pPr>
      <w:r w:rsidRPr="003120A5">
        <w:rPr>
          <w:bCs/>
          <w:color w:val="000000" w:themeColor="text1"/>
          <w:sz w:val="17"/>
          <w:szCs w:val="17"/>
        </w:rPr>
        <w:t>In December 2023 the European Commission</w:t>
      </w:r>
      <w:r w:rsidR="00452A24" w:rsidRPr="003120A5">
        <w:rPr>
          <w:bCs/>
          <w:color w:val="000000" w:themeColor="text1"/>
          <w:sz w:val="17"/>
          <w:szCs w:val="17"/>
        </w:rPr>
        <w:t xml:space="preserve"> </w:t>
      </w:r>
      <w:r w:rsidR="000C4787" w:rsidRPr="003120A5">
        <w:rPr>
          <w:bCs/>
          <w:color w:val="000000" w:themeColor="text1"/>
          <w:sz w:val="17"/>
          <w:szCs w:val="17"/>
        </w:rPr>
        <w:t>(EC)</w:t>
      </w:r>
      <w:r w:rsidR="00452A24" w:rsidRPr="003120A5">
        <w:rPr>
          <w:bCs/>
          <w:color w:val="000000" w:themeColor="text1"/>
          <w:sz w:val="17"/>
          <w:szCs w:val="17"/>
        </w:rPr>
        <w:t xml:space="preserve"> </w:t>
      </w:r>
      <w:r w:rsidRPr="003120A5">
        <w:rPr>
          <w:bCs/>
          <w:color w:val="000000" w:themeColor="text1"/>
          <w:sz w:val="17"/>
          <w:szCs w:val="17"/>
        </w:rPr>
        <w:t xml:space="preserve">released </w:t>
      </w:r>
      <w:r w:rsidR="00FE474A" w:rsidRPr="003120A5">
        <w:rPr>
          <w:bCs/>
          <w:color w:val="000000" w:themeColor="text1"/>
          <w:sz w:val="17"/>
          <w:szCs w:val="17"/>
        </w:rPr>
        <w:t>d</w:t>
      </w:r>
      <w:r w:rsidRPr="003120A5">
        <w:rPr>
          <w:bCs/>
          <w:color w:val="000000" w:themeColor="text1"/>
          <w:sz w:val="17"/>
          <w:szCs w:val="17"/>
        </w:rPr>
        <w:t>raft FAQs on the interpretation and implementation of the Disclosures Delegated Act (under</w:t>
      </w:r>
      <w:r w:rsidR="00452A24" w:rsidRPr="003120A5">
        <w:rPr>
          <w:bCs/>
          <w:color w:val="000000" w:themeColor="text1"/>
          <w:sz w:val="17"/>
          <w:szCs w:val="17"/>
        </w:rPr>
        <w:t xml:space="preserve"> </w:t>
      </w:r>
      <w:r w:rsidRPr="003120A5">
        <w:rPr>
          <w:bCs/>
          <w:color w:val="000000" w:themeColor="text1"/>
          <w:sz w:val="17"/>
          <w:szCs w:val="17"/>
        </w:rPr>
        <w:t>article 8</w:t>
      </w:r>
      <w:r w:rsidR="00452A24" w:rsidRPr="003120A5">
        <w:rPr>
          <w:bCs/>
          <w:color w:val="000000" w:themeColor="text1"/>
          <w:sz w:val="17"/>
          <w:szCs w:val="17"/>
        </w:rPr>
        <w:t xml:space="preserve"> regulation</w:t>
      </w:r>
      <w:r w:rsidRPr="003120A5">
        <w:rPr>
          <w:bCs/>
          <w:color w:val="000000" w:themeColor="text1"/>
          <w:sz w:val="17"/>
          <w:szCs w:val="17"/>
        </w:rPr>
        <w:t xml:space="preserve">) on the reporting of Taxonomy-eligible and -aligned economic activities. The </w:t>
      </w:r>
      <w:r w:rsidRPr="003120A5">
        <w:rPr>
          <w:b/>
          <w:bCs/>
          <w:color w:val="000000" w:themeColor="text1"/>
          <w:sz w:val="17"/>
          <w:szCs w:val="17"/>
        </w:rPr>
        <w:t xml:space="preserve">EC </w:t>
      </w:r>
      <w:r w:rsidR="00FE474A" w:rsidRPr="003120A5">
        <w:rPr>
          <w:b/>
          <w:bCs/>
          <w:color w:val="000000" w:themeColor="text1"/>
          <w:sz w:val="17"/>
          <w:szCs w:val="17"/>
        </w:rPr>
        <w:t>d</w:t>
      </w:r>
      <w:r w:rsidRPr="003120A5">
        <w:rPr>
          <w:b/>
          <w:bCs/>
          <w:color w:val="000000" w:themeColor="text1"/>
          <w:sz w:val="17"/>
          <w:szCs w:val="17"/>
        </w:rPr>
        <w:t xml:space="preserve">raft FAQs include details </w:t>
      </w:r>
      <w:r w:rsidR="46F53BF2" w:rsidRPr="003120A5">
        <w:rPr>
          <w:b/>
          <w:bCs/>
          <w:color w:val="000000" w:themeColor="text1"/>
          <w:sz w:val="17"/>
          <w:szCs w:val="17"/>
        </w:rPr>
        <w:t xml:space="preserve">on </w:t>
      </w:r>
      <w:r w:rsidRPr="003120A5">
        <w:rPr>
          <w:b/>
          <w:bCs/>
          <w:color w:val="000000" w:themeColor="text1"/>
          <w:sz w:val="17"/>
          <w:szCs w:val="17"/>
        </w:rPr>
        <w:t>how insurers should report th</w:t>
      </w:r>
      <w:r w:rsidR="0859AA25" w:rsidRPr="003120A5">
        <w:rPr>
          <w:b/>
          <w:bCs/>
          <w:color w:val="000000" w:themeColor="text1"/>
          <w:sz w:val="17"/>
          <w:szCs w:val="17"/>
        </w:rPr>
        <w:t>e above</w:t>
      </w:r>
      <w:r w:rsidR="5AC6C10A" w:rsidRPr="003120A5">
        <w:rPr>
          <w:b/>
          <w:bCs/>
          <w:color w:val="000000" w:themeColor="text1"/>
          <w:sz w:val="17"/>
          <w:szCs w:val="17"/>
        </w:rPr>
        <w:t>-</w:t>
      </w:r>
      <w:r w:rsidR="0859AA25" w:rsidRPr="003120A5">
        <w:rPr>
          <w:b/>
          <w:bCs/>
          <w:color w:val="000000" w:themeColor="text1"/>
          <w:sz w:val="17"/>
          <w:szCs w:val="17"/>
        </w:rPr>
        <w:t xml:space="preserve">mentioned </w:t>
      </w:r>
      <w:r w:rsidRPr="003120A5">
        <w:rPr>
          <w:b/>
          <w:bCs/>
          <w:color w:val="000000" w:themeColor="text1"/>
          <w:sz w:val="17"/>
          <w:szCs w:val="17"/>
        </w:rPr>
        <w:t>KPIs</w:t>
      </w:r>
      <w:r w:rsidRPr="003120A5">
        <w:rPr>
          <w:bCs/>
          <w:color w:val="000000" w:themeColor="text1"/>
          <w:sz w:val="17"/>
          <w:szCs w:val="17"/>
        </w:rPr>
        <w:t xml:space="preserve">. </w:t>
      </w:r>
      <w:r w:rsidRPr="003120A5">
        <w:rPr>
          <w:color w:val="000000" w:themeColor="text1"/>
          <w:sz w:val="17"/>
          <w:szCs w:val="17"/>
        </w:rPr>
        <w:t xml:space="preserve">The </w:t>
      </w:r>
      <w:r w:rsidR="1743532D" w:rsidRPr="003120A5">
        <w:rPr>
          <w:color w:val="000000" w:themeColor="text1"/>
          <w:sz w:val="17"/>
          <w:szCs w:val="17"/>
        </w:rPr>
        <w:t>late publication of the</w:t>
      </w:r>
      <w:r w:rsidRPr="003120A5">
        <w:rPr>
          <w:bCs/>
          <w:color w:val="000000" w:themeColor="text1"/>
          <w:sz w:val="17"/>
          <w:szCs w:val="17"/>
        </w:rPr>
        <w:t xml:space="preserve"> guidance, coupled with weaknesses and limitations in the EU Taxonomy </w:t>
      </w:r>
      <w:r w:rsidR="7D3ADD12" w:rsidRPr="003120A5">
        <w:rPr>
          <w:color w:val="000000" w:themeColor="text1"/>
          <w:sz w:val="17"/>
          <w:szCs w:val="17"/>
        </w:rPr>
        <w:t>(</w:t>
      </w:r>
      <w:r w:rsidRPr="003120A5">
        <w:rPr>
          <w:bCs/>
          <w:color w:val="000000" w:themeColor="text1"/>
          <w:sz w:val="17"/>
          <w:szCs w:val="17"/>
        </w:rPr>
        <w:t>explained below</w:t>
      </w:r>
      <w:r w:rsidR="61E105A6" w:rsidRPr="003120A5">
        <w:rPr>
          <w:color w:val="000000" w:themeColor="text1"/>
          <w:sz w:val="17"/>
          <w:szCs w:val="17"/>
        </w:rPr>
        <w:t>)</w:t>
      </w:r>
      <w:r w:rsidRPr="003120A5">
        <w:rPr>
          <w:color w:val="000000" w:themeColor="text1"/>
          <w:sz w:val="17"/>
          <w:szCs w:val="17"/>
        </w:rPr>
        <w:t>,</w:t>
      </w:r>
      <w:r w:rsidRPr="003120A5">
        <w:rPr>
          <w:bCs/>
          <w:color w:val="000000" w:themeColor="text1"/>
          <w:sz w:val="17"/>
          <w:szCs w:val="17"/>
        </w:rPr>
        <w:t xml:space="preserve"> resulted in very inconsistent reporting.</w:t>
      </w:r>
    </w:p>
    <w:p w14:paraId="47B61827" w14:textId="77777777" w:rsidR="00175961" w:rsidRPr="003120A5" w:rsidRDefault="00175961" w:rsidP="00A34638">
      <w:pPr>
        <w:rPr>
          <w:b/>
          <w:color w:val="002957"/>
          <w:sz w:val="17"/>
          <w:szCs w:val="17"/>
        </w:rPr>
      </w:pPr>
    </w:p>
    <w:p w14:paraId="706C76E6" w14:textId="39E956DC" w:rsidR="00C27C1C" w:rsidRPr="00A34638" w:rsidRDefault="00175961" w:rsidP="00A34638">
      <w:pPr>
        <w:rPr>
          <w:sz w:val="17"/>
          <w:szCs w:val="17"/>
        </w:rPr>
      </w:pPr>
      <w:r>
        <w:rPr>
          <w:b/>
          <w:color w:val="002957"/>
          <w:sz w:val="17"/>
          <w:szCs w:val="17"/>
        </w:rPr>
        <w:t xml:space="preserve">Issues with </w:t>
      </w:r>
      <w:r w:rsidR="00C27C1C">
        <w:rPr>
          <w:b/>
          <w:color w:val="002957"/>
          <w:sz w:val="17"/>
          <w:szCs w:val="17"/>
        </w:rPr>
        <w:t xml:space="preserve">the current framework </w:t>
      </w:r>
    </w:p>
    <w:p w14:paraId="77B59632" w14:textId="46BF3B56" w:rsidR="00822812" w:rsidRDefault="003E706B" w:rsidP="00822812">
      <w:pPr>
        <w:rPr>
          <w:sz w:val="17"/>
          <w:szCs w:val="17"/>
        </w:rPr>
      </w:pPr>
      <w:r>
        <w:rPr>
          <w:sz w:val="17"/>
          <w:szCs w:val="17"/>
        </w:rPr>
        <w:t>T</w:t>
      </w:r>
      <w:r w:rsidRPr="003E706B">
        <w:rPr>
          <w:sz w:val="17"/>
          <w:szCs w:val="17"/>
        </w:rPr>
        <w:t xml:space="preserve">he European Insurance and Occupational Pensions Authority (EIOPA) </w:t>
      </w:r>
      <w:hyperlink r:id="rId17" w:history="1">
        <w:r w:rsidR="00D0362C" w:rsidRPr="008B469F">
          <w:rPr>
            <w:rStyle w:val="Hypertextovprepojenie"/>
            <w:color w:val="3333FF"/>
            <w:sz w:val="17"/>
            <w:szCs w:val="17"/>
          </w:rPr>
          <w:t>estimated</w:t>
        </w:r>
      </w:hyperlink>
      <w:r w:rsidR="00D0362C">
        <w:rPr>
          <w:sz w:val="17"/>
          <w:szCs w:val="17"/>
        </w:rPr>
        <w:t xml:space="preserve"> </w:t>
      </w:r>
      <w:r w:rsidRPr="00324170">
        <w:rPr>
          <w:sz w:val="17"/>
          <w:szCs w:val="17"/>
        </w:rPr>
        <w:t>that</w:t>
      </w:r>
      <w:r w:rsidRPr="003E706B">
        <w:rPr>
          <w:sz w:val="17"/>
          <w:szCs w:val="17"/>
        </w:rPr>
        <w:t xml:space="preserve"> the EU Taxonomy covers only about 15.5% of insurers assets.</w:t>
      </w:r>
      <w:r>
        <w:rPr>
          <w:sz w:val="17"/>
          <w:szCs w:val="17"/>
        </w:rPr>
        <w:t xml:space="preserve"> Indeed, </w:t>
      </w:r>
      <w:r w:rsidR="0028799C">
        <w:rPr>
          <w:sz w:val="17"/>
          <w:szCs w:val="17"/>
        </w:rPr>
        <w:t>f</w:t>
      </w:r>
      <w:r w:rsidR="00D31D6F">
        <w:rPr>
          <w:sz w:val="17"/>
          <w:szCs w:val="17"/>
        </w:rPr>
        <w:t xml:space="preserve">or the Investment KPI, </w:t>
      </w:r>
      <w:r w:rsidR="00B34326" w:rsidRPr="00B34326">
        <w:rPr>
          <w:b/>
          <w:bCs/>
          <w:sz w:val="17"/>
          <w:szCs w:val="17"/>
        </w:rPr>
        <w:t xml:space="preserve">the </w:t>
      </w:r>
      <w:r w:rsidR="00563E8D">
        <w:rPr>
          <w:b/>
          <w:bCs/>
          <w:sz w:val="17"/>
          <w:szCs w:val="17"/>
        </w:rPr>
        <w:t xml:space="preserve">EU </w:t>
      </w:r>
      <w:r w:rsidR="00B34326" w:rsidRPr="00B34326">
        <w:rPr>
          <w:b/>
          <w:bCs/>
          <w:sz w:val="17"/>
          <w:szCs w:val="17"/>
        </w:rPr>
        <w:t>Taxonomy</w:t>
      </w:r>
      <w:r w:rsidR="00B34326">
        <w:rPr>
          <w:b/>
          <w:bCs/>
          <w:sz w:val="17"/>
          <w:szCs w:val="17"/>
        </w:rPr>
        <w:t xml:space="preserve"> </w:t>
      </w:r>
      <w:r w:rsidR="00B34326" w:rsidRPr="00B34326">
        <w:rPr>
          <w:b/>
          <w:bCs/>
          <w:sz w:val="17"/>
          <w:szCs w:val="17"/>
        </w:rPr>
        <w:t xml:space="preserve">covers </w:t>
      </w:r>
      <w:r w:rsidR="00B34326">
        <w:rPr>
          <w:b/>
          <w:bCs/>
          <w:sz w:val="17"/>
          <w:szCs w:val="17"/>
        </w:rPr>
        <w:t xml:space="preserve">only </w:t>
      </w:r>
      <w:r w:rsidR="00B34326" w:rsidRPr="00B34326">
        <w:rPr>
          <w:b/>
          <w:bCs/>
          <w:sz w:val="17"/>
          <w:szCs w:val="17"/>
        </w:rPr>
        <w:t>a very limited part of insurers investment portfolios</w:t>
      </w:r>
      <w:r w:rsidR="0E3CEC5E" w:rsidRPr="00A176DE">
        <w:rPr>
          <w:sz w:val="17"/>
          <w:szCs w:val="17"/>
        </w:rPr>
        <w:t>, excluding</w:t>
      </w:r>
      <w:r w:rsidR="0054468B" w:rsidRPr="0054468B">
        <w:rPr>
          <w:sz w:val="17"/>
          <w:szCs w:val="17"/>
        </w:rPr>
        <w:t xml:space="preserve"> sovereign exposures, infrastructure projects, exposures to Small</w:t>
      </w:r>
      <w:r w:rsidR="000512A6">
        <w:rPr>
          <w:sz w:val="17"/>
          <w:szCs w:val="17"/>
        </w:rPr>
        <w:t>-</w:t>
      </w:r>
      <w:r w:rsidR="0054468B" w:rsidRPr="0054468B">
        <w:rPr>
          <w:sz w:val="17"/>
          <w:szCs w:val="17"/>
        </w:rPr>
        <w:t xml:space="preserve"> and Medium</w:t>
      </w:r>
      <w:r w:rsidR="000512A6">
        <w:rPr>
          <w:sz w:val="17"/>
          <w:szCs w:val="17"/>
        </w:rPr>
        <w:t>-</w:t>
      </w:r>
      <w:r w:rsidR="0054468B" w:rsidRPr="0054468B">
        <w:rPr>
          <w:sz w:val="17"/>
          <w:szCs w:val="17"/>
        </w:rPr>
        <w:t xml:space="preserve">sized Enterprises, </w:t>
      </w:r>
      <w:r w:rsidR="2259433A" w:rsidRPr="2A58905E">
        <w:rPr>
          <w:sz w:val="17"/>
          <w:szCs w:val="17"/>
        </w:rPr>
        <w:t>as well as</w:t>
      </w:r>
      <w:r w:rsidR="0054468B" w:rsidRPr="2A58905E">
        <w:rPr>
          <w:sz w:val="17"/>
          <w:szCs w:val="17"/>
        </w:rPr>
        <w:t xml:space="preserve"> </w:t>
      </w:r>
      <w:r w:rsidR="0054468B" w:rsidRPr="0054468B">
        <w:rPr>
          <w:sz w:val="17"/>
          <w:szCs w:val="17"/>
        </w:rPr>
        <w:t>investments in non-EU companies</w:t>
      </w:r>
      <w:r w:rsidR="000512A6">
        <w:rPr>
          <w:sz w:val="17"/>
          <w:szCs w:val="17"/>
        </w:rPr>
        <w:t>.</w:t>
      </w:r>
      <w:r w:rsidR="001416FD">
        <w:rPr>
          <w:sz w:val="17"/>
          <w:szCs w:val="17"/>
        </w:rPr>
        <w:t xml:space="preserve"> </w:t>
      </w:r>
      <w:r w:rsidR="50597725" w:rsidRPr="2A58905E">
        <w:rPr>
          <w:sz w:val="17"/>
          <w:szCs w:val="17"/>
        </w:rPr>
        <w:t>While</w:t>
      </w:r>
      <w:r w:rsidR="001416FD">
        <w:rPr>
          <w:sz w:val="17"/>
          <w:szCs w:val="17"/>
        </w:rPr>
        <w:t xml:space="preserve"> </w:t>
      </w:r>
      <w:r w:rsidR="001416FD" w:rsidRPr="00E21C26">
        <w:rPr>
          <w:b/>
          <w:bCs/>
          <w:sz w:val="17"/>
          <w:szCs w:val="17"/>
        </w:rPr>
        <w:t xml:space="preserve">the </w:t>
      </w:r>
      <w:r w:rsidR="00563E8D">
        <w:rPr>
          <w:b/>
          <w:bCs/>
          <w:sz w:val="17"/>
          <w:szCs w:val="17"/>
        </w:rPr>
        <w:t xml:space="preserve">EU </w:t>
      </w:r>
      <w:r w:rsidR="001416FD" w:rsidRPr="00E21C26">
        <w:rPr>
          <w:b/>
          <w:bCs/>
          <w:sz w:val="17"/>
          <w:szCs w:val="17"/>
        </w:rPr>
        <w:t>Taxonomy</w:t>
      </w:r>
      <w:r w:rsidR="001416FD" w:rsidRPr="001416FD">
        <w:rPr>
          <w:sz w:val="17"/>
          <w:szCs w:val="17"/>
        </w:rPr>
        <w:t xml:space="preserve"> is focused on activities that are already sustainable, it </w:t>
      </w:r>
      <w:r w:rsidR="001416FD" w:rsidRPr="00E21C26">
        <w:rPr>
          <w:b/>
          <w:bCs/>
          <w:sz w:val="17"/>
          <w:szCs w:val="17"/>
        </w:rPr>
        <w:t xml:space="preserve">does not </w:t>
      </w:r>
      <w:r w:rsidR="5A630857" w:rsidRPr="2A58905E">
        <w:rPr>
          <w:b/>
          <w:bCs/>
          <w:sz w:val="17"/>
          <w:szCs w:val="17"/>
        </w:rPr>
        <w:t>properly address</w:t>
      </w:r>
      <w:r w:rsidR="001416FD" w:rsidRPr="2A58905E">
        <w:rPr>
          <w:b/>
          <w:bCs/>
          <w:sz w:val="17"/>
          <w:szCs w:val="17"/>
        </w:rPr>
        <w:t xml:space="preserve"> </w:t>
      </w:r>
      <w:r w:rsidR="001416FD" w:rsidRPr="00E21C26">
        <w:rPr>
          <w:b/>
          <w:bCs/>
          <w:sz w:val="17"/>
          <w:szCs w:val="17"/>
        </w:rPr>
        <w:t>transition investments</w:t>
      </w:r>
      <w:r w:rsidR="287EAC36" w:rsidRPr="2A58905E">
        <w:rPr>
          <w:b/>
          <w:bCs/>
          <w:sz w:val="17"/>
          <w:szCs w:val="17"/>
        </w:rPr>
        <w:t>, making it challenging for</w:t>
      </w:r>
      <w:r w:rsidR="00822812" w:rsidRPr="00822812">
        <w:rPr>
          <w:sz w:val="17"/>
          <w:szCs w:val="17"/>
        </w:rPr>
        <w:t xml:space="preserve"> insurers to have an </w:t>
      </w:r>
      <w:r w:rsidR="005A7AE8">
        <w:rPr>
          <w:sz w:val="17"/>
          <w:szCs w:val="17"/>
        </w:rPr>
        <w:t>I</w:t>
      </w:r>
      <w:r w:rsidR="00822812" w:rsidRPr="00822812">
        <w:rPr>
          <w:sz w:val="17"/>
          <w:szCs w:val="17"/>
        </w:rPr>
        <w:t xml:space="preserve">nvestment KPI </w:t>
      </w:r>
      <w:r w:rsidR="00573568">
        <w:rPr>
          <w:sz w:val="17"/>
          <w:szCs w:val="17"/>
        </w:rPr>
        <w:t>of any significance</w:t>
      </w:r>
      <w:r w:rsidR="00822812" w:rsidRPr="00822812">
        <w:rPr>
          <w:sz w:val="17"/>
          <w:szCs w:val="17"/>
        </w:rPr>
        <w:t xml:space="preserve">. </w:t>
      </w:r>
    </w:p>
    <w:p w14:paraId="5709DEA4" w14:textId="0E2794E7" w:rsidR="00B17FCB" w:rsidRDefault="00B17FCB" w:rsidP="00C80652">
      <w:pPr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</w:pPr>
    </w:p>
    <w:p w14:paraId="670587A6" w14:textId="407D113B" w:rsidR="00C80652" w:rsidRPr="00D0362C" w:rsidRDefault="00902086" w:rsidP="00C80652">
      <w:pPr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</w:pPr>
      <w:r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>Furthermore</w:t>
      </w:r>
      <w:r w:rsidR="00CC6B6C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, </w:t>
      </w:r>
      <w:r w:rsidR="00CC6B6C" w:rsidRPr="00CC6B6C">
        <w:rPr>
          <w:rStyle w:val="Heading1CEAChar"/>
          <w:rFonts w:ascii="Verdana" w:hAnsi="Verdana"/>
          <w:bCs/>
          <w:color w:val="000000" w:themeColor="text1"/>
          <w:sz w:val="17"/>
          <w:szCs w:val="17"/>
        </w:rPr>
        <w:t xml:space="preserve">the </w:t>
      </w:r>
      <w:r w:rsidR="001433CA">
        <w:rPr>
          <w:rStyle w:val="Heading1CEAChar"/>
          <w:rFonts w:ascii="Verdana" w:hAnsi="Verdana"/>
          <w:bCs/>
          <w:color w:val="000000" w:themeColor="text1"/>
          <w:sz w:val="17"/>
          <w:szCs w:val="17"/>
        </w:rPr>
        <w:t xml:space="preserve">EU </w:t>
      </w:r>
      <w:r w:rsidR="00CC6B6C" w:rsidRPr="00CC6B6C">
        <w:rPr>
          <w:rStyle w:val="Heading1CEAChar"/>
          <w:rFonts w:ascii="Verdana" w:hAnsi="Verdana"/>
          <w:bCs/>
          <w:color w:val="000000" w:themeColor="text1"/>
          <w:sz w:val="17"/>
          <w:szCs w:val="17"/>
        </w:rPr>
        <w:t>Taxonomy covers only two insurance activities within the climate change adaptation objective</w:t>
      </w:r>
      <w:r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: </w:t>
      </w:r>
      <w:r w:rsidR="00CC6B6C" w:rsidRPr="00CC6B6C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>underwriting and</w:t>
      </w:r>
      <w:r w:rsidR="00AE25C1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 </w:t>
      </w:r>
      <w:r w:rsidR="00CC6B6C" w:rsidRPr="00CC6B6C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>reinsurance of climate related perils</w:t>
      </w:r>
      <w:r w:rsidR="00893EB0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>, and significant lines of business are excluded</w:t>
      </w:r>
      <w:r w:rsidR="00CC6B6C" w:rsidRPr="00CC6B6C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>.</w:t>
      </w:r>
      <w:r w:rsidR="0099372A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 </w:t>
      </w:r>
      <w:r w:rsidR="00CD6A32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>Hence</w:t>
      </w:r>
      <w:r w:rsidR="0099372A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>,</w:t>
      </w:r>
      <w:r w:rsidR="000D0D5C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 </w:t>
      </w:r>
      <w:r w:rsidR="00C80652" w:rsidRPr="00C80652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the </w:t>
      </w:r>
      <w:r w:rsidR="005A7AE8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>U</w:t>
      </w:r>
      <w:r w:rsidR="00C80652" w:rsidRPr="00C80652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nderwriting </w:t>
      </w:r>
      <w:r w:rsidR="00C80652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>T</w:t>
      </w:r>
      <w:r w:rsidR="00C80652" w:rsidRPr="00C80652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>axonomy</w:t>
      </w:r>
      <w:r w:rsidR="00C80652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>-</w:t>
      </w:r>
      <w:r w:rsidR="00C80652" w:rsidRPr="00C80652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>alignment KPI could not only never attain 100% but</w:t>
      </w:r>
      <w:r w:rsidR="005407FA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 </w:t>
      </w:r>
      <w:r w:rsidR="00C80652" w:rsidRPr="00C80652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will rarely be able to exceed </w:t>
      </w:r>
      <w:r w:rsidR="00CD4E2A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few </w:t>
      </w:r>
      <w:r w:rsidR="00C80652" w:rsidRPr="00C80652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>% for primary insurers</w:t>
      </w:r>
      <w:r w:rsidR="00416C93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, </w:t>
      </w:r>
      <w:r w:rsidR="00C80652" w:rsidRPr="00C80652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>even if they adapt the</w:t>
      </w:r>
      <w:r w:rsidR="00D335AE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 </w:t>
      </w:r>
      <w:r w:rsidR="00C80652" w:rsidRPr="00C80652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>underwriting</w:t>
      </w:r>
      <w:r w:rsidR="004A4E2B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 </w:t>
      </w:r>
      <w:r w:rsidR="00C80652" w:rsidRPr="00C80652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activities to fully satisfy the </w:t>
      </w:r>
      <w:r w:rsidR="00822812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Taxonomy’s </w:t>
      </w:r>
      <w:r w:rsidR="00C80652" w:rsidRPr="00C80652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technical screening </w:t>
      </w:r>
      <w:r w:rsidR="00C80652" w:rsidRPr="00D0362C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>criteria</w:t>
      </w:r>
      <w:r w:rsidR="00822812" w:rsidRPr="00D0362C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>.</w:t>
      </w:r>
      <w:r w:rsidR="00416C93" w:rsidRPr="00D0362C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 </w:t>
      </w:r>
    </w:p>
    <w:p w14:paraId="2D6C4BCD" w14:textId="77777777" w:rsidR="003B1630" w:rsidRDefault="003B1630" w:rsidP="00CC6B6C">
      <w:pPr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</w:pPr>
    </w:p>
    <w:p w14:paraId="0FB49EEC" w14:textId="6704094D" w:rsidR="001A3D53" w:rsidRPr="00FA0B0F" w:rsidRDefault="00AD7447" w:rsidP="00CC6B6C">
      <w:pPr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</w:pPr>
      <w:r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>Unlike other components of the EU legislation</w:t>
      </w:r>
      <w:r w:rsidR="000E744B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 </w:t>
      </w:r>
      <w:r w:rsidR="00F91818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concerning </w:t>
      </w:r>
      <w:r w:rsidR="000E744B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>sustainab</w:t>
      </w:r>
      <w:r w:rsidR="00D97D43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>ility</w:t>
      </w:r>
      <w:r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>,</w:t>
      </w:r>
      <w:r w:rsidR="007066F8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 such as </w:t>
      </w:r>
      <w:r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the </w:t>
      </w:r>
      <w:r w:rsidR="00FA51C3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>C</w:t>
      </w:r>
      <w:r w:rsidR="00FA51C3" w:rsidRPr="00FA51C3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orporate </w:t>
      </w:r>
      <w:r w:rsidR="00FA51C3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>S</w:t>
      </w:r>
      <w:r w:rsidR="00FA51C3" w:rsidRPr="00FA51C3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ustainability </w:t>
      </w:r>
      <w:r w:rsidR="00FA51C3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>R</w:t>
      </w:r>
      <w:r w:rsidR="00FA51C3" w:rsidRPr="00FA51C3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eporting </w:t>
      </w:r>
      <w:r w:rsidR="00FA51C3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Directive </w:t>
      </w:r>
      <w:r w:rsidR="00FA51C3" w:rsidRPr="00FA51C3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>(CSRD)</w:t>
      </w:r>
      <w:r w:rsidR="003350EA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>-</w:t>
      </w:r>
      <w:r w:rsidR="007066F8" w:rsidRPr="007066F8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>European Sustainability Reporting Standards (ESRS)</w:t>
      </w:r>
      <w:r w:rsidR="00FA51C3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, </w:t>
      </w:r>
      <w:r w:rsidR="004A09F8" w:rsidRPr="00AA7AB8">
        <w:rPr>
          <w:rStyle w:val="Heading1CEAChar"/>
          <w:rFonts w:ascii="Verdana" w:hAnsi="Verdana"/>
          <w:bCs/>
          <w:color w:val="000000" w:themeColor="text1"/>
          <w:sz w:val="17"/>
          <w:szCs w:val="17"/>
        </w:rPr>
        <w:t xml:space="preserve">the </w:t>
      </w:r>
      <w:r w:rsidR="004A09F8" w:rsidRPr="004A09F8">
        <w:rPr>
          <w:rStyle w:val="Heading1CEAChar"/>
          <w:rFonts w:ascii="Verdana" w:hAnsi="Verdana"/>
          <w:bCs/>
          <w:color w:val="000000" w:themeColor="text1"/>
          <w:sz w:val="17"/>
          <w:szCs w:val="17"/>
        </w:rPr>
        <w:t>EU Taxonomy does not allow</w:t>
      </w:r>
      <w:r w:rsidR="00E6701C">
        <w:rPr>
          <w:rStyle w:val="Heading1CEAChar"/>
          <w:rFonts w:ascii="Verdana" w:hAnsi="Verdana"/>
          <w:bCs/>
          <w:color w:val="000000" w:themeColor="text1"/>
          <w:sz w:val="17"/>
          <w:szCs w:val="17"/>
        </w:rPr>
        <w:t xml:space="preserve"> </w:t>
      </w:r>
      <w:r w:rsidR="00AA7AB8">
        <w:rPr>
          <w:rStyle w:val="Heading1CEAChar"/>
          <w:rFonts w:ascii="Verdana" w:hAnsi="Verdana"/>
          <w:bCs/>
          <w:color w:val="000000" w:themeColor="text1"/>
          <w:sz w:val="17"/>
          <w:szCs w:val="17"/>
        </w:rPr>
        <w:t xml:space="preserve">to </w:t>
      </w:r>
      <w:r w:rsidR="007E6CDC">
        <w:rPr>
          <w:rStyle w:val="Heading1CEAChar"/>
          <w:rFonts w:ascii="Verdana" w:hAnsi="Verdana"/>
          <w:bCs/>
          <w:color w:val="000000" w:themeColor="text1"/>
          <w:sz w:val="17"/>
          <w:szCs w:val="17"/>
        </w:rPr>
        <w:t>carry out</w:t>
      </w:r>
      <w:r w:rsidR="004A09F8" w:rsidRPr="004A09F8">
        <w:rPr>
          <w:rStyle w:val="Heading1CEAChar"/>
          <w:rFonts w:ascii="Verdana" w:hAnsi="Verdana"/>
          <w:bCs/>
          <w:color w:val="000000" w:themeColor="text1"/>
          <w:sz w:val="17"/>
          <w:szCs w:val="17"/>
        </w:rPr>
        <w:t xml:space="preserve"> a materiality </w:t>
      </w:r>
      <w:r w:rsidR="00F13165">
        <w:rPr>
          <w:rStyle w:val="Heading1CEAChar"/>
          <w:rFonts w:ascii="Verdana" w:hAnsi="Verdana"/>
          <w:bCs/>
          <w:color w:val="000000" w:themeColor="text1"/>
          <w:sz w:val="17"/>
          <w:szCs w:val="17"/>
        </w:rPr>
        <w:t>assessment</w:t>
      </w:r>
      <w:r w:rsidR="004A09F8" w:rsidRPr="004A09F8">
        <w:rPr>
          <w:rStyle w:val="Heading1CEAChar"/>
          <w:rFonts w:ascii="Verdana" w:hAnsi="Verdana"/>
          <w:bCs/>
          <w:color w:val="000000" w:themeColor="text1"/>
          <w:sz w:val="17"/>
          <w:szCs w:val="17"/>
        </w:rPr>
        <w:t xml:space="preserve"> to fu</w:t>
      </w:r>
      <w:r w:rsidR="004A09F8">
        <w:rPr>
          <w:rStyle w:val="Heading1CEAChar"/>
          <w:rFonts w:ascii="Verdana" w:hAnsi="Verdana"/>
          <w:bCs/>
          <w:color w:val="000000" w:themeColor="text1"/>
          <w:sz w:val="17"/>
          <w:szCs w:val="17"/>
        </w:rPr>
        <w:t>l</w:t>
      </w:r>
      <w:r w:rsidR="004A09F8" w:rsidRPr="004A09F8">
        <w:rPr>
          <w:rStyle w:val="Heading1CEAChar"/>
          <w:rFonts w:ascii="Verdana" w:hAnsi="Verdana"/>
          <w:bCs/>
          <w:color w:val="000000" w:themeColor="text1"/>
          <w:sz w:val="17"/>
          <w:szCs w:val="17"/>
        </w:rPr>
        <w:t>fi</w:t>
      </w:r>
      <w:r w:rsidR="004A09F8">
        <w:rPr>
          <w:rStyle w:val="Heading1CEAChar"/>
          <w:rFonts w:ascii="Verdana" w:hAnsi="Verdana"/>
          <w:bCs/>
          <w:color w:val="000000" w:themeColor="text1"/>
          <w:sz w:val="17"/>
          <w:szCs w:val="17"/>
        </w:rPr>
        <w:t>l</w:t>
      </w:r>
      <w:r w:rsidR="004A09F8" w:rsidRPr="004A09F8">
        <w:rPr>
          <w:rStyle w:val="Heading1CEAChar"/>
          <w:rFonts w:ascii="Verdana" w:hAnsi="Verdana"/>
          <w:bCs/>
          <w:color w:val="000000" w:themeColor="text1"/>
          <w:sz w:val="17"/>
          <w:szCs w:val="17"/>
        </w:rPr>
        <w:t xml:space="preserve"> its reporting requirements</w:t>
      </w:r>
      <w:r w:rsidR="00BF7AEA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. </w:t>
      </w:r>
      <w:r w:rsidR="00EE35C5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 </w:t>
      </w:r>
      <w:r w:rsidR="00BF7AEA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 </w:t>
      </w:r>
      <w:r w:rsidR="004A09F8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 </w:t>
      </w:r>
    </w:p>
    <w:p w14:paraId="26D92041" w14:textId="2B59AFA0" w:rsidR="00FA0B0F" w:rsidRPr="00D0362C" w:rsidRDefault="00FA0B0F" w:rsidP="00CC6B6C">
      <w:pPr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</w:pPr>
    </w:p>
    <w:p w14:paraId="448B1AA3" w14:textId="4EBF6F67" w:rsidR="00FC4AC3" w:rsidRPr="00FA0B0F" w:rsidRDefault="008252FA" w:rsidP="00400ABA">
      <w:pPr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</w:pPr>
      <w:r w:rsidRPr="00FA0B0F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>T</w:t>
      </w:r>
      <w:r w:rsidR="00FC4AC3" w:rsidRPr="00FA0B0F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he </w:t>
      </w:r>
      <w:r w:rsidR="00D35B70" w:rsidRPr="00FA0B0F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>EC’s draft FAQs of December 2023</w:t>
      </w:r>
      <w:r w:rsidR="004E12D6" w:rsidRPr="00FA0B0F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 provides </w:t>
      </w:r>
      <w:r w:rsidR="00400ABA" w:rsidRPr="00FA0B0F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>indications to f</w:t>
      </w:r>
      <w:r w:rsidR="004E12D6" w:rsidRPr="00FA0B0F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>ill in</w:t>
      </w:r>
      <w:r w:rsidR="005E1408" w:rsidRPr="00FA0B0F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 </w:t>
      </w:r>
      <w:r w:rsidR="00B52EF1" w:rsidRPr="00FA0B0F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>templates</w:t>
      </w:r>
      <w:r w:rsidR="005E1408" w:rsidRPr="00FA0B0F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 </w:t>
      </w:r>
      <w:r w:rsidR="00400ABA" w:rsidRPr="00FA0B0F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>on nuclear energy and fossil gas activities</w:t>
      </w:r>
      <w:r w:rsidR="00B52EF1" w:rsidRPr="00FA0B0F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>, fulfilling</w:t>
      </w:r>
      <w:r w:rsidRPr="00FA0B0F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 </w:t>
      </w:r>
      <w:r w:rsidR="00B52EF1" w:rsidRPr="00FA0B0F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reporting requirements </w:t>
      </w:r>
      <w:r w:rsidR="00913F5E" w:rsidRPr="00FA0B0F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>under the</w:t>
      </w:r>
      <w:r w:rsidR="00D45A6E" w:rsidRPr="00FA0B0F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 </w:t>
      </w:r>
      <w:r w:rsidR="00913F5E" w:rsidRPr="00FA0B0F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Complementary Climate </w:t>
      </w:r>
      <w:r w:rsidR="000F7AE3" w:rsidRPr="00FA0B0F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Disclosure </w:t>
      </w:r>
      <w:r w:rsidR="00913F5E" w:rsidRPr="00FA0B0F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>Delegated Act</w:t>
      </w:r>
      <w:r w:rsidR="00D45A6E" w:rsidRPr="00FA0B0F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: </w:t>
      </w:r>
    </w:p>
    <w:p w14:paraId="1A9F353F" w14:textId="703AB09E" w:rsidR="001B3C9C" w:rsidRPr="000F4364" w:rsidRDefault="001B3C9C" w:rsidP="000F4364">
      <w:pPr>
        <w:pStyle w:val="Odsekzoznamu"/>
        <w:numPr>
          <w:ilvl w:val="0"/>
          <w:numId w:val="11"/>
        </w:numPr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</w:pPr>
      <w:r w:rsidRPr="000F4364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>Underwriting KPI</w:t>
      </w:r>
      <w:r w:rsidR="002B0DA7" w:rsidRPr="000F4364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: </w:t>
      </w:r>
      <w:r w:rsidRPr="000F4364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5 mandatory templates on nuclear </w:t>
      </w:r>
      <w:r w:rsidR="005F7C5C" w:rsidRPr="000F4364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>and</w:t>
      </w:r>
      <w:r w:rsidRPr="000F4364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 gas exposures.</w:t>
      </w:r>
    </w:p>
    <w:p w14:paraId="3AE55602" w14:textId="3F3D56FF" w:rsidR="001B3C9C" w:rsidRPr="000F4364" w:rsidRDefault="001B3C9C" w:rsidP="000F4364">
      <w:pPr>
        <w:pStyle w:val="Odsekzoznamu"/>
        <w:numPr>
          <w:ilvl w:val="0"/>
          <w:numId w:val="11"/>
        </w:numPr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</w:pPr>
      <w:r w:rsidRPr="000F4364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>Investment KPI</w:t>
      </w:r>
      <w:r w:rsidR="005F7C5C" w:rsidRPr="000F4364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: </w:t>
      </w:r>
      <w:r w:rsidR="001A3D53" w:rsidRPr="000F4364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5 mandatory templates on nuclear </w:t>
      </w:r>
      <w:r w:rsidR="005F7C5C" w:rsidRPr="000F4364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and </w:t>
      </w:r>
      <w:r w:rsidR="001A3D53" w:rsidRPr="000F4364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>gas exposures</w:t>
      </w:r>
      <w:r w:rsidR="001226D9" w:rsidRPr="000F4364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 </w:t>
      </w:r>
      <w:r w:rsidR="005B1FB8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about </w:t>
      </w:r>
      <w:r w:rsidR="001A3D53" w:rsidRPr="000F4364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the turnover-based </w:t>
      </w:r>
      <w:r w:rsidR="00572D88" w:rsidRPr="000F4364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>I</w:t>
      </w:r>
      <w:r w:rsidR="001A3D53" w:rsidRPr="000F4364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nvestment KPI; plus 5 mandatory templates on nuclear &amp; gas exposures </w:t>
      </w:r>
      <w:r w:rsidR="005B1FB8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>about</w:t>
      </w:r>
      <w:r w:rsidR="001A3D53" w:rsidRPr="000F4364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 the Cap</w:t>
      </w:r>
      <w:r w:rsidR="004D283D" w:rsidRPr="000F4364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ital </w:t>
      </w:r>
      <w:r w:rsidR="001A3D53" w:rsidRPr="000F4364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>Ex</w:t>
      </w:r>
      <w:r w:rsidR="004D283D" w:rsidRPr="000F4364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>penditure</w:t>
      </w:r>
      <w:r w:rsidR="001A3D53" w:rsidRPr="000F4364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 based </w:t>
      </w:r>
      <w:r w:rsidR="00572D88" w:rsidRPr="000F4364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>I</w:t>
      </w:r>
      <w:r w:rsidR="001A3D53" w:rsidRPr="000F4364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>nvestment KPI.</w:t>
      </w:r>
    </w:p>
    <w:p w14:paraId="1147E8CF" w14:textId="3877684C" w:rsidR="00654C7E" w:rsidRPr="00FA0B0F" w:rsidRDefault="004D283D" w:rsidP="0001409C">
      <w:pPr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</w:pPr>
      <w:r w:rsidRPr="00FA0B0F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Therefore, </w:t>
      </w:r>
      <w:r w:rsidR="000F618B" w:rsidRPr="00FA0B0F">
        <w:rPr>
          <w:rStyle w:val="Heading1CEAChar"/>
          <w:rFonts w:ascii="Verdana" w:hAnsi="Verdana"/>
          <w:bCs/>
          <w:color w:val="000000" w:themeColor="text1"/>
          <w:sz w:val="17"/>
          <w:szCs w:val="17"/>
        </w:rPr>
        <w:t xml:space="preserve">out of </w:t>
      </w:r>
      <w:r w:rsidR="00C74A57" w:rsidRPr="00FA0B0F">
        <w:rPr>
          <w:rStyle w:val="Heading1CEAChar"/>
          <w:rFonts w:ascii="Verdana" w:hAnsi="Verdana"/>
          <w:bCs/>
          <w:color w:val="000000" w:themeColor="text1"/>
          <w:sz w:val="17"/>
          <w:szCs w:val="17"/>
        </w:rPr>
        <w:t xml:space="preserve">25 </w:t>
      </w:r>
      <w:r w:rsidR="000F618B" w:rsidRPr="00FA0B0F">
        <w:rPr>
          <w:rStyle w:val="Heading1CEAChar"/>
          <w:rFonts w:ascii="Verdana" w:hAnsi="Verdana"/>
          <w:bCs/>
          <w:color w:val="000000" w:themeColor="text1"/>
          <w:sz w:val="17"/>
          <w:szCs w:val="17"/>
        </w:rPr>
        <w:t xml:space="preserve">reporting templates </w:t>
      </w:r>
      <w:r w:rsidR="00C74A57" w:rsidRPr="00FA0B0F">
        <w:rPr>
          <w:rStyle w:val="Heading1CEAChar"/>
          <w:rFonts w:ascii="Verdana" w:hAnsi="Verdana"/>
          <w:bCs/>
          <w:color w:val="000000" w:themeColor="text1"/>
          <w:sz w:val="17"/>
          <w:szCs w:val="17"/>
        </w:rPr>
        <w:t xml:space="preserve">for </w:t>
      </w:r>
      <w:r w:rsidR="000F618B" w:rsidRPr="00FA0B0F">
        <w:rPr>
          <w:rStyle w:val="Heading1CEAChar"/>
          <w:rFonts w:ascii="Verdana" w:hAnsi="Verdana"/>
          <w:bCs/>
          <w:color w:val="000000" w:themeColor="text1"/>
          <w:sz w:val="17"/>
          <w:szCs w:val="17"/>
        </w:rPr>
        <w:t>the EU T</w:t>
      </w:r>
      <w:r w:rsidR="00C74A57" w:rsidRPr="00FA0B0F">
        <w:rPr>
          <w:rStyle w:val="Heading1CEAChar"/>
          <w:rFonts w:ascii="Verdana" w:hAnsi="Verdana"/>
          <w:bCs/>
          <w:color w:val="000000" w:themeColor="text1"/>
          <w:sz w:val="17"/>
          <w:szCs w:val="17"/>
        </w:rPr>
        <w:t>axonomy regulation,</w:t>
      </w:r>
      <w:r w:rsidR="000F618B" w:rsidRPr="00FA0B0F">
        <w:rPr>
          <w:rStyle w:val="Heading1CEAChar"/>
          <w:rFonts w:ascii="Verdana" w:hAnsi="Verdana"/>
          <w:bCs/>
          <w:color w:val="000000" w:themeColor="text1"/>
          <w:sz w:val="17"/>
          <w:szCs w:val="17"/>
        </w:rPr>
        <w:t xml:space="preserve"> </w:t>
      </w:r>
      <w:r w:rsidR="00C74A57" w:rsidRPr="00FA0B0F">
        <w:rPr>
          <w:rStyle w:val="Heading1CEAChar"/>
          <w:rFonts w:ascii="Verdana" w:hAnsi="Verdana"/>
          <w:bCs/>
          <w:color w:val="000000" w:themeColor="text1"/>
          <w:sz w:val="17"/>
          <w:szCs w:val="17"/>
        </w:rPr>
        <w:t xml:space="preserve">more than half (15) </w:t>
      </w:r>
      <w:r w:rsidR="00FA0B0F" w:rsidRPr="00FA0B0F">
        <w:rPr>
          <w:rStyle w:val="Heading1CEAChar"/>
          <w:rFonts w:ascii="Verdana" w:hAnsi="Verdana"/>
          <w:bCs/>
          <w:color w:val="000000" w:themeColor="text1"/>
          <w:sz w:val="17"/>
          <w:szCs w:val="17"/>
        </w:rPr>
        <w:t xml:space="preserve">concern </w:t>
      </w:r>
      <w:r w:rsidR="00C74A57" w:rsidRPr="00FA0B0F">
        <w:rPr>
          <w:rStyle w:val="Heading1CEAChar"/>
          <w:rFonts w:ascii="Verdana" w:hAnsi="Verdana"/>
          <w:bCs/>
          <w:color w:val="000000" w:themeColor="text1"/>
          <w:sz w:val="17"/>
          <w:szCs w:val="17"/>
        </w:rPr>
        <w:t>nuclear and gas</w:t>
      </w:r>
      <w:r w:rsidR="00C51850" w:rsidRPr="00FA0B0F">
        <w:rPr>
          <w:rStyle w:val="Heading1CEAChar"/>
          <w:rFonts w:ascii="Verdana" w:hAnsi="Verdana"/>
          <w:bCs/>
          <w:color w:val="000000" w:themeColor="text1"/>
          <w:sz w:val="17"/>
          <w:szCs w:val="17"/>
        </w:rPr>
        <w:t xml:space="preserve"> activities.</w:t>
      </w:r>
      <w:r w:rsidR="00C51850" w:rsidRPr="00FA0B0F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 </w:t>
      </w:r>
      <w:r w:rsidR="00EF6A15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These </w:t>
      </w:r>
      <w:r w:rsidR="00C700D0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extensive </w:t>
      </w:r>
      <w:r w:rsidR="00E73A9A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reporting </w:t>
      </w:r>
      <w:r w:rsidR="00EF6A15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requirements </w:t>
      </w:r>
      <w:r w:rsidR="00E17289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>f</w:t>
      </w:r>
      <w:r w:rsidR="00EF6A15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>o</w:t>
      </w:r>
      <w:r w:rsidR="00E17289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>r</w:t>
      </w:r>
      <w:r w:rsidR="00EF6A15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 </w:t>
      </w:r>
      <w:r w:rsidR="002E2BE4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only </w:t>
      </w:r>
      <w:r w:rsidR="006D73BC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>two</w:t>
      </w:r>
      <w:r w:rsidR="00273463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 </w:t>
      </w:r>
      <w:r w:rsidR="006D73BC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>activities</w:t>
      </w:r>
      <w:r w:rsidR="00273463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 </w:t>
      </w:r>
      <w:r w:rsidR="00BA32E0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generate </w:t>
      </w:r>
      <w:r w:rsidR="00B815DC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>an excessive reporting burden</w:t>
      </w:r>
      <w:r w:rsidR="00BC636A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 and set the wrong priorities.</w:t>
      </w:r>
      <w:r w:rsidR="00E318B1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 </w:t>
      </w:r>
      <w:r w:rsidR="006847DE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 </w:t>
      </w:r>
    </w:p>
    <w:p w14:paraId="03A37C03" w14:textId="562FB9F2" w:rsidR="0009775E" w:rsidRDefault="00FA48DB" w:rsidP="0001409C">
      <w:pPr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</w:pPr>
      <w:r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Further remarks are </w:t>
      </w:r>
      <w:r w:rsidR="00702CF3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>presented</w:t>
      </w:r>
      <w:r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 </w:t>
      </w:r>
      <w:r w:rsidR="0009775E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>in these documents prepared by European insurers:</w:t>
      </w:r>
    </w:p>
    <w:p w14:paraId="099BF73B" w14:textId="05F6D4F2" w:rsidR="0001409C" w:rsidRPr="0001409C" w:rsidRDefault="0001409C" w:rsidP="0009775E">
      <w:pPr>
        <w:pStyle w:val="CEABullet-Level1"/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</w:pPr>
      <w:r w:rsidRPr="0001409C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A statement to address areas where the </w:t>
      </w:r>
      <w:r w:rsidR="004140A2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>EC</w:t>
      </w:r>
      <w:r w:rsidR="0009775E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 </w:t>
      </w:r>
      <w:r w:rsidRPr="0001409C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draft FAQs appear to go beyond </w:t>
      </w:r>
      <w:r w:rsidR="00744378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>the</w:t>
      </w:r>
      <w:r w:rsidR="008A60BF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 </w:t>
      </w:r>
      <w:r w:rsidRPr="0001409C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Taxonomy </w:t>
      </w:r>
      <w:r w:rsidR="00744378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legal </w:t>
      </w:r>
      <w:r w:rsidRPr="0001409C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>requirements or to conflict with</w:t>
      </w:r>
      <w:r w:rsidR="00702CF3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 the </w:t>
      </w:r>
      <w:r w:rsidR="0009775E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EU </w:t>
      </w:r>
      <w:r w:rsidR="00744378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legislation </w:t>
      </w:r>
      <w:r w:rsidRPr="0001409C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>(March 2024)</w:t>
      </w:r>
      <w:r w:rsidR="004E4A76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, available </w:t>
      </w:r>
      <w:hyperlink r:id="rId18" w:history="1">
        <w:r w:rsidR="004E4A76" w:rsidRPr="008B469F">
          <w:rPr>
            <w:rStyle w:val="Hypertextovprepojenie"/>
            <w:rFonts w:cs="Times New Roman"/>
            <w:color w:val="3333FF"/>
            <w:szCs w:val="17"/>
          </w:rPr>
          <w:t>here</w:t>
        </w:r>
      </w:hyperlink>
      <w:r w:rsidR="004E4A76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>.</w:t>
      </w:r>
      <w:r w:rsidRPr="0001409C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 </w:t>
      </w:r>
    </w:p>
    <w:p w14:paraId="29FAA52D" w14:textId="0D263650" w:rsidR="00CC6B6C" w:rsidRPr="00CC6B6C" w:rsidRDefault="0001409C" w:rsidP="0009775E">
      <w:pPr>
        <w:pStyle w:val="CEABullet-Level1"/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</w:pPr>
      <w:r w:rsidRPr="0001409C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A position paper to understand insurers' first reporting of </w:t>
      </w:r>
      <w:r w:rsidR="00B76728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the </w:t>
      </w:r>
      <w:r w:rsidRPr="0001409C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>Taxonomy</w:t>
      </w:r>
      <w:r w:rsidR="00B76728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>’</w:t>
      </w:r>
      <w:r w:rsidRPr="0001409C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>s Underwriting and Investment KPIs (July 2024)</w:t>
      </w:r>
      <w:r w:rsidR="00B76728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, available </w:t>
      </w:r>
      <w:hyperlink r:id="rId19" w:history="1">
        <w:r w:rsidR="00B76728" w:rsidRPr="008B469F">
          <w:rPr>
            <w:rStyle w:val="Hypertextovprepojenie"/>
            <w:rFonts w:cs="Times New Roman"/>
            <w:color w:val="3333FF"/>
            <w:szCs w:val="17"/>
          </w:rPr>
          <w:t>here</w:t>
        </w:r>
      </w:hyperlink>
      <w:r w:rsidR="00B76728">
        <w:rPr>
          <w:rStyle w:val="Heading1CEAChar"/>
          <w:rFonts w:ascii="Verdana" w:hAnsi="Verdana"/>
          <w:b w:val="0"/>
          <w:color w:val="000000" w:themeColor="text1"/>
          <w:sz w:val="17"/>
          <w:szCs w:val="17"/>
        </w:rPr>
        <w:t xml:space="preserve">. </w:t>
      </w:r>
    </w:p>
    <w:p w14:paraId="25101DA7" w14:textId="292874A8" w:rsidR="00152882" w:rsidRPr="003D0236" w:rsidRDefault="00152882" w:rsidP="003D0236">
      <w:pPr>
        <w:autoSpaceDE w:val="0"/>
        <w:autoSpaceDN w:val="0"/>
        <w:adjustRightInd w:val="0"/>
        <w:rPr>
          <w:sz w:val="17"/>
          <w:szCs w:val="17"/>
        </w:rPr>
      </w:pPr>
      <w:bookmarkStart w:id="2" w:name="BorderPlate"/>
      <w:bookmarkEnd w:id="2"/>
    </w:p>
    <w:p w14:paraId="1EEC999F" w14:textId="03B00F39" w:rsidR="002341C7" w:rsidRPr="003D0236" w:rsidRDefault="002341C7" w:rsidP="002341C7">
      <w:pPr>
        <w:autoSpaceDE w:val="0"/>
        <w:autoSpaceDN w:val="0"/>
        <w:adjustRightInd w:val="0"/>
        <w:rPr>
          <w:b/>
          <w:color w:val="002957"/>
          <w:sz w:val="17"/>
          <w:szCs w:val="17"/>
        </w:rPr>
      </w:pPr>
      <w:r>
        <w:rPr>
          <w:b/>
          <w:color w:val="002957"/>
          <w:sz w:val="17"/>
          <w:szCs w:val="17"/>
        </w:rPr>
        <w:t xml:space="preserve">Recommendations for the way forward </w:t>
      </w:r>
    </w:p>
    <w:p w14:paraId="26E6623D" w14:textId="14EC153A" w:rsidR="008640A7" w:rsidRDefault="008640A7" w:rsidP="008640A7">
      <w:pPr>
        <w:rPr>
          <w:sz w:val="17"/>
          <w:szCs w:val="17"/>
        </w:rPr>
      </w:pPr>
      <w:r>
        <w:rPr>
          <w:sz w:val="17"/>
          <w:szCs w:val="17"/>
        </w:rPr>
        <w:t xml:space="preserve">The shortcomings of the current EU Taxonomy framework, as identified in the previous section, </w:t>
      </w:r>
      <w:r w:rsidRPr="008640A7">
        <w:rPr>
          <w:sz w:val="17"/>
          <w:szCs w:val="17"/>
        </w:rPr>
        <w:t xml:space="preserve">may jeopardise the ability of </w:t>
      </w:r>
      <w:r w:rsidR="0069077B">
        <w:rPr>
          <w:sz w:val="17"/>
          <w:szCs w:val="17"/>
        </w:rPr>
        <w:t xml:space="preserve">EU </w:t>
      </w:r>
      <w:r>
        <w:rPr>
          <w:sz w:val="17"/>
          <w:szCs w:val="17"/>
        </w:rPr>
        <w:t>T</w:t>
      </w:r>
      <w:r w:rsidRPr="008640A7">
        <w:rPr>
          <w:sz w:val="17"/>
          <w:szCs w:val="17"/>
        </w:rPr>
        <w:t xml:space="preserve">axonomy data users to fully understand </w:t>
      </w:r>
      <w:r w:rsidR="00422187">
        <w:rPr>
          <w:sz w:val="17"/>
          <w:szCs w:val="17"/>
        </w:rPr>
        <w:t xml:space="preserve">insurers’ </w:t>
      </w:r>
      <w:r w:rsidRPr="008640A7">
        <w:rPr>
          <w:sz w:val="17"/>
          <w:szCs w:val="17"/>
        </w:rPr>
        <w:t xml:space="preserve">contribution to </w:t>
      </w:r>
      <w:r w:rsidR="00422187">
        <w:rPr>
          <w:sz w:val="17"/>
          <w:szCs w:val="17"/>
        </w:rPr>
        <w:t>sustainability objectives</w:t>
      </w:r>
      <w:r w:rsidR="002E13F5">
        <w:rPr>
          <w:sz w:val="17"/>
          <w:szCs w:val="17"/>
        </w:rPr>
        <w:t>. Hence</w:t>
      </w:r>
      <w:r w:rsidR="002E13F5" w:rsidRPr="002E13F5">
        <w:rPr>
          <w:sz w:val="17"/>
          <w:szCs w:val="17"/>
        </w:rPr>
        <w:t xml:space="preserve">, </w:t>
      </w:r>
      <w:r w:rsidR="00422187">
        <w:rPr>
          <w:sz w:val="17"/>
          <w:szCs w:val="17"/>
        </w:rPr>
        <w:t>Insurance Europe</w:t>
      </w:r>
      <w:r w:rsidR="002E13F5" w:rsidRPr="002E13F5">
        <w:rPr>
          <w:sz w:val="17"/>
          <w:szCs w:val="17"/>
        </w:rPr>
        <w:t xml:space="preserve"> </w:t>
      </w:r>
      <w:r w:rsidR="00E24D2A">
        <w:rPr>
          <w:sz w:val="17"/>
          <w:szCs w:val="17"/>
        </w:rPr>
        <w:t>provide</w:t>
      </w:r>
      <w:r w:rsidR="008A60BF">
        <w:rPr>
          <w:sz w:val="17"/>
          <w:szCs w:val="17"/>
        </w:rPr>
        <w:t>s</w:t>
      </w:r>
      <w:r w:rsidR="002E13F5" w:rsidRPr="002E13F5">
        <w:rPr>
          <w:sz w:val="17"/>
          <w:szCs w:val="17"/>
        </w:rPr>
        <w:t xml:space="preserve"> the following recommendations</w:t>
      </w:r>
      <w:r w:rsidR="002E13F5">
        <w:rPr>
          <w:sz w:val="17"/>
          <w:szCs w:val="17"/>
        </w:rPr>
        <w:t>:</w:t>
      </w:r>
    </w:p>
    <w:p w14:paraId="0804620C" w14:textId="77777777" w:rsidR="00061E79" w:rsidRDefault="00061E79" w:rsidP="008640A7">
      <w:pPr>
        <w:rPr>
          <w:sz w:val="17"/>
          <w:szCs w:val="17"/>
        </w:rPr>
      </w:pPr>
    </w:p>
    <w:p w14:paraId="04D3B74C" w14:textId="29E62E04" w:rsidR="00192F9B" w:rsidRDefault="00061E79" w:rsidP="00192F9B">
      <w:pPr>
        <w:rPr>
          <w:b/>
          <w:bCs/>
          <w:sz w:val="17"/>
          <w:szCs w:val="17"/>
        </w:rPr>
      </w:pPr>
      <w:r w:rsidRPr="00061E79">
        <w:rPr>
          <w:b/>
          <w:bCs/>
          <w:sz w:val="17"/>
          <w:szCs w:val="17"/>
        </w:rPr>
        <w:t xml:space="preserve">Concerning the level 1 </w:t>
      </w:r>
      <w:r w:rsidR="005B1759">
        <w:rPr>
          <w:b/>
          <w:bCs/>
          <w:sz w:val="17"/>
          <w:szCs w:val="17"/>
        </w:rPr>
        <w:t xml:space="preserve">legislation </w:t>
      </w:r>
    </w:p>
    <w:p w14:paraId="71306248" w14:textId="464D7F1E" w:rsidR="00192F9B" w:rsidRPr="004958A2" w:rsidRDefault="00192F9B" w:rsidP="004958A2">
      <w:pPr>
        <w:rPr>
          <w:sz w:val="17"/>
          <w:szCs w:val="17"/>
        </w:rPr>
      </w:pPr>
    </w:p>
    <w:p w14:paraId="68374855" w14:textId="4E4D5B80" w:rsidR="00192F9B" w:rsidRPr="00740B64" w:rsidRDefault="00192F9B" w:rsidP="007C29F3">
      <w:pPr>
        <w:pStyle w:val="Odsekzoznamu"/>
        <w:numPr>
          <w:ilvl w:val="0"/>
          <w:numId w:val="21"/>
        </w:numPr>
        <w:rPr>
          <w:sz w:val="17"/>
          <w:szCs w:val="17"/>
        </w:rPr>
      </w:pPr>
      <w:r w:rsidRPr="003C1D16">
        <w:rPr>
          <w:b/>
          <w:bCs/>
          <w:sz w:val="17"/>
          <w:szCs w:val="17"/>
        </w:rPr>
        <w:t>The EU Taxonomy should also cover currently excluded asset classes that insurers want and need to invest in</w:t>
      </w:r>
      <w:r w:rsidRPr="00F05A7A">
        <w:rPr>
          <w:sz w:val="17"/>
          <w:szCs w:val="17"/>
        </w:rPr>
        <w:t xml:space="preserve"> to guarantee a diversified portfolio and the asset-liability matching, namely: sovereign exposures, infrastructure projects, exposures to Small- and Medium-sized Enterprises, and investments in non-EU companies.</w:t>
      </w:r>
      <w:r w:rsidR="007C29F3">
        <w:rPr>
          <w:sz w:val="17"/>
          <w:szCs w:val="17"/>
        </w:rPr>
        <w:t xml:space="preserve"> </w:t>
      </w:r>
      <w:r w:rsidR="00E73A67">
        <w:rPr>
          <w:sz w:val="17"/>
          <w:szCs w:val="17"/>
          <w:lang w:val="en-US"/>
        </w:rPr>
        <w:t>T</w:t>
      </w:r>
      <w:r w:rsidR="007C29F3" w:rsidRPr="007C29F3">
        <w:rPr>
          <w:sz w:val="17"/>
          <w:szCs w:val="17"/>
        </w:rPr>
        <w:t xml:space="preserve">his includes the development of methodologies for these asset classes for measuring </w:t>
      </w:r>
      <w:r w:rsidR="00E73A67">
        <w:rPr>
          <w:sz w:val="17"/>
          <w:szCs w:val="17"/>
          <w:lang w:val="en-US"/>
        </w:rPr>
        <w:t>T</w:t>
      </w:r>
      <w:proofErr w:type="spellStart"/>
      <w:r w:rsidR="007C29F3" w:rsidRPr="007C29F3">
        <w:rPr>
          <w:sz w:val="17"/>
          <w:szCs w:val="17"/>
        </w:rPr>
        <w:t>axonony</w:t>
      </w:r>
      <w:proofErr w:type="spellEnd"/>
      <w:r w:rsidR="007C29F3" w:rsidRPr="007C29F3">
        <w:rPr>
          <w:sz w:val="17"/>
          <w:szCs w:val="17"/>
        </w:rPr>
        <w:t xml:space="preserve"> alignment.</w:t>
      </w:r>
    </w:p>
    <w:p w14:paraId="2BDEDF8A" w14:textId="2BDA4D96" w:rsidR="00192F9B" w:rsidRPr="00F05A7A" w:rsidRDefault="00192F9B" w:rsidP="00192F9B">
      <w:pPr>
        <w:pStyle w:val="Odsekzoznamu"/>
        <w:numPr>
          <w:ilvl w:val="0"/>
          <w:numId w:val="21"/>
        </w:numPr>
        <w:rPr>
          <w:sz w:val="17"/>
          <w:szCs w:val="17"/>
          <w:lang w:val="en-US"/>
        </w:rPr>
      </w:pPr>
      <w:r w:rsidRPr="009B7528">
        <w:rPr>
          <w:b/>
          <w:bCs/>
          <w:sz w:val="17"/>
          <w:szCs w:val="17"/>
          <w:lang w:val="en-US"/>
        </w:rPr>
        <w:t xml:space="preserve">The EU Taxonomy should appropriately </w:t>
      </w:r>
      <w:proofErr w:type="spellStart"/>
      <w:r w:rsidRPr="009B7528">
        <w:rPr>
          <w:b/>
          <w:bCs/>
          <w:sz w:val="17"/>
          <w:szCs w:val="17"/>
          <w:lang w:val="en-US"/>
        </w:rPr>
        <w:t>recognise</w:t>
      </w:r>
      <w:proofErr w:type="spellEnd"/>
      <w:r w:rsidRPr="009B7528">
        <w:rPr>
          <w:b/>
          <w:bCs/>
          <w:sz w:val="17"/>
          <w:szCs w:val="17"/>
          <w:lang w:val="en-US"/>
        </w:rPr>
        <w:t xml:space="preserve"> transition investments,</w:t>
      </w:r>
      <w:r w:rsidRPr="00681A52">
        <w:rPr>
          <w:sz w:val="17"/>
          <w:szCs w:val="17"/>
          <w:lang w:val="en-US"/>
        </w:rPr>
        <w:t xml:space="preserve"> which are currently not under the regulation’s scope: this adjustment would allow insurers to play their role in financing the transition. </w:t>
      </w:r>
    </w:p>
    <w:p w14:paraId="7FF386F2" w14:textId="77777777" w:rsidR="00192F9B" w:rsidRDefault="00192F9B" w:rsidP="003D0236">
      <w:pPr>
        <w:autoSpaceDE w:val="0"/>
        <w:autoSpaceDN w:val="0"/>
        <w:adjustRightInd w:val="0"/>
        <w:rPr>
          <w:b/>
          <w:bCs/>
          <w:sz w:val="17"/>
          <w:szCs w:val="17"/>
        </w:rPr>
      </w:pPr>
    </w:p>
    <w:p w14:paraId="0889FF8B" w14:textId="5FFD8FBB" w:rsidR="00192F9B" w:rsidRDefault="00192F9B" w:rsidP="003D0236">
      <w:pPr>
        <w:autoSpaceDE w:val="0"/>
        <w:autoSpaceDN w:val="0"/>
        <w:adjustRightInd w:val="0"/>
        <w:rPr>
          <w:b/>
          <w:bCs/>
          <w:sz w:val="17"/>
          <w:szCs w:val="17"/>
        </w:rPr>
      </w:pPr>
      <w:r>
        <w:rPr>
          <w:b/>
          <w:bCs/>
          <w:sz w:val="17"/>
          <w:szCs w:val="17"/>
        </w:rPr>
        <w:t xml:space="preserve">Concerning the levels 2 and 3 </w:t>
      </w:r>
      <w:proofErr w:type="gramStart"/>
      <w:r>
        <w:rPr>
          <w:b/>
          <w:bCs/>
          <w:sz w:val="17"/>
          <w:szCs w:val="17"/>
        </w:rPr>
        <w:t>legislation</w:t>
      </w:r>
      <w:proofErr w:type="gramEnd"/>
    </w:p>
    <w:p w14:paraId="4E012705" w14:textId="59B4B4FC" w:rsidR="003B67CF" w:rsidRDefault="003B67CF" w:rsidP="003D0236">
      <w:pPr>
        <w:autoSpaceDE w:val="0"/>
        <w:autoSpaceDN w:val="0"/>
        <w:adjustRightInd w:val="0"/>
        <w:rPr>
          <w:sz w:val="17"/>
          <w:szCs w:val="17"/>
        </w:rPr>
      </w:pPr>
    </w:p>
    <w:p w14:paraId="3A6FB99A" w14:textId="64A840A4" w:rsidR="00192F9B" w:rsidRPr="008B1D86" w:rsidRDefault="00192F9B" w:rsidP="00192F9B">
      <w:pPr>
        <w:pStyle w:val="Odsekzoznamu"/>
        <w:numPr>
          <w:ilvl w:val="0"/>
          <w:numId w:val="13"/>
        </w:numPr>
        <w:rPr>
          <w:sz w:val="17"/>
          <w:szCs w:val="17"/>
        </w:rPr>
      </w:pPr>
      <w:r w:rsidRPr="008B1D86">
        <w:rPr>
          <w:sz w:val="17"/>
          <w:szCs w:val="17"/>
        </w:rPr>
        <w:t xml:space="preserve">To align the EU Taxonomy with other reporting components of EU legislation addressing sustainability and to focus only on relevant activities, </w:t>
      </w:r>
      <w:r w:rsidRPr="008B1D86">
        <w:rPr>
          <w:b/>
          <w:bCs/>
          <w:sz w:val="17"/>
          <w:szCs w:val="17"/>
        </w:rPr>
        <w:t>the EU Taxonomy reporting should be subject to a materiality filter</w:t>
      </w:r>
      <w:r w:rsidRPr="008B1D86">
        <w:rPr>
          <w:sz w:val="17"/>
          <w:szCs w:val="17"/>
        </w:rPr>
        <w:t xml:space="preserve">. </w:t>
      </w:r>
      <w:r w:rsidR="00081134">
        <w:rPr>
          <w:sz w:val="17"/>
          <w:szCs w:val="17"/>
        </w:rPr>
        <w:t>T</w:t>
      </w:r>
      <w:r w:rsidR="000F00C0">
        <w:rPr>
          <w:sz w:val="17"/>
          <w:szCs w:val="17"/>
        </w:rPr>
        <w:t>o avoid u</w:t>
      </w:r>
      <w:r w:rsidR="009134C9">
        <w:rPr>
          <w:sz w:val="17"/>
          <w:szCs w:val="17"/>
        </w:rPr>
        <w:t xml:space="preserve">nnecessary reporting burden, </w:t>
      </w:r>
      <w:r w:rsidRPr="008B1D86">
        <w:rPr>
          <w:sz w:val="17"/>
          <w:szCs w:val="17"/>
        </w:rPr>
        <w:t xml:space="preserve">adjustments to the framework should </w:t>
      </w:r>
      <w:r w:rsidRPr="008B1D86">
        <w:rPr>
          <w:b/>
          <w:bCs/>
          <w:sz w:val="17"/>
          <w:szCs w:val="17"/>
        </w:rPr>
        <w:t xml:space="preserve">address the excessive reporting requirements </w:t>
      </w:r>
      <w:r w:rsidR="006A04F5">
        <w:rPr>
          <w:b/>
          <w:bCs/>
          <w:sz w:val="17"/>
          <w:szCs w:val="17"/>
        </w:rPr>
        <w:t xml:space="preserve">- </w:t>
      </w:r>
      <w:r w:rsidR="007D09F4">
        <w:rPr>
          <w:b/>
          <w:bCs/>
          <w:sz w:val="17"/>
          <w:szCs w:val="17"/>
        </w:rPr>
        <w:t xml:space="preserve">especially for </w:t>
      </w:r>
      <w:r w:rsidR="00DA38F1">
        <w:rPr>
          <w:b/>
          <w:bCs/>
          <w:sz w:val="17"/>
          <w:szCs w:val="17"/>
        </w:rPr>
        <w:t>the Investment KPI</w:t>
      </w:r>
      <w:r w:rsidR="005D33B0">
        <w:rPr>
          <w:sz w:val="17"/>
          <w:szCs w:val="17"/>
        </w:rPr>
        <w:t>;</w:t>
      </w:r>
      <w:r w:rsidR="006A04F5" w:rsidRPr="00365E25">
        <w:rPr>
          <w:sz w:val="17"/>
          <w:szCs w:val="17"/>
        </w:rPr>
        <w:t xml:space="preserve"> </w:t>
      </w:r>
      <w:r w:rsidR="00B22ECC">
        <w:rPr>
          <w:sz w:val="17"/>
          <w:szCs w:val="17"/>
        </w:rPr>
        <w:t xml:space="preserve">and </w:t>
      </w:r>
      <w:r w:rsidR="006A04F5" w:rsidRPr="00365E25">
        <w:rPr>
          <w:sz w:val="17"/>
          <w:szCs w:val="17"/>
        </w:rPr>
        <w:t>should</w:t>
      </w:r>
      <w:r w:rsidR="006A04F5">
        <w:rPr>
          <w:b/>
          <w:bCs/>
          <w:sz w:val="17"/>
          <w:szCs w:val="17"/>
        </w:rPr>
        <w:t xml:space="preserve"> clarify that </w:t>
      </w:r>
      <w:r w:rsidRPr="008B1D86">
        <w:rPr>
          <w:b/>
          <w:bCs/>
          <w:sz w:val="17"/>
          <w:szCs w:val="17"/>
        </w:rPr>
        <w:t>templates on nuclear energy and fossil gas activities</w:t>
      </w:r>
      <w:r w:rsidR="00E13E33">
        <w:rPr>
          <w:b/>
          <w:bCs/>
          <w:sz w:val="17"/>
          <w:szCs w:val="17"/>
        </w:rPr>
        <w:t xml:space="preserve"> apply</w:t>
      </w:r>
      <w:r w:rsidR="009233FC">
        <w:rPr>
          <w:b/>
          <w:bCs/>
          <w:sz w:val="17"/>
          <w:szCs w:val="17"/>
        </w:rPr>
        <w:t xml:space="preserve"> only </w:t>
      </w:r>
      <w:r w:rsidR="00E13E33">
        <w:rPr>
          <w:b/>
          <w:bCs/>
          <w:sz w:val="17"/>
          <w:szCs w:val="17"/>
        </w:rPr>
        <w:t>to investment</w:t>
      </w:r>
      <w:r w:rsidR="006918BA">
        <w:rPr>
          <w:b/>
          <w:bCs/>
          <w:sz w:val="17"/>
          <w:szCs w:val="17"/>
        </w:rPr>
        <w:t xml:space="preserve"> </w:t>
      </w:r>
      <w:r w:rsidR="00FF6395">
        <w:rPr>
          <w:b/>
          <w:bCs/>
          <w:sz w:val="17"/>
          <w:szCs w:val="17"/>
        </w:rPr>
        <w:t>and not also to underwriting</w:t>
      </w:r>
      <w:r w:rsidRPr="008B1D86">
        <w:rPr>
          <w:sz w:val="17"/>
          <w:szCs w:val="17"/>
        </w:rPr>
        <w:t>.</w:t>
      </w:r>
    </w:p>
    <w:p w14:paraId="2DD92B8B" w14:textId="2C0AA1B7" w:rsidR="00192F9B" w:rsidRDefault="00B314CF" w:rsidP="00192F9B">
      <w:pPr>
        <w:pStyle w:val="Odsekzoznamu"/>
        <w:numPr>
          <w:ilvl w:val="0"/>
          <w:numId w:val="13"/>
        </w:numPr>
        <w:rPr>
          <w:sz w:val="17"/>
          <w:szCs w:val="17"/>
        </w:rPr>
      </w:pPr>
      <w:r>
        <w:rPr>
          <w:sz w:val="17"/>
          <w:szCs w:val="17"/>
        </w:rPr>
        <w:t>For the Un</w:t>
      </w:r>
      <w:r w:rsidR="00DB121F">
        <w:rPr>
          <w:sz w:val="17"/>
          <w:szCs w:val="17"/>
        </w:rPr>
        <w:t>d</w:t>
      </w:r>
      <w:r>
        <w:rPr>
          <w:sz w:val="17"/>
          <w:szCs w:val="17"/>
        </w:rPr>
        <w:t>erwriti</w:t>
      </w:r>
      <w:r w:rsidR="00DB121F">
        <w:rPr>
          <w:sz w:val="17"/>
          <w:szCs w:val="17"/>
        </w:rPr>
        <w:t xml:space="preserve">ng KPI, </w:t>
      </w:r>
      <w:r w:rsidR="00DB121F">
        <w:rPr>
          <w:b/>
          <w:bCs/>
          <w:sz w:val="17"/>
          <w:szCs w:val="17"/>
        </w:rPr>
        <w:t>i</w:t>
      </w:r>
      <w:r w:rsidR="00192F9B" w:rsidRPr="008B1D86">
        <w:rPr>
          <w:b/>
          <w:bCs/>
          <w:sz w:val="17"/>
          <w:szCs w:val="17"/>
        </w:rPr>
        <w:t>t would make more sense to compare the Taxonomy-aligned premiums with the Taxonomy-eligible premiums</w:t>
      </w:r>
      <w:r w:rsidR="00192F9B" w:rsidRPr="008B1D86">
        <w:rPr>
          <w:sz w:val="17"/>
          <w:szCs w:val="17"/>
        </w:rPr>
        <w:t>, which show the efforts (re)insurers should do to increase their significant contribution to climate change adaptation.</w:t>
      </w:r>
      <w:r w:rsidR="00653E76">
        <w:rPr>
          <w:sz w:val="17"/>
          <w:szCs w:val="17"/>
        </w:rPr>
        <w:t xml:space="preserve"> Furthermore, the consolidated KPI should be </w:t>
      </w:r>
      <w:r w:rsidR="00022848">
        <w:rPr>
          <w:sz w:val="17"/>
          <w:szCs w:val="17"/>
        </w:rPr>
        <w:t xml:space="preserve">dismissed due to its very limited significance </w:t>
      </w:r>
      <w:r w:rsidR="00DB0F41">
        <w:rPr>
          <w:sz w:val="17"/>
          <w:szCs w:val="17"/>
        </w:rPr>
        <w:t>for users</w:t>
      </w:r>
      <w:r w:rsidR="00022848">
        <w:rPr>
          <w:sz w:val="17"/>
          <w:szCs w:val="17"/>
        </w:rPr>
        <w:t>.</w:t>
      </w:r>
      <w:r w:rsidR="003D035A">
        <w:rPr>
          <w:sz w:val="17"/>
          <w:szCs w:val="17"/>
        </w:rPr>
        <w:t xml:space="preserve"> </w:t>
      </w:r>
      <w:r w:rsidR="003D035A" w:rsidRPr="003D035A">
        <w:rPr>
          <w:sz w:val="17"/>
          <w:szCs w:val="17"/>
        </w:rPr>
        <w:t>Similarly, for the Investment KPI it would be more reasonable to compare homogeneous numerator and denominator.</w:t>
      </w:r>
    </w:p>
    <w:p w14:paraId="575068AF" w14:textId="610C10C4" w:rsidR="007C5834" w:rsidRPr="00F929E0" w:rsidRDefault="00192F9B" w:rsidP="00F929E0">
      <w:pPr>
        <w:pStyle w:val="Odsekzoznamu"/>
        <w:numPr>
          <w:ilvl w:val="0"/>
          <w:numId w:val="13"/>
        </w:numPr>
        <w:rPr>
          <w:sz w:val="17"/>
          <w:szCs w:val="17"/>
        </w:rPr>
      </w:pPr>
      <w:r w:rsidRPr="008B1D86">
        <w:rPr>
          <w:b/>
          <w:bCs/>
          <w:sz w:val="17"/>
          <w:szCs w:val="17"/>
        </w:rPr>
        <w:t xml:space="preserve">FAQs on the regulation should be </w:t>
      </w:r>
      <w:r w:rsidR="007B55CF" w:rsidRPr="007B55CF">
        <w:rPr>
          <w:b/>
          <w:bCs/>
          <w:sz w:val="17"/>
          <w:szCs w:val="17"/>
        </w:rPr>
        <w:t>a last resort measure</w:t>
      </w:r>
      <w:r w:rsidR="007B55CF">
        <w:rPr>
          <w:b/>
          <w:bCs/>
          <w:sz w:val="17"/>
          <w:szCs w:val="17"/>
        </w:rPr>
        <w:t xml:space="preserve"> an</w:t>
      </w:r>
      <w:r w:rsidR="00CA5996">
        <w:rPr>
          <w:b/>
          <w:bCs/>
          <w:sz w:val="17"/>
          <w:szCs w:val="17"/>
        </w:rPr>
        <w:t xml:space="preserve">d </w:t>
      </w:r>
      <w:r w:rsidRPr="008B1D86">
        <w:rPr>
          <w:b/>
          <w:bCs/>
          <w:sz w:val="17"/>
          <w:szCs w:val="17"/>
        </w:rPr>
        <w:t>provided in good time</w:t>
      </w:r>
      <w:r w:rsidRPr="008B1D86">
        <w:rPr>
          <w:sz w:val="17"/>
          <w:szCs w:val="17"/>
        </w:rPr>
        <w:t xml:space="preserve">, given the need for insurance companies to plan and implement the necessary data and reporting processes. Indeed, European </w:t>
      </w:r>
      <w:r w:rsidR="002F6D4E">
        <w:rPr>
          <w:sz w:val="17"/>
          <w:szCs w:val="17"/>
        </w:rPr>
        <w:t>(re)</w:t>
      </w:r>
      <w:r w:rsidRPr="008B1D86">
        <w:rPr>
          <w:sz w:val="17"/>
          <w:szCs w:val="17"/>
        </w:rPr>
        <w:t>insurers regret that the publication of the EC draft FAQs in December 2023, only 10 days before the first mandatory reporting exercise in 2024, came too late for adapting year-end reporting processes.</w:t>
      </w:r>
    </w:p>
    <w:p w14:paraId="77278EE9" w14:textId="77777777" w:rsidR="001B0AA0" w:rsidRPr="00F929E0" w:rsidRDefault="001B0AA0" w:rsidP="003D0236">
      <w:pPr>
        <w:autoSpaceDE w:val="0"/>
        <w:autoSpaceDN w:val="0"/>
        <w:adjustRightInd w:val="0"/>
        <w:rPr>
          <w:sz w:val="17"/>
          <w:szCs w:val="17"/>
        </w:rPr>
      </w:pPr>
    </w:p>
    <w:p w14:paraId="4D791F3D" w14:textId="77777777" w:rsidR="00F929E0" w:rsidRPr="00F929E0" w:rsidRDefault="00F929E0" w:rsidP="003D0236">
      <w:pPr>
        <w:autoSpaceDE w:val="0"/>
        <w:autoSpaceDN w:val="0"/>
        <w:adjustRightInd w:val="0"/>
        <w:rPr>
          <w:sz w:val="17"/>
          <w:szCs w:val="17"/>
        </w:rPr>
      </w:pPr>
    </w:p>
    <w:p w14:paraId="1683D122" w14:textId="77777777" w:rsidR="00F929E0" w:rsidRPr="00F929E0" w:rsidRDefault="00F929E0" w:rsidP="003D0236">
      <w:pPr>
        <w:autoSpaceDE w:val="0"/>
        <w:autoSpaceDN w:val="0"/>
        <w:adjustRightInd w:val="0"/>
        <w:rPr>
          <w:sz w:val="17"/>
          <w:szCs w:val="17"/>
        </w:rPr>
      </w:pPr>
    </w:p>
    <w:p w14:paraId="02BC8CC0" w14:textId="77777777" w:rsidR="00F929E0" w:rsidRPr="00F929E0" w:rsidRDefault="00F929E0" w:rsidP="003D0236">
      <w:pPr>
        <w:autoSpaceDE w:val="0"/>
        <w:autoSpaceDN w:val="0"/>
        <w:adjustRightInd w:val="0"/>
        <w:rPr>
          <w:sz w:val="14"/>
          <w:szCs w:val="14"/>
        </w:rPr>
      </w:pPr>
    </w:p>
    <w:p w14:paraId="70AD2AC8" w14:textId="77777777" w:rsidR="00F929E0" w:rsidRDefault="00F929E0" w:rsidP="003D0236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14:paraId="33CEFBC2" w14:textId="59FAB9F3" w:rsidR="00440FEE" w:rsidRPr="00DB0F2E" w:rsidRDefault="003715C9" w:rsidP="003D0236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DB0F2E">
        <w:rPr>
          <w:i/>
          <w:iCs/>
          <w:sz w:val="14"/>
          <w:szCs w:val="14"/>
        </w:rPr>
        <w:t>Insurance Europe is the European insurance and reinsurance federation. Through its 37 member bodies — the national insurance associations — it represents all types and sizes of insurance and reinsurance undertakings. Insurance Europe, which is based in Brussels, represents undertakings that account for around 95% of total European premium income. Insurance makes a major contribution to Europe’s economic growth and development. European insurers pay out over €1 000bn annually — or €2.8bn a day — in claims, directly employ more than 920 000 people and invest over €10.6trn in the economy.</w:t>
      </w:r>
    </w:p>
    <w:sectPr w:rsidR="00440FEE" w:rsidRPr="00DB0F2E" w:rsidSect="00E562FD">
      <w:type w:val="continuous"/>
      <w:pgSz w:w="11907" w:h="16839" w:code="9"/>
      <w:pgMar w:top="2336" w:right="902" w:bottom="1077" w:left="1474" w:header="709" w:footer="2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86FF9D" w14:textId="77777777" w:rsidR="006F0AAE" w:rsidRDefault="006F0AAE">
      <w:pPr>
        <w:spacing w:line="240" w:lineRule="auto"/>
      </w:pPr>
      <w:r>
        <w:separator/>
      </w:r>
    </w:p>
  </w:endnote>
  <w:endnote w:type="continuationSeparator" w:id="0">
    <w:p w14:paraId="063572A4" w14:textId="77777777" w:rsidR="006F0AAE" w:rsidRDefault="006F0AAE">
      <w:pPr>
        <w:spacing w:line="240" w:lineRule="auto"/>
      </w:pPr>
      <w:r>
        <w:continuationSeparator/>
      </w:r>
    </w:p>
  </w:endnote>
  <w:endnote w:type="continuationNotice" w:id="1">
    <w:p w14:paraId="60D193F3" w14:textId="77777777" w:rsidR="006F0AAE" w:rsidRDefault="006F0AA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utiger LT Std 45 Light">
    <w:altName w:val="Segoe UI Semiligh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utiger LT Std 55 Roman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utiger LT Com 45 Light">
    <w:altName w:val="Corbel"/>
    <w:charset w:val="00"/>
    <w:family w:val="swiss"/>
    <w:pitch w:val="variable"/>
    <w:sig w:usb0="00000001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FA777" w14:textId="77777777" w:rsidR="00C73AF2" w:rsidRDefault="00152882" w:rsidP="00E562F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4086F33" w14:textId="77777777" w:rsidR="00C73AF2" w:rsidRDefault="00C73AF2" w:rsidP="00E562FD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1342C" w14:textId="77777777" w:rsidR="00C73AF2" w:rsidRPr="007748EE" w:rsidRDefault="00152882" w:rsidP="00E562FD">
    <w:pPr>
      <w:pStyle w:val="Pta"/>
      <w:framePr w:wrap="around" w:vAnchor="page" w:hAnchor="margin" w:xAlign="right" w:y="16161"/>
      <w:rPr>
        <w:rStyle w:val="slostrany"/>
        <w:color w:val="002957"/>
        <w:sz w:val="14"/>
        <w:szCs w:val="20"/>
      </w:rPr>
    </w:pPr>
    <w:r w:rsidRPr="007748EE">
      <w:rPr>
        <w:rStyle w:val="slostrany"/>
        <w:color w:val="002957"/>
        <w:sz w:val="14"/>
        <w:szCs w:val="14"/>
      </w:rPr>
      <w:fldChar w:fldCharType="begin"/>
    </w:r>
    <w:r w:rsidRPr="007748EE">
      <w:rPr>
        <w:rStyle w:val="slostrany"/>
        <w:color w:val="002957"/>
        <w:sz w:val="14"/>
        <w:szCs w:val="14"/>
      </w:rPr>
      <w:instrText xml:space="preserve"> PAGE   \* MERGEFORMAT </w:instrText>
    </w:r>
    <w:r w:rsidRPr="007748EE">
      <w:rPr>
        <w:rStyle w:val="slostrany"/>
        <w:color w:val="002957"/>
        <w:sz w:val="14"/>
        <w:szCs w:val="14"/>
      </w:rPr>
      <w:fldChar w:fldCharType="separate"/>
    </w:r>
    <w:r w:rsidR="009F36CD" w:rsidRPr="007748EE">
      <w:rPr>
        <w:rStyle w:val="slostrany"/>
        <w:noProof/>
        <w:color w:val="002957"/>
        <w:sz w:val="14"/>
        <w:szCs w:val="14"/>
      </w:rPr>
      <w:t>2</w:t>
    </w:r>
    <w:r w:rsidRPr="007748EE">
      <w:rPr>
        <w:rStyle w:val="slostrany"/>
        <w:color w:val="002957"/>
        <w:sz w:val="14"/>
        <w:szCs w:val="14"/>
      </w:rPr>
      <w:fldChar w:fldCharType="end"/>
    </w:r>
  </w:p>
  <w:p w14:paraId="179B6722" w14:textId="77777777" w:rsidR="00C73AF2" w:rsidRPr="0085650F" w:rsidRDefault="00C73AF2" w:rsidP="00E562FD">
    <w:pPr>
      <w:tabs>
        <w:tab w:val="right" w:pos="10260"/>
      </w:tabs>
      <w:autoSpaceDE w:val="0"/>
      <w:autoSpaceDN w:val="0"/>
      <w:adjustRightInd w:val="0"/>
      <w:ind w:right="360"/>
      <w:textAlignment w:val="center"/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riekatabuky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253"/>
    </w:tblGrid>
    <w:tr w:rsidR="0012469D" w14:paraId="3BDA0906" w14:textId="77777777" w:rsidTr="007748EE">
      <w:tc>
        <w:tcPr>
          <w:tcW w:w="5387" w:type="dxa"/>
        </w:tcPr>
        <w:p w14:paraId="223AB0CA" w14:textId="77777777" w:rsidR="0012469D" w:rsidRDefault="0012469D" w:rsidP="007748EE">
          <w:pPr>
            <w:pStyle w:val="CEAFooterauthorinfo"/>
            <w:jc w:val="left"/>
            <w:rPr>
              <w:b w:val="0"/>
              <w:color w:val="002957"/>
              <w:sz w:val="14"/>
              <w:szCs w:val="14"/>
              <w:lang w:val="pt-PT"/>
            </w:rPr>
          </w:pPr>
          <w:r w:rsidRPr="00A4463C">
            <w:rPr>
              <w:b w:val="0"/>
              <w:color w:val="002957"/>
              <w:sz w:val="14"/>
              <w:szCs w:val="14"/>
              <w:lang w:val="fr-BE"/>
            </w:rPr>
            <w:t>Insurance Europe aisbl</w:t>
          </w:r>
        </w:p>
        <w:p w14:paraId="409D0242" w14:textId="77777777" w:rsidR="0012469D" w:rsidRPr="00A4463C" w:rsidRDefault="0012469D" w:rsidP="007748EE">
          <w:pPr>
            <w:pStyle w:val="CEAFooterauthorinfo"/>
            <w:jc w:val="left"/>
            <w:rPr>
              <w:b w:val="0"/>
              <w:color w:val="002957"/>
              <w:sz w:val="14"/>
              <w:szCs w:val="14"/>
              <w:lang w:val="fr-BE"/>
            </w:rPr>
          </w:pPr>
          <w:r w:rsidRPr="00A4463C">
            <w:rPr>
              <w:b w:val="0"/>
              <w:color w:val="002957"/>
              <w:sz w:val="14"/>
              <w:szCs w:val="14"/>
              <w:lang w:val="fr-BE"/>
            </w:rPr>
            <w:t xml:space="preserve">Rue </w:t>
          </w:r>
          <w:r>
            <w:rPr>
              <w:b w:val="0"/>
              <w:color w:val="002957"/>
              <w:sz w:val="14"/>
              <w:szCs w:val="14"/>
              <w:lang w:val="fr-BE"/>
            </w:rPr>
            <w:t>du Champ de Mars</w:t>
          </w:r>
          <w:r w:rsidRPr="00A4463C">
            <w:rPr>
              <w:b w:val="0"/>
              <w:color w:val="002957"/>
              <w:sz w:val="14"/>
              <w:szCs w:val="14"/>
              <w:lang w:val="fr-BE"/>
            </w:rPr>
            <w:t xml:space="preserve"> </w:t>
          </w:r>
          <w:r>
            <w:rPr>
              <w:b w:val="0"/>
              <w:color w:val="002957"/>
              <w:sz w:val="14"/>
              <w:szCs w:val="14"/>
              <w:lang w:val="fr-BE"/>
            </w:rPr>
            <w:t>23</w:t>
          </w:r>
          <w:r w:rsidRPr="00A4463C">
            <w:rPr>
              <w:b w:val="0"/>
              <w:color w:val="002957"/>
              <w:sz w:val="14"/>
              <w:szCs w:val="14"/>
              <w:lang w:val="fr-BE"/>
            </w:rPr>
            <w:t>, B-10</w:t>
          </w:r>
          <w:r>
            <w:rPr>
              <w:b w:val="0"/>
              <w:color w:val="002957"/>
              <w:sz w:val="14"/>
              <w:szCs w:val="14"/>
              <w:lang w:val="fr-BE"/>
            </w:rPr>
            <w:t>5</w:t>
          </w:r>
          <w:r w:rsidRPr="00A4463C">
            <w:rPr>
              <w:b w:val="0"/>
              <w:color w:val="002957"/>
              <w:sz w:val="14"/>
              <w:szCs w:val="14"/>
              <w:lang w:val="fr-BE"/>
            </w:rPr>
            <w:t xml:space="preserve">0 Brussels </w:t>
          </w:r>
        </w:p>
        <w:p w14:paraId="626C85C0" w14:textId="77777777" w:rsidR="0012469D" w:rsidRDefault="0012469D" w:rsidP="007748EE">
          <w:pPr>
            <w:pStyle w:val="CEAFooterauthorinfo"/>
            <w:jc w:val="left"/>
            <w:rPr>
              <w:b w:val="0"/>
              <w:color w:val="002957"/>
              <w:sz w:val="14"/>
              <w:szCs w:val="14"/>
              <w:lang w:val="pt-PT"/>
            </w:rPr>
          </w:pPr>
          <w:r w:rsidRPr="0085650F">
            <w:rPr>
              <w:b w:val="0"/>
              <w:color w:val="002957"/>
              <w:sz w:val="14"/>
              <w:szCs w:val="14"/>
              <w:lang w:val="pt-PT"/>
            </w:rPr>
            <w:t>Tel:</w:t>
          </w:r>
          <w:r>
            <w:rPr>
              <w:b w:val="0"/>
              <w:color w:val="002957"/>
              <w:sz w:val="14"/>
              <w:szCs w:val="14"/>
              <w:lang w:val="pt-PT"/>
            </w:rPr>
            <w:t xml:space="preserve"> +32 2 894 30 00</w:t>
          </w:r>
        </w:p>
        <w:p w14:paraId="069F1905" w14:textId="19503539" w:rsidR="0012469D" w:rsidRPr="0012469D" w:rsidRDefault="0012469D" w:rsidP="007748EE">
          <w:pPr>
            <w:pStyle w:val="CEAFooterauthorinfo"/>
            <w:jc w:val="left"/>
            <w:rPr>
              <w:b w:val="0"/>
              <w:color w:val="002957"/>
              <w:sz w:val="14"/>
              <w:szCs w:val="14"/>
              <w:lang w:val="pt-PT"/>
            </w:rPr>
          </w:pPr>
          <w:r>
            <w:rPr>
              <w:b w:val="0"/>
              <w:color w:val="002957"/>
              <w:sz w:val="14"/>
              <w:szCs w:val="14"/>
              <w:lang w:val="pt-PT"/>
            </w:rPr>
            <w:t xml:space="preserve">E-mail : </w:t>
          </w:r>
          <w:hyperlink r:id="rId1" w:history="1">
            <w:r w:rsidR="007748EE" w:rsidRPr="009F19B1">
              <w:rPr>
                <w:rStyle w:val="Hypertextovprepojenie"/>
                <w:b w:val="0"/>
                <w:sz w:val="14"/>
                <w:szCs w:val="14"/>
                <w:lang w:val="pt-PT"/>
              </w:rPr>
              <w:t>info@insuranceeurope.eu</w:t>
            </w:r>
          </w:hyperlink>
          <w:r w:rsidR="007748EE">
            <w:rPr>
              <w:b w:val="0"/>
              <w:color w:val="002957"/>
              <w:sz w:val="14"/>
              <w:szCs w:val="14"/>
              <w:lang w:val="pt-PT"/>
            </w:rPr>
            <w:br/>
          </w:r>
          <w:r w:rsidR="007748EE" w:rsidRPr="007748EE">
            <w:rPr>
              <w:b w:val="0"/>
              <w:color w:val="82C55B"/>
              <w:sz w:val="14"/>
              <w:szCs w:val="14"/>
              <w:lang w:val="pt-PT"/>
            </w:rPr>
            <w:t>www.insuranceeurope.eu</w:t>
          </w:r>
        </w:p>
      </w:tc>
      <w:tc>
        <w:tcPr>
          <w:tcW w:w="4253" w:type="dxa"/>
        </w:tcPr>
        <w:p w14:paraId="208F7DCE" w14:textId="3A444E5B" w:rsidR="0012469D" w:rsidRPr="002F12C5" w:rsidRDefault="002F12C5" w:rsidP="00BD3110">
          <w:pPr>
            <w:pStyle w:val="CEAFooterauthorinfo"/>
            <w:jc w:val="left"/>
            <w:rPr>
              <w:b w:val="0"/>
              <w:color w:val="002957"/>
              <w:sz w:val="14"/>
              <w:szCs w:val="14"/>
            </w:rPr>
          </w:pPr>
          <w:r w:rsidRPr="002F12C5">
            <w:rPr>
              <w:b w:val="0"/>
              <w:color w:val="002957"/>
              <w:sz w:val="14"/>
              <w:szCs w:val="14"/>
            </w:rPr>
            <w:t>© Insurance Europe. Confidential, internal document. Not for distribution, all rights reserved.</w:t>
          </w:r>
        </w:p>
      </w:tc>
    </w:tr>
  </w:tbl>
  <w:p w14:paraId="61297F9E" w14:textId="77777777" w:rsidR="00C73AF2" w:rsidRPr="00240E28" w:rsidRDefault="00C73AF2">
    <w:pPr>
      <w:pStyle w:val="Pta"/>
      <w:rPr>
        <w:color w:val="002957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9AC3A0" w14:textId="77777777" w:rsidR="006F0AAE" w:rsidRDefault="006F0AAE">
      <w:pPr>
        <w:spacing w:line="240" w:lineRule="auto"/>
      </w:pPr>
      <w:r>
        <w:separator/>
      </w:r>
    </w:p>
  </w:footnote>
  <w:footnote w:type="continuationSeparator" w:id="0">
    <w:p w14:paraId="7544B890" w14:textId="77777777" w:rsidR="006F0AAE" w:rsidRDefault="006F0AAE">
      <w:pPr>
        <w:spacing w:line="240" w:lineRule="auto"/>
      </w:pPr>
      <w:r>
        <w:continuationSeparator/>
      </w:r>
    </w:p>
  </w:footnote>
  <w:footnote w:type="continuationNotice" w:id="1">
    <w:p w14:paraId="2F35988C" w14:textId="77777777" w:rsidR="006F0AAE" w:rsidRDefault="006F0AA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768F9D" w14:textId="6BD48714" w:rsidR="00D4657C" w:rsidRDefault="004729E9">
    <w:pPr>
      <w:pStyle w:val="Hlavika"/>
    </w:pPr>
    <w:r>
      <w:rPr>
        <w:noProof/>
      </w:rPr>
      <w:pict w14:anchorId="57D044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3502407" o:spid="_x0000_s1026" type="#_x0000_t136" style="position:absolute;left:0;text-align:left;margin-left:0;margin-top:0;width:506.6pt;height:168.85pt;rotation:315;z-index:-25165823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0157A" w14:textId="1B918D07" w:rsidR="00C73AF2" w:rsidRPr="00323E1C" w:rsidRDefault="004729E9" w:rsidP="00E562FD">
    <w:pPr>
      <w:pStyle w:val="Noparagraphstyle"/>
      <w:jc w:val="right"/>
      <w:rPr>
        <w:rFonts w:ascii="Verdana" w:hAnsi="Verdana"/>
        <w:sz w:val="18"/>
        <w:szCs w:val="18"/>
      </w:rPr>
    </w:pPr>
    <w:r>
      <w:rPr>
        <w:noProof/>
      </w:rPr>
      <w:pict w14:anchorId="7C0D0B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3502408" o:spid="_x0000_s1027" type="#_x0000_t136" style="position:absolute;left:0;text-align:left;margin-left:0;margin-top:0;width:506.6pt;height:168.85pt;rotation:315;z-index:-251658235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DRAFT"/>
          <w10:wrap anchorx="margin" anchory="margin"/>
        </v:shape>
      </w:pict>
    </w:r>
    <w:r w:rsidR="00152882" w:rsidRPr="000D41DA">
      <w:rPr>
        <w:rFonts w:ascii="Frutiger LT Com 45 Light" w:hAnsi="Frutiger LT Com 45 Light"/>
        <w:noProof/>
        <w:lang w:val="nl-BE" w:eastAsia="nl-BE"/>
      </w:rPr>
      <w:drawing>
        <wp:anchor distT="0" distB="0" distL="114300" distR="114300" simplePos="0" relativeHeight="251658241" behindDoc="0" locked="0" layoutInCell="1" allowOverlap="1" wp14:anchorId="3E4E9827" wp14:editId="682FE296">
          <wp:simplePos x="0" y="0"/>
          <wp:positionH relativeFrom="page">
            <wp:posOffset>528955</wp:posOffset>
          </wp:positionH>
          <wp:positionV relativeFrom="page">
            <wp:posOffset>521970</wp:posOffset>
          </wp:positionV>
          <wp:extent cx="1457325" cy="895350"/>
          <wp:effectExtent l="19050" t="0" r="0" b="0"/>
          <wp:wrapSquare wrapText="bothSides"/>
          <wp:docPr id="1" name="Picture 11" descr="CEA+baseline_RVB_200dpi(ps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EA+baseline_RVB_200dpi(psd)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56193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EB4D2BF" w14:textId="77777777" w:rsidR="00C73AF2" w:rsidRPr="0085650F" w:rsidRDefault="00152882" w:rsidP="00E562FD">
    <w:pPr>
      <w:pStyle w:val="Noparagraphstyle"/>
      <w:jc w:val="right"/>
      <w:rPr>
        <w:rFonts w:ascii="Verdana" w:hAnsi="Verdana" w:cs="Arial"/>
        <w:i/>
        <w:iCs/>
        <w:color w:val="034EA2"/>
      </w:rPr>
    </w:pPr>
    <w:r w:rsidRPr="00323E1C">
      <w:rPr>
        <w:rFonts w:ascii="Verdana" w:hAnsi="Verdana"/>
      </w:rPr>
      <w:tab/>
    </w:r>
  </w:p>
  <w:p w14:paraId="6A05B2BD" w14:textId="77777777" w:rsidR="00C73AF2" w:rsidRPr="00491802" w:rsidRDefault="00C73AF2" w:rsidP="00E562FD">
    <w:pPr>
      <w:pStyle w:val="Hlavika"/>
      <w:tabs>
        <w:tab w:val="clear" w:pos="4320"/>
        <w:tab w:val="clear" w:pos="8640"/>
        <w:tab w:val="center" w:pos="0"/>
        <w:tab w:val="right" w:pos="10440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E4349" w14:textId="49335298" w:rsidR="00C73AF2" w:rsidRPr="00323E1C" w:rsidRDefault="004729E9" w:rsidP="00E562FD">
    <w:pPr>
      <w:pStyle w:val="Noparagraphstyle"/>
      <w:jc w:val="right"/>
      <w:rPr>
        <w:rFonts w:ascii="Verdana" w:hAnsi="Verdana"/>
        <w:sz w:val="18"/>
        <w:szCs w:val="18"/>
      </w:rPr>
    </w:pPr>
    <w:r>
      <w:rPr>
        <w:noProof/>
      </w:rPr>
      <w:pict w14:anchorId="18211B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3502406" o:spid="_x0000_s1025" type="#_x0000_t136" style="position:absolute;left:0;text-align:left;margin-left:0;margin-top:0;width:506.6pt;height:168.85pt;rotation:315;z-index:-251658237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DRAFT"/>
          <w10:wrap anchorx="margin" anchory="margin"/>
        </v:shape>
      </w:pict>
    </w:r>
    <w:r w:rsidR="00152882" w:rsidRPr="000D41DA">
      <w:rPr>
        <w:rFonts w:ascii="Frutiger LT Com 45 Light" w:hAnsi="Frutiger LT Com 45 Light"/>
        <w:noProof/>
        <w:sz w:val="18"/>
        <w:szCs w:val="18"/>
        <w:lang w:val="nl-BE" w:eastAsia="nl-BE"/>
      </w:rPr>
      <w:drawing>
        <wp:anchor distT="0" distB="0" distL="114300" distR="114300" simplePos="0" relativeHeight="251658240" behindDoc="0" locked="0" layoutInCell="1" allowOverlap="1" wp14:anchorId="10148D34" wp14:editId="7F79CF44">
          <wp:simplePos x="0" y="0"/>
          <wp:positionH relativeFrom="page">
            <wp:posOffset>523875</wp:posOffset>
          </wp:positionH>
          <wp:positionV relativeFrom="page">
            <wp:posOffset>523875</wp:posOffset>
          </wp:positionV>
          <wp:extent cx="1457325" cy="895350"/>
          <wp:effectExtent l="19050" t="0" r="0" b="0"/>
          <wp:wrapSquare wrapText="bothSides"/>
          <wp:docPr id="3" name="Picture 11" descr="CEA+baseline_RVB_200dpi(ps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EA+baseline_RVB_200dpi(psd)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56193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2081F8F" w14:textId="77777777" w:rsidR="00C73AF2" w:rsidRDefault="00C73AF2">
    <w:pPr>
      <w:pStyle w:val="Hlavika"/>
    </w:pPr>
  </w:p>
  <w:p w14:paraId="4CAF9B32" w14:textId="77777777" w:rsidR="00C73AF2" w:rsidRDefault="00C73AF2">
    <w:pPr>
      <w:pStyle w:val="Hlavika"/>
    </w:pPr>
  </w:p>
  <w:p w14:paraId="07E1BCBC" w14:textId="77777777" w:rsidR="00C73AF2" w:rsidRDefault="00C73AF2">
    <w:pPr>
      <w:pStyle w:val="Hlavika"/>
    </w:pPr>
  </w:p>
  <w:p w14:paraId="28CF5DF4" w14:textId="6A7F323D" w:rsidR="0017261F" w:rsidRDefault="00152882" w:rsidP="0017261F">
    <w:pPr>
      <w:jc w:val="right"/>
      <w:rPr>
        <w:b/>
        <w:i/>
        <w:color w:val="002957"/>
        <w:sz w:val="32"/>
        <w:szCs w:val="32"/>
      </w:rPr>
    </w:pPr>
    <w:r>
      <w:tab/>
    </w:r>
    <w:r>
      <w:tab/>
    </w:r>
    <w:r w:rsidRPr="00240F50">
      <w:rPr>
        <w:rFonts w:cs="Arial"/>
        <w:b/>
        <w:color w:val="002957"/>
        <w:sz w:val="40"/>
        <w:szCs w:val="40"/>
      </w:rPr>
      <w:tab/>
    </w:r>
    <w:r w:rsidRPr="00240F50">
      <w:rPr>
        <w:rFonts w:cs="Arial"/>
        <w:b/>
        <w:color w:val="002957"/>
        <w:sz w:val="40"/>
        <w:szCs w:val="40"/>
      </w:rPr>
      <w:tab/>
    </w:r>
    <w:r w:rsidRPr="00240F50">
      <w:rPr>
        <w:rFonts w:cs="Arial"/>
        <w:b/>
        <w:color w:val="002957"/>
        <w:sz w:val="40"/>
        <w:szCs w:val="40"/>
      </w:rPr>
      <w:tab/>
    </w:r>
    <w:r w:rsidRPr="00240F50">
      <w:rPr>
        <w:rFonts w:cs="Arial"/>
        <w:b/>
        <w:color w:val="002957"/>
        <w:sz w:val="40"/>
        <w:szCs w:val="40"/>
      </w:rPr>
      <w:tab/>
    </w:r>
    <w:r w:rsidRPr="00240F50">
      <w:rPr>
        <w:rFonts w:cs="Arial"/>
        <w:b/>
        <w:color w:val="002957"/>
        <w:sz w:val="40"/>
        <w:szCs w:val="40"/>
      </w:rPr>
      <w:tab/>
    </w:r>
    <w:r w:rsidRPr="0085650F">
      <w:rPr>
        <w:rFonts w:cs="Arial"/>
        <w:b/>
        <w:sz w:val="40"/>
        <w:szCs w:val="40"/>
      </w:rPr>
      <w:tab/>
    </w:r>
    <w:bookmarkStart w:id="0" w:name="Draft1st"/>
    <w:bookmarkEnd w:id="0"/>
  </w:p>
  <w:p w14:paraId="3654217F" w14:textId="77777777" w:rsidR="00C73AF2" w:rsidRPr="00D74967" w:rsidRDefault="00C73AF2" w:rsidP="00E562FD">
    <w:pPr>
      <w:pStyle w:val="CEADraft"/>
      <w:rPr>
        <w:color w:val="002957"/>
        <w:lang w:val="en-US"/>
      </w:rPr>
    </w:pPr>
  </w:p>
  <w:bookmarkStart w:id="1" w:name="Document_title_"/>
  <w:p w14:paraId="15B481B1" w14:textId="0D9DD957" w:rsidR="00C73AF2" w:rsidRPr="00D74967" w:rsidRDefault="004729E9" w:rsidP="00240F50">
    <w:pPr>
      <w:pStyle w:val="CEAPositionPaperTitle"/>
      <w:ind w:left="0"/>
      <w:rPr>
        <w:b w:val="0"/>
        <w:color w:val="002957"/>
        <w:sz w:val="28"/>
        <w:szCs w:val="28"/>
        <w:lang w:val="en-US"/>
      </w:rPr>
    </w:pPr>
    <w:sdt>
      <w:sdtPr>
        <w:rPr>
          <w:b w:val="0"/>
          <w:color w:val="002957"/>
          <w:sz w:val="28"/>
          <w:szCs w:val="28"/>
          <w:lang w:val="en-US"/>
        </w:rPr>
        <w:id w:val="-1374918777"/>
        <w:placeholder>
          <w:docPart w:val="DefaultPlaceholder_-185401344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5318E">
          <w:rPr>
            <w:b w:val="0"/>
            <w:color w:val="002957"/>
            <w:sz w:val="28"/>
            <w:szCs w:val="28"/>
            <w:lang w:val="en-US"/>
          </w:rPr>
          <w:t>Insurance Europe Key Messages on the EU Taxonomy Framework</w:t>
        </w:r>
      </w:sdtContent>
    </w:sdt>
    <w:bookmarkEnd w:id="1"/>
  </w:p>
  <w:p w14:paraId="59DEEA8E" w14:textId="77777777" w:rsidR="00C73AF2" w:rsidRPr="00D74967" w:rsidRDefault="00152882" w:rsidP="00E562FD">
    <w:pPr>
      <w:rPr>
        <w:lang w:val="en-US"/>
      </w:rPr>
    </w:pPr>
    <w:r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7F115990" wp14:editId="4B863B13">
              <wp:simplePos x="0" y="0"/>
              <wp:positionH relativeFrom="margin">
                <wp:align>left</wp:align>
              </wp:positionH>
              <wp:positionV relativeFrom="paragraph">
                <wp:posOffset>88265</wp:posOffset>
              </wp:positionV>
              <wp:extent cx="6124575" cy="1784350"/>
              <wp:effectExtent l="0" t="0" r="28575" b="25400"/>
              <wp:wrapNone/>
              <wp:docPr id="2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4575" cy="17843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 w="6350">
                        <a:solidFill>
                          <a:srgbClr val="82C55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3363E60" id="AutoShape 18" o:spid="_x0000_s1026" style="position:absolute;margin-left:0;margin-top:6.95pt;width:482.25pt;height:140.5pt;z-index:-25165823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jCpGAIAABIEAAAOAAAAZHJzL2Uyb0RvYy54bWysU9uOEzEMfUfiH6K80+mU3hh1ulq6LEJa&#10;LmLhA9Ikc4FMHJy00+7X42TaUuAN8RLZcXx8fOysbg6dYXuNvgVb8nw05kxbCaq1dcm/frl/seTM&#10;B2GVMGB1yY/a85v182er3hV6Ag0YpZERiPVF70rehOCKLPOy0Z3wI3DaUrAC7EQgF+tMoegJvTPZ&#10;ZDyeZz2gcghSe0+3d0OQrxN+VWkZPlaV14GZkhO3kE5M5zae2XolihqFa1p5oiH+gUUnWktFL1B3&#10;Igi2w/YvqK6VCB6qMJLQZVBVrdSpB+omH//RzWMjnE69kDjeXWTy/w9Wftg/uk8YqXv3APK7ZxY2&#10;jbC1vkWEvtFCUbk8CpX1zheXhOh4SmXb/j0oGq3YBUgaHCrsIiB1xw5J6uNFan0ITNLlPJ9MZ4sZ&#10;Z5Ji+WI5fTlLw8hEcU536MNbDR2LRskRdlZ9poGmGmL/4EMSXDErulhefeOs6gyNby8My+fz+SKx&#10;FsXpMWGfMWOmhfvWmLQAxrKeOEUOSQkwrYrB5GC93RhkBFry5WQzm70+wfrrZ4leAouSvbEq2UG0&#10;ZrCpuLEnDaNscUN9sQV1JAkRhsWkj0RGA/jEWU9LWXL/YydQc2beWRrDq3w6jVucHNJvQg5eR7bX&#10;EWElQZU8cDaYmzBs/s5hWzdUKU/tWril0VVtOM94YHUiS4tH1m+bfe2nV7++8vonAAAA//8DAFBL&#10;AwQUAAYACAAAACEAOHh9Gd4AAAAHAQAADwAAAGRycy9kb3ducmV2LnhtbEyPzU7DMBCE70i8g7VI&#10;3KiTplQkjVPxIySkIqSWPoAbL3HUeB3FbhLenuUEx50ZzXxbbmfXiRGH0HpSkC4SEEi1Ny01Co6f&#10;r3cPIELUZHTnCRV8Y4BtdX1V6sL4ifY4HmIjuIRCoRXYGPtCylBbdDosfI/E3pcfnI58Do00g564&#10;3HVymSRr6XRLvGB1j88W6/Ph4hRkbb1L5ZRmTx8v9s2972Ry3o9K3d7MjxsQEef4F4ZffEaHiplO&#10;/kImiE4BPxJZzXIQ7Obr1T2Ik4JlvspBVqX8z1/9AAAA//8DAFBLAQItABQABgAIAAAAIQC2gziS&#10;/gAAAOEBAAATAAAAAAAAAAAAAAAAAAAAAABbQ29udGVudF9UeXBlc10ueG1sUEsBAi0AFAAGAAgA&#10;AAAhADj9If/WAAAAlAEAAAsAAAAAAAAAAAAAAAAALwEAAF9yZWxzLy5yZWxzUEsBAi0AFAAGAAgA&#10;AAAhAPUCMKkYAgAAEgQAAA4AAAAAAAAAAAAAAAAALgIAAGRycy9lMm9Eb2MueG1sUEsBAi0AFAAG&#10;AAgAAAAhADh4fRneAAAABwEAAA8AAAAAAAAAAAAAAAAAcgQAAGRycy9kb3ducmV2LnhtbFBLBQYA&#10;AAAABAAEAPMAAAB9BQAAAAA=&#10;" filled="f" strokecolor="#82c55b" strokeweight=".5pt">
              <w10:wrap anchorx="margin"/>
              <w10:anchorlock/>
            </v:roundrect>
          </w:pict>
        </mc:Fallback>
      </mc:AlternateContent>
    </w:r>
  </w:p>
  <w:tbl>
    <w:tblPr>
      <w:tblW w:w="9639" w:type="dxa"/>
      <w:tblBorders>
        <w:insideH w:val="single" w:sz="4" w:space="0" w:color="82C55B"/>
      </w:tblBorders>
      <w:tblLayout w:type="fixed"/>
      <w:tblLook w:val="0000" w:firstRow="0" w:lastRow="0" w:firstColumn="0" w:lastColumn="0" w:noHBand="0" w:noVBand="0"/>
    </w:tblPr>
    <w:tblGrid>
      <w:gridCol w:w="1536"/>
      <w:gridCol w:w="3557"/>
      <w:gridCol w:w="1570"/>
      <w:gridCol w:w="2976"/>
    </w:tblGrid>
    <w:tr w:rsidR="00E562FD" w:rsidRPr="000D41DA" w14:paraId="4B45CDA3" w14:textId="77777777" w:rsidTr="00240F50">
      <w:trPr>
        <w:cantSplit/>
        <w:trHeight w:hRule="exact" w:val="584"/>
      </w:trPr>
      <w:tc>
        <w:tcPr>
          <w:tcW w:w="1536" w:type="dxa"/>
          <w:shd w:val="clear" w:color="auto" w:fill="auto"/>
          <w:vAlign w:val="center"/>
        </w:tcPr>
        <w:p w14:paraId="57D93854" w14:textId="77777777" w:rsidR="00C73AF2" w:rsidRPr="0085650F" w:rsidRDefault="00152882" w:rsidP="00E562FD">
          <w:pPr>
            <w:pStyle w:val="CEALabel"/>
            <w:rPr>
              <w:b w:val="0"/>
              <w:color w:val="002957"/>
              <w:sz w:val="17"/>
              <w:szCs w:val="17"/>
            </w:rPr>
          </w:pPr>
          <w:r w:rsidRPr="0085650F">
            <w:rPr>
              <w:b w:val="0"/>
              <w:color w:val="002957"/>
              <w:sz w:val="17"/>
              <w:szCs w:val="17"/>
            </w:rPr>
            <w:t xml:space="preserve">Our reference: </w:t>
          </w:r>
        </w:p>
      </w:tc>
      <w:tc>
        <w:tcPr>
          <w:tcW w:w="3557" w:type="dxa"/>
          <w:shd w:val="clear" w:color="auto" w:fill="auto"/>
          <w:vAlign w:val="center"/>
        </w:tcPr>
        <w:sdt>
          <w:sdtPr>
            <w:rPr>
              <w:color w:val="002957"/>
              <w:sz w:val="17"/>
              <w:szCs w:val="17"/>
              <w:highlight w:val="yellow"/>
            </w:rPr>
            <w:id w:val="-2128765903"/>
            <w:placeholder>
              <w:docPart w:val="DefaultPlaceholder_-1854013440"/>
            </w:placeholder>
            <w15:dataBinding w:prefixMappings="xmlns:ns0='http://schemas.microsoft.com/office/2006/metadata/properties' xmlns:ns1='http://www.w3.org/2001/XMLSchema-instance' xmlns:ns2='http://schemas.microsoft.com/office/infopath/2007/PartnerControls' xmlns:ns3='ba225275-dfdd-4507-9cb6-b247f9a8bd33' xmlns:ns4='bf2322bd-6ea8-47f2-a340-10b5092f2000' " w:xpath="/ns0:properties[1]/documentManagement[1]/*[local-name() = 'Reference'][1]" w:storeItemID="{B35485A1-11AA-442D-8577-727460E39C5A}"/>
          </w:sdtPr>
          <w:sdtEndPr/>
          <w:sdtContent>
            <w:p w14:paraId="4352DA30" w14:textId="25FBD1D2" w:rsidR="00C73AF2" w:rsidRPr="00585988" w:rsidRDefault="00F929E0" w:rsidP="00B651E2">
              <w:pPr>
                <w:jc w:val="left"/>
                <w:rPr>
                  <w:color w:val="002957"/>
                  <w:sz w:val="17"/>
                  <w:szCs w:val="17"/>
                </w:rPr>
              </w:pPr>
              <w:r w:rsidRPr="00F929E0">
                <w:rPr>
                  <w:color w:val="002957"/>
                  <w:sz w:val="17"/>
                  <w:szCs w:val="17"/>
                </w:rPr>
                <w:t>ECO-CRISF-24-179</w:t>
              </w:r>
            </w:p>
          </w:sdtContent>
        </w:sdt>
      </w:tc>
      <w:tc>
        <w:tcPr>
          <w:tcW w:w="1570" w:type="dxa"/>
          <w:shd w:val="clear" w:color="auto" w:fill="auto"/>
          <w:vAlign w:val="center"/>
        </w:tcPr>
        <w:p w14:paraId="5C893DF3" w14:textId="77777777" w:rsidR="00C73AF2" w:rsidRPr="0085650F" w:rsidRDefault="00152882" w:rsidP="00E562FD">
          <w:pPr>
            <w:pStyle w:val="CEALabel"/>
            <w:rPr>
              <w:b w:val="0"/>
              <w:color w:val="002957"/>
              <w:sz w:val="17"/>
              <w:szCs w:val="17"/>
            </w:rPr>
          </w:pPr>
          <w:r w:rsidRPr="0085650F">
            <w:rPr>
              <w:b w:val="0"/>
              <w:color w:val="002957"/>
              <w:sz w:val="17"/>
              <w:szCs w:val="17"/>
            </w:rPr>
            <w:t>Date:</w:t>
          </w:r>
        </w:p>
      </w:tc>
      <w:tc>
        <w:tcPr>
          <w:tcW w:w="2976" w:type="dxa"/>
          <w:shd w:val="clear" w:color="auto" w:fill="auto"/>
          <w:vAlign w:val="center"/>
        </w:tcPr>
        <w:p w14:paraId="181A7D4E" w14:textId="424C25D9" w:rsidR="00C73AF2" w:rsidRPr="00585988" w:rsidRDefault="00F929E0" w:rsidP="00E562FD">
          <w:pPr>
            <w:jc w:val="left"/>
            <w:rPr>
              <w:color w:val="002957"/>
              <w:sz w:val="17"/>
              <w:szCs w:val="17"/>
            </w:rPr>
          </w:pPr>
          <w:r>
            <w:rPr>
              <w:color w:val="002957"/>
              <w:sz w:val="17"/>
              <w:szCs w:val="17"/>
            </w:rPr>
            <w:t>1</w:t>
          </w:r>
          <w:r w:rsidR="0094128D">
            <w:rPr>
              <w:color w:val="002957"/>
              <w:sz w:val="17"/>
              <w:szCs w:val="17"/>
            </w:rPr>
            <w:t>3</w:t>
          </w:r>
          <w:r w:rsidR="00E704D0">
            <w:rPr>
              <w:color w:val="002957"/>
              <w:sz w:val="17"/>
              <w:szCs w:val="17"/>
            </w:rPr>
            <w:t>-</w:t>
          </w:r>
          <w:r w:rsidR="00B255AB">
            <w:rPr>
              <w:color w:val="002957"/>
              <w:sz w:val="17"/>
              <w:szCs w:val="17"/>
            </w:rPr>
            <w:t>1</w:t>
          </w:r>
          <w:r>
            <w:rPr>
              <w:color w:val="002957"/>
              <w:sz w:val="17"/>
              <w:szCs w:val="17"/>
            </w:rPr>
            <w:t>1</w:t>
          </w:r>
          <w:r w:rsidR="00E704D0">
            <w:rPr>
              <w:color w:val="002957"/>
              <w:sz w:val="17"/>
              <w:szCs w:val="17"/>
            </w:rPr>
            <w:t>-2024</w:t>
          </w:r>
        </w:p>
      </w:tc>
    </w:tr>
    <w:tr w:rsidR="00E562FD" w:rsidRPr="000D41DA" w14:paraId="71283189" w14:textId="77777777" w:rsidTr="00240F50">
      <w:trPr>
        <w:cantSplit/>
        <w:trHeight w:hRule="exact" w:val="584"/>
      </w:trPr>
      <w:tc>
        <w:tcPr>
          <w:tcW w:w="1536" w:type="dxa"/>
          <w:shd w:val="clear" w:color="auto" w:fill="auto"/>
          <w:vAlign w:val="center"/>
        </w:tcPr>
        <w:p w14:paraId="4FEEB7D0" w14:textId="77777777" w:rsidR="00C73AF2" w:rsidRPr="0085650F" w:rsidRDefault="00152882" w:rsidP="00E562FD">
          <w:pPr>
            <w:pStyle w:val="CEALabel"/>
            <w:rPr>
              <w:b w:val="0"/>
              <w:color w:val="002957"/>
              <w:sz w:val="17"/>
              <w:szCs w:val="17"/>
            </w:rPr>
          </w:pPr>
          <w:r w:rsidRPr="0085650F">
            <w:rPr>
              <w:b w:val="0"/>
              <w:color w:val="002957"/>
              <w:sz w:val="17"/>
              <w:szCs w:val="17"/>
            </w:rPr>
            <w:t>Referring to:</w:t>
          </w:r>
        </w:p>
      </w:tc>
      <w:tc>
        <w:tcPr>
          <w:tcW w:w="3557" w:type="dxa"/>
          <w:shd w:val="clear" w:color="auto" w:fill="auto"/>
          <w:vAlign w:val="center"/>
        </w:tcPr>
        <w:p w14:paraId="140E78FD" w14:textId="0B0967D4" w:rsidR="00C73AF2" w:rsidRPr="00585988" w:rsidRDefault="0098277D" w:rsidP="00E562FD">
          <w:pPr>
            <w:jc w:val="left"/>
            <w:rPr>
              <w:color w:val="002957"/>
              <w:sz w:val="17"/>
              <w:szCs w:val="17"/>
            </w:rPr>
          </w:pPr>
          <w:hyperlink r:id="rId2" w:history="1">
            <w:r w:rsidRPr="0098277D">
              <w:rPr>
                <w:rStyle w:val="Hypertextovprepojenie"/>
                <w:sz w:val="17"/>
                <w:szCs w:val="17"/>
              </w:rPr>
              <w:t>EU Taxonomy for sustainable activities</w:t>
            </w:r>
          </w:hyperlink>
        </w:p>
      </w:tc>
      <w:tc>
        <w:tcPr>
          <w:tcW w:w="1570" w:type="dxa"/>
          <w:shd w:val="clear" w:color="auto" w:fill="auto"/>
          <w:vAlign w:val="center"/>
        </w:tcPr>
        <w:p w14:paraId="0A442DE6" w14:textId="77777777" w:rsidR="00C73AF2" w:rsidRPr="00585988" w:rsidRDefault="00C73AF2" w:rsidP="00E562FD">
          <w:pPr>
            <w:rPr>
              <w:color w:val="002957"/>
              <w:sz w:val="17"/>
              <w:szCs w:val="17"/>
            </w:rPr>
          </w:pPr>
        </w:p>
      </w:tc>
      <w:tc>
        <w:tcPr>
          <w:tcW w:w="2976" w:type="dxa"/>
          <w:shd w:val="clear" w:color="auto" w:fill="auto"/>
          <w:vAlign w:val="center"/>
        </w:tcPr>
        <w:p w14:paraId="74A17591" w14:textId="0AA37B00" w:rsidR="00C73AF2" w:rsidRPr="00585988" w:rsidRDefault="00C73AF2" w:rsidP="00E562FD">
          <w:pPr>
            <w:jc w:val="left"/>
            <w:rPr>
              <w:color w:val="002957"/>
              <w:sz w:val="17"/>
              <w:szCs w:val="17"/>
            </w:rPr>
          </w:pPr>
        </w:p>
      </w:tc>
    </w:tr>
    <w:tr w:rsidR="00E562FD" w:rsidRPr="000D41DA" w14:paraId="07D47AE0" w14:textId="77777777" w:rsidTr="00240F50">
      <w:trPr>
        <w:cantSplit/>
        <w:trHeight w:hRule="exact" w:val="584"/>
      </w:trPr>
      <w:tc>
        <w:tcPr>
          <w:tcW w:w="1536" w:type="dxa"/>
          <w:shd w:val="clear" w:color="auto" w:fill="auto"/>
          <w:vAlign w:val="center"/>
        </w:tcPr>
        <w:p w14:paraId="4A965280" w14:textId="77777777" w:rsidR="00C73AF2" w:rsidRPr="0085650F" w:rsidRDefault="00152882" w:rsidP="00E562FD">
          <w:pPr>
            <w:pStyle w:val="CEALabel"/>
            <w:rPr>
              <w:b w:val="0"/>
              <w:color w:val="002957"/>
              <w:sz w:val="17"/>
              <w:szCs w:val="17"/>
            </w:rPr>
          </w:pPr>
          <w:r w:rsidRPr="0085650F">
            <w:rPr>
              <w:b w:val="0"/>
              <w:color w:val="002957"/>
              <w:sz w:val="17"/>
              <w:szCs w:val="17"/>
            </w:rPr>
            <w:t>Contact person:</w:t>
          </w:r>
        </w:p>
      </w:tc>
      <w:tc>
        <w:tcPr>
          <w:tcW w:w="3557" w:type="dxa"/>
          <w:shd w:val="clear" w:color="auto" w:fill="auto"/>
          <w:vAlign w:val="center"/>
        </w:tcPr>
        <w:p w14:paraId="03E7DCB9" w14:textId="79C241D3" w:rsidR="00C73AF2" w:rsidRPr="00585988" w:rsidRDefault="00E704D0" w:rsidP="00E562FD">
          <w:pPr>
            <w:jc w:val="left"/>
            <w:rPr>
              <w:color w:val="002957"/>
              <w:sz w:val="17"/>
              <w:szCs w:val="17"/>
            </w:rPr>
          </w:pPr>
          <w:r>
            <w:rPr>
              <w:color w:val="002957"/>
              <w:sz w:val="17"/>
              <w:szCs w:val="17"/>
            </w:rPr>
            <w:t>Luca Motta</w:t>
          </w:r>
          <w:r w:rsidR="00DE0A2F" w:rsidRPr="00DE0A2F">
            <w:rPr>
              <w:color w:val="002957"/>
              <w:sz w:val="17"/>
              <w:szCs w:val="17"/>
            </w:rPr>
            <w:t xml:space="preserve"> </w:t>
          </w:r>
        </w:p>
      </w:tc>
      <w:tc>
        <w:tcPr>
          <w:tcW w:w="1570" w:type="dxa"/>
          <w:shd w:val="clear" w:color="auto" w:fill="auto"/>
          <w:vAlign w:val="center"/>
        </w:tcPr>
        <w:p w14:paraId="710B5A54" w14:textId="77777777" w:rsidR="00C73AF2" w:rsidRPr="0085650F" w:rsidRDefault="00152882" w:rsidP="00E562FD">
          <w:pPr>
            <w:pStyle w:val="CEALabel"/>
            <w:rPr>
              <w:b w:val="0"/>
              <w:color w:val="002957"/>
              <w:sz w:val="17"/>
              <w:szCs w:val="17"/>
            </w:rPr>
          </w:pPr>
          <w:r w:rsidRPr="0085650F">
            <w:rPr>
              <w:b w:val="0"/>
              <w:color w:val="002957"/>
              <w:sz w:val="17"/>
              <w:szCs w:val="17"/>
            </w:rPr>
            <w:t>E-mail:</w:t>
          </w:r>
        </w:p>
      </w:tc>
      <w:tc>
        <w:tcPr>
          <w:tcW w:w="2976" w:type="dxa"/>
          <w:shd w:val="clear" w:color="auto" w:fill="auto"/>
          <w:vAlign w:val="center"/>
        </w:tcPr>
        <w:p w14:paraId="5B954066" w14:textId="18616ADC" w:rsidR="00C73AF2" w:rsidRPr="00585988" w:rsidRDefault="00E704D0" w:rsidP="00E562FD">
          <w:pPr>
            <w:jc w:val="left"/>
            <w:rPr>
              <w:color w:val="002957"/>
              <w:sz w:val="17"/>
              <w:szCs w:val="17"/>
            </w:rPr>
          </w:pPr>
          <w:r>
            <w:rPr>
              <w:color w:val="002957"/>
              <w:sz w:val="17"/>
              <w:szCs w:val="17"/>
            </w:rPr>
            <w:t>motta@insuranceeurope.eu</w:t>
          </w:r>
        </w:p>
      </w:tc>
    </w:tr>
    <w:tr w:rsidR="00E562FD" w:rsidRPr="000D41DA" w14:paraId="605BBAF5" w14:textId="77777777" w:rsidTr="00240F50">
      <w:trPr>
        <w:cantSplit/>
        <w:trHeight w:hRule="exact" w:val="584"/>
      </w:trPr>
      <w:tc>
        <w:tcPr>
          <w:tcW w:w="1536" w:type="dxa"/>
          <w:shd w:val="clear" w:color="auto" w:fill="auto"/>
          <w:vAlign w:val="center"/>
        </w:tcPr>
        <w:p w14:paraId="7D7A937A" w14:textId="77777777" w:rsidR="00C73AF2" w:rsidRPr="0085650F" w:rsidRDefault="00152882" w:rsidP="00E562FD">
          <w:pPr>
            <w:pStyle w:val="CEALabel"/>
            <w:rPr>
              <w:b w:val="0"/>
              <w:color w:val="002957"/>
              <w:sz w:val="17"/>
              <w:szCs w:val="17"/>
            </w:rPr>
          </w:pPr>
          <w:r w:rsidRPr="0085650F">
            <w:rPr>
              <w:b w:val="0"/>
              <w:color w:val="002957"/>
              <w:sz w:val="17"/>
              <w:szCs w:val="17"/>
            </w:rPr>
            <w:t xml:space="preserve">Pages: </w:t>
          </w:r>
        </w:p>
      </w:tc>
      <w:tc>
        <w:tcPr>
          <w:tcW w:w="3557" w:type="dxa"/>
          <w:shd w:val="clear" w:color="auto" w:fill="auto"/>
          <w:vAlign w:val="center"/>
        </w:tcPr>
        <w:p w14:paraId="6278A0AF" w14:textId="77777777" w:rsidR="00C73AF2" w:rsidRPr="00585988" w:rsidRDefault="00152882" w:rsidP="00E562FD">
          <w:pPr>
            <w:rPr>
              <w:color w:val="002957"/>
              <w:spacing w:val="-4"/>
              <w:w w:val="90"/>
              <w:sz w:val="17"/>
              <w:szCs w:val="17"/>
            </w:rPr>
          </w:pPr>
          <w:r w:rsidRPr="00585988">
            <w:rPr>
              <w:rStyle w:val="slostrany"/>
              <w:color w:val="002957"/>
              <w:sz w:val="17"/>
              <w:szCs w:val="17"/>
            </w:rPr>
            <w:fldChar w:fldCharType="begin"/>
          </w:r>
          <w:r w:rsidRPr="00585988">
            <w:rPr>
              <w:rStyle w:val="slostrany"/>
              <w:color w:val="002957"/>
              <w:sz w:val="17"/>
              <w:szCs w:val="17"/>
            </w:rPr>
            <w:instrText xml:space="preserve"> NUMPAGES </w:instrText>
          </w:r>
          <w:r w:rsidRPr="00585988">
            <w:rPr>
              <w:rStyle w:val="slostrany"/>
              <w:color w:val="002957"/>
              <w:sz w:val="17"/>
              <w:szCs w:val="17"/>
            </w:rPr>
            <w:fldChar w:fldCharType="separate"/>
          </w:r>
          <w:r w:rsidR="009F36CD">
            <w:rPr>
              <w:rStyle w:val="slostrany"/>
              <w:noProof/>
              <w:color w:val="002957"/>
              <w:sz w:val="17"/>
              <w:szCs w:val="17"/>
            </w:rPr>
            <w:t>2</w:t>
          </w:r>
          <w:r w:rsidRPr="00585988">
            <w:rPr>
              <w:rStyle w:val="slostrany"/>
              <w:color w:val="002957"/>
              <w:sz w:val="17"/>
              <w:szCs w:val="17"/>
            </w:rPr>
            <w:fldChar w:fldCharType="end"/>
          </w:r>
        </w:p>
      </w:tc>
      <w:tc>
        <w:tcPr>
          <w:tcW w:w="1570" w:type="dxa"/>
          <w:shd w:val="clear" w:color="auto" w:fill="auto"/>
          <w:vAlign w:val="center"/>
        </w:tcPr>
        <w:p w14:paraId="48B95308" w14:textId="77777777" w:rsidR="00C73AF2" w:rsidRPr="00585988" w:rsidRDefault="00974483" w:rsidP="00E562FD">
          <w:pPr>
            <w:ind w:right="-117"/>
            <w:rPr>
              <w:b/>
              <w:color w:val="002957"/>
              <w:sz w:val="17"/>
              <w:szCs w:val="17"/>
            </w:rPr>
          </w:pPr>
          <w:r>
            <w:rPr>
              <w:rFonts w:cs="Arial"/>
              <w:color w:val="002957"/>
              <w:sz w:val="17"/>
              <w:szCs w:val="17"/>
            </w:rPr>
            <w:t xml:space="preserve">Transparency Register </w:t>
          </w:r>
          <w:r w:rsidR="00152882" w:rsidRPr="00585988">
            <w:rPr>
              <w:rFonts w:cs="Arial"/>
              <w:color w:val="002957"/>
              <w:sz w:val="17"/>
              <w:szCs w:val="17"/>
            </w:rPr>
            <w:t>ID no.:</w:t>
          </w:r>
        </w:p>
      </w:tc>
      <w:tc>
        <w:tcPr>
          <w:tcW w:w="2976" w:type="dxa"/>
          <w:shd w:val="clear" w:color="auto" w:fill="auto"/>
          <w:vAlign w:val="center"/>
        </w:tcPr>
        <w:p w14:paraId="08B3449C" w14:textId="77777777" w:rsidR="00C73AF2" w:rsidRPr="00585988" w:rsidRDefault="00152882" w:rsidP="00E562FD">
          <w:pPr>
            <w:rPr>
              <w:color w:val="002957"/>
              <w:sz w:val="17"/>
              <w:szCs w:val="17"/>
            </w:rPr>
          </w:pPr>
          <w:r w:rsidRPr="00585988">
            <w:rPr>
              <w:rFonts w:cs="Tahoma"/>
              <w:color w:val="002957"/>
              <w:sz w:val="17"/>
              <w:szCs w:val="17"/>
            </w:rPr>
            <w:t>33213703459-54</w:t>
          </w:r>
        </w:p>
      </w:tc>
    </w:tr>
  </w:tbl>
  <w:p w14:paraId="0299F3F5" w14:textId="77777777" w:rsidR="00C73AF2" w:rsidRPr="000D41DA" w:rsidRDefault="00C73AF2" w:rsidP="00E562F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4071E"/>
    <w:multiLevelType w:val="hybridMultilevel"/>
    <w:tmpl w:val="EBE65710"/>
    <w:lvl w:ilvl="0" w:tplc="A0240652">
      <w:start w:val="165"/>
      <w:numFmt w:val="bullet"/>
      <w:pStyle w:val="CEABullet-Level2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5922DDA"/>
    <w:multiLevelType w:val="hybridMultilevel"/>
    <w:tmpl w:val="918627A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F304E"/>
    <w:multiLevelType w:val="hybridMultilevel"/>
    <w:tmpl w:val="C4241A1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B0A8D"/>
    <w:multiLevelType w:val="hybridMultilevel"/>
    <w:tmpl w:val="D0FAA3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92E82"/>
    <w:multiLevelType w:val="hybridMultilevel"/>
    <w:tmpl w:val="CD163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66204"/>
    <w:multiLevelType w:val="hybridMultilevel"/>
    <w:tmpl w:val="25B29070"/>
    <w:lvl w:ilvl="0" w:tplc="1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28508C"/>
    <w:multiLevelType w:val="hybridMultilevel"/>
    <w:tmpl w:val="C8A622C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D7417"/>
    <w:multiLevelType w:val="hybridMultilevel"/>
    <w:tmpl w:val="AE0A284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02E9D"/>
    <w:multiLevelType w:val="hybridMultilevel"/>
    <w:tmpl w:val="DBF49A4E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202C4"/>
    <w:multiLevelType w:val="hybridMultilevel"/>
    <w:tmpl w:val="90AC78E4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F63050C"/>
    <w:multiLevelType w:val="hybridMultilevel"/>
    <w:tmpl w:val="3EF0FD6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E4D85"/>
    <w:multiLevelType w:val="hybridMultilevel"/>
    <w:tmpl w:val="36024468"/>
    <w:lvl w:ilvl="0" w:tplc="37180294">
      <w:start w:val="165"/>
      <w:numFmt w:val="bullet"/>
      <w:pStyle w:val="CEABullet-Level3"/>
      <w:lvlText w:val=""/>
      <w:lvlJc w:val="left"/>
      <w:pPr>
        <w:ind w:left="2673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99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71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433" w:hanging="360"/>
      </w:pPr>
      <w:rPr>
        <w:rFonts w:ascii="Wingdings" w:hAnsi="Wingdings" w:hint="default"/>
      </w:rPr>
    </w:lvl>
  </w:abstractNum>
  <w:abstractNum w:abstractNumId="12" w15:restartNumberingAfterBreak="0">
    <w:nsid w:val="4B46707D"/>
    <w:multiLevelType w:val="hybridMultilevel"/>
    <w:tmpl w:val="8578CBE2"/>
    <w:lvl w:ilvl="0" w:tplc="1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D1A1F52"/>
    <w:multiLevelType w:val="hybridMultilevel"/>
    <w:tmpl w:val="E29AD1A8"/>
    <w:lvl w:ilvl="0" w:tplc="2000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406337"/>
    <w:multiLevelType w:val="hybridMultilevel"/>
    <w:tmpl w:val="03FC2C84"/>
    <w:lvl w:ilvl="0" w:tplc="20000015">
      <w:start w:val="1"/>
      <w:numFmt w:val="upperLetter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D64AFA"/>
    <w:multiLevelType w:val="hybridMultilevel"/>
    <w:tmpl w:val="499A1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286459"/>
    <w:multiLevelType w:val="hybridMultilevel"/>
    <w:tmpl w:val="D0FAA32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B6DAA"/>
    <w:multiLevelType w:val="hybridMultilevel"/>
    <w:tmpl w:val="C41AC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869D3"/>
    <w:multiLevelType w:val="hybridMultilevel"/>
    <w:tmpl w:val="39503056"/>
    <w:lvl w:ilvl="0" w:tplc="1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6BB73F5"/>
    <w:multiLevelType w:val="hybridMultilevel"/>
    <w:tmpl w:val="B742D934"/>
    <w:lvl w:ilvl="0" w:tplc="077EBB2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B81EE44C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B4687CA8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CD6C3578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520997E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82A4CCE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D2E1A2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A314C8E0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D7C88D56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99E2B88"/>
    <w:multiLevelType w:val="hybridMultilevel"/>
    <w:tmpl w:val="636CBA02"/>
    <w:lvl w:ilvl="0" w:tplc="2CF65F2A">
      <w:start w:val="165"/>
      <w:numFmt w:val="bullet"/>
      <w:pStyle w:val="CEABullet-Level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B002CF"/>
    <w:multiLevelType w:val="hybridMultilevel"/>
    <w:tmpl w:val="CDC82766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729488">
    <w:abstractNumId w:val="20"/>
  </w:num>
  <w:num w:numId="2" w16cid:durableId="593636775">
    <w:abstractNumId w:val="0"/>
  </w:num>
  <w:num w:numId="3" w16cid:durableId="1748456291">
    <w:abstractNumId w:val="11"/>
  </w:num>
  <w:num w:numId="4" w16cid:durableId="344095856">
    <w:abstractNumId w:val="6"/>
  </w:num>
  <w:num w:numId="5" w16cid:durableId="2029022280">
    <w:abstractNumId w:val="14"/>
  </w:num>
  <w:num w:numId="6" w16cid:durableId="1192498693">
    <w:abstractNumId w:val="13"/>
  </w:num>
  <w:num w:numId="7" w16cid:durableId="89859373">
    <w:abstractNumId w:val="16"/>
  </w:num>
  <w:num w:numId="8" w16cid:durableId="2107917088">
    <w:abstractNumId w:val="21"/>
  </w:num>
  <w:num w:numId="9" w16cid:durableId="596837865">
    <w:abstractNumId w:val="18"/>
  </w:num>
  <w:num w:numId="10" w16cid:durableId="1785266554">
    <w:abstractNumId w:val="19"/>
  </w:num>
  <w:num w:numId="11" w16cid:durableId="1198591847">
    <w:abstractNumId w:val="2"/>
  </w:num>
  <w:num w:numId="12" w16cid:durableId="1689990080">
    <w:abstractNumId w:val="3"/>
  </w:num>
  <w:num w:numId="13" w16cid:durableId="358894861">
    <w:abstractNumId w:val="7"/>
  </w:num>
  <w:num w:numId="14" w16cid:durableId="1795098884">
    <w:abstractNumId w:val="1"/>
  </w:num>
  <w:num w:numId="15" w16cid:durableId="170412892">
    <w:abstractNumId w:val="12"/>
  </w:num>
  <w:num w:numId="16" w16cid:durableId="2129008882">
    <w:abstractNumId w:val="4"/>
  </w:num>
  <w:num w:numId="17" w16cid:durableId="1476802005">
    <w:abstractNumId w:val="15"/>
  </w:num>
  <w:num w:numId="18" w16cid:durableId="1263882934">
    <w:abstractNumId w:val="17"/>
  </w:num>
  <w:num w:numId="19" w16cid:durableId="835270072">
    <w:abstractNumId w:val="10"/>
  </w:num>
  <w:num w:numId="20" w16cid:durableId="623652768">
    <w:abstractNumId w:val="9"/>
  </w:num>
  <w:num w:numId="21" w16cid:durableId="1307517111">
    <w:abstractNumId w:val="8"/>
  </w:num>
  <w:num w:numId="22" w16cid:durableId="720204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882"/>
    <w:rsid w:val="00002A74"/>
    <w:rsid w:val="00004790"/>
    <w:rsid w:val="0001024F"/>
    <w:rsid w:val="00010787"/>
    <w:rsid w:val="00011286"/>
    <w:rsid w:val="0001409C"/>
    <w:rsid w:val="000167A8"/>
    <w:rsid w:val="000171A8"/>
    <w:rsid w:val="00017E2D"/>
    <w:rsid w:val="00020124"/>
    <w:rsid w:val="00020B53"/>
    <w:rsid w:val="00020CF2"/>
    <w:rsid w:val="00020D95"/>
    <w:rsid w:val="00021310"/>
    <w:rsid w:val="00022848"/>
    <w:rsid w:val="000263F4"/>
    <w:rsid w:val="00031EE6"/>
    <w:rsid w:val="000411AF"/>
    <w:rsid w:val="0004294D"/>
    <w:rsid w:val="00050655"/>
    <w:rsid w:val="000512A6"/>
    <w:rsid w:val="00061E79"/>
    <w:rsid w:val="00063C17"/>
    <w:rsid w:val="00064D68"/>
    <w:rsid w:val="00065030"/>
    <w:rsid w:val="0006514B"/>
    <w:rsid w:val="00065C84"/>
    <w:rsid w:val="00071D93"/>
    <w:rsid w:val="0008034A"/>
    <w:rsid w:val="00081134"/>
    <w:rsid w:val="00084711"/>
    <w:rsid w:val="000906CD"/>
    <w:rsid w:val="00090A74"/>
    <w:rsid w:val="0009276F"/>
    <w:rsid w:val="0009694F"/>
    <w:rsid w:val="0009759C"/>
    <w:rsid w:val="0009775E"/>
    <w:rsid w:val="0009784C"/>
    <w:rsid w:val="000A068D"/>
    <w:rsid w:val="000A5900"/>
    <w:rsid w:val="000B119F"/>
    <w:rsid w:val="000B547F"/>
    <w:rsid w:val="000C0402"/>
    <w:rsid w:val="000C1B99"/>
    <w:rsid w:val="000C4787"/>
    <w:rsid w:val="000C68F7"/>
    <w:rsid w:val="000C7C05"/>
    <w:rsid w:val="000D0D5C"/>
    <w:rsid w:val="000D1CDB"/>
    <w:rsid w:val="000D34DA"/>
    <w:rsid w:val="000D3A9E"/>
    <w:rsid w:val="000D58F0"/>
    <w:rsid w:val="000D66C0"/>
    <w:rsid w:val="000D75B2"/>
    <w:rsid w:val="000D7B2A"/>
    <w:rsid w:val="000E0A40"/>
    <w:rsid w:val="000E698F"/>
    <w:rsid w:val="000E744B"/>
    <w:rsid w:val="000F00C0"/>
    <w:rsid w:val="000F0A1B"/>
    <w:rsid w:val="000F290E"/>
    <w:rsid w:val="000F4364"/>
    <w:rsid w:val="000F618B"/>
    <w:rsid w:val="000F7AE3"/>
    <w:rsid w:val="001067FF"/>
    <w:rsid w:val="001070DC"/>
    <w:rsid w:val="00110763"/>
    <w:rsid w:val="001114B4"/>
    <w:rsid w:val="00111EC8"/>
    <w:rsid w:val="00114B6F"/>
    <w:rsid w:val="00116C45"/>
    <w:rsid w:val="001226D9"/>
    <w:rsid w:val="0012469D"/>
    <w:rsid w:val="00130945"/>
    <w:rsid w:val="00130F94"/>
    <w:rsid w:val="001310ED"/>
    <w:rsid w:val="00131DE5"/>
    <w:rsid w:val="00136836"/>
    <w:rsid w:val="001405EB"/>
    <w:rsid w:val="00140621"/>
    <w:rsid w:val="001416FD"/>
    <w:rsid w:val="001433CA"/>
    <w:rsid w:val="00144D6B"/>
    <w:rsid w:val="00144E08"/>
    <w:rsid w:val="00146924"/>
    <w:rsid w:val="00147C7D"/>
    <w:rsid w:val="00150B23"/>
    <w:rsid w:val="00152882"/>
    <w:rsid w:val="00153040"/>
    <w:rsid w:val="001533F2"/>
    <w:rsid w:val="00156A05"/>
    <w:rsid w:val="001630B6"/>
    <w:rsid w:val="00163C01"/>
    <w:rsid w:val="001678EF"/>
    <w:rsid w:val="00170889"/>
    <w:rsid w:val="0017261F"/>
    <w:rsid w:val="00175961"/>
    <w:rsid w:val="00177CB3"/>
    <w:rsid w:val="00182BCC"/>
    <w:rsid w:val="00182E03"/>
    <w:rsid w:val="00186EE3"/>
    <w:rsid w:val="00192F9B"/>
    <w:rsid w:val="00194C3D"/>
    <w:rsid w:val="00195DEF"/>
    <w:rsid w:val="00197C21"/>
    <w:rsid w:val="001A3D53"/>
    <w:rsid w:val="001A4FF6"/>
    <w:rsid w:val="001B0AA0"/>
    <w:rsid w:val="001B3C9C"/>
    <w:rsid w:val="001B42D7"/>
    <w:rsid w:val="001B4AB3"/>
    <w:rsid w:val="001B6AF9"/>
    <w:rsid w:val="001C113C"/>
    <w:rsid w:val="001D4228"/>
    <w:rsid w:val="001D4B14"/>
    <w:rsid w:val="001D5313"/>
    <w:rsid w:val="001E1E4E"/>
    <w:rsid w:val="001E69DC"/>
    <w:rsid w:val="001F0086"/>
    <w:rsid w:val="001F2434"/>
    <w:rsid w:val="001F3F8C"/>
    <w:rsid w:val="00200C32"/>
    <w:rsid w:val="0020140C"/>
    <w:rsid w:val="002050DA"/>
    <w:rsid w:val="002064BB"/>
    <w:rsid w:val="00207310"/>
    <w:rsid w:val="00217005"/>
    <w:rsid w:val="00230428"/>
    <w:rsid w:val="002341C7"/>
    <w:rsid w:val="0023545C"/>
    <w:rsid w:val="00240E28"/>
    <w:rsid w:val="00240F50"/>
    <w:rsid w:val="0024126D"/>
    <w:rsid w:val="00244A30"/>
    <w:rsid w:val="00246725"/>
    <w:rsid w:val="00247C4E"/>
    <w:rsid w:val="002519D3"/>
    <w:rsid w:val="002534B7"/>
    <w:rsid w:val="00255BD7"/>
    <w:rsid w:val="00261545"/>
    <w:rsid w:val="0027052E"/>
    <w:rsid w:val="00270A96"/>
    <w:rsid w:val="00272717"/>
    <w:rsid w:val="00273463"/>
    <w:rsid w:val="00273CFE"/>
    <w:rsid w:val="00274242"/>
    <w:rsid w:val="0027498A"/>
    <w:rsid w:val="002854F0"/>
    <w:rsid w:val="00285907"/>
    <w:rsid w:val="00286F24"/>
    <w:rsid w:val="0028799C"/>
    <w:rsid w:val="002901A2"/>
    <w:rsid w:val="00292D90"/>
    <w:rsid w:val="00297344"/>
    <w:rsid w:val="00297BE3"/>
    <w:rsid w:val="002A1601"/>
    <w:rsid w:val="002A1D27"/>
    <w:rsid w:val="002A35E3"/>
    <w:rsid w:val="002B03B9"/>
    <w:rsid w:val="002B0DA7"/>
    <w:rsid w:val="002B195F"/>
    <w:rsid w:val="002B2361"/>
    <w:rsid w:val="002B3FE3"/>
    <w:rsid w:val="002B4604"/>
    <w:rsid w:val="002B5A30"/>
    <w:rsid w:val="002D218E"/>
    <w:rsid w:val="002D5BE9"/>
    <w:rsid w:val="002D6720"/>
    <w:rsid w:val="002E13F5"/>
    <w:rsid w:val="002E2992"/>
    <w:rsid w:val="002E2BE4"/>
    <w:rsid w:val="002E44E0"/>
    <w:rsid w:val="002E607A"/>
    <w:rsid w:val="002F12C5"/>
    <w:rsid w:val="002F3599"/>
    <w:rsid w:val="002F4E27"/>
    <w:rsid w:val="002F6D4E"/>
    <w:rsid w:val="00303210"/>
    <w:rsid w:val="003036C3"/>
    <w:rsid w:val="0031042E"/>
    <w:rsid w:val="003111DD"/>
    <w:rsid w:val="003120A5"/>
    <w:rsid w:val="00315F7F"/>
    <w:rsid w:val="00316959"/>
    <w:rsid w:val="0032055A"/>
    <w:rsid w:val="00323A32"/>
    <w:rsid w:val="00324170"/>
    <w:rsid w:val="00324947"/>
    <w:rsid w:val="00332A28"/>
    <w:rsid w:val="003350EA"/>
    <w:rsid w:val="00335C60"/>
    <w:rsid w:val="00342D09"/>
    <w:rsid w:val="00343C4E"/>
    <w:rsid w:val="0034621F"/>
    <w:rsid w:val="00346792"/>
    <w:rsid w:val="003479A2"/>
    <w:rsid w:val="003545D4"/>
    <w:rsid w:val="00355C30"/>
    <w:rsid w:val="00356201"/>
    <w:rsid w:val="0035627C"/>
    <w:rsid w:val="00365E25"/>
    <w:rsid w:val="003704A9"/>
    <w:rsid w:val="00370B25"/>
    <w:rsid w:val="003715C9"/>
    <w:rsid w:val="0037172D"/>
    <w:rsid w:val="00372E87"/>
    <w:rsid w:val="003749EC"/>
    <w:rsid w:val="003762D3"/>
    <w:rsid w:val="003810D6"/>
    <w:rsid w:val="00382F7E"/>
    <w:rsid w:val="00385CAD"/>
    <w:rsid w:val="00387589"/>
    <w:rsid w:val="0039470C"/>
    <w:rsid w:val="003947FF"/>
    <w:rsid w:val="00395088"/>
    <w:rsid w:val="003951DB"/>
    <w:rsid w:val="003A2475"/>
    <w:rsid w:val="003A4BCC"/>
    <w:rsid w:val="003B1630"/>
    <w:rsid w:val="003B2433"/>
    <w:rsid w:val="003B4175"/>
    <w:rsid w:val="003B5E8E"/>
    <w:rsid w:val="003B67CF"/>
    <w:rsid w:val="003B6BA7"/>
    <w:rsid w:val="003C0A1D"/>
    <w:rsid w:val="003C111B"/>
    <w:rsid w:val="003C1D16"/>
    <w:rsid w:val="003C2698"/>
    <w:rsid w:val="003C51BB"/>
    <w:rsid w:val="003C5E1B"/>
    <w:rsid w:val="003D0236"/>
    <w:rsid w:val="003D035A"/>
    <w:rsid w:val="003D1DD9"/>
    <w:rsid w:val="003D2C75"/>
    <w:rsid w:val="003D5362"/>
    <w:rsid w:val="003D73B3"/>
    <w:rsid w:val="003D73D2"/>
    <w:rsid w:val="003E1180"/>
    <w:rsid w:val="003E2298"/>
    <w:rsid w:val="003E4169"/>
    <w:rsid w:val="003E706B"/>
    <w:rsid w:val="003F4442"/>
    <w:rsid w:val="00400ABA"/>
    <w:rsid w:val="00402563"/>
    <w:rsid w:val="00404E05"/>
    <w:rsid w:val="004050DD"/>
    <w:rsid w:val="00405124"/>
    <w:rsid w:val="00407B3E"/>
    <w:rsid w:val="00413D56"/>
    <w:rsid w:val="004140A2"/>
    <w:rsid w:val="00416C93"/>
    <w:rsid w:val="004172DD"/>
    <w:rsid w:val="00422187"/>
    <w:rsid w:val="00422D55"/>
    <w:rsid w:val="00425E9F"/>
    <w:rsid w:val="004340AC"/>
    <w:rsid w:val="004352D9"/>
    <w:rsid w:val="0043753F"/>
    <w:rsid w:val="004407F0"/>
    <w:rsid w:val="00440BA5"/>
    <w:rsid w:val="00440FEE"/>
    <w:rsid w:val="00441694"/>
    <w:rsid w:val="00442BE1"/>
    <w:rsid w:val="0044444B"/>
    <w:rsid w:val="0044524B"/>
    <w:rsid w:val="004467E6"/>
    <w:rsid w:val="00450DF3"/>
    <w:rsid w:val="0045131B"/>
    <w:rsid w:val="00452A24"/>
    <w:rsid w:val="0045318E"/>
    <w:rsid w:val="00456627"/>
    <w:rsid w:val="00456C79"/>
    <w:rsid w:val="0046156A"/>
    <w:rsid w:val="004625DC"/>
    <w:rsid w:val="00463084"/>
    <w:rsid w:val="0046430C"/>
    <w:rsid w:val="004662A6"/>
    <w:rsid w:val="004729E9"/>
    <w:rsid w:val="0047461A"/>
    <w:rsid w:val="00487BDF"/>
    <w:rsid w:val="0049406D"/>
    <w:rsid w:val="004958A2"/>
    <w:rsid w:val="00495AC5"/>
    <w:rsid w:val="0049717B"/>
    <w:rsid w:val="004A09F8"/>
    <w:rsid w:val="004A0E1D"/>
    <w:rsid w:val="004A114F"/>
    <w:rsid w:val="004A2ED0"/>
    <w:rsid w:val="004A4E2B"/>
    <w:rsid w:val="004A5B91"/>
    <w:rsid w:val="004A5BD4"/>
    <w:rsid w:val="004B4C35"/>
    <w:rsid w:val="004B595D"/>
    <w:rsid w:val="004B5B1D"/>
    <w:rsid w:val="004B6D57"/>
    <w:rsid w:val="004C26C2"/>
    <w:rsid w:val="004C7680"/>
    <w:rsid w:val="004D1AE5"/>
    <w:rsid w:val="004D283D"/>
    <w:rsid w:val="004D5AF0"/>
    <w:rsid w:val="004D6D42"/>
    <w:rsid w:val="004D7A4E"/>
    <w:rsid w:val="004E06D7"/>
    <w:rsid w:val="004E12D6"/>
    <w:rsid w:val="004E4A76"/>
    <w:rsid w:val="004E6500"/>
    <w:rsid w:val="004F358C"/>
    <w:rsid w:val="004F400E"/>
    <w:rsid w:val="004F50BA"/>
    <w:rsid w:val="004F6599"/>
    <w:rsid w:val="00500091"/>
    <w:rsid w:val="005007FF"/>
    <w:rsid w:val="00500DD9"/>
    <w:rsid w:val="00503993"/>
    <w:rsid w:val="005043A5"/>
    <w:rsid w:val="00504BDE"/>
    <w:rsid w:val="0050793D"/>
    <w:rsid w:val="00507A0A"/>
    <w:rsid w:val="005101B2"/>
    <w:rsid w:val="00523C10"/>
    <w:rsid w:val="00525049"/>
    <w:rsid w:val="00530F1D"/>
    <w:rsid w:val="00536983"/>
    <w:rsid w:val="005407FA"/>
    <w:rsid w:val="00540AEF"/>
    <w:rsid w:val="005436D2"/>
    <w:rsid w:val="00543DE0"/>
    <w:rsid w:val="0054468B"/>
    <w:rsid w:val="00551EB7"/>
    <w:rsid w:val="00552BEC"/>
    <w:rsid w:val="00561E4B"/>
    <w:rsid w:val="00562316"/>
    <w:rsid w:val="00562330"/>
    <w:rsid w:val="00563E8D"/>
    <w:rsid w:val="00564BF2"/>
    <w:rsid w:val="00572B12"/>
    <w:rsid w:val="00572C65"/>
    <w:rsid w:val="00572D88"/>
    <w:rsid w:val="00573568"/>
    <w:rsid w:val="005769FB"/>
    <w:rsid w:val="00582220"/>
    <w:rsid w:val="00583F17"/>
    <w:rsid w:val="005955B1"/>
    <w:rsid w:val="00596BFF"/>
    <w:rsid w:val="005A091B"/>
    <w:rsid w:val="005A1612"/>
    <w:rsid w:val="005A6A13"/>
    <w:rsid w:val="005A76C7"/>
    <w:rsid w:val="005A7AE8"/>
    <w:rsid w:val="005B1759"/>
    <w:rsid w:val="005B1FB8"/>
    <w:rsid w:val="005B2D1A"/>
    <w:rsid w:val="005B707B"/>
    <w:rsid w:val="005C399E"/>
    <w:rsid w:val="005C414D"/>
    <w:rsid w:val="005C45C0"/>
    <w:rsid w:val="005D2D41"/>
    <w:rsid w:val="005D33B0"/>
    <w:rsid w:val="005D46E3"/>
    <w:rsid w:val="005E13B0"/>
    <w:rsid w:val="005E1408"/>
    <w:rsid w:val="005E4543"/>
    <w:rsid w:val="005E7373"/>
    <w:rsid w:val="005F7C5C"/>
    <w:rsid w:val="00603586"/>
    <w:rsid w:val="00604955"/>
    <w:rsid w:val="00606171"/>
    <w:rsid w:val="006102DF"/>
    <w:rsid w:val="006125A1"/>
    <w:rsid w:val="006131E3"/>
    <w:rsid w:val="006156E6"/>
    <w:rsid w:val="00621E81"/>
    <w:rsid w:val="0062351E"/>
    <w:rsid w:val="0062500C"/>
    <w:rsid w:val="0063651E"/>
    <w:rsid w:val="00636C12"/>
    <w:rsid w:val="00641AEC"/>
    <w:rsid w:val="0064243F"/>
    <w:rsid w:val="00642B8B"/>
    <w:rsid w:val="00647DA6"/>
    <w:rsid w:val="00653773"/>
    <w:rsid w:val="00653E76"/>
    <w:rsid w:val="00654C7E"/>
    <w:rsid w:val="006648D7"/>
    <w:rsid w:val="00664A6E"/>
    <w:rsid w:val="00667A27"/>
    <w:rsid w:val="006728F1"/>
    <w:rsid w:val="00673528"/>
    <w:rsid w:val="00674A28"/>
    <w:rsid w:val="006765B0"/>
    <w:rsid w:val="0067728B"/>
    <w:rsid w:val="0068063E"/>
    <w:rsid w:val="006810FC"/>
    <w:rsid w:val="00681A52"/>
    <w:rsid w:val="006847DE"/>
    <w:rsid w:val="00686103"/>
    <w:rsid w:val="0069077B"/>
    <w:rsid w:val="0069097B"/>
    <w:rsid w:val="00690D8A"/>
    <w:rsid w:val="006918BA"/>
    <w:rsid w:val="00692DBA"/>
    <w:rsid w:val="00693E6C"/>
    <w:rsid w:val="00696271"/>
    <w:rsid w:val="00697535"/>
    <w:rsid w:val="006A04F5"/>
    <w:rsid w:val="006A1360"/>
    <w:rsid w:val="006A5E60"/>
    <w:rsid w:val="006B11F1"/>
    <w:rsid w:val="006B16D4"/>
    <w:rsid w:val="006B3FED"/>
    <w:rsid w:val="006B57DB"/>
    <w:rsid w:val="006C1FCE"/>
    <w:rsid w:val="006C2590"/>
    <w:rsid w:val="006C264F"/>
    <w:rsid w:val="006C2DE0"/>
    <w:rsid w:val="006C40F8"/>
    <w:rsid w:val="006D3739"/>
    <w:rsid w:val="006D6F0E"/>
    <w:rsid w:val="006D73BC"/>
    <w:rsid w:val="006E01E8"/>
    <w:rsid w:val="006E0B7B"/>
    <w:rsid w:val="006E0E97"/>
    <w:rsid w:val="006E211E"/>
    <w:rsid w:val="006E5AEF"/>
    <w:rsid w:val="006E69D5"/>
    <w:rsid w:val="006E7286"/>
    <w:rsid w:val="006F0265"/>
    <w:rsid w:val="006F0AAE"/>
    <w:rsid w:val="006F3FA0"/>
    <w:rsid w:val="00702B2A"/>
    <w:rsid w:val="00702CF3"/>
    <w:rsid w:val="007066F8"/>
    <w:rsid w:val="00715105"/>
    <w:rsid w:val="0072067B"/>
    <w:rsid w:val="00723519"/>
    <w:rsid w:val="00731693"/>
    <w:rsid w:val="007407A5"/>
    <w:rsid w:val="00740B64"/>
    <w:rsid w:val="0074336C"/>
    <w:rsid w:val="00744378"/>
    <w:rsid w:val="00745BC5"/>
    <w:rsid w:val="00752590"/>
    <w:rsid w:val="00752ABE"/>
    <w:rsid w:val="00756544"/>
    <w:rsid w:val="007623BF"/>
    <w:rsid w:val="00765382"/>
    <w:rsid w:val="007658E0"/>
    <w:rsid w:val="00770B1B"/>
    <w:rsid w:val="007748EE"/>
    <w:rsid w:val="00775A3B"/>
    <w:rsid w:val="00782315"/>
    <w:rsid w:val="007849D0"/>
    <w:rsid w:val="00790FBE"/>
    <w:rsid w:val="007930E5"/>
    <w:rsid w:val="007969A5"/>
    <w:rsid w:val="007A6405"/>
    <w:rsid w:val="007B2975"/>
    <w:rsid w:val="007B5409"/>
    <w:rsid w:val="007B55CF"/>
    <w:rsid w:val="007C29F3"/>
    <w:rsid w:val="007C397D"/>
    <w:rsid w:val="007C5834"/>
    <w:rsid w:val="007D0930"/>
    <w:rsid w:val="007D09F4"/>
    <w:rsid w:val="007D2B93"/>
    <w:rsid w:val="007D2F5D"/>
    <w:rsid w:val="007E03A3"/>
    <w:rsid w:val="007E1A18"/>
    <w:rsid w:val="007E2FD6"/>
    <w:rsid w:val="007E352C"/>
    <w:rsid w:val="007E56DE"/>
    <w:rsid w:val="007E6CDC"/>
    <w:rsid w:val="007F0BEA"/>
    <w:rsid w:val="007F0D25"/>
    <w:rsid w:val="007F408C"/>
    <w:rsid w:val="00801B55"/>
    <w:rsid w:val="00802C93"/>
    <w:rsid w:val="008041FB"/>
    <w:rsid w:val="00805CB3"/>
    <w:rsid w:val="008071AE"/>
    <w:rsid w:val="0081445B"/>
    <w:rsid w:val="00817F19"/>
    <w:rsid w:val="008201E9"/>
    <w:rsid w:val="00822812"/>
    <w:rsid w:val="00823014"/>
    <w:rsid w:val="008252FA"/>
    <w:rsid w:val="00825DAE"/>
    <w:rsid w:val="00827691"/>
    <w:rsid w:val="00832B25"/>
    <w:rsid w:val="00836034"/>
    <w:rsid w:val="00841EF1"/>
    <w:rsid w:val="00843502"/>
    <w:rsid w:val="00843D0C"/>
    <w:rsid w:val="00847556"/>
    <w:rsid w:val="008475C3"/>
    <w:rsid w:val="008479A3"/>
    <w:rsid w:val="00851ABB"/>
    <w:rsid w:val="00852305"/>
    <w:rsid w:val="0085309B"/>
    <w:rsid w:val="0085412A"/>
    <w:rsid w:val="00856D6A"/>
    <w:rsid w:val="00860F35"/>
    <w:rsid w:val="008640A7"/>
    <w:rsid w:val="0086446E"/>
    <w:rsid w:val="008704D5"/>
    <w:rsid w:val="0087087E"/>
    <w:rsid w:val="00873DB9"/>
    <w:rsid w:val="00884539"/>
    <w:rsid w:val="00884D4C"/>
    <w:rsid w:val="00893AD7"/>
    <w:rsid w:val="00893EB0"/>
    <w:rsid w:val="008966FA"/>
    <w:rsid w:val="008A2E1B"/>
    <w:rsid w:val="008A3CEA"/>
    <w:rsid w:val="008A60BF"/>
    <w:rsid w:val="008B1D86"/>
    <w:rsid w:val="008B304D"/>
    <w:rsid w:val="008B35B8"/>
    <w:rsid w:val="008B469F"/>
    <w:rsid w:val="008B5A90"/>
    <w:rsid w:val="008B771A"/>
    <w:rsid w:val="008C493D"/>
    <w:rsid w:val="008D12F3"/>
    <w:rsid w:val="008D63F7"/>
    <w:rsid w:val="008D6F29"/>
    <w:rsid w:val="008D756E"/>
    <w:rsid w:val="008E1D3D"/>
    <w:rsid w:val="008E71A3"/>
    <w:rsid w:val="008F21E9"/>
    <w:rsid w:val="008F36E5"/>
    <w:rsid w:val="008F3F2A"/>
    <w:rsid w:val="008F69C4"/>
    <w:rsid w:val="00902086"/>
    <w:rsid w:val="009024FB"/>
    <w:rsid w:val="0090390F"/>
    <w:rsid w:val="009106DF"/>
    <w:rsid w:val="009134C9"/>
    <w:rsid w:val="00913F5E"/>
    <w:rsid w:val="00914255"/>
    <w:rsid w:val="0091444B"/>
    <w:rsid w:val="00916561"/>
    <w:rsid w:val="00920942"/>
    <w:rsid w:val="0092129A"/>
    <w:rsid w:val="009233FC"/>
    <w:rsid w:val="00925934"/>
    <w:rsid w:val="009335CF"/>
    <w:rsid w:val="009365EE"/>
    <w:rsid w:val="00937B30"/>
    <w:rsid w:val="009400A2"/>
    <w:rsid w:val="009409D4"/>
    <w:rsid w:val="00940A0D"/>
    <w:rsid w:val="0094128D"/>
    <w:rsid w:val="00951DED"/>
    <w:rsid w:val="009537F5"/>
    <w:rsid w:val="00953DAC"/>
    <w:rsid w:val="00955177"/>
    <w:rsid w:val="009570ED"/>
    <w:rsid w:val="00964F9D"/>
    <w:rsid w:val="00965634"/>
    <w:rsid w:val="00970158"/>
    <w:rsid w:val="009701FF"/>
    <w:rsid w:val="00970C05"/>
    <w:rsid w:val="00971E78"/>
    <w:rsid w:val="009728B6"/>
    <w:rsid w:val="00974483"/>
    <w:rsid w:val="00980D8C"/>
    <w:rsid w:val="009813EC"/>
    <w:rsid w:val="0098277D"/>
    <w:rsid w:val="0098439B"/>
    <w:rsid w:val="00987CAB"/>
    <w:rsid w:val="00991AE8"/>
    <w:rsid w:val="00992E6E"/>
    <w:rsid w:val="0099372A"/>
    <w:rsid w:val="009A107D"/>
    <w:rsid w:val="009A6C8D"/>
    <w:rsid w:val="009A73CA"/>
    <w:rsid w:val="009A799C"/>
    <w:rsid w:val="009B2386"/>
    <w:rsid w:val="009B5340"/>
    <w:rsid w:val="009B580A"/>
    <w:rsid w:val="009B7184"/>
    <w:rsid w:val="009B7528"/>
    <w:rsid w:val="009C2B3E"/>
    <w:rsid w:val="009C6589"/>
    <w:rsid w:val="009C6847"/>
    <w:rsid w:val="009D03F4"/>
    <w:rsid w:val="009D2BE6"/>
    <w:rsid w:val="009D2DF1"/>
    <w:rsid w:val="009D4429"/>
    <w:rsid w:val="009E0B28"/>
    <w:rsid w:val="009E1B23"/>
    <w:rsid w:val="009E3169"/>
    <w:rsid w:val="009E3E56"/>
    <w:rsid w:val="009E5D1C"/>
    <w:rsid w:val="009E6971"/>
    <w:rsid w:val="009F0790"/>
    <w:rsid w:val="009F31E1"/>
    <w:rsid w:val="009F36CD"/>
    <w:rsid w:val="009F6F8F"/>
    <w:rsid w:val="009F7A00"/>
    <w:rsid w:val="00A003B7"/>
    <w:rsid w:val="00A00DE6"/>
    <w:rsid w:val="00A065A1"/>
    <w:rsid w:val="00A068BD"/>
    <w:rsid w:val="00A10884"/>
    <w:rsid w:val="00A10EBF"/>
    <w:rsid w:val="00A13803"/>
    <w:rsid w:val="00A16203"/>
    <w:rsid w:val="00A176DE"/>
    <w:rsid w:val="00A26F38"/>
    <w:rsid w:val="00A3051E"/>
    <w:rsid w:val="00A338E1"/>
    <w:rsid w:val="00A34638"/>
    <w:rsid w:val="00A37F19"/>
    <w:rsid w:val="00A40639"/>
    <w:rsid w:val="00A4463C"/>
    <w:rsid w:val="00A44EDE"/>
    <w:rsid w:val="00A504E1"/>
    <w:rsid w:val="00A54C07"/>
    <w:rsid w:val="00A54EE2"/>
    <w:rsid w:val="00A55080"/>
    <w:rsid w:val="00A57CD0"/>
    <w:rsid w:val="00A57EB8"/>
    <w:rsid w:val="00A62A4A"/>
    <w:rsid w:val="00A665DC"/>
    <w:rsid w:val="00A67B2C"/>
    <w:rsid w:val="00A67DB0"/>
    <w:rsid w:val="00A71967"/>
    <w:rsid w:val="00A777E1"/>
    <w:rsid w:val="00A857C7"/>
    <w:rsid w:val="00A92D0C"/>
    <w:rsid w:val="00A9583E"/>
    <w:rsid w:val="00A96B74"/>
    <w:rsid w:val="00AA4F3D"/>
    <w:rsid w:val="00AA4F94"/>
    <w:rsid w:val="00AA5C31"/>
    <w:rsid w:val="00AA7AB8"/>
    <w:rsid w:val="00AB185F"/>
    <w:rsid w:val="00AB18BB"/>
    <w:rsid w:val="00AB455D"/>
    <w:rsid w:val="00AB6D7D"/>
    <w:rsid w:val="00AC1F35"/>
    <w:rsid w:val="00AC76A3"/>
    <w:rsid w:val="00AD198B"/>
    <w:rsid w:val="00AD2869"/>
    <w:rsid w:val="00AD5804"/>
    <w:rsid w:val="00AD7447"/>
    <w:rsid w:val="00AE070C"/>
    <w:rsid w:val="00AE176E"/>
    <w:rsid w:val="00AE25C1"/>
    <w:rsid w:val="00AE4BDE"/>
    <w:rsid w:val="00AE68C9"/>
    <w:rsid w:val="00AE75A7"/>
    <w:rsid w:val="00AE7CDA"/>
    <w:rsid w:val="00AF0DB1"/>
    <w:rsid w:val="00AF3CCD"/>
    <w:rsid w:val="00AF45CC"/>
    <w:rsid w:val="00B07945"/>
    <w:rsid w:val="00B115DD"/>
    <w:rsid w:val="00B12673"/>
    <w:rsid w:val="00B128A7"/>
    <w:rsid w:val="00B1659F"/>
    <w:rsid w:val="00B16DBC"/>
    <w:rsid w:val="00B17E6D"/>
    <w:rsid w:val="00B17FCB"/>
    <w:rsid w:val="00B22ECC"/>
    <w:rsid w:val="00B24E38"/>
    <w:rsid w:val="00B255AB"/>
    <w:rsid w:val="00B314CF"/>
    <w:rsid w:val="00B32823"/>
    <w:rsid w:val="00B34326"/>
    <w:rsid w:val="00B36EC9"/>
    <w:rsid w:val="00B422F1"/>
    <w:rsid w:val="00B42E03"/>
    <w:rsid w:val="00B52EF1"/>
    <w:rsid w:val="00B55337"/>
    <w:rsid w:val="00B57848"/>
    <w:rsid w:val="00B6160A"/>
    <w:rsid w:val="00B6505B"/>
    <w:rsid w:val="00B651E2"/>
    <w:rsid w:val="00B66458"/>
    <w:rsid w:val="00B66473"/>
    <w:rsid w:val="00B71567"/>
    <w:rsid w:val="00B71AEF"/>
    <w:rsid w:val="00B74A6F"/>
    <w:rsid w:val="00B76728"/>
    <w:rsid w:val="00B815DC"/>
    <w:rsid w:val="00B81684"/>
    <w:rsid w:val="00B867AC"/>
    <w:rsid w:val="00B87465"/>
    <w:rsid w:val="00B91F5D"/>
    <w:rsid w:val="00BA120E"/>
    <w:rsid w:val="00BA32E0"/>
    <w:rsid w:val="00BA4A3D"/>
    <w:rsid w:val="00BA5091"/>
    <w:rsid w:val="00BB28D2"/>
    <w:rsid w:val="00BB3D71"/>
    <w:rsid w:val="00BC4E09"/>
    <w:rsid w:val="00BC636A"/>
    <w:rsid w:val="00BC6958"/>
    <w:rsid w:val="00BD0C20"/>
    <w:rsid w:val="00BD1F9A"/>
    <w:rsid w:val="00BD3110"/>
    <w:rsid w:val="00BD4714"/>
    <w:rsid w:val="00BF08CA"/>
    <w:rsid w:val="00BF11D2"/>
    <w:rsid w:val="00BF4AA7"/>
    <w:rsid w:val="00BF5D7B"/>
    <w:rsid w:val="00BF7AEA"/>
    <w:rsid w:val="00C0006E"/>
    <w:rsid w:val="00C02E72"/>
    <w:rsid w:val="00C0575D"/>
    <w:rsid w:val="00C05B01"/>
    <w:rsid w:val="00C1324C"/>
    <w:rsid w:val="00C134CA"/>
    <w:rsid w:val="00C15094"/>
    <w:rsid w:val="00C25C31"/>
    <w:rsid w:val="00C27C1C"/>
    <w:rsid w:val="00C31281"/>
    <w:rsid w:val="00C31642"/>
    <w:rsid w:val="00C3572E"/>
    <w:rsid w:val="00C37B64"/>
    <w:rsid w:val="00C457F8"/>
    <w:rsid w:val="00C51850"/>
    <w:rsid w:val="00C56053"/>
    <w:rsid w:val="00C60B4F"/>
    <w:rsid w:val="00C61C68"/>
    <w:rsid w:val="00C6319E"/>
    <w:rsid w:val="00C667D3"/>
    <w:rsid w:val="00C700D0"/>
    <w:rsid w:val="00C713E4"/>
    <w:rsid w:val="00C728C8"/>
    <w:rsid w:val="00C73AF2"/>
    <w:rsid w:val="00C74A57"/>
    <w:rsid w:val="00C80652"/>
    <w:rsid w:val="00C80692"/>
    <w:rsid w:val="00C82323"/>
    <w:rsid w:val="00C82521"/>
    <w:rsid w:val="00C8679B"/>
    <w:rsid w:val="00C86C83"/>
    <w:rsid w:val="00C870D7"/>
    <w:rsid w:val="00C93C15"/>
    <w:rsid w:val="00CA01F4"/>
    <w:rsid w:val="00CA1A18"/>
    <w:rsid w:val="00CA22C2"/>
    <w:rsid w:val="00CA5996"/>
    <w:rsid w:val="00CA6CD0"/>
    <w:rsid w:val="00CB5288"/>
    <w:rsid w:val="00CB69F9"/>
    <w:rsid w:val="00CB7A57"/>
    <w:rsid w:val="00CC0ECD"/>
    <w:rsid w:val="00CC500B"/>
    <w:rsid w:val="00CC5074"/>
    <w:rsid w:val="00CC5A35"/>
    <w:rsid w:val="00CC6B6C"/>
    <w:rsid w:val="00CD2886"/>
    <w:rsid w:val="00CD4E2A"/>
    <w:rsid w:val="00CD6A32"/>
    <w:rsid w:val="00CF0162"/>
    <w:rsid w:val="00CF22E1"/>
    <w:rsid w:val="00CF5F35"/>
    <w:rsid w:val="00CF7FEE"/>
    <w:rsid w:val="00D0362C"/>
    <w:rsid w:val="00D14E73"/>
    <w:rsid w:val="00D17B15"/>
    <w:rsid w:val="00D30236"/>
    <w:rsid w:val="00D31D6F"/>
    <w:rsid w:val="00D335AE"/>
    <w:rsid w:val="00D34491"/>
    <w:rsid w:val="00D35B70"/>
    <w:rsid w:val="00D44E86"/>
    <w:rsid w:val="00D45A6E"/>
    <w:rsid w:val="00D45F94"/>
    <w:rsid w:val="00D4657C"/>
    <w:rsid w:val="00D54255"/>
    <w:rsid w:val="00D57064"/>
    <w:rsid w:val="00D57D40"/>
    <w:rsid w:val="00D57D7A"/>
    <w:rsid w:val="00D615BB"/>
    <w:rsid w:val="00D61682"/>
    <w:rsid w:val="00D616E9"/>
    <w:rsid w:val="00D624A1"/>
    <w:rsid w:val="00D67A44"/>
    <w:rsid w:val="00D74967"/>
    <w:rsid w:val="00D7789E"/>
    <w:rsid w:val="00D77AA9"/>
    <w:rsid w:val="00D8009C"/>
    <w:rsid w:val="00D82BF8"/>
    <w:rsid w:val="00D849CE"/>
    <w:rsid w:val="00D8510F"/>
    <w:rsid w:val="00D91583"/>
    <w:rsid w:val="00D97D43"/>
    <w:rsid w:val="00DA08A7"/>
    <w:rsid w:val="00DA38F1"/>
    <w:rsid w:val="00DA4AFC"/>
    <w:rsid w:val="00DA4C34"/>
    <w:rsid w:val="00DA579A"/>
    <w:rsid w:val="00DA591C"/>
    <w:rsid w:val="00DA76D2"/>
    <w:rsid w:val="00DB0F2E"/>
    <w:rsid w:val="00DB0F41"/>
    <w:rsid w:val="00DB121F"/>
    <w:rsid w:val="00DB63F1"/>
    <w:rsid w:val="00DC1B64"/>
    <w:rsid w:val="00DC4976"/>
    <w:rsid w:val="00DC50FF"/>
    <w:rsid w:val="00DC60A5"/>
    <w:rsid w:val="00DD007F"/>
    <w:rsid w:val="00DD5011"/>
    <w:rsid w:val="00DE0198"/>
    <w:rsid w:val="00DE0A2F"/>
    <w:rsid w:val="00DE6D0A"/>
    <w:rsid w:val="00DF3AD1"/>
    <w:rsid w:val="00E02887"/>
    <w:rsid w:val="00E13E33"/>
    <w:rsid w:val="00E17289"/>
    <w:rsid w:val="00E21C26"/>
    <w:rsid w:val="00E247DF"/>
    <w:rsid w:val="00E24D2A"/>
    <w:rsid w:val="00E30747"/>
    <w:rsid w:val="00E3152C"/>
    <w:rsid w:val="00E318B1"/>
    <w:rsid w:val="00E33870"/>
    <w:rsid w:val="00E34AB5"/>
    <w:rsid w:val="00E41433"/>
    <w:rsid w:val="00E5295F"/>
    <w:rsid w:val="00E55A9E"/>
    <w:rsid w:val="00E562FD"/>
    <w:rsid w:val="00E56BB4"/>
    <w:rsid w:val="00E642DC"/>
    <w:rsid w:val="00E66D10"/>
    <w:rsid w:val="00E6701C"/>
    <w:rsid w:val="00E67102"/>
    <w:rsid w:val="00E704D0"/>
    <w:rsid w:val="00E71ED9"/>
    <w:rsid w:val="00E73A67"/>
    <w:rsid w:val="00E73A9A"/>
    <w:rsid w:val="00E76F49"/>
    <w:rsid w:val="00E80A72"/>
    <w:rsid w:val="00E838F6"/>
    <w:rsid w:val="00E90D61"/>
    <w:rsid w:val="00E95239"/>
    <w:rsid w:val="00EA156A"/>
    <w:rsid w:val="00EA59D7"/>
    <w:rsid w:val="00EA5D3F"/>
    <w:rsid w:val="00EB1260"/>
    <w:rsid w:val="00EB20B2"/>
    <w:rsid w:val="00EB38D2"/>
    <w:rsid w:val="00EB48FC"/>
    <w:rsid w:val="00EB611D"/>
    <w:rsid w:val="00EB622B"/>
    <w:rsid w:val="00EC3517"/>
    <w:rsid w:val="00EC3EFA"/>
    <w:rsid w:val="00EC3F4E"/>
    <w:rsid w:val="00EC4223"/>
    <w:rsid w:val="00EC42B4"/>
    <w:rsid w:val="00EC55D8"/>
    <w:rsid w:val="00ED10E3"/>
    <w:rsid w:val="00ED29B8"/>
    <w:rsid w:val="00ED36B3"/>
    <w:rsid w:val="00EE35C5"/>
    <w:rsid w:val="00EE4B68"/>
    <w:rsid w:val="00EE7603"/>
    <w:rsid w:val="00EF109A"/>
    <w:rsid w:val="00EF117F"/>
    <w:rsid w:val="00EF6A15"/>
    <w:rsid w:val="00F01841"/>
    <w:rsid w:val="00F02D6C"/>
    <w:rsid w:val="00F0569E"/>
    <w:rsid w:val="00F05A7A"/>
    <w:rsid w:val="00F06871"/>
    <w:rsid w:val="00F06A6F"/>
    <w:rsid w:val="00F13165"/>
    <w:rsid w:val="00F23045"/>
    <w:rsid w:val="00F32E64"/>
    <w:rsid w:val="00F34EFE"/>
    <w:rsid w:val="00F35C28"/>
    <w:rsid w:val="00F41374"/>
    <w:rsid w:val="00F42908"/>
    <w:rsid w:val="00F46FA8"/>
    <w:rsid w:val="00F50879"/>
    <w:rsid w:val="00F63F0E"/>
    <w:rsid w:val="00F70C6F"/>
    <w:rsid w:val="00F712AF"/>
    <w:rsid w:val="00F72DA0"/>
    <w:rsid w:val="00F778BB"/>
    <w:rsid w:val="00F8705B"/>
    <w:rsid w:val="00F91818"/>
    <w:rsid w:val="00F929E0"/>
    <w:rsid w:val="00F95423"/>
    <w:rsid w:val="00F96C48"/>
    <w:rsid w:val="00F97B88"/>
    <w:rsid w:val="00FA03B4"/>
    <w:rsid w:val="00FA0679"/>
    <w:rsid w:val="00FA0B0F"/>
    <w:rsid w:val="00FA48DB"/>
    <w:rsid w:val="00FA51C3"/>
    <w:rsid w:val="00FA561C"/>
    <w:rsid w:val="00FB15C2"/>
    <w:rsid w:val="00FB46EF"/>
    <w:rsid w:val="00FC3726"/>
    <w:rsid w:val="00FC3D37"/>
    <w:rsid w:val="00FC4AC3"/>
    <w:rsid w:val="00FC6467"/>
    <w:rsid w:val="00FC7117"/>
    <w:rsid w:val="00FD02A7"/>
    <w:rsid w:val="00FD0F32"/>
    <w:rsid w:val="00FD1A97"/>
    <w:rsid w:val="00FD2BBD"/>
    <w:rsid w:val="00FD2F8C"/>
    <w:rsid w:val="00FD432C"/>
    <w:rsid w:val="00FD5F9A"/>
    <w:rsid w:val="00FD60DB"/>
    <w:rsid w:val="00FD71D8"/>
    <w:rsid w:val="00FE23DA"/>
    <w:rsid w:val="00FE2EEC"/>
    <w:rsid w:val="00FE474A"/>
    <w:rsid w:val="00FE5C45"/>
    <w:rsid w:val="00FE636E"/>
    <w:rsid w:val="00FF10AF"/>
    <w:rsid w:val="00FF6395"/>
    <w:rsid w:val="00FF7155"/>
    <w:rsid w:val="0859AA25"/>
    <w:rsid w:val="0E3CEC5E"/>
    <w:rsid w:val="10FA9E86"/>
    <w:rsid w:val="1743532D"/>
    <w:rsid w:val="19B12B77"/>
    <w:rsid w:val="2259433A"/>
    <w:rsid w:val="24EDB7A2"/>
    <w:rsid w:val="253A75D1"/>
    <w:rsid w:val="287EAC36"/>
    <w:rsid w:val="2A58905E"/>
    <w:rsid w:val="303720C5"/>
    <w:rsid w:val="32DB6B60"/>
    <w:rsid w:val="37DF4643"/>
    <w:rsid w:val="3904B2ED"/>
    <w:rsid w:val="3AB6EE50"/>
    <w:rsid w:val="3BA01E9C"/>
    <w:rsid w:val="3C5C93AA"/>
    <w:rsid w:val="42C4B447"/>
    <w:rsid w:val="46F53BF2"/>
    <w:rsid w:val="50597725"/>
    <w:rsid w:val="53F5B7CE"/>
    <w:rsid w:val="5A630857"/>
    <w:rsid w:val="5A92ED7A"/>
    <w:rsid w:val="5AC6C10A"/>
    <w:rsid w:val="5BEC4D52"/>
    <w:rsid w:val="61D89926"/>
    <w:rsid w:val="61E105A6"/>
    <w:rsid w:val="69BAF1D1"/>
    <w:rsid w:val="76E45060"/>
    <w:rsid w:val="76EDC795"/>
    <w:rsid w:val="7D3ADD12"/>
    <w:rsid w:val="7EC57307"/>
    <w:rsid w:val="7F0C0973"/>
    <w:rsid w:val="7FBF3426"/>
    <w:rsid w:val="7FE7F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F7CE9"/>
  <w15:docId w15:val="{C0904667-8D72-4341-AA23-8DFD580AD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2882"/>
    <w:pPr>
      <w:spacing w:after="0" w:line="288" w:lineRule="auto"/>
      <w:jc w:val="both"/>
    </w:pPr>
    <w:rPr>
      <w:rFonts w:ascii="Verdana" w:eastAsia="Times New Roman" w:hAnsi="Verdana" w:cs="Times New Roman"/>
      <w:sz w:val="18"/>
      <w:szCs w:val="24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semiHidden/>
    <w:rsid w:val="00152882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semiHidden/>
    <w:rsid w:val="00152882"/>
    <w:rPr>
      <w:rFonts w:ascii="Verdana" w:eastAsia="Times New Roman" w:hAnsi="Verdana" w:cs="Times New Roman"/>
      <w:sz w:val="18"/>
      <w:szCs w:val="24"/>
      <w:lang w:val="en-GB"/>
    </w:rPr>
  </w:style>
  <w:style w:type="paragraph" w:styleId="Pta">
    <w:name w:val="footer"/>
    <w:basedOn w:val="Normlny"/>
    <w:link w:val="PtaChar"/>
    <w:semiHidden/>
    <w:rsid w:val="00152882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semiHidden/>
    <w:rsid w:val="00152882"/>
    <w:rPr>
      <w:rFonts w:ascii="Verdana" w:eastAsia="Times New Roman" w:hAnsi="Verdana" w:cs="Times New Roman"/>
      <w:sz w:val="18"/>
      <w:szCs w:val="24"/>
      <w:lang w:val="en-GB"/>
    </w:rPr>
  </w:style>
  <w:style w:type="paragraph" w:customStyle="1" w:styleId="Noparagraphstyle">
    <w:name w:val="[No paragraph style]"/>
    <w:semiHidden/>
    <w:rsid w:val="00152882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GB"/>
    </w:rPr>
  </w:style>
  <w:style w:type="character" w:styleId="slostrany">
    <w:name w:val="page number"/>
    <w:basedOn w:val="Predvolenpsmoodseku"/>
    <w:semiHidden/>
    <w:rsid w:val="00152882"/>
  </w:style>
  <w:style w:type="paragraph" w:customStyle="1" w:styleId="Heading1CEA">
    <w:name w:val="Heading 1 (CEA)"/>
    <w:basedOn w:val="Normlny"/>
    <w:link w:val="Heading1CEAChar"/>
    <w:semiHidden/>
    <w:rsid w:val="00152882"/>
    <w:pPr>
      <w:autoSpaceDE w:val="0"/>
      <w:autoSpaceDN w:val="0"/>
      <w:adjustRightInd w:val="0"/>
    </w:pPr>
    <w:rPr>
      <w:rFonts w:ascii="Arial" w:hAnsi="Arial"/>
      <w:b/>
      <w:color w:val="034EA2"/>
      <w:sz w:val="32"/>
      <w:szCs w:val="32"/>
    </w:rPr>
  </w:style>
  <w:style w:type="character" w:customStyle="1" w:styleId="Heading1CEAChar">
    <w:name w:val="Heading 1 (CEA) Char"/>
    <w:basedOn w:val="Predvolenpsmoodseku"/>
    <w:link w:val="Heading1CEA"/>
    <w:semiHidden/>
    <w:rsid w:val="00152882"/>
    <w:rPr>
      <w:rFonts w:ascii="Arial" w:eastAsia="Times New Roman" w:hAnsi="Arial" w:cs="Times New Roman"/>
      <w:b/>
      <w:color w:val="034EA2"/>
      <w:sz w:val="32"/>
      <w:szCs w:val="32"/>
      <w:lang w:val="en-GB"/>
    </w:rPr>
  </w:style>
  <w:style w:type="paragraph" w:customStyle="1" w:styleId="CEAPositionPaperTitle">
    <w:name w:val="CEA Position Paper Title"/>
    <w:basedOn w:val="Normlny"/>
    <w:semiHidden/>
    <w:qFormat/>
    <w:rsid w:val="00152882"/>
    <w:pPr>
      <w:ind w:left="-27"/>
    </w:pPr>
    <w:rPr>
      <w:b/>
      <w:color w:val="034EA2"/>
      <w:sz w:val="32"/>
      <w:szCs w:val="32"/>
    </w:rPr>
  </w:style>
  <w:style w:type="paragraph" w:customStyle="1" w:styleId="CEADraft">
    <w:name w:val="CEA Draft"/>
    <w:basedOn w:val="Normlny"/>
    <w:semiHidden/>
    <w:qFormat/>
    <w:rsid w:val="00152882"/>
    <w:pPr>
      <w:jc w:val="right"/>
    </w:pPr>
    <w:rPr>
      <w:rFonts w:cs="Arial"/>
      <w:b/>
      <w:i/>
      <w:color w:val="034EA2"/>
      <w:sz w:val="32"/>
      <w:szCs w:val="40"/>
    </w:rPr>
  </w:style>
  <w:style w:type="paragraph" w:customStyle="1" w:styleId="CEAFooterauthorinfo">
    <w:name w:val="CEA Footer (author info)"/>
    <w:basedOn w:val="Normlny"/>
    <w:semiHidden/>
    <w:qFormat/>
    <w:rsid w:val="00152882"/>
    <w:pPr>
      <w:autoSpaceDE w:val="0"/>
      <w:autoSpaceDN w:val="0"/>
      <w:adjustRightInd w:val="0"/>
      <w:textAlignment w:val="center"/>
    </w:pPr>
    <w:rPr>
      <w:rFonts w:cs="Arial"/>
      <w:b/>
      <w:color w:val="034EA2"/>
      <w:sz w:val="16"/>
      <w:szCs w:val="16"/>
    </w:rPr>
  </w:style>
  <w:style w:type="paragraph" w:customStyle="1" w:styleId="CEALabel">
    <w:name w:val="CEA Label"/>
    <w:basedOn w:val="Normlny"/>
    <w:semiHidden/>
    <w:qFormat/>
    <w:rsid w:val="00152882"/>
    <w:rPr>
      <w:rFonts w:cs="Arial"/>
      <w:b/>
      <w:color w:val="034EA2"/>
      <w:szCs w:val="18"/>
    </w:rPr>
  </w:style>
  <w:style w:type="character" w:styleId="Zstupntext">
    <w:name w:val="Placeholder Text"/>
    <w:basedOn w:val="Predvolenpsmoodseku"/>
    <w:uiPriority w:val="99"/>
    <w:semiHidden/>
    <w:rsid w:val="0008034A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03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034A"/>
    <w:rPr>
      <w:rFonts w:ascii="Tahoma" w:eastAsia="Times New Roman" w:hAnsi="Tahoma" w:cs="Tahoma"/>
      <w:sz w:val="16"/>
      <w:szCs w:val="16"/>
      <w:lang w:val="en-GB"/>
    </w:rPr>
  </w:style>
  <w:style w:type="paragraph" w:customStyle="1" w:styleId="CEABullet-Level1">
    <w:name w:val="CEA Bullet - Level 1"/>
    <w:basedOn w:val="Normlny"/>
    <w:qFormat/>
    <w:rsid w:val="00825DAE"/>
    <w:pPr>
      <w:numPr>
        <w:numId w:val="1"/>
      </w:numPr>
      <w:autoSpaceDE w:val="0"/>
      <w:autoSpaceDN w:val="0"/>
      <w:adjustRightInd w:val="0"/>
    </w:pPr>
    <w:rPr>
      <w:rFonts w:cs="Frutiger LT Std 45 Light"/>
      <w:color w:val="000000"/>
      <w:sz w:val="17"/>
      <w:szCs w:val="20"/>
    </w:rPr>
  </w:style>
  <w:style w:type="paragraph" w:customStyle="1" w:styleId="CEABullet-Level2">
    <w:name w:val="CEA Bullet - Level 2"/>
    <w:basedOn w:val="CEABullet-Level1"/>
    <w:next w:val="Normlny"/>
    <w:qFormat/>
    <w:rsid w:val="00825DAE"/>
    <w:pPr>
      <w:numPr>
        <w:numId w:val="2"/>
      </w:numPr>
    </w:pPr>
  </w:style>
  <w:style w:type="paragraph" w:customStyle="1" w:styleId="CEABullet-Level3">
    <w:name w:val="CEA Bullet - Level 3"/>
    <w:basedOn w:val="Normlny"/>
    <w:qFormat/>
    <w:rsid w:val="00825DAE"/>
    <w:pPr>
      <w:numPr>
        <w:numId w:val="3"/>
      </w:numPr>
      <w:autoSpaceDE w:val="0"/>
      <w:autoSpaceDN w:val="0"/>
      <w:adjustRightInd w:val="0"/>
    </w:pPr>
    <w:rPr>
      <w:rFonts w:cs="Frutiger LT Std 45 Light"/>
      <w:color w:val="000000"/>
      <w:sz w:val="17"/>
      <w:szCs w:val="20"/>
    </w:rPr>
  </w:style>
  <w:style w:type="paragraph" w:customStyle="1" w:styleId="CEADirectorGeneral">
    <w:name w:val="CEA Director General"/>
    <w:basedOn w:val="Normlny"/>
    <w:semiHidden/>
    <w:qFormat/>
    <w:rsid w:val="00825DAE"/>
    <w:pPr>
      <w:tabs>
        <w:tab w:val="right" w:pos="360"/>
        <w:tab w:val="left" w:pos="540"/>
      </w:tabs>
      <w:autoSpaceDE w:val="0"/>
      <w:autoSpaceDN w:val="0"/>
      <w:adjustRightInd w:val="0"/>
      <w:textAlignment w:val="center"/>
    </w:pPr>
    <w:rPr>
      <w:sz w:val="22"/>
      <w:szCs w:val="22"/>
    </w:rPr>
  </w:style>
  <w:style w:type="paragraph" w:customStyle="1" w:styleId="CEADocumentType">
    <w:name w:val="CEA Document Type"/>
    <w:basedOn w:val="Normlny"/>
    <w:semiHidden/>
    <w:qFormat/>
    <w:rsid w:val="00825DAE"/>
    <w:pPr>
      <w:jc w:val="right"/>
    </w:pPr>
    <w:rPr>
      <w:rFonts w:cs="Frutiger LT Std 55 Roman"/>
      <w:b/>
      <w:color w:val="0032FF"/>
      <w:sz w:val="40"/>
      <w:szCs w:val="40"/>
    </w:rPr>
  </w:style>
  <w:style w:type="paragraph" w:customStyle="1" w:styleId="CEAFootnote">
    <w:name w:val="CEA Footnote"/>
    <w:basedOn w:val="Normlny"/>
    <w:semiHidden/>
    <w:qFormat/>
    <w:rsid w:val="00825DAE"/>
    <w:pPr>
      <w:spacing w:line="240" w:lineRule="auto"/>
    </w:pPr>
    <w:rPr>
      <w:sz w:val="16"/>
    </w:rPr>
  </w:style>
  <w:style w:type="character" w:customStyle="1" w:styleId="CEAGraphTitle">
    <w:name w:val="CEA Graph Title"/>
    <w:uiPriority w:val="1"/>
    <w:qFormat/>
    <w:rsid w:val="00825DAE"/>
    <w:rPr>
      <w:rFonts w:ascii="Verdana" w:hAnsi="Verdana"/>
      <w:smallCaps w:val="0"/>
      <w:sz w:val="19"/>
      <w:lang w:val="en-GB"/>
    </w:rPr>
  </w:style>
  <w:style w:type="character" w:customStyle="1" w:styleId="CEAGraphX">
    <w:name w:val="CEA Graph X"/>
    <w:uiPriority w:val="1"/>
    <w:qFormat/>
    <w:rsid w:val="00825DAE"/>
    <w:rPr>
      <w:rFonts w:ascii="Verdana" w:hAnsi="Verdana"/>
      <w:smallCaps/>
      <w:sz w:val="19"/>
      <w:lang w:val="en-GB"/>
    </w:rPr>
  </w:style>
  <w:style w:type="paragraph" w:customStyle="1" w:styleId="CEAPressReleaseSubtitle">
    <w:name w:val="CEA Press Release Subtitle"/>
    <w:basedOn w:val="Normlny"/>
    <w:semiHidden/>
    <w:qFormat/>
    <w:rsid w:val="00825DAE"/>
    <w:rPr>
      <w:sz w:val="22"/>
      <w:szCs w:val="22"/>
    </w:rPr>
  </w:style>
  <w:style w:type="paragraph" w:customStyle="1" w:styleId="CEAPressReleaseTitle">
    <w:name w:val="CEA Press Release Title"/>
    <w:basedOn w:val="Normlny"/>
    <w:semiHidden/>
    <w:qFormat/>
    <w:rsid w:val="00825DAE"/>
    <w:pPr>
      <w:autoSpaceDE w:val="0"/>
      <w:autoSpaceDN w:val="0"/>
      <w:adjustRightInd w:val="0"/>
      <w:spacing w:line="240" w:lineRule="auto"/>
    </w:pPr>
    <w:rPr>
      <w:rFonts w:ascii="Frutiger LT Com 45 Light" w:hAnsi="Frutiger LT Com 45 Light"/>
      <w:b/>
      <w:color w:val="034EA2"/>
      <w:sz w:val="36"/>
      <w:szCs w:val="36"/>
    </w:rPr>
  </w:style>
  <w:style w:type="paragraph" w:customStyle="1" w:styleId="CEASubjectLine">
    <w:name w:val="CEA Subject Line"/>
    <w:basedOn w:val="Normlny"/>
    <w:semiHidden/>
    <w:qFormat/>
    <w:rsid w:val="00825DAE"/>
    <w:rPr>
      <w:rFonts w:cs="Frutiger LT Std 55 Roman"/>
      <w:b/>
      <w:sz w:val="17"/>
      <w:szCs w:val="20"/>
    </w:rPr>
  </w:style>
  <w:style w:type="table" w:styleId="Mriekatabuky">
    <w:name w:val="Table Grid"/>
    <w:basedOn w:val="Normlnatabuka"/>
    <w:uiPriority w:val="59"/>
    <w:rsid w:val="00124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7748EE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748EE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3E4169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D7789E"/>
    <w:rPr>
      <w:color w:val="800080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5955B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955B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955B1"/>
    <w:rPr>
      <w:rFonts w:ascii="Verdana" w:eastAsia="Times New Roman" w:hAnsi="Verdana" w:cs="Times New Roman"/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955B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955B1"/>
    <w:rPr>
      <w:rFonts w:ascii="Verdana" w:eastAsia="Times New Roman" w:hAnsi="Verdana" w:cs="Times New Roman"/>
      <w:b/>
      <w:bCs/>
      <w:sz w:val="20"/>
      <w:szCs w:val="20"/>
      <w:lang w:val="en-GB"/>
    </w:rPr>
  </w:style>
  <w:style w:type="character" w:styleId="Zmienka">
    <w:name w:val="Mention"/>
    <w:basedOn w:val="Predvolenpsmoodseku"/>
    <w:uiPriority w:val="99"/>
    <w:unhideWhenUsed/>
    <w:rsid w:val="00240E28"/>
    <w:rPr>
      <w:color w:val="2B579A"/>
      <w:shd w:val="clear" w:color="auto" w:fill="E1DFDD"/>
    </w:rPr>
  </w:style>
  <w:style w:type="paragraph" w:styleId="Revzia">
    <w:name w:val="Revision"/>
    <w:hidden/>
    <w:uiPriority w:val="99"/>
    <w:semiHidden/>
    <w:rsid w:val="008C493D"/>
    <w:pPr>
      <w:spacing w:after="0" w:line="240" w:lineRule="auto"/>
    </w:pPr>
    <w:rPr>
      <w:rFonts w:ascii="Verdana" w:eastAsia="Times New Roman" w:hAnsi="Verdana" w:cs="Times New Roman"/>
      <w:sz w:val="18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1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insuranceeurope.eu/publications/3063/insurance-europe-statement-following-the-publication-of-the-european-commission-frequently-asked-questions-on-taxonomy-article-8-reporting/" TargetMode="Externa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eiopa.europa.eu/document/download/13d4b0c0-cd93-4a76-a04d-8cdd3876917d_en?filename=Factsheet%20-%20Green%20investments%202023v5.pdf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www.insuranceeurope.eu/mediaitem/eb46f509-61c9-4e30-afd5-988ec07d2269/ECO-CRISF-24-099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insuranceeurope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finance.ec.europa.eu/sustainable-finance/tools-and-standards/eu-taxonomy-sustainable-activities_en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3175A-9402-4B30-B3A5-FCC1C0934D84}"/>
      </w:docPartPr>
      <w:docPartBody>
        <w:p w:rsidR="00427EDA" w:rsidRDefault="009C6847">
          <w:r w:rsidRPr="008C7EEE">
            <w:rPr>
              <w:rStyle w:val="Zstupn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utiger LT Std 45 Light">
    <w:altName w:val="Segoe UI Semiligh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utiger LT Std 55 Roman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utiger LT Com 45 Light">
    <w:altName w:val="Corbel"/>
    <w:charset w:val="00"/>
    <w:family w:val="swiss"/>
    <w:pitch w:val="variable"/>
    <w:sig w:usb0="00000001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970"/>
    <w:rsid w:val="00046C5E"/>
    <w:rsid w:val="00067782"/>
    <w:rsid w:val="000A202A"/>
    <w:rsid w:val="000C0402"/>
    <w:rsid w:val="000F1CB6"/>
    <w:rsid w:val="00110763"/>
    <w:rsid w:val="00182BCC"/>
    <w:rsid w:val="001A4FF6"/>
    <w:rsid w:val="001E1E4E"/>
    <w:rsid w:val="001E3874"/>
    <w:rsid w:val="00203DD3"/>
    <w:rsid w:val="002627F9"/>
    <w:rsid w:val="002721B3"/>
    <w:rsid w:val="00285907"/>
    <w:rsid w:val="002B03B9"/>
    <w:rsid w:val="002B2922"/>
    <w:rsid w:val="00342B91"/>
    <w:rsid w:val="004172DD"/>
    <w:rsid w:val="00427EDA"/>
    <w:rsid w:val="0045131B"/>
    <w:rsid w:val="0049406D"/>
    <w:rsid w:val="004D286E"/>
    <w:rsid w:val="0051600D"/>
    <w:rsid w:val="0057158E"/>
    <w:rsid w:val="00634188"/>
    <w:rsid w:val="006B529B"/>
    <w:rsid w:val="0077090F"/>
    <w:rsid w:val="00775854"/>
    <w:rsid w:val="007F408C"/>
    <w:rsid w:val="00805CB3"/>
    <w:rsid w:val="00843D0C"/>
    <w:rsid w:val="009103C6"/>
    <w:rsid w:val="00955177"/>
    <w:rsid w:val="009A6C8D"/>
    <w:rsid w:val="009C6589"/>
    <w:rsid w:val="009C6847"/>
    <w:rsid w:val="009D03F4"/>
    <w:rsid w:val="009E3169"/>
    <w:rsid w:val="00A307CB"/>
    <w:rsid w:val="00A40639"/>
    <w:rsid w:val="00A44C8F"/>
    <w:rsid w:val="00AE7CDA"/>
    <w:rsid w:val="00AF0DB1"/>
    <w:rsid w:val="00AF50EC"/>
    <w:rsid w:val="00B16DBC"/>
    <w:rsid w:val="00B24E38"/>
    <w:rsid w:val="00B61A00"/>
    <w:rsid w:val="00B6505B"/>
    <w:rsid w:val="00B779C1"/>
    <w:rsid w:val="00C37B64"/>
    <w:rsid w:val="00C667D3"/>
    <w:rsid w:val="00CF5F35"/>
    <w:rsid w:val="00D61005"/>
    <w:rsid w:val="00D61682"/>
    <w:rsid w:val="00D849CE"/>
    <w:rsid w:val="00D87DF7"/>
    <w:rsid w:val="00D91583"/>
    <w:rsid w:val="00DA591C"/>
    <w:rsid w:val="00DC50FF"/>
    <w:rsid w:val="00E21B7B"/>
    <w:rsid w:val="00E401F3"/>
    <w:rsid w:val="00EB2C85"/>
    <w:rsid w:val="00F36970"/>
    <w:rsid w:val="00F633AE"/>
    <w:rsid w:val="00F67907"/>
    <w:rsid w:val="00FC3D37"/>
    <w:rsid w:val="00FE23DA"/>
    <w:rsid w:val="00F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6970"/>
    <w:rPr>
      <w:rFonts w:cs="Times New Roman"/>
      <w:sz w:val="3276"/>
      <w:szCs w:val="327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9C684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0CA08016993649B987301C6C20DE93" ma:contentTypeVersion="11" ma:contentTypeDescription="Create a new document." ma:contentTypeScope="" ma:versionID="63ba4a142953e3874a4f611ac23dcbee">
  <xsd:schema xmlns:xsd="http://www.w3.org/2001/XMLSchema" xmlns:xs="http://www.w3.org/2001/XMLSchema" xmlns:p="http://schemas.microsoft.com/office/2006/metadata/properties" xmlns:ns2="ddee4349-d6c5-476b-a1c6-d791a1a12d6c" xmlns:ns3="efa07f0a-2279-4397-9381-96c735bff43a" targetNamespace="http://schemas.microsoft.com/office/2006/metadata/properties" ma:root="true" ma:fieldsID="a7f008d25419cfd282394c9e489fe384" ns2:_="" ns3:_="">
    <xsd:import namespace="ddee4349-d6c5-476b-a1c6-d791a1a12d6c"/>
    <xsd:import namespace="efa07f0a-2279-4397-9381-96c735bff43a"/>
    <xsd:element name="properties">
      <xsd:complexType>
        <xsd:sequence>
          <xsd:element name="documentManagement">
            <xsd:complexType>
              <xsd:all>
                <xsd:element ref="ns2:Feedback_x0020_type" minOccurs="0"/>
                <xsd:element ref="ns2:Allow_x0020_uploads" minOccurs="0"/>
                <xsd:element ref="ns2:Allow_x0020_comments" minOccurs="0"/>
                <xsd:element ref="ns2:Deadline" minOccurs="0"/>
                <xsd:element ref="ns2:Leading_x0020_document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e4349-d6c5-476b-a1c6-d791a1a12d6c" elementFormDefault="qualified">
    <xsd:import namespace="http://schemas.microsoft.com/office/2006/documentManagement/types"/>
    <xsd:import namespace="http://schemas.microsoft.com/office/infopath/2007/PartnerControls"/>
    <xsd:element name="Feedback_x0020_type" ma:index="8" nillable="true" ma:displayName="Feedback type" ma:internalName="Feedback_x0020_type">
      <xsd:simpleType>
        <xsd:restriction base="dms:Text"/>
      </xsd:simpleType>
    </xsd:element>
    <xsd:element name="Allow_x0020_uploads" ma:index="9" nillable="true" ma:displayName="Allow uploads" ma:internalName="Allow_x0020_uploads">
      <xsd:simpleType>
        <xsd:restriction base="dms:Boolean"/>
      </xsd:simpleType>
    </xsd:element>
    <xsd:element name="Allow_x0020_comments" ma:index="10" nillable="true" ma:displayName="Allow comments" ma:internalName="Allow_x0020_comments">
      <xsd:simpleType>
        <xsd:restriction base="dms:Boolean"/>
      </xsd:simpleType>
    </xsd:element>
    <xsd:element name="Deadline" ma:index="11" nillable="true" ma:displayName="Deadline" ma:internalName="Deadline">
      <xsd:simpleType>
        <xsd:restriction base="dms:DateTime"/>
      </xsd:simpleType>
    </xsd:element>
    <xsd:element name="Leading_x0020_document" ma:index="12" nillable="true" ma:displayName="Leading document" ma:internalName="Leading_x0020_document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07f0a-2279-4397-9381-96c735bff43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adline xmlns="ddee4349-d6c5-476b-a1c6-d791a1a12d6c" xsi:nil="true"/>
    <Feedback_x0020_type xmlns="ddee4349-d6c5-476b-a1c6-d791a1a12d6c" xsi:nil="true"/>
    <Allow_x0020_uploads xmlns="ddee4349-d6c5-476b-a1c6-d791a1a12d6c" xsi:nil="true"/>
    <Allow_x0020_comments xmlns="ddee4349-d6c5-476b-a1c6-d791a1a12d6c" xsi:nil="true"/>
    <Leading_x0020_document xmlns="ddee4349-d6c5-476b-a1c6-d791a1a12d6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98A67-0E0B-4D09-A764-0F843B1A7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ee4349-d6c5-476b-a1c6-d791a1a12d6c"/>
    <ds:schemaRef ds:uri="efa07f0a-2279-4397-9381-96c735bff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5485A1-11AA-442D-8577-727460E39C5A}">
  <ds:schemaRefs>
    <ds:schemaRef ds:uri="http://purl.org/dc/dcmitype/"/>
    <ds:schemaRef ds:uri="http://purl.org/dc/terms/"/>
    <ds:schemaRef ds:uri="http://schemas.microsoft.com/office/2006/metadata/properties"/>
    <ds:schemaRef ds:uri="ddee4349-d6c5-476b-a1c6-d791a1a12d6c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fa07f0a-2279-4397-9381-96c735bff43a"/>
  </ds:schemaRefs>
</ds:datastoreItem>
</file>

<file path=customXml/itemProps3.xml><?xml version="1.0" encoding="utf-8"?>
<ds:datastoreItem xmlns:ds="http://schemas.openxmlformats.org/officeDocument/2006/customXml" ds:itemID="{63827B13-D241-4323-B7A9-75B7AD1AA6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F0DC3C-DEE0-460C-B589-0465E6B44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1093</Words>
  <Characters>6231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Insurance Europe</Company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Europe Key Messages on the EU Taxonomy Framework</dc:title>
  <dc:subject/>
  <dc:creator>Insurance Europe</dc:creator>
  <cp:keywords/>
  <cp:lastModifiedBy>jozef.bachnicek</cp:lastModifiedBy>
  <cp:revision>2</cp:revision>
  <dcterms:created xsi:type="dcterms:W3CDTF">2024-11-14T09:18:00Z</dcterms:created>
  <dcterms:modified xsi:type="dcterms:W3CDTF">2024-11-14T09:18:00Z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0x010100F10CA08016993649B987301C6C20DE93</vt:lpwstr>
  </property>
  <property fmtid="{D5CDD505-2E9C-101B-9397-08002B2CF9AE}" pid="3" name="_dlc_DocIdItemGuid">
    <vt:lpwstr>53f2ccfc-cb5c-4b2a-a083-e4a7e98f292e</vt:lpwstr>
  </property>
</Properties>
</file>