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288BC" w14:textId="77777777" w:rsidR="00152882" w:rsidRPr="003D0236" w:rsidRDefault="00152882" w:rsidP="003D0236">
      <w:pPr>
        <w:rPr>
          <w:sz w:val="17"/>
          <w:szCs w:val="17"/>
        </w:rPr>
        <w:sectPr w:rsidR="00152882" w:rsidRPr="003D0236" w:rsidSect="00240F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2336" w:right="907" w:bottom="1599" w:left="1418" w:header="709" w:footer="238" w:gutter="0"/>
          <w:cols w:space="708"/>
          <w:titlePg/>
          <w:docGrid w:linePitch="360"/>
        </w:sectPr>
      </w:pPr>
    </w:p>
    <w:p w14:paraId="4F447F98" w14:textId="680471ED" w:rsidR="00152882" w:rsidRPr="003D0236" w:rsidRDefault="003F0038" w:rsidP="003D0236">
      <w:pPr>
        <w:autoSpaceDE w:val="0"/>
        <w:autoSpaceDN w:val="0"/>
        <w:adjustRightInd w:val="0"/>
        <w:rPr>
          <w:b/>
          <w:color w:val="002957"/>
          <w:sz w:val="17"/>
          <w:szCs w:val="17"/>
        </w:rPr>
      </w:pPr>
      <w:r>
        <w:rPr>
          <w:b/>
          <w:color w:val="002957"/>
          <w:sz w:val="17"/>
          <w:szCs w:val="17"/>
        </w:rPr>
        <w:t>Background</w:t>
      </w:r>
    </w:p>
    <w:p w14:paraId="7D8EEDAF" w14:textId="66E3D447" w:rsidR="007A7C09" w:rsidRPr="00840D30" w:rsidRDefault="00840D30" w:rsidP="007A7C09">
      <w:pPr>
        <w:rPr>
          <w:color w:val="000000" w:themeColor="text1"/>
          <w:sz w:val="17"/>
          <w:szCs w:val="17"/>
        </w:rPr>
      </w:pPr>
      <w:r w:rsidRPr="32F08346">
        <w:rPr>
          <w:color w:val="000000" w:themeColor="text1"/>
          <w:sz w:val="17"/>
          <w:szCs w:val="17"/>
        </w:rPr>
        <w:t>Entitie</w:t>
      </w:r>
      <w:r w:rsidR="007A7C09" w:rsidRPr="32F08346">
        <w:rPr>
          <w:sz w:val="17"/>
          <w:szCs w:val="17"/>
        </w:rPr>
        <w:t xml:space="preserve">s subject to the </w:t>
      </w:r>
      <w:r w:rsidR="004D7C57" w:rsidRPr="32F08346">
        <w:rPr>
          <w:sz w:val="17"/>
          <w:szCs w:val="17"/>
        </w:rPr>
        <w:t xml:space="preserve">Corporate </w:t>
      </w:r>
      <w:r w:rsidR="00331BB2" w:rsidRPr="32F08346">
        <w:rPr>
          <w:sz w:val="17"/>
          <w:szCs w:val="17"/>
        </w:rPr>
        <w:t>S</w:t>
      </w:r>
      <w:r w:rsidR="004D7C57" w:rsidRPr="32F08346">
        <w:rPr>
          <w:sz w:val="17"/>
          <w:szCs w:val="17"/>
        </w:rPr>
        <w:t xml:space="preserve">ustainability </w:t>
      </w:r>
      <w:r w:rsidR="00331BB2" w:rsidRPr="32F08346">
        <w:rPr>
          <w:sz w:val="17"/>
          <w:szCs w:val="17"/>
        </w:rPr>
        <w:t>R</w:t>
      </w:r>
      <w:r w:rsidR="004D7C57" w:rsidRPr="32F08346">
        <w:rPr>
          <w:sz w:val="17"/>
          <w:szCs w:val="17"/>
        </w:rPr>
        <w:t xml:space="preserve">eporting </w:t>
      </w:r>
      <w:r w:rsidR="00331BB2" w:rsidRPr="32F08346">
        <w:rPr>
          <w:sz w:val="17"/>
          <w:szCs w:val="17"/>
        </w:rPr>
        <w:t xml:space="preserve">Directive </w:t>
      </w:r>
      <w:r w:rsidR="004D7C57" w:rsidRPr="32F08346">
        <w:rPr>
          <w:sz w:val="17"/>
          <w:szCs w:val="17"/>
        </w:rPr>
        <w:t>(</w:t>
      </w:r>
      <w:r w:rsidR="007A7C09" w:rsidRPr="32F08346">
        <w:rPr>
          <w:sz w:val="17"/>
          <w:szCs w:val="17"/>
        </w:rPr>
        <w:t>CSRD</w:t>
      </w:r>
      <w:r w:rsidR="004D7C57" w:rsidRPr="32F08346">
        <w:rPr>
          <w:sz w:val="17"/>
          <w:szCs w:val="17"/>
        </w:rPr>
        <w:t>)</w:t>
      </w:r>
      <w:r w:rsidR="007A7C09" w:rsidRPr="32F08346">
        <w:rPr>
          <w:sz w:val="17"/>
          <w:szCs w:val="17"/>
        </w:rPr>
        <w:t xml:space="preserve"> will have to report according to the </w:t>
      </w:r>
      <w:r w:rsidR="00C36D12" w:rsidRPr="32F08346">
        <w:rPr>
          <w:sz w:val="17"/>
          <w:szCs w:val="17"/>
        </w:rPr>
        <w:t xml:space="preserve">(industry) </w:t>
      </w:r>
      <w:r w:rsidR="007A7C09" w:rsidRPr="32F08346">
        <w:rPr>
          <w:sz w:val="17"/>
          <w:szCs w:val="17"/>
        </w:rPr>
        <w:t>sector</w:t>
      </w:r>
      <w:r w:rsidR="1653E692" w:rsidRPr="32F08346">
        <w:rPr>
          <w:sz w:val="17"/>
          <w:szCs w:val="17"/>
        </w:rPr>
        <w:t>-</w:t>
      </w:r>
      <w:r w:rsidR="007A7C09" w:rsidRPr="32F08346">
        <w:rPr>
          <w:sz w:val="17"/>
          <w:szCs w:val="17"/>
        </w:rPr>
        <w:t>agnostic European Sustainability Reporting Standards</w:t>
      </w:r>
      <w:r w:rsidR="00A01ED1" w:rsidRPr="32F08346">
        <w:rPr>
          <w:sz w:val="17"/>
          <w:szCs w:val="17"/>
        </w:rPr>
        <w:t xml:space="preserve"> (ESRS</w:t>
      </w:r>
      <w:r w:rsidR="00056422" w:rsidRPr="32F08346">
        <w:rPr>
          <w:sz w:val="17"/>
          <w:szCs w:val="17"/>
        </w:rPr>
        <w:t>)</w:t>
      </w:r>
      <w:r w:rsidR="007A7C09" w:rsidRPr="32F08346">
        <w:rPr>
          <w:b/>
          <w:bCs/>
          <w:sz w:val="17"/>
          <w:szCs w:val="17"/>
        </w:rPr>
        <w:t xml:space="preserve"> for the first time in </w:t>
      </w:r>
      <w:r w:rsidR="00AB2D60">
        <w:rPr>
          <w:b/>
          <w:bCs/>
          <w:sz w:val="17"/>
          <w:szCs w:val="17"/>
        </w:rPr>
        <w:t>fi</w:t>
      </w:r>
      <w:r w:rsidR="00445CA5">
        <w:rPr>
          <w:b/>
          <w:bCs/>
          <w:sz w:val="17"/>
          <w:szCs w:val="17"/>
        </w:rPr>
        <w:t xml:space="preserve">nancial </w:t>
      </w:r>
      <w:r w:rsidR="00AB2D60">
        <w:rPr>
          <w:b/>
          <w:bCs/>
          <w:sz w:val="17"/>
          <w:szCs w:val="17"/>
        </w:rPr>
        <w:t>year</w:t>
      </w:r>
      <w:r w:rsidR="00DE23A9" w:rsidRPr="32F08346">
        <w:rPr>
          <w:b/>
          <w:bCs/>
          <w:sz w:val="17"/>
          <w:szCs w:val="17"/>
        </w:rPr>
        <w:t xml:space="preserve"> 2024</w:t>
      </w:r>
      <w:r w:rsidR="00F05C78" w:rsidRPr="32F08346">
        <w:rPr>
          <w:b/>
          <w:bCs/>
          <w:sz w:val="17"/>
          <w:szCs w:val="17"/>
        </w:rPr>
        <w:t xml:space="preserve"> (first reports due in 2025)</w:t>
      </w:r>
      <w:r w:rsidR="007A7C09" w:rsidRPr="32F08346">
        <w:rPr>
          <w:sz w:val="17"/>
          <w:szCs w:val="17"/>
        </w:rPr>
        <w:t>.</w:t>
      </w:r>
    </w:p>
    <w:p w14:paraId="235BF19D" w14:textId="77777777" w:rsidR="00D63AEE" w:rsidRDefault="00D63AEE" w:rsidP="00D63AEE">
      <w:pPr>
        <w:rPr>
          <w:sz w:val="17"/>
          <w:szCs w:val="17"/>
        </w:rPr>
      </w:pPr>
    </w:p>
    <w:p w14:paraId="79AE69BB" w14:textId="19DEB3B1" w:rsidR="00D63AEE" w:rsidRDefault="00D63AEE" w:rsidP="00B84433">
      <w:pPr>
        <w:rPr>
          <w:sz w:val="17"/>
          <w:szCs w:val="17"/>
        </w:rPr>
      </w:pPr>
      <w:r w:rsidRPr="32F08346">
        <w:rPr>
          <w:sz w:val="17"/>
          <w:szCs w:val="17"/>
        </w:rPr>
        <w:t xml:space="preserve">The </w:t>
      </w:r>
      <w:r w:rsidRPr="32F08346">
        <w:rPr>
          <w:b/>
          <w:bCs/>
          <w:sz w:val="17"/>
          <w:szCs w:val="17"/>
        </w:rPr>
        <w:t>CSRD will be an important source of environmental, social and governance (ESG) data</w:t>
      </w:r>
      <w:r w:rsidRPr="32F08346">
        <w:rPr>
          <w:sz w:val="17"/>
          <w:szCs w:val="17"/>
        </w:rPr>
        <w:t xml:space="preserve"> which will be directly available </w:t>
      </w:r>
      <w:r w:rsidRPr="00996710">
        <w:rPr>
          <w:sz w:val="17"/>
          <w:szCs w:val="17"/>
        </w:rPr>
        <w:t>from</w:t>
      </w:r>
      <w:r w:rsidRPr="32F08346">
        <w:rPr>
          <w:sz w:val="17"/>
          <w:szCs w:val="17"/>
        </w:rPr>
        <w:t xml:space="preserve"> each entity. </w:t>
      </w:r>
    </w:p>
    <w:p w14:paraId="331B1CAD" w14:textId="77777777" w:rsidR="00D63AEE" w:rsidRDefault="00D63AEE" w:rsidP="00D63AEE">
      <w:pPr>
        <w:rPr>
          <w:sz w:val="17"/>
          <w:szCs w:val="17"/>
        </w:rPr>
      </w:pPr>
    </w:p>
    <w:p w14:paraId="3227E87F" w14:textId="4A4CF452" w:rsidR="00D63AEE" w:rsidRDefault="00D63AEE" w:rsidP="00D63AEE">
      <w:pPr>
        <w:rPr>
          <w:sz w:val="17"/>
          <w:szCs w:val="17"/>
        </w:rPr>
      </w:pPr>
      <w:r w:rsidRPr="32F08346">
        <w:rPr>
          <w:sz w:val="17"/>
          <w:szCs w:val="17"/>
        </w:rPr>
        <w:t xml:space="preserve">Under the CSRD, </w:t>
      </w:r>
      <w:r w:rsidRPr="32F08346">
        <w:rPr>
          <w:b/>
          <w:bCs/>
          <w:sz w:val="17"/>
          <w:szCs w:val="17"/>
        </w:rPr>
        <w:t>entities are also required to tag sustainability information against the Digital Taxonomy</w:t>
      </w:r>
      <w:r w:rsidRPr="32F08346">
        <w:rPr>
          <w:sz w:val="17"/>
          <w:szCs w:val="17"/>
        </w:rPr>
        <w:t xml:space="preserve">, to be developed for this scope. In August 2024 </w:t>
      </w:r>
      <w:r w:rsidR="006D5499">
        <w:rPr>
          <w:sz w:val="17"/>
          <w:szCs w:val="17"/>
        </w:rPr>
        <w:t xml:space="preserve">the </w:t>
      </w:r>
      <w:r w:rsidR="006D5499" w:rsidRPr="006D5499">
        <w:rPr>
          <w:sz w:val="17"/>
          <w:szCs w:val="17"/>
        </w:rPr>
        <w:t>European Financial Reporting Advisory Group</w:t>
      </w:r>
      <w:r w:rsidR="006D5499">
        <w:rPr>
          <w:sz w:val="17"/>
          <w:szCs w:val="17"/>
        </w:rPr>
        <w:t xml:space="preserve"> (</w:t>
      </w:r>
      <w:r w:rsidRPr="32F08346">
        <w:rPr>
          <w:sz w:val="17"/>
          <w:szCs w:val="17"/>
        </w:rPr>
        <w:t>EFRAG</w:t>
      </w:r>
      <w:r w:rsidR="006D5499">
        <w:rPr>
          <w:sz w:val="17"/>
          <w:szCs w:val="17"/>
        </w:rPr>
        <w:t>)</w:t>
      </w:r>
      <w:r w:rsidRPr="32F08346">
        <w:rPr>
          <w:sz w:val="17"/>
          <w:szCs w:val="17"/>
        </w:rPr>
        <w:t xml:space="preserve"> published the ESRS Set 1 XBRL Taxonomy, which will be the basis for the European Securities and Market Authority (ESMA) to develop the Regulatory Technical Standards, and for the E</w:t>
      </w:r>
      <w:r w:rsidR="008C0A23">
        <w:rPr>
          <w:sz w:val="17"/>
          <w:szCs w:val="17"/>
        </w:rPr>
        <w:t xml:space="preserve">uropean </w:t>
      </w:r>
      <w:r w:rsidRPr="32F08346">
        <w:rPr>
          <w:sz w:val="17"/>
          <w:szCs w:val="17"/>
        </w:rPr>
        <w:t>C</w:t>
      </w:r>
      <w:r w:rsidR="008C0A23">
        <w:rPr>
          <w:sz w:val="17"/>
          <w:szCs w:val="17"/>
        </w:rPr>
        <w:t>ommission (EC)</w:t>
      </w:r>
      <w:r w:rsidRPr="32F08346">
        <w:rPr>
          <w:sz w:val="17"/>
          <w:szCs w:val="17"/>
        </w:rPr>
        <w:t xml:space="preserve"> to carry out an impact assessment. Considering all the necessary steps in this procedure, the adoption of the Digital Taxonomy is expected in 2025.</w:t>
      </w:r>
    </w:p>
    <w:p w14:paraId="0D89208A" w14:textId="77777777" w:rsidR="00B84433" w:rsidRDefault="00B84433" w:rsidP="00D63AEE">
      <w:pPr>
        <w:rPr>
          <w:sz w:val="17"/>
          <w:szCs w:val="17"/>
        </w:rPr>
      </w:pPr>
    </w:p>
    <w:p w14:paraId="4F5BD0E1" w14:textId="3A405D0E" w:rsidR="00B84433" w:rsidRDefault="00B84433" w:rsidP="00B84433">
      <w:pPr>
        <w:rPr>
          <w:sz w:val="17"/>
          <w:szCs w:val="17"/>
        </w:rPr>
      </w:pPr>
      <w:r w:rsidRPr="32F08346">
        <w:rPr>
          <w:sz w:val="17"/>
          <w:szCs w:val="17"/>
        </w:rPr>
        <w:t>To allow efficient access to these data points, the E</w:t>
      </w:r>
      <w:r w:rsidR="008C0A23">
        <w:rPr>
          <w:sz w:val="17"/>
          <w:szCs w:val="17"/>
        </w:rPr>
        <w:t xml:space="preserve">C </w:t>
      </w:r>
      <w:r w:rsidRPr="32F08346">
        <w:rPr>
          <w:sz w:val="17"/>
          <w:szCs w:val="17"/>
        </w:rPr>
        <w:t xml:space="preserve">has launched the </w:t>
      </w:r>
      <w:r w:rsidRPr="32F08346">
        <w:rPr>
          <w:b/>
          <w:bCs/>
          <w:sz w:val="17"/>
          <w:szCs w:val="17"/>
        </w:rPr>
        <w:t xml:space="preserve">European Single Access Point </w:t>
      </w:r>
      <w:r w:rsidRPr="32F08346">
        <w:rPr>
          <w:sz w:val="17"/>
          <w:szCs w:val="17"/>
        </w:rPr>
        <w:t>(ESAP) project, a huge database containing public reporting - including the CSRD data</w:t>
      </w:r>
      <w:r>
        <w:rPr>
          <w:sz w:val="17"/>
          <w:szCs w:val="17"/>
        </w:rPr>
        <w:t xml:space="preserve"> </w:t>
      </w:r>
      <w:r w:rsidRPr="32F08346">
        <w:rPr>
          <w:sz w:val="17"/>
          <w:szCs w:val="17"/>
        </w:rPr>
        <w:t xml:space="preserve">sets. </w:t>
      </w:r>
    </w:p>
    <w:p w14:paraId="309CD720" w14:textId="08623D5B" w:rsidR="00A2088B" w:rsidRDefault="001C59E7" w:rsidP="00A2088B">
      <w:pPr>
        <w:rPr>
          <w:sz w:val="17"/>
          <w:szCs w:val="17"/>
        </w:rPr>
      </w:pPr>
      <w:r w:rsidRPr="32F08346">
        <w:rPr>
          <w:sz w:val="17"/>
          <w:szCs w:val="17"/>
        </w:rPr>
        <w:t xml:space="preserve">In addition, </w:t>
      </w:r>
      <w:r w:rsidR="007A7C09" w:rsidRPr="32F08346">
        <w:rPr>
          <w:sz w:val="17"/>
          <w:szCs w:val="17"/>
        </w:rPr>
        <w:t>sector</w:t>
      </w:r>
      <w:r w:rsidR="4ABB7166" w:rsidRPr="32F08346">
        <w:rPr>
          <w:sz w:val="17"/>
          <w:szCs w:val="17"/>
        </w:rPr>
        <w:t>-</w:t>
      </w:r>
      <w:r w:rsidR="007A7C09" w:rsidRPr="32F08346">
        <w:rPr>
          <w:sz w:val="17"/>
          <w:szCs w:val="17"/>
        </w:rPr>
        <w:t>specific ESRS</w:t>
      </w:r>
      <w:r w:rsidR="006133F2" w:rsidRPr="32F08346">
        <w:rPr>
          <w:sz w:val="17"/>
          <w:szCs w:val="17"/>
        </w:rPr>
        <w:t xml:space="preserve"> </w:t>
      </w:r>
      <w:r w:rsidR="007A7C09" w:rsidRPr="32F08346">
        <w:rPr>
          <w:sz w:val="17"/>
          <w:szCs w:val="17"/>
        </w:rPr>
        <w:t>a</w:t>
      </w:r>
      <w:r w:rsidR="008E43F7" w:rsidRPr="32F08346">
        <w:rPr>
          <w:sz w:val="17"/>
          <w:szCs w:val="17"/>
        </w:rPr>
        <w:t xml:space="preserve">re being developed </w:t>
      </w:r>
      <w:r w:rsidR="007A7C09" w:rsidRPr="32F08346">
        <w:rPr>
          <w:sz w:val="17"/>
          <w:szCs w:val="17"/>
        </w:rPr>
        <w:t>to provide guidance</w:t>
      </w:r>
      <w:r w:rsidR="00D00D37" w:rsidRPr="32F08346">
        <w:rPr>
          <w:sz w:val="17"/>
          <w:szCs w:val="17"/>
        </w:rPr>
        <w:t xml:space="preserve"> </w:t>
      </w:r>
      <w:r w:rsidR="007A7C09" w:rsidRPr="32F08346">
        <w:rPr>
          <w:sz w:val="17"/>
          <w:szCs w:val="17"/>
        </w:rPr>
        <w:t xml:space="preserve">on applying the sector-agnostic </w:t>
      </w:r>
      <w:r w:rsidR="006133F2" w:rsidRPr="32F08346">
        <w:rPr>
          <w:sz w:val="17"/>
          <w:szCs w:val="17"/>
        </w:rPr>
        <w:t>ESRS</w:t>
      </w:r>
      <w:r w:rsidR="007A7C09" w:rsidRPr="32F08346">
        <w:rPr>
          <w:sz w:val="17"/>
          <w:szCs w:val="17"/>
        </w:rPr>
        <w:t xml:space="preserve">, as well as to </w:t>
      </w:r>
      <w:r w:rsidR="00445A27" w:rsidRPr="32F08346">
        <w:rPr>
          <w:sz w:val="17"/>
          <w:szCs w:val="17"/>
        </w:rPr>
        <w:t>propose</w:t>
      </w:r>
      <w:r w:rsidR="007A7C09" w:rsidRPr="32F08346">
        <w:rPr>
          <w:sz w:val="17"/>
          <w:szCs w:val="17"/>
        </w:rPr>
        <w:t xml:space="preserve"> new </w:t>
      </w:r>
      <w:r w:rsidR="00695068" w:rsidRPr="32F08346">
        <w:rPr>
          <w:sz w:val="17"/>
          <w:szCs w:val="17"/>
        </w:rPr>
        <w:t>disclosure requirements</w:t>
      </w:r>
      <w:r w:rsidR="007A7C09" w:rsidRPr="32F08346">
        <w:rPr>
          <w:sz w:val="17"/>
          <w:szCs w:val="17"/>
        </w:rPr>
        <w:t xml:space="preserve">. </w:t>
      </w:r>
      <w:r w:rsidR="00421F36" w:rsidRPr="32F08346">
        <w:rPr>
          <w:sz w:val="17"/>
          <w:szCs w:val="17"/>
        </w:rPr>
        <w:t>S</w:t>
      </w:r>
      <w:r w:rsidR="007A7C09" w:rsidRPr="32F08346">
        <w:rPr>
          <w:sz w:val="17"/>
          <w:szCs w:val="17"/>
        </w:rPr>
        <w:t>ector</w:t>
      </w:r>
      <w:r w:rsidR="1FED85C3" w:rsidRPr="2811F3F5">
        <w:rPr>
          <w:sz w:val="17"/>
          <w:szCs w:val="17"/>
        </w:rPr>
        <w:t>-</w:t>
      </w:r>
      <w:r w:rsidR="007A7C09" w:rsidRPr="32F08346">
        <w:rPr>
          <w:sz w:val="17"/>
          <w:szCs w:val="17"/>
        </w:rPr>
        <w:t xml:space="preserve">specific </w:t>
      </w:r>
      <w:r w:rsidR="00421F36" w:rsidRPr="32F08346">
        <w:rPr>
          <w:sz w:val="17"/>
          <w:szCs w:val="17"/>
        </w:rPr>
        <w:t xml:space="preserve">ESRS </w:t>
      </w:r>
      <w:r w:rsidR="007A7C09" w:rsidRPr="32F08346">
        <w:rPr>
          <w:sz w:val="17"/>
          <w:szCs w:val="17"/>
        </w:rPr>
        <w:t xml:space="preserve">on high-risk industries </w:t>
      </w:r>
      <w:r w:rsidR="008E43F7" w:rsidRPr="32F08346">
        <w:rPr>
          <w:sz w:val="17"/>
          <w:szCs w:val="17"/>
        </w:rPr>
        <w:t xml:space="preserve">should </w:t>
      </w:r>
      <w:r w:rsidR="007A7C09" w:rsidRPr="32F08346">
        <w:rPr>
          <w:sz w:val="17"/>
          <w:szCs w:val="17"/>
        </w:rPr>
        <w:t>be delivered by the EFRAG to the E</w:t>
      </w:r>
      <w:r w:rsidR="00C24D30">
        <w:rPr>
          <w:sz w:val="17"/>
          <w:szCs w:val="17"/>
        </w:rPr>
        <w:t xml:space="preserve">C </w:t>
      </w:r>
      <w:r w:rsidR="007A7C09" w:rsidRPr="32F08346">
        <w:rPr>
          <w:sz w:val="17"/>
          <w:szCs w:val="17"/>
        </w:rPr>
        <w:t xml:space="preserve">in November 2025. </w:t>
      </w:r>
      <w:r w:rsidR="00421F36" w:rsidRPr="32F08346">
        <w:rPr>
          <w:sz w:val="17"/>
          <w:szCs w:val="17"/>
        </w:rPr>
        <w:t>S</w:t>
      </w:r>
      <w:r w:rsidR="007A7C09" w:rsidRPr="32F08346">
        <w:rPr>
          <w:sz w:val="17"/>
          <w:szCs w:val="17"/>
        </w:rPr>
        <w:t xml:space="preserve">ector-specific </w:t>
      </w:r>
      <w:r w:rsidR="00421F36" w:rsidRPr="32F08346">
        <w:rPr>
          <w:sz w:val="17"/>
          <w:szCs w:val="17"/>
        </w:rPr>
        <w:t xml:space="preserve">ESRS on other industries </w:t>
      </w:r>
      <w:r w:rsidR="007A7C09" w:rsidRPr="32F08346">
        <w:rPr>
          <w:sz w:val="17"/>
          <w:szCs w:val="17"/>
        </w:rPr>
        <w:t xml:space="preserve">(including </w:t>
      </w:r>
      <w:r w:rsidR="60B9F084" w:rsidRPr="32F08346">
        <w:rPr>
          <w:sz w:val="17"/>
          <w:szCs w:val="17"/>
        </w:rPr>
        <w:t xml:space="preserve">the </w:t>
      </w:r>
      <w:r w:rsidR="007A7C09" w:rsidRPr="32F08346">
        <w:rPr>
          <w:sz w:val="17"/>
          <w:szCs w:val="17"/>
        </w:rPr>
        <w:t xml:space="preserve">financial sector) </w:t>
      </w:r>
      <w:r w:rsidR="00DE23A9" w:rsidRPr="32F08346">
        <w:rPr>
          <w:sz w:val="17"/>
          <w:szCs w:val="17"/>
        </w:rPr>
        <w:t xml:space="preserve">should </w:t>
      </w:r>
      <w:r w:rsidR="007A7C09" w:rsidRPr="32F08346">
        <w:rPr>
          <w:sz w:val="17"/>
          <w:szCs w:val="17"/>
        </w:rPr>
        <w:t xml:space="preserve">be delivered by EFRAG to the EC in November 2026. </w:t>
      </w:r>
      <w:r w:rsidR="007A7C09" w:rsidRPr="32F08346">
        <w:rPr>
          <w:b/>
          <w:bCs/>
          <w:sz w:val="17"/>
          <w:szCs w:val="17"/>
        </w:rPr>
        <w:t>The EC should adopt the sector</w:t>
      </w:r>
      <w:r w:rsidR="4478AD56" w:rsidRPr="2811F3F5">
        <w:rPr>
          <w:b/>
          <w:bCs/>
          <w:sz w:val="17"/>
          <w:szCs w:val="17"/>
        </w:rPr>
        <w:t>-</w:t>
      </w:r>
      <w:r w:rsidR="007A7C09" w:rsidRPr="32F08346">
        <w:rPr>
          <w:b/>
          <w:bCs/>
          <w:sz w:val="17"/>
          <w:szCs w:val="17"/>
        </w:rPr>
        <w:t xml:space="preserve">specific </w:t>
      </w:r>
      <w:r w:rsidR="00DE23A9" w:rsidRPr="32F08346">
        <w:rPr>
          <w:b/>
          <w:bCs/>
          <w:sz w:val="17"/>
          <w:szCs w:val="17"/>
        </w:rPr>
        <w:t xml:space="preserve">ESRS </w:t>
      </w:r>
      <w:r w:rsidR="007A7C09" w:rsidRPr="32F08346">
        <w:rPr>
          <w:b/>
          <w:bCs/>
          <w:sz w:val="17"/>
          <w:szCs w:val="17"/>
        </w:rPr>
        <w:t>in June 2027, for application as of 2028</w:t>
      </w:r>
      <w:r w:rsidR="007A7C09" w:rsidRPr="32F08346">
        <w:rPr>
          <w:sz w:val="17"/>
          <w:szCs w:val="17"/>
        </w:rPr>
        <w:t>.</w:t>
      </w:r>
      <w:r w:rsidR="00A2088B" w:rsidRPr="32F08346">
        <w:rPr>
          <w:sz w:val="17"/>
          <w:szCs w:val="17"/>
        </w:rPr>
        <w:t xml:space="preserve"> </w:t>
      </w:r>
    </w:p>
    <w:p w14:paraId="404FF374" w14:textId="77777777" w:rsidR="009E6223" w:rsidRDefault="009E6223" w:rsidP="007A7C09">
      <w:pPr>
        <w:rPr>
          <w:sz w:val="17"/>
          <w:szCs w:val="17"/>
        </w:rPr>
      </w:pPr>
    </w:p>
    <w:p w14:paraId="1DCB4588" w14:textId="4B9F8F88" w:rsidR="001922B7" w:rsidRDefault="008F2C8C" w:rsidP="00AE58DF">
      <w:pPr>
        <w:rPr>
          <w:b/>
          <w:color w:val="002957"/>
          <w:sz w:val="17"/>
          <w:szCs w:val="17"/>
        </w:rPr>
      </w:pPr>
      <w:r w:rsidRPr="001922B7">
        <w:rPr>
          <w:b/>
          <w:color w:val="002957"/>
          <w:sz w:val="17"/>
          <w:szCs w:val="17"/>
        </w:rPr>
        <w:t>Issues with the current framework</w:t>
      </w:r>
    </w:p>
    <w:p w14:paraId="59FDE3B8" w14:textId="71113CF6" w:rsidR="00A65226" w:rsidRDefault="000A0335" w:rsidP="007A7C09">
      <w:pPr>
        <w:rPr>
          <w:sz w:val="17"/>
          <w:szCs w:val="17"/>
        </w:rPr>
      </w:pPr>
      <w:r>
        <w:rPr>
          <w:sz w:val="17"/>
          <w:szCs w:val="17"/>
        </w:rPr>
        <w:t>The i</w:t>
      </w:r>
      <w:r w:rsidR="002F06A4">
        <w:rPr>
          <w:sz w:val="17"/>
          <w:szCs w:val="17"/>
        </w:rPr>
        <w:t>mplementation of sector</w:t>
      </w:r>
      <w:r w:rsidR="001A5721">
        <w:rPr>
          <w:sz w:val="17"/>
          <w:szCs w:val="17"/>
        </w:rPr>
        <w:t>-</w:t>
      </w:r>
      <w:r w:rsidR="002F06A4">
        <w:rPr>
          <w:sz w:val="17"/>
          <w:szCs w:val="17"/>
        </w:rPr>
        <w:t xml:space="preserve">agnostic </w:t>
      </w:r>
      <w:r w:rsidR="00B939DF">
        <w:rPr>
          <w:sz w:val="17"/>
          <w:szCs w:val="17"/>
        </w:rPr>
        <w:t xml:space="preserve">standards involves </w:t>
      </w:r>
      <w:r w:rsidR="00B939DF" w:rsidRPr="001922B7">
        <w:rPr>
          <w:b/>
          <w:bCs/>
          <w:sz w:val="17"/>
          <w:szCs w:val="17"/>
        </w:rPr>
        <w:t>significant costs to the industry</w:t>
      </w:r>
      <w:r w:rsidR="00B939DF">
        <w:rPr>
          <w:sz w:val="17"/>
          <w:szCs w:val="17"/>
        </w:rPr>
        <w:t xml:space="preserve">. The recently published report on EU competitiveness </w:t>
      </w:r>
      <w:r w:rsidR="00AE58DF">
        <w:rPr>
          <w:sz w:val="17"/>
          <w:szCs w:val="17"/>
        </w:rPr>
        <w:t xml:space="preserve">recognises this, arguing that </w:t>
      </w:r>
      <w:r w:rsidR="00AE58DF" w:rsidRPr="00552C7E">
        <w:rPr>
          <w:i/>
          <w:iCs/>
          <w:sz w:val="17"/>
          <w:szCs w:val="17"/>
        </w:rPr>
        <w:t>the EU’s sustainability reporting and due diligence framework is a major source of regulatory burden, magnified by a lack of guidance to facilitate the application of complex rules and to clarify the interaction between various pieces of legislation</w:t>
      </w:r>
      <w:r w:rsidR="00AE58DF" w:rsidRPr="00AE58DF">
        <w:rPr>
          <w:sz w:val="17"/>
          <w:szCs w:val="17"/>
        </w:rPr>
        <w:t xml:space="preserve">. </w:t>
      </w:r>
      <w:r w:rsidR="0041371E">
        <w:rPr>
          <w:sz w:val="17"/>
          <w:szCs w:val="17"/>
        </w:rPr>
        <w:t xml:space="preserve">The report </w:t>
      </w:r>
      <w:r w:rsidR="00100FF7">
        <w:rPr>
          <w:sz w:val="17"/>
          <w:szCs w:val="17"/>
        </w:rPr>
        <w:t>goes as far as to suggest that</w:t>
      </w:r>
      <w:r w:rsidR="00AE58DF" w:rsidRPr="00AE58DF">
        <w:rPr>
          <w:sz w:val="17"/>
          <w:szCs w:val="17"/>
        </w:rPr>
        <w:t xml:space="preserve"> </w:t>
      </w:r>
      <w:r w:rsidR="00100FF7" w:rsidRPr="00552C7E">
        <w:rPr>
          <w:i/>
          <w:iCs/>
          <w:sz w:val="17"/>
          <w:szCs w:val="17"/>
        </w:rPr>
        <w:t>f</w:t>
      </w:r>
      <w:r w:rsidR="00AE58DF" w:rsidRPr="00552C7E">
        <w:rPr>
          <w:i/>
          <w:iCs/>
          <w:sz w:val="17"/>
          <w:szCs w:val="17"/>
        </w:rPr>
        <w:t>urther changes in this framework, including sector-specific reporting standards required by the CSRD, may raise compliance costs</w:t>
      </w:r>
      <w:r w:rsidR="00AE58DF" w:rsidRPr="00AE58DF">
        <w:rPr>
          <w:sz w:val="17"/>
          <w:szCs w:val="17"/>
        </w:rPr>
        <w:t>.</w:t>
      </w:r>
      <w:r w:rsidR="003F78B1">
        <w:rPr>
          <w:sz w:val="17"/>
          <w:szCs w:val="17"/>
        </w:rPr>
        <w:t xml:space="preserve"> It is estimated that e</w:t>
      </w:r>
      <w:r w:rsidR="003F78B1" w:rsidRPr="003F78B1">
        <w:rPr>
          <w:sz w:val="17"/>
          <w:szCs w:val="17"/>
        </w:rPr>
        <w:t xml:space="preserve">ntities will have to report between 190 and 823 CSRD data points. </w:t>
      </w:r>
    </w:p>
    <w:p w14:paraId="6D8C1CBC" w14:textId="77777777" w:rsidR="00F649C2" w:rsidRDefault="00F649C2" w:rsidP="007A7C09">
      <w:pPr>
        <w:rPr>
          <w:sz w:val="17"/>
          <w:szCs w:val="17"/>
        </w:rPr>
      </w:pPr>
    </w:p>
    <w:p w14:paraId="31D49A54" w14:textId="0B01C529" w:rsidR="00A27B47" w:rsidRPr="007A7C09" w:rsidRDefault="00693722" w:rsidP="007A7C09">
      <w:pPr>
        <w:rPr>
          <w:sz w:val="17"/>
          <w:szCs w:val="17"/>
        </w:rPr>
      </w:pPr>
      <w:r>
        <w:rPr>
          <w:sz w:val="17"/>
          <w:szCs w:val="17"/>
        </w:rPr>
        <w:t>In addition, the</w:t>
      </w:r>
      <w:r w:rsidR="009A49C9">
        <w:rPr>
          <w:sz w:val="17"/>
          <w:szCs w:val="17"/>
        </w:rPr>
        <w:t xml:space="preserve"> tagging of sustainability data in line with the XBRL Taxonomy will also constitute a significant source of costs</w:t>
      </w:r>
      <w:r w:rsidR="00A91C51">
        <w:rPr>
          <w:sz w:val="17"/>
          <w:szCs w:val="17"/>
        </w:rPr>
        <w:t xml:space="preserve"> for a</w:t>
      </w:r>
      <w:r w:rsidR="00482C4A">
        <w:rPr>
          <w:sz w:val="17"/>
          <w:szCs w:val="17"/>
        </w:rPr>
        <w:t xml:space="preserve">ll </w:t>
      </w:r>
      <w:r w:rsidR="00A91C51">
        <w:rPr>
          <w:sz w:val="17"/>
          <w:szCs w:val="17"/>
        </w:rPr>
        <w:t>reporting entit</w:t>
      </w:r>
      <w:r w:rsidR="00482C4A">
        <w:rPr>
          <w:sz w:val="17"/>
          <w:szCs w:val="17"/>
        </w:rPr>
        <w:t>ies</w:t>
      </w:r>
      <w:r w:rsidR="009A49C9">
        <w:rPr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 w:rsidRPr="003F78B1">
        <w:rPr>
          <w:sz w:val="17"/>
          <w:szCs w:val="17"/>
        </w:rPr>
        <w:t>Excessive reporting requirements increase the risk that companies perceive sustainability as a mere box-ticking exercise.</w:t>
      </w:r>
    </w:p>
    <w:p w14:paraId="29F0FDB9" w14:textId="77777777" w:rsidR="009A49C9" w:rsidRDefault="009A49C9" w:rsidP="007A7C09">
      <w:pPr>
        <w:rPr>
          <w:sz w:val="17"/>
          <w:szCs w:val="17"/>
        </w:rPr>
      </w:pPr>
    </w:p>
    <w:p w14:paraId="11661B22" w14:textId="353C13CB" w:rsidR="00EB69C8" w:rsidRDefault="00770E7C" w:rsidP="007A7C09">
      <w:pPr>
        <w:rPr>
          <w:sz w:val="17"/>
          <w:szCs w:val="17"/>
        </w:rPr>
      </w:pPr>
      <w:r>
        <w:rPr>
          <w:sz w:val="17"/>
          <w:szCs w:val="17"/>
        </w:rPr>
        <w:lastRenderedPageBreak/>
        <w:t xml:space="preserve">Beyond the cost of implementation, </w:t>
      </w:r>
      <w:r w:rsidR="00EB69C8" w:rsidRPr="001922B7">
        <w:rPr>
          <w:b/>
          <w:bCs/>
          <w:sz w:val="17"/>
          <w:szCs w:val="17"/>
        </w:rPr>
        <w:t>unclear definition and requirements in the sector</w:t>
      </w:r>
      <w:r w:rsidR="06DF2520" w:rsidRPr="6570C8C9">
        <w:rPr>
          <w:b/>
          <w:bCs/>
          <w:sz w:val="17"/>
          <w:szCs w:val="17"/>
        </w:rPr>
        <w:t>-</w:t>
      </w:r>
      <w:r w:rsidR="00EB69C8" w:rsidRPr="001922B7">
        <w:rPr>
          <w:b/>
          <w:bCs/>
          <w:sz w:val="17"/>
          <w:szCs w:val="17"/>
        </w:rPr>
        <w:t>agnostic standards</w:t>
      </w:r>
      <w:r w:rsidR="00EB69C8">
        <w:rPr>
          <w:sz w:val="17"/>
          <w:szCs w:val="17"/>
        </w:rPr>
        <w:t xml:space="preserve"> also pose a significant challenge. </w:t>
      </w:r>
      <w:r w:rsidR="00B3664C">
        <w:rPr>
          <w:sz w:val="17"/>
          <w:szCs w:val="17"/>
        </w:rPr>
        <w:t>For example:</w:t>
      </w:r>
    </w:p>
    <w:p w14:paraId="44744B78" w14:textId="46945294" w:rsidR="00EE5D0E" w:rsidRPr="003B4086" w:rsidRDefault="005F27E2" w:rsidP="00EE5D0E">
      <w:pPr>
        <w:pStyle w:val="Odsekzoznamu"/>
        <w:numPr>
          <w:ilvl w:val="0"/>
          <w:numId w:val="5"/>
        </w:numPr>
        <w:rPr>
          <w:sz w:val="17"/>
          <w:szCs w:val="17"/>
        </w:rPr>
      </w:pPr>
      <w:r>
        <w:rPr>
          <w:sz w:val="17"/>
          <w:szCs w:val="17"/>
        </w:rPr>
        <w:t>T</w:t>
      </w:r>
      <w:r w:rsidR="00243D70">
        <w:rPr>
          <w:sz w:val="17"/>
          <w:szCs w:val="17"/>
        </w:rPr>
        <w:t xml:space="preserve">he </w:t>
      </w:r>
      <w:r w:rsidR="00B54903">
        <w:rPr>
          <w:sz w:val="17"/>
          <w:szCs w:val="17"/>
        </w:rPr>
        <w:t xml:space="preserve">language used in the </w:t>
      </w:r>
      <w:r w:rsidR="00243D70" w:rsidRPr="00313F5F">
        <w:rPr>
          <w:b/>
          <w:bCs/>
          <w:sz w:val="17"/>
          <w:szCs w:val="17"/>
        </w:rPr>
        <w:t xml:space="preserve">CSRD and ESRS </w:t>
      </w:r>
      <w:r w:rsidR="00B54903" w:rsidRPr="00313F5F">
        <w:rPr>
          <w:b/>
          <w:bCs/>
          <w:sz w:val="17"/>
          <w:szCs w:val="17"/>
        </w:rPr>
        <w:t xml:space="preserve">texts </w:t>
      </w:r>
      <w:r w:rsidR="00C13422" w:rsidRPr="00313F5F">
        <w:rPr>
          <w:b/>
          <w:bCs/>
          <w:sz w:val="17"/>
          <w:szCs w:val="17"/>
        </w:rPr>
        <w:t>d</w:t>
      </w:r>
      <w:r w:rsidRPr="00313F5F">
        <w:rPr>
          <w:b/>
          <w:bCs/>
          <w:sz w:val="17"/>
          <w:szCs w:val="17"/>
        </w:rPr>
        <w:t xml:space="preserve">o </w:t>
      </w:r>
      <w:r w:rsidR="00C13422" w:rsidRPr="00313F5F">
        <w:rPr>
          <w:b/>
          <w:bCs/>
          <w:sz w:val="17"/>
          <w:szCs w:val="17"/>
        </w:rPr>
        <w:t xml:space="preserve">not </w:t>
      </w:r>
      <w:r w:rsidR="00EC4FEE" w:rsidRPr="00313F5F">
        <w:rPr>
          <w:b/>
          <w:bCs/>
          <w:sz w:val="17"/>
          <w:szCs w:val="17"/>
        </w:rPr>
        <w:t>always and consistently allow</w:t>
      </w:r>
      <w:r w:rsidR="00B54903" w:rsidRPr="00313F5F">
        <w:rPr>
          <w:b/>
          <w:bCs/>
          <w:sz w:val="17"/>
          <w:szCs w:val="17"/>
        </w:rPr>
        <w:t xml:space="preserve"> </w:t>
      </w:r>
      <w:r w:rsidR="00EC4FEE" w:rsidRPr="00313F5F">
        <w:rPr>
          <w:b/>
          <w:bCs/>
          <w:sz w:val="17"/>
          <w:szCs w:val="17"/>
        </w:rPr>
        <w:t xml:space="preserve">to understand which </w:t>
      </w:r>
      <w:r w:rsidR="00F25D7B" w:rsidRPr="00313F5F">
        <w:rPr>
          <w:b/>
          <w:bCs/>
          <w:sz w:val="17"/>
          <w:szCs w:val="17"/>
        </w:rPr>
        <w:t xml:space="preserve">disclosure </w:t>
      </w:r>
      <w:r w:rsidR="00EC4FEE" w:rsidRPr="00313F5F">
        <w:rPr>
          <w:b/>
          <w:bCs/>
          <w:sz w:val="17"/>
          <w:szCs w:val="17"/>
        </w:rPr>
        <w:t xml:space="preserve">or application requirements apply to </w:t>
      </w:r>
      <w:r w:rsidR="001F0FE3" w:rsidRPr="00313F5F">
        <w:rPr>
          <w:b/>
          <w:bCs/>
          <w:sz w:val="17"/>
          <w:szCs w:val="17"/>
        </w:rPr>
        <w:t xml:space="preserve">the </w:t>
      </w:r>
      <w:r w:rsidR="00A60883" w:rsidRPr="00313F5F">
        <w:rPr>
          <w:b/>
          <w:bCs/>
          <w:sz w:val="17"/>
          <w:szCs w:val="17"/>
        </w:rPr>
        <w:t xml:space="preserve">own operations or </w:t>
      </w:r>
      <w:r w:rsidR="001F0FE3" w:rsidRPr="00313F5F">
        <w:rPr>
          <w:b/>
          <w:bCs/>
          <w:sz w:val="17"/>
          <w:szCs w:val="17"/>
        </w:rPr>
        <w:t xml:space="preserve">the </w:t>
      </w:r>
      <w:r w:rsidR="0050050D" w:rsidRPr="00313F5F">
        <w:rPr>
          <w:b/>
          <w:bCs/>
          <w:sz w:val="17"/>
          <w:szCs w:val="17"/>
        </w:rPr>
        <w:t xml:space="preserve">value chain of financial </w:t>
      </w:r>
      <w:r w:rsidR="0094392D" w:rsidRPr="00313F5F">
        <w:rPr>
          <w:b/>
          <w:bCs/>
          <w:sz w:val="17"/>
          <w:szCs w:val="17"/>
        </w:rPr>
        <w:t>institutions</w:t>
      </w:r>
      <w:r w:rsidR="0094392D">
        <w:rPr>
          <w:sz w:val="17"/>
          <w:szCs w:val="17"/>
        </w:rPr>
        <w:t xml:space="preserve">, generating </w:t>
      </w:r>
      <w:r w:rsidR="00DE6B66">
        <w:rPr>
          <w:sz w:val="17"/>
          <w:szCs w:val="17"/>
        </w:rPr>
        <w:t>confusion and uncertainty among preparers.</w:t>
      </w:r>
      <w:r>
        <w:rPr>
          <w:sz w:val="17"/>
          <w:szCs w:val="17"/>
        </w:rPr>
        <w:t xml:space="preserve"> </w:t>
      </w:r>
    </w:p>
    <w:p w14:paraId="0BCDBE2B" w14:textId="4A41C02C" w:rsidR="00F72E82" w:rsidRPr="00DA0E28" w:rsidRDefault="008F4748" w:rsidP="00842990">
      <w:pPr>
        <w:pStyle w:val="Odsekzoznamu"/>
        <w:numPr>
          <w:ilvl w:val="0"/>
          <w:numId w:val="5"/>
        </w:numPr>
        <w:rPr>
          <w:color w:val="000000" w:themeColor="text1"/>
          <w:sz w:val="17"/>
          <w:szCs w:val="17"/>
        </w:rPr>
      </w:pPr>
      <w:r w:rsidRPr="00DA0E28">
        <w:rPr>
          <w:b/>
          <w:bCs/>
          <w:color w:val="000000" w:themeColor="text1"/>
          <w:sz w:val="17"/>
          <w:szCs w:val="17"/>
        </w:rPr>
        <w:t>For certain environmental reporting</w:t>
      </w:r>
      <w:r w:rsidR="008838A8" w:rsidRPr="00DA0E28">
        <w:rPr>
          <w:b/>
          <w:bCs/>
          <w:color w:val="000000" w:themeColor="text1"/>
          <w:sz w:val="17"/>
          <w:szCs w:val="17"/>
        </w:rPr>
        <w:t xml:space="preserve"> (e.g. ESRS E1 Climate </w:t>
      </w:r>
      <w:r w:rsidR="000A7593">
        <w:rPr>
          <w:b/>
          <w:bCs/>
          <w:color w:val="000000" w:themeColor="text1"/>
          <w:sz w:val="17"/>
          <w:szCs w:val="17"/>
        </w:rPr>
        <w:t>C</w:t>
      </w:r>
      <w:r w:rsidR="008838A8" w:rsidRPr="00DA0E28">
        <w:rPr>
          <w:b/>
          <w:bCs/>
          <w:color w:val="000000" w:themeColor="text1"/>
          <w:sz w:val="17"/>
          <w:szCs w:val="17"/>
        </w:rPr>
        <w:t>hange)</w:t>
      </w:r>
      <w:r w:rsidRPr="00DA0E28">
        <w:rPr>
          <w:b/>
          <w:bCs/>
          <w:color w:val="000000" w:themeColor="text1"/>
          <w:sz w:val="17"/>
          <w:szCs w:val="17"/>
        </w:rPr>
        <w:t>,</w:t>
      </w:r>
      <w:r w:rsidR="006D2B40">
        <w:rPr>
          <w:b/>
          <w:bCs/>
          <w:color w:val="000000" w:themeColor="text1"/>
          <w:sz w:val="17"/>
          <w:szCs w:val="17"/>
        </w:rPr>
        <w:t xml:space="preserve"> the </w:t>
      </w:r>
      <w:r w:rsidRPr="00DA0E28">
        <w:rPr>
          <w:b/>
          <w:bCs/>
          <w:color w:val="000000" w:themeColor="text1"/>
          <w:sz w:val="17"/>
          <w:szCs w:val="17"/>
        </w:rPr>
        <w:t>ESRS extend the</w:t>
      </w:r>
      <w:r w:rsidR="002973EC" w:rsidRPr="00DA0E28">
        <w:rPr>
          <w:b/>
          <w:bCs/>
          <w:color w:val="000000" w:themeColor="text1"/>
          <w:sz w:val="17"/>
          <w:szCs w:val="17"/>
        </w:rPr>
        <w:t xml:space="preserve"> </w:t>
      </w:r>
      <w:r w:rsidRPr="00DA0E28">
        <w:rPr>
          <w:b/>
          <w:bCs/>
          <w:color w:val="000000" w:themeColor="text1"/>
          <w:sz w:val="17"/>
          <w:szCs w:val="17"/>
        </w:rPr>
        <w:t xml:space="preserve">financial </w:t>
      </w:r>
      <w:r w:rsidR="00A63811" w:rsidRPr="00DA0E28">
        <w:rPr>
          <w:b/>
          <w:bCs/>
          <w:color w:val="000000" w:themeColor="text1"/>
          <w:sz w:val="17"/>
          <w:szCs w:val="17"/>
        </w:rPr>
        <w:t>control</w:t>
      </w:r>
      <w:r w:rsidR="002C2681" w:rsidRPr="00DA0E28">
        <w:rPr>
          <w:b/>
          <w:bCs/>
          <w:color w:val="000000" w:themeColor="text1"/>
          <w:sz w:val="17"/>
          <w:szCs w:val="17"/>
        </w:rPr>
        <w:t xml:space="preserve"> </w:t>
      </w:r>
      <w:r w:rsidR="007833D6" w:rsidRPr="00DA0E28">
        <w:rPr>
          <w:b/>
          <w:bCs/>
          <w:color w:val="000000" w:themeColor="text1"/>
          <w:sz w:val="17"/>
          <w:szCs w:val="17"/>
        </w:rPr>
        <w:t xml:space="preserve">scope </w:t>
      </w:r>
      <w:r w:rsidRPr="00DA0E28">
        <w:rPr>
          <w:b/>
          <w:bCs/>
          <w:color w:val="000000" w:themeColor="text1"/>
          <w:sz w:val="17"/>
          <w:szCs w:val="17"/>
        </w:rPr>
        <w:t>to the operational control</w:t>
      </w:r>
      <w:r w:rsidR="007833D6" w:rsidRPr="00DA0E28">
        <w:rPr>
          <w:b/>
          <w:bCs/>
          <w:color w:val="000000" w:themeColor="text1"/>
          <w:sz w:val="17"/>
          <w:szCs w:val="17"/>
        </w:rPr>
        <w:t xml:space="preserve"> scope</w:t>
      </w:r>
      <w:r w:rsidR="002973EC" w:rsidRPr="00DA0E28">
        <w:rPr>
          <w:b/>
          <w:bCs/>
          <w:color w:val="000000" w:themeColor="text1"/>
          <w:sz w:val="17"/>
          <w:szCs w:val="17"/>
        </w:rPr>
        <w:t>,</w:t>
      </w:r>
      <w:r w:rsidR="00F500B1" w:rsidRPr="00DA0E28">
        <w:rPr>
          <w:b/>
          <w:bCs/>
          <w:color w:val="000000" w:themeColor="text1"/>
          <w:sz w:val="17"/>
          <w:szCs w:val="17"/>
        </w:rPr>
        <w:t xml:space="preserve"> without defining clear criteria whe</w:t>
      </w:r>
      <w:r w:rsidR="0062441D">
        <w:rPr>
          <w:b/>
          <w:bCs/>
          <w:color w:val="000000" w:themeColor="text1"/>
          <w:sz w:val="17"/>
          <w:szCs w:val="17"/>
        </w:rPr>
        <w:t>re</w:t>
      </w:r>
      <w:r w:rsidR="00F500B1" w:rsidRPr="00DA0E28">
        <w:rPr>
          <w:b/>
          <w:bCs/>
          <w:color w:val="000000" w:themeColor="text1"/>
          <w:sz w:val="17"/>
          <w:szCs w:val="17"/>
        </w:rPr>
        <w:t xml:space="preserve"> operational control is given</w:t>
      </w:r>
      <w:r w:rsidR="00F544DB" w:rsidRPr="00DA0E28">
        <w:rPr>
          <w:color w:val="000000" w:themeColor="text1"/>
          <w:sz w:val="17"/>
          <w:szCs w:val="17"/>
        </w:rPr>
        <w:t xml:space="preserve">. </w:t>
      </w:r>
      <w:r w:rsidR="00F95126">
        <w:rPr>
          <w:color w:val="000000" w:themeColor="text1"/>
          <w:sz w:val="17"/>
          <w:szCs w:val="17"/>
        </w:rPr>
        <w:t>Instead</w:t>
      </w:r>
      <w:r w:rsidR="00F95126" w:rsidRPr="00F95126">
        <w:rPr>
          <w:color w:val="000000" w:themeColor="text1"/>
          <w:sz w:val="17"/>
          <w:szCs w:val="17"/>
        </w:rPr>
        <w:t>, the ESRS should consider the actual power to influence emissions when defining operational control in the scope 1 GHG emissions. Hence, the reporting would be a more efficient and steering tool to reduce emissions, as companies would have action levers</w:t>
      </w:r>
      <w:r w:rsidR="000A6506">
        <w:rPr>
          <w:color w:val="000000" w:themeColor="text1"/>
          <w:sz w:val="17"/>
          <w:szCs w:val="17"/>
        </w:rPr>
        <w:t xml:space="preserve"> for it</w:t>
      </w:r>
      <w:r w:rsidR="00C4535E">
        <w:rPr>
          <w:color w:val="000000" w:themeColor="text1"/>
          <w:sz w:val="17"/>
          <w:szCs w:val="17"/>
        </w:rPr>
        <w:t>.</w:t>
      </w:r>
    </w:p>
    <w:p w14:paraId="79BF6233" w14:textId="77777777" w:rsidR="007A7C09" w:rsidRPr="00B86DE4" w:rsidRDefault="007A7C09" w:rsidP="00B86DE4">
      <w:pPr>
        <w:pStyle w:val="Odsekzoznamu"/>
        <w:rPr>
          <w:sz w:val="17"/>
          <w:szCs w:val="17"/>
        </w:rPr>
      </w:pPr>
    </w:p>
    <w:p w14:paraId="35AF18A9" w14:textId="745C12C2" w:rsidR="00AA4A8C" w:rsidRDefault="00E97114" w:rsidP="00AA4A8C">
      <w:pPr>
        <w:autoSpaceDE w:val="0"/>
        <w:autoSpaceDN w:val="0"/>
        <w:adjustRightInd w:val="0"/>
        <w:rPr>
          <w:b/>
          <w:color w:val="002957"/>
          <w:sz w:val="17"/>
          <w:szCs w:val="17"/>
        </w:rPr>
      </w:pPr>
      <w:r>
        <w:rPr>
          <w:b/>
          <w:color w:val="002957"/>
          <w:sz w:val="17"/>
          <w:szCs w:val="17"/>
        </w:rPr>
        <w:t xml:space="preserve">Recommendations for the way forward </w:t>
      </w:r>
    </w:p>
    <w:p w14:paraId="6EB3BA75" w14:textId="08D4F50A" w:rsidR="00F27A7F" w:rsidRDefault="00F27A7F" w:rsidP="00F27A7F">
      <w:pPr>
        <w:rPr>
          <w:sz w:val="17"/>
          <w:szCs w:val="17"/>
          <w:lang w:val="en-US"/>
        </w:rPr>
      </w:pPr>
      <w:r w:rsidRPr="00F27A7F">
        <w:rPr>
          <w:sz w:val="17"/>
          <w:szCs w:val="17"/>
          <w:lang w:val="en-US"/>
        </w:rPr>
        <w:t xml:space="preserve">These </w:t>
      </w:r>
      <w:r w:rsidR="0019711A">
        <w:rPr>
          <w:sz w:val="17"/>
          <w:szCs w:val="17"/>
          <w:lang w:val="en-US"/>
        </w:rPr>
        <w:t xml:space="preserve">multiple and </w:t>
      </w:r>
      <w:r w:rsidR="00A40443">
        <w:rPr>
          <w:sz w:val="17"/>
          <w:szCs w:val="17"/>
          <w:lang w:val="en-US"/>
        </w:rPr>
        <w:t>evolving</w:t>
      </w:r>
      <w:r w:rsidR="0019711A">
        <w:rPr>
          <w:sz w:val="17"/>
          <w:szCs w:val="17"/>
          <w:lang w:val="en-US"/>
        </w:rPr>
        <w:t xml:space="preserve"> </w:t>
      </w:r>
      <w:r w:rsidR="00A40443">
        <w:rPr>
          <w:sz w:val="17"/>
          <w:szCs w:val="17"/>
          <w:lang w:val="en-US"/>
        </w:rPr>
        <w:t>reporting requirements</w:t>
      </w:r>
      <w:r w:rsidR="00AE3E65">
        <w:rPr>
          <w:sz w:val="17"/>
          <w:szCs w:val="17"/>
          <w:lang w:val="en-US"/>
        </w:rPr>
        <w:t>,</w:t>
      </w:r>
      <w:r w:rsidRPr="00F27A7F">
        <w:rPr>
          <w:sz w:val="17"/>
          <w:szCs w:val="17"/>
          <w:lang w:val="en-US"/>
        </w:rPr>
        <w:t xml:space="preserve"> </w:t>
      </w:r>
      <w:r w:rsidR="00AE3E65">
        <w:rPr>
          <w:sz w:val="17"/>
          <w:szCs w:val="17"/>
          <w:lang w:val="en-US"/>
        </w:rPr>
        <w:t xml:space="preserve">as </w:t>
      </w:r>
      <w:r w:rsidR="007A1F16">
        <w:rPr>
          <w:sz w:val="17"/>
          <w:szCs w:val="17"/>
          <w:lang w:val="en-US"/>
        </w:rPr>
        <w:t xml:space="preserve">identified in the </w:t>
      </w:r>
      <w:r w:rsidR="00F658FE">
        <w:rPr>
          <w:sz w:val="17"/>
          <w:szCs w:val="17"/>
          <w:lang w:val="en-US"/>
        </w:rPr>
        <w:t>previous section</w:t>
      </w:r>
      <w:r w:rsidR="00AE3E65">
        <w:rPr>
          <w:sz w:val="17"/>
          <w:szCs w:val="17"/>
          <w:lang w:val="en-US"/>
        </w:rPr>
        <w:t>,</w:t>
      </w:r>
      <w:r w:rsidR="00F658FE">
        <w:rPr>
          <w:sz w:val="17"/>
          <w:szCs w:val="17"/>
          <w:lang w:val="en-US"/>
        </w:rPr>
        <w:t xml:space="preserve"> </w:t>
      </w:r>
      <w:r w:rsidRPr="00F27A7F">
        <w:rPr>
          <w:sz w:val="17"/>
          <w:szCs w:val="17"/>
          <w:lang w:val="en-US"/>
        </w:rPr>
        <w:t xml:space="preserve">can undermine the </w:t>
      </w:r>
      <w:r w:rsidR="00204BDF">
        <w:rPr>
          <w:sz w:val="17"/>
          <w:szCs w:val="17"/>
          <w:lang w:val="en-US"/>
        </w:rPr>
        <w:t xml:space="preserve">ultimate </w:t>
      </w:r>
      <w:r w:rsidR="00FC30A8">
        <w:rPr>
          <w:sz w:val="17"/>
          <w:szCs w:val="17"/>
          <w:lang w:val="en-US"/>
        </w:rPr>
        <w:t xml:space="preserve">objectives of the CSRD and wider </w:t>
      </w:r>
      <w:r w:rsidR="00051E80">
        <w:rPr>
          <w:sz w:val="17"/>
          <w:szCs w:val="17"/>
          <w:lang w:val="en-US"/>
        </w:rPr>
        <w:t xml:space="preserve">EU </w:t>
      </w:r>
      <w:r w:rsidR="00FC30A8">
        <w:rPr>
          <w:sz w:val="17"/>
          <w:szCs w:val="17"/>
          <w:lang w:val="en-US"/>
        </w:rPr>
        <w:t>sustainable finance framework</w:t>
      </w:r>
      <w:r w:rsidRPr="00F27A7F">
        <w:rPr>
          <w:sz w:val="17"/>
          <w:szCs w:val="17"/>
          <w:lang w:val="en-US"/>
        </w:rPr>
        <w:t xml:space="preserve">. </w:t>
      </w:r>
      <w:r w:rsidR="003E2734">
        <w:rPr>
          <w:sz w:val="17"/>
          <w:szCs w:val="17"/>
          <w:lang w:val="en-US"/>
        </w:rPr>
        <w:t>Henc</w:t>
      </w:r>
      <w:r w:rsidRPr="00F27A7F">
        <w:rPr>
          <w:sz w:val="17"/>
          <w:szCs w:val="17"/>
          <w:lang w:val="en-US"/>
        </w:rPr>
        <w:t xml:space="preserve">e, </w:t>
      </w:r>
      <w:r w:rsidR="00FC30A8">
        <w:rPr>
          <w:sz w:val="17"/>
          <w:szCs w:val="17"/>
          <w:lang w:val="en-US"/>
        </w:rPr>
        <w:t>Insurance Europe</w:t>
      </w:r>
      <w:r w:rsidRPr="00F27A7F">
        <w:rPr>
          <w:sz w:val="17"/>
          <w:szCs w:val="17"/>
          <w:lang w:val="en-US"/>
        </w:rPr>
        <w:t xml:space="preserve"> provide</w:t>
      </w:r>
      <w:r w:rsidR="00051E80">
        <w:rPr>
          <w:sz w:val="17"/>
          <w:szCs w:val="17"/>
          <w:lang w:val="en-US"/>
        </w:rPr>
        <w:t>s</w:t>
      </w:r>
      <w:r w:rsidRPr="00F27A7F">
        <w:rPr>
          <w:sz w:val="17"/>
          <w:szCs w:val="17"/>
          <w:lang w:val="en-US"/>
        </w:rPr>
        <w:t xml:space="preserve"> the following recommendations: </w:t>
      </w:r>
    </w:p>
    <w:p w14:paraId="1A033235" w14:textId="77777777" w:rsidR="007C2099" w:rsidRDefault="007C2099" w:rsidP="00F27A7F">
      <w:pPr>
        <w:rPr>
          <w:sz w:val="17"/>
          <w:szCs w:val="17"/>
          <w:lang w:val="en-US"/>
        </w:rPr>
      </w:pPr>
    </w:p>
    <w:p w14:paraId="13F9E9FE" w14:textId="4FA34DC3" w:rsidR="004675A3" w:rsidRDefault="004675A3" w:rsidP="007C2099">
      <w:pPr>
        <w:pStyle w:val="Odsekzoznamu"/>
        <w:numPr>
          <w:ilvl w:val="0"/>
          <w:numId w:val="6"/>
        </w:numPr>
        <w:rPr>
          <w:sz w:val="17"/>
          <w:szCs w:val="17"/>
          <w:lang w:val="en-US"/>
        </w:rPr>
      </w:pPr>
      <w:r w:rsidRPr="004675A3">
        <w:rPr>
          <w:sz w:val="17"/>
          <w:szCs w:val="17"/>
          <w:lang w:val="en-US"/>
        </w:rPr>
        <w:t xml:space="preserve">Any changes to the framework shall consider the EC’s overall goal of reducing the reporting burden on companies by at least 25%. Therefore, focus should be on effective implementation of ESRS sector-agnostic standards, as they already provide comprehensive and granular enough reporting contents from insurers. The </w:t>
      </w:r>
      <w:r w:rsidRPr="00831496">
        <w:rPr>
          <w:b/>
          <w:bCs/>
          <w:sz w:val="17"/>
          <w:szCs w:val="17"/>
          <w:lang w:val="en-US"/>
        </w:rPr>
        <w:t>sector-agnostic standards should be assessed after at least two reporting cycles for important gaps; limited sector-specific standards could be developed</w:t>
      </w:r>
      <w:r w:rsidR="00B6244D" w:rsidRPr="00831496">
        <w:rPr>
          <w:b/>
          <w:bCs/>
          <w:sz w:val="17"/>
          <w:szCs w:val="17"/>
          <w:lang w:val="en-US"/>
        </w:rPr>
        <w:t xml:space="preserve"> </w:t>
      </w:r>
      <w:r w:rsidR="0073240B" w:rsidRPr="00831496">
        <w:rPr>
          <w:b/>
          <w:bCs/>
          <w:sz w:val="17"/>
          <w:szCs w:val="17"/>
          <w:lang w:val="en-US"/>
        </w:rPr>
        <w:t xml:space="preserve">to </w:t>
      </w:r>
      <w:r w:rsidR="00C7238C">
        <w:rPr>
          <w:b/>
          <w:bCs/>
          <w:sz w:val="17"/>
          <w:szCs w:val="17"/>
          <w:lang w:val="en-US"/>
        </w:rPr>
        <w:t>fill</w:t>
      </w:r>
      <w:r w:rsidR="0073240B" w:rsidRPr="00831496">
        <w:rPr>
          <w:b/>
          <w:bCs/>
          <w:sz w:val="17"/>
          <w:szCs w:val="17"/>
          <w:lang w:val="en-US"/>
        </w:rPr>
        <w:t xml:space="preserve"> important gaps</w:t>
      </w:r>
      <w:r w:rsidR="00B6244D" w:rsidRPr="00831496">
        <w:rPr>
          <w:b/>
          <w:bCs/>
          <w:sz w:val="17"/>
          <w:szCs w:val="17"/>
          <w:lang w:val="en-US"/>
        </w:rPr>
        <w:t>, if any</w:t>
      </w:r>
      <w:r w:rsidRPr="004675A3">
        <w:rPr>
          <w:sz w:val="17"/>
          <w:szCs w:val="17"/>
          <w:lang w:val="en-US"/>
        </w:rPr>
        <w:t>. This approach would</w:t>
      </w:r>
      <w:r w:rsidR="00831496">
        <w:rPr>
          <w:sz w:val="17"/>
          <w:szCs w:val="17"/>
          <w:lang w:val="en-US"/>
        </w:rPr>
        <w:t xml:space="preserve"> </w:t>
      </w:r>
      <w:r w:rsidRPr="004675A3">
        <w:rPr>
          <w:sz w:val="17"/>
          <w:szCs w:val="17"/>
          <w:lang w:val="en-US"/>
        </w:rPr>
        <w:t xml:space="preserve">align with the pursued reduction of the reporting burden.    </w:t>
      </w:r>
    </w:p>
    <w:p w14:paraId="563E0A8B" w14:textId="70908505" w:rsidR="007C2099" w:rsidRDefault="00701837" w:rsidP="007C2099">
      <w:pPr>
        <w:pStyle w:val="Odsekzoznamu"/>
        <w:numPr>
          <w:ilvl w:val="0"/>
          <w:numId w:val="6"/>
        </w:numPr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EFRAG should stop the development of</w:t>
      </w:r>
      <w:r w:rsidR="00D34414">
        <w:rPr>
          <w:sz w:val="17"/>
          <w:szCs w:val="17"/>
          <w:lang w:val="en-US"/>
        </w:rPr>
        <w:t xml:space="preserve"> </w:t>
      </w:r>
      <w:r w:rsidR="007C2099" w:rsidRPr="00F649C2">
        <w:rPr>
          <w:b/>
          <w:bCs/>
          <w:sz w:val="17"/>
          <w:szCs w:val="17"/>
          <w:lang w:val="en-US"/>
        </w:rPr>
        <w:t>ESRS</w:t>
      </w:r>
      <w:r w:rsidR="007C2099">
        <w:rPr>
          <w:sz w:val="17"/>
          <w:szCs w:val="17"/>
          <w:lang w:val="en-US"/>
        </w:rPr>
        <w:t xml:space="preserve"> </w:t>
      </w:r>
      <w:r w:rsidR="007C2099" w:rsidRPr="001922B7">
        <w:rPr>
          <w:b/>
          <w:bCs/>
          <w:sz w:val="17"/>
          <w:szCs w:val="17"/>
          <w:lang w:val="en-US"/>
        </w:rPr>
        <w:t>sector</w:t>
      </w:r>
      <w:r w:rsidR="007C2099">
        <w:rPr>
          <w:b/>
          <w:bCs/>
          <w:sz w:val="17"/>
          <w:szCs w:val="17"/>
          <w:lang w:val="en-US"/>
        </w:rPr>
        <w:t>-</w:t>
      </w:r>
      <w:r w:rsidR="007C2099" w:rsidRPr="001922B7">
        <w:rPr>
          <w:b/>
          <w:bCs/>
          <w:sz w:val="17"/>
          <w:szCs w:val="17"/>
          <w:lang w:val="en-US"/>
        </w:rPr>
        <w:t>specific standards</w:t>
      </w:r>
      <w:r w:rsidR="007C2099" w:rsidRPr="001922B7">
        <w:rPr>
          <w:sz w:val="17"/>
          <w:szCs w:val="17"/>
          <w:lang w:val="en-US"/>
        </w:rPr>
        <w:t xml:space="preserve"> </w:t>
      </w:r>
      <w:r w:rsidR="00601334">
        <w:rPr>
          <w:sz w:val="17"/>
          <w:szCs w:val="17"/>
          <w:lang w:val="en-US"/>
        </w:rPr>
        <w:t xml:space="preserve">and </w:t>
      </w:r>
      <w:r w:rsidR="00F14602">
        <w:rPr>
          <w:sz w:val="17"/>
          <w:szCs w:val="17"/>
          <w:lang w:val="en-US"/>
        </w:rPr>
        <w:t xml:space="preserve">should </w:t>
      </w:r>
      <w:r w:rsidR="00601334">
        <w:rPr>
          <w:sz w:val="17"/>
          <w:szCs w:val="17"/>
          <w:lang w:val="en-US"/>
        </w:rPr>
        <w:t>instead</w:t>
      </w:r>
      <w:r w:rsidR="00F14602">
        <w:rPr>
          <w:sz w:val="17"/>
          <w:szCs w:val="17"/>
          <w:lang w:val="en-US"/>
        </w:rPr>
        <w:t xml:space="preserve"> aim </w:t>
      </w:r>
      <w:r w:rsidR="007C2099" w:rsidRPr="001922B7">
        <w:rPr>
          <w:sz w:val="17"/>
          <w:szCs w:val="17"/>
          <w:lang w:val="en-US"/>
        </w:rPr>
        <w:t>to</w:t>
      </w:r>
      <w:r w:rsidR="007C2099">
        <w:rPr>
          <w:sz w:val="17"/>
          <w:szCs w:val="17"/>
          <w:lang w:val="en-US"/>
        </w:rPr>
        <w:t xml:space="preserve"> </w:t>
      </w:r>
      <w:r w:rsidR="007C2099" w:rsidRPr="001922B7">
        <w:rPr>
          <w:sz w:val="17"/>
          <w:szCs w:val="17"/>
          <w:lang w:val="en-US"/>
        </w:rPr>
        <w:t>assist companies in implementing the sector</w:t>
      </w:r>
      <w:r w:rsidR="007C2099">
        <w:rPr>
          <w:sz w:val="17"/>
          <w:szCs w:val="17"/>
          <w:lang w:val="en-US"/>
        </w:rPr>
        <w:t>-</w:t>
      </w:r>
      <w:r w:rsidR="007C2099" w:rsidRPr="001922B7">
        <w:rPr>
          <w:sz w:val="17"/>
          <w:szCs w:val="17"/>
          <w:lang w:val="en-US"/>
        </w:rPr>
        <w:t xml:space="preserve">agnostic </w:t>
      </w:r>
      <w:r w:rsidR="007C2099">
        <w:rPr>
          <w:sz w:val="17"/>
          <w:szCs w:val="17"/>
          <w:lang w:val="en-US"/>
        </w:rPr>
        <w:t>requirements</w:t>
      </w:r>
      <w:r w:rsidR="008E5861">
        <w:rPr>
          <w:sz w:val="17"/>
          <w:szCs w:val="17"/>
          <w:lang w:val="en-US"/>
        </w:rPr>
        <w:t>.</w:t>
      </w:r>
      <w:r w:rsidR="0081466B">
        <w:rPr>
          <w:sz w:val="17"/>
          <w:szCs w:val="17"/>
          <w:lang w:val="en-US"/>
        </w:rPr>
        <w:t xml:space="preserve"> </w:t>
      </w:r>
      <w:r w:rsidR="00394057">
        <w:rPr>
          <w:sz w:val="17"/>
          <w:szCs w:val="17"/>
          <w:lang w:val="en-US"/>
        </w:rPr>
        <w:t>A</w:t>
      </w:r>
      <w:r w:rsidR="008C6DF9" w:rsidRPr="008C6DF9">
        <w:rPr>
          <w:sz w:val="17"/>
          <w:szCs w:val="17"/>
          <w:lang w:val="en-US"/>
        </w:rPr>
        <w:t xml:space="preserve"> reasonable period of time to gain experience in the application of sector-agnostic </w:t>
      </w:r>
      <w:r w:rsidR="00BF69BB">
        <w:rPr>
          <w:sz w:val="17"/>
          <w:szCs w:val="17"/>
          <w:lang w:val="en-US"/>
        </w:rPr>
        <w:t xml:space="preserve">standards for </w:t>
      </w:r>
      <w:r w:rsidR="008C6DF9" w:rsidRPr="008C6DF9">
        <w:rPr>
          <w:sz w:val="17"/>
          <w:szCs w:val="17"/>
          <w:lang w:val="en-US"/>
        </w:rPr>
        <w:t xml:space="preserve">sustainability </w:t>
      </w:r>
      <w:proofErr w:type="gramStart"/>
      <w:r w:rsidR="008C6DF9" w:rsidRPr="008C6DF9">
        <w:rPr>
          <w:sz w:val="17"/>
          <w:szCs w:val="17"/>
          <w:lang w:val="en-US"/>
        </w:rPr>
        <w:t>reporting  before</w:t>
      </w:r>
      <w:proofErr w:type="gramEnd"/>
      <w:r w:rsidR="008C6DF9" w:rsidRPr="008C6DF9">
        <w:rPr>
          <w:sz w:val="17"/>
          <w:szCs w:val="17"/>
          <w:lang w:val="en-US"/>
        </w:rPr>
        <w:t xml:space="preserve"> assessing the need for additional data and setting up sector-specific standards</w:t>
      </w:r>
      <w:r w:rsidR="000E4811">
        <w:rPr>
          <w:sz w:val="17"/>
          <w:szCs w:val="17"/>
          <w:lang w:val="en-US"/>
        </w:rPr>
        <w:t xml:space="preserve"> is needed</w:t>
      </w:r>
      <w:r w:rsidR="008C6DF9" w:rsidRPr="008C6DF9">
        <w:rPr>
          <w:sz w:val="17"/>
          <w:szCs w:val="17"/>
          <w:lang w:val="en-US"/>
        </w:rPr>
        <w:t>.</w:t>
      </w:r>
      <w:r w:rsidR="0081466B">
        <w:rPr>
          <w:sz w:val="17"/>
          <w:szCs w:val="17"/>
          <w:lang w:val="en-US"/>
        </w:rPr>
        <w:t xml:space="preserve"> </w:t>
      </w:r>
      <w:r w:rsidR="0010287C">
        <w:rPr>
          <w:sz w:val="17"/>
          <w:szCs w:val="17"/>
          <w:lang w:val="en-US"/>
        </w:rPr>
        <w:t>If</w:t>
      </w:r>
      <w:r w:rsidR="0093226E">
        <w:rPr>
          <w:sz w:val="17"/>
          <w:szCs w:val="17"/>
          <w:lang w:val="en-US"/>
        </w:rPr>
        <w:t>/when</w:t>
      </w:r>
      <w:r w:rsidR="0010287C">
        <w:rPr>
          <w:sz w:val="17"/>
          <w:szCs w:val="17"/>
          <w:lang w:val="en-US"/>
        </w:rPr>
        <w:t xml:space="preserve"> sector</w:t>
      </w:r>
      <w:r w:rsidR="00C716A6">
        <w:rPr>
          <w:sz w:val="17"/>
          <w:szCs w:val="17"/>
          <w:lang w:val="en-US"/>
        </w:rPr>
        <w:t>-</w:t>
      </w:r>
      <w:r w:rsidR="0010287C">
        <w:rPr>
          <w:sz w:val="17"/>
          <w:szCs w:val="17"/>
          <w:lang w:val="en-US"/>
        </w:rPr>
        <w:t xml:space="preserve">specific standards are developed, </w:t>
      </w:r>
      <w:r w:rsidR="00002FC2">
        <w:rPr>
          <w:sz w:val="17"/>
          <w:szCs w:val="17"/>
          <w:lang w:val="en-US"/>
        </w:rPr>
        <w:t xml:space="preserve">they </w:t>
      </w:r>
      <w:r w:rsidR="00002FC2" w:rsidRPr="00016E97">
        <w:rPr>
          <w:b/>
          <w:bCs/>
          <w:sz w:val="17"/>
          <w:szCs w:val="17"/>
          <w:lang w:val="en-US"/>
        </w:rPr>
        <w:t xml:space="preserve">should be kept </w:t>
      </w:r>
      <w:r w:rsidR="00510260" w:rsidRPr="00016E97">
        <w:rPr>
          <w:b/>
          <w:bCs/>
          <w:sz w:val="17"/>
          <w:szCs w:val="17"/>
          <w:lang w:val="en-US"/>
        </w:rPr>
        <w:t>to a minimum</w:t>
      </w:r>
      <w:r w:rsidR="00510260">
        <w:rPr>
          <w:sz w:val="17"/>
          <w:szCs w:val="17"/>
          <w:lang w:val="en-US"/>
        </w:rPr>
        <w:t xml:space="preserve">, and they </w:t>
      </w:r>
      <w:r w:rsidR="00510260" w:rsidRPr="00016E97">
        <w:rPr>
          <w:b/>
          <w:bCs/>
          <w:sz w:val="17"/>
          <w:szCs w:val="17"/>
          <w:lang w:val="en-US"/>
        </w:rPr>
        <w:t>should</w:t>
      </w:r>
      <w:r w:rsidR="00510260">
        <w:rPr>
          <w:sz w:val="17"/>
          <w:szCs w:val="17"/>
          <w:lang w:val="en-US"/>
        </w:rPr>
        <w:t xml:space="preserve"> </w:t>
      </w:r>
      <w:r w:rsidR="00510260" w:rsidRPr="00016E97">
        <w:rPr>
          <w:b/>
          <w:bCs/>
          <w:sz w:val="17"/>
          <w:szCs w:val="17"/>
          <w:lang w:val="en-US"/>
        </w:rPr>
        <w:t xml:space="preserve">be subject to </w:t>
      </w:r>
      <w:r w:rsidR="00B86B17">
        <w:rPr>
          <w:b/>
          <w:bCs/>
          <w:sz w:val="17"/>
          <w:szCs w:val="17"/>
          <w:lang w:val="en-US"/>
        </w:rPr>
        <w:t xml:space="preserve">a </w:t>
      </w:r>
      <w:r w:rsidR="00510260" w:rsidRPr="00016E97">
        <w:rPr>
          <w:b/>
          <w:bCs/>
          <w:sz w:val="17"/>
          <w:szCs w:val="17"/>
          <w:lang w:val="en-US"/>
        </w:rPr>
        <w:t>materiality assessment</w:t>
      </w:r>
      <w:r w:rsidR="00510260">
        <w:rPr>
          <w:sz w:val="17"/>
          <w:szCs w:val="17"/>
          <w:lang w:val="en-US"/>
        </w:rPr>
        <w:t xml:space="preserve"> like the ESRS sector-agnostic standards</w:t>
      </w:r>
      <w:r w:rsidR="007C2099" w:rsidRPr="001922B7">
        <w:rPr>
          <w:sz w:val="17"/>
          <w:szCs w:val="17"/>
          <w:lang w:val="en-US"/>
        </w:rPr>
        <w:t xml:space="preserve">. </w:t>
      </w:r>
      <w:r w:rsidR="007C2099" w:rsidRPr="00DD11FB">
        <w:rPr>
          <w:sz w:val="17"/>
          <w:szCs w:val="17"/>
          <w:lang w:val="en-US"/>
        </w:rPr>
        <w:t xml:space="preserve"> </w:t>
      </w:r>
    </w:p>
    <w:p w14:paraId="5CCF9109" w14:textId="3F769F9F" w:rsidR="001B7ADB" w:rsidRPr="00C77FD2" w:rsidRDefault="001B7ADB" w:rsidP="00C77FD2">
      <w:pPr>
        <w:pStyle w:val="pf0"/>
        <w:numPr>
          <w:ilvl w:val="0"/>
          <w:numId w:val="6"/>
        </w:numPr>
        <w:jc w:val="both"/>
        <w:rPr>
          <w:sz w:val="17"/>
          <w:szCs w:val="17"/>
          <w:lang w:val="en-US"/>
        </w:rPr>
      </w:pPr>
      <w:r w:rsidRPr="00C77FD2">
        <w:rPr>
          <w:rFonts w:ascii="Verdana" w:hAnsi="Verdana"/>
          <w:b/>
          <w:bCs/>
          <w:sz w:val="17"/>
          <w:szCs w:val="17"/>
          <w:lang w:val="en-US"/>
        </w:rPr>
        <w:t>Further simplifications of sector-agnostic standards</w:t>
      </w:r>
      <w:r w:rsidR="00546635">
        <w:rPr>
          <w:rFonts w:ascii="Verdana" w:hAnsi="Verdana"/>
          <w:b/>
          <w:bCs/>
          <w:sz w:val="17"/>
          <w:szCs w:val="17"/>
          <w:lang w:val="en-US"/>
        </w:rPr>
        <w:t>,</w:t>
      </w:r>
      <w:r w:rsidRPr="00C77FD2">
        <w:rPr>
          <w:rFonts w:ascii="Verdana" w:hAnsi="Verdana"/>
          <w:sz w:val="17"/>
          <w:szCs w:val="17"/>
          <w:lang w:val="en-US"/>
        </w:rPr>
        <w:t xml:space="preserve"> with an initial focus on climate-related information</w:t>
      </w:r>
      <w:r w:rsidR="00546635">
        <w:rPr>
          <w:rFonts w:ascii="Verdana" w:hAnsi="Verdana"/>
          <w:sz w:val="17"/>
          <w:szCs w:val="17"/>
          <w:lang w:val="en-US"/>
        </w:rPr>
        <w:t>,</w:t>
      </w:r>
      <w:r w:rsidRPr="00C77FD2">
        <w:rPr>
          <w:rFonts w:ascii="Verdana" w:hAnsi="Verdana"/>
          <w:sz w:val="17"/>
          <w:szCs w:val="17"/>
          <w:lang w:val="en-US"/>
        </w:rPr>
        <w:t xml:space="preserve"> </w:t>
      </w:r>
      <w:r w:rsidRPr="00C77FD2">
        <w:rPr>
          <w:rFonts w:ascii="Verdana" w:hAnsi="Verdana"/>
          <w:b/>
          <w:bCs/>
          <w:sz w:val="17"/>
          <w:szCs w:val="17"/>
          <w:lang w:val="en-US"/>
        </w:rPr>
        <w:t>should be fostered</w:t>
      </w:r>
      <w:r w:rsidRPr="00C77FD2">
        <w:rPr>
          <w:rFonts w:ascii="Verdana" w:hAnsi="Verdana"/>
          <w:sz w:val="17"/>
          <w:szCs w:val="17"/>
          <w:lang w:val="en-US"/>
        </w:rPr>
        <w:t>.</w:t>
      </w:r>
    </w:p>
    <w:p w14:paraId="2527659E" w14:textId="446898BA" w:rsidR="007C2099" w:rsidRPr="0054767A" w:rsidRDefault="007C2099" w:rsidP="007C2099">
      <w:pPr>
        <w:pStyle w:val="Odsekzoznamu"/>
        <w:numPr>
          <w:ilvl w:val="0"/>
          <w:numId w:val="6"/>
        </w:numPr>
        <w:rPr>
          <w:sz w:val="17"/>
          <w:szCs w:val="17"/>
          <w:lang w:val="en-US"/>
        </w:rPr>
      </w:pPr>
      <w:r w:rsidRPr="0054767A">
        <w:rPr>
          <w:b/>
          <w:bCs/>
          <w:sz w:val="17"/>
          <w:szCs w:val="17"/>
          <w:lang w:val="en-US"/>
        </w:rPr>
        <w:t>The new Digital Taxonomy</w:t>
      </w:r>
      <w:r w:rsidRPr="0054767A">
        <w:rPr>
          <w:sz w:val="17"/>
          <w:szCs w:val="17"/>
          <w:lang w:val="en-US"/>
        </w:rPr>
        <w:t xml:space="preserve"> </w:t>
      </w:r>
      <w:r w:rsidRPr="0054767A">
        <w:rPr>
          <w:b/>
          <w:bCs/>
          <w:sz w:val="17"/>
          <w:szCs w:val="17"/>
          <w:lang w:val="en-US"/>
        </w:rPr>
        <w:t xml:space="preserve">rules </w:t>
      </w:r>
      <w:r w:rsidRPr="0054767A">
        <w:rPr>
          <w:sz w:val="17"/>
          <w:szCs w:val="17"/>
          <w:lang w:val="en-US"/>
        </w:rPr>
        <w:t xml:space="preserve">(under development) to allow the marking up ('digital tagging') of the ESRS sustainability statement in the machine-readable XBRL format </w:t>
      </w:r>
      <w:r w:rsidRPr="0054767A">
        <w:rPr>
          <w:b/>
          <w:bCs/>
          <w:sz w:val="17"/>
          <w:szCs w:val="17"/>
          <w:lang w:val="en-US"/>
        </w:rPr>
        <w:t>should be actionable and avoid excessive adaptation costs for companies</w:t>
      </w:r>
      <w:r w:rsidRPr="0054767A">
        <w:rPr>
          <w:sz w:val="17"/>
          <w:szCs w:val="17"/>
          <w:lang w:val="en-US"/>
        </w:rPr>
        <w:t xml:space="preserve">. </w:t>
      </w:r>
      <w:r w:rsidR="003B5A6C" w:rsidRPr="003B5A6C">
        <w:rPr>
          <w:sz w:val="17"/>
          <w:szCs w:val="17"/>
          <w:lang w:val="en-US"/>
        </w:rPr>
        <w:t>Therefore,</w:t>
      </w:r>
      <w:r w:rsidR="00041281">
        <w:rPr>
          <w:sz w:val="17"/>
          <w:szCs w:val="17"/>
          <w:lang w:val="en-US"/>
        </w:rPr>
        <w:t xml:space="preserve"> </w:t>
      </w:r>
      <w:r w:rsidR="003B5A6C" w:rsidRPr="003B5A6C">
        <w:rPr>
          <w:sz w:val="17"/>
          <w:szCs w:val="17"/>
          <w:lang w:val="en-US"/>
        </w:rPr>
        <w:t xml:space="preserve">a </w:t>
      </w:r>
      <w:r w:rsidR="003B5A6C" w:rsidRPr="00C77FD2">
        <w:rPr>
          <w:b/>
          <w:sz w:val="17"/>
          <w:szCs w:val="17"/>
          <w:lang w:val="en-US"/>
        </w:rPr>
        <w:t>gradual implementation</w:t>
      </w:r>
      <w:r w:rsidR="003B5A6C" w:rsidRPr="003B5A6C">
        <w:rPr>
          <w:sz w:val="17"/>
          <w:szCs w:val="17"/>
          <w:lang w:val="en-US"/>
        </w:rPr>
        <w:t xml:space="preserve"> of this tagging</w:t>
      </w:r>
      <w:r w:rsidR="00041281">
        <w:rPr>
          <w:sz w:val="17"/>
          <w:szCs w:val="17"/>
          <w:lang w:val="en-US"/>
        </w:rPr>
        <w:t xml:space="preserve"> is recommended</w:t>
      </w:r>
      <w:r w:rsidR="003B5A6C" w:rsidRPr="003B5A6C">
        <w:rPr>
          <w:sz w:val="17"/>
          <w:szCs w:val="17"/>
          <w:lang w:val="en-US"/>
        </w:rPr>
        <w:t xml:space="preserve">, prioritizing the information </w:t>
      </w:r>
      <w:r w:rsidR="009A0426">
        <w:rPr>
          <w:sz w:val="17"/>
          <w:szCs w:val="17"/>
          <w:lang w:val="en-US"/>
        </w:rPr>
        <w:t>needed by users</w:t>
      </w:r>
      <w:r w:rsidR="00041281">
        <w:rPr>
          <w:sz w:val="17"/>
          <w:szCs w:val="17"/>
          <w:lang w:val="en-US"/>
        </w:rPr>
        <w:t xml:space="preserve"> (like </w:t>
      </w:r>
      <w:r w:rsidR="003B5A6C" w:rsidRPr="003B5A6C">
        <w:rPr>
          <w:sz w:val="17"/>
          <w:szCs w:val="17"/>
          <w:lang w:val="en-US"/>
        </w:rPr>
        <w:t>climate</w:t>
      </w:r>
      <w:r w:rsidR="00041281">
        <w:rPr>
          <w:sz w:val="17"/>
          <w:szCs w:val="17"/>
          <w:lang w:val="en-US"/>
        </w:rPr>
        <w:t>)</w:t>
      </w:r>
      <w:r w:rsidR="003B5A6C" w:rsidRPr="003B5A6C">
        <w:rPr>
          <w:sz w:val="17"/>
          <w:szCs w:val="17"/>
          <w:lang w:val="en-US"/>
        </w:rPr>
        <w:t>, and/or the information necessary for financial institutions to comply with PAI reporting under S</w:t>
      </w:r>
      <w:r w:rsidR="003819F2">
        <w:rPr>
          <w:sz w:val="17"/>
          <w:szCs w:val="17"/>
          <w:lang w:val="en-US"/>
        </w:rPr>
        <w:t xml:space="preserve">ustainable </w:t>
      </w:r>
      <w:r w:rsidR="003B5A6C" w:rsidRPr="003B5A6C">
        <w:rPr>
          <w:sz w:val="17"/>
          <w:szCs w:val="17"/>
          <w:lang w:val="en-US"/>
        </w:rPr>
        <w:t>F</w:t>
      </w:r>
      <w:r w:rsidR="003819F2">
        <w:rPr>
          <w:sz w:val="17"/>
          <w:szCs w:val="17"/>
          <w:lang w:val="en-US"/>
        </w:rPr>
        <w:t xml:space="preserve">inance </w:t>
      </w:r>
      <w:r w:rsidR="003B5A6C" w:rsidRPr="003B5A6C">
        <w:rPr>
          <w:sz w:val="17"/>
          <w:szCs w:val="17"/>
          <w:lang w:val="en-US"/>
        </w:rPr>
        <w:t>D</w:t>
      </w:r>
      <w:r w:rsidR="003819F2">
        <w:rPr>
          <w:sz w:val="17"/>
          <w:szCs w:val="17"/>
          <w:lang w:val="en-US"/>
        </w:rPr>
        <w:t xml:space="preserve">isclosure </w:t>
      </w:r>
      <w:r w:rsidR="003B5A6C" w:rsidRPr="003B5A6C">
        <w:rPr>
          <w:sz w:val="17"/>
          <w:szCs w:val="17"/>
          <w:lang w:val="en-US"/>
        </w:rPr>
        <w:t>R</w:t>
      </w:r>
      <w:r w:rsidR="003819F2">
        <w:rPr>
          <w:sz w:val="17"/>
          <w:szCs w:val="17"/>
          <w:lang w:val="en-US"/>
        </w:rPr>
        <w:t>egulation</w:t>
      </w:r>
      <w:r w:rsidR="00E94682">
        <w:rPr>
          <w:sz w:val="17"/>
          <w:szCs w:val="17"/>
          <w:lang w:val="en-US"/>
        </w:rPr>
        <w:t xml:space="preserve"> (SFDR)</w:t>
      </w:r>
      <w:r w:rsidR="00666912">
        <w:rPr>
          <w:sz w:val="17"/>
          <w:szCs w:val="17"/>
          <w:lang w:val="en-US"/>
        </w:rPr>
        <w:t xml:space="preserve">. Additionally, </w:t>
      </w:r>
      <w:r w:rsidR="00191E8D">
        <w:rPr>
          <w:sz w:val="17"/>
          <w:szCs w:val="17"/>
          <w:lang w:val="en-US"/>
        </w:rPr>
        <w:t xml:space="preserve">the digital tagging </w:t>
      </w:r>
      <w:r w:rsidR="00191E8D" w:rsidRPr="00C77FD2">
        <w:rPr>
          <w:b/>
          <w:sz w:val="17"/>
          <w:szCs w:val="17"/>
          <w:lang w:val="en-US"/>
        </w:rPr>
        <w:t xml:space="preserve">obligation should not be applied to </w:t>
      </w:r>
      <w:r w:rsidR="003048C0" w:rsidRPr="00C77FD2">
        <w:rPr>
          <w:b/>
          <w:sz w:val="17"/>
          <w:szCs w:val="17"/>
          <w:lang w:val="en-US"/>
        </w:rPr>
        <w:t>non-listed companie</w:t>
      </w:r>
      <w:r w:rsidR="003048C0" w:rsidRPr="00A07872">
        <w:rPr>
          <w:b/>
          <w:bCs/>
          <w:sz w:val="17"/>
          <w:szCs w:val="17"/>
          <w:lang w:val="en-US"/>
        </w:rPr>
        <w:t>s</w:t>
      </w:r>
      <w:r w:rsidR="003048C0">
        <w:rPr>
          <w:sz w:val="17"/>
          <w:szCs w:val="17"/>
          <w:lang w:val="en-US"/>
        </w:rPr>
        <w:t>, which should be allowed to comply on a voluntary basis only.</w:t>
      </w:r>
    </w:p>
    <w:p w14:paraId="7372202F" w14:textId="4C4A9FA1" w:rsidR="007C2099" w:rsidRPr="001922B7" w:rsidRDefault="007C2099" w:rsidP="007C2099">
      <w:pPr>
        <w:pStyle w:val="Odsekzoznamu"/>
        <w:numPr>
          <w:ilvl w:val="0"/>
          <w:numId w:val="6"/>
        </w:numPr>
        <w:rPr>
          <w:sz w:val="17"/>
          <w:szCs w:val="17"/>
          <w:lang w:val="en-US"/>
        </w:rPr>
      </w:pPr>
      <w:r>
        <w:rPr>
          <w:b/>
          <w:bCs/>
          <w:sz w:val="17"/>
          <w:szCs w:val="17"/>
        </w:rPr>
        <w:t>A</w:t>
      </w:r>
      <w:r w:rsidRPr="00A45232">
        <w:rPr>
          <w:b/>
          <w:bCs/>
          <w:sz w:val="17"/>
          <w:szCs w:val="17"/>
        </w:rPr>
        <w:t>ny implementation guidance</w:t>
      </w:r>
      <w:r w:rsidR="00783E1A">
        <w:rPr>
          <w:b/>
          <w:bCs/>
          <w:sz w:val="17"/>
          <w:szCs w:val="17"/>
        </w:rPr>
        <w:t xml:space="preserve"> developed by EFRAG, including </w:t>
      </w:r>
      <w:r w:rsidRPr="00A45232">
        <w:rPr>
          <w:b/>
          <w:bCs/>
          <w:sz w:val="17"/>
          <w:szCs w:val="17"/>
        </w:rPr>
        <w:t>on transition plans</w:t>
      </w:r>
      <w:r w:rsidR="00783E1A">
        <w:rPr>
          <w:b/>
          <w:bCs/>
          <w:sz w:val="17"/>
          <w:szCs w:val="17"/>
        </w:rPr>
        <w:t>,</w:t>
      </w:r>
      <w:r w:rsidRPr="00B72FC9">
        <w:rPr>
          <w:sz w:val="17"/>
          <w:szCs w:val="17"/>
        </w:rPr>
        <w:t xml:space="preserve"> </w:t>
      </w:r>
      <w:r w:rsidRPr="00A45232">
        <w:rPr>
          <w:b/>
          <w:bCs/>
          <w:sz w:val="17"/>
          <w:szCs w:val="17"/>
        </w:rPr>
        <w:t xml:space="preserve">should only address reporting practices, and not </w:t>
      </w:r>
      <w:r w:rsidR="00525C53" w:rsidRPr="00C77FD2">
        <w:rPr>
          <w:b/>
          <w:sz w:val="17"/>
          <w:szCs w:val="17"/>
        </w:rPr>
        <w:t>add disclosure requirements</w:t>
      </w:r>
      <w:r w:rsidR="00525C53">
        <w:rPr>
          <w:sz w:val="17"/>
          <w:szCs w:val="17"/>
        </w:rPr>
        <w:t xml:space="preserve"> </w:t>
      </w:r>
      <w:r w:rsidR="008A39B4">
        <w:rPr>
          <w:sz w:val="17"/>
          <w:szCs w:val="17"/>
        </w:rPr>
        <w:t>or prescribe contents not required by the ESRS</w:t>
      </w:r>
      <w:r>
        <w:rPr>
          <w:sz w:val="17"/>
          <w:szCs w:val="17"/>
        </w:rPr>
        <w:t>.</w:t>
      </w:r>
    </w:p>
    <w:p w14:paraId="7C499758" w14:textId="67875B32" w:rsidR="007C2099" w:rsidRPr="00960772" w:rsidRDefault="000B73F9" w:rsidP="007C2099">
      <w:pPr>
        <w:pStyle w:val="Odsekzoznamu"/>
        <w:numPr>
          <w:ilvl w:val="0"/>
          <w:numId w:val="6"/>
        </w:numPr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 xml:space="preserve">Duplication of reporting should be avoided. </w:t>
      </w:r>
      <w:r w:rsidR="007C2099" w:rsidRPr="00960772">
        <w:rPr>
          <w:sz w:val="17"/>
          <w:szCs w:val="17"/>
          <w:lang w:val="en-US"/>
        </w:rPr>
        <w:t xml:space="preserve">A more effective and coherent EU sustainable finance framework could be attained by </w:t>
      </w:r>
      <w:r w:rsidR="007C2099" w:rsidRPr="001922B7">
        <w:rPr>
          <w:sz w:val="17"/>
          <w:szCs w:val="17"/>
          <w:lang w:val="en-US"/>
        </w:rPr>
        <w:t>increasing coherence between the SFDR and the CSRD</w:t>
      </w:r>
      <w:r w:rsidR="007C2099">
        <w:rPr>
          <w:sz w:val="17"/>
          <w:szCs w:val="17"/>
          <w:lang w:val="en-US"/>
        </w:rPr>
        <w:t>-</w:t>
      </w:r>
      <w:r w:rsidR="007C2099" w:rsidRPr="001922B7">
        <w:rPr>
          <w:sz w:val="17"/>
          <w:szCs w:val="17"/>
          <w:lang w:val="en-US"/>
        </w:rPr>
        <w:t>ESRS</w:t>
      </w:r>
      <w:r w:rsidR="007C2099" w:rsidRPr="005B10C1">
        <w:rPr>
          <w:sz w:val="17"/>
          <w:szCs w:val="17"/>
          <w:lang w:val="en-US"/>
        </w:rPr>
        <w:t xml:space="preserve">. </w:t>
      </w:r>
      <w:r w:rsidR="006F1C65">
        <w:rPr>
          <w:sz w:val="17"/>
          <w:szCs w:val="17"/>
          <w:lang w:val="en-US"/>
        </w:rPr>
        <w:t>As such, w</w:t>
      </w:r>
      <w:r w:rsidR="007C2099" w:rsidRPr="005B10C1">
        <w:rPr>
          <w:sz w:val="17"/>
          <w:szCs w:val="17"/>
          <w:lang w:val="en-US"/>
        </w:rPr>
        <w:t xml:space="preserve">hile </w:t>
      </w:r>
      <w:r w:rsidR="003725B3" w:rsidRPr="003725B3">
        <w:rPr>
          <w:sz w:val="17"/>
          <w:szCs w:val="17"/>
          <w:lang w:val="en-US"/>
        </w:rPr>
        <w:t>product level disclosures should be covered by the SFDR</w:t>
      </w:r>
      <w:r w:rsidR="003725B3">
        <w:rPr>
          <w:sz w:val="17"/>
          <w:szCs w:val="17"/>
          <w:lang w:val="en-US"/>
        </w:rPr>
        <w:t>,</w:t>
      </w:r>
      <w:r w:rsidR="003725B3" w:rsidRPr="003725B3">
        <w:rPr>
          <w:sz w:val="17"/>
          <w:szCs w:val="17"/>
          <w:lang w:val="en-US"/>
        </w:rPr>
        <w:t xml:space="preserve"> </w:t>
      </w:r>
      <w:r w:rsidR="007C2099" w:rsidRPr="008C50B2">
        <w:rPr>
          <w:b/>
          <w:bCs/>
          <w:sz w:val="17"/>
          <w:szCs w:val="17"/>
          <w:lang w:val="en-US"/>
        </w:rPr>
        <w:t xml:space="preserve">entity level disclosures should </w:t>
      </w:r>
      <w:r w:rsidR="003725B3" w:rsidRPr="008C50B2">
        <w:rPr>
          <w:b/>
          <w:bCs/>
          <w:sz w:val="17"/>
          <w:szCs w:val="17"/>
          <w:lang w:val="en-US"/>
        </w:rPr>
        <w:t xml:space="preserve">mainly </w:t>
      </w:r>
      <w:r w:rsidR="007C2099" w:rsidRPr="008C50B2">
        <w:rPr>
          <w:b/>
          <w:bCs/>
          <w:sz w:val="17"/>
          <w:szCs w:val="17"/>
          <w:lang w:val="en-US"/>
        </w:rPr>
        <w:t>be covered by the CSRD</w:t>
      </w:r>
      <w:r w:rsidR="007C2099" w:rsidRPr="001922B7">
        <w:rPr>
          <w:sz w:val="17"/>
          <w:szCs w:val="17"/>
          <w:lang w:val="en-US"/>
        </w:rPr>
        <w:t>,</w:t>
      </w:r>
      <w:r w:rsidR="007C2099" w:rsidRPr="00960772">
        <w:rPr>
          <w:sz w:val="17"/>
          <w:szCs w:val="17"/>
          <w:lang w:val="en-US"/>
        </w:rPr>
        <w:t xml:space="preserve"> </w:t>
      </w:r>
      <w:r w:rsidR="003A097D" w:rsidRPr="003A097D">
        <w:rPr>
          <w:sz w:val="17"/>
          <w:szCs w:val="17"/>
          <w:lang w:val="en-US"/>
        </w:rPr>
        <w:t>except if FMPs are not subject to the CSRD or if the information required in SFDR is not covered by the ESRS</w:t>
      </w:r>
      <w:r w:rsidR="00016E97">
        <w:rPr>
          <w:sz w:val="17"/>
          <w:szCs w:val="17"/>
          <w:lang w:val="en-US"/>
        </w:rPr>
        <w:t>.</w:t>
      </w:r>
    </w:p>
    <w:p w14:paraId="2E3FF6F1" w14:textId="77777777" w:rsidR="007C2099" w:rsidRPr="00A01D01" w:rsidRDefault="007C2099" w:rsidP="007C2099">
      <w:pPr>
        <w:pStyle w:val="Odsekzoznamu"/>
        <w:numPr>
          <w:ilvl w:val="0"/>
          <w:numId w:val="6"/>
        </w:numPr>
        <w:rPr>
          <w:sz w:val="17"/>
          <w:szCs w:val="17"/>
          <w:lang w:val="en-US"/>
        </w:rPr>
      </w:pPr>
      <w:r w:rsidRPr="00A01D01">
        <w:rPr>
          <w:sz w:val="17"/>
          <w:szCs w:val="17"/>
          <w:lang w:val="en-US"/>
        </w:rPr>
        <w:t xml:space="preserve">While consistency is paramount in addressing both sustainability risk plans (amendments to article 44 Solvency II Directive) and net-zero transition plans (under CSRD), (re)insurers advocate for </w:t>
      </w:r>
      <w:r w:rsidRPr="00A01D01">
        <w:rPr>
          <w:b/>
          <w:bCs/>
          <w:sz w:val="17"/>
          <w:szCs w:val="17"/>
          <w:lang w:val="en-US"/>
        </w:rPr>
        <w:t>a</w:t>
      </w:r>
      <w:r w:rsidRPr="00A01D01">
        <w:rPr>
          <w:sz w:val="17"/>
          <w:szCs w:val="17"/>
          <w:lang w:val="en-US"/>
        </w:rPr>
        <w:t xml:space="preserve"> </w:t>
      </w:r>
      <w:r w:rsidRPr="00A01D01">
        <w:rPr>
          <w:b/>
          <w:bCs/>
          <w:sz w:val="17"/>
          <w:szCs w:val="17"/>
          <w:lang w:val="en-US"/>
        </w:rPr>
        <w:t>clear regulatory separation between sustainability risk plans and net-zero transition plans</w:t>
      </w:r>
      <w:r w:rsidRPr="00A01D01">
        <w:rPr>
          <w:sz w:val="17"/>
          <w:szCs w:val="17"/>
          <w:lang w:val="en-US"/>
        </w:rPr>
        <w:t xml:space="preserve"> due to their distinct focuses, i.e. prudential aspects and GHG emissions respectively.</w:t>
      </w:r>
    </w:p>
    <w:p w14:paraId="2ACE7ACB" w14:textId="383F0B9A" w:rsidR="00133F65" w:rsidRPr="00C466B9" w:rsidRDefault="007C2099" w:rsidP="00F27A7F">
      <w:pPr>
        <w:pStyle w:val="Odsekzoznamu"/>
        <w:numPr>
          <w:ilvl w:val="0"/>
          <w:numId w:val="6"/>
        </w:numPr>
        <w:rPr>
          <w:sz w:val="17"/>
          <w:szCs w:val="17"/>
          <w:lang w:val="en-US"/>
        </w:rPr>
      </w:pPr>
      <w:r w:rsidRPr="00B416C4">
        <w:rPr>
          <w:sz w:val="17"/>
          <w:szCs w:val="17"/>
          <w:lang w:val="en-US"/>
        </w:rPr>
        <w:t xml:space="preserve">To adequately reflect their structure and capabilities, and create a level playing field, </w:t>
      </w:r>
      <w:r w:rsidRPr="00B416C4">
        <w:rPr>
          <w:b/>
          <w:bCs/>
          <w:sz w:val="17"/>
          <w:szCs w:val="17"/>
          <w:lang w:val="en-US"/>
        </w:rPr>
        <w:t xml:space="preserve">Small and Non-Complex insurance Undertakings </w:t>
      </w:r>
      <w:r w:rsidR="001567E4" w:rsidRPr="00B416C4">
        <w:rPr>
          <w:b/>
          <w:bCs/>
          <w:sz w:val="17"/>
          <w:szCs w:val="17"/>
          <w:lang w:val="en-US"/>
        </w:rPr>
        <w:t xml:space="preserve">(SNCUs) </w:t>
      </w:r>
      <w:r w:rsidRPr="00B416C4">
        <w:rPr>
          <w:b/>
          <w:bCs/>
          <w:sz w:val="17"/>
          <w:szCs w:val="17"/>
          <w:lang w:val="en-US"/>
        </w:rPr>
        <w:t xml:space="preserve">should </w:t>
      </w:r>
      <w:r w:rsidR="00E35965" w:rsidRPr="00B416C4">
        <w:rPr>
          <w:b/>
          <w:bCs/>
          <w:sz w:val="17"/>
          <w:szCs w:val="17"/>
          <w:lang w:val="en-US"/>
        </w:rPr>
        <w:t xml:space="preserve">be subject to the same simplified reporting standards as Small and Non-Complex Institutions (SNCIs). SNCUs should also </w:t>
      </w:r>
      <w:r w:rsidRPr="00B416C4">
        <w:rPr>
          <w:b/>
          <w:bCs/>
          <w:sz w:val="17"/>
          <w:szCs w:val="17"/>
          <w:lang w:val="en-US"/>
        </w:rPr>
        <w:t xml:space="preserve">be allowed to apply the simplified ESRS for listed small medium </w:t>
      </w:r>
      <w:r w:rsidR="00E35965" w:rsidRPr="00B416C4">
        <w:rPr>
          <w:b/>
          <w:bCs/>
          <w:sz w:val="17"/>
          <w:szCs w:val="17"/>
          <w:lang w:val="en-US"/>
        </w:rPr>
        <w:t xml:space="preserve">enterprises </w:t>
      </w:r>
      <w:r w:rsidRPr="00B416C4">
        <w:rPr>
          <w:sz w:val="17"/>
          <w:szCs w:val="17"/>
          <w:lang w:val="en-US"/>
        </w:rPr>
        <w:t>(LSME standards) instead of the ESRS full reporting</w:t>
      </w:r>
      <w:r w:rsidR="00292BD5">
        <w:rPr>
          <w:sz w:val="17"/>
          <w:szCs w:val="17"/>
          <w:lang w:val="en-US"/>
        </w:rPr>
        <w:t xml:space="preserve"> </w:t>
      </w:r>
      <w:r w:rsidR="00EA5523" w:rsidRPr="00B416C4">
        <w:rPr>
          <w:sz w:val="17"/>
          <w:szCs w:val="17"/>
          <w:lang w:val="en-US"/>
        </w:rPr>
        <w:t xml:space="preserve">- </w:t>
      </w:r>
      <w:r w:rsidR="00B416C4" w:rsidRPr="00B416C4">
        <w:rPr>
          <w:sz w:val="17"/>
          <w:szCs w:val="17"/>
          <w:lang w:val="en-US"/>
        </w:rPr>
        <w:t xml:space="preserve">starting from the financial year beginning on or after 1 January 2026.  </w:t>
      </w:r>
    </w:p>
    <w:p w14:paraId="0497D509" w14:textId="77777777" w:rsidR="00133F65" w:rsidRPr="00F27A7F" w:rsidRDefault="00133F65" w:rsidP="00F27A7F">
      <w:pPr>
        <w:rPr>
          <w:sz w:val="17"/>
          <w:szCs w:val="17"/>
          <w:lang w:val="en-US"/>
        </w:rPr>
      </w:pPr>
    </w:p>
    <w:p w14:paraId="33CEFBC2" w14:textId="04503A95" w:rsidR="00440FEE" w:rsidRPr="007B12B3" w:rsidRDefault="003715C9" w:rsidP="003D0236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7B12B3">
        <w:rPr>
          <w:i/>
          <w:iCs/>
          <w:sz w:val="14"/>
          <w:szCs w:val="14"/>
        </w:rPr>
        <w:t>Insurance Europe is the European insurance and reinsurance federation. Through its 37 member bodies — the national insurance associations — it represents all types and sizes of insurance and reinsurance undertakings. Insurance Europe, which is based in Brussels, represents undertakings that account for around 95% of total European premium income. Insurance makes a major contribution to Europe’s economic growth and development. European insurers pay out over €1 000bn annually — or €2.8bn a day — in claims, directly employ more than 920 000 people and invest over €10.6trn in the economy.</w:t>
      </w:r>
    </w:p>
    <w:sectPr w:rsidR="00440FEE" w:rsidRPr="007B12B3" w:rsidSect="00A97113">
      <w:type w:val="continuous"/>
      <w:pgSz w:w="11907" w:h="16839" w:code="9"/>
      <w:pgMar w:top="2336" w:right="902" w:bottom="1077" w:left="1474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AEF92" w14:textId="77777777" w:rsidR="0036090C" w:rsidRDefault="0036090C">
      <w:pPr>
        <w:spacing w:line="240" w:lineRule="auto"/>
      </w:pPr>
      <w:r>
        <w:separator/>
      </w:r>
    </w:p>
  </w:endnote>
  <w:endnote w:type="continuationSeparator" w:id="0">
    <w:p w14:paraId="3E5AD729" w14:textId="77777777" w:rsidR="0036090C" w:rsidRDefault="0036090C">
      <w:pPr>
        <w:spacing w:line="240" w:lineRule="auto"/>
      </w:pPr>
      <w:r>
        <w:continuationSeparator/>
      </w:r>
    </w:p>
  </w:endnote>
  <w:endnote w:type="continuationNotice" w:id="1">
    <w:p w14:paraId="2FC30AA3" w14:textId="77777777" w:rsidR="0036090C" w:rsidRDefault="003609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A777" w14:textId="77777777" w:rsidR="00741731" w:rsidRDefault="00152882" w:rsidP="00A9711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086F33" w14:textId="77777777" w:rsidR="00741731" w:rsidRDefault="00741731" w:rsidP="00A9711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1342C" w14:textId="77777777" w:rsidR="00741731" w:rsidRPr="007748EE" w:rsidRDefault="00152882" w:rsidP="00A97113">
    <w:pPr>
      <w:pStyle w:val="Pta"/>
      <w:framePr w:wrap="around" w:vAnchor="page" w:hAnchor="margin" w:xAlign="right" w:y="16161"/>
      <w:rPr>
        <w:rStyle w:val="slostrany"/>
        <w:color w:val="002957"/>
        <w:sz w:val="14"/>
        <w:szCs w:val="20"/>
      </w:rPr>
    </w:pPr>
    <w:r w:rsidRPr="007748EE">
      <w:rPr>
        <w:rStyle w:val="slostrany"/>
        <w:color w:val="002957"/>
        <w:sz w:val="14"/>
        <w:szCs w:val="14"/>
      </w:rPr>
      <w:fldChar w:fldCharType="begin"/>
    </w:r>
    <w:r w:rsidRPr="007748EE">
      <w:rPr>
        <w:rStyle w:val="slostrany"/>
        <w:color w:val="002957"/>
        <w:sz w:val="14"/>
        <w:szCs w:val="14"/>
      </w:rPr>
      <w:instrText xml:space="preserve"> PAGE   \* MERGEFORMAT </w:instrText>
    </w:r>
    <w:r w:rsidRPr="007748EE">
      <w:rPr>
        <w:rStyle w:val="slostrany"/>
        <w:color w:val="002957"/>
        <w:sz w:val="14"/>
        <w:szCs w:val="14"/>
      </w:rPr>
      <w:fldChar w:fldCharType="separate"/>
    </w:r>
    <w:r w:rsidR="009F36CD" w:rsidRPr="007748EE">
      <w:rPr>
        <w:rStyle w:val="slostrany"/>
        <w:noProof/>
        <w:color w:val="002957"/>
        <w:sz w:val="14"/>
        <w:szCs w:val="14"/>
      </w:rPr>
      <w:t>2</w:t>
    </w:r>
    <w:r w:rsidRPr="007748EE">
      <w:rPr>
        <w:rStyle w:val="slostrany"/>
        <w:color w:val="002957"/>
        <w:sz w:val="14"/>
        <w:szCs w:val="14"/>
      </w:rPr>
      <w:fldChar w:fldCharType="end"/>
    </w:r>
  </w:p>
  <w:p w14:paraId="179B6722" w14:textId="77777777" w:rsidR="00741731" w:rsidRPr="0085650F" w:rsidRDefault="00741731" w:rsidP="00A97113">
    <w:pPr>
      <w:tabs>
        <w:tab w:val="right" w:pos="10260"/>
      </w:tabs>
      <w:autoSpaceDE w:val="0"/>
      <w:autoSpaceDN w:val="0"/>
      <w:adjustRightInd w:val="0"/>
      <w:ind w:right="360"/>
      <w:textAlignment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253"/>
    </w:tblGrid>
    <w:tr w:rsidR="0012469D" w14:paraId="3BDA0906" w14:textId="77777777" w:rsidTr="007748EE">
      <w:tc>
        <w:tcPr>
          <w:tcW w:w="5387" w:type="dxa"/>
        </w:tcPr>
        <w:p w14:paraId="223AB0CA" w14:textId="77777777" w:rsidR="0012469D" w:rsidRPr="00407039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fr-FR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>Insurance Europe aisbl</w:t>
          </w:r>
        </w:p>
        <w:p w14:paraId="409D0242" w14:textId="77777777" w:rsidR="0012469D" w:rsidRPr="00A4463C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fr-BE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Rue </w:t>
          </w:r>
          <w:r>
            <w:rPr>
              <w:b w:val="0"/>
              <w:color w:val="002957"/>
              <w:sz w:val="14"/>
              <w:szCs w:val="14"/>
              <w:lang w:val="fr-BE"/>
            </w:rPr>
            <w:t>du Champ de Mars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 </w:t>
          </w:r>
          <w:r>
            <w:rPr>
              <w:b w:val="0"/>
              <w:color w:val="002957"/>
              <w:sz w:val="14"/>
              <w:szCs w:val="14"/>
              <w:lang w:val="fr-BE"/>
            </w:rPr>
            <w:t>23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>, B-10</w:t>
          </w:r>
          <w:r>
            <w:rPr>
              <w:b w:val="0"/>
              <w:color w:val="002957"/>
              <w:sz w:val="14"/>
              <w:szCs w:val="14"/>
              <w:lang w:val="fr-BE"/>
            </w:rPr>
            <w:t>5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0 Brussels </w:t>
          </w:r>
        </w:p>
        <w:p w14:paraId="626C85C0" w14:textId="77777777" w:rsid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 w:rsidRPr="0085650F">
            <w:rPr>
              <w:b w:val="0"/>
              <w:color w:val="002957"/>
              <w:sz w:val="14"/>
              <w:szCs w:val="14"/>
              <w:lang w:val="pt-PT"/>
            </w:rPr>
            <w:t>Tel:</w:t>
          </w:r>
          <w:r>
            <w:rPr>
              <w:b w:val="0"/>
              <w:color w:val="002957"/>
              <w:sz w:val="14"/>
              <w:szCs w:val="14"/>
              <w:lang w:val="pt-PT"/>
            </w:rPr>
            <w:t xml:space="preserve"> +32 2 894 30 00</w:t>
          </w:r>
        </w:p>
        <w:p w14:paraId="069F1905" w14:textId="19503539" w:rsidR="0012469D" w:rsidRP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>
            <w:rPr>
              <w:b w:val="0"/>
              <w:color w:val="002957"/>
              <w:sz w:val="14"/>
              <w:szCs w:val="14"/>
              <w:lang w:val="pt-PT"/>
            </w:rPr>
            <w:t xml:space="preserve">E-mail : </w:t>
          </w:r>
          <w:hyperlink r:id="rId1" w:history="1">
            <w:r w:rsidR="007748EE" w:rsidRPr="009F19B1">
              <w:rPr>
                <w:rStyle w:val="Hypertextovprepojenie"/>
                <w:b w:val="0"/>
                <w:sz w:val="14"/>
                <w:szCs w:val="14"/>
                <w:lang w:val="pt-PT"/>
              </w:rPr>
              <w:t>info@insuranceeurope.eu</w:t>
            </w:r>
          </w:hyperlink>
          <w:r w:rsidR="007748EE">
            <w:rPr>
              <w:b w:val="0"/>
              <w:color w:val="002957"/>
              <w:sz w:val="14"/>
              <w:szCs w:val="14"/>
              <w:lang w:val="pt-PT"/>
            </w:rPr>
            <w:br/>
          </w:r>
          <w:r w:rsidR="007748EE" w:rsidRPr="007748EE">
            <w:rPr>
              <w:b w:val="0"/>
              <w:color w:val="82C55B"/>
              <w:sz w:val="14"/>
              <w:szCs w:val="14"/>
              <w:lang w:val="pt-PT"/>
            </w:rPr>
            <w:t>www.insuranceeurope.eu</w:t>
          </w:r>
        </w:p>
      </w:tc>
      <w:tc>
        <w:tcPr>
          <w:tcW w:w="4253" w:type="dxa"/>
        </w:tcPr>
        <w:p w14:paraId="208F7DCE" w14:textId="3A444E5B" w:rsidR="0012469D" w:rsidRPr="002F12C5" w:rsidRDefault="002F12C5" w:rsidP="00BD3110">
          <w:pPr>
            <w:pStyle w:val="CEAFooterauthorinfo"/>
            <w:jc w:val="left"/>
            <w:rPr>
              <w:b w:val="0"/>
              <w:color w:val="002957"/>
              <w:sz w:val="14"/>
              <w:szCs w:val="14"/>
            </w:rPr>
          </w:pPr>
          <w:r w:rsidRPr="002F12C5">
            <w:rPr>
              <w:b w:val="0"/>
              <w:color w:val="002957"/>
              <w:sz w:val="14"/>
              <w:szCs w:val="14"/>
            </w:rPr>
            <w:t>© Insurance Europe. Confidential, internal document. Not for distribution, all rights reserved.</w:t>
          </w:r>
        </w:p>
      </w:tc>
    </w:tr>
  </w:tbl>
  <w:p w14:paraId="61297F9E" w14:textId="77777777" w:rsidR="00741731" w:rsidRPr="00C017F3" w:rsidRDefault="00741731">
    <w:pPr>
      <w:pStyle w:val="Pta"/>
      <w:rPr>
        <w:color w:val="002957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D228B" w14:textId="77777777" w:rsidR="0036090C" w:rsidRDefault="0036090C">
      <w:pPr>
        <w:spacing w:line="240" w:lineRule="auto"/>
      </w:pPr>
      <w:r>
        <w:separator/>
      </w:r>
    </w:p>
  </w:footnote>
  <w:footnote w:type="continuationSeparator" w:id="0">
    <w:p w14:paraId="1195DB0D" w14:textId="77777777" w:rsidR="0036090C" w:rsidRDefault="0036090C">
      <w:pPr>
        <w:spacing w:line="240" w:lineRule="auto"/>
      </w:pPr>
      <w:r>
        <w:continuationSeparator/>
      </w:r>
    </w:p>
  </w:footnote>
  <w:footnote w:type="continuationNotice" w:id="1">
    <w:p w14:paraId="727C9608" w14:textId="77777777" w:rsidR="0036090C" w:rsidRDefault="003609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C5C1F" w14:textId="3961EF7E" w:rsidR="003B5D16" w:rsidRDefault="00B97835">
    <w:pPr>
      <w:pStyle w:val="Hlavika"/>
    </w:pPr>
    <w:r>
      <w:rPr>
        <w:noProof/>
      </w:rPr>
      <w:pict w14:anchorId="43D40F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3620407" o:spid="_x0000_s1027" type="#_x0000_t136" style="position:absolute;left:0;text-align:left;margin-left:0;margin-top:0;width:506.6pt;height:168.8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157A" w14:textId="6A735312" w:rsidR="00741731" w:rsidRPr="00323E1C" w:rsidRDefault="00B97835" w:rsidP="00A97113">
    <w:pPr>
      <w:pStyle w:val="Noparagraphstyle"/>
      <w:jc w:val="right"/>
      <w:rPr>
        <w:rFonts w:ascii="Verdana" w:hAnsi="Verdana"/>
        <w:sz w:val="18"/>
        <w:szCs w:val="18"/>
      </w:rPr>
    </w:pPr>
    <w:r>
      <w:rPr>
        <w:noProof/>
      </w:rPr>
      <w:pict w14:anchorId="19E467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3620408" o:spid="_x0000_s1028" type="#_x0000_t136" style="position:absolute;left:0;text-align:left;margin-left:0;margin-top:0;width:506.6pt;height:168.8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  <w:r w:rsidR="00152882" w:rsidRPr="000D41DA">
      <w:rPr>
        <w:rFonts w:ascii="Frutiger LT Com 45 Light" w:hAnsi="Frutiger LT Com 45 Light"/>
        <w:noProof/>
        <w:lang w:val="nl-BE" w:eastAsia="nl-BE"/>
      </w:rPr>
      <w:drawing>
        <wp:anchor distT="0" distB="0" distL="114300" distR="114300" simplePos="0" relativeHeight="251658241" behindDoc="0" locked="0" layoutInCell="1" allowOverlap="1" wp14:anchorId="3E4E9827" wp14:editId="682FE296">
          <wp:simplePos x="0" y="0"/>
          <wp:positionH relativeFrom="page">
            <wp:posOffset>528955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1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B4D2BF" w14:textId="77777777" w:rsidR="00741731" w:rsidRPr="0085650F" w:rsidRDefault="00152882" w:rsidP="00A97113">
    <w:pPr>
      <w:pStyle w:val="Noparagraphstyle"/>
      <w:jc w:val="right"/>
      <w:rPr>
        <w:rFonts w:ascii="Verdana" w:hAnsi="Verdana" w:cs="Arial"/>
        <w:i/>
        <w:iCs/>
        <w:color w:val="034EA2"/>
      </w:rPr>
    </w:pPr>
    <w:r w:rsidRPr="00323E1C">
      <w:rPr>
        <w:rFonts w:ascii="Verdana" w:hAnsi="Verdana"/>
      </w:rPr>
      <w:tab/>
    </w:r>
  </w:p>
  <w:p w14:paraId="6A05B2BD" w14:textId="77777777" w:rsidR="00741731" w:rsidRPr="00491802" w:rsidRDefault="00741731" w:rsidP="00A97113">
    <w:pPr>
      <w:pStyle w:val="Hlavika"/>
      <w:tabs>
        <w:tab w:val="clear" w:pos="4320"/>
        <w:tab w:val="clear" w:pos="8640"/>
        <w:tab w:val="center" w:pos="0"/>
        <w:tab w:val="right" w:pos="104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E4349" w14:textId="5DAFE4B4" w:rsidR="00741731" w:rsidRPr="00323E1C" w:rsidRDefault="00B97835" w:rsidP="00A97113">
    <w:pPr>
      <w:pStyle w:val="Noparagraphstyle"/>
      <w:jc w:val="right"/>
      <w:rPr>
        <w:rFonts w:ascii="Verdana" w:hAnsi="Verdana"/>
        <w:sz w:val="18"/>
        <w:szCs w:val="18"/>
      </w:rPr>
    </w:pPr>
    <w:r>
      <w:rPr>
        <w:noProof/>
      </w:rPr>
      <w:pict w14:anchorId="44122C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3620406" o:spid="_x0000_s1026" type="#_x0000_t136" style="position:absolute;left:0;text-align:left;margin-left:0;margin-top:0;width:506.6pt;height:168.8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  <w:r w:rsidR="00152882" w:rsidRPr="000D41DA">
      <w:rPr>
        <w:rFonts w:ascii="Frutiger LT Com 45 Light" w:hAnsi="Frutiger LT Com 45 Light"/>
        <w:noProof/>
        <w:sz w:val="18"/>
        <w:szCs w:val="18"/>
        <w:lang w:val="nl-BE" w:eastAsia="nl-BE"/>
      </w:rPr>
      <w:drawing>
        <wp:anchor distT="0" distB="0" distL="114300" distR="114300" simplePos="0" relativeHeight="251658240" behindDoc="0" locked="0" layoutInCell="1" allowOverlap="1" wp14:anchorId="10148D34" wp14:editId="7F79CF44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3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081F8F" w14:textId="77777777" w:rsidR="00741731" w:rsidRDefault="00741731">
    <w:pPr>
      <w:pStyle w:val="Hlavika"/>
    </w:pPr>
  </w:p>
  <w:p w14:paraId="4CAF9B32" w14:textId="77777777" w:rsidR="00741731" w:rsidRDefault="00741731">
    <w:pPr>
      <w:pStyle w:val="Hlavika"/>
    </w:pPr>
  </w:p>
  <w:p w14:paraId="07E1BCBC" w14:textId="77777777" w:rsidR="00741731" w:rsidRDefault="00741731">
    <w:pPr>
      <w:pStyle w:val="Hlavika"/>
    </w:pPr>
  </w:p>
  <w:p w14:paraId="28CF5DF4" w14:textId="6A7F323D" w:rsidR="0017261F" w:rsidRDefault="00152882" w:rsidP="0017261F">
    <w:pPr>
      <w:jc w:val="right"/>
      <w:rPr>
        <w:b/>
        <w:i/>
        <w:color w:val="002957"/>
        <w:sz w:val="32"/>
        <w:szCs w:val="32"/>
      </w:rPr>
    </w:pPr>
    <w:r>
      <w:tab/>
    </w:r>
    <w: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85650F">
      <w:rPr>
        <w:rFonts w:cs="Arial"/>
        <w:b/>
        <w:sz w:val="40"/>
        <w:szCs w:val="40"/>
      </w:rPr>
      <w:tab/>
    </w:r>
    <w:bookmarkStart w:id="0" w:name="Draft1st"/>
    <w:bookmarkEnd w:id="0"/>
  </w:p>
  <w:p w14:paraId="3654217F" w14:textId="77777777" w:rsidR="00741731" w:rsidRPr="00D74967" w:rsidRDefault="00741731" w:rsidP="00A97113">
    <w:pPr>
      <w:pStyle w:val="CEADraft"/>
      <w:rPr>
        <w:color w:val="002957"/>
        <w:lang w:val="en-US"/>
      </w:rPr>
    </w:pPr>
  </w:p>
  <w:bookmarkStart w:id="1" w:name="Document_title_"/>
  <w:p w14:paraId="15B481B1" w14:textId="116C6819" w:rsidR="00741731" w:rsidRPr="00D74967" w:rsidRDefault="00B97835" w:rsidP="00240F50">
    <w:pPr>
      <w:pStyle w:val="CEAPositionPaperTitle"/>
      <w:ind w:left="0"/>
      <w:rPr>
        <w:b w:val="0"/>
        <w:color w:val="002957"/>
        <w:sz w:val="28"/>
        <w:szCs w:val="28"/>
        <w:lang w:val="en-US"/>
      </w:rPr>
    </w:pPr>
    <w:sdt>
      <w:sdtPr>
        <w:rPr>
          <w:b w:val="0"/>
          <w:color w:val="002957"/>
          <w:sz w:val="28"/>
          <w:szCs w:val="28"/>
          <w:lang w:val="en-US"/>
        </w:rPr>
        <w:id w:val="-1374918777"/>
        <w:placeholder>
          <w:docPart w:val="DefaultPlaceholder_-18540134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C45E2">
          <w:rPr>
            <w:b w:val="0"/>
            <w:color w:val="002957"/>
            <w:sz w:val="28"/>
            <w:szCs w:val="28"/>
            <w:lang w:val="en-US"/>
          </w:rPr>
          <w:t>Insurance Europe Key Messages on the CSRD-ESRS Framework</w:t>
        </w:r>
      </w:sdtContent>
    </w:sdt>
    <w:bookmarkEnd w:id="1"/>
  </w:p>
  <w:p w14:paraId="59DEEA8E" w14:textId="77777777" w:rsidR="00741731" w:rsidRPr="00D74967" w:rsidRDefault="00152882" w:rsidP="00A97113">
    <w:pPr>
      <w:rPr>
        <w:lang w:val="en-US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F115990" wp14:editId="0217617C">
              <wp:simplePos x="0" y="0"/>
              <wp:positionH relativeFrom="margin">
                <wp:align>left</wp:align>
              </wp:positionH>
              <wp:positionV relativeFrom="paragraph">
                <wp:posOffset>88265</wp:posOffset>
              </wp:positionV>
              <wp:extent cx="6124575" cy="1743075"/>
              <wp:effectExtent l="0" t="0" r="28575" b="2857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4575" cy="17430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6350">
                        <a:solidFill>
                          <a:srgbClr val="82C5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A920530" id="AutoShape 18" o:spid="_x0000_s1026" style="position:absolute;margin-left:0;margin-top:6.95pt;width:482.25pt;height:137.25pt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" filled="f" strokecolor="#82c55b" strokeweight=".5pt">
              <w10:wrap anchorx="margin"/>
              <w10:anchorlock/>
            </v:roundrect>
          </w:pict>
        </mc:Fallback>
      </mc:AlternateContent>
    </w:r>
  </w:p>
  <w:tbl>
    <w:tblPr>
      <w:tblW w:w="9639" w:type="dxa"/>
      <w:tblBorders>
        <w:insideH w:val="single" w:sz="4" w:space="0" w:color="82C55B"/>
      </w:tblBorders>
      <w:tblLayout w:type="fixed"/>
      <w:tblLook w:val="0000" w:firstRow="0" w:lastRow="0" w:firstColumn="0" w:lastColumn="0" w:noHBand="0" w:noVBand="0"/>
    </w:tblPr>
    <w:tblGrid>
      <w:gridCol w:w="1536"/>
      <w:gridCol w:w="3557"/>
      <w:gridCol w:w="1570"/>
      <w:gridCol w:w="2976"/>
    </w:tblGrid>
    <w:tr w:rsidR="00A97113" w:rsidRPr="000D41DA" w14:paraId="4B45CDA3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57D93854" w14:textId="77777777" w:rsidR="00741731" w:rsidRPr="0085650F" w:rsidRDefault="00152882" w:rsidP="00A97113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Our reference: </w:t>
          </w:r>
        </w:p>
      </w:tc>
      <w:tc>
        <w:tcPr>
          <w:tcW w:w="3557" w:type="dxa"/>
          <w:shd w:val="clear" w:color="auto" w:fill="auto"/>
          <w:vAlign w:val="center"/>
        </w:tcPr>
        <w:sdt>
          <w:sdtPr>
            <w:rPr>
              <w:color w:val="002957"/>
              <w:sz w:val="17"/>
              <w:szCs w:val="17"/>
            </w:rPr>
            <w:id w:val="-2128765903"/>
            <w:placeholder>
              <w:docPart w:val="DefaultPlaceholder_-1854013440"/>
            </w:placeholder>
            <w15:dataBinding w:prefixMappings="xmlns:ns0='http://schemas.microsoft.com/office/2006/metadata/properties' xmlns:ns1='http://www.w3.org/2001/XMLSchema-instance' xmlns:ns2='http://schemas.microsoft.com/office/infopath/2007/PartnerControls' xmlns:ns3='ba225275-dfdd-4507-9cb6-b247f9a8bd33' xmlns:ns4='bf2322bd-6ea8-47f2-a340-10b5092f2000' " w:xpath="/ns0:properties[1]/documentManagement[1]/*[local-name() = 'Reference'][1]" w:storeItemID="{B35485A1-11AA-442D-8577-727460E39C5A}"/>
          </w:sdtPr>
          <w:sdtEndPr/>
          <w:sdtContent>
            <w:p w14:paraId="4352DA30" w14:textId="088A848A" w:rsidR="00741731" w:rsidRPr="00585988" w:rsidRDefault="007B12B3" w:rsidP="00CB44EE">
              <w:pPr>
                <w:jc w:val="left"/>
                <w:rPr>
                  <w:color w:val="002957"/>
                  <w:sz w:val="17"/>
                  <w:szCs w:val="17"/>
                </w:rPr>
              </w:pPr>
              <w:r>
                <w:rPr>
                  <w:color w:val="002957"/>
                  <w:sz w:val="17"/>
                  <w:szCs w:val="17"/>
                </w:rPr>
                <w:t>ECO-CRISF-24-162</w:t>
              </w:r>
            </w:p>
          </w:sdtContent>
        </w:sdt>
      </w:tc>
      <w:tc>
        <w:tcPr>
          <w:tcW w:w="1570" w:type="dxa"/>
          <w:shd w:val="clear" w:color="auto" w:fill="auto"/>
          <w:vAlign w:val="center"/>
        </w:tcPr>
        <w:p w14:paraId="5C893DF3" w14:textId="77777777" w:rsidR="00741731" w:rsidRPr="0085650F" w:rsidRDefault="00152882" w:rsidP="00A97113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Date:</w:t>
          </w:r>
        </w:p>
      </w:tc>
      <w:tc>
        <w:tcPr>
          <w:tcW w:w="2976" w:type="dxa"/>
          <w:shd w:val="clear" w:color="auto" w:fill="auto"/>
          <w:vAlign w:val="center"/>
        </w:tcPr>
        <w:p w14:paraId="181A7D4E" w14:textId="6E2E287B" w:rsidR="00741731" w:rsidRPr="00585988" w:rsidRDefault="00056422" w:rsidP="00A97113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1</w:t>
          </w:r>
          <w:r w:rsidR="004A470D">
            <w:rPr>
              <w:color w:val="002957"/>
              <w:sz w:val="17"/>
              <w:szCs w:val="17"/>
            </w:rPr>
            <w:t>8</w:t>
          </w:r>
          <w:r w:rsidR="00E704D0">
            <w:rPr>
              <w:color w:val="002957"/>
              <w:sz w:val="17"/>
              <w:szCs w:val="17"/>
            </w:rPr>
            <w:t>-</w:t>
          </w:r>
          <w:r w:rsidR="00DC402B">
            <w:rPr>
              <w:color w:val="002957"/>
              <w:sz w:val="17"/>
              <w:szCs w:val="17"/>
            </w:rPr>
            <w:t>1</w:t>
          </w:r>
          <w:r w:rsidR="00E704D0">
            <w:rPr>
              <w:color w:val="002957"/>
              <w:sz w:val="17"/>
              <w:szCs w:val="17"/>
            </w:rPr>
            <w:t>0-2024</w:t>
          </w:r>
        </w:p>
      </w:tc>
    </w:tr>
    <w:tr w:rsidR="00A97113" w:rsidRPr="000D41DA" w14:paraId="71283189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FEEB7D0" w14:textId="77777777" w:rsidR="00741731" w:rsidRPr="0085650F" w:rsidRDefault="00152882" w:rsidP="00A97113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Referring to:</w:t>
          </w:r>
        </w:p>
      </w:tc>
      <w:tc>
        <w:tcPr>
          <w:tcW w:w="3557" w:type="dxa"/>
          <w:shd w:val="clear" w:color="auto" w:fill="auto"/>
          <w:vAlign w:val="center"/>
        </w:tcPr>
        <w:p w14:paraId="140E78FD" w14:textId="0E7E2047" w:rsidR="00741731" w:rsidRPr="00741731" w:rsidRDefault="00741731" w:rsidP="00741731">
          <w:pPr>
            <w:rPr>
              <w:sz w:val="17"/>
              <w:szCs w:val="17"/>
            </w:rPr>
          </w:pPr>
          <w:hyperlink r:id="rId2" w:history="1">
            <w:r>
              <w:rPr>
                <w:rStyle w:val="Hypertextovprepojenie"/>
                <w:sz w:val="17"/>
                <w:szCs w:val="17"/>
              </w:rPr>
              <w:t>Corporate Sustainability Reporting</w:t>
            </w:r>
          </w:hyperlink>
          <w:r>
            <w:rPr>
              <w:sz w:val="17"/>
              <w:szCs w:val="17"/>
            </w:rPr>
            <w:t xml:space="preserve"> </w:t>
          </w:r>
        </w:p>
      </w:tc>
      <w:tc>
        <w:tcPr>
          <w:tcW w:w="1570" w:type="dxa"/>
          <w:shd w:val="clear" w:color="auto" w:fill="auto"/>
          <w:vAlign w:val="center"/>
        </w:tcPr>
        <w:p w14:paraId="0A442DE6" w14:textId="77777777" w:rsidR="00741731" w:rsidRPr="00585988" w:rsidRDefault="00741731" w:rsidP="00A97113">
          <w:pPr>
            <w:rPr>
              <w:color w:val="002957"/>
              <w:sz w:val="17"/>
              <w:szCs w:val="17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74A17591" w14:textId="0AA37B00" w:rsidR="00741731" w:rsidRPr="00585988" w:rsidRDefault="00741731" w:rsidP="00A97113">
          <w:pPr>
            <w:jc w:val="left"/>
            <w:rPr>
              <w:color w:val="002957"/>
              <w:sz w:val="17"/>
              <w:szCs w:val="17"/>
            </w:rPr>
          </w:pPr>
        </w:p>
      </w:tc>
    </w:tr>
    <w:tr w:rsidR="00A97113" w:rsidRPr="000D41DA" w14:paraId="07D47AE0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A965280" w14:textId="77777777" w:rsidR="00741731" w:rsidRPr="0085650F" w:rsidRDefault="00152882" w:rsidP="00A97113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Contact person:</w:t>
          </w:r>
        </w:p>
      </w:tc>
      <w:tc>
        <w:tcPr>
          <w:tcW w:w="3557" w:type="dxa"/>
          <w:shd w:val="clear" w:color="auto" w:fill="auto"/>
          <w:vAlign w:val="center"/>
        </w:tcPr>
        <w:p w14:paraId="03E7DCB9" w14:textId="79C241D3" w:rsidR="00741731" w:rsidRPr="00585988" w:rsidRDefault="00E704D0" w:rsidP="00A97113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Luca Motta</w:t>
          </w:r>
          <w:r w:rsidR="00DE0A2F" w:rsidRPr="00DE0A2F">
            <w:rPr>
              <w:color w:val="002957"/>
              <w:sz w:val="17"/>
              <w:szCs w:val="17"/>
            </w:rPr>
            <w:t xml:space="preserve"> </w:t>
          </w:r>
        </w:p>
      </w:tc>
      <w:tc>
        <w:tcPr>
          <w:tcW w:w="1570" w:type="dxa"/>
          <w:shd w:val="clear" w:color="auto" w:fill="auto"/>
          <w:vAlign w:val="center"/>
        </w:tcPr>
        <w:p w14:paraId="710B5A54" w14:textId="77777777" w:rsidR="00741731" w:rsidRPr="0085650F" w:rsidRDefault="00152882" w:rsidP="00A97113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E-mail:</w:t>
          </w:r>
        </w:p>
      </w:tc>
      <w:tc>
        <w:tcPr>
          <w:tcW w:w="2976" w:type="dxa"/>
          <w:shd w:val="clear" w:color="auto" w:fill="auto"/>
          <w:vAlign w:val="center"/>
        </w:tcPr>
        <w:p w14:paraId="5B954066" w14:textId="18616ADC" w:rsidR="00741731" w:rsidRPr="00585988" w:rsidRDefault="00E704D0" w:rsidP="00A97113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motta@insuranceeurope.eu</w:t>
          </w:r>
        </w:p>
      </w:tc>
    </w:tr>
    <w:tr w:rsidR="00A97113" w:rsidRPr="000D41DA" w14:paraId="605BBAF5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7D7A937A" w14:textId="77777777" w:rsidR="00741731" w:rsidRPr="0085650F" w:rsidRDefault="00152882" w:rsidP="00A97113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Pages: </w:t>
          </w:r>
        </w:p>
      </w:tc>
      <w:tc>
        <w:tcPr>
          <w:tcW w:w="3557" w:type="dxa"/>
          <w:shd w:val="clear" w:color="auto" w:fill="auto"/>
          <w:vAlign w:val="center"/>
        </w:tcPr>
        <w:p w14:paraId="6278A0AF" w14:textId="77777777" w:rsidR="00741731" w:rsidRPr="00585988" w:rsidRDefault="00152882" w:rsidP="00A97113">
          <w:pPr>
            <w:rPr>
              <w:color w:val="002957"/>
              <w:spacing w:val="-4"/>
              <w:w w:val="90"/>
              <w:sz w:val="17"/>
              <w:szCs w:val="17"/>
            </w:rPr>
          </w:pPr>
          <w:r w:rsidRPr="00585988">
            <w:rPr>
              <w:rStyle w:val="slostrany"/>
              <w:color w:val="002957"/>
              <w:sz w:val="17"/>
              <w:szCs w:val="17"/>
            </w:rPr>
            <w:fldChar w:fldCharType="begin"/>
          </w:r>
          <w:r w:rsidRPr="00585988">
            <w:rPr>
              <w:rStyle w:val="slostrany"/>
              <w:color w:val="002957"/>
              <w:sz w:val="17"/>
              <w:szCs w:val="17"/>
            </w:rPr>
            <w:instrText xml:space="preserve"> NUMPAGES </w:instrTex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separate"/>
          </w:r>
          <w:r w:rsidR="009F36CD">
            <w:rPr>
              <w:rStyle w:val="slostrany"/>
              <w:noProof/>
              <w:color w:val="002957"/>
              <w:sz w:val="17"/>
              <w:szCs w:val="17"/>
            </w:rPr>
            <w:t>2</w: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end"/>
          </w:r>
        </w:p>
      </w:tc>
      <w:tc>
        <w:tcPr>
          <w:tcW w:w="1570" w:type="dxa"/>
          <w:shd w:val="clear" w:color="auto" w:fill="auto"/>
          <w:vAlign w:val="center"/>
        </w:tcPr>
        <w:p w14:paraId="48B95308" w14:textId="77777777" w:rsidR="00741731" w:rsidRPr="00585988" w:rsidRDefault="00974483" w:rsidP="00A97113">
          <w:pPr>
            <w:ind w:right="-117"/>
            <w:rPr>
              <w:b/>
              <w:color w:val="002957"/>
              <w:sz w:val="17"/>
              <w:szCs w:val="17"/>
            </w:rPr>
          </w:pPr>
          <w:r>
            <w:rPr>
              <w:rFonts w:cs="Arial"/>
              <w:color w:val="002957"/>
              <w:sz w:val="17"/>
              <w:szCs w:val="17"/>
            </w:rPr>
            <w:t xml:space="preserve">Transparency Register </w:t>
          </w:r>
          <w:r w:rsidR="00152882" w:rsidRPr="00585988">
            <w:rPr>
              <w:rFonts w:cs="Arial"/>
              <w:color w:val="002957"/>
              <w:sz w:val="17"/>
              <w:szCs w:val="17"/>
            </w:rPr>
            <w:t>ID no.:</w:t>
          </w:r>
        </w:p>
      </w:tc>
      <w:tc>
        <w:tcPr>
          <w:tcW w:w="2976" w:type="dxa"/>
          <w:shd w:val="clear" w:color="auto" w:fill="auto"/>
          <w:vAlign w:val="center"/>
        </w:tcPr>
        <w:p w14:paraId="08B3449C" w14:textId="77777777" w:rsidR="00741731" w:rsidRPr="00585988" w:rsidRDefault="00152882" w:rsidP="00A97113">
          <w:pPr>
            <w:rPr>
              <w:color w:val="002957"/>
              <w:sz w:val="17"/>
              <w:szCs w:val="17"/>
            </w:rPr>
          </w:pPr>
          <w:r w:rsidRPr="00585988">
            <w:rPr>
              <w:rFonts w:cs="Tahoma"/>
              <w:color w:val="002957"/>
              <w:sz w:val="17"/>
              <w:szCs w:val="17"/>
            </w:rPr>
            <w:t>33213703459-54</w:t>
          </w:r>
        </w:p>
      </w:tc>
    </w:tr>
  </w:tbl>
  <w:p w14:paraId="0299F3F5" w14:textId="77777777" w:rsidR="00741731" w:rsidRPr="000D41DA" w:rsidRDefault="00741731" w:rsidP="00A97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F15D5"/>
    <w:multiLevelType w:val="hybridMultilevel"/>
    <w:tmpl w:val="70C000E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3" w15:restartNumberingAfterBreak="0">
    <w:nsid w:val="4C1D3847"/>
    <w:multiLevelType w:val="hybridMultilevel"/>
    <w:tmpl w:val="06B2529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F2CC3"/>
    <w:multiLevelType w:val="hybridMultilevel"/>
    <w:tmpl w:val="EAA0BF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98488">
    <w:abstractNumId w:val="5"/>
  </w:num>
  <w:num w:numId="2" w16cid:durableId="1261373153">
    <w:abstractNumId w:val="1"/>
  </w:num>
  <w:num w:numId="3" w16cid:durableId="1363281196">
    <w:abstractNumId w:val="2"/>
  </w:num>
  <w:num w:numId="4" w16cid:durableId="209197646">
    <w:abstractNumId w:val="4"/>
  </w:num>
  <w:num w:numId="5" w16cid:durableId="1056321428">
    <w:abstractNumId w:val="0"/>
  </w:num>
  <w:num w:numId="6" w16cid:durableId="1664353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2"/>
    <w:rsid w:val="00002FC2"/>
    <w:rsid w:val="0000438D"/>
    <w:rsid w:val="00004C4B"/>
    <w:rsid w:val="00010CB9"/>
    <w:rsid w:val="00015052"/>
    <w:rsid w:val="00016E97"/>
    <w:rsid w:val="00017E2D"/>
    <w:rsid w:val="00020124"/>
    <w:rsid w:val="00022E1B"/>
    <w:rsid w:val="00022F8B"/>
    <w:rsid w:val="000251A2"/>
    <w:rsid w:val="000316FF"/>
    <w:rsid w:val="00031EE6"/>
    <w:rsid w:val="00041281"/>
    <w:rsid w:val="000429E3"/>
    <w:rsid w:val="00045BF2"/>
    <w:rsid w:val="00047A65"/>
    <w:rsid w:val="00051E80"/>
    <w:rsid w:val="00054491"/>
    <w:rsid w:val="000563E8"/>
    <w:rsid w:val="00056422"/>
    <w:rsid w:val="00061079"/>
    <w:rsid w:val="000611E3"/>
    <w:rsid w:val="000639DB"/>
    <w:rsid w:val="0006670B"/>
    <w:rsid w:val="000669D5"/>
    <w:rsid w:val="00067D0A"/>
    <w:rsid w:val="00067D19"/>
    <w:rsid w:val="00071381"/>
    <w:rsid w:val="000751C3"/>
    <w:rsid w:val="00075F4C"/>
    <w:rsid w:val="00076745"/>
    <w:rsid w:val="00076D6C"/>
    <w:rsid w:val="0008034A"/>
    <w:rsid w:val="00083AE6"/>
    <w:rsid w:val="00084AF1"/>
    <w:rsid w:val="00084B43"/>
    <w:rsid w:val="00084B4A"/>
    <w:rsid w:val="00090BB2"/>
    <w:rsid w:val="000A0335"/>
    <w:rsid w:val="000A0359"/>
    <w:rsid w:val="000A08A2"/>
    <w:rsid w:val="000A09EB"/>
    <w:rsid w:val="000A0DE7"/>
    <w:rsid w:val="000A2BD9"/>
    <w:rsid w:val="000A6506"/>
    <w:rsid w:val="000A7593"/>
    <w:rsid w:val="000B0605"/>
    <w:rsid w:val="000B4992"/>
    <w:rsid w:val="000B66E7"/>
    <w:rsid w:val="000B73F9"/>
    <w:rsid w:val="000C1DEC"/>
    <w:rsid w:val="000C7E3C"/>
    <w:rsid w:val="000D1F01"/>
    <w:rsid w:val="000D3A9E"/>
    <w:rsid w:val="000D5484"/>
    <w:rsid w:val="000D58F0"/>
    <w:rsid w:val="000D5F89"/>
    <w:rsid w:val="000E062B"/>
    <w:rsid w:val="000E2097"/>
    <w:rsid w:val="000E4811"/>
    <w:rsid w:val="000F0F69"/>
    <w:rsid w:val="000F2096"/>
    <w:rsid w:val="000F21C5"/>
    <w:rsid w:val="000F28B6"/>
    <w:rsid w:val="000F55AC"/>
    <w:rsid w:val="00100FF7"/>
    <w:rsid w:val="0010287C"/>
    <w:rsid w:val="00102C2B"/>
    <w:rsid w:val="001036EB"/>
    <w:rsid w:val="001057AE"/>
    <w:rsid w:val="0011312B"/>
    <w:rsid w:val="0012279C"/>
    <w:rsid w:val="0012469D"/>
    <w:rsid w:val="0013034A"/>
    <w:rsid w:val="00132C17"/>
    <w:rsid w:val="00133F65"/>
    <w:rsid w:val="001350EA"/>
    <w:rsid w:val="00136836"/>
    <w:rsid w:val="00152882"/>
    <w:rsid w:val="001567E4"/>
    <w:rsid w:val="001571D8"/>
    <w:rsid w:val="00157EA1"/>
    <w:rsid w:val="00164208"/>
    <w:rsid w:val="00167034"/>
    <w:rsid w:val="00170360"/>
    <w:rsid w:val="00170BDA"/>
    <w:rsid w:val="0017261F"/>
    <w:rsid w:val="00173E7C"/>
    <w:rsid w:val="00176DA6"/>
    <w:rsid w:val="00184179"/>
    <w:rsid w:val="00190021"/>
    <w:rsid w:val="00190953"/>
    <w:rsid w:val="00191E8D"/>
    <w:rsid w:val="001922B7"/>
    <w:rsid w:val="00195D28"/>
    <w:rsid w:val="0019711A"/>
    <w:rsid w:val="001A049B"/>
    <w:rsid w:val="001A5721"/>
    <w:rsid w:val="001A5DC0"/>
    <w:rsid w:val="001A735B"/>
    <w:rsid w:val="001B2799"/>
    <w:rsid w:val="001B4AB3"/>
    <w:rsid w:val="001B52CF"/>
    <w:rsid w:val="001B558C"/>
    <w:rsid w:val="001B5C68"/>
    <w:rsid w:val="001B7ADB"/>
    <w:rsid w:val="001C1B54"/>
    <w:rsid w:val="001C45E2"/>
    <w:rsid w:val="001C59E7"/>
    <w:rsid w:val="001E1C26"/>
    <w:rsid w:val="001E1E4E"/>
    <w:rsid w:val="001E2ED4"/>
    <w:rsid w:val="001E5A7D"/>
    <w:rsid w:val="001F0FE3"/>
    <w:rsid w:val="001F19BE"/>
    <w:rsid w:val="001F2CB4"/>
    <w:rsid w:val="001F3731"/>
    <w:rsid w:val="001F70C8"/>
    <w:rsid w:val="00200F58"/>
    <w:rsid w:val="0020113C"/>
    <w:rsid w:val="00204203"/>
    <w:rsid w:val="00204967"/>
    <w:rsid w:val="00204BDF"/>
    <w:rsid w:val="00205636"/>
    <w:rsid w:val="00211378"/>
    <w:rsid w:val="00211D0F"/>
    <w:rsid w:val="00212187"/>
    <w:rsid w:val="002151B1"/>
    <w:rsid w:val="00215512"/>
    <w:rsid w:val="00221BAB"/>
    <w:rsid w:val="00222E31"/>
    <w:rsid w:val="00223E26"/>
    <w:rsid w:val="00224FDB"/>
    <w:rsid w:val="00230451"/>
    <w:rsid w:val="0023155D"/>
    <w:rsid w:val="0023422B"/>
    <w:rsid w:val="002373C6"/>
    <w:rsid w:val="00240F50"/>
    <w:rsid w:val="00241E0D"/>
    <w:rsid w:val="00242065"/>
    <w:rsid w:val="0024328F"/>
    <w:rsid w:val="002432DF"/>
    <w:rsid w:val="00243D70"/>
    <w:rsid w:val="0024555A"/>
    <w:rsid w:val="00253F32"/>
    <w:rsid w:val="002540C0"/>
    <w:rsid w:val="00256F1E"/>
    <w:rsid w:val="00257631"/>
    <w:rsid w:val="00260633"/>
    <w:rsid w:val="00261545"/>
    <w:rsid w:val="002638CC"/>
    <w:rsid w:val="00265C49"/>
    <w:rsid w:val="00266379"/>
    <w:rsid w:val="00270F2C"/>
    <w:rsid w:val="0027254E"/>
    <w:rsid w:val="00273197"/>
    <w:rsid w:val="002819C6"/>
    <w:rsid w:val="002833D5"/>
    <w:rsid w:val="00283AAF"/>
    <w:rsid w:val="00292BD5"/>
    <w:rsid w:val="002973EC"/>
    <w:rsid w:val="002A0A73"/>
    <w:rsid w:val="002A1A4A"/>
    <w:rsid w:val="002A295B"/>
    <w:rsid w:val="002A2BCC"/>
    <w:rsid w:val="002A4385"/>
    <w:rsid w:val="002A51B9"/>
    <w:rsid w:val="002A5391"/>
    <w:rsid w:val="002A5EE6"/>
    <w:rsid w:val="002A7140"/>
    <w:rsid w:val="002B03B9"/>
    <w:rsid w:val="002B16C9"/>
    <w:rsid w:val="002B34E1"/>
    <w:rsid w:val="002B60E1"/>
    <w:rsid w:val="002B6654"/>
    <w:rsid w:val="002C2123"/>
    <w:rsid w:val="002C2681"/>
    <w:rsid w:val="002C35A2"/>
    <w:rsid w:val="002C3CC5"/>
    <w:rsid w:val="002C5F19"/>
    <w:rsid w:val="002D27A6"/>
    <w:rsid w:val="002E0812"/>
    <w:rsid w:val="002F06A4"/>
    <w:rsid w:val="002F12C5"/>
    <w:rsid w:val="002F28F1"/>
    <w:rsid w:val="0030249D"/>
    <w:rsid w:val="003026C0"/>
    <w:rsid w:val="00302C32"/>
    <w:rsid w:val="003048C0"/>
    <w:rsid w:val="00304ADB"/>
    <w:rsid w:val="00306B40"/>
    <w:rsid w:val="00311256"/>
    <w:rsid w:val="00311A2E"/>
    <w:rsid w:val="0031268D"/>
    <w:rsid w:val="00313F5F"/>
    <w:rsid w:val="00314458"/>
    <w:rsid w:val="0032055A"/>
    <w:rsid w:val="00320B8B"/>
    <w:rsid w:val="00320D63"/>
    <w:rsid w:val="003211BE"/>
    <w:rsid w:val="003244B5"/>
    <w:rsid w:val="003276AD"/>
    <w:rsid w:val="003302C6"/>
    <w:rsid w:val="00331BB2"/>
    <w:rsid w:val="00341D05"/>
    <w:rsid w:val="00344A92"/>
    <w:rsid w:val="00346792"/>
    <w:rsid w:val="00347998"/>
    <w:rsid w:val="00350C30"/>
    <w:rsid w:val="00353701"/>
    <w:rsid w:val="00356201"/>
    <w:rsid w:val="00360372"/>
    <w:rsid w:val="0036090C"/>
    <w:rsid w:val="00361653"/>
    <w:rsid w:val="003715C9"/>
    <w:rsid w:val="00371E36"/>
    <w:rsid w:val="003725B3"/>
    <w:rsid w:val="00373A30"/>
    <w:rsid w:val="00374385"/>
    <w:rsid w:val="00380209"/>
    <w:rsid w:val="003819F2"/>
    <w:rsid w:val="00382F7E"/>
    <w:rsid w:val="003838B6"/>
    <w:rsid w:val="00390935"/>
    <w:rsid w:val="003925A8"/>
    <w:rsid w:val="003939C2"/>
    <w:rsid w:val="00394057"/>
    <w:rsid w:val="00395E19"/>
    <w:rsid w:val="00397A6F"/>
    <w:rsid w:val="003A097D"/>
    <w:rsid w:val="003A518F"/>
    <w:rsid w:val="003A7F95"/>
    <w:rsid w:val="003B03A7"/>
    <w:rsid w:val="003B18BD"/>
    <w:rsid w:val="003B4086"/>
    <w:rsid w:val="003B5A11"/>
    <w:rsid w:val="003B5A6C"/>
    <w:rsid w:val="003B5D16"/>
    <w:rsid w:val="003B6BA7"/>
    <w:rsid w:val="003B7F8C"/>
    <w:rsid w:val="003C132F"/>
    <w:rsid w:val="003C29A1"/>
    <w:rsid w:val="003C305B"/>
    <w:rsid w:val="003C6238"/>
    <w:rsid w:val="003C71D3"/>
    <w:rsid w:val="003D0236"/>
    <w:rsid w:val="003D0CD1"/>
    <w:rsid w:val="003D2C75"/>
    <w:rsid w:val="003E2734"/>
    <w:rsid w:val="003E3091"/>
    <w:rsid w:val="003F0038"/>
    <w:rsid w:val="003F0402"/>
    <w:rsid w:val="003F04B0"/>
    <w:rsid w:val="003F0E9E"/>
    <w:rsid w:val="003F1A2A"/>
    <w:rsid w:val="003F3C0F"/>
    <w:rsid w:val="003F6A8F"/>
    <w:rsid w:val="003F78B1"/>
    <w:rsid w:val="00400765"/>
    <w:rsid w:val="00404E84"/>
    <w:rsid w:val="00407039"/>
    <w:rsid w:val="0040708C"/>
    <w:rsid w:val="0040715A"/>
    <w:rsid w:val="004075CB"/>
    <w:rsid w:val="00407B3E"/>
    <w:rsid w:val="00411035"/>
    <w:rsid w:val="004110C6"/>
    <w:rsid w:val="0041371E"/>
    <w:rsid w:val="00417FDF"/>
    <w:rsid w:val="0042051E"/>
    <w:rsid w:val="00421F36"/>
    <w:rsid w:val="00422A2B"/>
    <w:rsid w:val="00423423"/>
    <w:rsid w:val="00430892"/>
    <w:rsid w:val="00430F70"/>
    <w:rsid w:val="004336B8"/>
    <w:rsid w:val="00440B55"/>
    <w:rsid w:val="00440FEE"/>
    <w:rsid w:val="00445A27"/>
    <w:rsid w:val="00445CA5"/>
    <w:rsid w:val="00450AB0"/>
    <w:rsid w:val="00450B59"/>
    <w:rsid w:val="00451229"/>
    <w:rsid w:val="00457F1D"/>
    <w:rsid w:val="0045C35E"/>
    <w:rsid w:val="00461143"/>
    <w:rsid w:val="00463EEF"/>
    <w:rsid w:val="004664C4"/>
    <w:rsid w:val="00466F30"/>
    <w:rsid w:val="004675A3"/>
    <w:rsid w:val="00471DE7"/>
    <w:rsid w:val="0047260D"/>
    <w:rsid w:val="004729B6"/>
    <w:rsid w:val="00472C4F"/>
    <w:rsid w:val="00472CDC"/>
    <w:rsid w:val="004776B9"/>
    <w:rsid w:val="0048093E"/>
    <w:rsid w:val="00482C4A"/>
    <w:rsid w:val="00485F21"/>
    <w:rsid w:val="00485F89"/>
    <w:rsid w:val="0049245C"/>
    <w:rsid w:val="00495AC5"/>
    <w:rsid w:val="004A111E"/>
    <w:rsid w:val="004A11A3"/>
    <w:rsid w:val="004A470D"/>
    <w:rsid w:val="004B3DF9"/>
    <w:rsid w:val="004C2C8A"/>
    <w:rsid w:val="004C3B67"/>
    <w:rsid w:val="004C4506"/>
    <w:rsid w:val="004C64FC"/>
    <w:rsid w:val="004C660E"/>
    <w:rsid w:val="004D03FF"/>
    <w:rsid w:val="004D1652"/>
    <w:rsid w:val="004D21A3"/>
    <w:rsid w:val="004D6D42"/>
    <w:rsid w:val="004D7C57"/>
    <w:rsid w:val="004E1DE2"/>
    <w:rsid w:val="004E7DE1"/>
    <w:rsid w:val="004F1CEA"/>
    <w:rsid w:val="004F35EE"/>
    <w:rsid w:val="004F483A"/>
    <w:rsid w:val="004F4FCA"/>
    <w:rsid w:val="004F50D2"/>
    <w:rsid w:val="005004D0"/>
    <w:rsid w:val="0050050D"/>
    <w:rsid w:val="00504374"/>
    <w:rsid w:val="00504FB4"/>
    <w:rsid w:val="00510260"/>
    <w:rsid w:val="00510650"/>
    <w:rsid w:val="00512552"/>
    <w:rsid w:val="00515802"/>
    <w:rsid w:val="00521071"/>
    <w:rsid w:val="00525C53"/>
    <w:rsid w:val="00526F10"/>
    <w:rsid w:val="0052738B"/>
    <w:rsid w:val="00527E63"/>
    <w:rsid w:val="00532A4B"/>
    <w:rsid w:val="00533DC5"/>
    <w:rsid w:val="00534CF6"/>
    <w:rsid w:val="0054216B"/>
    <w:rsid w:val="00543827"/>
    <w:rsid w:val="00545914"/>
    <w:rsid w:val="00546635"/>
    <w:rsid w:val="00547160"/>
    <w:rsid w:val="0054767A"/>
    <w:rsid w:val="005515B7"/>
    <w:rsid w:val="00552C7E"/>
    <w:rsid w:val="00552EF0"/>
    <w:rsid w:val="00555803"/>
    <w:rsid w:val="0055661E"/>
    <w:rsid w:val="00556836"/>
    <w:rsid w:val="005572B6"/>
    <w:rsid w:val="0055744A"/>
    <w:rsid w:val="00560845"/>
    <w:rsid w:val="005628EA"/>
    <w:rsid w:val="00562939"/>
    <w:rsid w:val="00562C9D"/>
    <w:rsid w:val="0056592F"/>
    <w:rsid w:val="00570039"/>
    <w:rsid w:val="005701B7"/>
    <w:rsid w:val="005713B9"/>
    <w:rsid w:val="00572C73"/>
    <w:rsid w:val="00573198"/>
    <w:rsid w:val="0057761A"/>
    <w:rsid w:val="005811BF"/>
    <w:rsid w:val="005875DC"/>
    <w:rsid w:val="00592BD5"/>
    <w:rsid w:val="00593061"/>
    <w:rsid w:val="005953FC"/>
    <w:rsid w:val="00595B9A"/>
    <w:rsid w:val="00596657"/>
    <w:rsid w:val="00597953"/>
    <w:rsid w:val="00597B03"/>
    <w:rsid w:val="005A1F5F"/>
    <w:rsid w:val="005A1F6B"/>
    <w:rsid w:val="005A2ABE"/>
    <w:rsid w:val="005A5DDA"/>
    <w:rsid w:val="005A6478"/>
    <w:rsid w:val="005A7A07"/>
    <w:rsid w:val="005B00E3"/>
    <w:rsid w:val="005B10C1"/>
    <w:rsid w:val="005B40AD"/>
    <w:rsid w:val="005B4AE0"/>
    <w:rsid w:val="005B68C8"/>
    <w:rsid w:val="005B78E4"/>
    <w:rsid w:val="005C0115"/>
    <w:rsid w:val="005C05E7"/>
    <w:rsid w:val="005C0620"/>
    <w:rsid w:val="005C73F3"/>
    <w:rsid w:val="005E0CB9"/>
    <w:rsid w:val="005E1B48"/>
    <w:rsid w:val="005E6B0D"/>
    <w:rsid w:val="005F17C3"/>
    <w:rsid w:val="005F27E2"/>
    <w:rsid w:val="005F6210"/>
    <w:rsid w:val="005F6A38"/>
    <w:rsid w:val="0060107E"/>
    <w:rsid w:val="00601334"/>
    <w:rsid w:val="00604B15"/>
    <w:rsid w:val="006133F2"/>
    <w:rsid w:val="006160C2"/>
    <w:rsid w:val="00617DA4"/>
    <w:rsid w:val="006217AB"/>
    <w:rsid w:val="00621A9C"/>
    <w:rsid w:val="00621E81"/>
    <w:rsid w:val="0062441D"/>
    <w:rsid w:val="00624590"/>
    <w:rsid w:val="00625885"/>
    <w:rsid w:val="00627AD3"/>
    <w:rsid w:val="00631F05"/>
    <w:rsid w:val="00634929"/>
    <w:rsid w:val="00637BB3"/>
    <w:rsid w:val="00642DFB"/>
    <w:rsid w:val="00643097"/>
    <w:rsid w:val="00652B17"/>
    <w:rsid w:val="0065323F"/>
    <w:rsid w:val="00660644"/>
    <w:rsid w:val="006611ED"/>
    <w:rsid w:val="00661964"/>
    <w:rsid w:val="006619B3"/>
    <w:rsid w:val="00661BF1"/>
    <w:rsid w:val="00662616"/>
    <w:rsid w:val="00664808"/>
    <w:rsid w:val="00666912"/>
    <w:rsid w:val="00667C2B"/>
    <w:rsid w:val="00667C7F"/>
    <w:rsid w:val="00671033"/>
    <w:rsid w:val="00681793"/>
    <w:rsid w:val="006824E3"/>
    <w:rsid w:val="00682B65"/>
    <w:rsid w:val="00684BA0"/>
    <w:rsid w:val="00691745"/>
    <w:rsid w:val="00692875"/>
    <w:rsid w:val="00692DBA"/>
    <w:rsid w:val="00693722"/>
    <w:rsid w:val="00694BA3"/>
    <w:rsid w:val="00695068"/>
    <w:rsid w:val="006959C0"/>
    <w:rsid w:val="006A3D01"/>
    <w:rsid w:val="006A5C82"/>
    <w:rsid w:val="006A5D1E"/>
    <w:rsid w:val="006B1813"/>
    <w:rsid w:val="006B19E8"/>
    <w:rsid w:val="006B3BAD"/>
    <w:rsid w:val="006B5C92"/>
    <w:rsid w:val="006B5EDE"/>
    <w:rsid w:val="006B72B1"/>
    <w:rsid w:val="006C3C77"/>
    <w:rsid w:val="006C53FD"/>
    <w:rsid w:val="006C7235"/>
    <w:rsid w:val="006D2B40"/>
    <w:rsid w:val="006D3571"/>
    <w:rsid w:val="006D507A"/>
    <w:rsid w:val="006D5310"/>
    <w:rsid w:val="006D5499"/>
    <w:rsid w:val="006D686F"/>
    <w:rsid w:val="006D6E3D"/>
    <w:rsid w:val="006E048F"/>
    <w:rsid w:val="006E0898"/>
    <w:rsid w:val="006F1C65"/>
    <w:rsid w:val="006F6256"/>
    <w:rsid w:val="00700E95"/>
    <w:rsid w:val="00701837"/>
    <w:rsid w:val="00702D99"/>
    <w:rsid w:val="00707A7F"/>
    <w:rsid w:val="00715210"/>
    <w:rsid w:val="0071753A"/>
    <w:rsid w:val="00720E0A"/>
    <w:rsid w:val="00720FD2"/>
    <w:rsid w:val="00724138"/>
    <w:rsid w:val="00725022"/>
    <w:rsid w:val="00726B20"/>
    <w:rsid w:val="00726B74"/>
    <w:rsid w:val="0073000C"/>
    <w:rsid w:val="00730CB3"/>
    <w:rsid w:val="007316FD"/>
    <w:rsid w:val="00731D52"/>
    <w:rsid w:val="0073240B"/>
    <w:rsid w:val="00737EAD"/>
    <w:rsid w:val="007415C2"/>
    <w:rsid w:val="00741731"/>
    <w:rsid w:val="00743059"/>
    <w:rsid w:val="0074581C"/>
    <w:rsid w:val="00746800"/>
    <w:rsid w:val="00752590"/>
    <w:rsid w:val="007558CF"/>
    <w:rsid w:val="00760901"/>
    <w:rsid w:val="00762182"/>
    <w:rsid w:val="007629C5"/>
    <w:rsid w:val="00763722"/>
    <w:rsid w:val="00763C6C"/>
    <w:rsid w:val="007648EE"/>
    <w:rsid w:val="00764AF0"/>
    <w:rsid w:val="00766F46"/>
    <w:rsid w:val="0076708C"/>
    <w:rsid w:val="007708C6"/>
    <w:rsid w:val="00770E7C"/>
    <w:rsid w:val="00774369"/>
    <w:rsid w:val="007748EE"/>
    <w:rsid w:val="00775D59"/>
    <w:rsid w:val="007803A9"/>
    <w:rsid w:val="007833D6"/>
    <w:rsid w:val="00783E1A"/>
    <w:rsid w:val="00784991"/>
    <w:rsid w:val="00786060"/>
    <w:rsid w:val="00787523"/>
    <w:rsid w:val="007906E2"/>
    <w:rsid w:val="00790E7A"/>
    <w:rsid w:val="00796E63"/>
    <w:rsid w:val="007A1F16"/>
    <w:rsid w:val="007A4C45"/>
    <w:rsid w:val="007A55F9"/>
    <w:rsid w:val="007A7C09"/>
    <w:rsid w:val="007B12B3"/>
    <w:rsid w:val="007B1DD9"/>
    <w:rsid w:val="007B2C6B"/>
    <w:rsid w:val="007B47D0"/>
    <w:rsid w:val="007B754A"/>
    <w:rsid w:val="007B77DD"/>
    <w:rsid w:val="007C2099"/>
    <w:rsid w:val="007C3118"/>
    <w:rsid w:val="007C55C7"/>
    <w:rsid w:val="007C5E09"/>
    <w:rsid w:val="007D600C"/>
    <w:rsid w:val="007E346C"/>
    <w:rsid w:val="007E683F"/>
    <w:rsid w:val="007F08CE"/>
    <w:rsid w:val="007F6789"/>
    <w:rsid w:val="007F738C"/>
    <w:rsid w:val="0081018A"/>
    <w:rsid w:val="0081466B"/>
    <w:rsid w:val="00815F2B"/>
    <w:rsid w:val="008176A7"/>
    <w:rsid w:val="00825354"/>
    <w:rsid w:val="00825DAE"/>
    <w:rsid w:val="00825E2A"/>
    <w:rsid w:val="00827409"/>
    <w:rsid w:val="008276BA"/>
    <w:rsid w:val="00831496"/>
    <w:rsid w:val="00840D30"/>
    <w:rsid w:val="00842990"/>
    <w:rsid w:val="00843D0C"/>
    <w:rsid w:val="00845038"/>
    <w:rsid w:val="00847916"/>
    <w:rsid w:val="0085353D"/>
    <w:rsid w:val="00855299"/>
    <w:rsid w:val="008735E5"/>
    <w:rsid w:val="008769E5"/>
    <w:rsid w:val="00880E24"/>
    <w:rsid w:val="008838A8"/>
    <w:rsid w:val="00885989"/>
    <w:rsid w:val="008922F9"/>
    <w:rsid w:val="008A04BA"/>
    <w:rsid w:val="008A2E1B"/>
    <w:rsid w:val="008A39B4"/>
    <w:rsid w:val="008A512C"/>
    <w:rsid w:val="008B097D"/>
    <w:rsid w:val="008B14A9"/>
    <w:rsid w:val="008B18DA"/>
    <w:rsid w:val="008B2156"/>
    <w:rsid w:val="008B5CAB"/>
    <w:rsid w:val="008C0A23"/>
    <w:rsid w:val="008C0E46"/>
    <w:rsid w:val="008C50B2"/>
    <w:rsid w:val="008C6DF9"/>
    <w:rsid w:val="008C7699"/>
    <w:rsid w:val="008D0971"/>
    <w:rsid w:val="008D2635"/>
    <w:rsid w:val="008D2C06"/>
    <w:rsid w:val="008E2066"/>
    <w:rsid w:val="008E24C1"/>
    <w:rsid w:val="008E2783"/>
    <w:rsid w:val="008E43F7"/>
    <w:rsid w:val="008E5861"/>
    <w:rsid w:val="008E59EF"/>
    <w:rsid w:val="008F1D13"/>
    <w:rsid w:val="008F2C8C"/>
    <w:rsid w:val="008F2D27"/>
    <w:rsid w:val="008F4748"/>
    <w:rsid w:val="008F6CAF"/>
    <w:rsid w:val="008F7C82"/>
    <w:rsid w:val="009002F8"/>
    <w:rsid w:val="00901210"/>
    <w:rsid w:val="00907028"/>
    <w:rsid w:val="00921CB1"/>
    <w:rsid w:val="00924308"/>
    <w:rsid w:val="00925664"/>
    <w:rsid w:val="009278A7"/>
    <w:rsid w:val="0093164E"/>
    <w:rsid w:val="0093226E"/>
    <w:rsid w:val="00932DAF"/>
    <w:rsid w:val="00933B39"/>
    <w:rsid w:val="009340C2"/>
    <w:rsid w:val="0093605B"/>
    <w:rsid w:val="009410A4"/>
    <w:rsid w:val="00942081"/>
    <w:rsid w:val="0094392D"/>
    <w:rsid w:val="00944446"/>
    <w:rsid w:val="00947332"/>
    <w:rsid w:val="009511D6"/>
    <w:rsid w:val="0095183E"/>
    <w:rsid w:val="0095333A"/>
    <w:rsid w:val="00953D77"/>
    <w:rsid w:val="00955177"/>
    <w:rsid w:val="00955559"/>
    <w:rsid w:val="00960772"/>
    <w:rsid w:val="00962B3F"/>
    <w:rsid w:val="00963366"/>
    <w:rsid w:val="00963787"/>
    <w:rsid w:val="00964697"/>
    <w:rsid w:val="00967F88"/>
    <w:rsid w:val="009701F2"/>
    <w:rsid w:val="009728B6"/>
    <w:rsid w:val="00974483"/>
    <w:rsid w:val="00977B99"/>
    <w:rsid w:val="00980425"/>
    <w:rsid w:val="009846D3"/>
    <w:rsid w:val="00993476"/>
    <w:rsid w:val="00996884"/>
    <w:rsid w:val="009A0426"/>
    <w:rsid w:val="009A18CE"/>
    <w:rsid w:val="009A23D9"/>
    <w:rsid w:val="009A3E86"/>
    <w:rsid w:val="009A49C9"/>
    <w:rsid w:val="009A5B5F"/>
    <w:rsid w:val="009B1318"/>
    <w:rsid w:val="009B1CC3"/>
    <w:rsid w:val="009B33B1"/>
    <w:rsid w:val="009B3553"/>
    <w:rsid w:val="009B538E"/>
    <w:rsid w:val="009B72BA"/>
    <w:rsid w:val="009C29AC"/>
    <w:rsid w:val="009C2B3E"/>
    <w:rsid w:val="009D5224"/>
    <w:rsid w:val="009D53A5"/>
    <w:rsid w:val="009D7A2F"/>
    <w:rsid w:val="009D7B99"/>
    <w:rsid w:val="009E1F65"/>
    <w:rsid w:val="009E358A"/>
    <w:rsid w:val="009E4BB3"/>
    <w:rsid w:val="009E6223"/>
    <w:rsid w:val="009F022B"/>
    <w:rsid w:val="009F36CD"/>
    <w:rsid w:val="009F4C49"/>
    <w:rsid w:val="009F779C"/>
    <w:rsid w:val="00A014A2"/>
    <w:rsid w:val="00A01D01"/>
    <w:rsid w:val="00A01ED1"/>
    <w:rsid w:val="00A04CD6"/>
    <w:rsid w:val="00A0585D"/>
    <w:rsid w:val="00A05CBE"/>
    <w:rsid w:val="00A06BF7"/>
    <w:rsid w:val="00A07872"/>
    <w:rsid w:val="00A1153D"/>
    <w:rsid w:val="00A1375A"/>
    <w:rsid w:val="00A14E59"/>
    <w:rsid w:val="00A2088B"/>
    <w:rsid w:val="00A27B47"/>
    <w:rsid w:val="00A32576"/>
    <w:rsid w:val="00A3540C"/>
    <w:rsid w:val="00A40443"/>
    <w:rsid w:val="00A4331B"/>
    <w:rsid w:val="00A4463C"/>
    <w:rsid w:val="00A44759"/>
    <w:rsid w:val="00A45232"/>
    <w:rsid w:val="00A46AEE"/>
    <w:rsid w:val="00A46BCA"/>
    <w:rsid w:val="00A5563B"/>
    <w:rsid w:val="00A566F2"/>
    <w:rsid w:val="00A56A22"/>
    <w:rsid w:val="00A60883"/>
    <w:rsid w:val="00A622BC"/>
    <w:rsid w:val="00A63129"/>
    <w:rsid w:val="00A63811"/>
    <w:rsid w:val="00A63F14"/>
    <w:rsid w:val="00A64428"/>
    <w:rsid w:val="00A64D95"/>
    <w:rsid w:val="00A65226"/>
    <w:rsid w:val="00A7035C"/>
    <w:rsid w:val="00A76523"/>
    <w:rsid w:val="00A7771A"/>
    <w:rsid w:val="00A848BE"/>
    <w:rsid w:val="00A861E5"/>
    <w:rsid w:val="00A90ACD"/>
    <w:rsid w:val="00A90B53"/>
    <w:rsid w:val="00A90F5B"/>
    <w:rsid w:val="00A91C51"/>
    <w:rsid w:val="00A921A2"/>
    <w:rsid w:val="00A9307C"/>
    <w:rsid w:val="00A94F1B"/>
    <w:rsid w:val="00A968F9"/>
    <w:rsid w:val="00A97113"/>
    <w:rsid w:val="00AA15D2"/>
    <w:rsid w:val="00AA465F"/>
    <w:rsid w:val="00AA4A8C"/>
    <w:rsid w:val="00AA5570"/>
    <w:rsid w:val="00AA612C"/>
    <w:rsid w:val="00AA64CD"/>
    <w:rsid w:val="00AB008B"/>
    <w:rsid w:val="00AB194C"/>
    <w:rsid w:val="00AB2D60"/>
    <w:rsid w:val="00AB434D"/>
    <w:rsid w:val="00AB5230"/>
    <w:rsid w:val="00AB74AC"/>
    <w:rsid w:val="00AB7C13"/>
    <w:rsid w:val="00AB7F1F"/>
    <w:rsid w:val="00AC0923"/>
    <w:rsid w:val="00AC1916"/>
    <w:rsid w:val="00AC22C8"/>
    <w:rsid w:val="00AC60FC"/>
    <w:rsid w:val="00AC7337"/>
    <w:rsid w:val="00AC7446"/>
    <w:rsid w:val="00AD0334"/>
    <w:rsid w:val="00AD041E"/>
    <w:rsid w:val="00AD0D3C"/>
    <w:rsid w:val="00AD3954"/>
    <w:rsid w:val="00AD5458"/>
    <w:rsid w:val="00AD559D"/>
    <w:rsid w:val="00AD74B0"/>
    <w:rsid w:val="00AE2810"/>
    <w:rsid w:val="00AE2C14"/>
    <w:rsid w:val="00AE3E65"/>
    <w:rsid w:val="00AE53BE"/>
    <w:rsid w:val="00AE54B6"/>
    <w:rsid w:val="00AE58DF"/>
    <w:rsid w:val="00AE6F8C"/>
    <w:rsid w:val="00AE72F9"/>
    <w:rsid w:val="00AF26CB"/>
    <w:rsid w:val="00AF2978"/>
    <w:rsid w:val="00B04FCE"/>
    <w:rsid w:val="00B07945"/>
    <w:rsid w:val="00B1193F"/>
    <w:rsid w:val="00B121DD"/>
    <w:rsid w:val="00B1388B"/>
    <w:rsid w:val="00B1499F"/>
    <w:rsid w:val="00B1659F"/>
    <w:rsid w:val="00B168BB"/>
    <w:rsid w:val="00B20578"/>
    <w:rsid w:val="00B206FE"/>
    <w:rsid w:val="00B210DC"/>
    <w:rsid w:val="00B2405D"/>
    <w:rsid w:val="00B24900"/>
    <w:rsid w:val="00B2781F"/>
    <w:rsid w:val="00B32996"/>
    <w:rsid w:val="00B362E4"/>
    <w:rsid w:val="00B3664C"/>
    <w:rsid w:val="00B416C4"/>
    <w:rsid w:val="00B43103"/>
    <w:rsid w:val="00B44FB8"/>
    <w:rsid w:val="00B45AB6"/>
    <w:rsid w:val="00B46339"/>
    <w:rsid w:val="00B47E43"/>
    <w:rsid w:val="00B51520"/>
    <w:rsid w:val="00B51AD8"/>
    <w:rsid w:val="00B51FCB"/>
    <w:rsid w:val="00B54903"/>
    <w:rsid w:val="00B57873"/>
    <w:rsid w:val="00B6116D"/>
    <w:rsid w:val="00B623F0"/>
    <w:rsid w:val="00B6244D"/>
    <w:rsid w:val="00B6518B"/>
    <w:rsid w:val="00B66D6F"/>
    <w:rsid w:val="00B72FC9"/>
    <w:rsid w:val="00B741D6"/>
    <w:rsid w:val="00B743E5"/>
    <w:rsid w:val="00B80948"/>
    <w:rsid w:val="00B823E9"/>
    <w:rsid w:val="00B84433"/>
    <w:rsid w:val="00B86B17"/>
    <w:rsid w:val="00B86DE4"/>
    <w:rsid w:val="00B87B9A"/>
    <w:rsid w:val="00B91988"/>
    <w:rsid w:val="00B92E11"/>
    <w:rsid w:val="00B933F0"/>
    <w:rsid w:val="00B939DF"/>
    <w:rsid w:val="00B97835"/>
    <w:rsid w:val="00B97C39"/>
    <w:rsid w:val="00BA14C9"/>
    <w:rsid w:val="00BA5180"/>
    <w:rsid w:val="00BA6A51"/>
    <w:rsid w:val="00BA7B39"/>
    <w:rsid w:val="00BB3D71"/>
    <w:rsid w:val="00BB7F1B"/>
    <w:rsid w:val="00BC4E09"/>
    <w:rsid w:val="00BC6D82"/>
    <w:rsid w:val="00BC7338"/>
    <w:rsid w:val="00BD046F"/>
    <w:rsid w:val="00BD0BDB"/>
    <w:rsid w:val="00BD1CC9"/>
    <w:rsid w:val="00BD24CF"/>
    <w:rsid w:val="00BD2AC5"/>
    <w:rsid w:val="00BD3110"/>
    <w:rsid w:val="00BD5CC9"/>
    <w:rsid w:val="00BD600E"/>
    <w:rsid w:val="00BD6509"/>
    <w:rsid w:val="00BE1B9B"/>
    <w:rsid w:val="00BE3022"/>
    <w:rsid w:val="00BE37A4"/>
    <w:rsid w:val="00BE5BA2"/>
    <w:rsid w:val="00BF0374"/>
    <w:rsid w:val="00BF11D2"/>
    <w:rsid w:val="00BF35E2"/>
    <w:rsid w:val="00BF4AA7"/>
    <w:rsid w:val="00BF5FEC"/>
    <w:rsid w:val="00BF69BB"/>
    <w:rsid w:val="00BF72D8"/>
    <w:rsid w:val="00BF72E3"/>
    <w:rsid w:val="00C006A8"/>
    <w:rsid w:val="00C017F3"/>
    <w:rsid w:val="00C0501C"/>
    <w:rsid w:val="00C06B75"/>
    <w:rsid w:val="00C079C7"/>
    <w:rsid w:val="00C101AF"/>
    <w:rsid w:val="00C13422"/>
    <w:rsid w:val="00C141C7"/>
    <w:rsid w:val="00C149CF"/>
    <w:rsid w:val="00C21555"/>
    <w:rsid w:val="00C22728"/>
    <w:rsid w:val="00C23A17"/>
    <w:rsid w:val="00C24D30"/>
    <w:rsid w:val="00C251D6"/>
    <w:rsid w:val="00C27940"/>
    <w:rsid w:val="00C32B00"/>
    <w:rsid w:val="00C32F50"/>
    <w:rsid w:val="00C34B63"/>
    <w:rsid w:val="00C3572E"/>
    <w:rsid w:val="00C36D12"/>
    <w:rsid w:val="00C37A00"/>
    <w:rsid w:val="00C37C64"/>
    <w:rsid w:val="00C412A3"/>
    <w:rsid w:val="00C41453"/>
    <w:rsid w:val="00C4535E"/>
    <w:rsid w:val="00C466B9"/>
    <w:rsid w:val="00C5240F"/>
    <w:rsid w:val="00C52EC3"/>
    <w:rsid w:val="00C52F81"/>
    <w:rsid w:val="00C555C2"/>
    <w:rsid w:val="00C55FE1"/>
    <w:rsid w:val="00C62626"/>
    <w:rsid w:val="00C661AE"/>
    <w:rsid w:val="00C667D3"/>
    <w:rsid w:val="00C716A6"/>
    <w:rsid w:val="00C71E1A"/>
    <w:rsid w:val="00C720CD"/>
    <w:rsid w:val="00C7238C"/>
    <w:rsid w:val="00C728C8"/>
    <w:rsid w:val="00C734B0"/>
    <w:rsid w:val="00C766AF"/>
    <w:rsid w:val="00C77FD2"/>
    <w:rsid w:val="00C84700"/>
    <w:rsid w:val="00C87A77"/>
    <w:rsid w:val="00C9200F"/>
    <w:rsid w:val="00C922C6"/>
    <w:rsid w:val="00C95D43"/>
    <w:rsid w:val="00CA2C8F"/>
    <w:rsid w:val="00CA569F"/>
    <w:rsid w:val="00CA6A1D"/>
    <w:rsid w:val="00CB09B5"/>
    <w:rsid w:val="00CB1508"/>
    <w:rsid w:val="00CB2F55"/>
    <w:rsid w:val="00CB44EE"/>
    <w:rsid w:val="00CB73B4"/>
    <w:rsid w:val="00CC3B13"/>
    <w:rsid w:val="00CC415A"/>
    <w:rsid w:val="00CC6D7A"/>
    <w:rsid w:val="00CC7A55"/>
    <w:rsid w:val="00CD1499"/>
    <w:rsid w:val="00CD26A5"/>
    <w:rsid w:val="00CD6DCF"/>
    <w:rsid w:val="00CD6E0C"/>
    <w:rsid w:val="00CD6E56"/>
    <w:rsid w:val="00CE42E4"/>
    <w:rsid w:val="00CE4FF4"/>
    <w:rsid w:val="00CE5FED"/>
    <w:rsid w:val="00CF2229"/>
    <w:rsid w:val="00CF5C1E"/>
    <w:rsid w:val="00CF5C7E"/>
    <w:rsid w:val="00D00D37"/>
    <w:rsid w:val="00D02852"/>
    <w:rsid w:val="00D050AC"/>
    <w:rsid w:val="00D06D6C"/>
    <w:rsid w:val="00D10F3A"/>
    <w:rsid w:val="00D11E8B"/>
    <w:rsid w:val="00D12985"/>
    <w:rsid w:val="00D12D61"/>
    <w:rsid w:val="00D12DBE"/>
    <w:rsid w:val="00D14160"/>
    <w:rsid w:val="00D14C0B"/>
    <w:rsid w:val="00D2091B"/>
    <w:rsid w:val="00D262BF"/>
    <w:rsid w:val="00D310BF"/>
    <w:rsid w:val="00D31977"/>
    <w:rsid w:val="00D32B86"/>
    <w:rsid w:val="00D34414"/>
    <w:rsid w:val="00D41023"/>
    <w:rsid w:val="00D4378D"/>
    <w:rsid w:val="00D5099D"/>
    <w:rsid w:val="00D54A2D"/>
    <w:rsid w:val="00D615BB"/>
    <w:rsid w:val="00D63AEE"/>
    <w:rsid w:val="00D65F64"/>
    <w:rsid w:val="00D737F4"/>
    <w:rsid w:val="00D738BE"/>
    <w:rsid w:val="00D74967"/>
    <w:rsid w:val="00D76C63"/>
    <w:rsid w:val="00D77D86"/>
    <w:rsid w:val="00D84930"/>
    <w:rsid w:val="00D9105A"/>
    <w:rsid w:val="00DA057A"/>
    <w:rsid w:val="00DA05F6"/>
    <w:rsid w:val="00DA0E28"/>
    <w:rsid w:val="00DA1223"/>
    <w:rsid w:val="00DA1D17"/>
    <w:rsid w:val="00DA3318"/>
    <w:rsid w:val="00DA37C2"/>
    <w:rsid w:val="00DA7182"/>
    <w:rsid w:val="00DA76D2"/>
    <w:rsid w:val="00DA7800"/>
    <w:rsid w:val="00DB12DD"/>
    <w:rsid w:val="00DB288E"/>
    <w:rsid w:val="00DB52CB"/>
    <w:rsid w:val="00DC1126"/>
    <w:rsid w:val="00DC1E82"/>
    <w:rsid w:val="00DC3221"/>
    <w:rsid w:val="00DC402B"/>
    <w:rsid w:val="00DD11FB"/>
    <w:rsid w:val="00DD2177"/>
    <w:rsid w:val="00DD33A0"/>
    <w:rsid w:val="00DD3943"/>
    <w:rsid w:val="00DD3BC3"/>
    <w:rsid w:val="00DD53EB"/>
    <w:rsid w:val="00DD5AD2"/>
    <w:rsid w:val="00DD628C"/>
    <w:rsid w:val="00DD716C"/>
    <w:rsid w:val="00DE0A2F"/>
    <w:rsid w:val="00DE1B36"/>
    <w:rsid w:val="00DE23A9"/>
    <w:rsid w:val="00DE56C7"/>
    <w:rsid w:val="00DE6B66"/>
    <w:rsid w:val="00DF1BF2"/>
    <w:rsid w:val="00DF6FA4"/>
    <w:rsid w:val="00E03294"/>
    <w:rsid w:val="00E06F71"/>
    <w:rsid w:val="00E11F3A"/>
    <w:rsid w:val="00E1416D"/>
    <w:rsid w:val="00E1426B"/>
    <w:rsid w:val="00E20623"/>
    <w:rsid w:val="00E209E0"/>
    <w:rsid w:val="00E24DAD"/>
    <w:rsid w:val="00E31DCB"/>
    <w:rsid w:val="00E34AAE"/>
    <w:rsid w:val="00E35965"/>
    <w:rsid w:val="00E35EDC"/>
    <w:rsid w:val="00E41682"/>
    <w:rsid w:val="00E416DF"/>
    <w:rsid w:val="00E4224A"/>
    <w:rsid w:val="00E42E39"/>
    <w:rsid w:val="00E46108"/>
    <w:rsid w:val="00E5252C"/>
    <w:rsid w:val="00E5295F"/>
    <w:rsid w:val="00E54CBF"/>
    <w:rsid w:val="00E566F9"/>
    <w:rsid w:val="00E5688A"/>
    <w:rsid w:val="00E57A4B"/>
    <w:rsid w:val="00E61F9D"/>
    <w:rsid w:val="00E623A8"/>
    <w:rsid w:val="00E62458"/>
    <w:rsid w:val="00E66B2C"/>
    <w:rsid w:val="00E704D0"/>
    <w:rsid w:val="00E73019"/>
    <w:rsid w:val="00E750B2"/>
    <w:rsid w:val="00E7587C"/>
    <w:rsid w:val="00E76147"/>
    <w:rsid w:val="00E7624D"/>
    <w:rsid w:val="00E76401"/>
    <w:rsid w:val="00E7792D"/>
    <w:rsid w:val="00E81021"/>
    <w:rsid w:val="00E81E89"/>
    <w:rsid w:val="00E919CD"/>
    <w:rsid w:val="00E94682"/>
    <w:rsid w:val="00E96C2F"/>
    <w:rsid w:val="00E9701B"/>
    <w:rsid w:val="00E97114"/>
    <w:rsid w:val="00EA5523"/>
    <w:rsid w:val="00EB0E7D"/>
    <w:rsid w:val="00EB3A36"/>
    <w:rsid w:val="00EB44F8"/>
    <w:rsid w:val="00EB4B91"/>
    <w:rsid w:val="00EB66F2"/>
    <w:rsid w:val="00EB69C8"/>
    <w:rsid w:val="00EC3FE6"/>
    <w:rsid w:val="00EC4FEE"/>
    <w:rsid w:val="00ED21DF"/>
    <w:rsid w:val="00ED23E3"/>
    <w:rsid w:val="00ED3730"/>
    <w:rsid w:val="00EE4BF6"/>
    <w:rsid w:val="00EE5D0E"/>
    <w:rsid w:val="00EE7603"/>
    <w:rsid w:val="00EF0E8C"/>
    <w:rsid w:val="00EF1ED9"/>
    <w:rsid w:val="00EF36CC"/>
    <w:rsid w:val="00EF3B13"/>
    <w:rsid w:val="00EF5CDB"/>
    <w:rsid w:val="00EF6F62"/>
    <w:rsid w:val="00F002AA"/>
    <w:rsid w:val="00F03F2F"/>
    <w:rsid w:val="00F05C78"/>
    <w:rsid w:val="00F0604B"/>
    <w:rsid w:val="00F068E8"/>
    <w:rsid w:val="00F07642"/>
    <w:rsid w:val="00F1279C"/>
    <w:rsid w:val="00F12E24"/>
    <w:rsid w:val="00F13EFA"/>
    <w:rsid w:val="00F14602"/>
    <w:rsid w:val="00F17555"/>
    <w:rsid w:val="00F24C42"/>
    <w:rsid w:val="00F25D7B"/>
    <w:rsid w:val="00F275FA"/>
    <w:rsid w:val="00F27A7F"/>
    <w:rsid w:val="00F27D44"/>
    <w:rsid w:val="00F306D4"/>
    <w:rsid w:val="00F42F84"/>
    <w:rsid w:val="00F43AFA"/>
    <w:rsid w:val="00F44E5B"/>
    <w:rsid w:val="00F453BD"/>
    <w:rsid w:val="00F500B1"/>
    <w:rsid w:val="00F544DB"/>
    <w:rsid w:val="00F56068"/>
    <w:rsid w:val="00F64083"/>
    <w:rsid w:val="00F649C2"/>
    <w:rsid w:val="00F64D41"/>
    <w:rsid w:val="00F658FE"/>
    <w:rsid w:val="00F721ED"/>
    <w:rsid w:val="00F72E82"/>
    <w:rsid w:val="00F778BB"/>
    <w:rsid w:val="00F852F4"/>
    <w:rsid w:val="00F86D7D"/>
    <w:rsid w:val="00F8705B"/>
    <w:rsid w:val="00F87FD7"/>
    <w:rsid w:val="00F95126"/>
    <w:rsid w:val="00F96C48"/>
    <w:rsid w:val="00FA064B"/>
    <w:rsid w:val="00FA116B"/>
    <w:rsid w:val="00FA4FD3"/>
    <w:rsid w:val="00FA561C"/>
    <w:rsid w:val="00FA7206"/>
    <w:rsid w:val="00FB1852"/>
    <w:rsid w:val="00FB1FD2"/>
    <w:rsid w:val="00FB55BB"/>
    <w:rsid w:val="00FC30A8"/>
    <w:rsid w:val="00FC3169"/>
    <w:rsid w:val="00FC631F"/>
    <w:rsid w:val="00FC6467"/>
    <w:rsid w:val="00FD3874"/>
    <w:rsid w:val="00FD5F38"/>
    <w:rsid w:val="00FD60DB"/>
    <w:rsid w:val="00FD657D"/>
    <w:rsid w:val="00FE3A54"/>
    <w:rsid w:val="00FE4936"/>
    <w:rsid w:val="00FF032F"/>
    <w:rsid w:val="00FF3F7D"/>
    <w:rsid w:val="028B6F6F"/>
    <w:rsid w:val="029A0E83"/>
    <w:rsid w:val="06AF1B69"/>
    <w:rsid w:val="06DF2520"/>
    <w:rsid w:val="0A530721"/>
    <w:rsid w:val="11274D23"/>
    <w:rsid w:val="129A75BD"/>
    <w:rsid w:val="15BDC44A"/>
    <w:rsid w:val="1653E692"/>
    <w:rsid w:val="1817DE6C"/>
    <w:rsid w:val="185E4BFA"/>
    <w:rsid w:val="1C659CA1"/>
    <w:rsid w:val="1FED85C3"/>
    <w:rsid w:val="20A7A81D"/>
    <w:rsid w:val="21F894E4"/>
    <w:rsid w:val="24E71645"/>
    <w:rsid w:val="2811F3F5"/>
    <w:rsid w:val="2DDDBC32"/>
    <w:rsid w:val="2F73BE50"/>
    <w:rsid w:val="323404ED"/>
    <w:rsid w:val="32E798A1"/>
    <w:rsid w:val="32F08346"/>
    <w:rsid w:val="33DC8A6B"/>
    <w:rsid w:val="3662F907"/>
    <w:rsid w:val="370B4C78"/>
    <w:rsid w:val="38CCDE9B"/>
    <w:rsid w:val="3ABC7CBE"/>
    <w:rsid w:val="3D6D0C42"/>
    <w:rsid w:val="3E9580A4"/>
    <w:rsid w:val="42C0385A"/>
    <w:rsid w:val="4478AD56"/>
    <w:rsid w:val="46D0F7F7"/>
    <w:rsid w:val="46F398BB"/>
    <w:rsid w:val="49FB5716"/>
    <w:rsid w:val="4ABB7166"/>
    <w:rsid w:val="4B4F5136"/>
    <w:rsid w:val="4D59C1D2"/>
    <w:rsid w:val="5247A2EF"/>
    <w:rsid w:val="52C29CAF"/>
    <w:rsid w:val="5606C708"/>
    <w:rsid w:val="59E03978"/>
    <w:rsid w:val="5AF936D1"/>
    <w:rsid w:val="5C1E71BC"/>
    <w:rsid w:val="5C421116"/>
    <w:rsid w:val="5CB81BBC"/>
    <w:rsid w:val="60B9F084"/>
    <w:rsid w:val="643B8450"/>
    <w:rsid w:val="64D667A6"/>
    <w:rsid w:val="6570C8C9"/>
    <w:rsid w:val="6574E5D2"/>
    <w:rsid w:val="686F10E3"/>
    <w:rsid w:val="6A085F51"/>
    <w:rsid w:val="6BB32515"/>
    <w:rsid w:val="6CF5CBAF"/>
    <w:rsid w:val="733ECBDE"/>
    <w:rsid w:val="769C50DF"/>
    <w:rsid w:val="76E7F28C"/>
    <w:rsid w:val="777E31DF"/>
    <w:rsid w:val="7A9F4D3F"/>
    <w:rsid w:val="7E3ED7A2"/>
    <w:rsid w:val="7E7EA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7CE9"/>
  <w15:docId w15:val="{5A628D58-5B4D-49E2-8A40-85B7039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2882"/>
    <w:pPr>
      <w:spacing w:after="0" w:line="288" w:lineRule="auto"/>
      <w:jc w:val="both"/>
    </w:pPr>
    <w:rPr>
      <w:rFonts w:ascii="Verdana" w:eastAsia="Times New Roman" w:hAnsi="Verdana" w:cs="Times New Roman"/>
      <w:sz w:val="18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52882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styleId="Pta">
    <w:name w:val="footer"/>
    <w:basedOn w:val="Normlny"/>
    <w:link w:val="PtaChar"/>
    <w:semiHidden/>
    <w:rsid w:val="00152882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customStyle="1" w:styleId="Noparagraphstyle">
    <w:name w:val="[No paragraph style]"/>
    <w:semiHidden/>
    <w:rsid w:val="0015288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152882"/>
  </w:style>
  <w:style w:type="paragraph" w:customStyle="1" w:styleId="Heading1CEA">
    <w:name w:val="Heading 1 (CEA)"/>
    <w:basedOn w:val="Normlny"/>
    <w:link w:val="Heading1CEAChar"/>
    <w:semiHidden/>
    <w:rsid w:val="00152882"/>
    <w:pPr>
      <w:autoSpaceDE w:val="0"/>
      <w:autoSpaceDN w:val="0"/>
      <w:adjustRightInd w:val="0"/>
    </w:pPr>
    <w:rPr>
      <w:rFonts w:ascii="Arial" w:hAnsi="Arial"/>
      <w:b/>
      <w:color w:val="034EA2"/>
      <w:sz w:val="32"/>
      <w:szCs w:val="32"/>
    </w:rPr>
  </w:style>
  <w:style w:type="character" w:customStyle="1" w:styleId="Heading1CEAChar">
    <w:name w:val="Heading 1 (CEA) Char"/>
    <w:basedOn w:val="Predvolenpsmoodseku"/>
    <w:link w:val="Heading1CEA"/>
    <w:semiHidden/>
    <w:rsid w:val="00152882"/>
    <w:rPr>
      <w:rFonts w:ascii="Arial" w:eastAsia="Times New Roman" w:hAnsi="Arial" w:cs="Times New Roman"/>
      <w:b/>
      <w:color w:val="034EA2"/>
      <w:sz w:val="32"/>
      <w:szCs w:val="32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152882"/>
    <w:pPr>
      <w:ind w:left="-27"/>
    </w:pPr>
    <w:rPr>
      <w:b/>
      <w:color w:val="034EA2"/>
      <w:sz w:val="32"/>
      <w:szCs w:val="32"/>
    </w:rPr>
  </w:style>
  <w:style w:type="paragraph" w:customStyle="1" w:styleId="CEADraft">
    <w:name w:val="CEA Draft"/>
    <w:basedOn w:val="Normlny"/>
    <w:semiHidden/>
    <w:qFormat/>
    <w:rsid w:val="00152882"/>
    <w:pPr>
      <w:jc w:val="right"/>
    </w:pPr>
    <w:rPr>
      <w:rFonts w:cs="Arial"/>
      <w:b/>
      <w:i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152882"/>
    <w:pPr>
      <w:autoSpaceDE w:val="0"/>
      <w:autoSpaceDN w:val="0"/>
      <w:adjustRightInd w:val="0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Label">
    <w:name w:val="CEA Label"/>
    <w:basedOn w:val="Normlny"/>
    <w:semiHidden/>
    <w:qFormat/>
    <w:rsid w:val="00152882"/>
    <w:rPr>
      <w:rFonts w:cs="Arial"/>
      <w:b/>
      <w:color w:val="034EA2"/>
      <w:szCs w:val="18"/>
    </w:rPr>
  </w:style>
  <w:style w:type="character" w:styleId="Zstupntext">
    <w:name w:val="Placeholder Text"/>
    <w:basedOn w:val="Predvolenpsmoodseku"/>
    <w:uiPriority w:val="99"/>
    <w:semiHidden/>
    <w:rsid w:val="0008034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0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34A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qFormat/>
    <w:rsid w:val="00825DAE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825DAE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825DAE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DirectorGeneral">
    <w:name w:val="CEA Director General"/>
    <w:basedOn w:val="Normlny"/>
    <w:semiHidden/>
    <w:qFormat/>
    <w:rsid w:val="00825DAE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DocumentType">
    <w:name w:val="CEA Document Type"/>
    <w:basedOn w:val="Normlny"/>
    <w:semiHidden/>
    <w:qFormat/>
    <w:rsid w:val="00825DAE"/>
    <w:pPr>
      <w:jc w:val="right"/>
    </w:pPr>
    <w:rPr>
      <w:rFonts w:cs="Frutiger LT Std 55 Roman"/>
      <w:b/>
      <w:color w:val="0032FF"/>
      <w:sz w:val="40"/>
      <w:szCs w:val="40"/>
    </w:rPr>
  </w:style>
  <w:style w:type="paragraph" w:customStyle="1" w:styleId="CEAFootnote">
    <w:name w:val="CEA Footnote"/>
    <w:basedOn w:val="Normlny"/>
    <w:semiHidden/>
    <w:qFormat/>
    <w:rsid w:val="00825DAE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825DAE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825DAE"/>
    <w:rPr>
      <w:rFonts w:ascii="Verdana" w:hAnsi="Verdana"/>
      <w:smallCaps/>
      <w:sz w:val="19"/>
      <w:lang w:val="en-GB"/>
    </w:rPr>
  </w:style>
  <w:style w:type="paragraph" w:customStyle="1" w:styleId="CEAPressReleaseSubtitle">
    <w:name w:val="CEA Press Release Subtitle"/>
    <w:basedOn w:val="Normlny"/>
    <w:semiHidden/>
    <w:qFormat/>
    <w:rsid w:val="00825DAE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825DAE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paragraph" w:customStyle="1" w:styleId="CEASubjectLine">
    <w:name w:val="CEA Subject Line"/>
    <w:basedOn w:val="Normlny"/>
    <w:semiHidden/>
    <w:qFormat/>
    <w:rsid w:val="00825DAE"/>
    <w:rPr>
      <w:rFonts w:cs="Frutiger LT Std 55 Roman"/>
      <w:b/>
      <w:sz w:val="17"/>
      <w:szCs w:val="20"/>
    </w:rPr>
  </w:style>
  <w:style w:type="table" w:styleId="Mriekatabuky">
    <w:name w:val="Table Grid"/>
    <w:basedOn w:val="Normlnatabuka"/>
    <w:uiPriority w:val="59"/>
    <w:rsid w:val="0012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748E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48E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017F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E1B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E1B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E1B36"/>
    <w:rPr>
      <w:rFonts w:ascii="Verdana" w:eastAsia="Times New Roman" w:hAnsi="Verdana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1B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1B36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F05C78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en-GB"/>
    </w:rPr>
  </w:style>
  <w:style w:type="character" w:styleId="Zmienka">
    <w:name w:val="Mention"/>
    <w:basedOn w:val="Predvolenpsmoodseku"/>
    <w:uiPriority w:val="99"/>
    <w:unhideWhenUsed/>
    <w:rsid w:val="00CB09B5"/>
    <w:rPr>
      <w:color w:val="2B579A"/>
      <w:shd w:val="clear" w:color="auto" w:fill="E1DFDD"/>
    </w:rPr>
  </w:style>
  <w:style w:type="paragraph" w:customStyle="1" w:styleId="pf0">
    <w:name w:val="pf0"/>
    <w:basedOn w:val="Normlny"/>
    <w:rsid w:val="00EC4FE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f01">
    <w:name w:val="cf01"/>
    <w:basedOn w:val="Predvolenpsmoodseku"/>
    <w:rsid w:val="00EC4FEE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uranceeurop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finance.ec.europa.eu/capital-markets-union-and-financial-markets/company-reporting-and-auditing/company-reporting/corporate-sustainability-reporting_e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75A-9402-4B30-B3A5-FCC1C0934D84}"/>
      </w:docPartPr>
      <w:docPartBody>
        <w:p w:rsidR="00427EDA" w:rsidRDefault="009C6847">
          <w:r w:rsidRPr="008C7EEE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970"/>
    <w:rsid w:val="00054A11"/>
    <w:rsid w:val="00067782"/>
    <w:rsid w:val="00085817"/>
    <w:rsid w:val="000F1CB6"/>
    <w:rsid w:val="00106C15"/>
    <w:rsid w:val="001209BA"/>
    <w:rsid w:val="00167034"/>
    <w:rsid w:val="00173004"/>
    <w:rsid w:val="001E1E4E"/>
    <w:rsid w:val="00230491"/>
    <w:rsid w:val="00265C49"/>
    <w:rsid w:val="002A5EE6"/>
    <w:rsid w:val="0030332A"/>
    <w:rsid w:val="00427EDA"/>
    <w:rsid w:val="004D1652"/>
    <w:rsid w:val="004E1AF1"/>
    <w:rsid w:val="0057158E"/>
    <w:rsid w:val="00572C73"/>
    <w:rsid w:val="00584396"/>
    <w:rsid w:val="00597B03"/>
    <w:rsid w:val="00634188"/>
    <w:rsid w:val="006618B9"/>
    <w:rsid w:val="006B1813"/>
    <w:rsid w:val="006B72B1"/>
    <w:rsid w:val="006C53FD"/>
    <w:rsid w:val="006F6256"/>
    <w:rsid w:val="007434B0"/>
    <w:rsid w:val="00783677"/>
    <w:rsid w:val="00834F2C"/>
    <w:rsid w:val="00843D0C"/>
    <w:rsid w:val="008C7699"/>
    <w:rsid w:val="008D2635"/>
    <w:rsid w:val="008D2C06"/>
    <w:rsid w:val="008E2783"/>
    <w:rsid w:val="00901210"/>
    <w:rsid w:val="0093164E"/>
    <w:rsid w:val="009A22A2"/>
    <w:rsid w:val="009C6847"/>
    <w:rsid w:val="009D7A2F"/>
    <w:rsid w:val="009F09D6"/>
    <w:rsid w:val="00A14E59"/>
    <w:rsid w:val="00A307CB"/>
    <w:rsid w:val="00A3540C"/>
    <w:rsid w:val="00AA15D2"/>
    <w:rsid w:val="00AF50EC"/>
    <w:rsid w:val="00B97C39"/>
    <w:rsid w:val="00BE1B9B"/>
    <w:rsid w:val="00BF35E2"/>
    <w:rsid w:val="00BF59F9"/>
    <w:rsid w:val="00C32B00"/>
    <w:rsid w:val="00C32F50"/>
    <w:rsid w:val="00C37C64"/>
    <w:rsid w:val="00C667D3"/>
    <w:rsid w:val="00CF3708"/>
    <w:rsid w:val="00D262BF"/>
    <w:rsid w:val="00D51A1A"/>
    <w:rsid w:val="00DD42E3"/>
    <w:rsid w:val="00E401F3"/>
    <w:rsid w:val="00E81021"/>
    <w:rsid w:val="00E91DF2"/>
    <w:rsid w:val="00E96FCB"/>
    <w:rsid w:val="00F36970"/>
    <w:rsid w:val="00F633AE"/>
    <w:rsid w:val="00F67907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970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C68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 xmlns="ddee4349-d6c5-476b-a1c6-d791a1a12d6c" xsi:nil="true"/>
    <Feedback_x0020_type xmlns="ddee4349-d6c5-476b-a1c6-d791a1a12d6c" xsi:nil="true"/>
    <Allow_x0020_uploads xmlns="ddee4349-d6c5-476b-a1c6-d791a1a12d6c" xsi:nil="true"/>
    <Allow_x0020_comments xmlns="ddee4349-d6c5-476b-a1c6-d791a1a12d6c" xsi:nil="true"/>
    <Leading_x0020_document xmlns="ddee4349-d6c5-476b-a1c6-d791a1a12d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CA08016993649B987301C6C20DE93" ma:contentTypeVersion="11" ma:contentTypeDescription="Create a new document." ma:contentTypeScope="" ma:versionID="63ba4a142953e3874a4f611ac23dcbee">
  <xsd:schema xmlns:xsd="http://www.w3.org/2001/XMLSchema" xmlns:xs="http://www.w3.org/2001/XMLSchema" xmlns:p="http://schemas.microsoft.com/office/2006/metadata/properties" xmlns:ns2="ddee4349-d6c5-476b-a1c6-d791a1a12d6c" xmlns:ns3="efa07f0a-2279-4397-9381-96c735bff43a" targetNamespace="http://schemas.microsoft.com/office/2006/metadata/properties" ma:root="true" ma:fieldsID="a7f008d25419cfd282394c9e489fe384" ns2:_="" ns3:_="">
    <xsd:import namespace="ddee4349-d6c5-476b-a1c6-d791a1a12d6c"/>
    <xsd:import namespace="efa07f0a-2279-4397-9381-96c735bff43a"/>
    <xsd:element name="properties">
      <xsd:complexType>
        <xsd:sequence>
          <xsd:element name="documentManagement">
            <xsd:complexType>
              <xsd:all>
                <xsd:element ref="ns2:Feedback_x0020_type" minOccurs="0"/>
                <xsd:element ref="ns2:Allow_x0020_uploads" minOccurs="0"/>
                <xsd:element ref="ns2:Allow_x0020_comments" minOccurs="0"/>
                <xsd:element ref="ns2:Deadlin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4349-d6c5-476b-a1c6-d791a1a12d6c" elementFormDefault="qualified">
    <xsd:import namespace="http://schemas.microsoft.com/office/2006/documentManagement/types"/>
    <xsd:import namespace="http://schemas.microsoft.com/office/infopath/2007/PartnerControls"/>
    <xsd:element name="Feedback_x0020_type" ma:index="8" nillable="true" ma:displayName="Feedback type" ma:internalName="Feedback_x0020_type">
      <xsd:simpleType>
        <xsd:restriction base="dms:Text"/>
      </xsd:simpleType>
    </xsd:element>
    <xsd:element name="Allow_x0020_uploads" ma:index="9" nillable="true" ma:displayName="Allow uploads" ma:internalName="Allow_x0020_uploads">
      <xsd:simpleType>
        <xsd:restriction base="dms:Boolean"/>
      </xsd:simpleType>
    </xsd:element>
    <xsd:element name="Allow_x0020_comments" ma:index="10" nillable="true" ma:displayName="Allow comments" ma:internalName="Allow_x0020_comments">
      <xsd:simpleType>
        <xsd:restriction base="dms:Boolean"/>
      </xsd:simpleType>
    </xsd:element>
    <xsd:element name="Deadline" ma:index="11" nillable="true" ma:displayName="Deadline" ma:internalName="Deadline">
      <xsd:simpleType>
        <xsd:restriction base="dms:DateTime"/>
      </xsd:simpleType>
    </xsd:element>
    <xsd:element name="Leading_x0020_document" ma:index="12" nillable="true" ma:displayName="Leading document" ma:internalName="Leading_x0020_documen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07f0a-2279-4397-9381-96c735bff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0DC3C-DEE0-460C-B589-0465E6B44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485A1-11AA-442D-8577-727460E39C5A}">
  <ds:schemaRefs>
    <ds:schemaRef ds:uri="http://www.w3.org/XML/1998/namespace"/>
    <ds:schemaRef ds:uri="http://purl.org/dc/elements/1.1/"/>
    <ds:schemaRef ds:uri="ddee4349-d6c5-476b-a1c6-d791a1a12d6c"/>
    <ds:schemaRef ds:uri="http://purl.org/dc/terms/"/>
    <ds:schemaRef ds:uri="efa07f0a-2279-4397-9381-96c735bff43a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735645-9226-4220-A9A0-36A28C64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4349-d6c5-476b-a1c6-d791a1a12d6c"/>
    <ds:schemaRef ds:uri="efa07f0a-2279-4397-9381-96c735bf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827B13-D241-4323-B7A9-75B7AD1AA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6704</Characters>
  <Application>Microsoft Office Word</Application>
  <DocSecurity>4</DocSecurity>
  <Lines>55</Lines>
  <Paragraphs>15</Paragraphs>
  <ScaleCrop>false</ScaleCrop>
  <Company>Insurance Europe</Company>
  <LinksUpToDate>false</LinksUpToDate>
  <CharactersWithSpaces>7864</CharactersWithSpaces>
  <SharedDoc>false</SharedDoc>
  <HLinks>
    <vt:vector size="18" baseType="variant">
      <vt:variant>
        <vt:i4>524338</vt:i4>
      </vt:variant>
      <vt:variant>
        <vt:i4>11</vt:i4>
      </vt:variant>
      <vt:variant>
        <vt:i4>0</vt:i4>
      </vt:variant>
      <vt:variant>
        <vt:i4>5</vt:i4>
      </vt:variant>
      <vt:variant>
        <vt:lpwstr>mailto:info@insuranceeurope.eu</vt:lpwstr>
      </vt:variant>
      <vt:variant>
        <vt:lpwstr/>
      </vt:variant>
      <vt:variant>
        <vt:i4>7667714</vt:i4>
      </vt:variant>
      <vt:variant>
        <vt:i4>5</vt:i4>
      </vt:variant>
      <vt:variant>
        <vt:i4>0</vt:i4>
      </vt:variant>
      <vt:variant>
        <vt:i4>5</vt:i4>
      </vt:variant>
      <vt:variant>
        <vt:lpwstr>https://finance.ec.europa.eu/capital-markets-union-and-financial-markets/company-reporting-and-auditing/company-reporting/corporate-sustainability-reporting_en</vt:lpwstr>
      </vt:variant>
      <vt:variant>
        <vt:lpwstr/>
      </vt:variant>
      <vt:variant>
        <vt:i4>6488129</vt:i4>
      </vt:variant>
      <vt:variant>
        <vt:i4>0</vt:i4>
      </vt:variant>
      <vt:variant>
        <vt:i4>0</vt:i4>
      </vt:variant>
      <vt:variant>
        <vt:i4>5</vt:i4>
      </vt:variant>
      <vt:variant>
        <vt:lpwstr>mailto:Motta@insuranceeurope.eu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Europe Key Messages on the CSRD-ESRS Framework</dc:title>
  <dc:subject/>
  <dc:creator>Insurance Europe</dc:creator>
  <cp:keywords/>
  <cp:lastModifiedBy>jozef.bachnicek</cp:lastModifiedBy>
  <cp:revision>2</cp:revision>
  <dcterms:created xsi:type="dcterms:W3CDTF">2024-10-21T07:13:00Z</dcterms:created>
  <dcterms:modified xsi:type="dcterms:W3CDTF">2024-10-21T07:13:00Z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0x010100F10CA08016993649B987301C6C20DE93</vt:lpwstr>
  </property>
  <property fmtid="{D5CDD505-2E9C-101B-9397-08002B2CF9AE}" pid="3" name="_dlc_DocIdItemGuid">
    <vt:lpwstr>53f2ccfc-cb5c-4b2a-a083-e4a7e98f292e</vt:lpwstr>
  </property>
</Properties>
</file>