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C3E0E" w14:textId="2D33BDD1" w:rsidR="0016089A" w:rsidRPr="00CE6BD9" w:rsidRDefault="00B169AC" w:rsidP="00C36FE1">
      <w:pPr>
        <w:pStyle w:val="CEAStandardHeading"/>
        <w:rPr>
          <w:b/>
          <w:sz w:val="19"/>
          <w:szCs w:val="19"/>
        </w:rPr>
      </w:pPr>
      <w:r>
        <w:rPr>
          <w:sz w:val="19"/>
          <w:szCs w:val="19"/>
        </w:rPr>
        <w:t>Input requested</w:t>
      </w:r>
    </w:p>
    <w:p w14:paraId="5097EBDE" w14:textId="3F4A18E4" w:rsidR="000566A9" w:rsidRDefault="00D505CC" w:rsidP="0092280D">
      <w:pPr>
        <w:rPr>
          <w:iCs/>
          <w:sz w:val="17"/>
          <w:szCs w:val="17"/>
        </w:rPr>
      </w:pPr>
      <w:r>
        <w:rPr>
          <w:iCs/>
          <w:sz w:val="17"/>
          <w:szCs w:val="17"/>
        </w:rPr>
        <w:t>Following the third round of members</w:t>
      </w:r>
      <w:r w:rsidR="005A648C">
        <w:rPr>
          <w:iCs/>
          <w:sz w:val="17"/>
          <w:szCs w:val="17"/>
        </w:rPr>
        <w:t>’</w:t>
      </w:r>
      <w:r>
        <w:rPr>
          <w:iCs/>
          <w:sz w:val="17"/>
          <w:szCs w:val="17"/>
        </w:rPr>
        <w:t xml:space="preserve"> input on the </w:t>
      </w:r>
      <w:r w:rsidR="00564DE4" w:rsidRPr="00564DE4">
        <w:rPr>
          <w:iCs/>
          <w:sz w:val="17"/>
          <w:szCs w:val="17"/>
        </w:rPr>
        <w:t>IFRS 9 Post Implementation Review</w:t>
      </w:r>
      <w:r w:rsidR="000566A9">
        <w:rPr>
          <w:iCs/>
          <w:sz w:val="17"/>
          <w:szCs w:val="17"/>
        </w:rPr>
        <w:t xml:space="preserve"> (</w:t>
      </w:r>
      <w:hyperlink r:id="rId11" w:history="1">
        <w:r w:rsidR="000566A9" w:rsidRPr="00C21FBD">
          <w:rPr>
            <w:rStyle w:val="Hypertextovprepojenie"/>
            <w:iCs/>
            <w:sz w:val="17"/>
            <w:szCs w:val="17"/>
          </w:rPr>
          <w:t>ECO-FRG-21-149</w:t>
        </w:r>
      </w:hyperlink>
      <w:r w:rsidR="000566A9">
        <w:rPr>
          <w:iCs/>
          <w:sz w:val="17"/>
          <w:szCs w:val="17"/>
        </w:rPr>
        <w:t>)</w:t>
      </w:r>
      <w:r w:rsidR="00564DE4" w:rsidRPr="00564DE4">
        <w:rPr>
          <w:iCs/>
          <w:sz w:val="17"/>
          <w:szCs w:val="17"/>
        </w:rPr>
        <w:t xml:space="preserve">, </w:t>
      </w:r>
      <w:r w:rsidR="001F5517">
        <w:rPr>
          <w:iCs/>
          <w:sz w:val="17"/>
          <w:szCs w:val="17"/>
        </w:rPr>
        <w:t xml:space="preserve">no unanimous </w:t>
      </w:r>
      <w:r w:rsidR="000079D2">
        <w:rPr>
          <w:iCs/>
          <w:sz w:val="17"/>
          <w:szCs w:val="17"/>
        </w:rPr>
        <w:t>position on the proposed impairment models emerged</w:t>
      </w:r>
      <w:r w:rsidR="00A85CAC">
        <w:rPr>
          <w:iCs/>
          <w:sz w:val="17"/>
          <w:szCs w:val="17"/>
        </w:rPr>
        <w:t xml:space="preserve"> from members</w:t>
      </w:r>
      <w:r w:rsidR="000079D2">
        <w:rPr>
          <w:iCs/>
          <w:sz w:val="17"/>
          <w:szCs w:val="17"/>
        </w:rPr>
        <w:t>. T</w:t>
      </w:r>
      <w:r w:rsidR="00564DE4" w:rsidRPr="00564DE4">
        <w:rPr>
          <w:iCs/>
          <w:sz w:val="17"/>
          <w:szCs w:val="17"/>
        </w:rPr>
        <w:t>he secretariat</w:t>
      </w:r>
      <w:r w:rsidR="000566A9">
        <w:rPr>
          <w:iCs/>
          <w:sz w:val="17"/>
          <w:szCs w:val="17"/>
        </w:rPr>
        <w:t xml:space="preserve"> </w:t>
      </w:r>
      <w:r w:rsidR="005F15DA">
        <w:rPr>
          <w:iCs/>
          <w:sz w:val="17"/>
          <w:szCs w:val="17"/>
        </w:rPr>
        <w:t xml:space="preserve">continued discussions with the CFOF in view of finding a common </w:t>
      </w:r>
      <w:r w:rsidR="000079D2">
        <w:rPr>
          <w:iCs/>
          <w:sz w:val="17"/>
          <w:szCs w:val="17"/>
        </w:rPr>
        <w:t>position to present EFRAG and the IASB.</w:t>
      </w:r>
    </w:p>
    <w:p w14:paraId="326AB302" w14:textId="4F23A912" w:rsidR="000079D2" w:rsidRDefault="000079D2" w:rsidP="0092280D">
      <w:pPr>
        <w:rPr>
          <w:iCs/>
          <w:sz w:val="17"/>
          <w:szCs w:val="17"/>
        </w:rPr>
      </w:pPr>
    </w:p>
    <w:p w14:paraId="1013BB15" w14:textId="41E52D37" w:rsidR="00AC04D8" w:rsidRDefault="000079D2" w:rsidP="0092280D">
      <w:pPr>
        <w:rPr>
          <w:iCs/>
          <w:sz w:val="17"/>
          <w:szCs w:val="17"/>
        </w:rPr>
      </w:pPr>
      <w:r>
        <w:rPr>
          <w:iCs/>
          <w:sz w:val="17"/>
          <w:szCs w:val="17"/>
        </w:rPr>
        <w:t>The CFO Forum</w:t>
      </w:r>
      <w:r w:rsidR="008F124A">
        <w:rPr>
          <w:iCs/>
          <w:sz w:val="17"/>
          <w:szCs w:val="17"/>
        </w:rPr>
        <w:t xml:space="preserve"> circulated on </w:t>
      </w:r>
      <w:r w:rsidR="000A6372">
        <w:rPr>
          <w:iCs/>
          <w:sz w:val="17"/>
          <w:szCs w:val="17"/>
        </w:rPr>
        <w:t>20 December a proposed impairment model to accompany the call for the reintroduction of recycling</w:t>
      </w:r>
      <w:r w:rsidR="00206FA8">
        <w:rPr>
          <w:iCs/>
          <w:sz w:val="17"/>
          <w:szCs w:val="17"/>
        </w:rPr>
        <w:t>, for which they</w:t>
      </w:r>
      <w:r w:rsidR="00564DE4" w:rsidRPr="00564DE4">
        <w:rPr>
          <w:iCs/>
          <w:sz w:val="17"/>
          <w:szCs w:val="17"/>
        </w:rPr>
        <w:t xml:space="preserve"> seek</w:t>
      </w:r>
      <w:r w:rsidR="00206FA8">
        <w:rPr>
          <w:iCs/>
          <w:sz w:val="17"/>
          <w:szCs w:val="17"/>
        </w:rPr>
        <w:t xml:space="preserve"> their</w:t>
      </w:r>
      <w:r w:rsidR="00564DE4" w:rsidRPr="00564DE4">
        <w:rPr>
          <w:iCs/>
          <w:sz w:val="17"/>
          <w:szCs w:val="17"/>
        </w:rPr>
        <w:t xml:space="preserve"> members’ view</w:t>
      </w:r>
      <w:r w:rsidR="00206FA8">
        <w:rPr>
          <w:iCs/>
          <w:sz w:val="17"/>
          <w:szCs w:val="17"/>
        </w:rPr>
        <w:t>s</w:t>
      </w:r>
      <w:r w:rsidR="00564DE4" w:rsidRPr="00564DE4">
        <w:rPr>
          <w:iCs/>
          <w:sz w:val="17"/>
          <w:szCs w:val="17"/>
        </w:rPr>
        <w:t xml:space="preserve"> </w:t>
      </w:r>
      <w:r w:rsidR="00206FA8">
        <w:rPr>
          <w:iCs/>
          <w:sz w:val="17"/>
          <w:szCs w:val="17"/>
        </w:rPr>
        <w:t xml:space="preserve">by </w:t>
      </w:r>
      <w:r w:rsidR="00160956">
        <w:rPr>
          <w:iCs/>
          <w:sz w:val="17"/>
          <w:szCs w:val="17"/>
        </w:rPr>
        <w:t>6</w:t>
      </w:r>
      <w:r w:rsidR="0040398F">
        <w:rPr>
          <w:iCs/>
          <w:sz w:val="17"/>
          <w:szCs w:val="17"/>
        </w:rPr>
        <w:t xml:space="preserve"> January:</w:t>
      </w:r>
    </w:p>
    <w:p w14:paraId="3EEF6EF4" w14:textId="565F568D" w:rsidR="001E4D62" w:rsidRPr="001F7054" w:rsidRDefault="001E4D62" w:rsidP="0092280D">
      <w:pPr>
        <w:rPr>
          <w:sz w:val="17"/>
          <w:szCs w:val="17"/>
          <w:u w:val="single"/>
        </w:rPr>
      </w:pPr>
      <w:r w:rsidRPr="001F7054">
        <w:rPr>
          <w:sz w:val="17"/>
          <w:szCs w:val="17"/>
          <w:u w:val="single"/>
        </w:rPr>
        <w:t xml:space="preserve"> </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5"/>
      </w:tblGrid>
      <w:tr w:rsidR="001E4D62" w:rsidRPr="00C15ADE" w14:paraId="4FFCE655" w14:textId="77777777" w:rsidTr="004B563F">
        <w:trPr>
          <w:trHeight w:val="975"/>
        </w:trPr>
        <w:tc>
          <w:tcPr>
            <w:tcW w:w="9495" w:type="dxa"/>
          </w:tcPr>
          <w:p w14:paraId="18F0E94C" w14:textId="2303F8F0" w:rsidR="00B964EC" w:rsidRDefault="00F64827" w:rsidP="0092280D">
            <w:pPr>
              <w:ind w:left="-22"/>
              <w:rPr>
                <w:b/>
                <w:bCs/>
                <w:sz w:val="17"/>
                <w:szCs w:val="17"/>
              </w:rPr>
            </w:pPr>
            <w:r>
              <w:rPr>
                <w:b/>
                <w:bCs/>
                <w:sz w:val="17"/>
                <w:szCs w:val="17"/>
              </w:rPr>
              <w:t>Rebutt</w:t>
            </w:r>
            <w:r w:rsidR="00B964EC">
              <w:rPr>
                <w:b/>
                <w:bCs/>
                <w:sz w:val="17"/>
                <w:szCs w:val="17"/>
              </w:rPr>
              <w:t>ab</w:t>
            </w:r>
            <w:r>
              <w:rPr>
                <w:b/>
                <w:bCs/>
                <w:sz w:val="17"/>
                <w:szCs w:val="17"/>
              </w:rPr>
              <w:t xml:space="preserve">le </w:t>
            </w:r>
            <w:r w:rsidR="00B964EC">
              <w:rPr>
                <w:b/>
                <w:bCs/>
                <w:sz w:val="17"/>
                <w:szCs w:val="17"/>
              </w:rPr>
              <w:t>“default” impairment model:</w:t>
            </w:r>
          </w:p>
          <w:p w14:paraId="5182A5D7" w14:textId="77777777" w:rsidR="00B964EC" w:rsidRDefault="00B964EC" w:rsidP="0092280D">
            <w:pPr>
              <w:ind w:left="-22"/>
              <w:rPr>
                <w:b/>
                <w:bCs/>
                <w:sz w:val="17"/>
                <w:szCs w:val="17"/>
              </w:rPr>
            </w:pPr>
          </w:p>
          <w:p w14:paraId="02804B0E" w14:textId="6D32D0D6" w:rsidR="001E4D62" w:rsidRPr="00C15ADE" w:rsidRDefault="001E4D62" w:rsidP="0092280D">
            <w:pPr>
              <w:ind w:left="-22"/>
              <w:rPr>
                <w:b/>
                <w:bCs/>
                <w:sz w:val="17"/>
                <w:szCs w:val="17"/>
              </w:rPr>
            </w:pPr>
            <w:r w:rsidRPr="00C15ADE">
              <w:rPr>
                <w:b/>
                <w:bCs/>
                <w:sz w:val="17"/>
                <w:szCs w:val="17"/>
              </w:rPr>
              <w:t>An equity position is written down to its current market value and the loss recognised in P&amp;L if either:</w:t>
            </w:r>
          </w:p>
          <w:p w14:paraId="0ECC0559" w14:textId="44000AE4" w:rsidR="001E4D62" w:rsidRPr="00C15ADE" w:rsidRDefault="001E4D62" w:rsidP="0092280D">
            <w:pPr>
              <w:pStyle w:val="Odsekzoznamu"/>
              <w:numPr>
                <w:ilvl w:val="0"/>
                <w:numId w:val="5"/>
              </w:numPr>
              <w:ind w:left="698"/>
              <w:jc w:val="both"/>
              <w:rPr>
                <w:b/>
                <w:bCs/>
                <w:sz w:val="17"/>
                <w:szCs w:val="17"/>
              </w:rPr>
            </w:pPr>
            <w:r w:rsidRPr="00C15ADE">
              <w:rPr>
                <w:b/>
                <w:bCs/>
                <w:sz w:val="17"/>
                <w:szCs w:val="17"/>
              </w:rPr>
              <w:t xml:space="preserve">its </w:t>
            </w:r>
            <w:r w:rsidRPr="000518C4">
              <w:rPr>
                <w:b/>
                <w:bCs/>
                <w:sz w:val="17"/>
                <w:szCs w:val="17"/>
              </w:rPr>
              <w:t>current</w:t>
            </w:r>
            <w:r w:rsidRPr="00C15ADE">
              <w:rPr>
                <w:b/>
                <w:bCs/>
                <w:sz w:val="17"/>
                <w:szCs w:val="17"/>
              </w:rPr>
              <w:t xml:space="preserve"> price at closing is more than </w:t>
            </w:r>
            <w:r w:rsidRPr="00B27B66">
              <w:rPr>
                <w:b/>
                <w:bCs/>
                <w:sz w:val="17"/>
                <w:szCs w:val="17"/>
              </w:rPr>
              <w:t>[</w:t>
            </w:r>
            <w:r w:rsidRPr="00B27B66">
              <w:rPr>
                <w:b/>
                <w:bCs/>
                <w:sz w:val="17"/>
                <w:szCs w:val="17"/>
                <w:u w:val="single"/>
              </w:rPr>
              <w:t>2</w:t>
            </w:r>
            <w:r w:rsidR="00B27B66" w:rsidRPr="00B27B66">
              <w:rPr>
                <w:b/>
                <w:bCs/>
                <w:sz w:val="17"/>
                <w:szCs w:val="17"/>
                <w:u w:val="single"/>
              </w:rPr>
              <w:t>5</w:t>
            </w:r>
            <w:r w:rsidRPr="00C15ADE">
              <w:rPr>
                <w:b/>
                <w:bCs/>
                <w:sz w:val="17"/>
                <w:szCs w:val="17"/>
              </w:rPr>
              <w:t xml:space="preserve">] % below </w:t>
            </w:r>
            <w:r w:rsidR="00B27B66">
              <w:rPr>
                <w:b/>
                <w:bCs/>
                <w:sz w:val="17"/>
                <w:szCs w:val="17"/>
              </w:rPr>
              <w:t>carrying value</w:t>
            </w:r>
          </w:p>
          <w:p w14:paraId="43F5CFB9" w14:textId="77777777" w:rsidR="001E4D62" w:rsidRPr="00C15ADE" w:rsidRDefault="001E4D62" w:rsidP="0092280D">
            <w:pPr>
              <w:rPr>
                <w:b/>
                <w:bCs/>
                <w:sz w:val="17"/>
                <w:szCs w:val="17"/>
              </w:rPr>
            </w:pPr>
            <w:r w:rsidRPr="00C15ADE">
              <w:rPr>
                <w:b/>
                <w:bCs/>
                <w:sz w:val="17"/>
                <w:szCs w:val="17"/>
              </w:rPr>
              <w:t>or</w:t>
            </w:r>
          </w:p>
          <w:p w14:paraId="482EB304" w14:textId="3D2DD2EF" w:rsidR="001E4D62" w:rsidRPr="00C15ADE" w:rsidRDefault="001E4D62" w:rsidP="0092280D">
            <w:pPr>
              <w:pStyle w:val="Odsekzoznamu"/>
              <w:numPr>
                <w:ilvl w:val="0"/>
                <w:numId w:val="5"/>
              </w:numPr>
              <w:ind w:left="698"/>
              <w:jc w:val="both"/>
              <w:rPr>
                <w:b/>
                <w:bCs/>
                <w:sz w:val="17"/>
                <w:szCs w:val="17"/>
              </w:rPr>
            </w:pPr>
            <w:r w:rsidRPr="00C15ADE">
              <w:rPr>
                <w:b/>
                <w:bCs/>
                <w:sz w:val="17"/>
                <w:szCs w:val="17"/>
              </w:rPr>
              <w:t xml:space="preserve">its </w:t>
            </w:r>
            <w:r w:rsidRPr="000518C4">
              <w:rPr>
                <w:b/>
                <w:bCs/>
                <w:sz w:val="17"/>
                <w:szCs w:val="17"/>
              </w:rPr>
              <w:t>current</w:t>
            </w:r>
            <w:r w:rsidRPr="00C15ADE">
              <w:rPr>
                <w:b/>
                <w:bCs/>
                <w:sz w:val="17"/>
                <w:szCs w:val="17"/>
              </w:rPr>
              <w:t xml:space="preserve"> price has remained below </w:t>
            </w:r>
            <w:r w:rsidR="00B27B66">
              <w:rPr>
                <w:b/>
                <w:bCs/>
                <w:sz w:val="17"/>
                <w:szCs w:val="17"/>
              </w:rPr>
              <w:t>carrying value</w:t>
            </w:r>
            <w:r w:rsidRPr="00C15ADE">
              <w:rPr>
                <w:b/>
                <w:bCs/>
                <w:sz w:val="17"/>
                <w:szCs w:val="17"/>
              </w:rPr>
              <w:t xml:space="preserve"> for more than [</w:t>
            </w:r>
            <w:r w:rsidR="00B27B66" w:rsidRPr="0075203E">
              <w:rPr>
                <w:b/>
                <w:bCs/>
                <w:sz w:val="17"/>
                <w:szCs w:val="17"/>
                <w:u w:val="single"/>
              </w:rPr>
              <w:t>2</w:t>
            </w:r>
            <w:r w:rsidRPr="00C15ADE">
              <w:rPr>
                <w:b/>
                <w:bCs/>
                <w:sz w:val="17"/>
                <w:szCs w:val="17"/>
              </w:rPr>
              <w:t xml:space="preserve">] consecutive quarters </w:t>
            </w:r>
          </w:p>
          <w:p w14:paraId="42966CE1" w14:textId="77777777" w:rsidR="001E4D62" w:rsidRPr="00C15ADE" w:rsidRDefault="001E4D62" w:rsidP="0092280D">
            <w:pPr>
              <w:rPr>
                <w:b/>
                <w:bCs/>
                <w:sz w:val="17"/>
                <w:szCs w:val="17"/>
              </w:rPr>
            </w:pPr>
          </w:p>
          <w:p w14:paraId="1FDBD812" w14:textId="6A71E14F" w:rsidR="001E4D62" w:rsidRPr="00C15ADE" w:rsidRDefault="001E4D62" w:rsidP="0092280D">
            <w:r w:rsidRPr="00625735">
              <w:rPr>
                <w:b/>
                <w:bCs/>
                <w:sz w:val="17"/>
                <w:szCs w:val="17"/>
              </w:rPr>
              <w:t>The impairment model would allow</w:t>
            </w:r>
            <w:r w:rsidR="006A12FE">
              <w:rPr>
                <w:b/>
                <w:bCs/>
                <w:sz w:val="17"/>
                <w:szCs w:val="17"/>
              </w:rPr>
              <w:t xml:space="preserve"> for</w:t>
            </w:r>
            <w:r w:rsidRPr="00625735">
              <w:rPr>
                <w:b/>
                <w:bCs/>
                <w:sz w:val="17"/>
                <w:szCs w:val="17"/>
              </w:rPr>
              <w:t xml:space="preserve"> reversals of equity impairments</w:t>
            </w:r>
            <w:r>
              <w:rPr>
                <w:b/>
                <w:bCs/>
                <w:sz w:val="17"/>
                <w:szCs w:val="17"/>
              </w:rPr>
              <w:t>.</w:t>
            </w:r>
          </w:p>
        </w:tc>
      </w:tr>
    </w:tbl>
    <w:p w14:paraId="341D22C5" w14:textId="77777777" w:rsidR="001E4D62" w:rsidRDefault="001E4D62" w:rsidP="0092280D">
      <w:pPr>
        <w:rPr>
          <w:sz w:val="17"/>
          <w:szCs w:val="17"/>
        </w:rPr>
      </w:pPr>
    </w:p>
    <w:p w14:paraId="474B3A28" w14:textId="38626EBB" w:rsidR="00A63A6C" w:rsidRDefault="00A63A6C" w:rsidP="0092280D">
      <w:pPr>
        <w:rPr>
          <w:iCs/>
          <w:sz w:val="17"/>
          <w:szCs w:val="17"/>
        </w:rPr>
      </w:pPr>
      <w:r>
        <w:rPr>
          <w:iCs/>
          <w:sz w:val="17"/>
          <w:szCs w:val="17"/>
        </w:rPr>
        <w:t xml:space="preserve">The secretariat recommends that we </w:t>
      </w:r>
      <w:r w:rsidR="00CE0171">
        <w:rPr>
          <w:iCs/>
          <w:sz w:val="17"/>
          <w:szCs w:val="17"/>
        </w:rPr>
        <w:t xml:space="preserve">support the </w:t>
      </w:r>
      <w:r w:rsidR="008F7EDB">
        <w:rPr>
          <w:iCs/>
          <w:sz w:val="17"/>
          <w:szCs w:val="17"/>
        </w:rPr>
        <w:t>proposal by the CFOF for the following reasons:</w:t>
      </w:r>
    </w:p>
    <w:p w14:paraId="40317C68" w14:textId="7746286C" w:rsidR="00D376E1" w:rsidRDefault="00D376E1" w:rsidP="0092280D">
      <w:pPr>
        <w:pStyle w:val="CEABullet-Level1"/>
      </w:pPr>
      <w:r>
        <w:t xml:space="preserve">The CFOF </w:t>
      </w:r>
      <w:r w:rsidR="005C323A">
        <w:t>proposed impairment model</w:t>
      </w:r>
      <w:r w:rsidR="00BA6755">
        <w:t xml:space="preserve"> </w:t>
      </w:r>
      <w:r w:rsidR="00BF4A5C">
        <w:t>is very close to the one developed</w:t>
      </w:r>
      <w:r w:rsidR="007C3476">
        <w:t xml:space="preserve"> and proposed</w:t>
      </w:r>
      <w:r w:rsidR="00BF4A5C">
        <w:t xml:space="preserve"> by the </w:t>
      </w:r>
      <w:r w:rsidR="007C3476">
        <w:t>secretariat</w:t>
      </w:r>
      <w:r w:rsidR="00BF4A5C">
        <w:t xml:space="preserve"> </w:t>
      </w:r>
      <w:r w:rsidR="00BA6755">
        <w:t>(20% decline, 3 quarters)</w:t>
      </w:r>
      <w:r w:rsidR="007C3476">
        <w:t xml:space="preserve"> and</w:t>
      </w:r>
      <w:r w:rsidR="005C323A">
        <w:t xml:space="preserve"> was supported by a number of members</w:t>
      </w:r>
      <w:r w:rsidR="007C3476">
        <w:t>.</w:t>
      </w:r>
    </w:p>
    <w:p w14:paraId="1E15D3A3" w14:textId="1F41644E" w:rsidR="008F7EDB" w:rsidRDefault="00F50CC5" w:rsidP="0092280D">
      <w:pPr>
        <w:pStyle w:val="CEABullet-Level1"/>
      </w:pPr>
      <w:r w:rsidRPr="00A00777">
        <w:t>Defending a unified industry position to the IASB and EFRAG will increase our chances of success in reintroducing recycling for FVOCI equities</w:t>
      </w:r>
      <w:r w:rsidR="00D21173">
        <w:t>.</w:t>
      </w:r>
    </w:p>
    <w:p w14:paraId="67256486" w14:textId="35684F4D" w:rsidR="000E536B" w:rsidRPr="00A00777" w:rsidRDefault="000E536B" w:rsidP="0092280D">
      <w:pPr>
        <w:pStyle w:val="CEABullet-Level1"/>
      </w:pPr>
      <w:r>
        <w:t>Failing to put forward</w:t>
      </w:r>
      <w:r w:rsidR="002C5997">
        <w:t xml:space="preserve"> a proposed impairment model</w:t>
      </w:r>
      <w:r w:rsidR="00910A1A">
        <w:t xml:space="preserve"> to the IASB</w:t>
      </w:r>
      <w:r w:rsidR="002C5997">
        <w:t xml:space="preserve"> will</w:t>
      </w:r>
      <w:r w:rsidR="000A3ADC">
        <w:t xml:space="preserve"> mean we have made no progress from our current position</w:t>
      </w:r>
      <w:r w:rsidR="00592512">
        <w:t xml:space="preserve"> and</w:t>
      </w:r>
      <w:r w:rsidR="00C80D41">
        <w:t>, in the secretariat’s view</w:t>
      </w:r>
      <w:r w:rsidR="00592512">
        <w:t xml:space="preserve"> (see Annex 1)</w:t>
      </w:r>
      <w:r w:rsidR="00C80D41">
        <w:t>,</w:t>
      </w:r>
      <w:r w:rsidR="002C5997">
        <w:t xml:space="preserve"> </w:t>
      </w:r>
      <w:r w:rsidR="00C80D41">
        <w:t xml:space="preserve">significantly reduce our chances </w:t>
      </w:r>
      <w:r w:rsidR="00AF52B1">
        <w:t>to achieve</w:t>
      </w:r>
      <w:r w:rsidR="00910A1A">
        <w:t xml:space="preserve"> the reintroduction of recycling</w:t>
      </w:r>
      <w:r w:rsidR="002F0DF4">
        <w:t xml:space="preserve"> by showing the industry’s inability to arrive at a consensus on rules to apply</w:t>
      </w:r>
      <w:r w:rsidR="00D21173">
        <w:t xml:space="preserve"> for impairment</w:t>
      </w:r>
      <w:r w:rsidR="002F0DF4">
        <w:t>.</w:t>
      </w:r>
    </w:p>
    <w:p w14:paraId="7E67C6D4" w14:textId="77777777" w:rsidR="009A3899" w:rsidRDefault="009A3899" w:rsidP="0092280D"/>
    <w:p w14:paraId="020D5C90" w14:textId="4E40E169" w:rsidR="009A3899" w:rsidRPr="009A3899" w:rsidRDefault="009A3899" w:rsidP="0092280D">
      <w:pPr>
        <w:rPr>
          <w:iCs/>
          <w:sz w:val="17"/>
          <w:szCs w:val="17"/>
        </w:rPr>
      </w:pPr>
      <w:r w:rsidRPr="009A3899">
        <w:rPr>
          <w:iCs/>
          <w:sz w:val="17"/>
          <w:szCs w:val="17"/>
        </w:rPr>
        <w:t xml:space="preserve">We will make sure that the position makes clear that </w:t>
      </w:r>
      <w:r w:rsidR="008C4851">
        <w:rPr>
          <w:iCs/>
          <w:sz w:val="17"/>
          <w:szCs w:val="17"/>
        </w:rPr>
        <w:t>i</w:t>
      </w:r>
      <w:r w:rsidRPr="009A3899">
        <w:rPr>
          <w:iCs/>
          <w:sz w:val="17"/>
          <w:szCs w:val="17"/>
        </w:rPr>
        <w:t>nsurers using FVPL is a valid choice for many companies, and any development on recycling for FVOCI equities should not undermine this choice.</w:t>
      </w:r>
    </w:p>
    <w:p w14:paraId="0719960F" w14:textId="77777777" w:rsidR="00A63A6C" w:rsidRDefault="00A63A6C" w:rsidP="0092280D">
      <w:pPr>
        <w:rPr>
          <w:iCs/>
          <w:sz w:val="17"/>
          <w:szCs w:val="17"/>
        </w:rPr>
      </w:pPr>
    </w:p>
    <w:p w14:paraId="4D6A5B1D" w14:textId="55E5ACC2" w:rsidR="0040398F" w:rsidRDefault="00994A62" w:rsidP="0092280D">
      <w:pPr>
        <w:rPr>
          <w:iCs/>
          <w:sz w:val="17"/>
          <w:szCs w:val="17"/>
        </w:rPr>
      </w:pPr>
      <w:r>
        <w:rPr>
          <w:iCs/>
          <w:sz w:val="17"/>
          <w:szCs w:val="17"/>
        </w:rPr>
        <w:t xml:space="preserve">Members are kindly requested to provide their input on the </w:t>
      </w:r>
      <w:r w:rsidR="00DC1329">
        <w:rPr>
          <w:iCs/>
          <w:sz w:val="17"/>
          <w:szCs w:val="17"/>
        </w:rPr>
        <w:t xml:space="preserve">CFOF’s proposed impairment triggers and the secretariat’s approach </w:t>
      </w:r>
      <w:r w:rsidR="00DC1329" w:rsidRPr="00B169AC">
        <w:rPr>
          <w:b/>
          <w:bCs/>
          <w:iCs/>
          <w:sz w:val="17"/>
          <w:szCs w:val="17"/>
        </w:rPr>
        <w:t>by 5 Janu</w:t>
      </w:r>
      <w:r w:rsidR="00B169AC" w:rsidRPr="00B169AC">
        <w:rPr>
          <w:b/>
          <w:bCs/>
          <w:iCs/>
          <w:sz w:val="17"/>
          <w:szCs w:val="17"/>
        </w:rPr>
        <w:t>ary COB</w:t>
      </w:r>
      <w:r w:rsidR="00B169AC">
        <w:rPr>
          <w:iCs/>
          <w:sz w:val="17"/>
          <w:szCs w:val="17"/>
        </w:rPr>
        <w:t>.</w:t>
      </w:r>
    </w:p>
    <w:p w14:paraId="672170A1" w14:textId="3C4A069C" w:rsidR="00B6492C" w:rsidRDefault="00B6492C" w:rsidP="0092280D">
      <w:pPr>
        <w:rPr>
          <w:iCs/>
          <w:sz w:val="17"/>
          <w:szCs w:val="17"/>
        </w:rPr>
      </w:pPr>
    </w:p>
    <w:p w14:paraId="7EEC595F" w14:textId="7AEB7F17" w:rsidR="00B6492C" w:rsidRPr="008A0A73" w:rsidRDefault="00B6492C" w:rsidP="0092280D">
      <w:pPr>
        <w:rPr>
          <w:iCs/>
          <w:sz w:val="17"/>
          <w:szCs w:val="17"/>
        </w:rPr>
      </w:pPr>
      <w:r>
        <w:rPr>
          <w:iCs/>
          <w:sz w:val="17"/>
          <w:szCs w:val="17"/>
        </w:rPr>
        <w:t xml:space="preserve">If members agree with the secretariat’s suggestion, </w:t>
      </w:r>
      <w:r w:rsidR="00F3709C">
        <w:rPr>
          <w:iCs/>
          <w:sz w:val="17"/>
          <w:szCs w:val="17"/>
        </w:rPr>
        <w:t xml:space="preserve">the secretariat will assist the CFOF in drafting an industry response to the EFRAG and IASB consultations. </w:t>
      </w:r>
    </w:p>
    <w:p w14:paraId="323F702F" w14:textId="13FC59A9" w:rsidR="00D805B5" w:rsidRDefault="00D805B5" w:rsidP="0092280D">
      <w:pPr>
        <w:spacing w:after="200" w:line="276" w:lineRule="auto"/>
        <w:rPr>
          <w:iCs/>
          <w:sz w:val="17"/>
          <w:szCs w:val="17"/>
        </w:rPr>
      </w:pPr>
      <w:r>
        <w:rPr>
          <w:iCs/>
          <w:sz w:val="17"/>
          <w:szCs w:val="17"/>
        </w:rPr>
        <w:br w:type="page"/>
      </w:r>
    </w:p>
    <w:p w14:paraId="103E3A2E" w14:textId="77777777" w:rsidR="00E21AD5" w:rsidRPr="00C15ADE" w:rsidRDefault="00E21AD5" w:rsidP="0092280D">
      <w:pPr>
        <w:pStyle w:val="CEAStandardHeading"/>
        <w:rPr>
          <w:b/>
          <w:sz w:val="19"/>
          <w:szCs w:val="19"/>
        </w:rPr>
      </w:pPr>
      <w:r w:rsidRPr="00C15ADE">
        <w:rPr>
          <w:sz w:val="19"/>
          <w:szCs w:val="19"/>
        </w:rPr>
        <w:lastRenderedPageBreak/>
        <w:t>Background</w:t>
      </w:r>
    </w:p>
    <w:p w14:paraId="4FF4562E" w14:textId="77777777" w:rsidR="00E21AD5" w:rsidRPr="00C15ADE" w:rsidRDefault="00E21AD5" w:rsidP="0092280D">
      <w:pPr>
        <w:rPr>
          <w:i/>
          <w:iCs/>
          <w:sz w:val="17"/>
          <w:szCs w:val="17"/>
        </w:rPr>
      </w:pPr>
      <w:r w:rsidRPr="00C15ADE">
        <w:rPr>
          <w:i/>
          <w:iCs/>
          <w:sz w:val="17"/>
          <w:szCs w:val="17"/>
        </w:rPr>
        <w:t>Recycling of FVOCI equities</w:t>
      </w:r>
    </w:p>
    <w:p w14:paraId="6B9B02FE" w14:textId="77777777" w:rsidR="00E21AD5" w:rsidRPr="00C15ADE" w:rsidRDefault="00E21AD5" w:rsidP="0092280D">
      <w:pPr>
        <w:rPr>
          <w:b/>
          <w:bCs/>
          <w:sz w:val="17"/>
          <w:szCs w:val="17"/>
        </w:rPr>
      </w:pPr>
      <w:r w:rsidRPr="00C15ADE">
        <w:rPr>
          <w:sz w:val="17"/>
          <w:szCs w:val="17"/>
        </w:rPr>
        <w:t>The issue of recycling has long been part of our position and the subject of many debates with the EC, EFRAG and the IASB. The latest position of the IASB on the matter was expressed by Sue Lloyd in 2018 (</w:t>
      </w:r>
      <w:hyperlink r:id="rId12" w:history="1">
        <w:r w:rsidRPr="00C15ADE">
          <w:rPr>
            <w:rStyle w:val="Hypertextovprepojenie"/>
            <w:sz w:val="17"/>
            <w:szCs w:val="17"/>
          </w:rPr>
          <w:t>here</w:t>
        </w:r>
      </w:hyperlink>
      <w:r w:rsidRPr="00C15ADE">
        <w:rPr>
          <w:sz w:val="17"/>
          <w:szCs w:val="17"/>
        </w:rPr>
        <w:t>). One of the main criticisms from those opposed to the reintroduction of recycling for FVOCI equities is that the impairment rules under IAS 39 for AFS equities was not effective and allowed for significant judgement to be used which led to “cherry picking” and inconsistent profit/loss reporting.</w:t>
      </w:r>
    </w:p>
    <w:p w14:paraId="34CEB3C6" w14:textId="77777777" w:rsidR="00E21AD5" w:rsidRPr="00C15ADE" w:rsidRDefault="00E21AD5" w:rsidP="0092280D">
      <w:pPr>
        <w:rPr>
          <w:sz w:val="17"/>
          <w:szCs w:val="17"/>
        </w:rPr>
      </w:pPr>
    </w:p>
    <w:p w14:paraId="78D3832D" w14:textId="77777777" w:rsidR="00E21AD5" w:rsidRPr="00C15ADE" w:rsidRDefault="00E21AD5" w:rsidP="0092280D">
      <w:pPr>
        <w:autoSpaceDE w:val="0"/>
        <w:autoSpaceDN w:val="0"/>
        <w:adjustRightInd w:val="0"/>
        <w:textAlignment w:val="center"/>
        <w:rPr>
          <w:rFonts w:cs="Arial"/>
          <w:sz w:val="17"/>
          <w:szCs w:val="17"/>
        </w:rPr>
      </w:pPr>
      <w:r w:rsidRPr="00C15ADE">
        <w:rPr>
          <w:rFonts w:cs="Arial"/>
          <w:sz w:val="17"/>
          <w:szCs w:val="17"/>
        </w:rPr>
        <w:t>The flexibility under IAS 39 for companies to each set their own trigger points or to change their trigger points during market volatility could be used by those against recycling as a cause for concern over consistency and profit management. Our previous position on allowing recycling including the following on impairments:</w:t>
      </w:r>
    </w:p>
    <w:p w14:paraId="655C43CA" w14:textId="77777777" w:rsidR="00E21AD5" w:rsidRPr="00C15ADE" w:rsidRDefault="00E21AD5" w:rsidP="0092280D">
      <w:pPr>
        <w:pStyle w:val="Default"/>
        <w:spacing w:line="288" w:lineRule="auto"/>
        <w:jc w:val="both"/>
        <w:rPr>
          <w:sz w:val="17"/>
          <w:szCs w:val="17"/>
        </w:rPr>
      </w:pPr>
    </w:p>
    <w:p w14:paraId="1FA192B2" w14:textId="77777777" w:rsidR="00E21AD5" w:rsidRPr="00C15ADE" w:rsidRDefault="00E21AD5" w:rsidP="0092280D">
      <w:pPr>
        <w:autoSpaceDE w:val="0"/>
        <w:autoSpaceDN w:val="0"/>
        <w:adjustRightInd w:val="0"/>
        <w:textAlignment w:val="center"/>
        <w:rPr>
          <w:rFonts w:cs="Arial"/>
          <w:sz w:val="17"/>
          <w:szCs w:val="17"/>
        </w:rPr>
      </w:pPr>
      <w:r w:rsidRPr="00C15ADE">
        <w:rPr>
          <w:rFonts w:cs="Arial"/>
          <w:i/>
          <w:iCs/>
          <w:sz w:val="17"/>
          <w:szCs w:val="17"/>
        </w:rPr>
        <w:t>We support the inclusion of rebuttable quantitative impairment triggers in an impairment model determined by management. IFRS 9 could however provide additional guidance on the meaning of “significant” or “prolonged”. Our experience in the past with the impairment model under IAS 39 showed that such guidance might be beneficial. Consistent with the principle-based nature of the IFRS-Standards, it should be up to the reporting entity to specify the impairment triggers  and to disclose the applied valuation rules, including the quantitative impairment triggers, in the notes to the financial statement.(</w:t>
      </w:r>
      <w:hyperlink r:id="rId13" w:history="1">
        <w:r w:rsidRPr="00C15ADE">
          <w:rPr>
            <w:rStyle w:val="Hypertextovprepojenie"/>
            <w:rFonts w:cs="Arial"/>
            <w:i/>
            <w:iCs/>
            <w:sz w:val="17"/>
            <w:szCs w:val="17"/>
          </w:rPr>
          <w:t>here</w:t>
        </w:r>
      </w:hyperlink>
      <w:r w:rsidRPr="00C15ADE">
        <w:rPr>
          <w:rFonts w:cs="Arial"/>
          <w:i/>
          <w:iCs/>
          <w:sz w:val="17"/>
          <w:szCs w:val="17"/>
        </w:rPr>
        <w:t>)</w:t>
      </w:r>
    </w:p>
    <w:p w14:paraId="1485893D" w14:textId="77777777" w:rsidR="00E21AD5" w:rsidRPr="00C15ADE" w:rsidRDefault="00E21AD5" w:rsidP="0092280D">
      <w:pPr>
        <w:autoSpaceDE w:val="0"/>
        <w:autoSpaceDN w:val="0"/>
        <w:adjustRightInd w:val="0"/>
        <w:textAlignment w:val="center"/>
        <w:rPr>
          <w:rFonts w:cs="Arial"/>
          <w:sz w:val="17"/>
          <w:szCs w:val="17"/>
        </w:rPr>
      </w:pPr>
    </w:p>
    <w:p w14:paraId="61EEA314" w14:textId="77777777" w:rsidR="00E21AD5" w:rsidRPr="00C15ADE" w:rsidRDefault="00E21AD5" w:rsidP="0092280D">
      <w:pPr>
        <w:rPr>
          <w:i/>
          <w:iCs/>
          <w:sz w:val="17"/>
          <w:szCs w:val="17"/>
        </w:rPr>
      </w:pPr>
      <w:r w:rsidRPr="00C15ADE">
        <w:rPr>
          <w:i/>
          <w:iCs/>
          <w:sz w:val="17"/>
          <w:szCs w:val="17"/>
        </w:rPr>
        <w:t>Equity-like instruments, such as UCITS, should be eligible for recycling and the impairment model should allow fair value losses which are likely to be permanent to be identified and must also allow reversals.</w:t>
      </w:r>
      <w:r w:rsidRPr="00C15ADE">
        <w:rPr>
          <w:rFonts w:cs="Arial"/>
          <w:i/>
          <w:iCs/>
          <w:sz w:val="17"/>
          <w:szCs w:val="17"/>
        </w:rPr>
        <w:t xml:space="preserve"> </w:t>
      </w:r>
    </w:p>
    <w:p w14:paraId="3E885914" w14:textId="77777777" w:rsidR="004A5502" w:rsidRDefault="004A5502" w:rsidP="0092280D">
      <w:pPr>
        <w:rPr>
          <w:sz w:val="17"/>
          <w:szCs w:val="17"/>
        </w:rPr>
      </w:pPr>
    </w:p>
    <w:p w14:paraId="1AF31FC4" w14:textId="75544FDA" w:rsidR="00E21AD5" w:rsidRPr="00C15ADE" w:rsidRDefault="00E21AD5" w:rsidP="0092280D">
      <w:pPr>
        <w:rPr>
          <w:sz w:val="17"/>
          <w:szCs w:val="17"/>
        </w:rPr>
      </w:pPr>
      <w:r w:rsidRPr="00C15ADE">
        <w:rPr>
          <w:sz w:val="17"/>
          <w:szCs w:val="17"/>
        </w:rPr>
        <w:t xml:space="preserve">In our July FRWG meeting, we agreed to work on a proposal for a robust impairment model to accompany recycling. </w:t>
      </w:r>
    </w:p>
    <w:p w14:paraId="7C167273" w14:textId="77777777" w:rsidR="00E21AD5" w:rsidRPr="00C15ADE" w:rsidRDefault="00E21AD5" w:rsidP="0092280D">
      <w:pPr>
        <w:rPr>
          <w:sz w:val="17"/>
          <w:szCs w:val="17"/>
        </w:rPr>
      </w:pPr>
    </w:p>
    <w:p w14:paraId="0431943A" w14:textId="77777777" w:rsidR="00E21AD5" w:rsidRPr="00C15ADE" w:rsidRDefault="00E21AD5" w:rsidP="0092280D">
      <w:pPr>
        <w:rPr>
          <w:rFonts w:cs="Arial"/>
          <w:sz w:val="17"/>
          <w:szCs w:val="17"/>
        </w:rPr>
      </w:pPr>
      <w:r w:rsidRPr="00C15ADE">
        <w:rPr>
          <w:sz w:val="17"/>
          <w:szCs w:val="17"/>
        </w:rPr>
        <w:t xml:space="preserve">The revised proposal focuses on providing </w:t>
      </w:r>
      <w:r w:rsidRPr="00C15ADE">
        <w:rPr>
          <w:b/>
          <w:bCs/>
          <w:sz w:val="17"/>
          <w:szCs w:val="17"/>
        </w:rPr>
        <w:t>objective criteria for triggering impairment</w:t>
      </w:r>
      <w:r w:rsidRPr="00C15ADE">
        <w:rPr>
          <w:sz w:val="17"/>
          <w:szCs w:val="17"/>
        </w:rPr>
        <w:t xml:space="preserve"> of an asset measured at FVOCI by </w:t>
      </w:r>
      <w:r w:rsidRPr="00C15ADE">
        <w:rPr>
          <w:b/>
          <w:bCs/>
          <w:sz w:val="17"/>
          <w:szCs w:val="17"/>
        </w:rPr>
        <w:t>defining what a “prolonged” and “significant” decline of fair value</w:t>
      </w:r>
      <w:r w:rsidRPr="00C15ADE">
        <w:rPr>
          <w:sz w:val="17"/>
          <w:szCs w:val="17"/>
        </w:rPr>
        <w:t xml:space="preserve"> is. </w:t>
      </w:r>
      <w:r w:rsidRPr="00C15ADE">
        <w:rPr>
          <w:rFonts w:cs="Arial"/>
          <w:b/>
          <w:bCs/>
          <w:sz w:val="17"/>
          <w:szCs w:val="17"/>
        </w:rPr>
        <w:t>Allowing reversals</w:t>
      </w:r>
      <w:r w:rsidRPr="00C15ADE">
        <w:rPr>
          <w:rFonts w:cs="Arial"/>
          <w:sz w:val="17"/>
          <w:szCs w:val="17"/>
        </w:rPr>
        <w:t xml:space="preserve"> could ensure that a simple impairment rule could be acceptable because if an equity recovers then the impairment would be reversed.  </w:t>
      </w:r>
    </w:p>
    <w:p w14:paraId="7D101EA7" w14:textId="77777777" w:rsidR="00E21AD5" w:rsidRDefault="00E21AD5" w:rsidP="0092280D">
      <w:pPr>
        <w:rPr>
          <w:sz w:val="17"/>
          <w:szCs w:val="17"/>
        </w:rPr>
      </w:pPr>
    </w:p>
    <w:p w14:paraId="6E74E59A" w14:textId="77777777" w:rsidR="00E21AD5" w:rsidRDefault="00E21AD5" w:rsidP="0092280D">
      <w:pPr>
        <w:rPr>
          <w:sz w:val="17"/>
          <w:szCs w:val="17"/>
        </w:rPr>
      </w:pPr>
      <w:r w:rsidRPr="00C15ADE">
        <w:rPr>
          <w:sz w:val="17"/>
          <w:szCs w:val="17"/>
        </w:rPr>
        <w:t xml:space="preserve">Such a rule could avoid that short term market movements and price dips force an impairment and avoid the need to reverse impairments too often while addressing concerns by ensuring consistency and that significant and/or prolonged falls in value will be reflected in P&amp;L. </w:t>
      </w:r>
    </w:p>
    <w:p w14:paraId="15992562" w14:textId="77777777" w:rsidR="00E21AD5" w:rsidRDefault="00E21AD5" w:rsidP="0092280D">
      <w:pPr>
        <w:rPr>
          <w:sz w:val="17"/>
          <w:szCs w:val="17"/>
        </w:rPr>
      </w:pPr>
    </w:p>
    <w:p w14:paraId="2F3BCB63" w14:textId="77777777" w:rsidR="00E21AD5" w:rsidRPr="00C15ADE" w:rsidRDefault="00E21AD5" w:rsidP="0092280D">
      <w:pPr>
        <w:rPr>
          <w:i/>
          <w:iCs/>
          <w:sz w:val="17"/>
          <w:szCs w:val="17"/>
        </w:rPr>
      </w:pPr>
      <w:r w:rsidRPr="00C15ADE">
        <w:rPr>
          <w:i/>
          <w:iCs/>
          <w:sz w:val="17"/>
          <w:szCs w:val="17"/>
        </w:rPr>
        <w:t>ESG Bonds</w:t>
      </w:r>
    </w:p>
    <w:p w14:paraId="23F663F1" w14:textId="77777777" w:rsidR="00E21AD5" w:rsidRPr="00C15ADE" w:rsidRDefault="00E21AD5" w:rsidP="0092280D">
      <w:pPr>
        <w:rPr>
          <w:sz w:val="17"/>
          <w:szCs w:val="17"/>
        </w:rPr>
      </w:pPr>
      <w:r w:rsidRPr="00C15ADE">
        <w:rPr>
          <w:sz w:val="17"/>
          <w:szCs w:val="17"/>
        </w:rPr>
        <w:t>In our July FRWG meeting, we agreed to work on a proposal for a robust impairment model to accompany recycling and the possibility of adding the issue of the treatment of green bonds to our position on the IFRS 9 PIR.</w:t>
      </w:r>
    </w:p>
    <w:p w14:paraId="3E64D943" w14:textId="77777777" w:rsidR="00E21AD5" w:rsidRPr="00C15ADE" w:rsidRDefault="00E21AD5" w:rsidP="0092280D">
      <w:pPr>
        <w:rPr>
          <w:sz w:val="17"/>
          <w:szCs w:val="17"/>
        </w:rPr>
      </w:pPr>
    </w:p>
    <w:p w14:paraId="3DEFA878" w14:textId="77777777" w:rsidR="00E21AD5" w:rsidRDefault="00E21AD5" w:rsidP="0092280D">
      <w:pPr>
        <w:rPr>
          <w:sz w:val="17"/>
          <w:szCs w:val="17"/>
        </w:rPr>
      </w:pPr>
      <w:r w:rsidRPr="00C15ADE">
        <w:rPr>
          <w:sz w:val="17"/>
          <w:szCs w:val="17"/>
        </w:rPr>
        <w:t>The issue of bonds and loans with interest rate or other features linked to the achievement of ESG targets of the issuer or linked to the proceeds of an ESG project was not widespread at the time IFRS 9 was developed by the IASB. From the perspective of the holder, the application of the SPPI test or of the contractual linked test in IFRS 9 may result in these instruments failing to be eligible for classification at amortised cost or at fair value through OCI, unless the entity demonstrates that the feature under investigation has an indirect credit risk nature (e.g., the reduction of interest rates reflects a lower credit risk that accompanies the achievement of the ESG target).</w:t>
      </w:r>
    </w:p>
    <w:p w14:paraId="2E1EE839" w14:textId="77777777" w:rsidR="00E21AD5" w:rsidRDefault="00E21AD5" w:rsidP="0092280D">
      <w:pPr>
        <w:rPr>
          <w:sz w:val="17"/>
          <w:szCs w:val="17"/>
        </w:rPr>
      </w:pPr>
    </w:p>
    <w:p w14:paraId="45054181" w14:textId="77777777" w:rsidR="00050106" w:rsidRDefault="003C7C5B" w:rsidP="0092280D">
      <w:pPr>
        <w:rPr>
          <w:sz w:val="17"/>
          <w:szCs w:val="17"/>
        </w:rPr>
      </w:pPr>
      <w:r>
        <w:rPr>
          <w:sz w:val="17"/>
          <w:szCs w:val="17"/>
        </w:rPr>
        <w:t>EFRAG has put forward a number of solutions, but members have not</w:t>
      </w:r>
      <w:r w:rsidR="00930B64">
        <w:rPr>
          <w:sz w:val="17"/>
          <w:szCs w:val="17"/>
        </w:rPr>
        <w:t xml:space="preserve"> provided any feedback on them, or indicated that Insurance Europe should take a position on one or more of them.</w:t>
      </w:r>
      <w:r w:rsidR="00AB1C1A" w:rsidRPr="00AB1C1A">
        <w:rPr>
          <w:sz w:val="17"/>
          <w:szCs w:val="17"/>
        </w:rPr>
        <w:t xml:space="preserve"> </w:t>
      </w:r>
    </w:p>
    <w:p w14:paraId="4F42191F" w14:textId="77777777" w:rsidR="00050106" w:rsidRDefault="00050106" w:rsidP="0092280D">
      <w:pPr>
        <w:rPr>
          <w:sz w:val="17"/>
          <w:szCs w:val="17"/>
        </w:rPr>
      </w:pPr>
    </w:p>
    <w:p w14:paraId="3DF7EC48" w14:textId="794D2EFA" w:rsidR="00E21AD5" w:rsidRPr="00C15ADE" w:rsidRDefault="00AB1C1A" w:rsidP="0092280D">
      <w:pPr>
        <w:rPr>
          <w:sz w:val="17"/>
          <w:szCs w:val="17"/>
        </w:rPr>
      </w:pPr>
      <w:r>
        <w:rPr>
          <w:sz w:val="17"/>
          <w:szCs w:val="17"/>
        </w:rPr>
        <w:t>Therefore, we will continue to maintain the position currently held, which is to raise the issue of ESG related bonds as an area of concern in our response to the IFRS 9 PIR</w:t>
      </w:r>
      <w:r w:rsidR="00CA022A">
        <w:rPr>
          <w:sz w:val="17"/>
          <w:szCs w:val="17"/>
        </w:rPr>
        <w:t>, without putting forward views on solutions.</w:t>
      </w:r>
    </w:p>
    <w:p w14:paraId="7E643E87" w14:textId="77777777" w:rsidR="00E21AD5" w:rsidRPr="00C15ADE" w:rsidRDefault="00E21AD5" w:rsidP="0092280D">
      <w:pPr>
        <w:rPr>
          <w:sz w:val="17"/>
          <w:szCs w:val="17"/>
        </w:rPr>
      </w:pPr>
      <w:r w:rsidRPr="00C15ADE">
        <w:rPr>
          <w:sz w:val="17"/>
          <w:szCs w:val="17"/>
        </w:rPr>
        <w:br w:type="page"/>
      </w:r>
    </w:p>
    <w:p w14:paraId="66BFB4CE" w14:textId="77777777" w:rsidR="00E21AD5" w:rsidRPr="00C15ADE" w:rsidRDefault="00E21AD5" w:rsidP="0092280D">
      <w:pPr>
        <w:pStyle w:val="CEAStandardHeading"/>
        <w:rPr>
          <w:u w:val="single"/>
        </w:rPr>
      </w:pPr>
      <w:r w:rsidRPr="00C15ADE">
        <w:rPr>
          <w:u w:val="single"/>
        </w:rPr>
        <w:lastRenderedPageBreak/>
        <w:t>Annex I: Insurance Europe’s existing position on recycling under IFRS 9</w:t>
      </w:r>
    </w:p>
    <w:p w14:paraId="1F3F51B0" w14:textId="7C5C2BE6" w:rsidR="00E21AD5" w:rsidRDefault="00E21AD5" w:rsidP="0092280D">
      <w:pPr>
        <w:rPr>
          <w:b/>
          <w:bCs/>
          <w:sz w:val="17"/>
          <w:szCs w:val="17"/>
        </w:rPr>
      </w:pPr>
      <w:r>
        <w:rPr>
          <w:b/>
          <w:bCs/>
          <w:sz w:val="17"/>
          <w:szCs w:val="17"/>
        </w:rPr>
        <w:t>Important note for Fair Value through Profit and Loss (FVPL) users:</w:t>
      </w:r>
    </w:p>
    <w:p w14:paraId="5B2D8535" w14:textId="77777777" w:rsidR="00E21AD5" w:rsidRDefault="00E21AD5" w:rsidP="0092280D">
      <w:pPr>
        <w:rPr>
          <w:sz w:val="17"/>
          <w:szCs w:val="17"/>
        </w:rPr>
      </w:pPr>
      <w:r>
        <w:rPr>
          <w:sz w:val="17"/>
          <w:szCs w:val="17"/>
        </w:rPr>
        <w:t xml:space="preserve">A </w:t>
      </w:r>
      <w:r w:rsidRPr="004B64D7">
        <w:rPr>
          <w:sz w:val="17"/>
          <w:szCs w:val="17"/>
        </w:rPr>
        <w:t>reintroduction o</w:t>
      </w:r>
      <w:r>
        <w:rPr>
          <w:sz w:val="17"/>
          <w:szCs w:val="17"/>
        </w:rPr>
        <w:t>f</w:t>
      </w:r>
      <w:r w:rsidRPr="004B64D7">
        <w:rPr>
          <w:sz w:val="17"/>
          <w:szCs w:val="17"/>
        </w:rPr>
        <w:t xml:space="preserve"> recycling and impairment for equity instruments should not limit the possibility for companies to</w:t>
      </w:r>
      <w:r>
        <w:rPr>
          <w:sz w:val="17"/>
          <w:szCs w:val="17"/>
        </w:rPr>
        <w:t xml:space="preserve"> </w:t>
      </w:r>
      <w:r w:rsidRPr="004B64D7">
        <w:rPr>
          <w:sz w:val="17"/>
          <w:szCs w:val="17"/>
        </w:rPr>
        <w:t>continue measuring equity instruments at Fair value through profit or loss (FVTPL) where this provides the</w:t>
      </w:r>
      <w:r>
        <w:rPr>
          <w:sz w:val="17"/>
          <w:szCs w:val="17"/>
        </w:rPr>
        <w:t xml:space="preserve"> </w:t>
      </w:r>
      <w:r w:rsidRPr="004B64D7">
        <w:rPr>
          <w:sz w:val="17"/>
          <w:szCs w:val="17"/>
        </w:rPr>
        <w:t>appropriate representation of their performance</w:t>
      </w:r>
    </w:p>
    <w:p w14:paraId="6388351A" w14:textId="77777777" w:rsidR="00E21AD5" w:rsidRPr="00C15ADE" w:rsidRDefault="00E21AD5" w:rsidP="0092280D">
      <w:pPr>
        <w:rPr>
          <w:sz w:val="17"/>
          <w:szCs w:val="17"/>
        </w:rPr>
      </w:pPr>
    </w:p>
    <w:p w14:paraId="7B6A005B" w14:textId="77777777" w:rsidR="00E21AD5" w:rsidRPr="00C15ADE" w:rsidRDefault="00E21AD5" w:rsidP="0092280D">
      <w:r w:rsidRPr="00C15ADE">
        <w:rPr>
          <w:sz w:val="17"/>
          <w:szCs w:val="17"/>
        </w:rPr>
        <w:t>Following the EFRAG’s endorsement advice to the EC on IFRS 9 published in September 2015(</w:t>
      </w:r>
      <w:hyperlink r:id="rId14" w:history="1">
        <w:r w:rsidRPr="00C15ADE">
          <w:rPr>
            <w:rStyle w:val="Hypertextovprepojenie"/>
            <w:sz w:val="17"/>
            <w:szCs w:val="17"/>
          </w:rPr>
          <w:t>here</w:t>
        </w:r>
      </w:hyperlink>
      <w:r w:rsidRPr="00C15ADE">
        <w:rPr>
          <w:sz w:val="17"/>
          <w:szCs w:val="17"/>
        </w:rPr>
        <w:t xml:space="preserve">), the EC sent a request to EFRAG to consider solutions to this issue and the related issue of recognition of certain equity like instruments under IFRS 9. EFRAG published a discussion paper in March 2018. The secretariat responded to EFRAG’s discussion paper on equity instruments - impairment and recycling (see </w:t>
      </w:r>
      <w:hyperlink r:id="rId15" w:history="1">
        <w:r w:rsidRPr="00C15ADE">
          <w:rPr>
            <w:rStyle w:val="Hypertextovprepojenie"/>
            <w:sz w:val="17"/>
            <w:szCs w:val="17"/>
          </w:rPr>
          <w:t>ECO-FRG-18-075</w:t>
        </w:r>
      </w:hyperlink>
      <w:r w:rsidRPr="00C15ADE">
        <w:rPr>
          <w:sz w:val="17"/>
          <w:szCs w:val="17"/>
        </w:rPr>
        <w:t xml:space="preserve">) and sent a letter to EFRAG’s president (see </w:t>
      </w:r>
      <w:hyperlink r:id="rId16" w:history="1">
        <w:r w:rsidRPr="00C15ADE">
          <w:rPr>
            <w:rStyle w:val="Hypertextovprepojenie"/>
            <w:sz w:val="17"/>
            <w:szCs w:val="17"/>
          </w:rPr>
          <w:t>ECO-FRG-18-076</w:t>
        </w:r>
      </w:hyperlink>
      <w:r w:rsidRPr="00C15ADE">
        <w:rPr>
          <w:sz w:val="17"/>
          <w:szCs w:val="17"/>
        </w:rPr>
        <w:t xml:space="preserve">) on 24 May 2018. </w:t>
      </w:r>
    </w:p>
    <w:p w14:paraId="2C9CA210" w14:textId="77777777" w:rsidR="00E21AD5" w:rsidRPr="00C15ADE" w:rsidRDefault="00E21AD5" w:rsidP="0092280D">
      <w:pPr>
        <w:rPr>
          <w:sz w:val="17"/>
          <w:szCs w:val="17"/>
        </w:rPr>
      </w:pPr>
    </w:p>
    <w:p w14:paraId="10021529" w14:textId="77777777" w:rsidR="00E21AD5" w:rsidRDefault="00E21AD5" w:rsidP="0092280D">
      <w:pPr>
        <w:rPr>
          <w:sz w:val="17"/>
          <w:szCs w:val="17"/>
        </w:rPr>
      </w:pPr>
      <w:r w:rsidRPr="00C15ADE">
        <w:rPr>
          <w:sz w:val="17"/>
          <w:szCs w:val="17"/>
        </w:rPr>
        <w:t xml:space="preserve">Later that year, the European Commission, as part of its Action Plan on sustainable finance sent a request to EFRAG to investigate “alternative” methods of accounting for long term equity investments on 1 June 2018. The secretariat’s response, written jointly with the CFOF, which also calls for the reintroduction of recycling can be found </w:t>
      </w:r>
      <w:hyperlink r:id="rId17" w:history="1">
        <w:r w:rsidRPr="00C15ADE">
          <w:rPr>
            <w:rStyle w:val="Hypertextovprepojenie"/>
            <w:sz w:val="17"/>
            <w:szCs w:val="17"/>
          </w:rPr>
          <w:t>here</w:t>
        </w:r>
      </w:hyperlink>
      <w:r w:rsidRPr="00C15ADE">
        <w:rPr>
          <w:sz w:val="17"/>
          <w:szCs w:val="17"/>
        </w:rPr>
        <w:t>.</w:t>
      </w:r>
    </w:p>
    <w:p w14:paraId="3AF2751A" w14:textId="77777777" w:rsidR="00E21AD5" w:rsidRDefault="00E21AD5" w:rsidP="0092280D">
      <w:pPr>
        <w:rPr>
          <w:sz w:val="17"/>
          <w:szCs w:val="17"/>
        </w:rPr>
      </w:pPr>
    </w:p>
    <w:p w14:paraId="02832A8F" w14:textId="77777777" w:rsidR="00E21AD5" w:rsidRPr="00C15ADE" w:rsidRDefault="00E21AD5" w:rsidP="0092280D">
      <w:pPr>
        <w:rPr>
          <w:sz w:val="17"/>
          <w:szCs w:val="17"/>
        </w:rPr>
      </w:pPr>
      <w:r w:rsidRPr="00C15ADE">
        <w:rPr>
          <w:sz w:val="17"/>
          <w:szCs w:val="17"/>
        </w:rPr>
        <w:t>Our arguments in favour of the reintroduction of recycling are the following:</w:t>
      </w:r>
    </w:p>
    <w:p w14:paraId="2D0AF6E7" w14:textId="77777777" w:rsidR="00E21AD5" w:rsidRPr="00C15ADE" w:rsidRDefault="00E21AD5" w:rsidP="0092280D">
      <w:pPr>
        <w:pStyle w:val="CEABullet-Level1"/>
        <w:ind w:left="360"/>
      </w:pPr>
      <w:r w:rsidRPr="00C15ADE">
        <w:rPr>
          <w:u w:val="single"/>
        </w:rPr>
        <w:t>Unfaithful presentation of performance</w:t>
      </w:r>
      <w:r w:rsidRPr="00C15ADE">
        <w:t>: the prohibition of recycling results in irrelevant information as it does not reflect an entity’s business model or fails to convey information about management performance and stewardship. In addition, many users of financial statements are interested in having additional information distinguishing realized from unrealized gains and losses. Recognizing gains and losses of equity instruments measured at FVOCI in the P&amp;L would give users information about the economically motivated disinvestments decisions made by management and would thus put investors in a better position to assess the stewardship of management.</w:t>
      </w:r>
    </w:p>
    <w:p w14:paraId="18AEC13B" w14:textId="77777777" w:rsidR="00E21AD5" w:rsidRPr="00C15ADE" w:rsidRDefault="00E21AD5" w:rsidP="0092280D">
      <w:pPr>
        <w:pStyle w:val="CEABullet-Level1"/>
        <w:ind w:left="360"/>
      </w:pPr>
      <w:r w:rsidRPr="00C15ADE">
        <w:rPr>
          <w:u w:val="single"/>
        </w:rPr>
        <w:t xml:space="preserve">Differential treatment of Fair Value Gains and Dividends: </w:t>
      </w:r>
      <w:r w:rsidRPr="00C15ADE">
        <w:t>Due to the prohibition of recycling, the cash flows relating to gains on disposal from the sale of equity instruments, which are measured at FVOCI, are not reported in profit and loss anymore (in contrast to IAS 39). As a result, the general principle to show in a transparent way all realised gains and losses in the profit and loss account has been left out under IFRS 9. This creates the false impression that the cumulative gains and losses at the time of disposal of equity instruments are not relevant or economically insignificant, and therefore not a part of the financial performance. In fact, capital gains on average have been larger than dividends and are fundamental to insurer’s rationale of investing in equities. On average since 1930, returns on capital have been more significant (5,5%) than from dividends (4.1%). From a company perspective, the lack of recycling can therefore create an unnecessary distortion in the presentation of the financial performance of long-term equity investments using, FVOCI. For insurers the problem can be exacerbated because the equity investments can be backing insurance liabilities. Increases in the liabilities will in some cases need to go through P&amp;L and are economically matched by the combination of dividends and capital gains. Therefore, to avoid accounting mismatch in such cases the ability to recycle equity capital gains through P&amp;L is needed.</w:t>
      </w:r>
    </w:p>
    <w:p w14:paraId="0337A896" w14:textId="77777777" w:rsidR="00E21AD5" w:rsidRPr="00C15ADE" w:rsidRDefault="00E21AD5" w:rsidP="0092280D">
      <w:pPr>
        <w:pStyle w:val="CEABullet-Level1"/>
        <w:ind w:left="360"/>
      </w:pPr>
      <w:r w:rsidRPr="00C15ADE">
        <w:rPr>
          <w:u w:val="single"/>
        </w:rPr>
        <w:t>Conceptual framework argument</w:t>
      </w:r>
      <w:r w:rsidRPr="00C15ADE">
        <w:t xml:space="preserve">: The Conceptual Framework acknowledges that amounts should be recognised in profit or loss when it results in more relevant information. Therefore, all gains and loses should be presented in profit or loss at some point in time as profit or loss is the primary statement of performance under the Conceptual Framework for Financial Reporting. </w:t>
      </w:r>
    </w:p>
    <w:p w14:paraId="094B4628" w14:textId="77777777" w:rsidR="00E21AD5" w:rsidRDefault="00E21AD5" w:rsidP="0092280D">
      <w:pPr>
        <w:pStyle w:val="CEABullet-Level1"/>
        <w:ind w:left="360"/>
      </w:pPr>
      <w:r w:rsidRPr="00C15ADE">
        <w:rPr>
          <w:u w:val="single"/>
        </w:rPr>
        <w:t>Accounting disadvantage for equities</w:t>
      </w:r>
      <w:r>
        <w:rPr>
          <w:u w:val="single"/>
        </w:rPr>
        <w:t xml:space="preserve"> vs debt</w:t>
      </w:r>
      <w:r w:rsidRPr="00C15ADE">
        <w:rPr>
          <w:u w:val="single"/>
        </w:rPr>
        <w:t>:</w:t>
      </w:r>
      <w:r w:rsidRPr="00C15ADE">
        <w:t xml:space="preserve"> entities applying IFRS 9 for debt securities have the option to measure them at FVOCI with recycling, which creates an accounting disadvantage for equity investments which need to either be measured at FVPL or at FVOCI without recycling.</w:t>
      </w:r>
    </w:p>
    <w:p w14:paraId="27CF20D6" w14:textId="77777777" w:rsidR="00E21AD5" w:rsidRPr="00C15ADE" w:rsidRDefault="00E21AD5" w:rsidP="0092280D">
      <w:pPr>
        <w:pStyle w:val="CEABullet-Level1"/>
        <w:ind w:left="360"/>
        <w:rPr>
          <w:szCs w:val="17"/>
        </w:rPr>
      </w:pPr>
      <w:r w:rsidRPr="00C15ADE">
        <w:rPr>
          <w:u w:val="single"/>
        </w:rPr>
        <w:t>On the need for reversals</w:t>
      </w:r>
      <w:r w:rsidRPr="00C15ADE">
        <w:t xml:space="preserve">: </w:t>
      </w:r>
      <w:r w:rsidRPr="00C15ADE">
        <w:rPr>
          <w:szCs w:val="17"/>
        </w:rPr>
        <w:t xml:space="preserve">We acknowledge that some of the negative fair value changes might have a permanent nature and it would be more appropriate and in line with the principle of prudence of the revised Conceptual Framework for Financial Reporting to reflect such fair value changes in profit and loss. An appropriate impairment model would allow fair value losses which are likely to be permanent to be identified. However, it is important that reversals of impairments are also possible. The notion of ‘once impaired always </w:t>
      </w:r>
      <w:r w:rsidRPr="00C15ADE">
        <w:rPr>
          <w:szCs w:val="17"/>
        </w:rPr>
        <w:lastRenderedPageBreak/>
        <w:t>impaired’ would not reflect correctly the economic reality and from a transparency perspective would be incorrect.</w:t>
      </w:r>
    </w:p>
    <w:p w14:paraId="2E0CD191" w14:textId="77777777" w:rsidR="00E21AD5" w:rsidRPr="00C15ADE" w:rsidRDefault="00E21AD5" w:rsidP="0092280D">
      <w:pPr>
        <w:pStyle w:val="CEABullet-Level1"/>
        <w:ind w:left="360"/>
      </w:pPr>
      <w:r w:rsidRPr="00C15ADE">
        <w:rPr>
          <w:u w:val="single"/>
        </w:rPr>
        <w:t>On the treatment of investments funds</w:t>
      </w:r>
      <w:r>
        <w:rPr>
          <w:u w:val="single"/>
        </w:rPr>
        <w:t xml:space="preserve"> and puttable instruments</w:t>
      </w:r>
      <w:r w:rsidRPr="00C15ADE">
        <w:t>: Under IAS 39, investments through an investment fund</w:t>
      </w:r>
      <w:r>
        <w:t xml:space="preserve"> or </w:t>
      </w:r>
      <w:r>
        <w:rPr>
          <w:lang w:val="en-US"/>
        </w:rPr>
        <w:t xml:space="preserve">also private equity investments in real projects like infrastructure </w:t>
      </w:r>
      <w:r w:rsidRPr="00C15ADE">
        <w:t xml:space="preserve">are usually accounted for as equity instruments (such as UCITs) classified as Available for Sale (AFS), with recognition of changes in fair value in OCI. Under IFRS 9, those investments are considered to be debt instruments and have to be accounted for at FVPL since these would normally not meet the “solely payments of principal and interest” (SPPI) –criteria. This significant change in accounting treatment creates volatility in the statement of profit and loss that is not consistent with the long-term investment perspective of these instruments. It would also create accounting mismatches if the corresponding liabilities are not accounted for at FVPL under IFRS 17. </w:t>
      </w:r>
    </w:p>
    <w:p w14:paraId="3CD06904" w14:textId="77777777" w:rsidR="00E21AD5" w:rsidRPr="00C15ADE" w:rsidRDefault="00E21AD5" w:rsidP="0092280D">
      <w:pPr>
        <w:pStyle w:val="CEABullet-Level1"/>
        <w:ind w:left="360"/>
      </w:pPr>
      <w:r w:rsidRPr="00C15ADE">
        <w:t xml:space="preserve">In case no changes are proposed in the accounting treatment of </w:t>
      </w:r>
      <w:r w:rsidRPr="008467A1">
        <w:rPr>
          <w:u w:val="single"/>
        </w:rPr>
        <w:t>indirectly held equity instruments</w:t>
      </w:r>
      <w:r w:rsidRPr="00C15ADE">
        <w:t xml:space="preserve">, we expect the attractiveness of these types of investments to decrease significantly. Therefore, we ask the </w:t>
      </w:r>
      <w:r>
        <w:t>IASB</w:t>
      </w:r>
      <w:r w:rsidRPr="00C15ADE">
        <w:t xml:space="preserve"> to consider this detrimental accounting treatment for indirect investments in equity instruments in order to allow insurance companies to continue to invest in this asset category from a long-term investment perspective and in the context of a well-diversified asset portfolio. </w:t>
      </w:r>
    </w:p>
    <w:p w14:paraId="225980EB" w14:textId="77777777" w:rsidR="00E21AD5" w:rsidRPr="00C15ADE" w:rsidRDefault="00E21AD5" w:rsidP="0092280D">
      <w:pPr>
        <w:pStyle w:val="CEABullet-Level1"/>
        <w:ind w:left="360"/>
      </w:pPr>
      <w:r w:rsidRPr="00C15ADE">
        <w:t>IFRS 9/IAS 32 accounting rules should not disincentive related long-term equity investments of insurers, irrespective if they are held directly or indirectly.</w:t>
      </w:r>
    </w:p>
    <w:p w14:paraId="5EB36F44" w14:textId="77777777" w:rsidR="00E21AD5" w:rsidRPr="00C15ADE" w:rsidRDefault="00E21AD5" w:rsidP="0092280D"/>
    <w:p w14:paraId="24C070E0" w14:textId="77777777" w:rsidR="00E21AD5" w:rsidRPr="00C15ADE" w:rsidRDefault="00E21AD5" w:rsidP="0092280D">
      <w:pPr>
        <w:rPr>
          <w:sz w:val="17"/>
          <w:szCs w:val="17"/>
        </w:rPr>
      </w:pPr>
      <w:r w:rsidRPr="00C15ADE">
        <w:rPr>
          <w:sz w:val="17"/>
          <w:szCs w:val="17"/>
        </w:rPr>
        <w:t>Our proposed solution:</w:t>
      </w:r>
    </w:p>
    <w:p w14:paraId="5A9955CD" w14:textId="77777777" w:rsidR="00E21AD5" w:rsidRDefault="00E21AD5" w:rsidP="0092280D">
      <w:pPr>
        <w:pStyle w:val="CEABullet-Level1"/>
        <w:ind w:left="360"/>
      </w:pPr>
      <w:r w:rsidRPr="00C15ADE">
        <w:t xml:space="preserve">We support the inclusion of rebuttable </w:t>
      </w:r>
      <w:r w:rsidRPr="00C15ADE">
        <w:rPr>
          <w:u w:val="single"/>
        </w:rPr>
        <w:t>quantitative impairment triggers</w:t>
      </w:r>
      <w:r w:rsidRPr="00C15ADE">
        <w:t xml:space="preserve"> in an impairment model (including reversals). We acknowledge that some of the negative fair value changes might have a permanent nature and it would be more appropriate, and in line with the principle of prudence of the revised Conceptual Framework for Financial Reporting, to reflect such fair value changes in profit and loss. An appropriate impairment model would allow fair value losses which are likely to be permanent to be identified. However, it is important that reversals of impairments are also possible. The notion of 'once impaired always impaired' would not reflect correctly the economic reality and would be incorrect from a transparency perspective. The prohibition under IAS 39 to reverse in profit and loss previously booked impairment losses ('once impaired always impaired' rule) leads to an asymmetric treatment of significant and prolonged decreases and increases in the fair value of equity instruments Therefore, improvements to the IAS 39 impairment model are needed. One of the key concerns expressed by the IASB is that the impairment model under IAS 39 was not effective. We propose the introduction of quantitative triggers to define what is a significant or prolonged decline in fair value. This could be done by defining a specific percentage decline from the acquisition cost and a specific time period over which the fair value has been below the acquisition cost. However, these quantitative triggers should be rebuttable to take into consideration certain facts and circumstances. The impairment model would also need to allow reversals of equity impairments. The IAS 39 impairment model for equity instruments has favoured late recognition of impairment by prohibiting reversals. The recycling rules should also apply to equity like investments such as UCITS. </w:t>
      </w:r>
    </w:p>
    <w:p w14:paraId="477D7BA1" w14:textId="22652C0E" w:rsidR="009873FF" w:rsidRDefault="009873FF" w:rsidP="0092280D">
      <w:pPr>
        <w:spacing w:after="200" w:line="276" w:lineRule="auto"/>
      </w:pPr>
      <w:r>
        <w:br w:type="page"/>
      </w:r>
    </w:p>
    <w:p w14:paraId="1E57DF6B" w14:textId="77777777" w:rsidR="00E21AD5" w:rsidRDefault="00E21AD5" w:rsidP="0092280D"/>
    <w:p w14:paraId="33FCA761" w14:textId="77777777" w:rsidR="00E21AD5" w:rsidRPr="00916095" w:rsidRDefault="00E21AD5" w:rsidP="0092280D">
      <w:pPr>
        <w:rPr>
          <w:b/>
          <w:bCs/>
          <w:sz w:val="17"/>
          <w:szCs w:val="17"/>
        </w:rPr>
      </w:pPr>
      <w:r w:rsidRPr="00916095">
        <w:rPr>
          <w:b/>
          <w:bCs/>
          <w:sz w:val="17"/>
          <w:szCs w:val="17"/>
        </w:rPr>
        <w:t>Additional key reason why recycling is such an important issue:</w:t>
      </w:r>
    </w:p>
    <w:p w14:paraId="76BDC2AB" w14:textId="77777777" w:rsidR="00E21AD5" w:rsidRDefault="00E21AD5" w:rsidP="0092280D">
      <w:pPr>
        <w:pStyle w:val="CEABullet-Level1"/>
        <w:ind w:left="360"/>
      </w:pPr>
      <w:r w:rsidRPr="008467A1">
        <w:t xml:space="preserve">Insurers have a significant potential appetite for </w:t>
      </w:r>
      <w:r>
        <w:t xml:space="preserve">greater </w:t>
      </w:r>
      <w:r w:rsidRPr="008467A1">
        <w:t xml:space="preserve">equity investing </w:t>
      </w:r>
      <w:r>
        <w:t xml:space="preserve">and Europe has a great need for equity investment as made clear by the </w:t>
      </w:r>
      <w:r w:rsidRPr="008467A1">
        <w:t>CMU</w:t>
      </w:r>
      <w:r>
        <w:t xml:space="preserve"> plan supported by the EC, Council and Parliament. It is</w:t>
      </w:r>
      <w:r w:rsidRPr="008467A1">
        <w:t xml:space="preserve"> important</w:t>
      </w:r>
      <w:r>
        <w:t xml:space="preserve"> therefore </w:t>
      </w:r>
      <w:r w:rsidRPr="008467A1">
        <w:t>to remove any barrier</w:t>
      </w:r>
      <w:r>
        <w:t>s</w:t>
      </w:r>
      <w:r w:rsidRPr="008467A1">
        <w:t xml:space="preserve"> that </w:t>
      </w:r>
      <w:r>
        <w:t>could reduce insurers equity investments.</w:t>
      </w:r>
    </w:p>
    <w:p w14:paraId="68E2050B" w14:textId="77777777" w:rsidR="00E21AD5" w:rsidRDefault="00E21AD5" w:rsidP="0092280D">
      <w:pPr>
        <w:pStyle w:val="CEABullet-Level1"/>
        <w:numPr>
          <w:ilvl w:val="0"/>
          <w:numId w:val="0"/>
        </w:numPr>
        <w:ind w:left="720" w:hanging="360"/>
      </w:pPr>
    </w:p>
    <w:p w14:paraId="41E858A1" w14:textId="77777777" w:rsidR="00E21AD5" w:rsidRDefault="00E21AD5" w:rsidP="0092280D">
      <w:pPr>
        <w:rPr>
          <w:b/>
          <w:bCs/>
          <w:sz w:val="17"/>
          <w:szCs w:val="17"/>
        </w:rPr>
      </w:pPr>
      <w:r w:rsidRPr="00C378A7">
        <w:rPr>
          <w:b/>
          <w:bCs/>
          <w:sz w:val="17"/>
          <w:szCs w:val="17"/>
        </w:rPr>
        <w:t>Recent developments</w:t>
      </w:r>
    </w:p>
    <w:p w14:paraId="099CE5F8" w14:textId="77777777" w:rsidR="00E21AD5" w:rsidRDefault="00E21AD5" w:rsidP="0092280D">
      <w:pPr>
        <w:rPr>
          <w:sz w:val="17"/>
          <w:szCs w:val="17"/>
        </w:rPr>
      </w:pPr>
      <w:r>
        <w:rPr>
          <w:sz w:val="17"/>
          <w:szCs w:val="17"/>
        </w:rPr>
        <w:t>The application of IFRS 9 and its impact on equity holdings has been on the news in November 2021 (</w:t>
      </w:r>
      <w:hyperlink r:id="rId18" w:history="1">
        <w:r w:rsidRPr="00C378A7">
          <w:rPr>
            <w:rStyle w:val="Hypertextovprepojenie"/>
            <w:sz w:val="17"/>
            <w:szCs w:val="17"/>
          </w:rPr>
          <w:t>here</w:t>
        </w:r>
      </w:hyperlink>
      <w:r>
        <w:rPr>
          <w:sz w:val="17"/>
          <w:szCs w:val="17"/>
        </w:rPr>
        <w:t>):</w:t>
      </w:r>
    </w:p>
    <w:p w14:paraId="0249474D" w14:textId="77777777" w:rsidR="009873FF" w:rsidRDefault="009873FF" w:rsidP="0092280D">
      <w:pPr>
        <w:rPr>
          <w:i/>
          <w:iCs/>
          <w:sz w:val="17"/>
          <w:szCs w:val="17"/>
        </w:rPr>
      </w:pPr>
    </w:p>
    <w:p w14:paraId="1E4094DF" w14:textId="56B8956C" w:rsidR="00E21AD5" w:rsidRPr="001E419F" w:rsidRDefault="00E21AD5" w:rsidP="0092280D">
      <w:pPr>
        <w:rPr>
          <w:i/>
          <w:iCs/>
          <w:sz w:val="17"/>
          <w:szCs w:val="17"/>
        </w:rPr>
      </w:pPr>
      <w:r>
        <w:rPr>
          <w:i/>
          <w:iCs/>
          <w:sz w:val="17"/>
          <w:szCs w:val="17"/>
        </w:rPr>
        <w:t>“</w:t>
      </w:r>
      <w:r w:rsidRPr="001E419F">
        <w:rPr>
          <w:i/>
          <w:iCs/>
          <w:sz w:val="17"/>
          <w:szCs w:val="17"/>
        </w:rPr>
        <w:t xml:space="preserve">French reinsurer </w:t>
      </w:r>
      <w:proofErr w:type="spellStart"/>
      <w:r w:rsidRPr="001E419F">
        <w:rPr>
          <w:i/>
          <w:iCs/>
          <w:sz w:val="17"/>
          <w:szCs w:val="17"/>
        </w:rPr>
        <w:t>Scor</w:t>
      </w:r>
      <w:proofErr w:type="spellEnd"/>
      <w:r w:rsidRPr="001E419F">
        <w:rPr>
          <w:i/>
          <w:iCs/>
          <w:sz w:val="17"/>
          <w:szCs w:val="17"/>
        </w:rPr>
        <w:t xml:space="preserve"> sold off half of its equity portfolio, down to €200m, in Q3 2021 after chief investment officer (CIO) Francois de </w:t>
      </w:r>
      <w:proofErr w:type="spellStart"/>
      <w:r w:rsidRPr="001E419F">
        <w:rPr>
          <w:i/>
          <w:iCs/>
          <w:sz w:val="17"/>
          <w:szCs w:val="17"/>
        </w:rPr>
        <w:t>Varenne</w:t>
      </w:r>
      <w:proofErr w:type="spellEnd"/>
      <w:r w:rsidRPr="001E419F">
        <w:rPr>
          <w:i/>
          <w:iCs/>
          <w:sz w:val="17"/>
          <w:szCs w:val="17"/>
        </w:rPr>
        <w:t xml:space="preserve"> warned in September it would review asset allocation ahead of IFRS 9 implementation. Speaking at </w:t>
      </w:r>
      <w:proofErr w:type="spellStart"/>
      <w:r w:rsidRPr="001E419F">
        <w:rPr>
          <w:i/>
          <w:iCs/>
          <w:sz w:val="17"/>
          <w:szCs w:val="17"/>
        </w:rPr>
        <w:t>Scor's</w:t>
      </w:r>
      <w:proofErr w:type="spellEnd"/>
      <w:r w:rsidRPr="001E419F">
        <w:rPr>
          <w:i/>
          <w:iCs/>
          <w:sz w:val="17"/>
          <w:szCs w:val="17"/>
        </w:rPr>
        <w:t xml:space="preserve"> investment day in September, De </w:t>
      </w:r>
      <w:proofErr w:type="spellStart"/>
      <w:r w:rsidRPr="001E419F">
        <w:rPr>
          <w:i/>
          <w:iCs/>
          <w:sz w:val="17"/>
          <w:szCs w:val="17"/>
        </w:rPr>
        <w:t>Varenne</w:t>
      </w:r>
      <w:proofErr w:type="spellEnd"/>
      <w:r w:rsidRPr="001E419F">
        <w:rPr>
          <w:i/>
          <w:iCs/>
          <w:sz w:val="17"/>
          <w:szCs w:val="17"/>
        </w:rPr>
        <w:t xml:space="preserve"> said some asset class allocation, "notably equity securities and structured products" would be reviewed ahead of the transition to IFRS 9.</w:t>
      </w:r>
      <w:r>
        <w:rPr>
          <w:i/>
          <w:iCs/>
          <w:sz w:val="17"/>
          <w:szCs w:val="17"/>
        </w:rPr>
        <w:t>”</w:t>
      </w:r>
    </w:p>
    <w:p w14:paraId="2E9BE5C9" w14:textId="77777777" w:rsidR="00E21AD5" w:rsidRDefault="00E21AD5" w:rsidP="0092280D">
      <w:pPr>
        <w:rPr>
          <w:i/>
          <w:iCs/>
          <w:sz w:val="17"/>
          <w:szCs w:val="17"/>
        </w:rPr>
      </w:pPr>
    </w:p>
    <w:p w14:paraId="2DCB2165" w14:textId="77777777" w:rsidR="00E21AD5" w:rsidRPr="001E419F" w:rsidRDefault="00E21AD5" w:rsidP="0092280D">
      <w:pPr>
        <w:rPr>
          <w:i/>
          <w:iCs/>
          <w:sz w:val="17"/>
          <w:szCs w:val="17"/>
          <w:lang w:val="en"/>
        </w:rPr>
      </w:pPr>
      <w:r w:rsidRPr="001E419F">
        <w:rPr>
          <w:i/>
          <w:iCs/>
          <w:sz w:val="17"/>
          <w:szCs w:val="17"/>
          <w:lang w:val="en"/>
        </w:rPr>
        <w:t>"You cannot imagine how many asset classes we have dropped because of accounting," the CIO said before bemoaning the IFRS 9-induced volatility in the balance sheet because of the standard's treatment of equity holdings.</w:t>
      </w:r>
    </w:p>
    <w:p w14:paraId="64CCDD35" w14:textId="77777777" w:rsidR="00E21AD5" w:rsidRDefault="00E21AD5" w:rsidP="0092280D">
      <w:pPr>
        <w:rPr>
          <w:b/>
          <w:bCs/>
          <w:sz w:val="17"/>
          <w:szCs w:val="17"/>
        </w:rPr>
      </w:pPr>
    </w:p>
    <w:p w14:paraId="42A2CC8B" w14:textId="24EF40B1" w:rsidR="003C3DD3" w:rsidRDefault="003C3DD3" w:rsidP="0092280D">
      <w:pPr>
        <w:rPr>
          <w:sz w:val="17"/>
          <w:szCs w:val="17"/>
        </w:rPr>
      </w:pPr>
    </w:p>
    <w:sectPr w:rsidR="003C3DD3" w:rsidSect="007D6B18">
      <w:headerReference w:type="even" r:id="rId19"/>
      <w:headerReference w:type="default" r:id="rId20"/>
      <w:footerReference w:type="even" r:id="rId21"/>
      <w:footerReference w:type="default" r:id="rId22"/>
      <w:headerReference w:type="first" r:id="rId23"/>
      <w:footerReference w:type="first" r:id="rId24"/>
      <w:pgSz w:w="11907" w:h="16839" w:code="9"/>
      <w:pgMar w:top="2172" w:right="907" w:bottom="1253" w:left="1418" w:header="709" w:footer="24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042B0" w14:textId="77777777" w:rsidR="000A2DAF" w:rsidRDefault="000A2DAF" w:rsidP="0016089A">
      <w:pPr>
        <w:spacing w:line="240" w:lineRule="auto"/>
      </w:pPr>
      <w:r>
        <w:separator/>
      </w:r>
    </w:p>
  </w:endnote>
  <w:endnote w:type="continuationSeparator" w:id="0">
    <w:p w14:paraId="56A8D70C" w14:textId="77777777" w:rsidR="000A2DAF" w:rsidRDefault="000A2DAF" w:rsidP="0016089A">
      <w:pPr>
        <w:spacing w:line="240" w:lineRule="auto"/>
      </w:pPr>
      <w:r>
        <w:continuationSeparator/>
      </w:r>
    </w:p>
  </w:endnote>
  <w:endnote w:type="continuationNotice" w:id="1">
    <w:p w14:paraId="38E5F5B7" w14:textId="77777777" w:rsidR="000A2DAF" w:rsidRDefault="000A2D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Leelawadee UI Semilight"/>
    <w:panose1 w:val="00000000000000000000"/>
    <w:charset w:val="00"/>
    <w:family w:val="swiss"/>
    <w:notTrueType/>
    <w:pitch w:val="variable"/>
    <w:sig w:usb0="00000003"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F90E" w14:textId="77777777" w:rsidR="007E2B32" w:rsidRDefault="007E2B3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4E09" w14:textId="77777777" w:rsidR="00CF35FD" w:rsidRPr="00AF0C42" w:rsidRDefault="009406F7" w:rsidP="009406F7">
    <w:pPr>
      <w:framePr w:w="708" w:h="391" w:hRule="exact" w:hSpace="181" w:wrap="around" w:vAnchor="page" w:hAnchor="page" w:x="10320" w:y="16111" w:anchorLock="1"/>
      <w:jc w:val="right"/>
      <w:rPr>
        <w:rFonts w:cs="Tahoma"/>
        <w:color w:val="002957"/>
        <w:sz w:val="14"/>
        <w:szCs w:val="14"/>
      </w:rPr>
    </w:pPr>
    <w:r w:rsidRPr="00AF0C42">
      <w:rPr>
        <w:rFonts w:cs="Tahoma"/>
        <w:color w:val="002957"/>
        <w:sz w:val="14"/>
        <w:szCs w:val="14"/>
      </w:rPr>
      <w:fldChar w:fldCharType="begin"/>
    </w:r>
    <w:r w:rsidRPr="00AF0C42">
      <w:rPr>
        <w:rFonts w:cs="Tahoma"/>
        <w:color w:val="002957"/>
        <w:sz w:val="14"/>
        <w:szCs w:val="14"/>
      </w:rPr>
      <w:instrText xml:space="preserve"> PAGE   \* MERGEFORMAT </w:instrText>
    </w:r>
    <w:r w:rsidRPr="00AF0C42">
      <w:rPr>
        <w:rFonts w:cs="Tahoma"/>
        <w:color w:val="002957"/>
        <w:sz w:val="14"/>
        <w:szCs w:val="14"/>
      </w:rPr>
      <w:fldChar w:fldCharType="separate"/>
    </w:r>
    <w:r w:rsidRPr="00AF0C42">
      <w:rPr>
        <w:rFonts w:cs="Tahoma"/>
        <w:noProof/>
        <w:color w:val="002957"/>
        <w:sz w:val="14"/>
        <w:szCs w:val="14"/>
      </w:rPr>
      <w:t>2</w:t>
    </w:r>
    <w:r w:rsidRPr="00AF0C42">
      <w:rPr>
        <w:rFonts w:cs="Tahoma"/>
        <w:noProof/>
        <w:color w:val="002957"/>
        <w:sz w:val="14"/>
        <w:szCs w:val="14"/>
      </w:rPr>
      <w:fldChar w:fldCharType="end"/>
    </w:r>
  </w:p>
  <w:p w14:paraId="0F45612D" w14:textId="77777777" w:rsidR="00A926FF" w:rsidRPr="0089179F" w:rsidRDefault="007E2B32" w:rsidP="00CF35FD">
    <w:pPr>
      <w:tabs>
        <w:tab w:val="right" w:pos="10260"/>
      </w:tabs>
      <w:autoSpaceDE w:val="0"/>
      <w:autoSpaceDN w:val="0"/>
      <w:adjustRightInd w:val="0"/>
      <w:ind w:right="23"/>
      <w:jc w:val="right"/>
      <w:textAlignment w:val="center"/>
      <w:rPr>
        <w:color w:val="000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ABE5" w14:textId="77777777" w:rsidR="007D6B18" w:rsidRPr="007D6B18" w:rsidRDefault="007D6B18">
    <w:pPr>
      <w:rPr>
        <w:sz w:val="14"/>
        <w:szCs w:val="18"/>
      </w:rPr>
    </w:pPr>
  </w:p>
  <w:tbl>
    <w:tblPr>
      <w:tblStyle w:val="Mriekatabuky"/>
      <w:tblW w:w="9639" w:type="dxa"/>
      <w:tblInd w:w="-142" w:type="dxa"/>
      <w:tblLook w:val="04A0" w:firstRow="1" w:lastRow="0" w:firstColumn="1" w:lastColumn="0" w:noHBand="0" w:noVBand="1"/>
    </w:tblPr>
    <w:tblGrid>
      <w:gridCol w:w="5670"/>
      <w:gridCol w:w="3969"/>
    </w:tblGrid>
    <w:tr w:rsidR="00F71D36" w14:paraId="29E635C5" w14:textId="77777777" w:rsidTr="0060137D">
      <w:tc>
        <w:tcPr>
          <w:tcW w:w="5670" w:type="dxa"/>
          <w:tcBorders>
            <w:top w:val="nil"/>
            <w:left w:val="nil"/>
            <w:bottom w:val="nil"/>
            <w:right w:val="nil"/>
          </w:tcBorders>
        </w:tcPr>
        <w:p w14:paraId="06CCE835" w14:textId="77777777" w:rsidR="00F71D36" w:rsidRPr="00D310C8" w:rsidRDefault="00F71D36" w:rsidP="0060137D">
          <w:pPr>
            <w:pStyle w:val="CEAFooterauthorinfo"/>
            <w:ind w:left="30"/>
            <w:rPr>
              <w:b w:val="0"/>
              <w:color w:val="002957"/>
              <w:sz w:val="14"/>
              <w:szCs w:val="14"/>
            </w:rPr>
          </w:pPr>
          <w:r w:rsidRPr="00D310C8">
            <w:rPr>
              <w:b w:val="0"/>
              <w:color w:val="002957"/>
              <w:sz w:val="14"/>
              <w:szCs w:val="14"/>
            </w:rPr>
            <w:t>Philippe Angelis • Senior policy advisor, corporate reporting</w:t>
          </w:r>
        </w:p>
        <w:p w14:paraId="7DF4E77B" w14:textId="77777777" w:rsidR="00F71D36" w:rsidRPr="00654C77" w:rsidRDefault="00F71D36" w:rsidP="0060137D">
          <w:pPr>
            <w:pStyle w:val="CEAFooterauthorinfo"/>
            <w:ind w:left="30"/>
            <w:rPr>
              <w:b w:val="0"/>
              <w:color w:val="002957"/>
              <w:sz w:val="14"/>
              <w:szCs w:val="14"/>
              <w:lang w:val="fr-BE"/>
            </w:rPr>
          </w:pPr>
          <w:r w:rsidRPr="00654C77">
            <w:rPr>
              <w:b w:val="0"/>
              <w:color w:val="002957"/>
              <w:sz w:val="14"/>
              <w:szCs w:val="14"/>
              <w:lang w:val="fr-BE"/>
            </w:rPr>
            <w:t xml:space="preserve">Insurance Europe aisbl </w:t>
          </w:r>
          <w:r w:rsidRPr="00CE6BD9">
            <w:rPr>
              <w:b w:val="0"/>
              <w:color w:val="002957"/>
              <w:sz w:val="14"/>
              <w:szCs w:val="14"/>
              <w:lang w:val="pt-PT"/>
            </w:rPr>
            <w:t>•</w:t>
          </w:r>
          <w:r w:rsidRPr="00654C77">
            <w:rPr>
              <w:b w:val="0"/>
              <w:color w:val="002957"/>
              <w:sz w:val="14"/>
              <w:szCs w:val="14"/>
              <w:lang w:val="fr-BE"/>
            </w:rPr>
            <w:t xml:space="preserve"> Rue du Champ de Mars 23, B-1050 Brussels</w:t>
          </w:r>
        </w:p>
        <w:p w14:paraId="15BFC814" w14:textId="33574AFF" w:rsidR="00F71D36" w:rsidRPr="00F71D36" w:rsidRDefault="00F71D36" w:rsidP="0060137D">
          <w:pPr>
            <w:pStyle w:val="CEAFooterauthorinfo"/>
            <w:ind w:left="30"/>
            <w:rPr>
              <w:b w:val="0"/>
              <w:color w:val="002957"/>
              <w:sz w:val="14"/>
              <w:szCs w:val="14"/>
              <w:lang w:val="pt-PT"/>
            </w:rPr>
          </w:pPr>
          <w:r w:rsidRPr="00CE6BD9">
            <w:rPr>
              <w:b w:val="0"/>
              <w:color w:val="002957"/>
              <w:sz w:val="14"/>
              <w:szCs w:val="14"/>
              <w:lang w:val="pt-PT"/>
            </w:rPr>
            <w:t>Tel:</w:t>
          </w:r>
          <w:r>
            <w:rPr>
              <w:b w:val="0"/>
              <w:color w:val="002957"/>
              <w:sz w:val="14"/>
              <w:szCs w:val="14"/>
              <w:lang w:val="pt-PT"/>
            </w:rPr>
            <w:t xml:space="preserve"> +32 2 896 48 39 • E-mail: Angelis@insuranceeurope.eu</w:t>
          </w:r>
        </w:p>
      </w:tc>
      <w:tc>
        <w:tcPr>
          <w:tcW w:w="3969" w:type="dxa"/>
          <w:tcBorders>
            <w:top w:val="nil"/>
            <w:left w:val="nil"/>
            <w:bottom w:val="nil"/>
            <w:right w:val="nil"/>
          </w:tcBorders>
        </w:tcPr>
        <w:p w14:paraId="796B714B" w14:textId="76735258" w:rsidR="00F71D36" w:rsidRDefault="00043BB0" w:rsidP="00FC1F52">
          <w:pPr>
            <w:pStyle w:val="CEAFooterauthorinfo"/>
            <w:ind w:left="0"/>
            <w:rPr>
              <w:b w:val="0"/>
              <w:color w:val="002957"/>
              <w:sz w:val="14"/>
              <w:szCs w:val="14"/>
            </w:rPr>
          </w:pPr>
          <w:r w:rsidRPr="00043BB0">
            <w:rPr>
              <w:b w:val="0"/>
              <w:color w:val="002957"/>
              <w:sz w:val="14"/>
              <w:szCs w:val="14"/>
            </w:rPr>
            <w:t>© Insurance Europe. Confidential, internal document. Not for distribution, all rights reserved.</w:t>
          </w:r>
        </w:p>
      </w:tc>
    </w:tr>
  </w:tbl>
  <w:p w14:paraId="0533995A" w14:textId="77777777" w:rsidR="00CE2D41" w:rsidRPr="00E7145A" w:rsidRDefault="00CE2D41" w:rsidP="008303BF">
    <w:pPr>
      <w:pStyle w:val="CEAFooterauthorinfo"/>
      <w:ind w:left="0"/>
      <w:rPr>
        <w:b w:val="0"/>
        <w:color w:val="002957"/>
        <w:sz w:val="14"/>
        <w:szCs w:val="14"/>
        <w:lang w:val="pt-PT"/>
      </w:rPr>
    </w:pPr>
  </w:p>
  <w:p w14:paraId="278ED61B" w14:textId="77777777" w:rsidR="000D7957" w:rsidRPr="00E7145A" w:rsidRDefault="000D7957" w:rsidP="008303BF">
    <w:pPr>
      <w:pStyle w:val="CEAFooterauthorinfo"/>
      <w:ind w:left="0"/>
      <w:rPr>
        <w:rFonts w:cs="Frutiger LT Std 55 Roman"/>
        <w:b w:val="0"/>
        <w:color w:val="82C55B"/>
        <w:sz w:val="14"/>
        <w:szCs w:val="14"/>
      </w:rPr>
    </w:pPr>
    <w:r w:rsidRPr="00E7145A">
      <w:rPr>
        <w:rFonts w:cs="Frutiger LT Std 55 Roman"/>
        <w:b w:val="0"/>
        <w:color w:val="82C55B"/>
        <w:sz w:val="14"/>
        <w:szCs w:val="14"/>
      </w:rPr>
      <w:t>www.insuranceeurope.eu</w:t>
    </w:r>
  </w:p>
  <w:p w14:paraId="2DB89D6E" w14:textId="77777777" w:rsidR="008303BF" w:rsidRPr="007D6B18" w:rsidRDefault="007E2B32">
    <w:pPr>
      <w:pStyle w:val="Pta"/>
      <w:rPr>
        <w:color w:val="002957"/>
        <w:sz w:val="14"/>
        <w:szCs w:val="1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4256B" w14:textId="77777777" w:rsidR="000A2DAF" w:rsidRDefault="000A2DAF" w:rsidP="0016089A">
      <w:pPr>
        <w:spacing w:line="240" w:lineRule="auto"/>
      </w:pPr>
      <w:r>
        <w:separator/>
      </w:r>
    </w:p>
  </w:footnote>
  <w:footnote w:type="continuationSeparator" w:id="0">
    <w:p w14:paraId="2ADEF107" w14:textId="77777777" w:rsidR="000A2DAF" w:rsidRDefault="000A2DAF" w:rsidP="0016089A">
      <w:pPr>
        <w:spacing w:line="240" w:lineRule="auto"/>
      </w:pPr>
      <w:r>
        <w:continuationSeparator/>
      </w:r>
    </w:p>
  </w:footnote>
  <w:footnote w:type="continuationNotice" w:id="1">
    <w:p w14:paraId="0A4AE192" w14:textId="77777777" w:rsidR="000A2DAF" w:rsidRDefault="000A2D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3E78" w14:textId="77777777" w:rsidR="007E2B32" w:rsidRDefault="007E2B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783" w14:textId="77777777" w:rsidR="00AE797B" w:rsidRPr="007D6B18" w:rsidRDefault="007E2B32" w:rsidP="000846C0">
    <w:pPr>
      <w:pStyle w:val="Noparagraphstyle"/>
      <w:jc w:val="right"/>
      <w:rPr>
        <w:rFonts w:ascii="Verdana" w:hAnsi="Verdana"/>
        <w:sz w:val="18"/>
        <w:szCs w:val="18"/>
      </w:rPr>
    </w:pPr>
  </w:p>
  <w:p w14:paraId="71960902" w14:textId="77777777" w:rsidR="00AE797B" w:rsidRPr="007D6B18" w:rsidRDefault="001C366D" w:rsidP="000846C0">
    <w:pPr>
      <w:pStyle w:val="Noparagraphstyle"/>
      <w:jc w:val="right"/>
      <w:rPr>
        <w:rFonts w:ascii="Verdana" w:hAnsi="Verdana" w:cs="Arial"/>
        <w:i/>
        <w:iCs/>
        <w:color w:val="034EA2"/>
      </w:rPr>
    </w:pPr>
    <w:r w:rsidRPr="007D6B18">
      <w:rPr>
        <w:rFonts w:ascii="Verdana" w:hAnsi="Verdana"/>
      </w:rPr>
      <w:tab/>
    </w:r>
  </w:p>
  <w:p w14:paraId="23E48B90" w14:textId="77777777" w:rsidR="00AE797B" w:rsidRPr="007D6B18" w:rsidRDefault="001C366D" w:rsidP="005C0D74">
    <w:pPr>
      <w:pStyle w:val="Hlavika"/>
      <w:tabs>
        <w:tab w:val="clear" w:pos="4320"/>
        <w:tab w:val="clear" w:pos="8640"/>
        <w:tab w:val="center" w:pos="0"/>
        <w:tab w:val="right" w:pos="10440"/>
      </w:tabs>
      <w:jc w:val="right"/>
      <w:rPr>
        <w:b/>
        <w:color w:val="034EA2"/>
        <w:sz w:val="40"/>
        <w:szCs w:val="40"/>
      </w:rPr>
    </w:pPr>
    <w:r w:rsidRPr="007D6B18">
      <w:rPr>
        <w:b/>
        <w:noProof/>
        <w:sz w:val="40"/>
        <w:szCs w:val="40"/>
        <w:lang w:val="fr-BE" w:eastAsia="fr-BE"/>
      </w:rPr>
      <w:drawing>
        <wp:anchor distT="0" distB="0" distL="114300" distR="114300" simplePos="0" relativeHeight="251658241" behindDoc="0" locked="0" layoutInCell="1" allowOverlap="1" wp14:anchorId="42212B25" wp14:editId="0D81137F">
          <wp:simplePos x="0" y="0"/>
          <wp:positionH relativeFrom="page">
            <wp:posOffset>521970</wp:posOffset>
          </wp:positionH>
          <wp:positionV relativeFrom="page">
            <wp:posOffset>521970</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Pr="007D6B18">
      <w:rPr>
        <w:b/>
        <w:color w:val="034EA2"/>
        <w:sz w:val="28"/>
        <w:szCs w:val="28"/>
      </w:rPr>
      <w:t xml:space="preserve"> </w:t>
    </w:r>
  </w:p>
  <w:p w14:paraId="11CAD447" w14:textId="6505AD71" w:rsidR="00AE797B" w:rsidRDefault="007E2B32" w:rsidP="00665E76">
    <w:pPr>
      <w:pStyle w:val="Noparagraphstyle"/>
      <w:rPr>
        <w:rFonts w:ascii="Verdana" w:hAnsi="Verdana"/>
      </w:rPr>
    </w:pPr>
  </w:p>
  <w:p w14:paraId="25DBA3C4" w14:textId="77777777" w:rsidR="007D6B18" w:rsidRPr="007D6B18" w:rsidRDefault="007D6B18" w:rsidP="00665E76">
    <w:pPr>
      <w:pStyle w:val="Noparagraphstyle"/>
      <w:rPr>
        <w:rFonts w:ascii="Verdana" w:hAnsi="Verdan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6822" w14:textId="77777777" w:rsidR="00732B64" w:rsidRPr="00CE615B" w:rsidRDefault="001C366D" w:rsidP="00732B64">
    <w:pPr>
      <w:pStyle w:val="Noparagraphstyle"/>
      <w:tabs>
        <w:tab w:val="left" w:pos="-1800"/>
      </w:tabs>
      <w:jc w:val="right"/>
      <w:rPr>
        <w:rFonts w:ascii="Verdana" w:hAnsi="Verdana"/>
        <w:sz w:val="22"/>
        <w:szCs w:val="22"/>
      </w:rPr>
    </w:pPr>
    <w:r w:rsidRPr="00CE615B">
      <w:rPr>
        <w:rFonts w:ascii="Verdana" w:hAnsi="Verdana"/>
        <w:sz w:val="18"/>
        <w:szCs w:val="18"/>
      </w:rPr>
      <w:br/>
    </w:r>
  </w:p>
  <w:p w14:paraId="16E31AE3" w14:textId="1F3D5061" w:rsidR="00732B64" w:rsidRPr="00CF35FD" w:rsidRDefault="002E16F6" w:rsidP="007326CF">
    <w:pPr>
      <w:pStyle w:val="Noparagraphstyle"/>
      <w:tabs>
        <w:tab w:val="left" w:pos="-1800"/>
      </w:tabs>
      <w:jc w:val="right"/>
      <w:rPr>
        <w:b/>
        <w:color w:val="002957"/>
        <w:sz w:val="36"/>
        <w:szCs w:val="36"/>
      </w:rPr>
    </w:pPr>
    <w:r w:rsidRPr="00730E61">
      <w:rPr>
        <w:rFonts w:ascii="Verdana" w:hAnsi="Verdana"/>
        <w:color w:val="002957"/>
        <w:sz w:val="36"/>
        <w:szCs w:val="36"/>
      </w:rPr>
      <w:t>Memo for</w:t>
    </w:r>
    <w:r w:rsidR="001C366D" w:rsidRPr="00CF35FD">
      <w:rPr>
        <w:b/>
        <w:noProof/>
        <w:color w:val="002957"/>
        <w:sz w:val="36"/>
        <w:szCs w:val="36"/>
        <w:lang w:val="fr-BE" w:eastAsia="fr-BE"/>
      </w:rPr>
      <w:drawing>
        <wp:anchor distT="0" distB="0" distL="114300" distR="114300" simplePos="0" relativeHeight="251658240" behindDoc="0" locked="0" layoutInCell="1" allowOverlap="1" wp14:anchorId="73A57463" wp14:editId="2D6EE75D">
          <wp:simplePos x="0" y="0"/>
          <wp:positionH relativeFrom="page">
            <wp:posOffset>523875</wp:posOffset>
          </wp:positionH>
          <wp:positionV relativeFrom="page">
            <wp:posOffset>523875</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007326CF">
      <w:rPr>
        <w:rFonts w:ascii="Verdana" w:hAnsi="Verdana"/>
        <w:color w:val="002957"/>
        <w:sz w:val="36"/>
        <w:szCs w:val="36"/>
      </w:rPr>
      <w:t xml:space="preserve"> action</w:t>
    </w:r>
  </w:p>
  <w:p w14:paraId="218B26CC" w14:textId="16EB24D2" w:rsidR="009C515F" w:rsidRDefault="009C515F" w:rsidP="009C515F">
    <w:pPr>
      <w:jc w:val="right"/>
      <w:rPr>
        <w:b/>
        <w:i/>
        <w:color w:val="002957"/>
        <w:sz w:val="32"/>
        <w:szCs w:val="32"/>
      </w:rPr>
    </w:pPr>
    <w:r>
      <w:rPr>
        <w:b/>
        <w:color w:val="002957"/>
        <w:sz w:val="36"/>
        <w:szCs w:val="36"/>
      </w:rPr>
      <w:t xml:space="preserve"> </w:t>
    </w:r>
  </w:p>
  <w:p w14:paraId="725C19A7" w14:textId="77777777" w:rsidR="00732B64" w:rsidRPr="009C515F" w:rsidRDefault="007E2B32" w:rsidP="00732B64">
    <w:pPr>
      <w:pStyle w:val="CEADocumentTitle"/>
      <w:tabs>
        <w:tab w:val="clear" w:pos="10440"/>
      </w:tabs>
      <w:rPr>
        <w:b w:val="0"/>
        <w:color w:val="002957"/>
        <w:sz w:val="36"/>
        <w:szCs w:val="36"/>
      </w:rPr>
    </w:pPr>
  </w:p>
  <w:p w14:paraId="525108B0" w14:textId="77777777" w:rsidR="00732B64" w:rsidRPr="00CE6BD9" w:rsidRDefault="007E2B32" w:rsidP="00732B64">
    <w:pPr>
      <w:pStyle w:val="BodyText-CEA"/>
      <w:jc w:val="left"/>
    </w:pPr>
    <w:bookmarkStart w:id="0" w:name="Draft1st"/>
    <w:bookmarkStart w:id="1" w:name="Header"/>
    <w:bookmarkEnd w:id="0"/>
  </w:p>
  <w:tbl>
    <w:tblPr>
      <w:tblW w:w="0" w:type="auto"/>
      <w:tblInd w:w="-1026" w:type="dxa"/>
      <w:tblLook w:val="04A0" w:firstRow="1" w:lastRow="0" w:firstColumn="1" w:lastColumn="0" w:noHBand="0" w:noVBand="1"/>
    </w:tblPr>
    <w:tblGrid>
      <w:gridCol w:w="1012"/>
      <w:gridCol w:w="9596"/>
    </w:tblGrid>
    <w:tr w:rsidR="00732B64" w14:paraId="5E4C34F0" w14:textId="77777777" w:rsidTr="001A19E0">
      <w:trPr>
        <w:trHeight w:val="289"/>
      </w:trPr>
      <w:tc>
        <w:tcPr>
          <w:tcW w:w="1012" w:type="dxa"/>
          <w:vAlign w:val="center"/>
        </w:tcPr>
        <w:p w14:paraId="09C72CDF" w14:textId="77777777" w:rsidR="00732B64" w:rsidRPr="00CE6BD9" w:rsidRDefault="001C366D" w:rsidP="00E7145A">
          <w:pPr>
            <w:pStyle w:val="CEALabel"/>
            <w:rPr>
              <w:b w:val="0"/>
              <w:color w:val="002957"/>
              <w:sz w:val="17"/>
              <w:szCs w:val="17"/>
            </w:rPr>
          </w:pPr>
          <w:r w:rsidRPr="00CE6BD9">
            <w:rPr>
              <w:b w:val="0"/>
              <w:color w:val="002957"/>
              <w:sz w:val="17"/>
              <w:szCs w:val="17"/>
            </w:rPr>
            <w:t>To:</w:t>
          </w:r>
        </w:p>
      </w:tc>
      <w:tc>
        <w:tcPr>
          <w:tcW w:w="9596" w:type="dxa"/>
          <w:vAlign w:val="center"/>
        </w:tcPr>
        <w:p w14:paraId="39110DD3" w14:textId="4287934B" w:rsidR="00732B64" w:rsidRPr="001D1C85" w:rsidRDefault="00C2027F" w:rsidP="00E7145A">
          <w:pPr>
            <w:ind w:left="-90"/>
            <w:jc w:val="left"/>
            <w:rPr>
              <w:color w:val="002957"/>
              <w:sz w:val="17"/>
              <w:szCs w:val="17"/>
            </w:rPr>
          </w:pPr>
          <w:r w:rsidRPr="00C2027F">
            <w:rPr>
              <w:color w:val="002957"/>
              <w:sz w:val="17"/>
              <w:szCs w:val="17"/>
            </w:rPr>
            <w:t>Corporate Reporting WG</w:t>
          </w:r>
        </w:p>
      </w:tc>
    </w:tr>
    <w:tr w:rsidR="00732B64" w14:paraId="7EE50C63" w14:textId="77777777" w:rsidTr="001A19E0">
      <w:trPr>
        <w:trHeight w:hRule="exact" w:val="288"/>
      </w:trPr>
      <w:tc>
        <w:tcPr>
          <w:tcW w:w="1012" w:type="dxa"/>
          <w:vAlign w:val="center"/>
        </w:tcPr>
        <w:p w14:paraId="2C97BA7F" w14:textId="77777777" w:rsidR="00732B64" w:rsidRPr="00CE6BD9" w:rsidRDefault="001C366D" w:rsidP="00E7145A">
          <w:pPr>
            <w:pStyle w:val="CEALabel"/>
            <w:rPr>
              <w:b w:val="0"/>
              <w:color w:val="002957"/>
              <w:sz w:val="17"/>
              <w:szCs w:val="17"/>
            </w:rPr>
          </w:pPr>
          <w:r w:rsidRPr="00CE6BD9">
            <w:rPr>
              <w:b w:val="0"/>
              <w:color w:val="002957"/>
              <w:sz w:val="17"/>
              <w:szCs w:val="17"/>
            </w:rPr>
            <w:t>From:</w:t>
          </w:r>
        </w:p>
      </w:tc>
      <w:tc>
        <w:tcPr>
          <w:tcW w:w="9596" w:type="dxa"/>
          <w:vAlign w:val="center"/>
        </w:tcPr>
        <w:p w14:paraId="53DA75C6" w14:textId="3145029B" w:rsidR="00732B64" w:rsidRPr="001D1C85" w:rsidRDefault="00B679C1" w:rsidP="00E7145A">
          <w:pPr>
            <w:tabs>
              <w:tab w:val="left" w:pos="1755"/>
            </w:tabs>
            <w:ind w:left="-90"/>
            <w:jc w:val="left"/>
            <w:rPr>
              <w:color w:val="002957"/>
              <w:sz w:val="17"/>
              <w:szCs w:val="17"/>
            </w:rPr>
          </w:pPr>
          <w:r>
            <w:rPr>
              <w:color w:val="002957"/>
              <w:sz w:val="17"/>
              <w:szCs w:val="17"/>
            </w:rPr>
            <w:t>Philippe Angelis</w:t>
          </w:r>
          <w:r w:rsidR="006C165F">
            <w:rPr>
              <w:color w:val="002957"/>
              <w:sz w:val="17"/>
              <w:szCs w:val="17"/>
            </w:rPr>
            <w:t xml:space="preserve"> </w:t>
          </w:r>
        </w:p>
      </w:tc>
    </w:tr>
    <w:tr w:rsidR="00EF7C50" w14:paraId="05ADA488" w14:textId="77777777" w:rsidTr="001A19E0">
      <w:trPr>
        <w:trHeight w:hRule="exact" w:val="288"/>
      </w:trPr>
      <w:tc>
        <w:tcPr>
          <w:tcW w:w="1012" w:type="dxa"/>
          <w:vAlign w:val="center"/>
        </w:tcPr>
        <w:p w14:paraId="34191B8A" w14:textId="77777777" w:rsidR="00EF7C50" w:rsidRPr="00CE6BD9" w:rsidRDefault="001C366D" w:rsidP="00E7145A">
          <w:pPr>
            <w:pStyle w:val="CEALabel"/>
            <w:rPr>
              <w:b w:val="0"/>
              <w:color w:val="002957"/>
              <w:sz w:val="17"/>
              <w:szCs w:val="17"/>
            </w:rPr>
          </w:pPr>
          <w:r w:rsidRPr="00CE6BD9">
            <w:rPr>
              <w:b w:val="0"/>
              <w:color w:val="002957"/>
              <w:sz w:val="17"/>
              <w:szCs w:val="17"/>
            </w:rPr>
            <w:t>cc:</w:t>
          </w:r>
        </w:p>
      </w:tc>
      <w:tc>
        <w:tcPr>
          <w:tcW w:w="9596" w:type="dxa"/>
          <w:vAlign w:val="center"/>
        </w:tcPr>
        <w:p w14:paraId="4242546D" w14:textId="52786997" w:rsidR="00EF7C50" w:rsidRPr="001D1C85" w:rsidRDefault="00A87BE2" w:rsidP="00E7145A">
          <w:pPr>
            <w:ind w:left="-90"/>
            <w:jc w:val="left"/>
            <w:rPr>
              <w:color w:val="002957"/>
              <w:sz w:val="17"/>
              <w:szCs w:val="17"/>
            </w:rPr>
          </w:pPr>
          <w:r w:rsidRPr="001D1C85">
            <w:rPr>
              <w:color w:val="002957"/>
              <w:sz w:val="17"/>
              <w:szCs w:val="17"/>
            </w:rPr>
            <w:t xml:space="preserve"> </w:t>
          </w:r>
          <w:r w:rsidR="001A19E0">
            <w:rPr>
              <w:color w:val="002957"/>
              <w:sz w:val="17"/>
              <w:szCs w:val="17"/>
            </w:rPr>
            <w:t>ECOFIN Committee</w:t>
          </w:r>
        </w:p>
      </w:tc>
    </w:tr>
    <w:tr w:rsidR="00732B64" w14:paraId="3BBEE496" w14:textId="77777777" w:rsidTr="001A19E0">
      <w:trPr>
        <w:trHeight w:hRule="exact" w:val="288"/>
      </w:trPr>
      <w:tc>
        <w:tcPr>
          <w:tcW w:w="1012" w:type="dxa"/>
          <w:vAlign w:val="center"/>
        </w:tcPr>
        <w:p w14:paraId="718D9B18" w14:textId="77777777" w:rsidR="00732B64" w:rsidRPr="00CE6BD9" w:rsidRDefault="001C366D" w:rsidP="00E7145A">
          <w:pPr>
            <w:pStyle w:val="CEALabel"/>
            <w:rPr>
              <w:b w:val="0"/>
              <w:color w:val="002957"/>
              <w:sz w:val="17"/>
              <w:szCs w:val="17"/>
            </w:rPr>
          </w:pPr>
          <w:r w:rsidRPr="00CE6BD9">
            <w:rPr>
              <w:b w:val="0"/>
              <w:color w:val="002957"/>
              <w:sz w:val="17"/>
              <w:szCs w:val="17"/>
            </w:rPr>
            <w:t>Date:</w:t>
          </w:r>
        </w:p>
      </w:tc>
      <w:tc>
        <w:tcPr>
          <w:tcW w:w="9596" w:type="dxa"/>
          <w:vAlign w:val="center"/>
        </w:tcPr>
        <w:p w14:paraId="6083CF91" w14:textId="5218803C" w:rsidR="00732B64" w:rsidRPr="001D1C85" w:rsidRDefault="00B679C1" w:rsidP="00E7145A">
          <w:pPr>
            <w:ind w:left="-90"/>
            <w:jc w:val="left"/>
            <w:rPr>
              <w:color w:val="002957"/>
              <w:sz w:val="17"/>
              <w:szCs w:val="17"/>
            </w:rPr>
          </w:pPr>
          <w:r>
            <w:rPr>
              <w:color w:val="002957"/>
              <w:sz w:val="17"/>
              <w:szCs w:val="17"/>
            </w:rPr>
            <w:t>20-12-2021</w:t>
          </w:r>
        </w:p>
      </w:tc>
    </w:tr>
    <w:tr w:rsidR="00732B64" w14:paraId="2E3BCFDA" w14:textId="77777777" w:rsidTr="001A19E0">
      <w:trPr>
        <w:trHeight w:hRule="exact" w:val="288"/>
      </w:trPr>
      <w:tc>
        <w:tcPr>
          <w:tcW w:w="1012" w:type="dxa"/>
          <w:vAlign w:val="center"/>
        </w:tcPr>
        <w:p w14:paraId="25543273" w14:textId="77777777" w:rsidR="00732B64" w:rsidRPr="00CE6BD9" w:rsidRDefault="001C366D" w:rsidP="00E7145A">
          <w:pPr>
            <w:pStyle w:val="CEALabel"/>
            <w:rPr>
              <w:b w:val="0"/>
              <w:color w:val="002957"/>
              <w:sz w:val="17"/>
              <w:szCs w:val="17"/>
            </w:rPr>
          </w:pPr>
          <w:r w:rsidRPr="00CE6BD9">
            <w:rPr>
              <w:b w:val="0"/>
              <w:color w:val="002957"/>
              <w:sz w:val="17"/>
              <w:szCs w:val="17"/>
            </w:rPr>
            <w:t>Reference:</w:t>
          </w:r>
        </w:p>
      </w:tc>
      <w:tc>
        <w:tcPr>
          <w:tcW w:w="9596" w:type="dxa"/>
          <w:vAlign w:val="center"/>
        </w:tcPr>
        <w:sdt>
          <w:sdtPr>
            <w:rPr>
              <w:color w:val="002957"/>
              <w:sz w:val="17"/>
              <w:szCs w:val="17"/>
            </w:rPr>
            <w:id w:val="-845242520"/>
            <w:placeholder>
              <w:docPart w:val="DefaultPlaceholder_-1854013440"/>
            </w:placeholder>
            <w:dataBinding w:prefixMappings="xmlns:ns0='http://schemas.microsoft.com/office/2006/metadata/properties' xmlns:ns1='http://www.w3.org/2001/XMLSchema-instance' xmlns:ns2='http://schemas.microsoft.com/office/infopath/2007/PartnerControls' xmlns:ns3='bf2322bd-6ea8-47f2-a340-10b5092f2000' xmlns:ns4='ba225275-dfdd-4507-9cb6-b247f9a8bd33' " w:xpath="/ns0:properties[1]/documentManagement[1]/*[local-name() = 'Reference'][1]" w:storeItemID="{16BE8AC2-BC04-484A-AE5F-6753D3DE5469}"/>
            <w:text/>
          </w:sdtPr>
          <w:sdtEndPr/>
          <w:sdtContent>
            <w:p w14:paraId="2A202518" w14:textId="15EAE78B" w:rsidR="00732B64" w:rsidRPr="001D1C85" w:rsidRDefault="00374185" w:rsidP="00E7145A">
              <w:pPr>
                <w:ind w:left="-90"/>
                <w:jc w:val="left"/>
                <w:rPr>
                  <w:color w:val="002957"/>
                  <w:sz w:val="17"/>
                  <w:szCs w:val="17"/>
                </w:rPr>
              </w:pPr>
              <w:r>
                <w:rPr>
                  <w:color w:val="002957"/>
                  <w:sz w:val="17"/>
                  <w:szCs w:val="17"/>
                </w:rPr>
                <w:t>ECO-CORP-21-167</w:t>
              </w:r>
            </w:p>
          </w:sdtContent>
        </w:sdt>
      </w:tc>
    </w:tr>
    <w:tr w:rsidR="00732B64" w14:paraId="138A0897" w14:textId="77777777" w:rsidTr="001A19E0">
      <w:trPr>
        <w:trHeight w:hRule="exact" w:val="288"/>
      </w:trPr>
      <w:tc>
        <w:tcPr>
          <w:tcW w:w="1012" w:type="dxa"/>
          <w:vAlign w:val="center"/>
        </w:tcPr>
        <w:p w14:paraId="49EA5D66" w14:textId="77777777" w:rsidR="00732B64" w:rsidRPr="00CE6BD9" w:rsidRDefault="001C366D" w:rsidP="00E7145A">
          <w:pPr>
            <w:pStyle w:val="CEALabel"/>
            <w:rPr>
              <w:b w:val="0"/>
              <w:color w:val="002957"/>
              <w:sz w:val="17"/>
              <w:szCs w:val="17"/>
            </w:rPr>
          </w:pPr>
          <w:r w:rsidRPr="00CE6BD9">
            <w:rPr>
              <w:b w:val="0"/>
              <w:color w:val="002957"/>
              <w:sz w:val="17"/>
              <w:szCs w:val="17"/>
            </w:rPr>
            <w:t>Subject:</w:t>
          </w:r>
        </w:p>
      </w:tc>
      <w:tc>
        <w:tcPr>
          <w:tcW w:w="9596" w:type="dxa"/>
          <w:vAlign w:val="center"/>
        </w:tcPr>
        <w:p w14:paraId="3F0DE7FF" w14:textId="48B94447" w:rsidR="00732B64" w:rsidRPr="00CE6BD9" w:rsidRDefault="007E2B32" w:rsidP="00E7145A">
          <w:pPr>
            <w:pStyle w:val="CEASubjectLine"/>
            <w:ind w:left="-90"/>
            <w:jc w:val="left"/>
            <w:rPr>
              <w:b w:val="0"/>
              <w:color w:val="002957"/>
              <w:sz w:val="17"/>
              <w:szCs w:val="17"/>
            </w:rPr>
          </w:pPr>
          <w:sdt>
            <w:sdtPr>
              <w:rPr>
                <w:b w:val="0"/>
                <w:color w:val="002957"/>
                <w:sz w:val="17"/>
                <w:szCs w:val="17"/>
              </w:rPr>
              <w:alias w:val="Title"/>
              <w:tag w:val=""/>
              <w:id w:val="1845366650"/>
              <w:placeholder>
                <w:docPart w:val="584EF38CAE9A4F80AF2F6FA01859F6AD"/>
              </w:placeholder>
              <w:dataBinding w:prefixMappings="xmlns:ns0='http://purl.org/dc/elements/1.1/' xmlns:ns1='http://schemas.openxmlformats.org/package/2006/metadata/core-properties' " w:xpath="/ns1:coreProperties[1]/ns0:title[1]" w:storeItemID="{6C3C8BC8-F283-45AE-878A-BAB7291924A1}"/>
              <w:text/>
            </w:sdtPr>
            <w:sdtEndPr/>
            <w:sdtContent>
              <w:r w:rsidR="00D310C8">
                <w:rPr>
                  <w:b w:val="0"/>
                  <w:color w:val="002957"/>
                  <w:sz w:val="17"/>
                  <w:szCs w:val="17"/>
                </w:rPr>
                <w:t>Insurance Europe / CFOF position on IFRS 9 FVOCI Recycling</w:t>
              </w:r>
            </w:sdtContent>
          </w:sdt>
          <w:bookmarkEnd w:id="1"/>
        </w:p>
      </w:tc>
    </w:tr>
  </w:tbl>
  <w:p w14:paraId="3178525D" w14:textId="77777777" w:rsidR="00732B64" w:rsidRPr="00CE6BD9" w:rsidRDefault="007E2B32" w:rsidP="00732B64">
    <w:pPr>
      <w:pStyle w:val="Noparagraphstyle"/>
      <w:rPr>
        <w:rFonts w:ascii="Verdana" w:hAnsi="Verdana" w:cs="Arial"/>
        <w:i/>
        <w:iCs/>
        <w:color w:val="034EA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9pt;height:9pt" o:bullet="t">
        <v:imagedata r:id="rId3" o:title="CEA - Bullets Rounded Squares_BulletLevel3_forMS"/>
      </v:shape>
    </w:pict>
  </w:numPicBullet>
  <w:abstractNum w:abstractNumId="0"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2" w15:restartNumberingAfterBreak="0">
    <w:nsid w:val="45062A87"/>
    <w:multiLevelType w:val="hybridMultilevel"/>
    <w:tmpl w:val="3DECDFAA"/>
    <w:lvl w:ilvl="0" w:tplc="0912387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780E52"/>
    <w:multiLevelType w:val="hybridMultilevel"/>
    <w:tmpl w:val="DF0ECB8C"/>
    <w:lvl w:ilvl="0" w:tplc="3D4CE06E">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F406780"/>
    <w:multiLevelType w:val="multilevel"/>
    <w:tmpl w:val="E4CC0AA2"/>
    <w:lvl w:ilvl="0">
      <w:start w:val="1"/>
      <w:numFmt w:val="bullet"/>
      <w:lvlText w:val="●"/>
      <w:lvlJc w:val="left"/>
      <w:pPr>
        <w:ind w:left="644"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35"/>
    <w:rsid w:val="00000839"/>
    <w:rsid w:val="000079D2"/>
    <w:rsid w:val="00036662"/>
    <w:rsid w:val="00043BB0"/>
    <w:rsid w:val="00050106"/>
    <w:rsid w:val="000518C4"/>
    <w:rsid w:val="000566A9"/>
    <w:rsid w:val="00065170"/>
    <w:rsid w:val="000763A3"/>
    <w:rsid w:val="000874EF"/>
    <w:rsid w:val="000A2DAF"/>
    <w:rsid w:val="000A3ADC"/>
    <w:rsid w:val="000A6372"/>
    <w:rsid w:val="000B4D8F"/>
    <w:rsid w:val="000C58E3"/>
    <w:rsid w:val="000C7ED4"/>
    <w:rsid w:val="000D7957"/>
    <w:rsid w:val="000E536B"/>
    <w:rsid w:val="000F5700"/>
    <w:rsid w:val="00122D4E"/>
    <w:rsid w:val="0016038F"/>
    <w:rsid w:val="0016089A"/>
    <w:rsid w:val="00160956"/>
    <w:rsid w:val="00162ABF"/>
    <w:rsid w:val="00174351"/>
    <w:rsid w:val="001A19E0"/>
    <w:rsid w:val="001A7050"/>
    <w:rsid w:val="001C366D"/>
    <w:rsid w:val="001E4D62"/>
    <w:rsid w:val="001F5517"/>
    <w:rsid w:val="00206FA8"/>
    <w:rsid w:val="00215014"/>
    <w:rsid w:val="0023029F"/>
    <w:rsid w:val="00292DC7"/>
    <w:rsid w:val="002C5997"/>
    <w:rsid w:val="002E16F6"/>
    <w:rsid w:val="002E18B7"/>
    <w:rsid w:val="002F0DF4"/>
    <w:rsid w:val="00312ECE"/>
    <w:rsid w:val="00331464"/>
    <w:rsid w:val="00373BC8"/>
    <w:rsid w:val="00374185"/>
    <w:rsid w:val="003C2B22"/>
    <w:rsid w:val="003C3DD3"/>
    <w:rsid w:val="003C7C5B"/>
    <w:rsid w:val="003D7387"/>
    <w:rsid w:val="003D7BCE"/>
    <w:rsid w:val="003E7922"/>
    <w:rsid w:val="0040398F"/>
    <w:rsid w:val="00412E3E"/>
    <w:rsid w:val="00425286"/>
    <w:rsid w:val="00440FEE"/>
    <w:rsid w:val="00445D1E"/>
    <w:rsid w:val="004A5502"/>
    <w:rsid w:val="004C1A27"/>
    <w:rsid w:val="004E6023"/>
    <w:rsid w:val="00515B25"/>
    <w:rsid w:val="00552783"/>
    <w:rsid w:val="0056147E"/>
    <w:rsid w:val="00564DE4"/>
    <w:rsid w:val="00566BA8"/>
    <w:rsid w:val="00592512"/>
    <w:rsid w:val="00597E71"/>
    <w:rsid w:val="005A648C"/>
    <w:rsid w:val="005A6DEB"/>
    <w:rsid w:val="005B1678"/>
    <w:rsid w:val="005C323A"/>
    <w:rsid w:val="005C7563"/>
    <w:rsid w:val="005E189A"/>
    <w:rsid w:val="005F15DA"/>
    <w:rsid w:val="005F70A9"/>
    <w:rsid w:val="0060137D"/>
    <w:rsid w:val="00637932"/>
    <w:rsid w:val="00654C77"/>
    <w:rsid w:val="006A12FE"/>
    <w:rsid w:val="006C165F"/>
    <w:rsid w:val="006D68B8"/>
    <w:rsid w:val="006F0606"/>
    <w:rsid w:val="007159AC"/>
    <w:rsid w:val="00730E61"/>
    <w:rsid w:val="007326CF"/>
    <w:rsid w:val="0075203E"/>
    <w:rsid w:val="007C3476"/>
    <w:rsid w:val="007D6B18"/>
    <w:rsid w:val="007E2B32"/>
    <w:rsid w:val="00804AB0"/>
    <w:rsid w:val="00810E5A"/>
    <w:rsid w:val="0082235C"/>
    <w:rsid w:val="0083203B"/>
    <w:rsid w:val="00836D1B"/>
    <w:rsid w:val="008618FD"/>
    <w:rsid w:val="008A0A73"/>
    <w:rsid w:val="008C4851"/>
    <w:rsid w:val="008D30B5"/>
    <w:rsid w:val="008E2794"/>
    <w:rsid w:val="008E697F"/>
    <w:rsid w:val="008F124A"/>
    <w:rsid w:val="008F7EDB"/>
    <w:rsid w:val="00910A1A"/>
    <w:rsid w:val="0092280D"/>
    <w:rsid w:val="00930B64"/>
    <w:rsid w:val="009406F7"/>
    <w:rsid w:val="00954F9B"/>
    <w:rsid w:val="0095640A"/>
    <w:rsid w:val="009771DD"/>
    <w:rsid w:val="009809B3"/>
    <w:rsid w:val="009870D9"/>
    <w:rsid w:val="009873FF"/>
    <w:rsid w:val="00992227"/>
    <w:rsid w:val="00994A62"/>
    <w:rsid w:val="009A3899"/>
    <w:rsid w:val="009A7505"/>
    <w:rsid w:val="009A7ECD"/>
    <w:rsid w:val="009C515F"/>
    <w:rsid w:val="009F424A"/>
    <w:rsid w:val="009F6865"/>
    <w:rsid w:val="00A00777"/>
    <w:rsid w:val="00A36559"/>
    <w:rsid w:val="00A474FE"/>
    <w:rsid w:val="00A5434D"/>
    <w:rsid w:val="00A63735"/>
    <w:rsid w:val="00A63A6C"/>
    <w:rsid w:val="00A6446C"/>
    <w:rsid w:val="00A77B2B"/>
    <w:rsid w:val="00A85CAC"/>
    <w:rsid w:val="00A87BE2"/>
    <w:rsid w:val="00AB1C1A"/>
    <w:rsid w:val="00AC04D8"/>
    <w:rsid w:val="00AE0944"/>
    <w:rsid w:val="00AF0C42"/>
    <w:rsid w:val="00AF52B1"/>
    <w:rsid w:val="00B166B9"/>
    <w:rsid w:val="00B169AC"/>
    <w:rsid w:val="00B27B66"/>
    <w:rsid w:val="00B60C64"/>
    <w:rsid w:val="00B6492C"/>
    <w:rsid w:val="00B679C1"/>
    <w:rsid w:val="00B74C8A"/>
    <w:rsid w:val="00B964EC"/>
    <w:rsid w:val="00BA6755"/>
    <w:rsid w:val="00BC79DD"/>
    <w:rsid w:val="00BD707B"/>
    <w:rsid w:val="00BE697C"/>
    <w:rsid w:val="00BE6E55"/>
    <w:rsid w:val="00BF3499"/>
    <w:rsid w:val="00BF4A5C"/>
    <w:rsid w:val="00BF6346"/>
    <w:rsid w:val="00C04D57"/>
    <w:rsid w:val="00C07461"/>
    <w:rsid w:val="00C2027F"/>
    <w:rsid w:val="00C21FBD"/>
    <w:rsid w:val="00C22B0F"/>
    <w:rsid w:val="00C36FE1"/>
    <w:rsid w:val="00C761B2"/>
    <w:rsid w:val="00C765D8"/>
    <w:rsid w:val="00C80D41"/>
    <w:rsid w:val="00C9321B"/>
    <w:rsid w:val="00CA022A"/>
    <w:rsid w:val="00CE0171"/>
    <w:rsid w:val="00CE2D41"/>
    <w:rsid w:val="00CE5F22"/>
    <w:rsid w:val="00D21173"/>
    <w:rsid w:val="00D310C8"/>
    <w:rsid w:val="00D376E1"/>
    <w:rsid w:val="00D40D1A"/>
    <w:rsid w:val="00D505CC"/>
    <w:rsid w:val="00D54234"/>
    <w:rsid w:val="00D805B5"/>
    <w:rsid w:val="00DA3CBE"/>
    <w:rsid w:val="00DC1329"/>
    <w:rsid w:val="00E21AD5"/>
    <w:rsid w:val="00E5632F"/>
    <w:rsid w:val="00E7145A"/>
    <w:rsid w:val="00EC7A2B"/>
    <w:rsid w:val="00ED6DE9"/>
    <w:rsid w:val="00F05AEF"/>
    <w:rsid w:val="00F3709C"/>
    <w:rsid w:val="00F50CC5"/>
    <w:rsid w:val="00F64827"/>
    <w:rsid w:val="00F70E3A"/>
    <w:rsid w:val="00F71D36"/>
    <w:rsid w:val="00F8705B"/>
    <w:rsid w:val="00FB7786"/>
    <w:rsid w:val="00FC1F52"/>
    <w:rsid w:val="00FD44C7"/>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4D5C0"/>
  <w15:docId w15:val="{2546BD31-8894-4E0A-8B07-F50ACDE6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089A"/>
    <w:pPr>
      <w:spacing w:after="0" w:line="288" w:lineRule="auto"/>
      <w:jc w:val="both"/>
    </w:pPr>
    <w:rPr>
      <w:rFonts w:ascii="Verdana" w:eastAsia="Times New Roman" w:hAnsi="Verdana" w:cs="Times New Roman"/>
      <w:sz w:val="20"/>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6089A"/>
    <w:pPr>
      <w:tabs>
        <w:tab w:val="center" w:pos="4320"/>
        <w:tab w:val="right" w:pos="8640"/>
      </w:tabs>
    </w:pPr>
  </w:style>
  <w:style w:type="character" w:customStyle="1" w:styleId="HlavikaChar">
    <w:name w:val="Hlavička Char"/>
    <w:basedOn w:val="Predvolenpsmoodseku"/>
    <w:link w:val="Hlavika"/>
    <w:semiHidden/>
    <w:rsid w:val="0016089A"/>
    <w:rPr>
      <w:rFonts w:ascii="Verdana" w:eastAsia="Times New Roman" w:hAnsi="Verdana" w:cs="Times New Roman"/>
      <w:sz w:val="20"/>
      <w:szCs w:val="24"/>
      <w:lang w:val="en-GB"/>
    </w:rPr>
  </w:style>
  <w:style w:type="paragraph" w:styleId="Pta">
    <w:name w:val="footer"/>
    <w:basedOn w:val="Normlny"/>
    <w:link w:val="PtaChar"/>
    <w:semiHidden/>
    <w:rsid w:val="0016089A"/>
    <w:pPr>
      <w:tabs>
        <w:tab w:val="center" w:pos="4320"/>
        <w:tab w:val="right" w:pos="8640"/>
      </w:tabs>
    </w:pPr>
  </w:style>
  <w:style w:type="character" w:customStyle="1" w:styleId="PtaChar">
    <w:name w:val="Päta Char"/>
    <w:basedOn w:val="Predvolenpsmoodseku"/>
    <w:link w:val="Pta"/>
    <w:semiHidden/>
    <w:rsid w:val="0016089A"/>
    <w:rPr>
      <w:rFonts w:ascii="Verdana" w:eastAsia="Times New Roman" w:hAnsi="Verdana" w:cs="Times New Roman"/>
      <w:sz w:val="20"/>
      <w:szCs w:val="24"/>
      <w:lang w:val="en-GB"/>
    </w:rPr>
  </w:style>
  <w:style w:type="paragraph" w:customStyle="1" w:styleId="Noparagraphstyle">
    <w:name w:val="[No paragraph style]"/>
    <w:semiHidden/>
    <w:rsid w:val="0016089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6089A"/>
  </w:style>
  <w:style w:type="paragraph" w:customStyle="1" w:styleId="BodyText-CEA">
    <w:name w:val="Body Text - CEA"/>
    <w:basedOn w:val="Normlny"/>
    <w:semiHidden/>
    <w:rsid w:val="0016089A"/>
    <w:pPr>
      <w:autoSpaceDE w:val="0"/>
      <w:autoSpaceDN w:val="0"/>
      <w:adjustRightInd w:val="0"/>
      <w:spacing w:line="24" w:lineRule="atLeast"/>
      <w:jc w:val="right"/>
      <w:textAlignment w:val="center"/>
    </w:pPr>
    <w:rPr>
      <w:rFonts w:cs="Arial"/>
      <w:b/>
      <w:color w:val="034EA2"/>
      <w:w w:val="90"/>
      <w:sz w:val="16"/>
      <w:szCs w:val="16"/>
    </w:rPr>
  </w:style>
  <w:style w:type="character" w:styleId="Zstupntext">
    <w:name w:val="Placeholder Text"/>
    <w:basedOn w:val="Predvolenpsmoodseku"/>
    <w:uiPriority w:val="99"/>
    <w:semiHidden/>
    <w:rsid w:val="0016089A"/>
    <w:rPr>
      <w:color w:val="808080"/>
    </w:rPr>
  </w:style>
  <w:style w:type="paragraph" w:customStyle="1" w:styleId="CEADraft">
    <w:name w:val="CEA Draft"/>
    <w:basedOn w:val="Normlny"/>
    <w:semiHidden/>
    <w:qFormat/>
    <w:rsid w:val="0016089A"/>
    <w:pPr>
      <w:jc w:val="right"/>
    </w:pPr>
    <w:rPr>
      <w:rFonts w:cs="Arial"/>
      <w:b/>
      <w:color w:val="034EA2"/>
      <w:sz w:val="32"/>
      <w:szCs w:val="40"/>
    </w:rPr>
  </w:style>
  <w:style w:type="paragraph" w:customStyle="1" w:styleId="CEAFooterauthorinfo">
    <w:name w:val="CEA Footer (author info)"/>
    <w:basedOn w:val="Normlny"/>
    <w:semiHidden/>
    <w:qFormat/>
    <w:rsid w:val="0016089A"/>
    <w:pPr>
      <w:autoSpaceDE w:val="0"/>
      <w:autoSpaceDN w:val="0"/>
      <w:adjustRightInd w:val="0"/>
      <w:ind w:left="546"/>
      <w:textAlignment w:val="center"/>
    </w:pPr>
    <w:rPr>
      <w:rFonts w:cs="Arial"/>
      <w:b/>
      <w:color w:val="034EA2"/>
      <w:sz w:val="16"/>
      <w:szCs w:val="16"/>
    </w:rPr>
  </w:style>
  <w:style w:type="paragraph" w:customStyle="1" w:styleId="CEALabel">
    <w:name w:val="CEA Label"/>
    <w:basedOn w:val="Normlny"/>
    <w:semiHidden/>
    <w:qFormat/>
    <w:rsid w:val="0016089A"/>
    <w:pPr>
      <w:tabs>
        <w:tab w:val="right" w:pos="360"/>
        <w:tab w:val="left" w:pos="540"/>
      </w:tabs>
      <w:autoSpaceDE w:val="0"/>
      <w:autoSpaceDN w:val="0"/>
      <w:adjustRightInd w:val="0"/>
      <w:spacing w:before="30"/>
      <w:jc w:val="right"/>
      <w:textAlignment w:val="center"/>
    </w:pPr>
    <w:rPr>
      <w:rFonts w:cs="Arial"/>
      <w:b/>
      <w:color w:val="034EA2"/>
      <w:spacing w:val="-4"/>
      <w:w w:val="90"/>
      <w:sz w:val="16"/>
      <w:szCs w:val="16"/>
    </w:rPr>
  </w:style>
  <w:style w:type="paragraph" w:customStyle="1" w:styleId="CEASubjectLine">
    <w:name w:val="CEA Subject Line"/>
    <w:basedOn w:val="Normlny"/>
    <w:semiHidden/>
    <w:qFormat/>
    <w:rsid w:val="0016089A"/>
    <w:rPr>
      <w:rFonts w:cs="Arial"/>
      <w:b/>
      <w:szCs w:val="20"/>
    </w:rPr>
  </w:style>
  <w:style w:type="paragraph" w:customStyle="1" w:styleId="CEADocumentTitle">
    <w:name w:val="CEA Document Title"/>
    <w:basedOn w:val="Hlavika"/>
    <w:semiHidden/>
    <w:qFormat/>
    <w:rsid w:val="0016089A"/>
    <w:pPr>
      <w:tabs>
        <w:tab w:val="clear" w:pos="4320"/>
        <w:tab w:val="clear" w:pos="8640"/>
        <w:tab w:val="center" w:pos="0"/>
        <w:tab w:val="right" w:pos="10440"/>
      </w:tabs>
      <w:jc w:val="right"/>
    </w:pPr>
    <w:rPr>
      <w:b/>
      <w:noProof/>
      <w:color w:val="034EA2"/>
      <w:sz w:val="40"/>
      <w:szCs w:val="40"/>
      <w:lang w:eastAsia="nl-NL"/>
    </w:rPr>
  </w:style>
  <w:style w:type="paragraph" w:customStyle="1" w:styleId="CEAStandardHeading">
    <w:name w:val="CEA Standard Heading"/>
    <w:basedOn w:val="Normlny"/>
    <w:qFormat/>
    <w:rsid w:val="0016089A"/>
    <w:pPr>
      <w:autoSpaceDE w:val="0"/>
      <w:autoSpaceDN w:val="0"/>
      <w:adjustRightInd w:val="0"/>
      <w:textAlignment w:val="center"/>
    </w:pPr>
    <w:rPr>
      <w:rFonts w:cs="Arial"/>
      <w:color w:val="002957"/>
      <w:szCs w:val="22"/>
    </w:rPr>
  </w:style>
  <w:style w:type="paragraph" w:styleId="Textbubliny">
    <w:name w:val="Balloon Text"/>
    <w:basedOn w:val="Normlny"/>
    <w:link w:val="TextbublinyChar"/>
    <w:uiPriority w:val="99"/>
    <w:semiHidden/>
    <w:unhideWhenUsed/>
    <w:rsid w:val="0016089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6089A"/>
    <w:rPr>
      <w:rFonts w:ascii="Tahoma" w:eastAsia="Times New Roman" w:hAnsi="Tahoma" w:cs="Tahoma"/>
      <w:sz w:val="16"/>
      <w:szCs w:val="16"/>
      <w:lang w:val="en-GB"/>
    </w:rPr>
  </w:style>
  <w:style w:type="paragraph" w:customStyle="1" w:styleId="CEABullet-Level1">
    <w:name w:val="CEA Bullet - Level 1"/>
    <w:basedOn w:val="Normlny"/>
    <w:qFormat/>
    <w:rsid w:val="00425286"/>
    <w:pPr>
      <w:numPr>
        <w:numId w:val="1"/>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425286"/>
    <w:pPr>
      <w:numPr>
        <w:numId w:val="2"/>
      </w:numPr>
    </w:pPr>
  </w:style>
  <w:style w:type="paragraph" w:customStyle="1" w:styleId="CEABullet-Level3">
    <w:name w:val="CEA Bullet - Level 3"/>
    <w:basedOn w:val="Normlny"/>
    <w:qFormat/>
    <w:rsid w:val="00425286"/>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425286"/>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425286"/>
    <w:pPr>
      <w:jc w:val="right"/>
    </w:pPr>
    <w:rPr>
      <w:rFonts w:cs="Frutiger LT Std 55 Roman"/>
      <w:b/>
      <w:color w:val="0032FF"/>
      <w:sz w:val="40"/>
      <w:szCs w:val="40"/>
    </w:rPr>
  </w:style>
  <w:style w:type="paragraph" w:customStyle="1" w:styleId="CEAFootnote">
    <w:name w:val="CEA Footnote"/>
    <w:basedOn w:val="Normlny"/>
    <w:semiHidden/>
    <w:qFormat/>
    <w:rsid w:val="00425286"/>
    <w:pPr>
      <w:spacing w:line="240" w:lineRule="auto"/>
    </w:pPr>
    <w:rPr>
      <w:sz w:val="16"/>
    </w:rPr>
  </w:style>
  <w:style w:type="character" w:customStyle="1" w:styleId="CEAGraphTitle">
    <w:name w:val="CEA Graph Title"/>
    <w:uiPriority w:val="1"/>
    <w:qFormat/>
    <w:rsid w:val="00425286"/>
    <w:rPr>
      <w:rFonts w:ascii="Verdana" w:hAnsi="Verdana"/>
      <w:smallCaps w:val="0"/>
      <w:sz w:val="19"/>
      <w:lang w:val="en-GB"/>
    </w:rPr>
  </w:style>
  <w:style w:type="character" w:customStyle="1" w:styleId="CEAGraphX">
    <w:name w:val="CEA Graph X"/>
    <w:uiPriority w:val="1"/>
    <w:qFormat/>
    <w:rsid w:val="00425286"/>
    <w:rPr>
      <w:rFonts w:ascii="Verdana" w:hAnsi="Verdana"/>
      <w:smallCaps/>
      <w:sz w:val="19"/>
      <w:lang w:val="en-GB"/>
    </w:rPr>
  </w:style>
  <w:style w:type="paragraph" w:customStyle="1" w:styleId="CEAPositionPaperTitle">
    <w:name w:val="CEA Position Paper Title"/>
    <w:basedOn w:val="Normlny"/>
    <w:semiHidden/>
    <w:qFormat/>
    <w:rsid w:val="00425286"/>
    <w:pPr>
      <w:ind w:left="-27"/>
    </w:pPr>
    <w:rPr>
      <w:b/>
      <w:color w:val="034EA2"/>
      <w:sz w:val="32"/>
      <w:szCs w:val="32"/>
    </w:rPr>
  </w:style>
  <w:style w:type="paragraph" w:customStyle="1" w:styleId="CEAPressReleaseSubtitle">
    <w:name w:val="CEA Press Release Subtitle"/>
    <w:basedOn w:val="Normlny"/>
    <w:semiHidden/>
    <w:qFormat/>
    <w:rsid w:val="00425286"/>
    <w:rPr>
      <w:sz w:val="22"/>
      <w:szCs w:val="22"/>
    </w:rPr>
  </w:style>
  <w:style w:type="paragraph" w:customStyle="1" w:styleId="CEAPressReleaseTitle">
    <w:name w:val="CEA Press Release Title"/>
    <w:basedOn w:val="Normlny"/>
    <w:semiHidden/>
    <w:qFormat/>
    <w:rsid w:val="00425286"/>
    <w:pPr>
      <w:autoSpaceDE w:val="0"/>
      <w:autoSpaceDN w:val="0"/>
      <w:adjustRightInd w:val="0"/>
      <w:spacing w:line="240" w:lineRule="auto"/>
    </w:pPr>
    <w:rPr>
      <w:rFonts w:ascii="Frutiger LT Com 45 Light" w:hAnsi="Frutiger LT Com 45 Light"/>
      <w:b/>
      <w:color w:val="034EA2"/>
      <w:sz w:val="36"/>
      <w:szCs w:val="36"/>
    </w:rPr>
  </w:style>
  <w:style w:type="table" w:styleId="Mriekatabuky">
    <w:name w:val="Table Grid"/>
    <w:basedOn w:val="Normlnatabuka"/>
    <w:uiPriority w:val="59"/>
    <w:rsid w:val="00F71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1E4D62"/>
    <w:pPr>
      <w:ind w:left="720"/>
      <w:contextualSpacing/>
      <w:jc w:val="left"/>
    </w:pPr>
  </w:style>
  <w:style w:type="character" w:styleId="Hypertextovprepojenie">
    <w:name w:val="Hyperlink"/>
    <w:basedOn w:val="Predvolenpsmoodseku"/>
    <w:uiPriority w:val="99"/>
    <w:unhideWhenUsed/>
    <w:rsid w:val="00E21AD5"/>
    <w:rPr>
      <w:color w:val="0000FF" w:themeColor="hyperlink"/>
      <w:u w:val="single"/>
    </w:rPr>
  </w:style>
  <w:style w:type="paragraph" w:customStyle="1" w:styleId="Default">
    <w:name w:val="Default"/>
    <w:rsid w:val="00E21AD5"/>
    <w:pPr>
      <w:autoSpaceDE w:val="0"/>
      <w:autoSpaceDN w:val="0"/>
      <w:adjustRightInd w:val="0"/>
      <w:spacing w:after="0" w:line="240" w:lineRule="auto"/>
    </w:pPr>
    <w:rPr>
      <w:rFonts w:ascii="Verdana" w:hAnsi="Verdana" w:cs="Verdana"/>
      <w:color w:val="000000"/>
      <w:sz w:val="24"/>
      <w:szCs w:val="24"/>
      <w:lang w:val="en-GB"/>
    </w:rPr>
  </w:style>
  <w:style w:type="character" w:styleId="Nevyrieenzmienka">
    <w:name w:val="Unresolved Mention"/>
    <w:basedOn w:val="Predvolenpsmoodseku"/>
    <w:uiPriority w:val="99"/>
    <w:semiHidden/>
    <w:unhideWhenUsed/>
    <w:rsid w:val="00C21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167921">
      <w:bodyDiv w:val="1"/>
      <w:marLeft w:val="0"/>
      <w:marRight w:val="0"/>
      <w:marTop w:val="0"/>
      <w:marBottom w:val="0"/>
      <w:divBdr>
        <w:top w:val="none" w:sz="0" w:space="0" w:color="auto"/>
        <w:left w:val="none" w:sz="0" w:space="0" w:color="auto"/>
        <w:bottom w:val="none" w:sz="0" w:space="0" w:color="auto"/>
        <w:right w:val="none" w:sz="0" w:space="0" w:color="auto"/>
      </w:divBdr>
    </w:div>
    <w:div w:id="162873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frag.org/Assets/Download?assetUrl=%2Fsites%2Fwebpublishing%2FProject%20Documents%2F1606201553344223%2FCL%20016%20-%20Insurance%20Europe%20-%20EFRAG%20DP%20Equity%20Instruments%20-%20Impairment%20and%20Recycling.pdf" TargetMode="External"/><Relationship Id="rId18" Type="http://schemas.openxmlformats.org/officeDocument/2006/relationships/hyperlink" Target="https://www.insuranceassetrisk.com/content/news/scor-slashes-equity-portfolio-in-q3.html"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frs.org/news-and-events/news/2018/04/ifrs-9-and-equity-investments/" TargetMode="External"/><Relationship Id="rId17" Type="http://schemas.openxmlformats.org/officeDocument/2006/relationships/hyperlink" Target="https://extranet.insuranceeurope.eu/Financial%20Reporting%20Working%20Group/PublishedDocuments/ECO-FRG-19-108.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xtranet.insuranceeurope.eu/Financial%20Reporting%20Working%20Group/PublishedDocuments/ECO-FRG-18-076.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suranceeurope.sharepoint.com/sites/extranet/Corporate%20Reporting%20WG/2021%2FECO-FRG-21-149.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xtranet.insuranceeurope.eu/Financial%20Reporting%20Working%20Group/PublishedDocuments/ECO-FRG-18-075.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frag.org/Assets/Download?assetUrl=%2Fsites%2Fwebpublishing%2FSiteAssets%2FEndorsement%2520Advice%2520on%2520IFRS%25209.pdf"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4EF38CAE9A4F80AF2F6FA01859F6AD"/>
        <w:category>
          <w:name w:val="General"/>
          <w:gallery w:val="placeholder"/>
        </w:category>
        <w:types>
          <w:type w:val="bbPlcHdr"/>
        </w:types>
        <w:behaviors>
          <w:behavior w:val="content"/>
        </w:behaviors>
        <w:guid w:val="{728CBCCC-8DFB-4F0E-A3A0-D9B9750E4ED6}"/>
      </w:docPartPr>
      <w:docPartBody>
        <w:p w:rsidR="00D92B7A" w:rsidRDefault="005F6EC7" w:rsidP="005F6EC7">
          <w:pPr>
            <w:pStyle w:val="584EF38CAE9A4F80AF2F6FA01859F6AD"/>
          </w:pPr>
          <w:r w:rsidRPr="00714930">
            <w:rPr>
              <w:rStyle w:val="Zstupntext"/>
            </w:rPr>
            <w:t>[Reference]</w:t>
          </w:r>
        </w:p>
      </w:docPartBody>
    </w:docPart>
    <w:docPart>
      <w:docPartPr>
        <w:name w:val="DefaultPlaceholder_-1854013440"/>
        <w:category>
          <w:name w:val="General"/>
          <w:gallery w:val="placeholder"/>
        </w:category>
        <w:types>
          <w:type w:val="bbPlcHdr"/>
        </w:types>
        <w:behaviors>
          <w:behavior w:val="content"/>
        </w:behaviors>
        <w:guid w:val="{E9B5BF68-3ABB-4D0B-A9B2-745F30B74DE3}"/>
      </w:docPartPr>
      <w:docPartBody>
        <w:p w:rsidR="002B5C47" w:rsidRDefault="00E01FEE">
          <w:r w:rsidRPr="008C7EE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Leelawadee UI Semilight"/>
    <w:panose1 w:val="00000000000000000000"/>
    <w:charset w:val="00"/>
    <w:family w:val="swiss"/>
    <w:notTrueType/>
    <w:pitch w:val="variable"/>
    <w:sig w:usb0="00000003"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EC7"/>
    <w:rsid w:val="00070455"/>
    <w:rsid w:val="000C72E8"/>
    <w:rsid w:val="000F2DA6"/>
    <w:rsid w:val="00157260"/>
    <w:rsid w:val="0025136D"/>
    <w:rsid w:val="002B5C47"/>
    <w:rsid w:val="002D33A2"/>
    <w:rsid w:val="002E46BB"/>
    <w:rsid w:val="002F3188"/>
    <w:rsid w:val="00341B8D"/>
    <w:rsid w:val="005F6EC7"/>
    <w:rsid w:val="006704B4"/>
    <w:rsid w:val="00810417"/>
    <w:rsid w:val="008900A2"/>
    <w:rsid w:val="008900D7"/>
    <w:rsid w:val="008C581B"/>
    <w:rsid w:val="00925F9C"/>
    <w:rsid w:val="00931FEF"/>
    <w:rsid w:val="009C2D5E"/>
    <w:rsid w:val="00A33A87"/>
    <w:rsid w:val="00A638E5"/>
    <w:rsid w:val="00AC0801"/>
    <w:rsid w:val="00B0010A"/>
    <w:rsid w:val="00B17031"/>
    <w:rsid w:val="00B4295B"/>
    <w:rsid w:val="00BD6431"/>
    <w:rsid w:val="00C70074"/>
    <w:rsid w:val="00C8618B"/>
    <w:rsid w:val="00C96AA8"/>
    <w:rsid w:val="00CE18CD"/>
    <w:rsid w:val="00D92B7A"/>
    <w:rsid w:val="00D969C7"/>
    <w:rsid w:val="00DD3CE1"/>
    <w:rsid w:val="00DF362A"/>
    <w:rsid w:val="00E01FEE"/>
    <w:rsid w:val="00EF3787"/>
    <w:rsid w:val="00F0495E"/>
    <w:rsid w:val="00F674CA"/>
    <w:rsid w:val="00F8150F"/>
    <w:rsid w:val="00F85B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D6431"/>
    <w:rPr>
      <w:color w:val="808080"/>
    </w:rPr>
  </w:style>
  <w:style w:type="paragraph" w:customStyle="1" w:styleId="584EF38CAE9A4F80AF2F6FA01859F6AD">
    <w:name w:val="584EF38CAE9A4F80AF2F6FA01859F6AD"/>
    <w:rsid w:val="005F6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ublished Documents" ma:contentTypeID="0x010100F26877DBD9F0954589FD661D0AEDE87C" ma:contentTypeVersion="20" ma:contentTypeDescription="Published Documents Content types for Insurance Europe" ma:contentTypeScope="" ma:versionID="f344e9958e38a06eeb14962e9a317a98">
  <xsd:schema xmlns:xsd="http://www.w3.org/2001/XMLSchema" xmlns:xs="http://www.w3.org/2001/XMLSchema" xmlns:p="http://schemas.microsoft.com/office/2006/metadata/properties" xmlns:ns2="17c212a7-1c13-4d42-b8fe-99adae930fd5" targetNamespace="http://schemas.microsoft.com/office/2006/metadata/properties" ma:root="true" ma:fieldsID="8d1bc165f5450208ed759341fac44a04" ns2:_="">
    <xsd:import namespace="17c212a7-1c13-4d42-b8fe-99adae930fd5"/>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212a7-1c13-4d42-b8fe-99adae930fd5"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adline xmlns="17c212a7-1c13-4d42-b8fe-99adae930fd5" xsi:nil="true"/>
    <Type_x0020_of_x0020_document xmlns="17c212a7-1c13-4d42-b8fe-99adae930fd5" xsi:nil="true"/>
    <Type_x0020_of_x0020_memo xmlns="17c212a7-1c13-4d42-b8fe-99adae930fd5" xsi:nil="true"/>
    <Can_x0020_be_x0020_edited xmlns="17c212a7-1c13-4d42-b8fe-99adae930fd5">false</Can_x0020_be_x0020_edited>
    <Feedback_x0020_type xmlns="17c212a7-1c13-4d42-b8fe-99adae930fd5" xsi:nil="true"/>
    <AllowComments xmlns="17c212a7-1c13-4d42-b8fe-99adae930fd5">true</AllowComments>
    <Allow_x0020_uploads xmlns="17c212a7-1c13-4d42-b8fe-99adae930fd5" xsi:nil="true"/>
    <Allow_x0020_comments xmlns="17c212a7-1c13-4d42-b8fe-99adae930fd5" xsi:nil="true"/>
    <Uploads xmlns="17c212a7-1c13-4d42-b8fe-99adae930fd5" xsi:nil="true"/>
    <Validated xmlns="17c212a7-1c13-4d42-b8fe-99adae930fd5">false</Validated>
    <isAnnex xmlns="17c212a7-1c13-4d42-b8fe-99adae930fd5" xsi:nil="true"/>
    <ValidationComment xmlns="17c212a7-1c13-4d42-b8fe-99adae930fd5" xsi:nil="true"/>
    <Leading_x0020_document xmlns="17c212a7-1c13-4d42-b8fe-99adae930fd5" xsi:nil="true"/>
    <Display_x0020_validated_x0020_documents_x0020_library_x0020_button xmlns="17c212a7-1c13-4d42-b8fe-99adae930fd5">false</Display_x0020_validated_x0020_documents_x0020_library_x0020_button>
  </documentManagement>
</p:properties>
</file>

<file path=customXml/itemProps1.xml><?xml version="1.0" encoding="utf-8"?>
<ds:datastoreItem xmlns:ds="http://schemas.openxmlformats.org/officeDocument/2006/customXml" ds:itemID="{E751A68F-22AE-448E-AF3B-67E4905B1BE8}">
  <ds:schemaRefs>
    <ds:schemaRef ds:uri="http://schemas.openxmlformats.org/officeDocument/2006/bibliography"/>
  </ds:schemaRefs>
</ds:datastoreItem>
</file>

<file path=customXml/itemProps2.xml><?xml version="1.0" encoding="utf-8"?>
<ds:datastoreItem xmlns:ds="http://schemas.openxmlformats.org/officeDocument/2006/customXml" ds:itemID="{6EAE3063-C2E8-4B18-9BD9-D37E457BE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212a7-1c13-4d42-b8fe-99adae930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543F7-D990-4A6E-8CB8-19DE2D01605D}">
  <ds:schemaRefs>
    <ds:schemaRef ds:uri="http://schemas.microsoft.com/sharepoint/v3/contenttype/forms"/>
  </ds:schemaRefs>
</ds:datastoreItem>
</file>

<file path=customXml/itemProps4.xml><?xml version="1.0" encoding="utf-8"?>
<ds:datastoreItem xmlns:ds="http://schemas.openxmlformats.org/officeDocument/2006/customXml" ds:itemID="{16BE8AC2-BC04-484A-AE5F-6753D3DE5469}">
  <ds:schemaRefs>
    <ds:schemaRef ds:uri="17c212a7-1c13-4d42-b8fe-99adae930fd5"/>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2438</Words>
  <Characters>13897</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Test title</vt:lpstr>
    </vt:vector>
  </TitlesOfParts>
  <Company>Insurance Europe</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Europe / CFOF position on IFRS 9 FVOCI Recycling</dc:title>
  <dc:creator>Insurance Europe</dc:creator>
  <cp:lastModifiedBy>jozef.bachnicek</cp:lastModifiedBy>
  <cp:revision>2</cp:revision>
  <dcterms:created xsi:type="dcterms:W3CDTF">2021-12-21T12:49:00Z</dcterms:created>
  <dcterms:modified xsi:type="dcterms:W3CDTF">2021-12-21T12:49:00Z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0x010100F26877DBD9F0954589FD661D0AEDE87C</vt:lpwstr>
  </property>
  <property fmtid="{D5CDD505-2E9C-101B-9397-08002B2CF9AE}" pid="3" name="_dlc_DocIdItemGuid">
    <vt:lpwstr>0346ef59-a094-4daa-9a3f-3542a4e487ae</vt:lpwstr>
  </property>
  <property fmtid="{D5CDD505-2E9C-101B-9397-08002B2CF9AE}" pid="4" name="Order">
    <vt:r8>7165200</vt:r8>
  </property>
  <property fmtid="{D5CDD505-2E9C-101B-9397-08002B2CF9AE}" pid="5" name="Year">
    <vt:lpwstr>2021</vt:lpwstr>
  </property>
  <property fmtid="{D5CDD505-2E9C-101B-9397-08002B2CF9AE}" pid="6" name="xd_Signature">
    <vt:bool>false</vt:bool>
  </property>
  <property fmtid="{D5CDD505-2E9C-101B-9397-08002B2CF9AE}" pid="7" name="SharedWithUsers">
    <vt:lpwstr>54;#Valerie Rein</vt:lpwstr>
  </property>
  <property fmtid="{D5CDD505-2E9C-101B-9397-08002B2CF9AE}" pid="8" name="xd_ProgID">
    <vt:lpwstr/>
  </property>
  <property fmtid="{D5CDD505-2E9C-101B-9397-08002B2CF9AE}" pid="9" name="Reference">
    <vt:lpwstr>ECO-CORP-21-167</vt:lpwstr>
  </property>
  <property fmtid="{D5CDD505-2E9C-101B-9397-08002B2CF9AE}" pid="10" name="ComplianceAssetId">
    <vt:lpwstr/>
  </property>
  <property fmtid="{D5CDD505-2E9C-101B-9397-08002B2CF9AE}" pid="11" name="TemplateUrl">
    <vt:lpwstr/>
  </property>
  <property fmtid="{D5CDD505-2E9C-101B-9397-08002B2CF9AE}" pid="12" name="Document type">
    <vt:lpwstr>Memo for Action</vt:lpwstr>
  </property>
  <property fmtid="{D5CDD505-2E9C-101B-9397-08002B2CF9AE}" pid="13" name="_ExtendedDescription">
    <vt:lpwstr/>
  </property>
  <property fmtid="{D5CDD505-2E9C-101B-9397-08002B2CF9AE}" pid="14" name="TriggerFlowInfo">
    <vt:lpwstr/>
  </property>
</Properties>
</file>