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710D1" w14:textId="46D95F99" w:rsidR="00FA108A" w:rsidRPr="00AE37FC" w:rsidRDefault="00A9460D" w:rsidP="00AE37FC">
      <w:pPr>
        <w:pStyle w:val="Nadpis1"/>
      </w:pPr>
      <w:bookmarkStart w:id="0" w:name="_Toc161655008"/>
      <w:r>
        <w:t>Increasing regulatory efficiency</w:t>
      </w:r>
      <w:r w:rsidR="003C4DBF">
        <w:t xml:space="preserve"> – enhancing p</w:t>
      </w:r>
      <w:r w:rsidR="0051671B" w:rsidRPr="00AE37FC">
        <w:t>roportionality</w:t>
      </w:r>
      <w:bookmarkEnd w:id="0"/>
      <w:r w:rsidR="003C4DBF">
        <w:t xml:space="preserve"> and streamlining reporting requirements </w:t>
      </w:r>
      <w:r w:rsidR="00CB3C43">
        <w:t xml:space="preserve"> </w:t>
      </w:r>
    </w:p>
    <w:p w14:paraId="4F1C98EF" w14:textId="77777777" w:rsidR="00AE37FC" w:rsidRDefault="00AE37FC" w:rsidP="00565B69">
      <w:pPr>
        <w:jc w:val="both"/>
      </w:pPr>
    </w:p>
    <w:p w14:paraId="7BDF8672" w14:textId="4F06F8F2" w:rsidR="00AD1FF7" w:rsidRDefault="00D57A59" w:rsidP="005D09BB">
      <w:pPr>
        <w:pStyle w:val="Nadpis2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M</w:t>
      </w:r>
      <w:r w:rsidRPr="00D57A59">
        <w:rPr>
          <w:rFonts w:asciiTheme="minorHAnsi" w:eastAsiaTheme="minorHAnsi" w:hAnsiTheme="minorHAnsi" w:cstheme="minorBidi"/>
          <w:color w:val="auto"/>
          <w:sz w:val="22"/>
          <w:szCs w:val="22"/>
        </w:rPr>
        <w:t>any of the amendments agreed by the co-legislators will increase the operational and repo</w:t>
      </w:r>
      <w:r w:rsidR="00107E38">
        <w:rPr>
          <w:rFonts w:asciiTheme="minorHAnsi" w:eastAsiaTheme="minorHAnsi" w:hAnsiTheme="minorHAnsi" w:cstheme="minorBidi"/>
          <w:color w:val="auto"/>
          <w:sz w:val="22"/>
          <w:szCs w:val="22"/>
        </w:rPr>
        <w:t>r</w:t>
      </w:r>
      <w:r w:rsidRPr="00D57A59">
        <w:rPr>
          <w:rFonts w:asciiTheme="minorHAnsi" w:eastAsiaTheme="minorHAnsi" w:hAnsiTheme="minorHAnsi" w:cstheme="minorBidi"/>
          <w:color w:val="auto"/>
          <w:sz w:val="22"/>
          <w:szCs w:val="22"/>
        </w:rPr>
        <w:t>ting burdens for many undertakings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, t</w:t>
      </w:r>
      <w:r w:rsidR="003C791C">
        <w:rPr>
          <w:rFonts w:asciiTheme="minorHAnsi" w:eastAsiaTheme="minorHAnsi" w:hAnsiTheme="minorHAnsi" w:cstheme="minorBidi"/>
          <w:color w:val="auto"/>
          <w:sz w:val="22"/>
          <w:szCs w:val="22"/>
        </w:rPr>
        <w:t>his is at odds with the European Commission</w:t>
      </w:r>
      <w:r w:rsidR="00E75B03">
        <w:rPr>
          <w:rFonts w:asciiTheme="minorHAnsi" w:eastAsiaTheme="minorHAnsi" w:hAnsiTheme="minorHAnsi" w:cstheme="minorBidi"/>
          <w:color w:val="auto"/>
          <w:sz w:val="22"/>
          <w:szCs w:val="22"/>
        </w:rPr>
        <w:t>’s</w:t>
      </w:r>
      <w:r w:rsidR="003C791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commitment and efforts to streamline and reduce reporting requirements for EU business. </w:t>
      </w:r>
      <w:r w:rsidR="005D09BB" w:rsidRPr="005D09B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To </w:t>
      </w:r>
      <w:r w:rsidR="00D2792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prevent a further </w:t>
      </w:r>
      <w:r w:rsidR="0061301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increase in </w:t>
      </w:r>
      <w:r w:rsidR="00A154F9" w:rsidRPr="00A154F9">
        <w:rPr>
          <w:rFonts w:asciiTheme="minorHAnsi" w:eastAsiaTheme="minorHAnsi" w:hAnsiTheme="minorHAnsi" w:cstheme="minorBidi"/>
          <w:color w:val="auto"/>
          <w:sz w:val="22"/>
          <w:szCs w:val="22"/>
        </w:rPr>
        <w:t>reporting requirements and operational burden</w:t>
      </w:r>
      <w:r w:rsidR="00185F07">
        <w:rPr>
          <w:rFonts w:asciiTheme="minorHAnsi" w:eastAsiaTheme="minorHAnsi" w:hAnsiTheme="minorHAnsi" w:cstheme="minorBidi"/>
          <w:color w:val="auto"/>
          <w:sz w:val="22"/>
          <w:szCs w:val="22"/>
        </w:rPr>
        <w:t>,</w:t>
      </w:r>
      <w:r w:rsidR="00D2792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185F0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it is essential to </w:t>
      </w:r>
      <w:r w:rsidR="00985E5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draft </w:t>
      </w:r>
      <w:r w:rsidR="00185F07">
        <w:rPr>
          <w:rFonts w:asciiTheme="minorHAnsi" w:eastAsiaTheme="minorHAnsi" w:hAnsiTheme="minorHAnsi" w:cstheme="minorBidi"/>
          <w:color w:val="auto"/>
          <w:sz w:val="22"/>
          <w:szCs w:val="22"/>
        </w:rPr>
        <w:t>L</w:t>
      </w:r>
      <w:r w:rsidR="00985E5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evel 2 </w:t>
      </w:r>
      <w:r w:rsidR="00235D66">
        <w:rPr>
          <w:rFonts w:asciiTheme="minorHAnsi" w:eastAsiaTheme="minorHAnsi" w:hAnsiTheme="minorHAnsi" w:cstheme="minorBidi"/>
          <w:color w:val="auto"/>
          <w:sz w:val="22"/>
          <w:szCs w:val="22"/>
        </w:rPr>
        <w:t>and Level 3 legislation</w:t>
      </w:r>
      <w:r w:rsidR="00185F0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appropriately</w:t>
      </w:r>
      <w:r w:rsidR="003A33AA">
        <w:rPr>
          <w:rFonts w:asciiTheme="minorHAnsi" w:eastAsiaTheme="minorHAnsi" w:hAnsiTheme="minorHAnsi" w:cstheme="minorBidi"/>
          <w:color w:val="auto"/>
          <w:sz w:val="22"/>
          <w:szCs w:val="22"/>
        </w:rPr>
        <w:t>,</w:t>
      </w:r>
      <w:r w:rsidR="00985E5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235D66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in particular in the areas </w:t>
      </w:r>
      <w:r w:rsidR="0030785A">
        <w:rPr>
          <w:rFonts w:asciiTheme="minorHAnsi" w:eastAsiaTheme="minorHAnsi" w:hAnsiTheme="minorHAnsi" w:cstheme="minorBidi"/>
          <w:color w:val="auto"/>
          <w:sz w:val="22"/>
          <w:szCs w:val="22"/>
        </w:rPr>
        <w:t>of</w:t>
      </w:r>
      <w:r w:rsidR="005D09BB" w:rsidRPr="005D09B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proportionality and reporting. </w:t>
      </w:r>
    </w:p>
    <w:p w14:paraId="472B4719" w14:textId="77777777" w:rsidR="00AD1FF7" w:rsidRDefault="00AD1FF7" w:rsidP="005D09BB">
      <w:pPr>
        <w:pStyle w:val="Nadpis2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7E967B41" w14:textId="7B93E60B" w:rsidR="005D09BB" w:rsidRDefault="005D09BB" w:rsidP="005D09BB">
      <w:pPr>
        <w:pStyle w:val="Nadpis2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D09B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As the implementation of Level 2 and 3 approaches, </w:t>
      </w:r>
      <w:r w:rsidR="00930C5A">
        <w:rPr>
          <w:rFonts w:asciiTheme="minorHAnsi" w:eastAsiaTheme="minorHAnsi" w:hAnsiTheme="minorHAnsi" w:cstheme="minorBidi"/>
          <w:color w:val="auto"/>
          <w:sz w:val="22"/>
          <w:szCs w:val="22"/>
        </w:rPr>
        <w:t>the industry</w:t>
      </w:r>
      <w:r w:rsidRPr="005D09B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emphasi</w:t>
      </w:r>
      <w:r w:rsidR="00365760">
        <w:rPr>
          <w:rFonts w:asciiTheme="minorHAnsi" w:eastAsiaTheme="minorHAnsi" w:hAnsiTheme="minorHAnsi" w:cstheme="minorBidi"/>
          <w:color w:val="auto"/>
          <w:sz w:val="22"/>
          <w:szCs w:val="22"/>
        </w:rPr>
        <w:t>s</w:t>
      </w:r>
      <w:r w:rsidRPr="005D09B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es the importance of a cautious approach by the </w:t>
      </w:r>
      <w:r w:rsidR="007A3B8A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European </w:t>
      </w:r>
      <w:r w:rsidRPr="005D09B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Commission </w:t>
      </w:r>
      <w:r w:rsidR="0060376B">
        <w:rPr>
          <w:rFonts w:asciiTheme="minorHAnsi" w:eastAsiaTheme="minorHAnsi" w:hAnsiTheme="minorHAnsi" w:cstheme="minorBidi"/>
          <w:color w:val="auto"/>
          <w:sz w:val="22"/>
          <w:szCs w:val="22"/>
        </w:rPr>
        <w:t>(EC)</w:t>
      </w:r>
      <w:r w:rsidRPr="005D09B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and EIOPA. This </w:t>
      </w:r>
      <w:r w:rsidR="00365760">
        <w:rPr>
          <w:rFonts w:asciiTheme="minorHAnsi" w:eastAsiaTheme="minorHAnsi" w:hAnsiTheme="minorHAnsi" w:cstheme="minorBidi"/>
          <w:color w:val="auto"/>
          <w:sz w:val="22"/>
          <w:szCs w:val="22"/>
        </w:rPr>
        <w:t>paper</w:t>
      </w:r>
      <w:r w:rsidRPr="005D09B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presents key ideas and suggestions </w:t>
      </w:r>
      <w:r w:rsidR="001C5A19">
        <w:rPr>
          <w:rFonts w:asciiTheme="minorHAnsi" w:eastAsiaTheme="minorHAnsi" w:hAnsiTheme="minorHAnsi" w:cstheme="minorBidi"/>
          <w:color w:val="auto"/>
          <w:sz w:val="22"/>
          <w:szCs w:val="22"/>
        </w:rPr>
        <w:t>for consideration</w:t>
      </w:r>
      <w:r w:rsidR="00DD148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, in line with the </w:t>
      </w:r>
      <w:r w:rsidR="0060376B">
        <w:rPr>
          <w:rFonts w:asciiTheme="minorHAnsi" w:eastAsiaTheme="minorHAnsi" w:hAnsiTheme="minorHAnsi" w:cstheme="minorBidi"/>
          <w:color w:val="auto"/>
          <w:sz w:val="22"/>
          <w:szCs w:val="22"/>
        </w:rPr>
        <w:t>EC</w:t>
      </w:r>
      <w:r w:rsidR="00DD1485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B4328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objective of rationalization of </w:t>
      </w:r>
      <w:r w:rsidR="00271DA1">
        <w:rPr>
          <w:rFonts w:asciiTheme="minorHAnsi" w:eastAsiaTheme="minorHAnsi" w:hAnsiTheme="minorHAnsi" w:cstheme="minorBidi"/>
          <w:color w:val="auto"/>
          <w:sz w:val="22"/>
          <w:szCs w:val="22"/>
        </w:rPr>
        <w:t>requirements for companies</w:t>
      </w:r>
      <w:r w:rsidRPr="005D09B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 </w:t>
      </w:r>
    </w:p>
    <w:p w14:paraId="16160CCB" w14:textId="77777777" w:rsidR="005D09BB" w:rsidRDefault="005D09BB" w:rsidP="00BF4E70">
      <w:pPr>
        <w:pStyle w:val="Nadpis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435200B8" w14:textId="6E0377C1" w:rsidR="00BF4E70" w:rsidRDefault="00E81AAA" w:rsidP="00BF4E70">
      <w:pPr>
        <w:pStyle w:val="Nadpis2"/>
      </w:pPr>
      <w:r>
        <w:t>Further e</w:t>
      </w:r>
      <w:r w:rsidR="00BF4E70">
        <w:t>nhancing proportionality</w:t>
      </w:r>
    </w:p>
    <w:p w14:paraId="326809E2" w14:textId="543A9D6A" w:rsidR="00565B69" w:rsidRDefault="0027641D" w:rsidP="00565B69">
      <w:pPr>
        <w:jc w:val="both"/>
      </w:pPr>
      <w:r>
        <w:t>Enhancing</w:t>
      </w:r>
      <w:r w:rsidR="00565B69" w:rsidRPr="00395B20">
        <w:t xml:space="preserve"> proportionality was one of the </w:t>
      </w:r>
      <w:r>
        <w:t>central objectives</w:t>
      </w:r>
      <w:r w:rsidR="00565B69" w:rsidRPr="00395B20">
        <w:t xml:space="preserve"> of the</w:t>
      </w:r>
      <w:r>
        <w:t xml:space="preserve"> Solvency II 2020</w:t>
      </w:r>
      <w:r w:rsidR="00565B69" w:rsidRPr="00395B20">
        <w:t xml:space="preserve"> review</w:t>
      </w:r>
      <w:r w:rsidR="00B30A60">
        <w:t>. This was</w:t>
      </w:r>
      <w:r w:rsidR="00565B69">
        <w:t xml:space="preserve"> </w:t>
      </w:r>
      <w:r>
        <w:t xml:space="preserve">pursued </w:t>
      </w:r>
      <w:r w:rsidR="00565B69">
        <w:t xml:space="preserve">by raising the thresholds for Solvency II </w:t>
      </w:r>
      <w:r w:rsidR="00A7448B">
        <w:t xml:space="preserve">application </w:t>
      </w:r>
      <w:r w:rsidR="00565B69">
        <w:t>and allowing small</w:t>
      </w:r>
      <w:r w:rsidR="00446B37">
        <w:t>er and less risky</w:t>
      </w:r>
      <w:r w:rsidR="00565B69">
        <w:t xml:space="preserve"> insurers</w:t>
      </w:r>
      <w:r w:rsidR="00A7448B">
        <w:t xml:space="preserve">, meeting </w:t>
      </w:r>
      <w:r w:rsidR="00565B69">
        <w:t>predefined criteria</w:t>
      </w:r>
      <w:r w:rsidR="00A7448B">
        <w:t>,</w:t>
      </w:r>
      <w:r w:rsidR="00565B69">
        <w:t xml:space="preserve"> to automatically </w:t>
      </w:r>
      <w:r w:rsidR="00425CF6">
        <w:t>access</w:t>
      </w:r>
      <w:r w:rsidR="00565B69">
        <w:t xml:space="preserve"> simplifications and proportional measures and as such creating a more suitable framework for </w:t>
      </w:r>
      <w:r w:rsidR="003027EE">
        <w:t>these</w:t>
      </w:r>
      <w:r w:rsidR="008A43BC">
        <w:t xml:space="preserve"> ‘small and non-complex’ (SNCU)</w:t>
      </w:r>
      <w:r w:rsidR="003027EE">
        <w:t xml:space="preserve"> </w:t>
      </w:r>
      <w:r w:rsidR="00565B69">
        <w:t>insurers.</w:t>
      </w:r>
    </w:p>
    <w:p w14:paraId="0AC49FB2" w14:textId="44DC3DB9" w:rsidR="00B236E0" w:rsidRDefault="003268D0" w:rsidP="00565B69">
      <w:pPr>
        <w:jc w:val="both"/>
      </w:pPr>
      <w:r>
        <w:t xml:space="preserve">While the </w:t>
      </w:r>
      <w:r w:rsidR="00C1619E">
        <w:t xml:space="preserve">automatic </w:t>
      </w:r>
      <w:r w:rsidR="006E73BE">
        <w:t xml:space="preserve">SNCU </w:t>
      </w:r>
      <w:r w:rsidR="00C1619E">
        <w:t>proportionality classification</w:t>
      </w:r>
      <w:r w:rsidR="00BC52A5">
        <w:t>,</w:t>
      </w:r>
      <w:r w:rsidR="00C1619E">
        <w:t xml:space="preserve"> </w:t>
      </w:r>
      <w:r w:rsidR="006E73BE">
        <w:t xml:space="preserve">which is </w:t>
      </w:r>
      <w:r w:rsidR="0091597D">
        <w:t xml:space="preserve">based on clear criteria </w:t>
      </w:r>
      <w:r w:rsidR="00425CF6">
        <w:t>represents</w:t>
      </w:r>
      <w:r w:rsidR="0091597D">
        <w:t xml:space="preserve"> a</w:t>
      </w:r>
      <w:r w:rsidR="00CF7E5D">
        <w:t>n</w:t>
      </w:r>
      <w:r w:rsidR="0091597D">
        <w:t xml:space="preserve"> improvement, only </w:t>
      </w:r>
      <w:r w:rsidR="009E74C1">
        <w:t xml:space="preserve">a </w:t>
      </w:r>
      <w:r w:rsidR="00B754CC">
        <w:t>restrict</w:t>
      </w:r>
      <w:r w:rsidR="009E74C1">
        <w:t xml:space="preserve">ed number of </w:t>
      </w:r>
      <w:r w:rsidR="0091597D">
        <w:t xml:space="preserve">insurers benefit from </w:t>
      </w:r>
      <w:r w:rsidR="00B754CC">
        <w:t>this designation</w:t>
      </w:r>
      <w:r w:rsidR="0093351D">
        <w:t xml:space="preserve">. </w:t>
      </w:r>
      <w:r w:rsidR="00892BD9" w:rsidRPr="00892BD9">
        <w:t xml:space="preserve">This is particularly evident in larger markets due to the absolute nature of the size criteria. </w:t>
      </w:r>
    </w:p>
    <w:p w14:paraId="13553BBE" w14:textId="75E6812A" w:rsidR="003268D0" w:rsidRDefault="006358BE" w:rsidP="00565B69">
      <w:pPr>
        <w:jc w:val="both"/>
      </w:pPr>
      <w:r>
        <w:t xml:space="preserve">With the </w:t>
      </w:r>
      <w:r w:rsidR="00E716A1">
        <w:t>ever-increasing</w:t>
      </w:r>
      <w:r>
        <w:t xml:space="preserve"> operational burden in mind, </w:t>
      </w:r>
      <w:r w:rsidR="00892BD9">
        <w:t xml:space="preserve">it is key that </w:t>
      </w:r>
      <w:r>
        <w:t xml:space="preserve">also non-SNCUs </w:t>
      </w:r>
      <w:r w:rsidR="00A357F2">
        <w:t>are</w:t>
      </w:r>
      <w:r>
        <w:t xml:space="preserve"> able to benefit </w:t>
      </w:r>
      <w:r w:rsidR="00BE4292">
        <w:t xml:space="preserve">from proportionality measures based on </w:t>
      </w:r>
      <w:r w:rsidR="00576547">
        <w:t xml:space="preserve">simplified approval procedures and clear criteria and target market share. </w:t>
      </w:r>
    </w:p>
    <w:p w14:paraId="00617764" w14:textId="77777777" w:rsidR="009868BA" w:rsidRDefault="00A357F2" w:rsidP="009868BA">
      <w:pPr>
        <w:jc w:val="both"/>
      </w:pPr>
      <w:r>
        <w:t>In</w:t>
      </w:r>
      <w:r w:rsidR="00B54BF5">
        <w:t xml:space="preserve"> drafting the </w:t>
      </w:r>
      <w:r w:rsidR="00D678A4">
        <w:t>Level 2</w:t>
      </w:r>
      <w:r w:rsidR="00A825BC">
        <w:t xml:space="preserve"> and Level 3 legislation</w:t>
      </w:r>
      <w:r w:rsidR="00B54BF5">
        <w:t xml:space="preserve">, </w:t>
      </w:r>
      <w:r w:rsidR="009868BA" w:rsidRPr="009868BA">
        <w:t>emphasis should be placed on enhancing proportionality in the following areas:</w:t>
      </w:r>
    </w:p>
    <w:p w14:paraId="0A76A505" w14:textId="2873DFE7" w:rsidR="00F30ED6" w:rsidRDefault="00F30ED6" w:rsidP="009868BA">
      <w:pPr>
        <w:pStyle w:val="Odsekzoznamu"/>
        <w:numPr>
          <w:ilvl w:val="0"/>
          <w:numId w:val="18"/>
        </w:numPr>
        <w:jc w:val="both"/>
      </w:pPr>
      <w:r>
        <w:t>Transposition period</w:t>
      </w:r>
    </w:p>
    <w:p w14:paraId="633B37BF" w14:textId="1307E3C2" w:rsidR="00F30ED6" w:rsidRDefault="00F30ED6" w:rsidP="00F30ED6">
      <w:pPr>
        <w:pStyle w:val="Odsekzoznamu"/>
        <w:numPr>
          <w:ilvl w:val="0"/>
          <w:numId w:val="18"/>
        </w:numPr>
        <w:jc w:val="both"/>
      </w:pPr>
      <w:r>
        <w:t>Non-SNCU</w:t>
      </w:r>
      <w:r w:rsidR="00B54BF5">
        <w:t>s</w:t>
      </w:r>
    </w:p>
    <w:p w14:paraId="6E6F93AD" w14:textId="77777777" w:rsidR="00E376B8" w:rsidRDefault="00E376B8" w:rsidP="00E376B8">
      <w:pPr>
        <w:pStyle w:val="Odsekzoznamu"/>
        <w:numPr>
          <w:ilvl w:val="0"/>
          <w:numId w:val="18"/>
        </w:numPr>
        <w:jc w:val="both"/>
      </w:pPr>
      <w:r>
        <w:t>Groups</w:t>
      </w:r>
    </w:p>
    <w:p w14:paraId="7755C2C3" w14:textId="68951985" w:rsidR="000D0389" w:rsidRPr="00BC7F1E" w:rsidRDefault="000D0389" w:rsidP="00BC7F1E">
      <w:pPr>
        <w:pStyle w:val="Nadpis3"/>
        <w:rPr>
          <w:b/>
          <w:bCs/>
        </w:rPr>
      </w:pPr>
      <w:bookmarkStart w:id="1" w:name="_Toc161655009"/>
      <w:r w:rsidRPr="00BC7F1E">
        <w:rPr>
          <w:b/>
          <w:bCs/>
        </w:rPr>
        <w:t>Trans</w:t>
      </w:r>
      <w:r w:rsidR="00FC1822">
        <w:rPr>
          <w:b/>
          <w:bCs/>
        </w:rPr>
        <w:t>pos</w:t>
      </w:r>
      <w:r w:rsidRPr="00BC7F1E">
        <w:rPr>
          <w:b/>
          <w:bCs/>
        </w:rPr>
        <w:t>ition period</w:t>
      </w:r>
      <w:bookmarkEnd w:id="1"/>
      <w:r w:rsidRPr="00BC7F1E">
        <w:rPr>
          <w:b/>
          <w:bCs/>
        </w:rPr>
        <w:t xml:space="preserve"> </w:t>
      </w:r>
    </w:p>
    <w:p w14:paraId="6C0DC8DD" w14:textId="6A64C46E" w:rsidR="00B54644" w:rsidRDefault="006C790A" w:rsidP="000C3EE3">
      <w:pPr>
        <w:jc w:val="both"/>
      </w:pPr>
      <w:r w:rsidRPr="006C790A">
        <w:t>The transposition period following the amendments to the Solvency II Directive is a critical phase</w:t>
      </w:r>
      <w:r>
        <w:t>, d</w:t>
      </w:r>
      <w:r w:rsidRPr="006C790A">
        <w:t>uring this period, Member States are tasked with incorporating the amended Directive into their national laws. It is imperative that insurers potentially exempt from Solvency II</w:t>
      </w:r>
      <w:r>
        <w:t xml:space="preserve"> (</w:t>
      </w:r>
      <w:r w:rsidR="00E36463">
        <w:t xml:space="preserve">following </w:t>
      </w:r>
      <w:r>
        <w:t>increased thresholds Dir Art 4)</w:t>
      </w:r>
      <w:r w:rsidRPr="006C790A">
        <w:t xml:space="preserve"> or classified as SNCUs are not unduly burdened with new regulatory requirements. This includes not only the direct requirements of Solvency II but also any </w:t>
      </w:r>
      <w:r w:rsidR="00C82F21">
        <w:t xml:space="preserve">other horizontal </w:t>
      </w:r>
      <w:r w:rsidR="00C4441A">
        <w:t>legislation</w:t>
      </w:r>
      <w:r w:rsidRPr="006C790A">
        <w:t>, such as the Digital Operational Resilience Act (DORA). Ensuring a smooth transition period is essential for minimi</w:t>
      </w:r>
      <w:r w:rsidR="001005AC">
        <w:t>s</w:t>
      </w:r>
      <w:r w:rsidRPr="006C790A">
        <w:t>ing disruptions to insurers' operations</w:t>
      </w:r>
      <w:r w:rsidR="00305B36">
        <w:t>,</w:t>
      </w:r>
      <w:r w:rsidR="00305B36" w:rsidRPr="00305B36">
        <w:t xml:space="preserve"> </w:t>
      </w:r>
      <w:r w:rsidR="00305B36">
        <w:t>o</w:t>
      </w:r>
      <w:r w:rsidR="00305B36" w:rsidRPr="00305B36">
        <w:t>therwise there is a risk that companies will incur implementation efforts and costs that become obsolete after the transposition period</w:t>
      </w:r>
      <w:r w:rsidRPr="006C790A">
        <w:t>.</w:t>
      </w:r>
    </w:p>
    <w:p w14:paraId="6EF2B7B7" w14:textId="26E2FCBB" w:rsidR="00C90DA3" w:rsidRDefault="0096464D">
      <w:pPr>
        <w:pStyle w:val="Odsekzoznamu"/>
        <w:numPr>
          <w:ilvl w:val="0"/>
          <w:numId w:val="19"/>
        </w:numPr>
        <w:jc w:val="both"/>
      </w:pPr>
      <w:r w:rsidRPr="00B44671">
        <w:rPr>
          <w:b/>
          <w:bCs/>
        </w:rPr>
        <w:lastRenderedPageBreak/>
        <w:t>Digital Operational Resilience Act (DORA)</w:t>
      </w:r>
      <w:r w:rsidR="00B54644" w:rsidRPr="00B44671">
        <w:rPr>
          <w:b/>
          <w:bCs/>
        </w:rPr>
        <w:t>:</w:t>
      </w:r>
      <w:r w:rsidR="00346532" w:rsidRPr="00346532">
        <w:t xml:space="preserve"> </w:t>
      </w:r>
      <w:r w:rsidR="00C90DA3">
        <w:t>S</w:t>
      </w:r>
      <w:r w:rsidR="00B44671" w:rsidRPr="00B44671">
        <w:t xml:space="preserve">ome "SII exempted insurers" may have to comply </w:t>
      </w:r>
      <w:r w:rsidR="00C90DA3">
        <w:t xml:space="preserve">temporarily </w:t>
      </w:r>
      <w:r w:rsidR="00B44671" w:rsidRPr="00B44671">
        <w:t>with DORA, specifically between its entry into force (17 February 2025) and the entry into force of the Solvency II review amendments (</w:t>
      </w:r>
      <w:r w:rsidR="004901DD">
        <w:t>Foreseen for e</w:t>
      </w:r>
      <w:r w:rsidR="00B44671" w:rsidRPr="00B44671">
        <w:t>nd 2026/early 2027). DORA Article 2(3)(b) states it does</w:t>
      </w:r>
      <w:r w:rsidR="004901DD">
        <w:t xml:space="preserve"> not</w:t>
      </w:r>
      <w:r w:rsidR="00B44671" w:rsidRPr="00B44671">
        <w:t xml:space="preserve"> apply to (re)insurers as per Article 4 of Solvency II (exclusion based on size). This implies insurers falling under the </w:t>
      </w:r>
      <w:r w:rsidR="005E4084">
        <w:t>SII review-</w:t>
      </w:r>
      <w:r w:rsidR="00B44671" w:rsidRPr="00B44671">
        <w:t>amended version of Article 4 would have to comply with DORA based on the existing version of Article 4 before being exempted based on the amended version.</w:t>
      </w:r>
    </w:p>
    <w:p w14:paraId="73E5660C" w14:textId="36D09B09" w:rsidR="0067248E" w:rsidRDefault="0096464D" w:rsidP="00200319">
      <w:pPr>
        <w:pStyle w:val="Odsekzoznamu"/>
        <w:numPr>
          <w:ilvl w:val="0"/>
          <w:numId w:val="19"/>
        </w:numPr>
        <w:jc w:val="both"/>
      </w:pPr>
      <w:r w:rsidRPr="0056381C">
        <w:rPr>
          <w:b/>
          <w:bCs/>
        </w:rPr>
        <w:t>Corporate Sustainability Reporting Directive (CSRD)</w:t>
      </w:r>
      <w:r w:rsidR="00D82661" w:rsidRPr="0056381C">
        <w:rPr>
          <w:b/>
          <w:bCs/>
        </w:rPr>
        <w:t xml:space="preserve">: </w:t>
      </w:r>
      <w:r w:rsidR="00D82661" w:rsidRPr="00D82661">
        <w:t xml:space="preserve">The Solvency II </w:t>
      </w:r>
      <w:r w:rsidR="00ED75F0">
        <w:t>review agreement</w:t>
      </w:r>
      <w:r w:rsidR="00D82661" w:rsidRPr="00D82661">
        <w:t xml:space="preserve"> </w:t>
      </w:r>
      <w:r w:rsidR="00231A09">
        <w:t>include</w:t>
      </w:r>
      <w:r w:rsidR="00D82661" w:rsidRPr="00D82661">
        <w:t>s amendments to the CSRD</w:t>
      </w:r>
      <w:r w:rsidR="00337C78">
        <w:t xml:space="preserve">. </w:t>
      </w:r>
      <w:r w:rsidR="00A95ABE">
        <w:t xml:space="preserve"> </w:t>
      </w:r>
      <w:r w:rsidR="00337C78">
        <w:t xml:space="preserve">The proposed amendment in Article 19a of Directive 2013/34/EU suggests replacing paragraph 6 with new provisions that allow certain types of undertakings to limit their sustainability reporting requirements. Specifically, small and medium-sized undertakings, small and non-complex institutions, captive </w:t>
      </w:r>
      <w:r w:rsidR="006A6A0C">
        <w:t>(re)</w:t>
      </w:r>
      <w:r w:rsidR="00337C78">
        <w:t>insur</w:t>
      </w:r>
      <w:r w:rsidR="006A6A0C">
        <w:t>ers</w:t>
      </w:r>
      <w:r w:rsidR="00337C78">
        <w:t xml:space="preserve">, and </w:t>
      </w:r>
      <w:r w:rsidR="00BC5E82">
        <w:t>SNCUs</w:t>
      </w:r>
      <w:r w:rsidR="00337C78">
        <w:t xml:space="preserve"> meeting specific criteria may streamline their sustainability reporting</w:t>
      </w:r>
      <w:r w:rsidR="0056381C">
        <w:t xml:space="preserve">. </w:t>
      </w:r>
      <w:r w:rsidR="00200319">
        <w:t>T</w:t>
      </w:r>
      <w:r w:rsidR="0067248E" w:rsidRPr="0067248E">
        <w:t>hese entities opting for the derogation will be required to adhere to the sustainability reporting standards designated for small and medium-sized undertakings as specified in Article 29c.</w:t>
      </w:r>
    </w:p>
    <w:p w14:paraId="6A5D92ED" w14:textId="77777777" w:rsidR="0067248E" w:rsidRPr="00DA7547" w:rsidRDefault="0067248E" w:rsidP="00A61DF5">
      <w:pPr>
        <w:pStyle w:val="Odsekzoznamu"/>
        <w:jc w:val="both"/>
      </w:pPr>
    </w:p>
    <w:p w14:paraId="60B0786F" w14:textId="4F38908A" w:rsidR="00305B36" w:rsidRPr="00D82661" w:rsidRDefault="006143AE" w:rsidP="00200319">
      <w:pPr>
        <w:pStyle w:val="Odsekzoznamu"/>
        <w:jc w:val="both"/>
        <w:rPr>
          <w:b/>
          <w:bCs/>
          <w:color w:val="00B050"/>
        </w:rPr>
      </w:pPr>
      <w:r>
        <w:t xml:space="preserve">The </w:t>
      </w:r>
      <w:r w:rsidR="00D82661" w:rsidRPr="00D82661">
        <w:t xml:space="preserve">discrepancies in the timelines between the implementation dates of Solvency II and the CSRD provisions, </w:t>
      </w:r>
      <w:r>
        <w:t xml:space="preserve">could </w:t>
      </w:r>
      <w:r w:rsidR="00D82661" w:rsidRPr="00D82661">
        <w:t>potentially lead</w:t>
      </w:r>
      <w:r>
        <w:t xml:space="preserve"> to</w:t>
      </w:r>
      <w:r w:rsidR="00D82661" w:rsidRPr="00D82661">
        <w:t xml:space="preserve"> small undertakings to first </w:t>
      </w:r>
      <w:r>
        <w:t xml:space="preserve">have to </w:t>
      </w:r>
      <w:r w:rsidR="00D82661" w:rsidRPr="00D82661">
        <w:t>adhere to the entirety of the legislation before benefiting from proportionality measures.</w:t>
      </w:r>
    </w:p>
    <w:p w14:paraId="5BC532CF" w14:textId="564922FF" w:rsidR="00D14B58" w:rsidRPr="00305B36" w:rsidRDefault="00305B36" w:rsidP="00305B36">
      <w:pPr>
        <w:jc w:val="both"/>
        <w:rPr>
          <w:b/>
          <w:bCs/>
          <w:color w:val="00B050"/>
        </w:rPr>
      </w:pPr>
      <w:r>
        <w:rPr>
          <w:b/>
          <w:bCs/>
          <w:color w:val="00B050"/>
        </w:rPr>
        <w:t xml:space="preserve">DO: </w:t>
      </w:r>
      <w:r w:rsidR="00FB7D8B">
        <w:rPr>
          <w:b/>
          <w:bCs/>
          <w:color w:val="00B050"/>
        </w:rPr>
        <w:t>For entities that would be exemp</w:t>
      </w:r>
      <w:r w:rsidR="00DB2188">
        <w:rPr>
          <w:b/>
          <w:bCs/>
          <w:color w:val="00B050"/>
        </w:rPr>
        <w:t>ted</w:t>
      </w:r>
      <w:r>
        <w:rPr>
          <w:b/>
          <w:bCs/>
          <w:color w:val="00B050"/>
        </w:rPr>
        <w:t xml:space="preserve"> </w:t>
      </w:r>
      <w:r w:rsidR="00D85A53">
        <w:rPr>
          <w:b/>
          <w:bCs/>
          <w:color w:val="00B050"/>
        </w:rPr>
        <w:t xml:space="preserve">under Solvency II and SNCUs, </w:t>
      </w:r>
      <w:r w:rsidR="008E1228">
        <w:rPr>
          <w:b/>
          <w:bCs/>
          <w:color w:val="00B050"/>
        </w:rPr>
        <w:t>e</w:t>
      </w:r>
      <w:r w:rsidR="008E1228" w:rsidRPr="00305B36">
        <w:rPr>
          <w:b/>
          <w:bCs/>
          <w:color w:val="00B050"/>
        </w:rPr>
        <w:t xml:space="preserve">stablish </w:t>
      </w:r>
      <w:r w:rsidR="00D14B58" w:rsidRPr="00305B36">
        <w:rPr>
          <w:b/>
          <w:bCs/>
          <w:color w:val="00B050"/>
        </w:rPr>
        <w:t xml:space="preserve">smooth transition rules for </w:t>
      </w:r>
      <w:r w:rsidR="00D85A53">
        <w:rPr>
          <w:b/>
          <w:bCs/>
          <w:color w:val="00B050"/>
        </w:rPr>
        <w:t xml:space="preserve">the </w:t>
      </w:r>
      <w:r w:rsidR="00D14B58" w:rsidRPr="00305B36">
        <w:rPr>
          <w:b/>
          <w:bCs/>
          <w:color w:val="00B050"/>
        </w:rPr>
        <w:t>expected simplification during the transition period</w:t>
      </w:r>
      <w:r w:rsidR="008E1228">
        <w:rPr>
          <w:b/>
          <w:bCs/>
          <w:color w:val="00B050"/>
        </w:rPr>
        <w:t>, in particular</w:t>
      </w:r>
      <w:r w:rsidR="00D14B58" w:rsidRPr="00305B36">
        <w:rPr>
          <w:b/>
          <w:bCs/>
          <w:color w:val="00B050"/>
        </w:rPr>
        <w:t xml:space="preserve"> </w:t>
      </w:r>
      <w:r w:rsidR="00196E75">
        <w:rPr>
          <w:b/>
          <w:bCs/>
          <w:color w:val="00B050"/>
        </w:rPr>
        <w:t xml:space="preserve">as regards </w:t>
      </w:r>
      <w:r w:rsidR="00D64CD7">
        <w:rPr>
          <w:b/>
          <w:bCs/>
          <w:color w:val="00B050"/>
        </w:rPr>
        <w:t>the DORA and CSRD.</w:t>
      </w:r>
    </w:p>
    <w:p w14:paraId="41CF961B" w14:textId="77777777" w:rsidR="00FA108A" w:rsidRPr="004C5747" w:rsidRDefault="00FA108A" w:rsidP="00FA108A">
      <w:pPr>
        <w:pStyle w:val="Nadpis3"/>
        <w:rPr>
          <w:b/>
          <w:bCs/>
        </w:rPr>
      </w:pPr>
      <w:bookmarkStart w:id="2" w:name="_Toc161148826"/>
      <w:bookmarkStart w:id="3" w:name="_Toc161655010"/>
      <w:r w:rsidRPr="004C5747">
        <w:rPr>
          <w:b/>
          <w:bCs/>
        </w:rPr>
        <w:t>SNCU</w:t>
      </w:r>
      <w:r>
        <w:rPr>
          <w:b/>
          <w:bCs/>
        </w:rPr>
        <w:t xml:space="preserve"> classification</w:t>
      </w:r>
      <w:bookmarkEnd w:id="2"/>
      <w:bookmarkEnd w:id="3"/>
    </w:p>
    <w:p w14:paraId="4FCA5EF9" w14:textId="6DED5DD3" w:rsidR="008617E6" w:rsidRDefault="009C628F" w:rsidP="008617E6">
      <w:pPr>
        <w:jc w:val="both"/>
        <w:rPr>
          <w:rStyle w:val="normaltextrun"/>
          <w:rFonts w:cs="Arial"/>
          <w:color w:val="000000"/>
          <w:shd w:val="clear" w:color="auto" w:fill="FFFFFF"/>
        </w:rPr>
      </w:pPr>
      <w:r>
        <w:t>Considering</w:t>
      </w:r>
      <w:r w:rsidR="008617E6">
        <w:t xml:space="preserve"> that </w:t>
      </w:r>
      <w:r w:rsidR="00FA108A" w:rsidRPr="004F33D8">
        <w:t xml:space="preserve">the </w:t>
      </w:r>
      <w:r w:rsidR="00FA108A" w:rsidRPr="004F33D8">
        <w:rPr>
          <w:rStyle w:val="normaltextrun"/>
          <w:rFonts w:cs="Arial"/>
          <w:color w:val="000000"/>
          <w:shd w:val="clear" w:color="auto" w:fill="FFFFFF"/>
        </w:rPr>
        <w:t>SNCU definition is already very narrowly defined in the Directive</w:t>
      </w:r>
      <w:r w:rsidR="00FA108A" w:rsidRPr="004F33D8">
        <w:rPr>
          <w:rStyle w:val="normaltextrun"/>
          <w:rFonts w:cs="Arial"/>
          <w:color w:val="000000"/>
        </w:rPr>
        <w:t>,</w:t>
      </w:r>
      <w:r w:rsidR="00FA108A" w:rsidRPr="004F33D8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="008617E6">
        <w:t xml:space="preserve">when drafting the </w:t>
      </w:r>
      <w:r w:rsidR="00CA2C4C">
        <w:t>‘</w:t>
      </w:r>
      <w:r w:rsidR="008617E6">
        <w:t xml:space="preserve">DA </w:t>
      </w:r>
      <w:r w:rsidR="00615166">
        <w:t>specifying the criteria</w:t>
      </w:r>
      <w:r w:rsidR="00CA2C4C">
        <w:t xml:space="preserve"> and</w:t>
      </w:r>
      <w:r w:rsidR="00615166">
        <w:t xml:space="preserve"> </w:t>
      </w:r>
      <w:r w:rsidR="00DF6703">
        <w:t>the methodology</w:t>
      </w:r>
      <w:r w:rsidR="000C2657">
        <w:t xml:space="preserve"> to be used when classifying SNCUs</w:t>
      </w:r>
      <w:r w:rsidR="0067271F">
        <w:t xml:space="preserve"> for SNCU eligibility</w:t>
      </w:r>
      <w:r w:rsidR="00CA2C4C">
        <w:t>’</w:t>
      </w:r>
      <w:r w:rsidR="00615166">
        <w:t xml:space="preserve"> (</w:t>
      </w:r>
      <w:r>
        <w:t xml:space="preserve">Dir </w:t>
      </w:r>
      <w:r w:rsidR="00615166">
        <w:t>Art 29(5))</w:t>
      </w:r>
      <w:r w:rsidR="0067271F">
        <w:t xml:space="preserve">, </w:t>
      </w:r>
      <w:r w:rsidR="008617E6">
        <w:t xml:space="preserve">the EC </w:t>
      </w:r>
      <w:r w:rsidR="002741D5">
        <w:t>must</w:t>
      </w:r>
      <w:r w:rsidR="008617E6">
        <w:t xml:space="preserve"> ensure that</w:t>
      </w:r>
      <w:r w:rsidR="008617E6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="008617E6" w:rsidRPr="004F33D8">
        <w:rPr>
          <w:rStyle w:val="normaltextrun"/>
          <w:rFonts w:cs="Arial"/>
          <w:color w:val="000000"/>
          <w:shd w:val="clear" w:color="auto" w:fill="FFFFFF"/>
        </w:rPr>
        <w:t xml:space="preserve">the </w:t>
      </w:r>
      <w:r w:rsidR="008617E6" w:rsidRPr="004C5747">
        <w:rPr>
          <w:rStyle w:val="normaltextrun"/>
          <w:rFonts w:cs="Arial"/>
          <w:color w:val="000000"/>
          <w:shd w:val="clear" w:color="auto" w:fill="FFFFFF"/>
        </w:rPr>
        <w:t xml:space="preserve">scope of application </w:t>
      </w:r>
      <w:r w:rsidR="0067271F">
        <w:rPr>
          <w:rStyle w:val="normaltextrun"/>
          <w:rFonts w:cs="Arial"/>
          <w:color w:val="000000"/>
          <w:shd w:val="clear" w:color="auto" w:fill="FFFFFF"/>
        </w:rPr>
        <w:t xml:space="preserve">is </w:t>
      </w:r>
      <w:r w:rsidR="008617E6" w:rsidRPr="004C5747">
        <w:rPr>
          <w:rStyle w:val="normaltextrun"/>
          <w:rFonts w:cs="Arial"/>
          <w:color w:val="000000"/>
          <w:shd w:val="clear" w:color="auto" w:fill="FFFFFF"/>
        </w:rPr>
        <w:t>as broad as possible</w:t>
      </w:r>
      <w:r w:rsidR="00CA2C4C">
        <w:rPr>
          <w:rStyle w:val="normaltextrun"/>
          <w:rFonts w:cs="Arial"/>
          <w:color w:val="000000"/>
          <w:shd w:val="clear" w:color="auto" w:fill="FFFFFF"/>
        </w:rPr>
        <w:t xml:space="preserve">, </w:t>
      </w:r>
      <w:r w:rsidR="008617E6">
        <w:rPr>
          <w:rStyle w:val="normaltextrun"/>
          <w:rFonts w:cs="Arial"/>
          <w:color w:val="000000"/>
          <w:shd w:val="clear" w:color="auto" w:fill="FFFFFF"/>
        </w:rPr>
        <w:t xml:space="preserve">without </w:t>
      </w:r>
      <w:r w:rsidR="00985821">
        <w:rPr>
          <w:rStyle w:val="normaltextrun"/>
          <w:rFonts w:cs="Arial"/>
          <w:color w:val="000000"/>
          <w:shd w:val="clear" w:color="auto" w:fill="FFFFFF"/>
        </w:rPr>
        <w:t xml:space="preserve">imposing </w:t>
      </w:r>
      <w:r w:rsidR="008617E6">
        <w:rPr>
          <w:rStyle w:val="normaltextrun"/>
          <w:rFonts w:cs="Arial"/>
          <w:color w:val="000000"/>
          <w:shd w:val="clear" w:color="auto" w:fill="FFFFFF"/>
        </w:rPr>
        <w:t>a</w:t>
      </w:r>
      <w:r w:rsidR="008617E6" w:rsidRPr="004F33D8">
        <w:rPr>
          <w:rStyle w:val="normaltextrun"/>
          <w:rFonts w:cs="Arial"/>
          <w:color w:val="000000"/>
          <w:shd w:val="clear" w:color="auto" w:fill="FFFFFF"/>
        </w:rPr>
        <w:t>dditional requirements</w:t>
      </w:r>
      <w:r w:rsidR="002741D5">
        <w:rPr>
          <w:rStyle w:val="normaltextrun"/>
          <w:rFonts w:cs="Arial"/>
          <w:color w:val="000000"/>
          <w:shd w:val="clear" w:color="auto" w:fill="FFFFFF"/>
        </w:rPr>
        <w:t xml:space="preserve">. The </w:t>
      </w:r>
      <w:r w:rsidR="005E428E">
        <w:rPr>
          <w:rStyle w:val="normaltextrun"/>
          <w:rFonts w:cs="Arial"/>
          <w:color w:val="000000"/>
          <w:shd w:val="clear" w:color="auto" w:fill="FFFFFF"/>
        </w:rPr>
        <w:t xml:space="preserve">prescribed </w:t>
      </w:r>
      <w:r w:rsidR="001E75B0">
        <w:rPr>
          <w:rStyle w:val="normaltextrun"/>
          <w:rFonts w:cs="Arial"/>
          <w:color w:val="000000"/>
          <w:shd w:val="clear" w:color="auto" w:fill="FFFFFF"/>
        </w:rPr>
        <w:t xml:space="preserve">methodology should be </w:t>
      </w:r>
      <w:r w:rsidR="0065709D">
        <w:rPr>
          <w:rStyle w:val="normaltextrun"/>
          <w:rFonts w:cs="Arial"/>
          <w:color w:val="000000"/>
          <w:shd w:val="clear" w:color="auto" w:fill="FFFFFF"/>
        </w:rPr>
        <w:t>straightforward and transparent</w:t>
      </w:r>
      <w:r w:rsidR="0065644C">
        <w:rPr>
          <w:rStyle w:val="normaltextrun"/>
          <w:rFonts w:cs="Arial"/>
          <w:color w:val="000000"/>
          <w:shd w:val="clear" w:color="auto" w:fill="FFFFFF"/>
        </w:rPr>
        <w:t>,</w:t>
      </w:r>
      <w:r w:rsidR="008A33CD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="00F96D19">
        <w:rPr>
          <w:rStyle w:val="normaltextrun"/>
          <w:rFonts w:cs="Arial"/>
          <w:color w:val="000000"/>
          <w:shd w:val="clear" w:color="auto" w:fill="FFFFFF"/>
        </w:rPr>
        <w:t>avoiding</w:t>
      </w:r>
      <w:r w:rsidR="008A33CD">
        <w:rPr>
          <w:rStyle w:val="normaltextrun"/>
          <w:rFonts w:cs="Arial"/>
          <w:color w:val="000000"/>
          <w:shd w:val="clear" w:color="auto" w:fill="FFFFFF"/>
        </w:rPr>
        <w:t xml:space="preserve"> additional burden for companies</w:t>
      </w:r>
      <w:r w:rsidR="008617E6" w:rsidRPr="004F33D8">
        <w:rPr>
          <w:rStyle w:val="normaltextrun"/>
          <w:rFonts w:cs="Arial"/>
          <w:color w:val="000000"/>
          <w:shd w:val="clear" w:color="auto" w:fill="FFFFFF"/>
        </w:rPr>
        <w:t>.</w:t>
      </w:r>
      <w:r w:rsidR="008617E6">
        <w:rPr>
          <w:rStyle w:val="normaltextrun"/>
          <w:rFonts w:cs="Arial"/>
          <w:color w:val="000000"/>
          <w:shd w:val="clear" w:color="auto" w:fill="FFFFFF"/>
        </w:rPr>
        <w:t xml:space="preserve"> </w:t>
      </w:r>
    </w:p>
    <w:p w14:paraId="04931DE8" w14:textId="3C8E4E38" w:rsidR="0065644C" w:rsidRDefault="00424D6D" w:rsidP="008617E6">
      <w:pPr>
        <w:jc w:val="both"/>
        <w:rPr>
          <w:b/>
          <w:bCs/>
          <w:color w:val="00B050"/>
        </w:rPr>
      </w:pPr>
      <w:r w:rsidRPr="005A5F9C">
        <w:rPr>
          <w:b/>
          <w:bCs/>
          <w:color w:val="00B050"/>
        </w:rPr>
        <w:t>D</w:t>
      </w:r>
      <w:r w:rsidR="00A95B72">
        <w:rPr>
          <w:b/>
          <w:bCs/>
          <w:color w:val="00B050"/>
        </w:rPr>
        <w:t>O</w:t>
      </w:r>
      <w:r w:rsidRPr="005A5F9C">
        <w:rPr>
          <w:b/>
          <w:bCs/>
          <w:color w:val="00B050"/>
        </w:rPr>
        <w:t>: Draft DA so that</w:t>
      </w:r>
      <w:r w:rsidR="0065644C">
        <w:rPr>
          <w:b/>
          <w:bCs/>
          <w:color w:val="00B050"/>
        </w:rPr>
        <w:t>:</w:t>
      </w:r>
    </w:p>
    <w:p w14:paraId="53D3466B" w14:textId="10380856" w:rsidR="00424D6D" w:rsidRDefault="00424D6D" w:rsidP="0065644C">
      <w:pPr>
        <w:pStyle w:val="Odsekzoznamu"/>
        <w:numPr>
          <w:ilvl w:val="0"/>
          <w:numId w:val="23"/>
        </w:numPr>
        <w:jc w:val="both"/>
        <w:rPr>
          <w:b/>
          <w:bCs/>
          <w:color w:val="00B050"/>
        </w:rPr>
      </w:pPr>
      <w:r w:rsidRPr="0065644C">
        <w:rPr>
          <w:b/>
          <w:bCs/>
          <w:color w:val="00B050"/>
        </w:rPr>
        <w:t xml:space="preserve">the scope of application </w:t>
      </w:r>
      <w:r w:rsidR="001F61ED" w:rsidRPr="0065644C">
        <w:rPr>
          <w:b/>
          <w:bCs/>
          <w:color w:val="00B050"/>
        </w:rPr>
        <w:t>for SNCUs is</w:t>
      </w:r>
      <w:r w:rsidRPr="0065644C">
        <w:rPr>
          <w:b/>
          <w:bCs/>
          <w:color w:val="00B050"/>
        </w:rPr>
        <w:t xml:space="preserve"> as broad as possible and without additional requirements.</w:t>
      </w:r>
    </w:p>
    <w:p w14:paraId="19B8CEF5" w14:textId="628C1606" w:rsidR="0065644C" w:rsidRPr="0065644C" w:rsidRDefault="007163A5" w:rsidP="0065644C">
      <w:pPr>
        <w:pStyle w:val="Odsekzoznamu"/>
        <w:numPr>
          <w:ilvl w:val="0"/>
          <w:numId w:val="23"/>
        </w:numPr>
        <w:jc w:val="both"/>
        <w:rPr>
          <w:b/>
          <w:bCs/>
          <w:color w:val="00B050"/>
        </w:rPr>
      </w:pPr>
      <w:r>
        <w:rPr>
          <w:b/>
          <w:bCs/>
          <w:color w:val="00B050"/>
        </w:rPr>
        <w:t>t</w:t>
      </w:r>
      <w:r w:rsidR="0065709D">
        <w:rPr>
          <w:b/>
          <w:bCs/>
          <w:color w:val="00B050"/>
        </w:rPr>
        <w:t xml:space="preserve">he </w:t>
      </w:r>
      <w:r w:rsidR="00B7202D">
        <w:rPr>
          <w:b/>
          <w:bCs/>
          <w:color w:val="00B050"/>
        </w:rPr>
        <w:t xml:space="preserve">prescribed </w:t>
      </w:r>
      <w:r w:rsidR="0065709D">
        <w:rPr>
          <w:b/>
          <w:bCs/>
          <w:color w:val="00B050"/>
        </w:rPr>
        <w:t xml:space="preserve">methodology </w:t>
      </w:r>
      <w:r w:rsidR="00B7202D">
        <w:rPr>
          <w:b/>
          <w:bCs/>
          <w:color w:val="00B050"/>
        </w:rPr>
        <w:t>is</w:t>
      </w:r>
      <w:r w:rsidR="0065709D">
        <w:rPr>
          <w:b/>
          <w:bCs/>
          <w:color w:val="00B050"/>
        </w:rPr>
        <w:t xml:space="preserve"> straightforward and transparent without additional burden for companies</w:t>
      </w:r>
      <w:r w:rsidR="00B7202D">
        <w:rPr>
          <w:b/>
          <w:bCs/>
          <w:color w:val="00B050"/>
        </w:rPr>
        <w:t>.</w:t>
      </w:r>
    </w:p>
    <w:p w14:paraId="457DBDF0" w14:textId="77777777" w:rsidR="0065644C" w:rsidRPr="005A5F9C" w:rsidRDefault="0065644C" w:rsidP="008617E6">
      <w:pPr>
        <w:jc w:val="both"/>
        <w:rPr>
          <w:b/>
          <w:bCs/>
          <w:color w:val="00B050"/>
        </w:rPr>
      </w:pPr>
    </w:p>
    <w:p w14:paraId="495250DD" w14:textId="77777777" w:rsidR="00FA108A" w:rsidRPr="004C5747" w:rsidRDefault="00FA108A" w:rsidP="00FA108A">
      <w:pPr>
        <w:pStyle w:val="Nadpis3"/>
        <w:rPr>
          <w:b/>
          <w:bCs/>
        </w:rPr>
      </w:pPr>
      <w:bookmarkStart w:id="4" w:name="_Toc161148827"/>
      <w:bookmarkStart w:id="5" w:name="_Toc161655011"/>
      <w:r w:rsidRPr="004C5747">
        <w:rPr>
          <w:b/>
          <w:bCs/>
        </w:rPr>
        <w:t>Non-SNCUs</w:t>
      </w:r>
      <w:bookmarkEnd w:id="4"/>
      <w:bookmarkEnd w:id="5"/>
    </w:p>
    <w:p w14:paraId="4A4F7BFA" w14:textId="24543257" w:rsidR="00EA1271" w:rsidRDefault="00803A6E" w:rsidP="00BC7F1E">
      <w:pPr>
        <w:jc w:val="both"/>
      </w:pPr>
      <w:r w:rsidRPr="004F33D8">
        <w:t xml:space="preserve">While the industry welcomes the introduction of automated proportionality, based on SNCU criteria, </w:t>
      </w:r>
      <w:r w:rsidR="009C0A67">
        <w:t xml:space="preserve">there is </w:t>
      </w:r>
      <w:r w:rsidR="003A76E1">
        <w:t xml:space="preserve">a </w:t>
      </w:r>
      <w:r w:rsidR="009C0A67">
        <w:t>need to also address</w:t>
      </w:r>
      <w:r w:rsidRPr="004F33D8">
        <w:t xml:space="preserve"> proportionality for non-SNCUs. </w:t>
      </w:r>
      <w:r w:rsidR="009C0A67">
        <w:t xml:space="preserve">Pursuant </w:t>
      </w:r>
      <w:r w:rsidR="00C8335B">
        <w:t xml:space="preserve">to </w:t>
      </w:r>
      <w:r w:rsidR="009C0A67">
        <w:t xml:space="preserve">the </w:t>
      </w:r>
      <w:r w:rsidR="00C8335B">
        <w:t>amended Dir Art 29(5)(c), t</w:t>
      </w:r>
      <w:r w:rsidR="00BA5B51">
        <w:t xml:space="preserve">he Commission is </w:t>
      </w:r>
      <w:r w:rsidR="009C0A67">
        <w:t>tasked with adopting a</w:t>
      </w:r>
      <w:r w:rsidR="00BA5B51">
        <w:t xml:space="preserve"> </w:t>
      </w:r>
      <w:r w:rsidR="00B7202D">
        <w:t>‘</w:t>
      </w:r>
      <w:r w:rsidR="00BA5B51">
        <w:t>DA</w:t>
      </w:r>
      <w:r w:rsidR="00BA5B51" w:rsidRPr="00BA5B51">
        <w:t xml:space="preserve"> </w:t>
      </w:r>
      <w:r w:rsidR="00BA5B51" w:rsidRPr="004F33D8">
        <w:t>specifying the conditions for granting or withdrawing supervisory approval for proportionality measures to be used by undertakings not classified as small and non-complex undertakings (non-SNCUs)</w:t>
      </w:r>
      <w:r w:rsidR="00B7202D">
        <w:t>’</w:t>
      </w:r>
      <w:r w:rsidR="00C8335B">
        <w:t xml:space="preserve">. </w:t>
      </w:r>
      <w:r w:rsidR="00BA5B51">
        <w:t xml:space="preserve"> </w:t>
      </w:r>
    </w:p>
    <w:p w14:paraId="5761C179" w14:textId="2525D7B4" w:rsidR="00FA108A" w:rsidRPr="007960AA" w:rsidRDefault="004D36BE" w:rsidP="00BC7F1E">
      <w:pPr>
        <w:jc w:val="both"/>
        <w:rPr>
          <w:b/>
          <w:bCs/>
        </w:rPr>
      </w:pPr>
      <w:r>
        <w:t xml:space="preserve">To </w:t>
      </w:r>
      <w:r w:rsidR="009C0A67">
        <w:t>ensure the effectiveness of proportionality for</w:t>
      </w:r>
      <w:r>
        <w:t xml:space="preserve"> non-SNCUs, </w:t>
      </w:r>
      <w:r w:rsidR="009C0A67">
        <w:t xml:space="preserve">it is essential to establish </w:t>
      </w:r>
      <w:r>
        <w:t>s</w:t>
      </w:r>
      <w:r w:rsidR="00FA108A" w:rsidRPr="004F33D8">
        <w:t xml:space="preserve">imple and </w:t>
      </w:r>
      <w:r w:rsidR="00505DD1">
        <w:t>straightforward</w:t>
      </w:r>
      <w:r w:rsidR="00FA108A" w:rsidRPr="004F33D8">
        <w:t xml:space="preserve"> procedures for </w:t>
      </w:r>
      <w:r w:rsidR="00C62B4B">
        <w:t>supervisory approval</w:t>
      </w:r>
      <w:r w:rsidR="00FA108A" w:rsidRPr="004F33D8">
        <w:t xml:space="preserve">. </w:t>
      </w:r>
      <w:r w:rsidR="0052536F" w:rsidRPr="007960AA">
        <w:rPr>
          <w:b/>
          <w:bCs/>
        </w:rPr>
        <w:t xml:space="preserve">Insurers </w:t>
      </w:r>
      <w:r w:rsidR="00580F19" w:rsidRPr="007960AA">
        <w:rPr>
          <w:b/>
          <w:bCs/>
        </w:rPr>
        <w:t xml:space="preserve">narrowly missing </w:t>
      </w:r>
      <w:r w:rsidR="00676BC3" w:rsidRPr="007960AA">
        <w:rPr>
          <w:b/>
          <w:bCs/>
        </w:rPr>
        <w:t>the SNCU criteria</w:t>
      </w:r>
      <w:r w:rsidR="00524308">
        <w:t xml:space="preserve"> (e</w:t>
      </w:r>
      <w:r w:rsidR="009C0A67">
        <w:t>.</w:t>
      </w:r>
      <w:r w:rsidR="00524308">
        <w:t>g</w:t>
      </w:r>
      <w:r w:rsidR="009C0A67">
        <w:t xml:space="preserve">. </w:t>
      </w:r>
      <w:r w:rsidR="00524308">
        <w:t>just over 100 Mio GWP re</w:t>
      </w:r>
      <w:r w:rsidR="00B04D1C">
        <w:t>garding</w:t>
      </w:r>
      <w:r w:rsidR="00524308">
        <w:t xml:space="preserve"> size criterion), </w:t>
      </w:r>
      <w:r w:rsidR="00FA108A" w:rsidRPr="007960AA">
        <w:rPr>
          <w:b/>
          <w:bCs/>
        </w:rPr>
        <w:t xml:space="preserve">should </w:t>
      </w:r>
      <w:r w:rsidR="00B04D1C">
        <w:rPr>
          <w:b/>
          <w:bCs/>
        </w:rPr>
        <w:t>be granted</w:t>
      </w:r>
      <w:r w:rsidR="00524308" w:rsidRPr="007960AA">
        <w:rPr>
          <w:b/>
          <w:bCs/>
        </w:rPr>
        <w:t xml:space="preserve"> approval </w:t>
      </w:r>
      <w:r w:rsidR="007E1A0E" w:rsidRPr="007960AA">
        <w:rPr>
          <w:b/>
          <w:bCs/>
        </w:rPr>
        <w:t xml:space="preserve">for </w:t>
      </w:r>
      <w:r w:rsidR="00B53434" w:rsidRPr="007960AA">
        <w:rPr>
          <w:b/>
          <w:bCs/>
        </w:rPr>
        <w:t>identical proportional</w:t>
      </w:r>
      <w:r w:rsidR="00EC7687" w:rsidRPr="007960AA">
        <w:rPr>
          <w:b/>
          <w:bCs/>
        </w:rPr>
        <w:t xml:space="preserve">ity measures </w:t>
      </w:r>
      <w:r w:rsidR="006025CF" w:rsidRPr="007960AA">
        <w:rPr>
          <w:b/>
          <w:bCs/>
        </w:rPr>
        <w:t xml:space="preserve">as </w:t>
      </w:r>
      <w:r w:rsidR="00FA108A" w:rsidRPr="007960AA">
        <w:rPr>
          <w:b/>
          <w:bCs/>
        </w:rPr>
        <w:t>SNCUs</w:t>
      </w:r>
      <w:r w:rsidR="006025CF">
        <w:t>, incl</w:t>
      </w:r>
      <w:r w:rsidR="00FA108A" w:rsidRPr="004F33D8">
        <w:t xml:space="preserve">uding simplified reporting requirements </w:t>
      </w:r>
      <w:r w:rsidR="00DE563E">
        <w:t xml:space="preserve">under the new </w:t>
      </w:r>
      <w:r w:rsidR="00FA108A" w:rsidRPr="004F33D8">
        <w:lastRenderedPageBreak/>
        <w:t xml:space="preserve">Art 19a </w:t>
      </w:r>
      <w:r w:rsidR="00DE563E">
        <w:t xml:space="preserve">(6) </w:t>
      </w:r>
      <w:r w:rsidR="00FA108A" w:rsidRPr="004F33D8">
        <w:t xml:space="preserve">of the Accounting Directive. </w:t>
      </w:r>
      <w:r w:rsidR="00DE563E" w:rsidRPr="007960AA">
        <w:rPr>
          <w:b/>
          <w:bCs/>
        </w:rPr>
        <w:t>Refusal of proportion</w:t>
      </w:r>
      <w:r w:rsidR="00FA108A" w:rsidRPr="007960AA">
        <w:rPr>
          <w:b/>
          <w:bCs/>
        </w:rPr>
        <w:t xml:space="preserve">ality measures should only be possible in exceptional cases </w:t>
      </w:r>
      <w:r w:rsidR="00DE563E" w:rsidRPr="007960AA">
        <w:rPr>
          <w:b/>
          <w:bCs/>
        </w:rPr>
        <w:t>of</w:t>
      </w:r>
      <w:r w:rsidR="00FA108A" w:rsidRPr="007960AA">
        <w:rPr>
          <w:b/>
          <w:bCs/>
        </w:rPr>
        <w:t xml:space="preserve"> serious concerns regarding the insurer's risk profile.</w:t>
      </w:r>
    </w:p>
    <w:p w14:paraId="5C4821C9" w14:textId="0921C2FF" w:rsidR="00FA108A" w:rsidRDefault="00FA108A" w:rsidP="00BC7F1E">
      <w:pPr>
        <w:jc w:val="both"/>
      </w:pPr>
      <w:r w:rsidRPr="004F33D8">
        <w:t xml:space="preserve">EIOPA will </w:t>
      </w:r>
      <w:r w:rsidR="00B04D1C">
        <w:t xml:space="preserve">be required </w:t>
      </w:r>
      <w:r w:rsidRPr="004F33D8">
        <w:t>to annua</w:t>
      </w:r>
      <w:r w:rsidR="00FA1E28">
        <w:t xml:space="preserve">lly </w:t>
      </w:r>
      <w:r w:rsidRPr="004F33D8">
        <w:t>report</w:t>
      </w:r>
      <w:r w:rsidR="00FA1E28">
        <w:t xml:space="preserve"> (</w:t>
      </w:r>
      <w:r w:rsidR="00061CB7">
        <w:t xml:space="preserve">Amended </w:t>
      </w:r>
      <w:r w:rsidR="00FA1E28">
        <w:t xml:space="preserve">Dir Art 52(2)) </w:t>
      </w:r>
      <w:r w:rsidRPr="004F33D8">
        <w:t xml:space="preserve">on </w:t>
      </w:r>
      <w:r w:rsidR="0042370F">
        <w:t xml:space="preserve">the </w:t>
      </w:r>
      <w:r w:rsidR="00BD5300">
        <w:t>utili</w:t>
      </w:r>
      <w:r w:rsidR="00162378">
        <w:t>s</w:t>
      </w:r>
      <w:r w:rsidR="00BD5300">
        <w:t xml:space="preserve">ation of proportionality measures by </w:t>
      </w:r>
      <w:r w:rsidR="007D2DB9">
        <w:t>insur</w:t>
      </w:r>
      <w:r w:rsidR="00A22190">
        <w:t>ance</w:t>
      </w:r>
      <w:r w:rsidRPr="004F33D8">
        <w:t xml:space="preserve"> companies</w:t>
      </w:r>
      <w:r w:rsidR="00A22190">
        <w:t xml:space="preserve">/groups </w:t>
      </w:r>
      <w:r w:rsidRPr="004F33D8">
        <w:t xml:space="preserve">in each Member State. </w:t>
      </w:r>
      <w:r w:rsidR="00181F8D">
        <w:t>To</w:t>
      </w:r>
      <w:r w:rsidRPr="004F33D8">
        <w:t xml:space="preserve"> ensure comprehensive and </w:t>
      </w:r>
      <w:r w:rsidR="0096289A">
        <w:t xml:space="preserve">consistent </w:t>
      </w:r>
      <w:r w:rsidRPr="004F33D8">
        <w:t xml:space="preserve">application of proportionality measures across Europe, </w:t>
      </w:r>
      <w:r w:rsidR="009A2846" w:rsidRPr="007960AA">
        <w:rPr>
          <w:b/>
          <w:bCs/>
        </w:rPr>
        <w:t xml:space="preserve">it is proposed to </w:t>
      </w:r>
      <w:r w:rsidR="00F74056" w:rsidRPr="007960AA">
        <w:rPr>
          <w:b/>
          <w:bCs/>
        </w:rPr>
        <w:t xml:space="preserve">establish </w:t>
      </w:r>
      <w:r w:rsidRPr="007960AA">
        <w:rPr>
          <w:b/>
          <w:bCs/>
        </w:rPr>
        <w:t xml:space="preserve">a national target market share of </w:t>
      </w:r>
      <w:r w:rsidR="00E85814">
        <w:rPr>
          <w:b/>
          <w:bCs/>
        </w:rPr>
        <w:t xml:space="preserve">at least </w:t>
      </w:r>
      <w:r w:rsidRPr="007960AA">
        <w:rPr>
          <w:b/>
          <w:bCs/>
        </w:rPr>
        <w:t>20% for granting proportionality measures to non-SNCUs in each Member State</w:t>
      </w:r>
      <w:r w:rsidRPr="004F33D8">
        <w:t>. This</w:t>
      </w:r>
      <w:r w:rsidR="00B04D1C">
        <w:t xml:space="preserve"> proposal</w:t>
      </w:r>
      <w:r w:rsidRPr="004F33D8">
        <w:t xml:space="preserve"> </w:t>
      </w:r>
      <w:r w:rsidR="00C449FC">
        <w:t>aligns with</w:t>
      </w:r>
      <w:r w:rsidRPr="004F33D8">
        <w:t xml:space="preserve"> the current rules on exemption </w:t>
      </w:r>
      <w:r w:rsidR="00CC2BD3">
        <w:t xml:space="preserve">from quarterly reporting </w:t>
      </w:r>
      <w:r w:rsidR="00B50026">
        <w:t>(Dir</w:t>
      </w:r>
      <w:r w:rsidRPr="004F33D8">
        <w:t xml:space="preserve"> Art 35</w:t>
      </w:r>
      <w:r w:rsidR="005D6731">
        <w:t>(7))</w:t>
      </w:r>
      <w:r w:rsidRPr="004F33D8">
        <w:t>.</w:t>
      </w:r>
    </w:p>
    <w:p w14:paraId="006B66D1" w14:textId="40370D59" w:rsidR="005A5F9C" w:rsidRPr="0004057D" w:rsidRDefault="00A95B72" w:rsidP="0004057D">
      <w:pPr>
        <w:jc w:val="both"/>
        <w:rPr>
          <w:b/>
          <w:bCs/>
          <w:color w:val="00B050"/>
        </w:rPr>
      </w:pPr>
      <w:bookmarkStart w:id="6" w:name="_Toc161148828"/>
      <w:bookmarkStart w:id="7" w:name="_Toc161655012"/>
      <w:r>
        <w:rPr>
          <w:b/>
          <w:bCs/>
          <w:color w:val="00B050"/>
        </w:rPr>
        <w:t xml:space="preserve">DO: </w:t>
      </w:r>
      <w:r w:rsidR="005A5F9C" w:rsidRPr="0004057D">
        <w:rPr>
          <w:b/>
          <w:bCs/>
          <w:color w:val="00B050"/>
        </w:rPr>
        <w:t>Simplify approval procedures for non-SNCUs to access proportionality measures with clear criteria and target market share</w:t>
      </w:r>
      <w:r w:rsidR="00671024">
        <w:rPr>
          <w:b/>
          <w:bCs/>
          <w:color w:val="00B050"/>
        </w:rPr>
        <w:t xml:space="preserve"> of at least 20%</w:t>
      </w:r>
      <w:r w:rsidR="005A5F9C" w:rsidRPr="0004057D">
        <w:rPr>
          <w:b/>
          <w:bCs/>
          <w:color w:val="00B050"/>
        </w:rPr>
        <w:t>.</w:t>
      </w:r>
      <w:r w:rsidR="005A5F9C" w:rsidRPr="0004057D" w:rsidDel="007368D3">
        <w:rPr>
          <w:b/>
          <w:bCs/>
          <w:color w:val="00B050"/>
        </w:rPr>
        <w:t xml:space="preserve"> </w:t>
      </w:r>
    </w:p>
    <w:p w14:paraId="56450C43" w14:textId="77777777" w:rsidR="00FA108A" w:rsidRPr="004C5747" w:rsidRDefault="00FA108A" w:rsidP="00FA108A">
      <w:pPr>
        <w:pStyle w:val="Nadpis3"/>
        <w:rPr>
          <w:b/>
          <w:bCs/>
        </w:rPr>
      </w:pPr>
      <w:r w:rsidRPr="004C5747">
        <w:rPr>
          <w:b/>
          <w:bCs/>
        </w:rPr>
        <w:t>Groups</w:t>
      </w:r>
      <w:bookmarkEnd w:id="6"/>
      <w:bookmarkEnd w:id="7"/>
    </w:p>
    <w:p w14:paraId="1F8851B3" w14:textId="56DC81A6" w:rsidR="005957D0" w:rsidRDefault="00CD7F42" w:rsidP="00BC7F1E">
      <w:pPr>
        <w:jc w:val="both"/>
      </w:pPr>
      <w:r>
        <w:t>M</w:t>
      </w:r>
      <w:r w:rsidR="00FA108A" w:rsidRPr="004F33D8">
        <w:t xml:space="preserve">any </w:t>
      </w:r>
      <w:r w:rsidR="00FA108A" w:rsidRPr="004C5747">
        <w:t>proportionality measures for</w:t>
      </w:r>
      <w:r w:rsidR="00FA108A" w:rsidRPr="004F33D8">
        <w:t xml:space="preserve"> </w:t>
      </w:r>
      <w:r w:rsidR="00FA108A" w:rsidRPr="004C5747">
        <w:t>SNCUs in groups</w:t>
      </w:r>
      <w:r w:rsidR="00FA108A" w:rsidRPr="004F33D8">
        <w:t xml:space="preserve"> that do not meet the overall definition of a Small and </w:t>
      </w:r>
      <w:r w:rsidR="0025103C">
        <w:t>n</w:t>
      </w:r>
      <w:r w:rsidR="00FA108A" w:rsidRPr="004F33D8">
        <w:t>on-Complex Group (SNCG)</w:t>
      </w:r>
      <w:r w:rsidR="00FA108A" w:rsidRPr="004C5747">
        <w:t xml:space="preserve"> </w:t>
      </w:r>
      <w:r>
        <w:t>lead to practical challenges</w:t>
      </w:r>
      <w:r w:rsidR="006D2703">
        <w:t xml:space="preserve">, </w:t>
      </w:r>
      <w:r w:rsidR="00FA108A" w:rsidRPr="004F33D8">
        <w:t>particular</w:t>
      </w:r>
      <w:r w:rsidR="006D2703">
        <w:t>ly</w:t>
      </w:r>
      <w:r w:rsidR="007B6D97">
        <w:t xml:space="preserve"> regarding</w:t>
      </w:r>
      <w:r w:rsidR="00FA108A" w:rsidRPr="004F33D8">
        <w:t xml:space="preserve"> </w:t>
      </w:r>
      <w:r w:rsidR="00FA108A" w:rsidRPr="004C5747">
        <w:t>reporting and planning requirements</w:t>
      </w:r>
      <w:r w:rsidR="00FA108A" w:rsidRPr="004F33D8">
        <w:t xml:space="preserve"> at group level. </w:t>
      </w:r>
      <w:r w:rsidR="00401FAF">
        <w:t>While</w:t>
      </w:r>
      <w:r w:rsidR="00FA108A" w:rsidRPr="004F33D8">
        <w:t xml:space="preserve"> exempt from these requirements at entity level, </w:t>
      </w:r>
      <w:r w:rsidR="00401FAF">
        <w:t>SNCUs</w:t>
      </w:r>
      <w:r w:rsidR="00FA108A" w:rsidRPr="004F33D8">
        <w:t xml:space="preserve"> must</w:t>
      </w:r>
      <w:r w:rsidR="00084F57">
        <w:t xml:space="preserve"> still</w:t>
      </w:r>
      <w:r w:rsidR="00FA108A" w:rsidRPr="004F33D8">
        <w:t xml:space="preserve"> comply</w:t>
      </w:r>
      <w:r w:rsidR="008601E5">
        <w:t xml:space="preserve"> indirectly</w:t>
      </w:r>
      <w:r w:rsidR="00FA108A" w:rsidRPr="004F33D8">
        <w:t xml:space="preserve"> with all </w:t>
      </w:r>
      <w:r w:rsidR="00227D7F">
        <w:t xml:space="preserve">group-level </w:t>
      </w:r>
      <w:r w:rsidR="00DE7CF8">
        <w:t>requirements</w:t>
      </w:r>
      <w:r w:rsidR="00FA108A" w:rsidRPr="004F33D8">
        <w:t>.</w:t>
      </w:r>
      <w:r w:rsidR="00FA108A">
        <w:t xml:space="preserve"> </w:t>
      </w:r>
      <w:r w:rsidR="00FA108A" w:rsidRPr="004F33D8">
        <w:t xml:space="preserve">These </w:t>
      </w:r>
      <w:r w:rsidR="002D46D4">
        <w:t xml:space="preserve">challenges apply </w:t>
      </w:r>
      <w:r w:rsidR="00D81BC5">
        <w:t xml:space="preserve">to the </w:t>
      </w:r>
      <w:r w:rsidR="005957D0">
        <w:t>following p</w:t>
      </w:r>
      <w:r w:rsidR="00FA108A" w:rsidRPr="004C5747">
        <w:t>roportionality measures for SNCU</w:t>
      </w:r>
      <w:r w:rsidR="005957D0">
        <w:t xml:space="preserve">: </w:t>
      </w:r>
      <w:r w:rsidR="00DE7CF8">
        <w:t xml:space="preserve"> </w:t>
      </w:r>
    </w:p>
    <w:p w14:paraId="2F9C9FDB" w14:textId="77777777" w:rsidR="005957D0" w:rsidRDefault="005957D0" w:rsidP="005957D0">
      <w:pPr>
        <w:pStyle w:val="Odsekzoznamu"/>
        <w:numPr>
          <w:ilvl w:val="0"/>
          <w:numId w:val="21"/>
        </w:numPr>
        <w:jc w:val="both"/>
      </w:pPr>
      <w:r>
        <w:t>Five yearly RSR: a fi</w:t>
      </w:r>
      <w:r w:rsidRPr="004F33D8">
        <w:t xml:space="preserve">ve-year interval for the provision of the Regular Supervisory Report (RSR) is not very useful if the group has to submit an RSR for the entire group annually. </w:t>
      </w:r>
    </w:p>
    <w:p w14:paraId="7B47D42E" w14:textId="79EA6109" w:rsidR="005957D0" w:rsidRDefault="005957D0" w:rsidP="005957D0">
      <w:pPr>
        <w:pStyle w:val="Odsekzoznamu"/>
        <w:numPr>
          <w:ilvl w:val="0"/>
          <w:numId w:val="21"/>
        </w:numPr>
        <w:jc w:val="both"/>
      </w:pPr>
      <w:r>
        <w:t>Exemption from external audit requirements</w:t>
      </w:r>
      <w:r w:rsidR="00F948F7">
        <w:t xml:space="preserve"> </w:t>
      </w:r>
      <w:r w:rsidR="00F948F7" w:rsidRPr="004F33D8">
        <w:t>(Art. 51a para 1)</w:t>
      </w:r>
      <w:r>
        <w:t>: a</w:t>
      </w:r>
      <w:r w:rsidRPr="004F33D8">
        <w:t xml:space="preserve">n exemption from external auditing of the Solvency II balance sheet </w:t>
      </w:r>
      <w:r>
        <w:t xml:space="preserve">disclosed as part of the SFCR </w:t>
      </w:r>
      <w:r w:rsidRPr="004F33D8">
        <w:t>offers no real added value if the auditor has to audit a consolidated version at group level.</w:t>
      </w:r>
      <w:r>
        <w:t xml:space="preserve"> </w:t>
      </w:r>
    </w:p>
    <w:p w14:paraId="07AEA791" w14:textId="77777777" w:rsidR="00F948F7" w:rsidRDefault="00F948F7" w:rsidP="005957D0">
      <w:pPr>
        <w:pStyle w:val="Odsekzoznamu"/>
        <w:numPr>
          <w:ilvl w:val="0"/>
          <w:numId w:val="21"/>
        </w:numPr>
        <w:jc w:val="both"/>
      </w:pPr>
      <w:r>
        <w:t>T</w:t>
      </w:r>
      <w:r w:rsidR="005957D0" w:rsidRPr="004F33D8">
        <w:t>he exemption</w:t>
      </w:r>
      <w:r w:rsidR="005957D0">
        <w:t xml:space="preserve"> from </w:t>
      </w:r>
      <w:r w:rsidR="005957D0" w:rsidRPr="008624C5">
        <w:t xml:space="preserve">QRT </w:t>
      </w:r>
      <w:r w:rsidR="005957D0">
        <w:t xml:space="preserve">and the item-by-item </w:t>
      </w:r>
      <w:r w:rsidR="005957D0" w:rsidRPr="008624C5">
        <w:t>reporting (Art</w:t>
      </w:r>
      <w:r w:rsidR="005957D0">
        <w:t>. </w:t>
      </w:r>
      <w:r w:rsidR="005957D0" w:rsidRPr="008624C5">
        <w:t xml:space="preserve">35a </w:t>
      </w:r>
      <w:r w:rsidR="005957D0">
        <w:t>para </w:t>
      </w:r>
      <w:r w:rsidR="005957D0" w:rsidRPr="008624C5">
        <w:t xml:space="preserve">2), </w:t>
      </w:r>
    </w:p>
    <w:p w14:paraId="23AE31DA" w14:textId="7AA87C37" w:rsidR="00F948F7" w:rsidRDefault="00267DFC" w:rsidP="005957D0">
      <w:pPr>
        <w:pStyle w:val="Odsekzoznamu"/>
        <w:numPr>
          <w:ilvl w:val="0"/>
          <w:numId w:val="21"/>
        </w:numPr>
        <w:jc w:val="both"/>
      </w:pPr>
      <w:r>
        <w:t>T</w:t>
      </w:r>
      <w:r w:rsidR="005957D0">
        <w:t xml:space="preserve">he frequency and simplification in the Own Risk and Solvency Assessment </w:t>
      </w:r>
      <w:r w:rsidR="005957D0" w:rsidRPr="008624C5">
        <w:t>(Art</w:t>
      </w:r>
      <w:r w:rsidR="005957D0">
        <w:t>. </w:t>
      </w:r>
      <w:r w:rsidR="005957D0" w:rsidRPr="008624C5">
        <w:t xml:space="preserve">45 </w:t>
      </w:r>
      <w:r w:rsidR="005957D0">
        <w:t>para </w:t>
      </w:r>
      <w:r w:rsidR="005957D0" w:rsidRPr="008624C5">
        <w:t>1b, 5</w:t>
      </w:r>
      <w:r w:rsidR="005957D0">
        <w:t>;</w:t>
      </w:r>
      <w:r w:rsidR="005957D0" w:rsidRPr="008624C5">
        <w:t xml:space="preserve"> Art</w:t>
      </w:r>
      <w:r w:rsidR="005957D0">
        <w:t>. </w:t>
      </w:r>
      <w:r w:rsidR="005957D0" w:rsidRPr="008624C5">
        <w:t xml:space="preserve">45a </w:t>
      </w:r>
      <w:r w:rsidR="005957D0">
        <w:t>para </w:t>
      </w:r>
      <w:r w:rsidR="005957D0" w:rsidRPr="008624C5">
        <w:t xml:space="preserve">5), </w:t>
      </w:r>
    </w:p>
    <w:p w14:paraId="6802238E" w14:textId="2A66F8FC" w:rsidR="00F948F7" w:rsidRDefault="00267DFC" w:rsidP="005957D0">
      <w:pPr>
        <w:pStyle w:val="Odsekzoznamu"/>
        <w:numPr>
          <w:ilvl w:val="0"/>
          <w:numId w:val="21"/>
        </w:numPr>
        <w:jc w:val="both"/>
      </w:pPr>
      <w:r>
        <w:t>T</w:t>
      </w:r>
      <w:r w:rsidR="005957D0">
        <w:t xml:space="preserve">he </w:t>
      </w:r>
      <w:r w:rsidR="005957D0" w:rsidRPr="008624C5">
        <w:t>SFCR</w:t>
      </w:r>
      <w:r w:rsidR="005957D0">
        <w:t xml:space="preserve"> frequency</w:t>
      </w:r>
      <w:r w:rsidR="005957D0" w:rsidRPr="008624C5">
        <w:t xml:space="preserve"> </w:t>
      </w:r>
      <w:r w:rsidR="005957D0">
        <w:t>(Art. </w:t>
      </w:r>
      <w:r w:rsidR="005957D0" w:rsidRPr="008624C5">
        <w:t xml:space="preserve">51 </w:t>
      </w:r>
      <w:r w:rsidR="005957D0">
        <w:t>para </w:t>
      </w:r>
      <w:r w:rsidR="005957D0" w:rsidRPr="008624C5">
        <w:t>6)</w:t>
      </w:r>
      <w:r w:rsidR="005957D0">
        <w:t xml:space="preserve">, </w:t>
      </w:r>
    </w:p>
    <w:p w14:paraId="26DC90EA" w14:textId="77777777" w:rsidR="00F948F7" w:rsidRDefault="00F948F7" w:rsidP="005957D0">
      <w:pPr>
        <w:pStyle w:val="Odsekzoznamu"/>
        <w:numPr>
          <w:ilvl w:val="0"/>
          <w:numId w:val="21"/>
        </w:numPr>
        <w:jc w:val="both"/>
      </w:pPr>
      <w:r>
        <w:t>L</w:t>
      </w:r>
      <w:r w:rsidR="005957D0" w:rsidRPr="004F33D8">
        <w:t xml:space="preserve">iquidity risk management plan (Art. 144a para 4) </w:t>
      </w:r>
    </w:p>
    <w:p w14:paraId="31F443ED" w14:textId="27D2098E" w:rsidR="00FA108A" w:rsidRDefault="00F948F7" w:rsidP="005957D0">
      <w:pPr>
        <w:pStyle w:val="Odsekzoznamu"/>
        <w:numPr>
          <w:ilvl w:val="0"/>
          <w:numId w:val="21"/>
        </w:numPr>
        <w:jc w:val="both"/>
      </w:pPr>
      <w:r>
        <w:t>S</w:t>
      </w:r>
      <w:r w:rsidR="005957D0" w:rsidRPr="004F33D8">
        <w:t xml:space="preserve">ustainability reporting (Art. 19a para 6 of the Accounting Directive). </w:t>
      </w:r>
    </w:p>
    <w:p w14:paraId="2BB6E8DF" w14:textId="66E2FEEB" w:rsidR="005957D0" w:rsidRPr="004F33D8" w:rsidRDefault="005957D0" w:rsidP="005957D0">
      <w:r w:rsidRPr="004F33D8">
        <w:t xml:space="preserve">In order to enable an effective approach here, it should be permissible at group level to use </w:t>
      </w:r>
      <w:r w:rsidRPr="00FF4FAB">
        <w:t>historical data</w:t>
      </w:r>
      <w:r w:rsidRPr="004F33D8">
        <w:t xml:space="preserve"> for the exempted companies </w:t>
      </w:r>
      <w:r w:rsidR="00174D3D">
        <w:t>(e</w:t>
      </w:r>
      <w:r w:rsidR="00960AC2">
        <w:t>.</w:t>
      </w:r>
      <w:r w:rsidR="00174D3D">
        <w:t>g</w:t>
      </w:r>
      <w:r w:rsidR="00960AC2">
        <w:t>.</w:t>
      </w:r>
      <w:r w:rsidR="00174D3D">
        <w:t xml:space="preserve"> for </w:t>
      </w:r>
      <w:r w:rsidR="006907E3">
        <w:t xml:space="preserve">RSR) </w:t>
      </w:r>
      <w:r w:rsidRPr="004F33D8">
        <w:t xml:space="preserve">or to </w:t>
      </w:r>
      <w:r w:rsidRPr="00FF4FAB">
        <w:t>exclude them from the consolidation in the reports or plans</w:t>
      </w:r>
      <w:r w:rsidR="00C33D53">
        <w:t xml:space="preserve"> (e.g.</w:t>
      </w:r>
      <w:r w:rsidR="00F96BC0">
        <w:t xml:space="preserve"> SFCR)</w:t>
      </w:r>
      <w:r w:rsidRPr="00FF4FAB">
        <w:t>.</w:t>
      </w:r>
    </w:p>
    <w:p w14:paraId="2910542F" w14:textId="77777777" w:rsidR="005957D0" w:rsidRPr="004F33D8" w:rsidRDefault="005957D0" w:rsidP="00BC7F1E">
      <w:pPr>
        <w:jc w:val="both"/>
      </w:pPr>
    </w:p>
    <w:p w14:paraId="36B5E8D1" w14:textId="43EE6173" w:rsidR="00F83B9F" w:rsidRPr="00BC7F1E" w:rsidRDefault="004B21B4" w:rsidP="00090BEF">
      <w:pPr>
        <w:pStyle w:val="Odsekzoznamu"/>
        <w:jc w:val="both"/>
        <w:rPr>
          <w:b/>
          <w:bCs/>
          <w:color w:val="00B050"/>
        </w:rPr>
      </w:pPr>
      <w:r>
        <w:rPr>
          <w:b/>
          <w:bCs/>
          <w:color w:val="00B050"/>
        </w:rPr>
        <w:t xml:space="preserve">DO: </w:t>
      </w:r>
      <w:r w:rsidR="00F83B9F" w:rsidRPr="00BC7F1E">
        <w:rPr>
          <w:b/>
          <w:bCs/>
          <w:color w:val="00B050"/>
        </w:rPr>
        <w:t>Enable effective application of proportionality measures for SNCUs within groups.</w:t>
      </w:r>
    </w:p>
    <w:p w14:paraId="607604CE" w14:textId="77777777" w:rsidR="00560670" w:rsidRPr="00DE2EAC" w:rsidRDefault="00560670" w:rsidP="00DE2EAC">
      <w:pPr>
        <w:pBdr>
          <w:bottom w:val="single" w:sz="6" w:space="1" w:color="auto"/>
        </w:pBdr>
        <w:jc w:val="both"/>
        <w:rPr>
          <w:bCs/>
        </w:rPr>
      </w:pPr>
    </w:p>
    <w:p w14:paraId="7449D25B" w14:textId="69675166" w:rsidR="00FF470C" w:rsidRDefault="00FF470C" w:rsidP="000D31B8">
      <w:pP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</w:rPr>
      </w:pPr>
      <w:bookmarkStart w:id="8" w:name="_Toc161655018"/>
      <w:r>
        <w:rPr>
          <w:b/>
        </w:rPr>
        <w:br w:type="page"/>
      </w:r>
    </w:p>
    <w:p w14:paraId="2158E196" w14:textId="60749A21" w:rsidR="00C25009" w:rsidRDefault="00C25009" w:rsidP="009D398E">
      <w:pPr>
        <w:pStyle w:val="Nadpis2"/>
      </w:pPr>
      <w:r w:rsidRPr="009D398E">
        <w:lastRenderedPageBreak/>
        <w:t>Reporting and disclosure</w:t>
      </w:r>
      <w:bookmarkEnd w:id="8"/>
    </w:p>
    <w:p w14:paraId="0035394F" w14:textId="77777777" w:rsidR="00354635" w:rsidRDefault="00354635" w:rsidP="00655601"/>
    <w:p w14:paraId="41474BDF" w14:textId="77E988C3" w:rsidR="00534F7B" w:rsidRDefault="004A281F" w:rsidP="00871B0A">
      <w:pPr>
        <w:jc w:val="both"/>
      </w:pPr>
      <w:r w:rsidRPr="004A281F">
        <w:t>Since the implementation of Solvency II in 2016, insurers have</w:t>
      </w:r>
      <w:r w:rsidR="00601543">
        <w:t xml:space="preserve"> invested significantly </w:t>
      </w:r>
      <w:r w:rsidRPr="004A281F">
        <w:t xml:space="preserve">to </w:t>
      </w:r>
      <w:r w:rsidR="0068011D">
        <w:t>meet</w:t>
      </w:r>
      <w:r w:rsidRPr="004A281F">
        <w:t xml:space="preserve"> its reporting requirements, with</w:t>
      </w:r>
      <w:r w:rsidR="0068011D">
        <w:t xml:space="preserve"> </w:t>
      </w:r>
      <w:r w:rsidRPr="004A281F">
        <w:t xml:space="preserve">standard reporting </w:t>
      </w:r>
      <w:r w:rsidR="0068011D">
        <w:t>already</w:t>
      </w:r>
      <w:r w:rsidR="0068011D" w:rsidRPr="004A281F">
        <w:t xml:space="preserve"> </w:t>
      </w:r>
      <w:r w:rsidRPr="004A281F">
        <w:t xml:space="preserve">being </w:t>
      </w:r>
      <w:r w:rsidR="0068011D">
        <w:t>highly</w:t>
      </w:r>
      <w:r>
        <w:t xml:space="preserve"> </w:t>
      </w:r>
      <w:r w:rsidRPr="004A281F">
        <w:t xml:space="preserve">comprehensive. </w:t>
      </w:r>
      <w:r w:rsidR="00871B0A">
        <w:t>NSAs have</w:t>
      </w:r>
      <w:r w:rsidR="00CD2F51" w:rsidRPr="00CD2F51">
        <w:t xml:space="preserve"> </w:t>
      </w:r>
      <w:r w:rsidR="009B47CB">
        <w:t>extensive</w:t>
      </w:r>
      <w:r w:rsidR="00CD2F51" w:rsidRPr="00CD2F51">
        <w:t xml:space="preserve"> powers and tools to request </w:t>
      </w:r>
      <w:r w:rsidR="00F91B16">
        <w:t xml:space="preserve">necessary </w:t>
      </w:r>
      <w:r w:rsidR="00CD2F51" w:rsidRPr="00CD2F51">
        <w:t xml:space="preserve">data and information from insurer. </w:t>
      </w:r>
      <w:r w:rsidR="00F91B16">
        <w:t>Moreover</w:t>
      </w:r>
      <w:r w:rsidR="00871B0A">
        <w:t xml:space="preserve">, </w:t>
      </w:r>
      <w:r w:rsidR="00264D68">
        <w:t xml:space="preserve">insurers have </w:t>
      </w:r>
      <w:r w:rsidR="00F91B16">
        <w:t>recently</w:t>
      </w:r>
      <w:r w:rsidR="00264D68">
        <w:t xml:space="preserve"> implemented the significant changes following the </w:t>
      </w:r>
      <w:r w:rsidR="00DE0B29">
        <w:t xml:space="preserve">extensive </w:t>
      </w:r>
      <w:r w:rsidR="007108C5">
        <w:t xml:space="preserve">amendments to the </w:t>
      </w:r>
      <w:r w:rsidR="00264D68">
        <w:t>ITS</w:t>
      </w:r>
      <w:r w:rsidR="007108C5">
        <w:t xml:space="preserve"> on reporting and disclosure</w:t>
      </w:r>
      <w:r w:rsidR="00CD2F51" w:rsidRPr="00CD2F51">
        <w:t xml:space="preserve">. </w:t>
      </w:r>
    </w:p>
    <w:p w14:paraId="0B0CA54A" w14:textId="1D8BA386" w:rsidR="00655601" w:rsidRDefault="00534F7B" w:rsidP="00871B0A">
      <w:pPr>
        <w:jc w:val="both"/>
      </w:pPr>
      <w:r>
        <w:t>Given this context</w:t>
      </w:r>
      <w:r w:rsidR="00856910">
        <w:t xml:space="preserve"> and the E</w:t>
      </w:r>
      <w:r w:rsidR="009C5A3C">
        <w:t>uropean Commission</w:t>
      </w:r>
      <w:r w:rsidR="00856910">
        <w:t>’s ambition to reduce the reporting burden</w:t>
      </w:r>
      <w:r w:rsidR="009C5A3C">
        <w:t>s</w:t>
      </w:r>
      <w:r w:rsidR="00856910">
        <w:t xml:space="preserve"> by 25%</w:t>
      </w:r>
      <w:r w:rsidR="00F81584">
        <w:t xml:space="preserve">, </w:t>
      </w:r>
      <w:r w:rsidR="009C5A3C" w:rsidRPr="00B86357">
        <w:rPr>
          <w:b/>
          <w:bCs/>
        </w:rPr>
        <w:t xml:space="preserve">it is </w:t>
      </w:r>
      <w:r w:rsidR="009C5A3C">
        <w:rPr>
          <w:b/>
          <w:bCs/>
        </w:rPr>
        <w:t>vital</w:t>
      </w:r>
      <w:r w:rsidR="009C5A3C" w:rsidRPr="00B86357">
        <w:rPr>
          <w:b/>
          <w:bCs/>
        </w:rPr>
        <w:t xml:space="preserve"> to ensure that any increase in the burden of Pillar 3 reporting is minimized</w:t>
      </w:r>
      <w:r w:rsidR="009C5A3C">
        <w:rPr>
          <w:b/>
          <w:bCs/>
        </w:rPr>
        <w:t>.</w:t>
      </w:r>
      <w:r w:rsidR="009C5A3C">
        <w:t xml:space="preserve"> </w:t>
      </w:r>
      <w:r w:rsidR="00306A4A">
        <w:t xml:space="preserve">Specifically, the </w:t>
      </w:r>
      <w:r w:rsidR="00306A4A" w:rsidRPr="00A723CC">
        <w:rPr>
          <w:b/>
          <w:bCs/>
        </w:rPr>
        <w:t>foll</w:t>
      </w:r>
      <w:r w:rsidR="00EB4B28" w:rsidRPr="00A723CC">
        <w:rPr>
          <w:b/>
          <w:bCs/>
        </w:rPr>
        <w:t>o</w:t>
      </w:r>
      <w:r w:rsidR="00EB4B28" w:rsidRPr="00B86357">
        <w:rPr>
          <w:b/>
          <w:bCs/>
        </w:rPr>
        <w:t xml:space="preserve">wing areas </w:t>
      </w:r>
      <w:r w:rsidR="00306A4A">
        <w:rPr>
          <w:b/>
          <w:bCs/>
        </w:rPr>
        <w:t xml:space="preserve">require attention when </w:t>
      </w:r>
      <w:r w:rsidR="00A723CC">
        <w:rPr>
          <w:b/>
          <w:bCs/>
        </w:rPr>
        <w:t>drafting Level 2 and 3 legislation</w:t>
      </w:r>
      <w:r w:rsidR="00EB4B28">
        <w:t>:</w:t>
      </w:r>
    </w:p>
    <w:p w14:paraId="4FAA24B4" w14:textId="5C73BA72" w:rsidR="00EB4B28" w:rsidRDefault="00EB4B28" w:rsidP="00EB4B28">
      <w:pPr>
        <w:pStyle w:val="Odsekzoznamu"/>
        <w:numPr>
          <w:ilvl w:val="0"/>
          <w:numId w:val="22"/>
        </w:numPr>
        <w:jc w:val="both"/>
      </w:pPr>
      <w:r>
        <w:t xml:space="preserve">Standard formula reporting for internal model users </w:t>
      </w:r>
    </w:p>
    <w:p w14:paraId="3617CFD6" w14:textId="755C54E1" w:rsidR="00EB4B28" w:rsidRDefault="00EB4B28" w:rsidP="00EB4B28">
      <w:pPr>
        <w:pStyle w:val="Odsekzoznamu"/>
        <w:numPr>
          <w:ilvl w:val="0"/>
          <w:numId w:val="22"/>
        </w:numPr>
        <w:jc w:val="both"/>
      </w:pPr>
      <w:r>
        <w:t>External audit requirement</w:t>
      </w:r>
    </w:p>
    <w:p w14:paraId="65990116" w14:textId="6DBC7754" w:rsidR="00EB4B28" w:rsidRDefault="00EB4B28" w:rsidP="00EB4B28">
      <w:pPr>
        <w:pStyle w:val="Odsekzoznamu"/>
        <w:numPr>
          <w:ilvl w:val="0"/>
          <w:numId w:val="22"/>
        </w:numPr>
        <w:jc w:val="both"/>
      </w:pPr>
      <w:r>
        <w:t>Design of the SFCR</w:t>
      </w:r>
    </w:p>
    <w:p w14:paraId="52843482" w14:textId="1BB0E025" w:rsidR="00EB4B28" w:rsidRDefault="00EB4B28" w:rsidP="00EB4B28">
      <w:pPr>
        <w:pStyle w:val="Odsekzoznamu"/>
        <w:numPr>
          <w:ilvl w:val="0"/>
          <w:numId w:val="22"/>
        </w:numPr>
        <w:jc w:val="both"/>
      </w:pPr>
      <w:r>
        <w:t>Appropriate implementation of the RSR</w:t>
      </w:r>
    </w:p>
    <w:p w14:paraId="1AF0BBC7" w14:textId="0A5AC022" w:rsidR="00EB4B28" w:rsidRDefault="00C16AAE" w:rsidP="00EB4B28">
      <w:pPr>
        <w:pStyle w:val="Odsekzoznamu"/>
        <w:numPr>
          <w:ilvl w:val="0"/>
          <w:numId w:val="22"/>
        </w:numPr>
        <w:jc w:val="both"/>
      </w:pPr>
      <w:r>
        <w:t>Development and r</w:t>
      </w:r>
      <w:r w:rsidR="00EB4B28">
        <w:t xml:space="preserve">evision of the ITS on reporting and disclosure </w:t>
      </w:r>
    </w:p>
    <w:p w14:paraId="45FD25AF" w14:textId="073C3189" w:rsidR="00EB4B28" w:rsidRPr="00655601" w:rsidRDefault="0088522E" w:rsidP="00EB4B28">
      <w:pPr>
        <w:pStyle w:val="Odsekzoznamu"/>
        <w:numPr>
          <w:ilvl w:val="0"/>
          <w:numId w:val="22"/>
        </w:numPr>
        <w:jc w:val="both"/>
      </w:pPr>
      <w:r>
        <w:t xml:space="preserve">Addressing inconsistencies </w:t>
      </w:r>
      <w:r w:rsidR="009B3753">
        <w:t xml:space="preserve">in timelines </w:t>
      </w:r>
    </w:p>
    <w:p w14:paraId="21B71D61" w14:textId="77777777" w:rsidR="004443EA" w:rsidRPr="0084550D" w:rsidRDefault="004443EA" w:rsidP="004443EA">
      <w:pPr>
        <w:pStyle w:val="Nadpis3"/>
        <w:rPr>
          <w:b/>
          <w:bCs/>
          <w:lang w:val="en-GB"/>
        </w:rPr>
      </w:pPr>
      <w:bookmarkStart w:id="9" w:name="_Toc161655019"/>
      <w:r>
        <w:rPr>
          <w:b/>
          <w:bCs/>
          <w:lang w:val="en-GB"/>
        </w:rPr>
        <w:t>Standard Formula reporting for internal model users</w:t>
      </w:r>
      <w:bookmarkEnd w:id="9"/>
    </w:p>
    <w:p w14:paraId="26EF6C6D" w14:textId="77777777" w:rsidR="0020788C" w:rsidRDefault="004443EA" w:rsidP="004443EA">
      <w:pPr>
        <w:jc w:val="both"/>
      </w:pPr>
      <w:r>
        <w:t xml:space="preserve">The </w:t>
      </w:r>
      <w:r w:rsidR="00782C9C">
        <w:t xml:space="preserve">agreed </w:t>
      </w:r>
      <w:r>
        <w:t xml:space="preserve">SII </w:t>
      </w:r>
      <w:r w:rsidR="00782C9C">
        <w:t xml:space="preserve">amendments </w:t>
      </w:r>
      <w:r>
        <w:t xml:space="preserve">foresee that internal model users shall </w:t>
      </w:r>
      <w:r>
        <w:rPr>
          <w:sz w:val="23"/>
          <w:szCs w:val="23"/>
        </w:rPr>
        <w:t xml:space="preserve">provide </w:t>
      </w:r>
      <w:r w:rsidRPr="00DE500E">
        <w:t>every two years an estimate of the Solvency Capital Requirement determined in accordance with the standard formula</w:t>
      </w:r>
      <w:r>
        <w:t xml:space="preserve">. </w:t>
      </w:r>
    </w:p>
    <w:p w14:paraId="08EEDAB3" w14:textId="5291301B" w:rsidR="004443EA" w:rsidRDefault="004443EA" w:rsidP="004443EA">
      <w:pPr>
        <w:jc w:val="both"/>
      </w:pPr>
      <w:r>
        <w:t>The proposals give misplaced recognition and credibility to standard formula results for internal model users. A standard formula comparison for internal model users is an arbitrary tool for such ongoing monitoring because as a capital measure for the average risk profile, it will not appropriately capture changes in atypical risk profiles and give a misleading measure of the change.</w:t>
      </w:r>
    </w:p>
    <w:p w14:paraId="39F7751B" w14:textId="77777777" w:rsidR="00D859BC" w:rsidRPr="004A3E1D" w:rsidRDefault="00D859BC" w:rsidP="00D859BC">
      <w:pPr>
        <w:jc w:val="both"/>
        <w:rPr>
          <w:rFonts w:ascii="Verdana" w:hAnsi="Verdana"/>
          <w:b/>
          <w:bCs/>
          <w:color w:val="00B050"/>
          <w:sz w:val="17"/>
          <w:szCs w:val="17"/>
          <w14:ligatures w14:val="none"/>
        </w:rPr>
      </w:pPr>
      <w:bookmarkStart w:id="10" w:name="_Toc161655020"/>
      <w:r w:rsidRPr="004A3E1D">
        <w:rPr>
          <w:b/>
          <w:bCs/>
          <w:color w:val="00B050"/>
        </w:rPr>
        <w:t xml:space="preserve">DO: Ensure that the standard formula </w:t>
      </w:r>
      <w:r w:rsidRPr="004A3E1D">
        <w:rPr>
          <w:b/>
          <w:bCs/>
          <w:color w:val="00B050"/>
          <w:u w:val="single"/>
        </w:rPr>
        <w:t>estimate</w:t>
      </w:r>
      <w:r w:rsidRPr="004A3E1D">
        <w:rPr>
          <w:b/>
          <w:bCs/>
          <w:color w:val="00B050"/>
        </w:rPr>
        <w:t xml:space="preserve"> is required in a manner that addresses the individual needs of the respective NCAs. Therefore, the format and content should be agreed directly between them, independently from the RSR and Solvency II QRTs processes. </w:t>
      </w:r>
    </w:p>
    <w:p w14:paraId="6FC79C94" w14:textId="5F7064BA" w:rsidR="009618D4" w:rsidRPr="0084550D" w:rsidRDefault="009618D4" w:rsidP="001005E1">
      <w:pPr>
        <w:pStyle w:val="Nadpis3"/>
        <w:rPr>
          <w:b/>
          <w:bCs/>
          <w:lang w:val="en-GB"/>
        </w:rPr>
      </w:pPr>
      <w:r w:rsidRPr="0084550D">
        <w:rPr>
          <w:b/>
          <w:bCs/>
          <w:lang w:val="en-GB"/>
        </w:rPr>
        <w:t>External audit requirement</w:t>
      </w:r>
      <w:bookmarkEnd w:id="10"/>
    </w:p>
    <w:p w14:paraId="4BBE4349" w14:textId="5F00B48E" w:rsidR="009B42BA" w:rsidRDefault="008C11F1" w:rsidP="009B42BA">
      <w:pPr>
        <w:jc w:val="both"/>
        <w:rPr>
          <w:lang w:val="en-GB"/>
        </w:rPr>
      </w:pPr>
      <w:r>
        <w:rPr>
          <w:lang w:val="en-GB"/>
        </w:rPr>
        <w:t xml:space="preserve">The SII </w:t>
      </w:r>
      <w:r w:rsidR="00B3417A">
        <w:rPr>
          <w:lang w:val="en-GB"/>
        </w:rPr>
        <w:t xml:space="preserve">amendments </w:t>
      </w:r>
      <w:r w:rsidR="00C5172A">
        <w:rPr>
          <w:lang w:val="en-GB"/>
        </w:rPr>
        <w:t>include</w:t>
      </w:r>
      <w:r>
        <w:rPr>
          <w:lang w:val="en-GB"/>
        </w:rPr>
        <w:t xml:space="preserve"> a minimum external audit requirement of </w:t>
      </w:r>
      <w:r w:rsidR="00722074">
        <w:rPr>
          <w:lang w:val="en-GB"/>
        </w:rPr>
        <w:t>the balance sheet disclosed as part of the SFCR.</w:t>
      </w:r>
      <w:r w:rsidR="004F52EA">
        <w:rPr>
          <w:lang w:val="en-GB"/>
        </w:rPr>
        <w:t xml:space="preserve"> These e</w:t>
      </w:r>
      <w:r w:rsidR="007B1BF3" w:rsidRPr="007B1BF3">
        <w:rPr>
          <w:lang w:val="en-GB"/>
        </w:rPr>
        <w:t>xternal audit requirements will be very resource-intensive and entail significant</w:t>
      </w:r>
      <w:r w:rsidR="007B1BF3">
        <w:rPr>
          <w:lang w:val="en-GB"/>
        </w:rPr>
        <w:t xml:space="preserve"> </w:t>
      </w:r>
      <w:r w:rsidR="007B1BF3" w:rsidRPr="007B1BF3">
        <w:rPr>
          <w:lang w:val="en-GB"/>
        </w:rPr>
        <w:t>costs for insurance companies</w:t>
      </w:r>
      <w:r w:rsidR="004F52EA">
        <w:rPr>
          <w:lang w:val="en-GB"/>
        </w:rPr>
        <w:t>.</w:t>
      </w:r>
      <w:r w:rsidR="007B1BF3" w:rsidRPr="007B1BF3">
        <w:rPr>
          <w:lang w:val="en-GB"/>
        </w:rPr>
        <w:t xml:space="preserve"> </w:t>
      </w:r>
      <w:r w:rsidR="009B42BA" w:rsidRPr="00402247">
        <w:rPr>
          <w:lang w:val="en-GB"/>
        </w:rPr>
        <w:t>T</w:t>
      </w:r>
      <w:r w:rsidR="009B42BA" w:rsidRPr="00980248">
        <w:rPr>
          <w:lang w:val="en-GB"/>
        </w:rPr>
        <w:t>he data to be audited is already subject to a significant safeguard mechanism through the</w:t>
      </w:r>
      <w:r w:rsidR="009B42BA">
        <w:rPr>
          <w:lang w:val="en-GB"/>
        </w:rPr>
        <w:t xml:space="preserve"> </w:t>
      </w:r>
      <w:r w:rsidR="009B42BA" w:rsidRPr="00980248">
        <w:rPr>
          <w:lang w:val="en-GB"/>
        </w:rPr>
        <w:t>supervisory process of regulatory authorities (see, inter alia, Article 36 of the Solvency II Directive).</w:t>
      </w:r>
    </w:p>
    <w:p w14:paraId="7F566228" w14:textId="030F8912" w:rsidR="00FF41D1" w:rsidRDefault="009B42BA" w:rsidP="009B42BA">
      <w:pPr>
        <w:jc w:val="both"/>
        <w:rPr>
          <w:lang w:val="en-GB"/>
        </w:rPr>
      </w:pPr>
      <w:r w:rsidRPr="00C5172A">
        <w:rPr>
          <w:lang w:val="en-GB"/>
        </w:rPr>
        <w:t xml:space="preserve">Although the industry appreciates the exemption for SNCUs, </w:t>
      </w:r>
      <w:r>
        <w:rPr>
          <w:lang w:val="en-GB"/>
        </w:rPr>
        <w:t xml:space="preserve">there are </w:t>
      </w:r>
      <w:r w:rsidRPr="00C5172A">
        <w:rPr>
          <w:lang w:val="en-GB"/>
        </w:rPr>
        <w:t>concern</w:t>
      </w:r>
      <w:r>
        <w:rPr>
          <w:lang w:val="en-GB"/>
        </w:rPr>
        <w:t>s</w:t>
      </w:r>
      <w:r w:rsidRPr="00C5172A">
        <w:rPr>
          <w:lang w:val="en-GB"/>
        </w:rPr>
        <w:t xml:space="preserve"> about  having </w:t>
      </w:r>
      <w:r>
        <w:rPr>
          <w:lang w:val="en-GB"/>
        </w:rPr>
        <w:t xml:space="preserve">national </w:t>
      </w:r>
      <w:r w:rsidRPr="00C5172A">
        <w:rPr>
          <w:lang w:val="en-GB"/>
        </w:rPr>
        <w:t>discretion</w:t>
      </w:r>
      <w:r w:rsidR="00183579">
        <w:rPr>
          <w:lang w:val="en-GB"/>
        </w:rPr>
        <w:t xml:space="preserve">. </w:t>
      </w:r>
      <w:r w:rsidR="00183579" w:rsidRPr="00183579">
        <w:rPr>
          <w:lang w:val="en-GB"/>
        </w:rPr>
        <w:t>These concerns encompass both the content and scope of the extension.</w:t>
      </w:r>
      <w:r w:rsidRPr="00C5172A">
        <w:rPr>
          <w:lang w:val="en-GB"/>
        </w:rPr>
        <w:t xml:space="preserve"> </w:t>
      </w:r>
      <w:r w:rsidR="009E6536">
        <w:rPr>
          <w:lang w:val="en-GB"/>
        </w:rPr>
        <w:t>I</w:t>
      </w:r>
      <w:r w:rsidR="00FF41D1" w:rsidRPr="00FF41D1">
        <w:rPr>
          <w:lang w:val="en-GB"/>
        </w:rPr>
        <w:t xml:space="preserve">n terms of content, there is apprehension about expanding the requirement beyond the balance sheet, which could affect not only SNCUs but also non-SNCUs. Additionally, expanding the scope to include SNCUs may exacerbate the already significant resource burdens and costs faced by these smaller entities. </w:t>
      </w:r>
    </w:p>
    <w:p w14:paraId="5326656D" w14:textId="3528F547" w:rsidR="009B42BA" w:rsidRDefault="009B42BA" w:rsidP="009B42BA">
      <w:pPr>
        <w:jc w:val="both"/>
        <w:rPr>
          <w:lang w:val="en-GB"/>
        </w:rPr>
      </w:pPr>
      <w:r>
        <w:rPr>
          <w:lang w:val="en-GB"/>
        </w:rPr>
        <w:t>In addition, w</w:t>
      </w:r>
      <w:r w:rsidRPr="00301E70">
        <w:rPr>
          <w:lang w:val="en-GB"/>
        </w:rPr>
        <w:t>hen auditing the balance sheet, the auditor should consider the SCR as a given input. Any detailed examination of the SCR falls under the responsibility of the NSA.</w:t>
      </w:r>
    </w:p>
    <w:p w14:paraId="151FF959" w14:textId="5D282C39" w:rsidR="003B0EE2" w:rsidRDefault="003B0EE2" w:rsidP="006435D7">
      <w:pPr>
        <w:jc w:val="both"/>
        <w:rPr>
          <w:lang w:val="en-GB"/>
        </w:rPr>
      </w:pPr>
    </w:p>
    <w:p w14:paraId="5C55C15B" w14:textId="3D4B14ED" w:rsidR="00863A75" w:rsidRPr="00960B7E" w:rsidRDefault="00863A75" w:rsidP="00863A75">
      <w:pPr>
        <w:rPr>
          <w:b/>
          <w:bCs/>
          <w:color w:val="00B050"/>
        </w:rPr>
      </w:pPr>
      <w:r w:rsidRPr="00960B7E">
        <w:rPr>
          <w:b/>
          <w:bCs/>
          <w:color w:val="00B050"/>
        </w:rPr>
        <w:t xml:space="preserve">DO: Accept a limited level of assurance in the audit. </w:t>
      </w:r>
    </w:p>
    <w:p w14:paraId="7CFEE8EB" w14:textId="3184D14E" w:rsidR="000663CD" w:rsidRDefault="000663CD" w:rsidP="000663CD">
      <w:pPr>
        <w:rPr>
          <w:b/>
          <w:bCs/>
          <w:color w:val="FF0000"/>
          <w:lang w:val="en-GB"/>
        </w:rPr>
      </w:pPr>
      <w:r w:rsidRPr="00402247">
        <w:rPr>
          <w:b/>
          <w:bCs/>
          <w:color w:val="FF0000"/>
          <w:lang w:val="en-GB"/>
        </w:rPr>
        <w:lastRenderedPageBreak/>
        <w:t xml:space="preserve">DON’T: Extend audit requirements to </w:t>
      </w:r>
      <w:r w:rsidR="00EB4B55">
        <w:rPr>
          <w:b/>
          <w:bCs/>
          <w:color w:val="FF0000"/>
          <w:lang w:val="en-GB"/>
        </w:rPr>
        <w:t xml:space="preserve">Small and </w:t>
      </w:r>
      <w:r w:rsidR="0025103C">
        <w:rPr>
          <w:b/>
          <w:bCs/>
          <w:color w:val="FF0000"/>
          <w:lang w:val="en-GB"/>
        </w:rPr>
        <w:t>n</w:t>
      </w:r>
      <w:r w:rsidR="00EB4B55">
        <w:rPr>
          <w:b/>
          <w:bCs/>
          <w:color w:val="FF0000"/>
          <w:lang w:val="en-GB"/>
        </w:rPr>
        <w:t>on-</w:t>
      </w:r>
      <w:r w:rsidR="0025103C">
        <w:rPr>
          <w:b/>
          <w:bCs/>
          <w:color w:val="FF0000"/>
          <w:lang w:val="en-GB"/>
        </w:rPr>
        <w:t>c</w:t>
      </w:r>
      <w:r w:rsidR="00EB4B55">
        <w:rPr>
          <w:b/>
          <w:bCs/>
          <w:color w:val="FF0000"/>
          <w:lang w:val="en-GB"/>
        </w:rPr>
        <w:t>omplex Undertakings (</w:t>
      </w:r>
      <w:r w:rsidRPr="00402247">
        <w:rPr>
          <w:b/>
          <w:bCs/>
          <w:color w:val="FF0000"/>
          <w:lang w:val="en-GB"/>
        </w:rPr>
        <w:t>SNCUs</w:t>
      </w:r>
      <w:r w:rsidR="00EB4B55">
        <w:rPr>
          <w:b/>
          <w:bCs/>
          <w:color w:val="FF0000"/>
          <w:lang w:val="en-GB"/>
        </w:rPr>
        <w:t>)</w:t>
      </w:r>
      <w:r>
        <w:rPr>
          <w:b/>
          <w:bCs/>
          <w:color w:val="FF0000"/>
          <w:lang w:val="en-GB"/>
        </w:rPr>
        <w:t xml:space="preserve"> or other sections of the SFCR</w:t>
      </w:r>
      <w:r w:rsidRPr="00402247">
        <w:rPr>
          <w:b/>
          <w:bCs/>
          <w:color w:val="FF0000"/>
          <w:lang w:val="en-GB"/>
        </w:rPr>
        <w:t xml:space="preserve">. </w:t>
      </w:r>
    </w:p>
    <w:p w14:paraId="48701091" w14:textId="77777777" w:rsidR="00F36980" w:rsidRDefault="00F36980" w:rsidP="00C369E8">
      <w:pPr>
        <w:pStyle w:val="Nadpis3"/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</w:pPr>
    </w:p>
    <w:p w14:paraId="3EA02636" w14:textId="2943C066" w:rsidR="009618D4" w:rsidRPr="0084550D" w:rsidRDefault="009618D4" w:rsidP="001005E1">
      <w:pPr>
        <w:pStyle w:val="Nadpis3"/>
        <w:rPr>
          <w:b/>
          <w:bCs/>
          <w:lang w:val="en-GB"/>
        </w:rPr>
      </w:pPr>
      <w:bookmarkStart w:id="11" w:name="_Toc161655021"/>
      <w:r w:rsidRPr="0084550D">
        <w:rPr>
          <w:b/>
          <w:bCs/>
          <w:lang w:val="en-GB"/>
        </w:rPr>
        <w:t>Design of the SFCR</w:t>
      </w:r>
      <w:bookmarkEnd w:id="11"/>
    </w:p>
    <w:p w14:paraId="473C811A" w14:textId="6102FF8C" w:rsidR="009F302B" w:rsidRDefault="00677B71" w:rsidP="0086602B">
      <w:pPr>
        <w:jc w:val="both"/>
      </w:pPr>
      <w:r>
        <w:t xml:space="preserve">By reviewing </w:t>
      </w:r>
      <w:r w:rsidRPr="00677B71">
        <w:t xml:space="preserve">the </w:t>
      </w:r>
      <w:r w:rsidR="00442530">
        <w:t xml:space="preserve">format and content of the </w:t>
      </w:r>
      <w:r w:rsidRPr="00677B71">
        <w:t xml:space="preserve">SFCR </w:t>
      </w:r>
      <w:r>
        <w:t xml:space="preserve">it was aimed </w:t>
      </w:r>
      <w:r w:rsidRPr="00677B71">
        <w:t xml:space="preserve">to enhance transparency by aligning insurers' disclosures with the needs of policyholders/beneficiaries and professionals. </w:t>
      </w:r>
      <w:r w:rsidR="00EF553A">
        <w:t>However</w:t>
      </w:r>
      <w:r w:rsidR="00B5574F">
        <w:t xml:space="preserve">, the current amendments imply that insurers must have two separate SFCRs, one for </w:t>
      </w:r>
      <w:r w:rsidR="00E9428F">
        <w:t xml:space="preserve">each audience. </w:t>
      </w:r>
      <w:r w:rsidR="009F302B" w:rsidRPr="009F302B">
        <w:t xml:space="preserve">This approach might present challenges, potentially increasing operational burdens if not streamlined effectively at Level 2. </w:t>
      </w:r>
    </w:p>
    <w:p w14:paraId="18862387" w14:textId="5FE90258" w:rsidR="00903F5B" w:rsidRDefault="00F0660C" w:rsidP="0086602B">
      <w:pPr>
        <w:jc w:val="both"/>
      </w:pPr>
      <w:r w:rsidRPr="00BC7F1E">
        <w:t xml:space="preserve">While </w:t>
      </w:r>
      <w:r w:rsidR="00E7169C">
        <w:t>the industry a</w:t>
      </w:r>
      <w:r w:rsidRPr="00BC7F1E">
        <w:t>ppreciates efforts to improve usability,</w:t>
      </w:r>
      <w:r w:rsidRPr="00BC7F1E" w:rsidDel="00F0660C">
        <w:t xml:space="preserve"> </w:t>
      </w:r>
      <w:r w:rsidR="009F302B">
        <w:t>given</w:t>
      </w:r>
      <w:r w:rsidR="00376DF1">
        <w:t xml:space="preserve"> the low level of public interest in the SFCR</w:t>
      </w:r>
      <w:r w:rsidR="00242062">
        <w:t xml:space="preserve">, </w:t>
      </w:r>
      <w:r w:rsidR="00450982" w:rsidRPr="00BC7F1E">
        <w:t>it emphasi</w:t>
      </w:r>
      <w:r w:rsidR="009F302B">
        <w:t>s</w:t>
      </w:r>
      <w:r w:rsidR="00450982" w:rsidRPr="00BC7F1E">
        <w:t>es the importance of ensuring that the</w:t>
      </w:r>
      <w:r w:rsidR="0086602B" w:rsidRPr="00CF0825">
        <w:t xml:space="preserve"> content of each part of the SFCR</w:t>
      </w:r>
      <w:r w:rsidR="00CF0825" w:rsidRPr="00CF0825">
        <w:t xml:space="preserve"> </w:t>
      </w:r>
      <w:r w:rsidR="0086602B" w:rsidRPr="00CF0825">
        <w:t xml:space="preserve">effectively </w:t>
      </w:r>
      <w:r w:rsidR="009F302B">
        <w:t>addresses</w:t>
      </w:r>
      <w:r w:rsidR="00CF0825" w:rsidRPr="00CF0825">
        <w:t xml:space="preserve"> the</w:t>
      </w:r>
      <w:r w:rsidR="0086602B" w:rsidRPr="00CF0825">
        <w:t xml:space="preserve"> information needs of </w:t>
      </w:r>
      <w:r w:rsidR="00CF0825" w:rsidRPr="00CF0825">
        <w:t>its</w:t>
      </w:r>
      <w:r w:rsidR="0086602B" w:rsidRPr="00CF0825">
        <w:t xml:space="preserve"> intended audience.</w:t>
      </w:r>
      <w:r w:rsidR="0086602B" w:rsidRPr="00BF231F">
        <w:t xml:space="preserve"> </w:t>
      </w:r>
    </w:p>
    <w:p w14:paraId="5DE4D317" w14:textId="3D58331A" w:rsidR="0086602B" w:rsidRPr="00122EAD" w:rsidRDefault="00191F81" w:rsidP="0086602B">
      <w:pPr>
        <w:jc w:val="both"/>
      </w:pPr>
      <w:r w:rsidRPr="00191F81">
        <w:t xml:space="preserve">Specifically, </w:t>
      </w:r>
      <w:r w:rsidR="00BE48D5">
        <w:t xml:space="preserve">the DA should structure </w:t>
      </w:r>
      <w:r w:rsidRPr="00191F81">
        <w:t xml:space="preserve">the </w:t>
      </w:r>
      <w:r w:rsidRPr="00903F5B">
        <w:rPr>
          <w:b/>
          <w:bCs/>
        </w:rPr>
        <w:t xml:space="preserve">part </w:t>
      </w:r>
      <w:r w:rsidR="00FB09D8">
        <w:rPr>
          <w:b/>
          <w:bCs/>
        </w:rPr>
        <w:t xml:space="preserve">of the SFCR </w:t>
      </w:r>
      <w:r w:rsidRPr="00903F5B">
        <w:rPr>
          <w:b/>
          <w:bCs/>
        </w:rPr>
        <w:t xml:space="preserve">for policyholders </w:t>
      </w:r>
      <w:r w:rsidR="0086602B" w:rsidRPr="00903F5B">
        <w:rPr>
          <w:b/>
          <w:bCs/>
        </w:rPr>
        <w:t>and beneficiaries</w:t>
      </w:r>
      <w:r w:rsidR="0086602B" w:rsidRPr="00FF6CA8">
        <w:t xml:space="preserve"> </w:t>
      </w:r>
      <w:r w:rsidR="006E17A4">
        <w:t xml:space="preserve">so that it </w:t>
      </w:r>
      <w:r w:rsidR="004545A1" w:rsidRPr="004545A1">
        <w:t xml:space="preserve">is a compact report with a target length of not more than </w:t>
      </w:r>
      <w:r w:rsidR="00B847FD">
        <w:t>two pages</w:t>
      </w:r>
      <w:r w:rsidR="002F0254">
        <w:t>,</w:t>
      </w:r>
      <w:r w:rsidR="0086602B" w:rsidRPr="00FF6CA8">
        <w:t xml:space="preserve"> </w:t>
      </w:r>
      <w:r w:rsidR="0086602B">
        <w:t>limited to information relevant for this group</w:t>
      </w:r>
      <w:r w:rsidR="003443E4">
        <w:t xml:space="preserve">. </w:t>
      </w:r>
    </w:p>
    <w:p w14:paraId="3998ED08" w14:textId="5D6CB7DE" w:rsidR="0086602B" w:rsidRDefault="0080297C" w:rsidP="006435D7">
      <w:pPr>
        <w:jc w:val="both"/>
      </w:pPr>
      <w:r w:rsidRPr="00903F5B">
        <w:rPr>
          <w:b/>
          <w:bCs/>
        </w:rPr>
        <w:t xml:space="preserve">For </w:t>
      </w:r>
      <w:r w:rsidR="0086602B" w:rsidRPr="00903F5B">
        <w:rPr>
          <w:b/>
          <w:bCs/>
        </w:rPr>
        <w:t>market professionals</w:t>
      </w:r>
      <w:r w:rsidR="0086602B">
        <w:t>, the disclosed QRT</w:t>
      </w:r>
      <w:r w:rsidR="00A01836">
        <w:t>s</w:t>
      </w:r>
      <w:r w:rsidR="0086602B">
        <w:t xml:space="preserve"> </w:t>
      </w:r>
      <w:r w:rsidR="00554C55">
        <w:t>are the most rel</w:t>
      </w:r>
      <w:r w:rsidR="0086602B">
        <w:t>evant</w:t>
      </w:r>
      <w:r w:rsidR="00FD2903">
        <w:t>, t</w:t>
      </w:r>
      <w:r w:rsidR="0086602B">
        <w:t xml:space="preserve">herefore, narrative information </w:t>
      </w:r>
      <w:r w:rsidR="00FD2903">
        <w:t xml:space="preserve">in the SFCR part for market professionals </w:t>
      </w:r>
      <w:r w:rsidR="0086602B">
        <w:t>should be kept at a minimum.</w:t>
      </w:r>
    </w:p>
    <w:p w14:paraId="03F88710" w14:textId="629BC599" w:rsidR="001E719A" w:rsidRDefault="00E51D9D" w:rsidP="007A675C">
      <w:pPr>
        <w:rPr>
          <w:b/>
          <w:bCs/>
          <w:color w:val="00B050"/>
        </w:rPr>
      </w:pPr>
      <w:r w:rsidRPr="00960B7E">
        <w:rPr>
          <w:b/>
          <w:bCs/>
          <w:color w:val="00B050"/>
        </w:rPr>
        <w:t>DO: Minimise the SFCR reporting burden by streamlining requirements in the Level 2</w:t>
      </w:r>
      <w:r w:rsidR="000D2986" w:rsidRPr="00960B7E">
        <w:rPr>
          <w:b/>
          <w:bCs/>
          <w:color w:val="00B050"/>
        </w:rPr>
        <w:t xml:space="preserve">. </w:t>
      </w:r>
      <w:r w:rsidR="003156E6" w:rsidRPr="00960B7E">
        <w:rPr>
          <w:b/>
          <w:bCs/>
          <w:color w:val="00B050"/>
        </w:rPr>
        <w:t xml:space="preserve"> </w:t>
      </w:r>
    </w:p>
    <w:p w14:paraId="097F7069" w14:textId="016A7B2A" w:rsidR="00517931" w:rsidRPr="004C5747" w:rsidRDefault="00517931" w:rsidP="00517931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DO: </w:t>
      </w:r>
      <w:r w:rsidR="00952BFB">
        <w:rPr>
          <w:b/>
          <w:bCs/>
          <w:color w:val="00B050"/>
        </w:rPr>
        <w:t>E</w:t>
      </w:r>
      <w:r>
        <w:rPr>
          <w:b/>
          <w:bCs/>
          <w:color w:val="00B050"/>
        </w:rPr>
        <w:t>nsure that each part of the SFCR effectively</w:t>
      </w:r>
      <w:r w:rsidR="00460C0B">
        <w:rPr>
          <w:b/>
          <w:bCs/>
          <w:color w:val="00B050"/>
        </w:rPr>
        <w:t xml:space="preserve"> addresses</w:t>
      </w:r>
      <w:r>
        <w:rPr>
          <w:b/>
          <w:bCs/>
          <w:color w:val="00B050"/>
        </w:rPr>
        <w:t xml:space="preserve"> </w:t>
      </w:r>
      <w:r w:rsidR="00436778">
        <w:rPr>
          <w:b/>
          <w:bCs/>
          <w:color w:val="00B050"/>
        </w:rPr>
        <w:t xml:space="preserve">the </w:t>
      </w:r>
      <w:r>
        <w:rPr>
          <w:b/>
          <w:bCs/>
          <w:color w:val="00B050"/>
        </w:rPr>
        <w:t xml:space="preserve">information needs of the intended </w:t>
      </w:r>
      <w:r w:rsidRPr="00233EA6">
        <w:rPr>
          <w:b/>
          <w:bCs/>
          <w:color w:val="00B050"/>
        </w:rPr>
        <w:t>audience</w:t>
      </w:r>
      <w:r w:rsidR="005D02A8">
        <w:rPr>
          <w:b/>
          <w:bCs/>
          <w:color w:val="00B050"/>
        </w:rPr>
        <w:t>, including b</w:t>
      </w:r>
      <w:r w:rsidR="00635736">
        <w:rPr>
          <w:b/>
          <w:bCs/>
          <w:color w:val="00B050"/>
        </w:rPr>
        <w:t xml:space="preserve">oth </w:t>
      </w:r>
      <w:r w:rsidRPr="004C5747">
        <w:rPr>
          <w:b/>
          <w:bCs/>
          <w:color w:val="00B050"/>
        </w:rPr>
        <w:t xml:space="preserve">the group-level SFCR and </w:t>
      </w:r>
      <w:r w:rsidR="00436778">
        <w:rPr>
          <w:b/>
          <w:bCs/>
          <w:color w:val="00B050"/>
        </w:rPr>
        <w:t>s</w:t>
      </w:r>
      <w:r w:rsidRPr="004C5747">
        <w:rPr>
          <w:b/>
          <w:bCs/>
          <w:color w:val="00B050"/>
        </w:rPr>
        <w:t>ingle SFCR.</w:t>
      </w:r>
    </w:p>
    <w:p w14:paraId="79082ED4" w14:textId="1DB901BF" w:rsidR="00517931" w:rsidRPr="00FD43D5" w:rsidRDefault="005D02A8" w:rsidP="00BC7F1E">
      <w:pPr>
        <w:pStyle w:val="Odsekzoznamu"/>
        <w:numPr>
          <w:ilvl w:val="0"/>
          <w:numId w:val="13"/>
        </w:numPr>
        <w:rPr>
          <w:b/>
          <w:color w:val="00B050"/>
        </w:rPr>
      </w:pPr>
      <w:r>
        <w:rPr>
          <w:b/>
          <w:color w:val="00B050"/>
        </w:rPr>
        <w:t>Limit t</w:t>
      </w:r>
      <w:r w:rsidR="00517931" w:rsidRPr="00793BB3">
        <w:rPr>
          <w:b/>
          <w:color w:val="00B050"/>
        </w:rPr>
        <w:t>he part of the SFCR for policyholders</w:t>
      </w:r>
      <w:r>
        <w:rPr>
          <w:b/>
          <w:color w:val="00B050"/>
        </w:rPr>
        <w:t>/</w:t>
      </w:r>
      <w:r w:rsidR="00517931" w:rsidRPr="00793BB3">
        <w:rPr>
          <w:b/>
          <w:color w:val="00B050"/>
        </w:rPr>
        <w:t xml:space="preserve">beneficiaries </w:t>
      </w:r>
      <w:r>
        <w:rPr>
          <w:b/>
          <w:color w:val="00B050"/>
        </w:rPr>
        <w:t xml:space="preserve">to information </w:t>
      </w:r>
      <w:r w:rsidR="00033BF2">
        <w:rPr>
          <w:b/>
          <w:color w:val="00B050"/>
        </w:rPr>
        <w:t>relevant for their interests</w:t>
      </w:r>
      <w:r w:rsidR="00756496">
        <w:rPr>
          <w:b/>
          <w:color w:val="00B050"/>
        </w:rPr>
        <w:t xml:space="preserve"> with a </w:t>
      </w:r>
      <w:r w:rsidR="003146FD">
        <w:rPr>
          <w:b/>
          <w:color w:val="00B050"/>
        </w:rPr>
        <w:t>target length of no more than</w:t>
      </w:r>
      <w:r w:rsidR="00033BF2">
        <w:rPr>
          <w:b/>
          <w:color w:val="00B050"/>
        </w:rPr>
        <w:t xml:space="preserve"> two </w:t>
      </w:r>
      <w:r w:rsidR="00033BF2" w:rsidRPr="00FD43D5">
        <w:rPr>
          <w:b/>
          <w:color w:val="00B050"/>
        </w:rPr>
        <w:t xml:space="preserve">pages. </w:t>
      </w:r>
    </w:p>
    <w:p w14:paraId="49F96E2E" w14:textId="6EB40BC7" w:rsidR="00517931" w:rsidRPr="00FD43D5" w:rsidRDefault="00033BF2" w:rsidP="00BC7F1E">
      <w:pPr>
        <w:pStyle w:val="Odsekzoznamu"/>
        <w:numPr>
          <w:ilvl w:val="0"/>
          <w:numId w:val="13"/>
        </w:numPr>
        <w:rPr>
          <w:b/>
          <w:color w:val="00B050"/>
        </w:rPr>
      </w:pPr>
      <w:r w:rsidRPr="00C74297">
        <w:rPr>
          <w:b/>
          <w:color w:val="00B050"/>
        </w:rPr>
        <w:t>Base the content of t</w:t>
      </w:r>
      <w:r w:rsidR="00517931" w:rsidRPr="00FD43D5">
        <w:rPr>
          <w:b/>
          <w:color w:val="00B050"/>
        </w:rPr>
        <w:t xml:space="preserve">he part of the SFCR for market professionals </w:t>
      </w:r>
      <w:r w:rsidRPr="00C74297">
        <w:rPr>
          <w:b/>
          <w:color w:val="00B050"/>
        </w:rPr>
        <w:t xml:space="preserve">primarily </w:t>
      </w:r>
      <w:r w:rsidR="00517931" w:rsidRPr="00FD43D5">
        <w:rPr>
          <w:b/>
          <w:color w:val="00B050"/>
        </w:rPr>
        <w:t xml:space="preserve">on quantitative data without the need for </w:t>
      </w:r>
      <w:r w:rsidRPr="00C74297">
        <w:rPr>
          <w:b/>
          <w:color w:val="00B050"/>
        </w:rPr>
        <w:t xml:space="preserve">an </w:t>
      </w:r>
      <w:r w:rsidR="00517931" w:rsidRPr="00FD43D5">
        <w:rPr>
          <w:b/>
          <w:color w:val="00B050"/>
        </w:rPr>
        <w:t>extensive narrative.</w:t>
      </w:r>
    </w:p>
    <w:p w14:paraId="66664DB8" w14:textId="7CE56CFA" w:rsidR="00F6754E" w:rsidRDefault="00741776" w:rsidP="00F6754E">
      <w:pPr>
        <w:jc w:val="both"/>
      </w:pPr>
      <w:r w:rsidRPr="00741776">
        <w:t xml:space="preserve">In addition, </w:t>
      </w:r>
      <w:r w:rsidR="006E4072">
        <w:t xml:space="preserve">the </w:t>
      </w:r>
      <w:r w:rsidR="009D35CB">
        <w:t xml:space="preserve">industry welcomes the </w:t>
      </w:r>
      <w:r w:rsidR="002D2312">
        <w:t>obligation</w:t>
      </w:r>
      <w:r w:rsidR="009D35CB">
        <w:t xml:space="preserve"> to </w:t>
      </w:r>
      <w:r w:rsidR="00064D3A">
        <w:t>consider</w:t>
      </w:r>
      <w:r w:rsidR="00743FD8">
        <w:t xml:space="preserve"> the principle of proportionality regarding information to submit to </w:t>
      </w:r>
      <w:r w:rsidR="00B46805">
        <w:t>NSAs</w:t>
      </w:r>
      <w:r w:rsidR="0011065F">
        <w:t xml:space="preserve">. </w:t>
      </w:r>
      <w:r w:rsidR="007F2726">
        <w:t xml:space="preserve">Given the </w:t>
      </w:r>
      <w:r w:rsidR="00064D3A">
        <w:t xml:space="preserve">substantial </w:t>
      </w:r>
      <w:r w:rsidR="007F2726">
        <w:t xml:space="preserve">efforts </w:t>
      </w:r>
      <w:r w:rsidR="00064D3A">
        <w:t>required</w:t>
      </w:r>
      <w:r w:rsidR="007F2726">
        <w:t xml:space="preserve"> to prepare the SFCR and </w:t>
      </w:r>
      <w:r w:rsidR="00121A4A">
        <w:t>the limited publ</w:t>
      </w:r>
      <w:r w:rsidR="00521960">
        <w:t xml:space="preserve">ic interest </w:t>
      </w:r>
      <w:r w:rsidR="0050327D">
        <w:t>it attracts,</w:t>
      </w:r>
      <w:r w:rsidR="00521960">
        <w:t xml:space="preserve"> </w:t>
      </w:r>
      <w:r w:rsidR="00D21040">
        <w:t xml:space="preserve">it </w:t>
      </w:r>
      <w:r w:rsidR="0081392F">
        <w:t xml:space="preserve">is essential </w:t>
      </w:r>
      <w:r w:rsidR="0050327D">
        <w:t xml:space="preserve">not to impose </w:t>
      </w:r>
      <w:r w:rsidR="004C5432">
        <w:t>further restrictions</w:t>
      </w:r>
      <w:r w:rsidR="0032730D">
        <w:t xml:space="preserve"> on</w:t>
      </w:r>
      <w:r w:rsidR="00D21040">
        <w:t xml:space="preserve"> the exceptions </w:t>
      </w:r>
      <w:r w:rsidR="0032730D">
        <w:t>outlined</w:t>
      </w:r>
      <w:r w:rsidR="00D21040">
        <w:t xml:space="preserve"> for SNCUs in the </w:t>
      </w:r>
      <w:r w:rsidR="00D93F5B">
        <w:t>D</w:t>
      </w:r>
      <w:r w:rsidR="00D21040">
        <w:t xml:space="preserve">irective. </w:t>
      </w:r>
      <w:r w:rsidR="00F6754E" w:rsidRPr="00F6754E">
        <w:t>Furthermore, it is deemed appropriate to reassess the utili</w:t>
      </w:r>
      <w:r w:rsidR="00D93F5B">
        <w:t>s</w:t>
      </w:r>
      <w:r w:rsidR="00F6754E" w:rsidRPr="00F6754E">
        <w:t xml:space="preserve">ation and significance of the SFCR for </w:t>
      </w:r>
      <w:r w:rsidR="00D4573D">
        <w:t xml:space="preserve">its </w:t>
      </w:r>
      <w:r w:rsidR="00927BD6">
        <w:t xml:space="preserve">intended </w:t>
      </w:r>
      <w:r w:rsidR="00F6754E" w:rsidRPr="00F6754E">
        <w:t>recipients within three years of implementation. If its usage and relevance are found to be limited, it should be narrowed down to key indicators or completely abolished.</w:t>
      </w:r>
    </w:p>
    <w:p w14:paraId="0104BB99" w14:textId="7DC080A7" w:rsidR="00517931" w:rsidRDefault="00517931" w:rsidP="00F6754E">
      <w:pPr>
        <w:jc w:val="both"/>
        <w:rPr>
          <w:b/>
          <w:color w:val="00B050"/>
        </w:rPr>
      </w:pPr>
      <w:r w:rsidRPr="0066033A">
        <w:rPr>
          <w:b/>
          <w:bCs/>
          <w:color w:val="00B050"/>
        </w:rPr>
        <w:t xml:space="preserve">DO: Envisaged exceptions in the amended directive </w:t>
      </w:r>
      <w:r w:rsidR="00741776">
        <w:rPr>
          <w:b/>
          <w:bCs/>
          <w:color w:val="00B050"/>
        </w:rPr>
        <w:t xml:space="preserve">for </w:t>
      </w:r>
      <w:r w:rsidR="0066033A" w:rsidRPr="00C74297">
        <w:rPr>
          <w:b/>
          <w:bCs/>
          <w:color w:val="00B050"/>
        </w:rPr>
        <w:t>SNCUs</w:t>
      </w:r>
      <w:r w:rsidRPr="0066033A">
        <w:rPr>
          <w:b/>
          <w:bCs/>
          <w:color w:val="00B050"/>
        </w:rPr>
        <w:t xml:space="preserve"> should apply without any </w:t>
      </w:r>
      <w:r w:rsidR="0066033A" w:rsidRPr="00C74297">
        <w:rPr>
          <w:b/>
          <w:bCs/>
          <w:color w:val="00B050"/>
        </w:rPr>
        <w:t xml:space="preserve">further </w:t>
      </w:r>
      <w:r w:rsidRPr="0066033A">
        <w:rPr>
          <w:b/>
          <w:bCs/>
          <w:color w:val="00B050"/>
        </w:rPr>
        <w:t>restrictions.</w:t>
      </w:r>
    </w:p>
    <w:p w14:paraId="2D9D8ABD" w14:textId="2EC2527C" w:rsidR="00517931" w:rsidRDefault="00517931" w:rsidP="00C74297">
      <w:pPr>
        <w:jc w:val="both"/>
        <w:rPr>
          <w:b/>
          <w:bCs/>
          <w:color w:val="00B050"/>
        </w:rPr>
      </w:pPr>
      <w:r>
        <w:rPr>
          <w:b/>
          <w:bCs/>
          <w:color w:val="00B050"/>
        </w:rPr>
        <w:t xml:space="preserve">DO: </w:t>
      </w:r>
      <w:r w:rsidR="009C6D5D">
        <w:rPr>
          <w:b/>
          <w:bCs/>
          <w:color w:val="00B050"/>
        </w:rPr>
        <w:t>Assess the SFCR’s</w:t>
      </w:r>
      <w:r w:rsidR="00C43725">
        <w:rPr>
          <w:b/>
          <w:bCs/>
          <w:color w:val="00B050"/>
        </w:rPr>
        <w:t xml:space="preserve"> usage</w:t>
      </w:r>
      <w:r>
        <w:rPr>
          <w:b/>
          <w:bCs/>
          <w:color w:val="00B050"/>
        </w:rPr>
        <w:t xml:space="preserve"> </w:t>
      </w:r>
      <w:r w:rsidR="003332CD">
        <w:rPr>
          <w:b/>
          <w:bCs/>
          <w:color w:val="00B050"/>
        </w:rPr>
        <w:t xml:space="preserve">and relevance </w:t>
      </w:r>
      <w:r w:rsidR="009C6D5D">
        <w:rPr>
          <w:b/>
          <w:bCs/>
          <w:color w:val="00B050"/>
        </w:rPr>
        <w:t>for</w:t>
      </w:r>
      <w:r w:rsidR="003332CD">
        <w:rPr>
          <w:b/>
          <w:bCs/>
          <w:color w:val="00B050"/>
        </w:rPr>
        <w:t xml:space="preserve"> recipients</w:t>
      </w:r>
      <w:r w:rsidR="00B37428">
        <w:rPr>
          <w:b/>
          <w:bCs/>
          <w:color w:val="00B050"/>
        </w:rPr>
        <w:t xml:space="preserve"> within three years of implementing</w:t>
      </w:r>
      <w:r w:rsidR="003332CD">
        <w:rPr>
          <w:b/>
          <w:bCs/>
          <w:color w:val="00B050"/>
        </w:rPr>
        <w:t xml:space="preserve">. </w:t>
      </w:r>
      <w:r>
        <w:rPr>
          <w:b/>
          <w:bCs/>
          <w:color w:val="00B050"/>
        </w:rPr>
        <w:t>In case of limited usage and/or relevance</w:t>
      </w:r>
      <w:r w:rsidR="003332CD">
        <w:rPr>
          <w:b/>
          <w:bCs/>
          <w:color w:val="00B050"/>
        </w:rPr>
        <w:t>,</w:t>
      </w:r>
      <w:r>
        <w:rPr>
          <w:b/>
          <w:bCs/>
          <w:color w:val="00B050"/>
        </w:rPr>
        <w:t xml:space="preserve"> </w:t>
      </w:r>
      <w:r w:rsidR="00295982" w:rsidRPr="00295982">
        <w:rPr>
          <w:b/>
          <w:bCs/>
          <w:color w:val="00B050"/>
        </w:rPr>
        <w:t>consider limiting it to key indicators or abolishing it.</w:t>
      </w:r>
    </w:p>
    <w:p w14:paraId="0FE04A4F" w14:textId="2C8A3BD7" w:rsidR="00517931" w:rsidRPr="004C5747" w:rsidRDefault="00517931" w:rsidP="00517931">
      <w:pPr>
        <w:pStyle w:val="Nadpis3"/>
        <w:rPr>
          <w:b/>
          <w:bCs/>
          <w:lang w:val="en-GB"/>
        </w:rPr>
      </w:pPr>
      <w:bookmarkStart w:id="12" w:name="_Toc161148836"/>
      <w:bookmarkStart w:id="13" w:name="_Toc161655022"/>
      <w:r w:rsidRPr="004C5747">
        <w:rPr>
          <w:b/>
          <w:bCs/>
          <w:lang w:val="en-GB"/>
        </w:rPr>
        <w:t>Appropriate implementation of the RSR</w:t>
      </w:r>
      <w:bookmarkEnd w:id="12"/>
      <w:bookmarkEnd w:id="13"/>
      <w:r w:rsidRPr="004C5747">
        <w:rPr>
          <w:b/>
          <w:bCs/>
          <w:lang w:val="en-GB"/>
        </w:rPr>
        <w:t xml:space="preserve"> </w:t>
      </w:r>
    </w:p>
    <w:p w14:paraId="2A8F68EB" w14:textId="3ACAE0EF" w:rsidR="00517931" w:rsidRPr="004C5747" w:rsidRDefault="00B02171" w:rsidP="00C74297">
      <w:pPr>
        <w:jc w:val="both"/>
      </w:pPr>
      <w:r>
        <w:t>The i</w:t>
      </w:r>
      <w:r w:rsidR="004E2E07">
        <w:t>ndustry</w:t>
      </w:r>
      <w:r w:rsidR="003332CD">
        <w:t xml:space="preserve"> </w:t>
      </w:r>
      <w:r w:rsidR="00517931" w:rsidRPr="004C5747">
        <w:t>welcome</w:t>
      </w:r>
      <w:r w:rsidR="004E2E07">
        <w:t>s</w:t>
      </w:r>
      <w:r w:rsidR="00517931" w:rsidRPr="004C5747">
        <w:t xml:space="preserve"> the introduction of a Single Regu</w:t>
      </w:r>
      <w:r w:rsidR="00AC146E">
        <w:t>lar</w:t>
      </w:r>
      <w:r w:rsidR="00517931" w:rsidRPr="004C5747">
        <w:t xml:space="preserve"> Supervisory Report (RSR) for groups. According to Art. 256b</w:t>
      </w:r>
      <w:r w:rsidR="001B3FE5">
        <w:t>(6)</w:t>
      </w:r>
      <w:r w:rsidR="00517931" w:rsidRPr="004C5747">
        <w:t xml:space="preserve"> of the amended </w:t>
      </w:r>
      <w:r w:rsidR="00957E87">
        <w:t>D</w:t>
      </w:r>
      <w:r w:rsidR="00517931" w:rsidRPr="004C5747">
        <w:t xml:space="preserve">irective, </w:t>
      </w:r>
      <w:r w:rsidR="00AE6DFA">
        <w:t>DA</w:t>
      </w:r>
      <w:r w:rsidR="00517931" w:rsidRPr="004C5747">
        <w:t xml:space="preserve"> shall further specify the information which </w:t>
      </w:r>
      <w:r w:rsidR="00AE6DFA">
        <w:t>is to</w:t>
      </w:r>
      <w:r w:rsidR="00517931" w:rsidRPr="004C5747">
        <w:t xml:space="preserve"> be reported in the Single </w:t>
      </w:r>
      <w:r w:rsidR="00A91A53">
        <w:t>RSR</w:t>
      </w:r>
      <w:r w:rsidR="00517931" w:rsidRPr="004C5747">
        <w:t xml:space="preserve">. It needs to be ensured that the Single RSR is designed in a practicable manner. </w:t>
      </w:r>
      <w:r w:rsidR="00517931">
        <w:t>Besides this i</w:t>
      </w:r>
      <w:r w:rsidR="00517931" w:rsidRPr="004C5747">
        <w:t>t is necessary to reduce the content of the RSR</w:t>
      </w:r>
      <w:r w:rsidR="008E567B">
        <w:t>, this includes the</w:t>
      </w:r>
      <w:r w:rsidR="00517931">
        <w:t xml:space="preserve"> single RSR as well as group</w:t>
      </w:r>
      <w:r w:rsidR="008E567B">
        <w:t xml:space="preserve"> and solo</w:t>
      </w:r>
      <w:r w:rsidR="00517931">
        <w:t xml:space="preserve"> RSR. </w:t>
      </w:r>
      <w:r w:rsidR="00CE24CF">
        <w:t xml:space="preserve">In </w:t>
      </w:r>
      <w:r w:rsidR="0049200E">
        <w:t>particular, overlaps</w:t>
      </w:r>
      <w:r w:rsidR="00517931">
        <w:t xml:space="preserve"> to the ORSA report should be avoided.</w:t>
      </w:r>
    </w:p>
    <w:p w14:paraId="522EA376" w14:textId="77777777" w:rsidR="002069BE" w:rsidRPr="00C74297" w:rsidRDefault="00517931" w:rsidP="00517931">
      <w:pPr>
        <w:pStyle w:val="Nadpis3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bookmarkStart w:id="14" w:name="_Toc161148837"/>
      <w:bookmarkStart w:id="15" w:name="_Toc161655023"/>
      <w:r w:rsidRPr="00C74297">
        <w:rPr>
          <w:rFonts w:asciiTheme="minorHAnsi" w:hAnsiTheme="minorHAnsi" w:cstheme="minorHAnsi"/>
          <w:b/>
          <w:bCs/>
          <w:color w:val="00B050"/>
          <w:sz w:val="22"/>
          <w:szCs w:val="22"/>
        </w:rPr>
        <w:lastRenderedPageBreak/>
        <w:t>DO: Minimise the RSR reporting burden by streamlining requirements in the Level 2.</w:t>
      </w:r>
      <w:bookmarkEnd w:id="14"/>
      <w:bookmarkEnd w:id="15"/>
      <w:r w:rsidRPr="00C74297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 </w:t>
      </w:r>
      <w:bookmarkStart w:id="16" w:name="_Toc161148838"/>
    </w:p>
    <w:p w14:paraId="6C916641" w14:textId="77777777" w:rsidR="002069BE" w:rsidRDefault="002069BE" w:rsidP="00517931">
      <w:pPr>
        <w:pStyle w:val="Nadpis3"/>
        <w:rPr>
          <w:b/>
          <w:bCs/>
          <w:color w:val="00B050"/>
        </w:rPr>
      </w:pPr>
    </w:p>
    <w:p w14:paraId="47BBB219" w14:textId="7C6403E9" w:rsidR="00517931" w:rsidRPr="004C5747" w:rsidRDefault="00C16AAE" w:rsidP="00DB6112">
      <w:pPr>
        <w:pStyle w:val="Nadpis3"/>
        <w:rPr>
          <w:b/>
          <w:bCs/>
          <w:lang w:val="en-GB"/>
        </w:rPr>
      </w:pPr>
      <w:bookmarkStart w:id="17" w:name="_Toc161148839"/>
      <w:bookmarkStart w:id="18" w:name="_Toc161655024"/>
      <w:bookmarkEnd w:id="16"/>
      <w:r>
        <w:rPr>
          <w:b/>
          <w:bCs/>
          <w:lang w:val="en-GB"/>
        </w:rPr>
        <w:t>Development and r</w:t>
      </w:r>
      <w:r w:rsidR="00517931" w:rsidRPr="004C5747">
        <w:rPr>
          <w:b/>
          <w:bCs/>
          <w:lang w:val="en-GB"/>
        </w:rPr>
        <w:t xml:space="preserve">evision of </w:t>
      </w:r>
      <w:r w:rsidR="00473FA7">
        <w:rPr>
          <w:b/>
          <w:bCs/>
          <w:lang w:val="en-GB"/>
        </w:rPr>
        <w:t xml:space="preserve">the </w:t>
      </w:r>
      <w:r w:rsidR="00517931" w:rsidRPr="004C5747">
        <w:rPr>
          <w:b/>
          <w:bCs/>
          <w:lang w:val="en-GB"/>
        </w:rPr>
        <w:t>ITS on reporting and disclosure</w:t>
      </w:r>
      <w:bookmarkEnd w:id="17"/>
      <w:bookmarkEnd w:id="18"/>
    </w:p>
    <w:p w14:paraId="2EA59B01" w14:textId="432D37E2" w:rsidR="00DB6112" w:rsidRPr="00EA215C" w:rsidRDefault="00CC0B7C" w:rsidP="009E4761">
      <w:pPr>
        <w:jc w:val="both"/>
      </w:pPr>
      <w:r>
        <w:t>Following</w:t>
      </w:r>
      <w:r w:rsidR="00517931" w:rsidRPr="00EA215C">
        <w:t xml:space="preserve"> the amendments to the Solvency II Directive and the Delegated Regulation there will be a revision of the </w:t>
      </w:r>
      <w:r w:rsidR="003B4EF1">
        <w:t>implementing technical standard (</w:t>
      </w:r>
      <w:r w:rsidR="00517931" w:rsidRPr="00EA215C">
        <w:t>ITS</w:t>
      </w:r>
      <w:r w:rsidR="003B4EF1">
        <w:t>)</w:t>
      </w:r>
      <w:r w:rsidR="00517931" w:rsidRPr="00EA215C">
        <w:t xml:space="preserve"> on reporting and disclosure. </w:t>
      </w:r>
      <w:r w:rsidR="003B4EF1">
        <w:t>T</w:t>
      </w:r>
      <w:r w:rsidR="00517931" w:rsidRPr="00EA215C">
        <w:t xml:space="preserve">his revision </w:t>
      </w:r>
      <w:r w:rsidR="003B4EF1">
        <w:t xml:space="preserve">should not </w:t>
      </w:r>
      <w:r w:rsidR="00517931" w:rsidRPr="00EA215C">
        <w:t>introduce new QRT</w:t>
      </w:r>
      <w:r w:rsidR="00F2466C">
        <w:t>s</w:t>
      </w:r>
      <w:r w:rsidR="00517931" w:rsidRPr="00EA215C">
        <w:t xml:space="preserve"> and </w:t>
      </w:r>
      <w:r w:rsidR="00B24E4A">
        <w:t>it should not</w:t>
      </w:r>
      <w:r w:rsidR="00517931" w:rsidRPr="00EA215C">
        <w:t xml:space="preserve"> increase the reporting burden without clear supervisory need.</w:t>
      </w:r>
    </w:p>
    <w:p w14:paraId="71C4B568" w14:textId="27077D3F" w:rsidR="00CE5F21" w:rsidRDefault="00517931" w:rsidP="004A3B7F">
      <w:pPr>
        <w:rPr>
          <w:b/>
          <w:bCs/>
          <w:color w:val="FF0000"/>
        </w:rPr>
      </w:pPr>
      <w:r w:rsidRPr="00EA215C">
        <w:rPr>
          <w:b/>
          <w:bCs/>
          <w:color w:val="FF0000"/>
        </w:rPr>
        <w:t xml:space="preserve">DON’T: </w:t>
      </w:r>
      <w:r w:rsidR="005504C1">
        <w:rPr>
          <w:b/>
          <w:bCs/>
          <w:color w:val="FF0000"/>
        </w:rPr>
        <w:t>Introduce</w:t>
      </w:r>
      <w:r w:rsidRPr="00EA215C">
        <w:rPr>
          <w:b/>
          <w:bCs/>
          <w:color w:val="FF0000"/>
        </w:rPr>
        <w:t xml:space="preserve"> new QRTs without clear supervisory need. Equally, the ITS should not be expanded by other regulations, such as securities holdings statistics.</w:t>
      </w:r>
    </w:p>
    <w:p w14:paraId="057428B0" w14:textId="4DAFB77A" w:rsidR="00786099" w:rsidRDefault="00C16AAE" w:rsidP="00786099">
      <w:pPr>
        <w:jc w:val="both"/>
      </w:pPr>
      <w:r w:rsidRPr="000E55C0">
        <w:t xml:space="preserve">Additionally, </w:t>
      </w:r>
      <w:r w:rsidR="00B204B9" w:rsidRPr="000E55C0">
        <w:t xml:space="preserve">EIOPA is tasked to develop an </w:t>
      </w:r>
      <w:r w:rsidR="003261BC">
        <w:t>‘</w:t>
      </w:r>
      <w:r w:rsidR="00B204B9" w:rsidRPr="000E55C0">
        <w:t>ITS on RSR reporting templates, including risk-based thresholds and other exemptions</w:t>
      </w:r>
      <w:r w:rsidR="003261BC">
        <w:t>’</w:t>
      </w:r>
      <w:r w:rsidR="00B204B9" w:rsidRPr="000E55C0">
        <w:t xml:space="preserve">. The ITS should also propose </w:t>
      </w:r>
      <w:r w:rsidR="003261BC">
        <w:t>‘</w:t>
      </w:r>
      <w:r w:rsidR="00B204B9" w:rsidRPr="000E55C0">
        <w:t xml:space="preserve">IT solutions, including </w:t>
      </w:r>
      <w:r w:rsidR="00784F4B">
        <w:t xml:space="preserve">for </w:t>
      </w:r>
      <w:r w:rsidR="00B204B9" w:rsidRPr="000E55C0">
        <w:t>reporting templates and instructions for reporting</w:t>
      </w:r>
      <w:r w:rsidR="003261BC">
        <w:t>’</w:t>
      </w:r>
      <w:r w:rsidR="00D8766B">
        <w:t xml:space="preserve"> (Dir Art 35(10))</w:t>
      </w:r>
      <w:r w:rsidR="00B204B9" w:rsidRPr="000E55C0">
        <w:t>.</w:t>
      </w:r>
      <w:r w:rsidR="00DB5325">
        <w:t xml:space="preserve"> </w:t>
      </w:r>
      <w:r w:rsidR="000E338F">
        <w:t>The industry highlights the</w:t>
      </w:r>
      <w:r w:rsidR="004C1D8A">
        <w:t xml:space="preserve"> </w:t>
      </w:r>
      <w:r w:rsidR="004C1D8A" w:rsidRPr="000E55C0">
        <w:rPr>
          <w:b/>
          <w:bCs/>
        </w:rPr>
        <w:t xml:space="preserve">ITS </w:t>
      </w:r>
      <w:r w:rsidR="0019627C">
        <w:rPr>
          <w:b/>
          <w:bCs/>
        </w:rPr>
        <w:t xml:space="preserve">should </w:t>
      </w:r>
      <w:r w:rsidR="004C1D8A" w:rsidRPr="000E55C0">
        <w:rPr>
          <w:b/>
          <w:bCs/>
        </w:rPr>
        <w:t xml:space="preserve">be used </w:t>
      </w:r>
      <w:r w:rsidR="0019627C">
        <w:rPr>
          <w:b/>
          <w:bCs/>
        </w:rPr>
        <w:t xml:space="preserve">as an opportunity </w:t>
      </w:r>
      <w:r w:rsidR="004C1D8A" w:rsidRPr="000E55C0">
        <w:rPr>
          <w:b/>
          <w:bCs/>
        </w:rPr>
        <w:t>to address the</w:t>
      </w:r>
      <w:r w:rsidR="000E338F">
        <w:t xml:space="preserve"> </w:t>
      </w:r>
      <w:r w:rsidR="000E338F" w:rsidRPr="00215F62">
        <w:rPr>
          <w:b/>
          <w:bCs/>
        </w:rPr>
        <w:t>numerous inconsistencies within the ITS and the related documents</w:t>
      </w:r>
      <w:r w:rsidR="000E338F" w:rsidRPr="006F1F96">
        <w:t xml:space="preserve"> such as the taxonomy, the templates and the template instructio</w:t>
      </w:r>
      <w:r w:rsidR="000E338F">
        <w:t>ns</w:t>
      </w:r>
      <w:r w:rsidR="004C1D8A">
        <w:t>.</w:t>
      </w:r>
      <w:r w:rsidR="00786099" w:rsidRPr="00786099">
        <w:t xml:space="preserve"> </w:t>
      </w:r>
    </w:p>
    <w:p w14:paraId="043E2C40" w14:textId="79AE5AD2" w:rsidR="00C16AAE" w:rsidRDefault="00786099" w:rsidP="000E55C0">
      <w:pPr>
        <w:jc w:val="both"/>
      </w:pPr>
      <w:r>
        <w:t xml:space="preserve">It is equally important that </w:t>
      </w:r>
      <w:r w:rsidRPr="000E55C0">
        <w:rPr>
          <w:b/>
          <w:bCs/>
        </w:rPr>
        <w:t xml:space="preserve">EIOPA makes use </w:t>
      </w:r>
      <w:r w:rsidR="008C2021" w:rsidRPr="000E55C0">
        <w:rPr>
          <w:b/>
          <w:bCs/>
        </w:rPr>
        <w:t xml:space="preserve">to a maximum extent </w:t>
      </w:r>
      <w:r w:rsidRPr="000E55C0">
        <w:rPr>
          <w:b/>
          <w:bCs/>
        </w:rPr>
        <w:t>of the ‘</w:t>
      </w:r>
      <w:r w:rsidR="008204A9" w:rsidRPr="000E55C0">
        <w:rPr>
          <w:b/>
          <w:bCs/>
        </w:rPr>
        <w:t xml:space="preserve">joint ESAs </w:t>
      </w:r>
      <w:r w:rsidRPr="000E55C0">
        <w:rPr>
          <w:b/>
          <w:bCs/>
        </w:rPr>
        <w:t>report on potential measures to develop an integrated data collection</w:t>
      </w:r>
      <w:r w:rsidRPr="002B0F22">
        <w:t xml:space="preserve"> to reduce duplication/inconsistencies </w:t>
      </w:r>
      <w:r w:rsidR="00AE4566">
        <w:t>between financial</w:t>
      </w:r>
      <w:r w:rsidR="00D9595D">
        <w:t xml:space="preserve"> frameworks </w:t>
      </w:r>
      <w:r w:rsidRPr="002B0F22">
        <w:t xml:space="preserve">and to improve data </w:t>
      </w:r>
      <w:r w:rsidR="00D9595D">
        <w:t>standardization/efficient sharing/</w:t>
      </w:r>
      <w:r w:rsidR="00C33B9F">
        <w:t>data usage</w:t>
      </w:r>
      <w:r>
        <w:t xml:space="preserve">’ it has to prepare </w:t>
      </w:r>
      <w:r w:rsidR="00531C40">
        <w:t xml:space="preserve">(Dir Art 35 (12)) </w:t>
      </w:r>
      <w:r w:rsidRPr="000E55C0">
        <w:rPr>
          <w:b/>
          <w:bCs/>
        </w:rPr>
        <w:t xml:space="preserve">to </w:t>
      </w:r>
      <w:r w:rsidR="008C2021" w:rsidRPr="000E55C0">
        <w:rPr>
          <w:b/>
          <w:bCs/>
        </w:rPr>
        <w:t xml:space="preserve">further reduce the reporting requirements </w:t>
      </w:r>
      <w:r w:rsidR="00C33B9F" w:rsidRPr="000E55C0">
        <w:rPr>
          <w:b/>
          <w:bCs/>
        </w:rPr>
        <w:t xml:space="preserve">and as such also the burden </w:t>
      </w:r>
      <w:r w:rsidR="004B5F62" w:rsidRPr="000E55C0">
        <w:rPr>
          <w:b/>
          <w:bCs/>
        </w:rPr>
        <w:t xml:space="preserve">for </w:t>
      </w:r>
      <w:r w:rsidR="00C33B9F" w:rsidRPr="000E55C0">
        <w:rPr>
          <w:b/>
          <w:bCs/>
        </w:rPr>
        <w:t xml:space="preserve">insurance </w:t>
      </w:r>
      <w:r w:rsidR="004B5F62" w:rsidRPr="000E55C0">
        <w:rPr>
          <w:b/>
          <w:bCs/>
        </w:rPr>
        <w:t>undertakings</w:t>
      </w:r>
      <w:r w:rsidR="004B5F62">
        <w:t xml:space="preserve">. </w:t>
      </w:r>
    </w:p>
    <w:p w14:paraId="4A0C7337" w14:textId="77777777" w:rsidR="00484EAF" w:rsidRDefault="00B204B9" w:rsidP="00B204B9">
      <w:pPr>
        <w:pStyle w:val="Nadpis3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C74297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DO: Minimise the </w:t>
      </w:r>
      <w:r>
        <w:rPr>
          <w:rFonts w:asciiTheme="minorHAnsi" w:hAnsiTheme="minorHAnsi" w:cstheme="minorHAnsi"/>
          <w:b/>
          <w:bCs/>
          <w:color w:val="00B050"/>
          <w:sz w:val="22"/>
          <w:szCs w:val="22"/>
        </w:rPr>
        <w:t>reporting burden by</w:t>
      </w:r>
      <w:r w:rsidR="00484EAF">
        <w:rPr>
          <w:rFonts w:asciiTheme="minorHAnsi" w:hAnsiTheme="minorHAnsi" w:cstheme="minorHAnsi"/>
          <w:b/>
          <w:bCs/>
          <w:color w:val="00B050"/>
          <w:sz w:val="22"/>
          <w:szCs w:val="22"/>
        </w:rPr>
        <w:t>:</w:t>
      </w:r>
    </w:p>
    <w:p w14:paraId="64ED5DF3" w14:textId="5FCB53A9" w:rsidR="00484EAF" w:rsidRDefault="00E019C9" w:rsidP="00484EAF">
      <w:pPr>
        <w:pStyle w:val="Nadpis3"/>
        <w:numPr>
          <w:ilvl w:val="0"/>
          <w:numId w:val="24"/>
        </w:numPr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introducing simple and sufficiently high </w:t>
      </w:r>
      <w:r w:rsidR="001604DB">
        <w:rPr>
          <w:rFonts w:asciiTheme="minorHAnsi" w:hAnsiTheme="minorHAnsi" w:cstheme="minorHAnsi"/>
          <w:b/>
          <w:bCs/>
          <w:color w:val="00B050"/>
          <w:sz w:val="22"/>
          <w:szCs w:val="22"/>
        </w:rPr>
        <w:t>thresholds and exemptions</w:t>
      </w:r>
      <w:r w:rsidR="00484EAF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. </w:t>
      </w:r>
    </w:p>
    <w:p w14:paraId="18CBA72D" w14:textId="77777777" w:rsidR="004C1D8A" w:rsidRPr="000E55C0" w:rsidRDefault="00484EAF" w:rsidP="00484EAF">
      <w:pPr>
        <w:pStyle w:val="Nadpis3"/>
        <w:numPr>
          <w:ilvl w:val="0"/>
          <w:numId w:val="24"/>
        </w:numPr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B050"/>
          <w:sz w:val="22"/>
          <w:szCs w:val="22"/>
        </w:rPr>
        <w:t>Proposing feasible IT sol</w:t>
      </w:r>
      <w:r w:rsidR="007520A7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utions </w:t>
      </w:r>
      <w:r w:rsidR="0037419A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when it comes to reporting templates, </w:t>
      </w:r>
      <w:r w:rsidR="006840BF">
        <w:rPr>
          <w:rFonts w:asciiTheme="minorHAnsi" w:hAnsiTheme="minorHAnsi" w:cstheme="minorHAnsi"/>
          <w:b/>
          <w:bCs/>
          <w:color w:val="00B050"/>
          <w:sz w:val="22"/>
          <w:szCs w:val="22"/>
        </w:rPr>
        <w:t>including</w:t>
      </w:r>
      <w:r w:rsidR="00540EC4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 a focus on clear reporting instructions</w:t>
      </w:r>
      <w:r w:rsidR="004C1D8A" w:rsidRPr="004C1D8A">
        <w:rPr>
          <w:b/>
          <w:bCs/>
          <w:color w:val="00B050"/>
        </w:rPr>
        <w:t xml:space="preserve"> </w:t>
      </w:r>
    </w:p>
    <w:p w14:paraId="499941E5" w14:textId="4373B6E9" w:rsidR="00530722" w:rsidRPr="000E55C0" w:rsidRDefault="00C33B9F" w:rsidP="00484EAF">
      <w:pPr>
        <w:pStyle w:val="Nadpis3"/>
        <w:numPr>
          <w:ilvl w:val="0"/>
          <w:numId w:val="24"/>
        </w:numPr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>
        <w:rPr>
          <w:b/>
          <w:bCs/>
          <w:color w:val="00B050"/>
        </w:rPr>
        <w:t>Using the mandates provided in the Directive</w:t>
      </w:r>
      <w:r w:rsidR="000751B4">
        <w:rPr>
          <w:b/>
          <w:bCs/>
          <w:color w:val="00B050"/>
        </w:rPr>
        <w:t xml:space="preserve">, including the ITS on RSR reporting templates and the </w:t>
      </w:r>
      <w:r w:rsidR="008204A9">
        <w:rPr>
          <w:b/>
          <w:bCs/>
          <w:color w:val="00B050"/>
        </w:rPr>
        <w:t xml:space="preserve">joint ESAs </w:t>
      </w:r>
      <w:r w:rsidR="000751B4">
        <w:rPr>
          <w:b/>
          <w:bCs/>
          <w:color w:val="00B050"/>
        </w:rPr>
        <w:t xml:space="preserve">report on potential measures </w:t>
      </w:r>
      <w:r w:rsidR="008204A9" w:rsidRPr="008204A9">
        <w:rPr>
          <w:b/>
          <w:bCs/>
          <w:color w:val="00B050"/>
        </w:rPr>
        <w:t>to develop an integrated data collection</w:t>
      </w:r>
      <w:r w:rsidR="008204A9">
        <w:rPr>
          <w:b/>
          <w:bCs/>
          <w:color w:val="00B050"/>
        </w:rPr>
        <w:t>.</w:t>
      </w:r>
      <w:r w:rsidR="00530722">
        <w:rPr>
          <w:b/>
          <w:bCs/>
          <w:color w:val="00B050"/>
        </w:rPr>
        <w:t xml:space="preserve"> </w:t>
      </w:r>
      <w:r>
        <w:rPr>
          <w:b/>
          <w:bCs/>
          <w:color w:val="00B050"/>
        </w:rPr>
        <w:t xml:space="preserve"> </w:t>
      </w:r>
    </w:p>
    <w:p w14:paraId="4CFDBE55" w14:textId="2EB7C89C" w:rsidR="00B204B9" w:rsidRPr="00C74297" w:rsidRDefault="00530722" w:rsidP="000E55C0">
      <w:pPr>
        <w:pStyle w:val="Nadpis3"/>
        <w:numPr>
          <w:ilvl w:val="0"/>
          <w:numId w:val="24"/>
        </w:numPr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>
        <w:rPr>
          <w:b/>
          <w:bCs/>
          <w:color w:val="00B050"/>
        </w:rPr>
        <w:t>S</w:t>
      </w:r>
      <w:r w:rsidR="004C1D8A">
        <w:rPr>
          <w:b/>
          <w:bCs/>
          <w:color w:val="00B050"/>
        </w:rPr>
        <w:t>wiftly address</w:t>
      </w:r>
      <w:r>
        <w:rPr>
          <w:b/>
          <w:bCs/>
          <w:color w:val="00B050"/>
        </w:rPr>
        <w:t>ing</w:t>
      </w:r>
      <w:r w:rsidR="004C1D8A">
        <w:rPr>
          <w:b/>
          <w:bCs/>
          <w:color w:val="00B050"/>
        </w:rPr>
        <w:t xml:space="preserve"> the inconsistencies between the ITS on reporting and disclosure and the templates, related instructions and taxonomy.</w:t>
      </w:r>
    </w:p>
    <w:p w14:paraId="30062CB8" w14:textId="77777777" w:rsidR="00B204B9" w:rsidRDefault="00B204B9" w:rsidP="004A3B7F"/>
    <w:p w14:paraId="623FB74C" w14:textId="5A3B7481" w:rsidR="009B3753" w:rsidRDefault="009B3753" w:rsidP="00EC7C7E">
      <w:pPr>
        <w:jc w:val="both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  <w:lang w:val="en-GB"/>
        </w:rPr>
      </w:pPr>
      <w:r w:rsidRPr="009B3753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  <w:lang w:val="en-GB"/>
        </w:rPr>
        <w:t xml:space="preserve">Addressing inconsistencies in timelines </w:t>
      </w:r>
    </w:p>
    <w:p w14:paraId="53BCA34C" w14:textId="6F801A82" w:rsidR="004A3B7F" w:rsidRPr="004A3B7F" w:rsidRDefault="003C432B" w:rsidP="00EC7C7E">
      <w:pPr>
        <w:jc w:val="both"/>
      </w:pPr>
      <w:r>
        <w:t xml:space="preserve">While the </w:t>
      </w:r>
      <w:r w:rsidR="00464586">
        <w:t>extend</w:t>
      </w:r>
      <w:r w:rsidR="004A3B7F" w:rsidRPr="004A3B7F">
        <w:t>ed timelines for annual reporting</w:t>
      </w:r>
      <w:r w:rsidR="00CF2376">
        <w:t>, introduced to accommodate the additional external audit requirement for the balance sheet,</w:t>
      </w:r>
      <w:r>
        <w:t xml:space="preserve"> are welcomed, </w:t>
      </w:r>
      <w:r w:rsidR="004A3B7F" w:rsidRPr="004A3B7F">
        <w:t xml:space="preserve">it </w:t>
      </w:r>
      <w:r w:rsidR="00464586">
        <w:t xml:space="preserve">is essential to </w:t>
      </w:r>
      <w:r w:rsidR="00464586" w:rsidRPr="00D30A7F">
        <w:rPr>
          <w:b/>
          <w:bCs/>
        </w:rPr>
        <w:t xml:space="preserve">ensure </w:t>
      </w:r>
      <w:r w:rsidR="00EC7C7E" w:rsidRPr="00D30A7F">
        <w:rPr>
          <w:b/>
          <w:bCs/>
        </w:rPr>
        <w:t>harmoni</w:t>
      </w:r>
      <w:r w:rsidR="006E6F6F" w:rsidRPr="00D30A7F">
        <w:rPr>
          <w:b/>
          <w:bCs/>
        </w:rPr>
        <w:t>s</w:t>
      </w:r>
      <w:r w:rsidR="00EC7C7E" w:rsidRPr="00D30A7F">
        <w:rPr>
          <w:b/>
          <w:bCs/>
        </w:rPr>
        <w:t xml:space="preserve">ation with </w:t>
      </w:r>
      <w:r w:rsidR="004A3B7F" w:rsidRPr="00D30A7F">
        <w:rPr>
          <w:b/>
          <w:bCs/>
        </w:rPr>
        <w:t>the reporting deadlines for the ECB add-ons</w:t>
      </w:r>
      <w:r w:rsidR="00EC7C7E">
        <w:t>. Consequently,</w:t>
      </w:r>
      <w:r>
        <w:t xml:space="preserve"> </w:t>
      </w:r>
      <w:r w:rsidR="004A3B7F" w:rsidRPr="004A3B7F">
        <w:t>the timeline for annual reporting for ECB add-ons needs to be increased accordingly.</w:t>
      </w:r>
    </w:p>
    <w:p w14:paraId="06D16E4F" w14:textId="77777777" w:rsidR="004A3B7F" w:rsidRDefault="004A3B7F" w:rsidP="004A3B7F">
      <w:pPr>
        <w:rPr>
          <w:b/>
          <w:bCs/>
          <w:color w:val="00B050"/>
        </w:rPr>
      </w:pPr>
      <w:r w:rsidRPr="006E6F6F">
        <w:rPr>
          <w:b/>
          <w:bCs/>
          <w:color w:val="00B050"/>
        </w:rPr>
        <w:t>DO:</w:t>
      </w:r>
      <w:r w:rsidRPr="004A3B7F">
        <w:rPr>
          <w:b/>
          <w:bCs/>
          <w:color w:val="00B050"/>
        </w:rPr>
        <w:t xml:space="preserve"> Harmonize timelines with the reporting deadlines for the ECB add-ons.</w:t>
      </w:r>
    </w:p>
    <w:p w14:paraId="71805863" w14:textId="77777777" w:rsidR="000702B9" w:rsidRDefault="000702B9" w:rsidP="004A3B7F">
      <w:pPr>
        <w:rPr>
          <w:b/>
          <w:bCs/>
          <w:color w:val="00B050"/>
        </w:rPr>
      </w:pPr>
    </w:p>
    <w:p w14:paraId="2BD0EE97" w14:textId="7E554395" w:rsidR="00D30A7F" w:rsidRDefault="00D30A7F" w:rsidP="00D30A7F">
      <w:pPr>
        <w:rPr>
          <w:b/>
          <w:bCs/>
          <w:color w:val="00B050"/>
        </w:rPr>
      </w:pPr>
    </w:p>
    <w:p w14:paraId="4065B0C8" w14:textId="77777777" w:rsidR="004A3B7F" w:rsidRDefault="004A3B7F" w:rsidP="00D374E0">
      <w:pPr>
        <w:pBdr>
          <w:bottom w:val="single" w:sz="6" w:space="14" w:color="auto"/>
        </w:pBdr>
        <w:rPr>
          <w:b/>
          <w:bCs/>
          <w:color w:val="FF0000"/>
        </w:rPr>
      </w:pPr>
    </w:p>
    <w:p w14:paraId="4A36662F" w14:textId="77777777" w:rsidR="00CC662F" w:rsidRPr="00642A76" w:rsidRDefault="00CC662F" w:rsidP="0039260A">
      <w:pPr>
        <w:rPr>
          <w:b/>
          <w:bCs/>
          <w:color w:val="FF0000"/>
        </w:rPr>
      </w:pPr>
    </w:p>
    <w:sectPr w:rsidR="00CC662F" w:rsidRPr="00642A76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AECF4" w14:textId="77777777" w:rsidR="00970F75" w:rsidRDefault="00970F75" w:rsidP="003832FD">
      <w:pPr>
        <w:spacing w:after="0" w:line="240" w:lineRule="auto"/>
      </w:pPr>
      <w:r>
        <w:separator/>
      </w:r>
    </w:p>
  </w:endnote>
  <w:endnote w:type="continuationSeparator" w:id="0">
    <w:p w14:paraId="54272C3F" w14:textId="77777777" w:rsidR="00970F75" w:rsidRDefault="00970F75" w:rsidP="003832FD">
      <w:pPr>
        <w:spacing w:after="0" w:line="240" w:lineRule="auto"/>
      </w:pPr>
      <w:r>
        <w:continuationSeparator/>
      </w:r>
    </w:p>
  </w:endnote>
  <w:endnote w:type="continuationNotice" w:id="1">
    <w:p w14:paraId="1358A0CC" w14:textId="77777777" w:rsidR="00970F75" w:rsidRDefault="00970F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1957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473BBD" w14:textId="71F51C8D" w:rsidR="007D366A" w:rsidRDefault="007D366A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B0307" w14:textId="77777777" w:rsidR="003832FD" w:rsidRDefault="003832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17BAE" w14:textId="77777777" w:rsidR="00970F75" w:rsidRDefault="00970F75" w:rsidP="003832FD">
      <w:pPr>
        <w:spacing w:after="0" w:line="240" w:lineRule="auto"/>
      </w:pPr>
      <w:r>
        <w:separator/>
      </w:r>
    </w:p>
  </w:footnote>
  <w:footnote w:type="continuationSeparator" w:id="0">
    <w:p w14:paraId="2B67DA27" w14:textId="77777777" w:rsidR="00970F75" w:rsidRDefault="00970F75" w:rsidP="003832FD">
      <w:pPr>
        <w:spacing w:after="0" w:line="240" w:lineRule="auto"/>
      </w:pPr>
      <w:r>
        <w:continuationSeparator/>
      </w:r>
    </w:p>
  </w:footnote>
  <w:footnote w:type="continuationNotice" w:id="1">
    <w:p w14:paraId="1AF152BC" w14:textId="77777777" w:rsidR="00970F75" w:rsidRDefault="00970F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8130E" w14:textId="75B6B8CA" w:rsidR="0036017A" w:rsidRPr="0036017A" w:rsidRDefault="00BB45B4" w:rsidP="0036017A">
    <w:pPr>
      <w:pStyle w:val="Hlavika"/>
      <w:jc w:val="right"/>
      <w:rPr>
        <w:b/>
        <w:bCs/>
        <w:color w:val="FF0000"/>
      </w:rPr>
    </w:pPr>
    <w:sdt>
      <w:sdtPr>
        <w:rPr>
          <w:b/>
          <w:bCs/>
          <w:color w:val="FF0000"/>
        </w:rPr>
        <w:id w:val="2040472363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color w:val="FF0000"/>
          </w:rPr>
          <w:pict w14:anchorId="45A1008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E44BD">
      <w:rPr>
        <w:b/>
        <w:bCs/>
        <w:color w:val="FF0000"/>
      </w:rPr>
      <w:t xml:space="preserve">Draft for feedback by </w:t>
    </w:r>
    <w:r w:rsidR="00F63053">
      <w:rPr>
        <w:b/>
        <w:bCs/>
        <w:color w:val="FF0000"/>
      </w:rPr>
      <w:t>Tues</w:t>
    </w:r>
    <w:r w:rsidR="003E44BD">
      <w:rPr>
        <w:b/>
        <w:bCs/>
        <w:color w:val="FF0000"/>
      </w:rPr>
      <w:t xml:space="preserve">day </w:t>
    </w:r>
    <w:r w:rsidR="00F63053">
      <w:rPr>
        <w:b/>
        <w:bCs/>
        <w:color w:val="FF0000"/>
      </w:rPr>
      <w:t>9</w:t>
    </w:r>
    <w:r w:rsidR="00124B17">
      <w:rPr>
        <w:b/>
        <w:bCs/>
        <w:color w:val="FF0000"/>
      </w:rPr>
      <w:t xml:space="preserve"> April CoB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EA - Bullets Rounded Squares_BulletLevel1_forMS"/>
      </v:shape>
    </w:pict>
  </w:numPicBullet>
  <w:numPicBullet w:numPicBulletId="1">
    <w:pict>
      <v:shape id="_x0000_i1027" type="#_x0000_t75" style="width:7.5pt;height:7.5pt" o:bullet="t">
        <v:imagedata r:id="rId2" o:title="CEA - Bullets Rounded Squares_BulletLevel2_forMS"/>
      </v:shape>
    </w:pict>
  </w:numPicBullet>
  <w:numPicBullet w:numPicBulletId="2">
    <w:pict>
      <v:shape id="_x0000_i1028" type="#_x0000_t75" style="width:9pt;height:9pt" o:bullet="t">
        <v:imagedata r:id="rId3" o:title="CEA - Bullets Rounded Squares_BulletLevel3_forMS"/>
      </v:shape>
    </w:pict>
  </w:numPicBullet>
  <w:abstractNum w:abstractNumId="0" w15:restartNumberingAfterBreak="0">
    <w:nsid w:val="03B55D5C"/>
    <w:multiLevelType w:val="hybridMultilevel"/>
    <w:tmpl w:val="D9AE878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243F"/>
    <w:multiLevelType w:val="hybridMultilevel"/>
    <w:tmpl w:val="73BC7E3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10AB"/>
    <w:multiLevelType w:val="hybridMultilevel"/>
    <w:tmpl w:val="4DA2A2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910B2"/>
    <w:multiLevelType w:val="hybridMultilevel"/>
    <w:tmpl w:val="EE863E0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4048A"/>
    <w:multiLevelType w:val="hybridMultilevel"/>
    <w:tmpl w:val="5C024BB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4071E"/>
    <w:multiLevelType w:val="hybridMultilevel"/>
    <w:tmpl w:val="EBE65710"/>
    <w:lvl w:ilvl="0" w:tplc="A0240652">
      <w:start w:val="165"/>
      <w:numFmt w:val="bullet"/>
      <w:pStyle w:val="CEABullet-Level2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6B0295"/>
    <w:multiLevelType w:val="hybridMultilevel"/>
    <w:tmpl w:val="5F7A4C6C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B0D74"/>
    <w:multiLevelType w:val="hybridMultilevel"/>
    <w:tmpl w:val="92068682"/>
    <w:lvl w:ilvl="0" w:tplc="200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DB27CC4"/>
    <w:multiLevelType w:val="hybridMultilevel"/>
    <w:tmpl w:val="7DD6F8F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670B3"/>
    <w:multiLevelType w:val="hybridMultilevel"/>
    <w:tmpl w:val="34D439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9470A"/>
    <w:multiLevelType w:val="hybridMultilevel"/>
    <w:tmpl w:val="12DCD11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91C0F"/>
    <w:multiLevelType w:val="hybridMultilevel"/>
    <w:tmpl w:val="51CEDF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C365A"/>
    <w:multiLevelType w:val="hybridMultilevel"/>
    <w:tmpl w:val="A6C8B4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91DE5"/>
    <w:multiLevelType w:val="hybridMultilevel"/>
    <w:tmpl w:val="05FCDB2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F4ECA"/>
    <w:multiLevelType w:val="hybridMultilevel"/>
    <w:tmpl w:val="D04CB164"/>
    <w:lvl w:ilvl="0" w:tplc="BE322AAC">
      <w:start w:val="1"/>
      <w:numFmt w:val="decimal"/>
      <w:lvlText w:val="%1."/>
      <w:lvlJc w:val="left"/>
      <w:pPr>
        <w:ind w:left="720" w:hanging="360"/>
      </w:pPr>
    </w:lvl>
    <w:lvl w:ilvl="1" w:tplc="4CFE3266">
      <w:start w:val="1"/>
      <w:numFmt w:val="decimal"/>
      <w:lvlText w:val="%2."/>
      <w:lvlJc w:val="left"/>
      <w:pPr>
        <w:ind w:left="720" w:hanging="360"/>
      </w:pPr>
    </w:lvl>
    <w:lvl w:ilvl="2" w:tplc="D570C902">
      <w:start w:val="1"/>
      <w:numFmt w:val="decimal"/>
      <w:lvlText w:val="%3."/>
      <w:lvlJc w:val="left"/>
      <w:pPr>
        <w:ind w:left="720" w:hanging="360"/>
      </w:pPr>
    </w:lvl>
    <w:lvl w:ilvl="3" w:tplc="FF12E00E">
      <w:start w:val="1"/>
      <w:numFmt w:val="decimal"/>
      <w:lvlText w:val="%4."/>
      <w:lvlJc w:val="left"/>
      <w:pPr>
        <w:ind w:left="720" w:hanging="360"/>
      </w:pPr>
    </w:lvl>
    <w:lvl w:ilvl="4" w:tplc="3CE8F9DA">
      <w:start w:val="1"/>
      <w:numFmt w:val="decimal"/>
      <w:lvlText w:val="%5."/>
      <w:lvlJc w:val="left"/>
      <w:pPr>
        <w:ind w:left="720" w:hanging="360"/>
      </w:pPr>
    </w:lvl>
    <w:lvl w:ilvl="5" w:tplc="C1B6FFF6">
      <w:start w:val="1"/>
      <w:numFmt w:val="decimal"/>
      <w:lvlText w:val="%6."/>
      <w:lvlJc w:val="left"/>
      <w:pPr>
        <w:ind w:left="720" w:hanging="360"/>
      </w:pPr>
    </w:lvl>
    <w:lvl w:ilvl="6" w:tplc="13E0D0C8">
      <w:start w:val="1"/>
      <w:numFmt w:val="decimal"/>
      <w:lvlText w:val="%7."/>
      <w:lvlJc w:val="left"/>
      <w:pPr>
        <w:ind w:left="720" w:hanging="360"/>
      </w:pPr>
    </w:lvl>
    <w:lvl w:ilvl="7" w:tplc="08EC836E">
      <w:start w:val="1"/>
      <w:numFmt w:val="decimal"/>
      <w:lvlText w:val="%8."/>
      <w:lvlJc w:val="left"/>
      <w:pPr>
        <w:ind w:left="720" w:hanging="360"/>
      </w:pPr>
    </w:lvl>
    <w:lvl w:ilvl="8" w:tplc="A49CA846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447E4D85"/>
    <w:multiLevelType w:val="hybridMultilevel"/>
    <w:tmpl w:val="36024468"/>
    <w:lvl w:ilvl="0" w:tplc="37180294">
      <w:start w:val="165"/>
      <w:numFmt w:val="bullet"/>
      <w:pStyle w:val="CEABullet-Level3"/>
      <w:lvlText w:val=""/>
      <w:lvlPicBulletId w:val="2"/>
      <w:lvlJc w:val="left"/>
      <w:pPr>
        <w:ind w:left="2673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</w:abstractNum>
  <w:abstractNum w:abstractNumId="16" w15:restartNumberingAfterBreak="0">
    <w:nsid w:val="4FEB32F0"/>
    <w:multiLevelType w:val="hybridMultilevel"/>
    <w:tmpl w:val="52A2714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A635A"/>
    <w:multiLevelType w:val="hybridMultilevel"/>
    <w:tmpl w:val="7D9662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30DE6"/>
    <w:multiLevelType w:val="hybridMultilevel"/>
    <w:tmpl w:val="6CCC58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F3CDE"/>
    <w:multiLevelType w:val="hybridMultilevel"/>
    <w:tmpl w:val="9926D0DE"/>
    <w:lvl w:ilvl="0" w:tplc="200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5D9574C9"/>
    <w:multiLevelType w:val="hybridMultilevel"/>
    <w:tmpl w:val="678496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05D27"/>
    <w:multiLevelType w:val="hybridMultilevel"/>
    <w:tmpl w:val="C400D9C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8105D"/>
    <w:multiLevelType w:val="hybridMultilevel"/>
    <w:tmpl w:val="D270B1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D5DB5"/>
    <w:multiLevelType w:val="hybridMultilevel"/>
    <w:tmpl w:val="42621F0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E2B88"/>
    <w:multiLevelType w:val="hybridMultilevel"/>
    <w:tmpl w:val="636CBA02"/>
    <w:lvl w:ilvl="0" w:tplc="2CF65F2A">
      <w:start w:val="165"/>
      <w:numFmt w:val="bullet"/>
      <w:pStyle w:val="CEABullet-Level1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F3A6E"/>
    <w:multiLevelType w:val="hybridMultilevel"/>
    <w:tmpl w:val="D270B170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A2005"/>
    <w:multiLevelType w:val="hybridMultilevel"/>
    <w:tmpl w:val="EA489070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5780208">
    <w:abstractNumId w:val="13"/>
  </w:num>
  <w:num w:numId="2" w16cid:durableId="1138767925">
    <w:abstractNumId w:val="0"/>
  </w:num>
  <w:num w:numId="3" w16cid:durableId="1891845393">
    <w:abstractNumId w:val="25"/>
  </w:num>
  <w:num w:numId="4" w16cid:durableId="1332680410">
    <w:abstractNumId w:val="1"/>
  </w:num>
  <w:num w:numId="5" w16cid:durableId="1788965387">
    <w:abstractNumId w:val="22"/>
  </w:num>
  <w:num w:numId="6" w16cid:durableId="1053623706">
    <w:abstractNumId w:val="6"/>
  </w:num>
  <w:num w:numId="7" w16cid:durableId="1128086132">
    <w:abstractNumId w:val="8"/>
  </w:num>
  <w:num w:numId="8" w16cid:durableId="2087875540">
    <w:abstractNumId w:val="21"/>
  </w:num>
  <w:num w:numId="9" w16cid:durableId="1640306344">
    <w:abstractNumId w:val="16"/>
  </w:num>
  <w:num w:numId="10" w16cid:durableId="38013157">
    <w:abstractNumId w:val="14"/>
  </w:num>
  <w:num w:numId="11" w16cid:durableId="1468932521">
    <w:abstractNumId w:val="4"/>
  </w:num>
  <w:num w:numId="12" w16cid:durableId="1530724421">
    <w:abstractNumId w:val="3"/>
  </w:num>
  <w:num w:numId="13" w16cid:durableId="122774654">
    <w:abstractNumId w:val="26"/>
  </w:num>
  <w:num w:numId="14" w16cid:durableId="125512005">
    <w:abstractNumId w:val="23"/>
  </w:num>
  <w:num w:numId="15" w16cid:durableId="1742672087">
    <w:abstractNumId w:val="11"/>
  </w:num>
  <w:num w:numId="16" w16cid:durableId="954678402">
    <w:abstractNumId w:val="2"/>
  </w:num>
  <w:num w:numId="17" w16cid:durableId="1598054083">
    <w:abstractNumId w:val="10"/>
  </w:num>
  <w:num w:numId="18" w16cid:durableId="635263604">
    <w:abstractNumId w:val="18"/>
  </w:num>
  <w:num w:numId="19" w16cid:durableId="760184027">
    <w:abstractNumId w:val="9"/>
  </w:num>
  <w:num w:numId="20" w16cid:durableId="257376521">
    <w:abstractNumId w:val="20"/>
  </w:num>
  <w:num w:numId="21" w16cid:durableId="419256164">
    <w:abstractNumId w:val="17"/>
  </w:num>
  <w:num w:numId="22" w16cid:durableId="628321872">
    <w:abstractNumId w:val="12"/>
  </w:num>
  <w:num w:numId="23" w16cid:durableId="251012854">
    <w:abstractNumId w:val="19"/>
  </w:num>
  <w:num w:numId="24" w16cid:durableId="1194029490">
    <w:abstractNumId w:val="7"/>
  </w:num>
  <w:num w:numId="25" w16cid:durableId="1564564501">
    <w:abstractNumId w:val="24"/>
  </w:num>
  <w:num w:numId="26" w16cid:durableId="1921676706">
    <w:abstractNumId w:val="5"/>
  </w:num>
  <w:num w:numId="27" w16cid:durableId="16542118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KwNDKxMDA1srQ0MzJU0lEKTi0uzszPAykwqwUAIoplqSwAAAA="/>
  </w:docVars>
  <w:rsids>
    <w:rsidRoot w:val="005A0B75"/>
    <w:rsid w:val="00000138"/>
    <w:rsid w:val="00000880"/>
    <w:rsid w:val="0000113C"/>
    <w:rsid w:val="00001E7B"/>
    <w:rsid w:val="0000283B"/>
    <w:rsid w:val="0000359D"/>
    <w:rsid w:val="000056F3"/>
    <w:rsid w:val="000102B0"/>
    <w:rsid w:val="000116B9"/>
    <w:rsid w:val="00012EC2"/>
    <w:rsid w:val="00012ECE"/>
    <w:rsid w:val="00013085"/>
    <w:rsid w:val="000145FF"/>
    <w:rsid w:val="000152F3"/>
    <w:rsid w:val="00015D66"/>
    <w:rsid w:val="00016497"/>
    <w:rsid w:val="00016803"/>
    <w:rsid w:val="000206A3"/>
    <w:rsid w:val="00020D98"/>
    <w:rsid w:val="000244A9"/>
    <w:rsid w:val="0002504F"/>
    <w:rsid w:val="00026780"/>
    <w:rsid w:val="0002690F"/>
    <w:rsid w:val="00027509"/>
    <w:rsid w:val="00030D4E"/>
    <w:rsid w:val="000310A4"/>
    <w:rsid w:val="000316CC"/>
    <w:rsid w:val="00031DE9"/>
    <w:rsid w:val="00031E6E"/>
    <w:rsid w:val="00031F05"/>
    <w:rsid w:val="00032F1D"/>
    <w:rsid w:val="00033BF2"/>
    <w:rsid w:val="0003409A"/>
    <w:rsid w:val="00034AEB"/>
    <w:rsid w:val="00034DFC"/>
    <w:rsid w:val="00035DE8"/>
    <w:rsid w:val="000370A1"/>
    <w:rsid w:val="000379B1"/>
    <w:rsid w:val="0004057D"/>
    <w:rsid w:val="00040F96"/>
    <w:rsid w:val="00041D75"/>
    <w:rsid w:val="00044241"/>
    <w:rsid w:val="000450F5"/>
    <w:rsid w:val="00045A20"/>
    <w:rsid w:val="0005033F"/>
    <w:rsid w:val="000507C5"/>
    <w:rsid w:val="000529F9"/>
    <w:rsid w:val="00054D59"/>
    <w:rsid w:val="00056956"/>
    <w:rsid w:val="00056F43"/>
    <w:rsid w:val="00061CB7"/>
    <w:rsid w:val="00064A3E"/>
    <w:rsid w:val="00064D3A"/>
    <w:rsid w:val="0006500C"/>
    <w:rsid w:val="00065746"/>
    <w:rsid w:val="000663CD"/>
    <w:rsid w:val="00066E8C"/>
    <w:rsid w:val="00066EB0"/>
    <w:rsid w:val="000702B9"/>
    <w:rsid w:val="000720A9"/>
    <w:rsid w:val="000721A8"/>
    <w:rsid w:val="00074A3B"/>
    <w:rsid w:val="000751B4"/>
    <w:rsid w:val="000768E0"/>
    <w:rsid w:val="00076A65"/>
    <w:rsid w:val="00077FD6"/>
    <w:rsid w:val="000804F2"/>
    <w:rsid w:val="0008416C"/>
    <w:rsid w:val="00084F57"/>
    <w:rsid w:val="00085674"/>
    <w:rsid w:val="00086136"/>
    <w:rsid w:val="0009054B"/>
    <w:rsid w:val="00090BEF"/>
    <w:rsid w:val="00091BF2"/>
    <w:rsid w:val="00093D2D"/>
    <w:rsid w:val="0009427E"/>
    <w:rsid w:val="00095877"/>
    <w:rsid w:val="00097EF0"/>
    <w:rsid w:val="000A145D"/>
    <w:rsid w:val="000A2D03"/>
    <w:rsid w:val="000A3416"/>
    <w:rsid w:val="000A35B1"/>
    <w:rsid w:val="000A58A3"/>
    <w:rsid w:val="000B00E4"/>
    <w:rsid w:val="000B010B"/>
    <w:rsid w:val="000B0132"/>
    <w:rsid w:val="000B137A"/>
    <w:rsid w:val="000B15D8"/>
    <w:rsid w:val="000B254D"/>
    <w:rsid w:val="000B3143"/>
    <w:rsid w:val="000B3C78"/>
    <w:rsid w:val="000B4227"/>
    <w:rsid w:val="000B438E"/>
    <w:rsid w:val="000B450A"/>
    <w:rsid w:val="000B63DC"/>
    <w:rsid w:val="000B7629"/>
    <w:rsid w:val="000C2657"/>
    <w:rsid w:val="000C2809"/>
    <w:rsid w:val="000C3EE3"/>
    <w:rsid w:val="000C4562"/>
    <w:rsid w:val="000C5B1F"/>
    <w:rsid w:val="000C7B4D"/>
    <w:rsid w:val="000D00EB"/>
    <w:rsid w:val="000D0389"/>
    <w:rsid w:val="000D260F"/>
    <w:rsid w:val="000D2986"/>
    <w:rsid w:val="000D31B8"/>
    <w:rsid w:val="000D3BFF"/>
    <w:rsid w:val="000D3D1F"/>
    <w:rsid w:val="000D4500"/>
    <w:rsid w:val="000D58A6"/>
    <w:rsid w:val="000D68A8"/>
    <w:rsid w:val="000D71D7"/>
    <w:rsid w:val="000D7916"/>
    <w:rsid w:val="000E0265"/>
    <w:rsid w:val="000E12CD"/>
    <w:rsid w:val="000E1645"/>
    <w:rsid w:val="000E2B26"/>
    <w:rsid w:val="000E338F"/>
    <w:rsid w:val="000E5486"/>
    <w:rsid w:val="000E5598"/>
    <w:rsid w:val="000E55C0"/>
    <w:rsid w:val="000E6624"/>
    <w:rsid w:val="000E773E"/>
    <w:rsid w:val="000E7C68"/>
    <w:rsid w:val="000F06CF"/>
    <w:rsid w:val="000F0C7B"/>
    <w:rsid w:val="000F423F"/>
    <w:rsid w:val="000F513C"/>
    <w:rsid w:val="000F57C3"/>
    <w:rsid w:val="000F5EFB"/>
    <w:rsid w:val="000F72E3"/>
    <w:rsid w:val="001005AC"/>
    <w:rsid w:val="001005E1"/>
    <w:rsid w:val="00101242"/>
    <w:rsid w:val="0010256E"/>
    <w:rsid w:val="00105384"/>
    <w:rsid w:val="00105850"/>
    <w:rsid w:val="00107E38"/>
    <w:rsid w:val="0011065F"/>
    <w:rsid w:val="00110840"/>
    <w:rsid w:val="00112887"/>
    <w:rsid w:val="00114406"/>
    <w:rsid w:val="0011593D"/>
    <w:rsid w:val="00117C96"/>
    <w:rsid w:val="00120BAB"/>
    <w:rsid w:val="00121A4A"/>
    <w:rsid w:val="001224C1"/>
    <w:rsid w:val="00122A53"/>
    <w:rsid w:val="00122D8D"/>
    <w:rsid w:val="00124B17"/>
    <w:rsid w:val="00124CF3"/>
    <w:rsid w:val="00125A65"/>
    <w:rsid w:val="00127C21"/>
    <w:rsid w:val="0013144A"/>
    <w:rsid w:val="00131AAD"/>
    <w:rsid w:val="00133F0B"/>
    <w:rsid w:val="0013472E"/>
    <w:rsid w:val="00134E96"/>
    <w:rsid w:val="00135306"/>
    <w:rsid w:val="00140019"/>
    <w:rsid w:val="001406AB"/>
    <w:rsid w:val="001420BC"/>
    <w:rsid w:val="00142B6E"/>
    <w:rsid w:val="00145B01"/>
    <w:rsid w:val="00145DA7"/>
    <w:rsid w:val="00146582"/>
    <w:rsid w:val="0014669A"/>
    <w:rsid w:val="00146ACD"/>
    <w:rsid w:val="00147349"/>
    <w:rsid w:val="00147D1D"/>
    <w:rsid w:val="00150770"/>
    <w:rsid w:val="00152710"/>
    <w:rsid w:val="0015469A"/>
    <w:rsid w:val="001551D4"/>
    <w:rsid w:val="001572F7"/>
    <w:rsid w:val="001604DB"/>
    <w:rsid w:val="00160CD8"/>
    <w:rsid w:val="00162378"/>
    <w:rsid w:val="001642DE"/>
    <w:rsid w:val="00164539"/>
    <w:rsid w:val="001662D7"/>
    <w:rsid w:val="00166D13"/>
    <w:rsid w:val="00167CED"/>
    <w:rsid w:val="00170339"/>
    <w:rsid w:val="00173A0B"/>
    <w:rsid w:val="00174C68"/>
    <w:rsid w:val="00174D3D"/>
    <w:rsid w:val="001768EB"/>
    <w:rsid w:val="00177561"/>
    <w:rsid w:val="00177C11"/>
    <w:rsid w:val="00180BEA"/>
    <w:rsid w:val="00181E41"/>
    <w:rsid w:val="00181F8D"/>
    <w:rsid w:val="00182B27"/>
    <w:rsid w:val="00182C8A"/>
    <w:rsid w:val="00183579"/>
    <w:rsid w:val="00183DA1"/>
    <w:rsid w:val="00183E17"/>
    <w:rsid w:val="00184F38"/>
    <w:rsid w:val="00185F07"/>
    <w:rsid w:val="00186765"/>
    <w:rsid w:val="001871FD"/>
    <w:rsid w:val="00191F81"/>
    <w:rsid w:val="00192852"/>
    <w:rsid w:val="001930CF"/>
    <w:rsid w:val="0019399D"/>
    <w:rsid w:val="00193CB4"/>
    <w:rsid w:val="00195BAF"/>
    <w:rsid w:val="0019627C"/>
    <w:rsid w:val="001967E6"/>
    <w:rsid w:val="00196E75"/>
    <w:rsid w:val="001973C2"/>
    <w:rsid w:val="0019786A"/>
    <w:rsid w:val="001A06C1"/>
    <w:rsid w:val="001A09C6"/>
    <w:rsid w:val="001A2FFA"/>
    <w:rsid w:val="001A32EC"/>
    <w:rsid w:val="001A3653"/>
    <w:rsid w:val="001A4BFE"/>
    <w:rsid w:val="001A5094"/>
    <w:rsid w:val="001A5596"/>
    <w:rsid w:val="001A6509"/>
    <w:rsid w:val="001A717D"/>
    <w:rsid w:val="001B08B5"/>
    <w:rsid w:val="001B141C"/>
    <w:rsid w:val="001B17DB"/>
    <w:rsid w:val="001B22F8"/>
    <w:rsid w:val="001B3C4B"/>
    <w:rsid w:val="001B3FE5"/>
    <w:rsid w:val="001B4C1A"/>
    <w:rsid w:val="001B5649"/>
    <w:rsid w:val="001B68B9"/>
    <w:rsid w:val="001C01C3"/>
    <w:rsid w:val="001C077C"/>
    <w:rsid w:val="001C08A4"/>
    <w:rsid w:val="001C33F3"/>
    <w:rsid w:val="001C5303"/>
    <w:rsid w:val="001C5A19"/>
    <w:rsid w:val="001C6D97"/>
    <w:rsid w:val="001C787D"/>
    <w:rsid w:val="001C7BC0"/>
    <w:rsid w:val="001C7D02"/>
    <w:rsid w:val="001D1D6F"/>
    <w:rsid w:val="001D2F90"/>
    <w:rsid w:val="001D2FE3"/>
    <w:rsid w:val="001D33FF"/>
    <w:rsid w:val="001D5EDD"/>
    <w:rsid w:val="001D5FC0"/>
    <w:rsid w:val="001D6812"/>
    <w:rsid w:val="001E2C83"/>
    <w:rsid w:val="001E2F46"/>
    <w:rsid w:val="001E35A6"/>
    <w:rsid w:val="001E398D"/>
    <w:rsid w:val="001E5828"/>
    <w:rsid w:val="001E6D90"/>
    <w:rsid w:val="001E719A"/>
    <w:rsid w:val="001E75B0"/>
    <w:rsid w:val="001F0430"/>
    <w:rsid w:val="001F19A5"/>
    <w:rsid w:val="001F5B80"/>
    <w:rsid w:val="001F61ED"/>
    <w:rsid w:val="00200319"/>
    <w:rsid w:val="00201648"/>
    <w:rsid w:val="00201BB8"/>
    <w:rsid w:val="00202DC1"/>
    <w:rsid w:val="00203936"/>
    <w:rsid w:val="00203E40"/>
    <w:rsid w:val="00204D3D"/>
    <w:rsid w:val="00205553"/>
    <w:rsid w:val="002069BE"/>
    <w:rsid w:val="0020788C"/>
    <w:rsid w:val="002115F1"/>
    <w:rsid w:val="00212D68"/>
    <w:rsid w:val="002135D0"/>
    <w:rsid w:val="002137F7"/>
    <w:rsid w:val="00216441"/>
    <w:rsid w:val="00216A4B"/>
    <w:rsid w:val="00217304"/>
    <w:rsid w:val="00217496"/>
    <w:rsid w:val="0021752A"/>
    <w:rsid w:val="00220D48"/>
    <w:rsid w:val="002218A0"/>
    <w:rsid w:val="00221BC1"/>
    <w:rsid w:val="00221D8D"/>
    <w:rsid w:val="00227D7F"/>
    <w:rsid w:val="002304F8"/>
    <w:rsid w:val="00231A09"/>
    <w:rsid w:val="00235D66"/>
    <w:rsid w:val="00241180"/>
    <w:rsid w:val="002413A5"/>
    <w:rsid w:val="00242062"/>
    <w:rsid w:val="00244229"/>
    <w:rsid w:val="0024429C"/>
    <w:rsid w:val="0024600D"/>
    <w:rsid w:val="00246486"/>
    <w:rsid w:val="002465D1"/>
    <w:rsid w:val="00247AF9"/>
    <w:rsid w:val="0025103C"/>
    <w:rsid w:val="00251E86"/>
    <w:rsid w:val="00252432"/>
    <w:rsid w:val="00252902"/>
    <w:rsid w:val="00253D86"/>
    <w:rsid w:val="00254279"/>
    <w:rsid w:val="00254964"/>
    <w:rsid w:val="002560EA"/>
    <w:rsid w:val="00256ABD"/>
    <w:rsid w:val="00256EB5"/>
    <w:rsid w:val="002578A2"/>
    <w:rsid w:val="00262087"/>
    <w:rsid w:val="0026215E"/>
    <w:rsid w:val="00262538"/>
    <w:rsid w:val="00263BBC"/>
    <w:rsid w:val="00263E5E"/>
    <w:rsid w:val="0026427C"/>
    <w:rsid w:val="00264D68"/>
    <w:rsid w:val="00265641"/>
    <w:rsid w:val="00266223"/>
    <w:rsid w:val="00267DFC"/>
    <w:rsid w:val="00270C29"/>
    <w:rsid w:val="0027114B"/>
    <w:rsid w:val="00271A19"/>
    <w:rsid w:val="00271DA1"/>
    <w:rsid w:val="00272626"/>
    <w:rsid w:val="002727E2"/>
    <w:rsid w:val="002729A0"/>
    <w:rsid w:val="00272C32"/>
    <w:rsid w:val="002741D5"/>
    <w:rsid w:val="002752FB"/>
    <w:rsid w:val="0027641D"/>
    <w:rsid w:val="0027686E"/>
    <w:rsid w:val="00280B0C"/>
    <w:rsid w:val="002818B1"/>
    <w:rsid w:val="00282E25"/>
    <w:rsid w:val="00283035"/>
    <w:rsid w:val="00285B2C"/>
    <w:rsid w:val="002877BE"/>
    <w:rsid w:val="00287A47"/>
    <w:rsid w:val="00290E55"/>
    <w:rsid w:val="00291C69"/>
    <w:rsid w:val="0029245D"/>
    <w:rsid w:val="00294363"/>
    <w:rsid w:val="00294655"/>
    <w:rsid w:val="002947AB"/>
    <w:rsid w:val="002956FA"/>
    <w:rsid w:val="00295982"/>
    <w:rsid w:val="00295C0A"/>
    <w:rsid w:val="0029706B"/>
    <w:rsid w:val="002A01B7"/>
    <w:rsid w:val="002A0497"/>
    <w:rsid w:val="002A0C10"/>
    <w:rsid w:val="002A0CE5"/>
    <w:rsid w:val="002A335A"/>
    <w:rsid w:val="002A380C"/>
    <w:rsid w:val="002A4156"/>
    <w:rsid w:val="002A5323"/>
    <w:rsid w:val="002A779B"/>
    <w:rsid w:val="002A7E60"/>
    <w:rsid w:val="002B0F22"/>
    <w:rsid w:val="002B3E45"/>
    <w:rsid w:val="002B46D8"/>
    <w:rsid w:val="002B5389"/>
    <w:rsid w:val="002B5560"/>
    <w:rsid w:val="002B64A9"/>
    <w:rsid w:val="002C0169"/>
    <w:rsid w:val="002C0E29"/>
    <w:rsid w:val="002C1240"/>
    <w:rsid w:val="002C1688"/>
    <w:rsid w:val="002C1B69"/>
    <w:rsid w:val="002C1F16"/>
    <w:rsid w:val="002C4A92"/>
    <w:rsid w:val="002C55E3"/>
    <w:rsid w:val="002C570C"/>
    <w:rsid w:val="002C58D1"/>
    <w:rsid w:val="002C6CA7"/>
    <w:rsid w:val="002C6CC6"/>
    <w:rsid w:val="002D1534"/>
    <w:rsid w:val="002D2312"/>
    <w:rsid w:val="002D3716"/>
    <w:rsid w:val="002D46D4"/>
    <w:rsid w:val="002D4BAA"/>
    <w:rsid w:val="002D6113"/>
    <w:rsid w:val="002E18C1"/>
    <w:rsid w:val="002E1C09"/>
    <w:rsid w:val="002E2256"/>
    <w:rsid w:val="002E3C48"/>
    <w:rsid w:val="002E420A"/>
    <w:rsid w:val="002E44F5"/>
    <w:rsid w:val="002E5F3A"/>
    <w:rsid w:val="002F0254"/>
    <w:rsid w:val="002F04AA"/>
    <w:rsid w:val="002F0615"/>
    <w:rsid w:val="002F5255"/>
    <w:rsid w:val="002F5C9F"/>
    <w:rsid w:val="002F63F1"/>
    <w:rsid w:val="002F6810"/>
    <w:rsid w:val="002F6A7D"/>
    <w:rsid w:val="002F6B22"/>
    <w:rsid w:val="00301075"/>
    <w:rsid w:val="003019D3"/>
    <w:rsid w:val="00301E70"/>
    <w:rsid w:val="003027EE"/>
    <w:rsid w:val="0030299F"/>
    <w:rsid w:val="00305B36"/>
    <w:rsid w:val="00306A4A"/>
    <w:rsid w:val="0030711D"/>
    <w:rsid w:val="0030765D"/>
    <w:rsid w:val="0030785A"/>
    <w:rsid w:val="0031199F"/>
    <w:rsid w:val="00312A2C"/>
    <w:rsid w:val="003146FD"/>
    <w:rsid w:val="003154D6"/>
    <w:rsid w:val="003156E6"/>
    <w:rsid w:val="00317DBA"/>
    <w:rsid w:val="0032168C"/>
    <w:rsid w:val="00322644"/>
    <w:rsid w:val="00323632"/>
    <w:rsid w:val="00323C0B"/>
    <w:rsid w:val="003247AC"/>
    <w:rsid w:val="00325537"/>
    <w:rsid w:val="00325983"/>
    <w:rsid w:val="003261BC"/>
    <w:rsid w:val="003268D0"/>
    <w:rsid w:val="00326C70"/>
    <w:rsid w:val="00326D44"/>
    <w:rsid w:val="0032730D"/>
    <w:rsid w:val="003317F8"/>
    <w:rsid w:val="00331AB9"/>
    <w:rsid w:val="003327A9"/>
    <w:rsid w:val="003332CD"/>
    <w:rsid w:val="00333635"/>
    <w:rsid w:val="0033397F"/>
    <w:rsid w:val="00334FEC"/>
    <w:rsid w:val="00336E2A"/>
    <w:rsid w:val="00337C78"/>
    <w:rsid w:val="00340CCE"/>
    <w:rsid w:val="00341496"/>
    <w:rsid w:val="003443E4"/>
    <w:rsid w:val="00345F90"/>
    <w:rsid w:val="0034644D"/>
    <w:rsid w:val="003464B0"/>
    <w:rsid w:val="00346532"/>
    <w:rsid w:val="00347743"/>
    <w:rsid w:val="0035221C"/>
    <w:rsid w:val="00353D53"/>
    <w:rsid w:val="00354635"/>
    <w:rsid w:val="00354FED"/>
    <w:rsid w:val="00355160"/>
    <w:rsid w:val="003554A2"/>
    <w:rsid w:val="003558F2"/>
    <w:rsid w:val="00356431"/>
    <w:rsid w:val="00356BFF"/>
    <w:rsid w:val="0036017A"/>
    <w:rsid w:val="00360A61"/>
    <w:rsid w:val="0036161D"/>
    <w:rsid w:val="00361ADA"/>
    <w:rsid w:val="00361D39"/>
    <w:rsid w:val="00364438"/>
    <w:rsid w:val="00365760"/>
    <w:rsid w:val="00366A63"/>
    <w:rsid w:val="0036771C"/>
    <w:rsid w:val="00370EF8"/>
    <w:rsid w:val="00371C4E"/>
    <w:rsid w:val="00372119"/>
    <w:rsid w:val="00372C95"/>
    <w:rsid w:val="0037419A"/>
    <w:rsid w:val="003759EE"/>
    <w:rsid w:val="00375FB2"/>
    <w:rsid w:val="00376D7B"/>
    <w:rsid w:val="00376DF1"/>
    <w:rsid w:val="00377EB9"/>
    <w:rsid w:val="003801B0"/>
    <w:rsid w:val="0038255B"/>
    <w:rsid w:val="003832FD"/>
    <w:rsid w:val="00384693"/>
    <w:rsid w:val="003854BA"/>
    <w:rsid w:val="00390FAB"/>
    <w:rsid w:val="00391A3B"/>
    <w:rsid w:val="0039260A"/>
    <w:rsid w:val="003927C0"/>
    <w:rsid w:val="00394725"/>
    <w:rsid w:val="00395B20"/>
    <w:rsid w:val="0039626E"/>
    <w:rsid w:val="00397412"/>
    <w:rsid w:val="00397CEF"/>
    <w:rsid w:val="003A1DF0"/>
    <w:rsid w:val="003A33AA"/>
    <w:rsid w:val="003A4AC9"/>
    <w:rsid w:val="003A645D"/>
    <w:rsid w:val="003A7327"/>
    <w:rsid w:val="003A76E1"/>
    <w:rsid w:val="003B062C"/>
    <w:rsid w:val="003B0A56"/>
    <w:rsid w:val="003B0EE2"/>
    <w:rsid w:val="003B27EB"/>
    <w:rsid w:val="003B3DBB"/>
    <w:rsid w:val="003B497A"/>
    <w:rsid w:val="003B4EF1"/>
    <w:rsid w:val="003B70FE"/>
    <w:rsid w:val="003B7259"/>
    <w:rsid w:val="003B727A"/>
    <w:rsid w:val="003B7ACF"/>
    <w:rsid w:val="003C02F3"/>
    <w:rsid w:val="003C0DDB"/>
    <w:rsid w:val="003C1009"/>
    <w:rsid w:val="003C1741"/>
    <w:rsid w:val="003C2A9B"/>
    <w:rsid w:val="003C432B"/>
    <w:rsid w:val="003C4DBF"/>
    <w:rsid w:val="003C61BC"/>
    <w:rsid w:val="003C7733"/>
    <w:rsid w:val="003C791C"/>
    <w:rsid w:val="003D0768"/>
    <w:rsid w:val="003D20A4"/>
    <w:rsid w:val="003D31F1"/>
    <w:rsid w:val="003D5217"/>
    <w:rsid w:val="003D60B2"/>
    <w:rsid w:val="003D60FD"/>
    <w:rsid w:val="003D61CB"/>
    <w:rsid w:val="003D653F"/>
    <w:rsid w:val="003D6A46"/>
    <w:rsid w:val="003E25B9"/>
    <w:rsid w:val="003E44BD"/>
    <w:rsid w:val="003E493C"/>
    <w:rsid w:val="003E7096"/>
    <w:rsid w:val="003E70EC"/>
    <w:rsid w:val="003F0D78"/>
    <w:rsid w:val="003F1F2A"/>
    <w:rsid w:val="003F24D3"/>
    <w:rsid w:val="003F26D3"/>
    <w:rsid w:val="003F4A28"/>
    <w:rsid w:val="003F5D3D"/>
    <w:rsid w:val="003F60F5"/>
    <w:rsid w:val="003F651B"/>
    <w:rsid w:val="003F658D"/>
    <w:rsid w:val="003F6843"/>
    <w:rsid w:val="004000E8"/>
    <w:rsid w:val="00400FFF"/>
    <w:rsid w:val="0040128E"/>
    <w:rsid w:val="00401FAF"/>
    <w:rsid w:val="00402247"/>
    <w:rsid w:val="004027FE"/>
    <w:rsid w:val="00402CED"/>
    <w:rsid w:val="00403C94"/>
    <w:rsid w:val="0040783A"/>
    <w:rsid w:val="00411E4C"/>
    <w:rsid w:val="004132F1"/>
    <w:rsid w:val="00414AD7"/>
    <w:rsid w:val="004153D9"/>
    <w:rsid w:val="0041624B"/>
    <w:rsid w:val="0041630C"/>
    <w:rsid w:val="004164B8"/>
    <w:rsid w:val="004170B6"/>
    <w:rsid w:val="00417812"/>
    <w:rsid w:val="00421E13"/>
    <w:rsid w:val="00422950"/>
    <w:rsid w:val="004235AB"/>
    <w:rsid w:val="0042370F"/>
    <w:rsid w:val="00423B4B"/>
    <w:rsid w:val="00424D6D"/>
    <w:rsid w:val="004258B7"/>
    <w:rsid w:val="00425AEC"/>
    <w:rsid w:val="00425CF6"/>
    <w:rsid w:val="00426687"/>
    <w:rsid w:val="00426868"/>
    <w:rsid w:val="00426E29"/>
    <w:rsid w:val="004302CB"/>
    <w:rsid w:val="00430C3D"/>
    <w:rsid w:val="00432649"/>
    <w:rsid w:val="00432B09"/>
    <w:rsid w:val="0043426F"/>
    <w:rsid w:val="00434D20"/>
    <w:rsid w:val="00435366"/>
    <w:rsid w:val="00436383"/>
    <w:rsid w:val="00436778"/>
    <w:rsid w:val="00436FC8"/>
    <w:rsid w:val="004374FD"/>
    <w:rsid w:val="00437FE7"/>
    <w:rsid w:val="00440579"/>
    <w:rsid w:val="00440E33"/>
    <w:rsid w:val="0044101A"/>
    <w:rsid w:val="00442530"/>
    <w:rsid w:val="0044437B"/>
    <w:rsid w:val="004443EA"/>
    <w:rsid w:val="0044466C"/>
    <w:rsid w:val="00444677"/>
    <w:rsid w:val="0044471C"/>
    <w:rsid w:val="00446B37"/>
    <w:rsid w:val="00446D68"/>
    <w:rsid w:val="00450982"/>
    <w:rsid w:val="00450A93"/>
    <w:rsid w:val="00452505"/>
    <w:rsid w:val="00452DE7"/>
    <w:rsid w:val="004545A1"/>
    <w:rsid w:val="00455040"/>
    <w:rsid w:val="00455E2B"/>
    <w:rsid w:val="0045715D"/>
    <w:rsid w:val="00460C0B"/>
    <w:rsid w:val="00461598"/>
    <w:rsid w:val="00461605"/>
    <w:rsid w:val="004624F5"/>
    <w:rsid w:val="00462A34"/>
    <w:rsid w:val="0046351A"/>
    <w:rsid w:val="004641C6"/>
    <w:rsid w:val="00464586"/>
    <w:rsid w:val="0046475C"/>
    <w:rsid w:val="004655B9"/>
    <w:rsid w:val="004671C1"/>
    <w:rsid w:val="004700F4"/>
    <w:rsid w:val="0047063C"/>
    <w:rsid w:val="00471FB5"/>
    <w:rsid w:val="00471FBC"/>
    <w:rsid w:val="004724A9"/>
    <w:rsid w:val="00473734"/>
    <w:rsid w:val="00473FA7"/>
    <w:rsid w:val="004760C9"/>
    <w:rsid w:val="00476516"/>
    <w:rsid w:val="004776A9"/>
    <w:rsid w:val="00477C76"/>
    <w:rsid w:val="00477DD3"/>
    <w:rsid w:val="00477E34"/>
    <w:rsid w:val="00480F42"/>
    <w:rsid w:val="00481AEA"/>
    <w:rsid w:val="00483074"/>
    <w:rsid w:val="00484391"/>
    <w:rsid w:val="00484454"/>
    <w:rsid w:val="00484EAF"/>
    <w:rsid w:val="00485F6E"/>
    <w:rsid w:val="004901DD"/>
    <w:rsid w:val="00490368"/>
    <w:rsid w:val="00491843"/>
    <w:rsid w:val="0049200E"/>
    <w:rsid w:val="00492D60"/>
    <w:rsid w:val="00492FF8"/>
    <w:rsid w:val="004949B9"/>
    <w:rsid w:val="004954F0"/>
    <w:rsid w:val="00495C14"/>
    <w:rsid w:val="004A0D2A"/>
    <w:rsid w:val="004A14F5"/>
    <w:rsid w:val="004A184F"/>
    <w:rsid w:val="004A1E81"/>
    <w:rsid w:val="004A2770"/>
    <w:rsid w:val="004A281F"/>
    <w:rsid w:val="004A36A9"/>
    <w:rsid w:val="004A3B7F"/>
    <w:rsid w:val="004A4534"/>
    <w:rsid w:val="004A4E79"/>
    <w:rsid w:val="004A4FAD"/>
    <w:rsid w:val="004A53ED"/>
    <w:rsid w:val="004A6D0D"/>
    <w:rsid w:val="004A712F"/>
    <w:rsid w:val="004A72EE"/>
    <w:rsid w:val="004B0FB8"/>
    <w:rsid w:val="004B21B4"/>
    <w:rsid w:val="004B2556"/>
    <w:rsid w:val="004B3A6F"/>
    <w:rsid w:val="004B3E8D"/>
    <w:rsid w:val="004B5F62"/>
    <w:rsid w:val="004C022F"/>
    <w:rsid w:val="004C0592"/>
    <w:rsid w:val="004C08DA"/>
    <w:rsid w:val="004C1287"/>
    <w:rsid w:val="004C1875"/>
    <w:rsid w:val="004C1D8A"/>
    <w:rsid w:val="004C3056"/>
    <w:rsid w:val="004C3A2F"/>
    <w:rsid w:val="004C470B"/>
    <w:rsid w:val="004C512D"/>
    <w:rsid w:val="004C51E8"/>
    <w:rsid w:val="004C5432"/>
    <w:rsid w:val="004C5CB9"/>
    <w:rsid w:val="004C67A1"/>
    <w:rsid w:val="004D023C"/>
    <w:rsid w:val="004D15A3"/>
    <w:rsid w:val="004D21BE"/>
    <w:rsid w:val="004D36BE"/>
    <w:rsid w:val="004D3932"/>
    <w:rsid w:val="004D3BFF"/>
    <w:rsid w:val="004D3FBA"/>
    <w:rsid w:val="004D406F"/>
    <w:rsid w:val="004D482A"/>
    <w:rsid w:val="004D4A92"/>
    <w:rsid w:val="004D6AD7"/>
    <w:rsid w:val="004D72BC"/>
    <w:rsid w:val="004E1931"/>
    <w:rsid w:val="004E2E07"/>
    <w:rsid w:val="004E52F1"/>
    <w:rsid w:val="004E6421"/>
    <w:rsid w:val="004E6566"/>
    <w:rsid w:val="004F232C"/>
    <w:rsid w:val="004F23EB"/>
    <w:rsid w:val="004F3198"/>
    <w:rsid w:val="004F36B9"/>
    <w:rsid w:val="004F52EA"/>
    <w:rsid w:val="004F54DF"/>
    <w:rsid w:val="004F60A3"/>
    <w:rsid w:val="004F7990"/>
    <w:rsid w:val="00501CF4"/>
    <w:rsid w:val="00502058"/>
    <w:rsid w:val="0050207D"/>
    <w:rsid w:val="0050327D"/>
    <w:rsid w:val="0050368B"/>
    <w:rsid w:val="00504548"/>
    <w:rsid w:val="00504591"/>
    <w:rsid w:val="0050513F"/>
    <w:rsid w:val="00505832"/>
    <w:rsid w:val="00505DD1"/>
    <w:rsid w:val="00505E0F"/>
    <w:rsid w:val="005060A5"/>
    <w:rsid w:val="00506EB1"/>
    <w:rsid w:val="00507EDC"/>
    <w:rsid w:val="005114D0"/>
    <w:rsid w:val="00511809"/>
    <w:rsid w:val="00512160"/>
    <w:rsid w:val="005137AF"/>
    <w:rsid w:val="00515D8C"/>
    <w:rsid w:val="0051671B"/>
    <w:rsid w:val="00516F7C"/>
    <w:rsid w:val="00517399"/>
    <w:rsid w:val="00517931"/>
    <w:rsid w:val="00517DA6"/>
    <w:rsid w:val="005202A8"/>
    <w:rsid w:val="005204BA"/>
    <w:rsid w:val="00520A20"/>
    <w:rsid w:val="00521960"/>
    <w:rsid w:val="005228E3"/>
    <w:rsid w:val="00522D0D"/>
    <w:rsid w:val="00522EE1"/>
    <w:rsid w:val="005232A7"/>
    <w:rsid w:val="005239AB"/>
    <w:rsid w:val="00524308"/>
    <w:rsid w:val="00524ADE"/>
    <w:rsid w:val="0052536F"/>
    <w:rsid w:val="00525776"/>
    <w:rsid w:val="00525BEF"/>
    <w:rsid w:val="00527220"/>
    <w:rsid w:val="005306A8"/>
    <w:rsid w:val="00530722"/>
    <w:rsid w:val="0053190B"/>
    <w:rsid w:val="00531C40"/>
    <w:rsid w:val="00532E6E"/>
    <w:rsid w:val="00534171"/>
    <w:rsid w:val="00534227"/>
    <w:rsid w:val="00534858"/>
    <w:rsid w:val="00534F7B"/>
    <w:rsid w:val="00535DD2"/>
    <w:rsid w:val="00537ED8"/>
    <w:rsid w:val="00540288"/>
    <w:rsid w:val="00540700"/>
    <w:rsid w:val="00540C72"/>
    <w:rsid w:val="00540EC4"/>
    <w:rsid w:val="005414AB"/>
    <w:rsid w:val="0054272A"/>
    <w:rsid w:val="00542A1D"/>
    <w:rsid w:val="005454EF"/>
    <w:rsid w:val="005462ED"/>
    <w:rsid w:val="0054637F"/>
    <w:rsid w:val="00546EC4"/>
    <w:rsid w:val="00547173"/>
    <w:rsid w:val="00547E53"/>
    <w:rsid w:val="005504C1"/>
    <w:rsid w:val="00551F6F"/>
    <w:rsid w:val="00551FCC"/>
    <w:rsid w:val="0055228D"/>
    <w:rsid w:val="00552B33"/>
    <w:rsid w:val="00553937"/>
    <w:rsid w:val="00554C55"/>
    <w:rsid w:val="00554D22"/>
    <w:rsid w:val="0055563B"/>
    <w:rsid w:val="00557254"/>
    <w:rsid w:val="00557320"/>
    <w:rsid w:val="005578CF"/>
    <w:rsid w:val="00557A44"/>
    <w:rsid w:val="00560670"/>
    <w:rsid w:val="005618C4"/>
    <w:rsid w:val="0056381C"/>
    <w:rsid w:val="00563FE6"/>
    <w:rsid w:val="00565924"/>
    <w:rsid w:val="00565B69"/>
    <w:rsid w:val="0056610A"/>
    <w:rsid w:val="005662C6"/>
    <w:rsid w:val="00567928"/>
    <w:rsid w:val="005720A8"/>
    <w:rsid w:val="005729E8"/>
    <w:rsid w:val="00573705"/>
    <w:rsid w:val="00574DE6"/>
    <w:rsid w:val="00574E77"/>
    <w:rsid w:val="0057533E"/>
    <w:rsid w:val="00576547"/>
    <w:rsid w:val="0057735B"/>
    <w:rsid w:val="00580F19"/>
    <w:rsid w:val="005814DA"/>
    <w:rsid w:val="00581AD3"/>
    <w:rsid w:val="00581BC1"/>
    <w:rsid w:val="00583049"/>
    <w:rsid w:val="0058424A"/>
    <w:rsid w:val="00584523"/>
    <w:rsid w:val="0058577B"/>
    <w:rsid w:val="00586758"/>
    <w:rsid w:val="0059221A"/>
    <w:rsid w:val="005926C4"/>
    <w:rsid w:val="0059327A"/>
    <w:rsid w:val="00593EBD"/>
    <w:rsid w:val="00594E01"/>
    <w:rsid w:val="0059536E"/>
    <w:rsid w:val="005957D0"/>
    <w:rsid w:val="005A0B15"/>
    <w:rsid w:val="005A0B75"/>
    <w:rsid w:val="005A18D0"/>
    <w:rsid w:val="005A219D"/>
    <w:rsid w:val="005A31B5"/>
    <w:rsid w:val="005A43AE"/>
    <w:rsid w:val="005A4854"/>
    <w:rsid w:val="005A5F9C"/>
    <w:rsid w:val="005A6DE4"/>
    <w:rsid w:val="005B06DC"/>
    <w:rsid w:val="005B0B27"/>
    <w:rsid w:val="005B15DF"/>
    <w:rsid w:val="005B16DE"/>
    <w:rsid w:val="005B2642"/>
    <w:rsid w:val="005B282B"/>
    <w:rsid w:val="005B4169"/>
    <w:rsid w:val="005B4ABF"/>
    <w:rsid w:val="005B54C6"/>
    <w:rsid w:val="005B5D4D"/>
    <w:rsid w:val="005B65C8"/>
    <w:rsid w:val="005B6A7E"/>
    <w:rsid w:val="005B709A"/>
    <w:rsid w:val="005C02E8"/>
    <w:rsid w:val="005C03A9"/>
    <w:rsid w:val="005C04CA"/>
    <w:rsid w:val="005C09DB"/>
    <w:rsid w:val="005C1A12"/>
    <w:rsid w:val="005C1AE4"/>
    <w:rsid w:val="005C6C9D"/>
    <w:rsid w:val="005C7CEB"/>
    <w:rsid w:val="005D02A8"/>
    <w:rsid w:val="005D09BB"/>
    <w:rsid w:val="005D09F5"/>
    <w:rsid w:val="005D10C7"/>
    <w:rsid w:val="005D1DCC"/>
    <w:rsid w:val="005D2B2C"/>
    <w:rsid w:val="005D2C48"/>
    <w:rsid w:val="005D3BED"/>
    <w:rsid w:val="005D4CA9"/>
    <w:rsid w:val="005D6731"/>
    <w:rsid w:val="005E00E6"/>
    <w:rsid w:val="005E044B"/>
    <w:rsid w:val="005E0643"/>
    <w:rsid w:val="005E10F2"/>
    <w:rsid w:val="005E14BB"/>
    <w:rsid w:val="005E153D"/>
    <w:rsid w:val="005E25EB"/>
    <w:rsid w:val="005E28CF"/>
    <w:rsid w:val="005E4084"/>
    <w:rsid w:val="005E428E"/>
    <w:rsid w:val="005E5699"/>
    <w:rsid w:val="005E6FA2"/>
    <w:rsid w:val="005F1199"/>
    <w:rsid w:val="005F1700"/>
    <w:rsid w:val="005F1CBE"/>
    <w:rsid w:val="005F3537"/>
    <w:rsid w:val="005F4BF0"/>
    <w:rsid w:val="005F638D"/>
    <w:rsid w:val="0060029F"/>
    <w:rsid w:val="00601543"/>
    <w:rsid w:val="00601B20"/>
    <w:rsid w:val="006025CF"/>
    <w:rsid w:val="00602D79"/>
    <w:rsid w:val="0060376B"/>
    <w:rsid w:val="00605AEB"/>
    <w:rsid w:val="0060610F"/>
    <w:rsid w:val="00607A80"/>
    <w:rsid w:val="0061015B"/>
    <w:rsid w:val="006101D7"/>
    <w:rsid w:val="00613013"/>
    <w:rsid w:val="006143AE"/>
    <w:rsid w:val="006149C7"/>
    <w:rsid w:val="00615071"/>
    <w:rsid w:val="00615166"/>
    <w:rsid w:val="00615648"/>
    <w:rsid w:val="00617069"/>
    <w:rsid w:val="00620760"/>
    <w:rsid w:val="00621399"/>
    <w:rsid w:val="00622E66"/>
    <w:rsid w:val="00624C9E"/>
    <w:rsid w:val="00624EE6"/>
    <w:rsid w:val="006253E4"/>
    <w:rsid w:val="0062543B"/>
    <w:rsid w:val="006261FF"/>
    <w:rsid w:val="00626BFF"/>
    <w:rsid w:val="00626F22"/>
    <w:rsid w:val="00627017"/>
    <w:rsid w:val="0063114E"/>
    <w:rsid w:val="006324FD"/>
    <w:rsid w:val="00633C02"/>
    <w:rsid w:val="00635736"/>
    <w:rsid w:val="006358BE"/>
    <w:rsid w:val="00637527"/>
    <w:rsid w:val="0063784B"/>
    <w:rsid w:val="00640684"/>
    <w:rsid w:val="006413E8"/>
    <w:rsid w:val="00642A76"/>
    <w:rsid w:val="006435D7"/>
    <w:rsid w:val="006448D2"/>
    <w:rsid w:val="00645019"/>
    <w:rsid w:val="00645A9F"/>
    <w:rsid w:val="00651AD3"/>
    <w:rsid w:val="00652BDE"/>
    <w:rsid w:val="00655601"/>
    <w:rsid w:val="0065644C"/>
    <w:rsid w:val="0065709D"/>
    <w:rsid w:val="0066033A"/>
    <w:rsid w:val="00660A12"/>
    <w:rsid w:val="006618D6"/>
    <w:rsid w:val="00661A7B"/>
    <w:rsid w:val="00662D7D"/>
    <w:rsid w:val="006648DD"/>
    <w:rsid w:val="00664EE2"/>
    <w:rsid w:val="00665137"/>
    <w:rsid w:val="006652F6"/>
    <w:rsid w:val="00665416"/>
    <w:rsid w:val="006665CD"/>
    <w:rsid w:val="00666D64"/>
    <w:rsid w:val="00667AD5"/>
    <w:rsid w:val="00671024"/>
    <w:rsid w:val="00671971"/>
    <w:rsid w:val="0067201D"/>
    <w:rsid w:val="0067248E"/>
    <w:rsid w:val="006724C8"/>
    <w:rsid w:val="0067259A"/>
    <w:rsid w:val="0067271F"/>
    <w:rsid w:val="006761DE"/>
    <w:rsid w:val="00676568"/>
    <w:rsid w:val="00676BC3"/>
    <w:rsid w:val="00677B71"/>
    <w:rsid w:val="0068011D"/>
    <w:rsid w:val="00681646"/>
    <w:rsid w:val="006816F7"/>
    <w:rsid w:val="00682A60"/>
    <w:rsid w:val="006840BF"/>
    <w:rsid w:val="006851AD"/>
    <w:rsid w:val="0068602D"/>
    <w:rsid w:val="00686580"/>
    <w:rsid w:val="00687B2D"/>
    <w:rsid w:val="006901EA"/>
    <w:rsid w:val="006907E3"/>
    <w:rsid w:val="00692E8A"/>
    <w:rsid w:val="00693013"/>
    <w:rsid w:val="00694189"/>
    <w:rsid w:val="00696AAC"/>
    <w:rsid w:val="006A1C23"/>
    <w:rsid w:val="006A22EE"/>
    <w:rsid w:val="006A2BFC"/>
    <w:rsid w:val="006A3226"/>
    <w:rsid w:val="006A33EE"/>
    <w:rsid w:val="006A696D"/>
    <w:rsid w:val="006A6A0C"/>
    <w:rsid w:val="006A7C17"/>
    <w:rsid w:val="006A7FE8"/>
    <w:rsid w:val="006B0517"/>
    <w:rsid w:val="006B0E33"/>
    <w:rsid w:val="006B1F9A"/>
    <w:rsid w:val="006B4232"/>
    <w:rsid w:val="006B58D4"/>
    <w:rsid w:val="006B618B"/>
    <w:rsid w:val="006C34EF"/>
    <w:rsid w:val="006C50D3"/>
    <w:rsid w:val="006C53BF"/>
    <w:rsid w:val="006C63D9"/>
    <w:rsid w:val="006C65E3"/>
    <w:rsid w:val="006C790A"/>
    <w:rsid w:val="006D0909"/>
    <w:rsid w:val="006D1800"/>
    <w:rsid w:val="006D1C87"/>
    <w:rsid w:val="006D2703"/>
    <w:rsid w:val="006D29ED"/>
    <w:rsid w:val="006D2DFD"/>
    <w:rsid w:val="006D359E"/>
    <w:rsid w:val="006D6576"/>
    <w:rsid w:val="006D7DEF"/>
    <w:rsid w:val="006E17A4"/>
    <w:rsid w:val="006E1E09"/>
    <w:rsid w:val="006E2FFC"/>
    <w:rsid w:val="006E4072"/>
    <w:rsid w:val="006E4E63"/>
    <w:rsid w:val="006E59E9"/>
    <w:rsid w:val="006E5C7E"/>
    <w:rsid w:val="006E68AD"/>
    <w:rsid w:val="006E68B0"/>
    <w:rsid w:val="006E6A0C"/>
    <w:rsid w:val="006E6CFF"/>
    <w:rsid w:val="006E6F6F"/>
    <w:rsid w:val="006E73BE"/>
    <w:rsid w:val="006F0345"/>
    <w:rsid w:val="006F0924"/>
    <w:rsid w:val="006F0927"/>
    <w:rsid w:val="006F0F7D"/>
    <w:rsid w:val="006F1F96"/>
    <w:rsid w:val="006F1FDF"/>
    <w:rsid w:val="006F2E8F"/>
    <w:rsid w:val="006F40E8"/>
    <w:rsid w:val="006F4D27"/>
    <w:rsid w:val="006F571B"/>
    <w:rsid w:val="006F611F"/>
    <w:rsid w:val="00701723"/>
    <w:rsid w:val="007029F6"/>
    <w:rsid w:val="0070333B"/>
    <w:rsid w:val="007042CE"/>
    <w:rsid w:val="0070474E"/>
    <w:rsid w:val="00705C71"/>
    <w:rsid w:val="00705EEF"/>
    <w:rsid w:val="007108C5"/>
    <w:rsid w:val="00711607"/>
    <w:rsid w:val="00711E6A"/>
    <w:rsid w:val="00712ACF"/>
    <w:rsid w:val="00714635"/>
    <w:rsid w:val="007163A5"/>
    <w:rsid w:val="00722074"/>
    <w:rsid w:val="007230EC"/>
    <w:rsid w:val="007243EB"/>
    <w:rsid w:val="00724BC7"/>
    <w:rsid w:val="0072511D"/>
    <w:rsid w:val="007269E0"/>
    <w:rsid w:val="007269F8"/>
    <w:rsid w:val="00727F1F"/>
    <w:rsid w:val="00730E80"/>
    <w:rsid w:val="00731A1F"/>
    <w:rsid w:val="00731BAE"/>
    <w:rsid w:val="00731F5F"/>
    <w:rsid w:val="00733DB4"/>
    <w:rsid w:val="00734B18"/>
    <w:rsid w:val="007352C5"/>
    <w:rsid w:val="007359B5"/>
    <w:rsid w:val="007368D3"/>
    <w:rsid w:val="00736C16"/>
    <w:rsid w:val="0074097A"/>
    <w:rsid w:val="00740CE2"/>
    <w:rsid w:val="00741776"/>
    <w:rsid w:val="00741ABC"/>
    <w:rsid w:val="00743751"/>
    <w:rsid w:val="00743FD8"/>
    <w:rsid w:val="007458F8"/>
    <w:rsid w:val="00751841"/>
    <w:rsid w:val="00751FD7"/>
    <w:rsid w:val="007520A7"/>
    <w:rsid w:val="00752155"/>
    <w:rsid w:val="00754012"/>
    <w:rsid w:val="00755539"/>
    <w:rsid w:val="00755C7A"/>
    <w:rsid w:val="00756496"/>
    <w:rsid w:val="00756881"/>
    <w:rsid w:val="00757C3C"/>
    <w:rsid w:val="007602E4"/>
    <w:rsid w:val="00761CAD"/>
    <w:rsid w:val="00762DED"/>
    <w:rsid w:val="00763C53"/>
    <w:rsid w:val="00763E78"/>
    <w:rsid w:val="00764966"/>
    <w:rsid w:val="00766DA9"/>
    <w:rsid w:val="00767017"/>
    <w:rsid w:val="007702E2"/>
    <w:rsid w:val="00770FD5"/>
    <w:rsid w:val="00772444"/>
    <w:rsid w:val="00772D50"/>
    <w:rsid w:val="00773036"/>
    <w:rsid w:val="00773F1F"/>
    <w:rsid w:val="00780409"/>
    <w:rsid w:val="00780A6E"/>
    <w:rsid w:val="00782631"/>
    <w:rsid w:val="00782C9C"/>
    <w:rsid w:val="00783976"/>
    <w:rsid w:val="00784F4B"/>
    <w:rsid w:val="00785AA3"/>
    <w:rsid w:val="00786099"/>
    <w:rsid w:val="00786E16"/>
    <w:rsid w:val="00786F7D"/>
    <w:rsid w:val="00787930"/>
    <w:rsid w:val="00787F7D"/>
    <w:rsid w:val="00790F9F"/>
    <w:rsid w:val="00792A6E"/>
    <w:rsid w:val="00793BB3"/>
    <w:rsid w:val="0079492C"/>
    <w:rsid w:val="0079511F"/>
    <w:rsid w:val="007960AA"/>
    <w:rsid w:val="007A0397"/>
    <w:rsid w:val="007A04A3"/>
    <w:rsid w:val="007A1964"/>
    <w:rsid w:val="007A197C"/>
    <w:rsid w:val="007A23B3"/>
    <w:rsid w:val="007A26C0"/>
    <w:rsid w:val="007A320A"/>
    <w:rsid w:val="007A345B"/>
    <w:rsid w:val="007A3B8A"/>
    <w:rsid w:val="007A61AE"/>
    <w:rsid w:val="007A6559"/>
    <w:rsid w:val="007A6584"/>
    <w:rsid w:val="007A675C"/>
    <w:rsid w:val="007A71CE"/>
    <w:rsid w:val="007A77CA"/>
    <w:rsid w:val="007B1BF3"/>
    <w:rsid w:val="007B2617"/>
    <w:rsid w:val="007B2925"/>
    <w:rsid w:val="007B34E7"/>
    <w:rsid w:val="007B43E8"/>
    <w:rsid w:val="007B61D4"/>
    <w:rsid w:val="007B6CA6"/>
    <w:rsid w:val="007B6D97"/>
    <w:rsid w:val="007B741D"/>
    <w:rsid w:val="007B7A73"/>
    <w:rsid w:val="007C15D1"/>
    <w:rsid w:val="007C328B"/>
    <w:rsid w:val="007C3324"/>
    <w:rsid w:val="007C3A3C"/>
    <w:rsid w:val="007C527D"/>
    <w:rsid w:val="007C56D7"/>
    <w:rsid w:val="007C5FB9"/>
    <w:rsid w:val="007C5FFC"/>
    <w:rsid w:val="007C6DE7"/>
    <w:rsid w:val="007D003B"/>
    <w:rsid w:val="007D0A34"/>
    <w:rsid w:val="007D0F62"/>
    <w:rsid w:val="007D2DB9"/>
    <w:rsid w:val="007D366A"/>
    <w:rsid w:val="007D42CC"/>
    <w:rsid w:val="007D432E"/>
    <w:rsid w:val="007D479C"/>
    <w:rsid w:val="007D52C1"/>
    <w:rsid w:val="007D6081"/>
    <w:rsid w:val="007D6DAD"/>
    <w:rsid w:val="007D785F"/>
    <w:rsid w:val="007D7E41"/>
    <w:rsid w:val="007E0DF8"/>
    <w:rsid w:val="007E1429"/>
    <w:rsid w:val="007E17E0"/>
    <w:rsid w:val="007E1A0E"/>
    <w:rsid w:val="007E1A2A"/>
    <w:rsid w:val="007E4A85"/>
    <w:rsid w:val="007E523E"/>
    <w:rsid w:val="007E5DD4"/>
    <w:rsid w:val="007E7168"/>
    <w:rsid w:val="007E7261"/>
    <w:rsid w:val="007E75A4"/>
    <w:rsid w:val="007F06E8"/>
    <w:rsid w:val="007F07D9"/>
    <w:rsid w:val="007F11E1"/>
    <w:rsid w:val="007F1B4D"/>
    <w:rsid w:val="007F24DE"/>
    <w:rsid w:val="007F2726"/>
    <w:rsid w:val="007F2DF3"/>
    <w:rsid w:val="007F2FD4"/>
    <w:rsid w:val="007F38DD"/>
    <w:rsid w:val="007F69DC"/>
    <w:rsid w:val="007F6A88"/>
    <w:rsid w:val="007F7440"/>
    <w:rsid w:val="008010F2"/>
    <w:rsid w:val="00801395"/>
    <w:rsid w:val="00801738"/>
    <w:rsid w:val="0080214D"/>
    <w:rsid w:val="008022BA"/>
    <w:rsid w:val="008022FC"/>
    <w:rsid w:val="0080297C"/>
    <w:rsid w:val="00803425"/>
    <w:rsid w:val="00803A6E"/>
    <w:rsid w:val="00804C2D"/>
    <w:rsid w:val="0080508C"/>
    <w:rsid w:val="00805267"/>
    <w:rsid w:val="00806240"/>
    <w:rsid w:val="00806972"/>
    <w:rsid w:val="00807110"/>
    <w:rsid w:val="00810DDC"/>
    <w:rsid w:val="00810F66"/>
    <w:rsid w:val="008118A8"/>
    <w:rsid w:val="0081235A"/>
    <w:rsid w:val="0081392F"/>
    <w:rsid w:val="00814F44"/>
    <w:rsid w:val="00815003"/>
    <w:rsid w:val="00815923"/>
    <w:rsid w:val="00815B4A"/>
    <w:rsid w:val="00817587"/>
    <w:rsid w:val="0082049F"/>
    <w:rsid w:val="008204A9"/>
    <w:rsid w:val="00822403"/>
    <w:rsid w:val="008224ED"/>
    <w:rsid w:val="00822CA3"/>
    <w:rsid w:val="00823E41"/>
    <w:rsid w:val="00824F9B"/>
    <w:rsid w:val="00825707"/>
    <w:rsid w:val="00825C85"/>
    <w:rsid w:val="00827542"/>
    <w:rsid w:val="00827C33"/>
    <w:rsid w:val="00831827"/>
    <w:rsid w:val="0083228E"/>
    <w:rsid w:val="0083300D"/>
    <w:rsid w:val="008342A0"/>
    <w:rsid w:val="00834AFA"/>
    <w:rsid w:val="0083609B"/>
    <w:rsid w:val="00837392"/>
    <w:rsid w:val="008377AB"/>
    <w:rsid w:val="00837A3C"/>
    <w:rsid w:val="008408E8"/>
    <w:rsid w:val="008413A9"/>
    <w:rsid w:val="00841C04"/>
    <w:rsid w:val="00841D46"/>
    <w:rsid w:val="00842033"/>
    <w:rsid w:val="008423CE"/>
    <w:rsid w:val="00842547"/>
    <w:rsid w:val="0084412C"/>
    <w:rsid w:val="00844486"/>
    <w:rsid w:val="0084550D"/>
    <w:rsid w:val="0084609E"/>
    <w:rsid w:val="008475A3"/>
    <w:rsid w:val="00850E80"/>
    <w:rsid w:val="00851207"/>
    <w:rsid w:val="0085123B"/>
    <w:rsid w:val="0085191C"/>
    <w:rsid w:val="008524F1"/>
    <w:rsid w:val="008526E4"/>
    <w:rsid w:val="00852CAE"/>
    <w:rsid w:val="00853BE0"/>
    <w:rsid w:val="00856910"/>
    <w:rsid w:val="00856E6C"/>
    <w:rsid w:val="00857F10"/>
    <w:rsid w:val="008601E5"/>
    <w:rsid w:val="00860947"/>
    <w:rsid w:val="008617E6"/>
    <w:rsid w:val="00861889"/>
    <w:rsid w:val="00861D67"/>
    <w:rsid w:val="00862270"/>
    <w:rsid w:val="00863A75"/>
    <w:rsid w:val="0086602B"/>
    <w:rsid w:val="008661B1"/>
    <w:rsid w:val="00867709"/>
    <w:rsid w:val="00871B0A"/>
    <w:rsid w:val="0087334B"/>
    <w:rsid w:val="00875738"/>
    <w:rsid w:val="00875FD4"/>
    <w:rsid w:val="00876821"/>
    <w:rsid w:val="0087693E"/>
    <w:rsid w:val="0088006D"/>
    <w:rsid w:val="00880FC1"/>
    <w:rsid w:val="008813DE"/>
    <w:rsid w:val="00881516"/>
    <w:rsid w:val="008824DD"/>
    <w:rsid w:val="008844FD"/>
    <w:rsid w:val="0088522E"/>
    <w:rsid w:val="0088618A"/>
    <w:rsid w:val="0088663C"/>
    <w:rsid w:val="00886A1E"/>
    <w:rsid w:val="00886CC4"/>
    <w:rsid w:val="00887873"/>
    <w:rsid w:val="00887910"/>
    <w:rsid w:val="00887D0B"/>
    <w:rsid w:val="00892688"/>
    <w:rsid w:val="00892B69"/>
    <w:rsid w:val="00892BD9"/>
    <w:rsid w:val="00892DB6"/>
    <w:rsid w:val="00894C14"/>
    <w:rsid w:val="008A33CD"/>
    <w:rsid w:val="008A41DA"/>
    <w:rsid w:val="008A43BC"/>
    <w:rsid w:val="008A6EB1"/>
    <w:rsid w:val="008B0B7B"/>
    <w:rsid w:val="008B1CC5"/>
    <w:rsid w:val="008B2B0A"/>
    <w:rsid w:val="008B2E2B"/>
    <w:rsid w:val="008B2F26"/>
    <w:rsid w:val="008B3072"/>
    <w:rsid w:val="008B3CA3"/>
    <w:rsid w:val="008B534F"/>
    <w:rsid w:val="008B7EB3"/>
    <w:rsid w:val="008C11F1"/>
    <w:rsid w:val="008C1DD6"/>
    <w:rsid w:val="008C2021"/>
    <w:rsid w:val="008C2368"/>
    <w:rsid w:val="008C3519"/>
    <w:rsid w:val="008C5B53"/>
    <w:rsid w:val="008D1B71"/>
    <w:rsid w:val="008D3CE4"/>
    <w:rsid w:val="008D3E4B"/>
    <w:rsid w:val="008D3FC7"/>
    <w:rsid w:val="008D5663"/>
    <w:rsid w:val="008D6797"/>
    <w:rsid w:val="008D69C3"/>
    <w:rsid w:val="008D6D5D"/>
    <w:rsid w:val="008D7288"/>
    <w:rsid w:val="008D7343"/>
    <w:rsid w:val="008D744B"/>
    <w:rsid w:val="008D7611"/>
    <w:rsid w:val="008D7D9A"/>
    <w:rsid w:val="008E0445"/>
    <w:rsid w:val="008E0E64"/>
    <w:rsid w:val="008E1228"/>
    <w:rsid w:val="008E25ED"/>
    <w:rsid w:val="008E26C7"/>
    <w:rsid w:val="008E4234"/>
    <w:rsid w:val="008E567B"/>
    <w:rsid w:val="008E5692"/>
    <w:rsid w:val="008E61FB"/>
    <w:rsid w:val="008E61FC"/>
    <w:rsid w:val="008E6629"/>
    <w:rsid w:val="008E69EE"/>
    <w:rsid w:val="008E759D"/>
    <w:rsid w:val="008E7A60"/>
    <w:rsid w:val="008F052E"/>
    <w:rsid w:val="008F0F9F"/>
    <w:rsid w:val="008F3F03"/>
    <w:rsid w:val="008F66F2"/>
    <w:rsid w:val="008F7033"/>
    <w:rsid w:val="008F73EC"/>
    <w:rsid w:val="008F74C3"/>
    <w:rsid w:val="00902447"/>
    <w:rsid w:val="00902A1B"/>
    <w:rsid w:val="00902DFA"/>
    <w:rsid w:val="00903F5B"/>
    <w:rsid w:val="009064B2"/>
    <w:rsid w:val="009067D9"/>
    <w:rsid w:val="00906EF4"/>
    <w:rsid w:val="00910C54"/>
    <w:rsid w:val="00911AE5"/>
    <w:rsid w:val="00912778"/>
    <w:rsid w:val="0091382B"/>
    <w:rsid w:val="009140F3"/>
    <w:rsid w:val="00915119"/>
    <w:rsid w:val="00915734"/>
    <w:rsid w:val="0091597D"/>
    <w:rsid w:val="00915C72"/>
    <w:rsid w:val="00916587"/>
    <w:rsid w:val="0091687E"/>
    <w:rsid w:val="0092192B"/>
    <w:rsid w:val="00922107"/>
    <w:rsid w:val="0092330B"/>
    <w:rsid w:val="00923D36"/>
    <w:rsid w:val="00925353"/>
    <w:rsid w:val="00926D74"/>
    <w:rsid w:val="00927BD6"/>
    <w:rsid w:val="00930C5A"/>
    <w:rsid w:val="00930C81"/>
    <w:rsid w:val="00931430"/>
    <w:rsid w:val="0093147F"/>
    <w:rsid w:val="00931A0A"/>
    <w:rsid w:val="00931F18"/>
    <w:rsid w:val="00932648"/>
    <w:rsid w:val="0093351D"/>
    <w:rsid w:val="0093456E"/>
    <w:rsid w:val="00936A17"/>
    <w:rsid w:val="00937710"/>
    <w:rsid w:val="0093790C"/>
    <w:rsid w:val="009406B5"/>
    <w:rsid w:val="00943031"/>
    <w:rsid w:val="0094352F"/>
    <w:rsid w:val="009436A3"/>
    <w:rsid w:val="00944410"/>
    <w:rsid w:val="009448D1"/>
    <w:rsid w:val="009448F0"/>
    <w:rsid w:val="00946445"/>
    <w:rsid w:val="00947F32"/>
    <w:rsid w:val="00952BFB"/>
    <w:rsid w:val="00953295"/>
    <w:rsid w:val="00955819"/>
    <w:rsid w:val="00955B38"/>
    <w:rsid w:val="00956BFF"/>
    <w:rsid w:val="0095767C"/>
    <w:rsid w:val="00957E87"/>
    <w:rsid w:val="0096051A"/>
    <w:rsid w:val="009608E5"/>
    <w:rsid w:val="00960AC2"/>
    <w:rsid w:val="00960AED"/>
    <w:rsid w:val="00960B7E"/>
    <w:rsid w:val="00960CDE"/>
    <w:rsid w:val="00961557"/>
    <w:rsid w:val="009618D4"/>
    <w:rsid w:val="0096191B"/>
    <w:rsid w:val="00961C69"/>
    <w:rsid w:val="00962770"/>
    <w:rsid w:val="0096289A"/>
    <w:rsid w:val="0096331B"/>
    <w:rsid w:val="00963810"/>
    <w:rsid w:val="00963EC8"/>
    <w:rsid w:val="00964580"/>
    <w:rsid w:val="0096464D"/>
    <w:rsid w:val="00965FAF"/>
    <w:rsid w:val="00966438"/>
    <w:rsid w:val="00967256"/>
    <w:rsid w:val="009708B0"/>
    <w:rsid w:val="00970F75"/>
    <w:rsid w:val="00971E16"/>
    <w:rsid w:val="00973FD9"/>
    <w:rsid w:val="0097430E"/>
    <w:rsid w:val="00974B30"/>
    <w:rsid w:val="0097536A"/>
    <w:rsid w:val="0097577F"/>
    <w:rsid w:val="00980248"/>
    <w:rsid w:val="0098039A"/>
    <w:rsid w:val="00980AB2"/>
    <w:rsid w:val="00982ABA"/>
    <w:rsid w:val="00983822"/>
    <w:rsid w:val="00985821"/>
    <w:rsid w:val="00985A57"/>
    <w:rsid w:val="00985E56"/>
    <w:rsid w:val="009868BA"/>
    <w:rsid w:val="009870D3"/>
    <w:rsid w:val="00987D35"/>
    <w:rsid w:val="009907D0"/>
    <w:rsid w:val="00991632"/>
    <w:rsid w:val="009921EF"/>
    <w:rsid w:val="00992D29"/>
    <w:rsid w:val="00993CF9"/>
    <w:rsid w:val="00995745"/>
    <w:rsid w:val="00997427"/>
    <w:rsid w:val="009A076E"/>
    <w:rsid w:val="009A125E"/>
    <w:rsid w:val="009A2846"/>
    <w:rsid w:val="009A3154"/>
    <w:rsid w:val="009A466C"/>
    <w:rsid w:val="009A57C8"/>
    <w:rsid w:val="009A7837"/>
    <w:rsid w:val="009A7DCB"/>
    <w:rsid w:val="009B2D05"/>
    <w:rsid w:val="009B3753"/>
    <w:rsid w:val="009B42BA"/>
    <w:rsid w:val="009B47CB"/>
    <w:rsid w:val="009B59CF"/>
    <w:rsid w:val="009B7EEE"/>
    <w:rsid w:val="009C01B4"/>
    <w:rsid w:val="009C0A67"/>
    <w:rsid w:val="009C10B6"/>
    <w:rsid w:val="009C17E1"/>
    <w:rsid w:val="009C1B4A"/>
    <w:rsid w:val="009C1F19"/>
    <w:rsid w:val="009C571E"/>
    <w:rsid w:val="009C5A3C"/>
    <w:rsid w:val="009C5B57"/>
    <w:rsid w:val="009C628F"/>
    <w:rsid w:val="009C6D5D"/>
    <w:rsid w:val="009C7C55"/>
    <w:rsid w:val="009D0329"/>
    <w:rsid w:val="009D1D13"/>
    <w:rsid w:val="009D29D3"/>
    <w:rsid w:val="009D2A81"/>
    <w:rsid w:val="009D35CB"/>
    <w:rsid w:val="009D398E"/>
    <w:rsid w:val="009D4465"/>
    <w:rsid w:val="009D555E"/>
    <w:rsid w:val="009D5C30"/>
    <w:rsid w:val="009D6EC6"/>
    <w:rsid w:val="009D7544"/>
    <w:rsid w:val="009E083B"/>
    <w:rsid w:val="009E0AC5"/>
    <w:rsid w:val="009E1803"/>
    <w:rsid w:val="009E1894"/>
    <w:rsid w:val="009E2430"/>
    <w:rsid w:val="009E276A"/>
    <w:rsid w:val="009E2E49"/>
    <w:rsid w:val="009E3B7F"/>
    <w:rsid w:val="009E4525"/>
    <w:rsid w:val="009E45E4"/>
    <w:rsid w:val="009E4761"/>
    <w:rsid w:val="009E5238"/>
    <w:rsid w:val="009E59F0"/>
    <w:rsid w:val="009E5E97"/>
    <w:rsid w:val="009E6536"/>
    <w:rsid w:val="009E6F1D"/>
    <w:rsid w:val="009E74C1"/>
    <w:rsid w:val="009F0B4A"/>
    <w:rsid w:val="009F1714"/>
    <w:rsid w:val="009F1E9E"/>
    <w:rsid w:val="009F302B"/>
    <w:rsid w:val="009F553F"/>
    <w:rsid w:val="009F5975"/>
    <w:rsid w:val="00A00CAE"/>
    <w:rsid w:val="00A01836"/>
    <w:rsid w:val="00A04775"/>
    <w:rsid w:val="00A10228"/>
    <w:rsid w:val="00A10D1D"/>
    <w:rsid w:val="00A1157B"/>
    <w:rsid w:val="00A11A2E"/>
    <w:rsid w:val="00A11E8D"/>
    <w:rsid w:val="00A12F27"/>
    <w:rsid w:val="00A13982"/>
    <w:rsid w:val="00A154F9"/>
    <w:rsid w:val="00A1617F"/>
    <w:rsid w:val="00A1751C"/>
    <w:rsid w:val="00A17704"/>
    <w:rsid w:val="00A219D9"/>
    <w:rsid w:val="00A22190"/>
    <w:rsid w:val="00A22422"/>
    <w:rsid w:val="00A2303F"/>
    <w:rsid w:val="00A24792"/>
    <w:rsid w:val="00A24DAB"/>
    <w:rsid w:val="00A2598F"/>
    <w:rsid w:val="00A25C77"/>
    <w:rsid w:val="00A26B81"/>
    <w:rsid w:val="00A270F7"/>
    <w:rsid w:val="00A30768"/>
    <w:rsid w:val="00A339AD"/>
    <w:rsid w:val="00A345DB"/>
    <w:rsid w:val="00A3518E"/>
    <w:rsid w:val="00A357F2"/>
    <w:rsid w:val="00A35FEC"/>
    <w:rsid w:val="00A36997"/>
    <w:rsid w:val="00A372FE"/>
    <w:rsid w:val="00A4023A"/>
    <w:rsid w:val="00A407A3"/>
    <w:rsid w:val="00A40D92"/>
    <w:rsid w:val="00A430F0"/>
    <w:rsid w:val="00A43226"/>
    <w:rsid w:val="00A43B4D"/>
    <w:rsid w:val="00A45EE6"/>
    <w:rsid w:val="00A46180"/>
    <w:rsid w:val="00A46182"/>
    <w:rsid w:val="00A50916"/>
    <w:rsid w:val="00A50BC0"/>
    <w:rsid w:val="00A515D0"/>
    <w:rsid w:val="00A52543"/>
    <w:rsid w:val="00A53C9E"/>
    <w:rsid w:val="00A565F2"/>
    <w:rsid w:val="00A5728E"/>
    <w:rsid w:val="00A60FCA"/>
    <w:rsid w:val="00A61DF5"/>
    <w:rsid w:val="00A65DAA"/>
    <w:rsid w:val="00A669DC"/>
    <w:rsid w:val="00A66E3E"/>
    <w:rsid w:val="00A6739F"/>
    <w:rsid w:val="00A67A13"/>
    <w:rsid w:val="00A723CC"/>
    <w:rsid w:val="00A72845"/>
    <w:rsid w:val="00A73C96"/>
    <w:rsid w:val="00A7448B"/>
    <w:rsid w:val="00A74544"/>
    <w:rsid w:val="00A751A8"/>
    <w:rsid w:val="00A7625D"/>
    <w:rsid w:val="00A825BC"/>
    <w:rsid w:val="00A83C1D"/>
    <w:rsid w:val="00A85D26"/>
    <w:rsid w:val="00A90906"/>
    <w:rsid w:val="00A91A53"/>
    <w:rsid w:val="00A934D5"/>
    <w:rsid w:val="00A9460D"/>
    <w:rsid w:val="00A947C9"/>
    <w:rsid w:val="00A95918"/>
    <w:rsid w:val="00A95ABE"/>
    <w:rsid w:val="00A95B72"/>
    <w:rsid w:val="00A95B80"/>
    <w:rsid w:val="00A95BAA"/>
    <w:rsid w:val="00A9657D"/>
    <w:rsid w:val="00A976BE"/>
    <w:rsid w:val="00AA2BE2"/>
    <w:rsid w:val="00AA4205"/>
    <w:rsid w:val="00AA431D"/>
    <w:rsid w:val="00AA67A4"/>
    <w:rsid w:val="00AA6B31"/>
    <w:rsid w:val="00AA74AC"/>
    <w:rsid w:val="00AB00DB"/>
    <w:rsid w:val="00AB0CA1"/>
    <w:rsid w:val="00AB1314"/>
    <w:rsid w:val="00AB2778"/>
    <w:rsid w:val="00AB2FB4"/>
    <w:rsid w:val="00AB3703"/>
    <w:rsid w:val="00AB41FD"/>
    <w:rsid w:val="00AB589C"/>
    <w:rsid w:val="00AB5D9C"/>
    <w:rsid w:val="00AB5E76"/>
    <w:rsid w:val="00AB6127"/>
    <w:rsid w:val="00AB70ED"/>
    <w:rsid w:val="00AB7B93"/>
    <w:rsid w:val="00AC146E"/>
    <w:rsid w:val="00AC3753"/>
    <w:rsid w:val="00AC4270"/>
    <w:rsid w:val="00AC43E7"/>
    <w:rsid w:val="00AC5EFD"/>
    <w:rsid w:val="00AC6399"/>
    <w:rsid w:val="00AC648F"/>
    <w:rsid w:val="00AC7F85"/>
    <w:rsid w:val="00AD11D8"/>
    <w:rsid w:val="00AD1647"/>
    <w:rsid w:val="00AD1FF7"/>
    <w:rsid w:val="00AD22B7"/>
    <w:rsid w:val="00AD4107"/>
    <w:rsid w:val="00AD4500"/>
    <w:rsid w:val="00AD571F"/>
    <w:rsid w:val="00AD62AB"/>
    <w:rsid w:val="00AD6895"/>
    <w:rsid w:val="00AD6D95"/>
    <w:rsid w:val="00AD7FA7"/>
    <w:rsid w:val="00AE37FC"/>
    <w:rsid w:val="00AE419A"/>
    <w:rsid w:val="00AE4210"/>
    <w:rsid w:val="00AE44C7"/>
    <w:rsid w:val="00AE4566"/>
    <w:rsid w:val="00AE47B8"/>
    <w:rsid w:val="00AE4A13"/>
    <w:rsid w:val="00AE5AC3"/>
    <w:rsid w:val="00AE6001"/>
    <w:rsid w:val="00AE691A"/>
    <w:rsid w:val="00AE6DFA"/>
    <w:rsid w:val="00AF0FC6"/>
    <w:rsid w:val="00AF23CA"/>
    <w:rsid w:val="00AF3A9D"/>
    <w:rsid w:val="00AF5FBC"/>
    <w:rsid w:val="00B01AAC"/>
    <w:rsid w:val="00B02171"/>
    <w:rsid w:val="00B03D93"/>
    <w:rsid w:val="00B04D1C"/>
    <w:rsid w:val="00B04E42"/>
    <w:rsid w:val="00B0565B"/>
    <w:rsid w:val="00B05B4B"/>
    <w:rsid w:val="00B07A16"/>
    <w:rsid w:val="00B12386"/>
    <w:rsid w:val="00B12CC9"/>
    <w:rsid w:val="00B13EA9"/>
    <w:rsid w:val="00B143FD"/>
    <w:rsid w:val="00B145F2"/>
    <w:rsid w:val="00B178E4"/>
    <w:rsid w:val="00B204B9"/>
    <w:rsid w:val="00B236E0"/>
    <w:rsid w:val="00B245F8"/>
    <w:rsid w:val="00B2494D"/>
    <w:rsid w:val="00B24E4A"/>
    <w:rsid w:val="00B25F7F"/>
    <w:rsid w:val="00B30A60"/>
    <w:rsid w:val="00B30ECF"/>
    <w:rsid w:val="00B31CD2"/>
    <w:rsid w:val="00B32EAD"/>
    <w:rsid w:val="00B337A1"/>
    <w:rsid w:val="00B34059"/>
    <w:rsid w:val="00B3417A"/>
    <w:rsid w:val="00B341C1"/>
    <w:rsid w:val="00B34798"/>
    <w:rsid w:val="00B3582B"/>
    <w:rsid w:val="00B37412"/>
    <w:rsid w:val="00B37428"/>
    <w:rsid w:val="00B42F7F"/>
    <w:rsid w:val="00B4328F"/>
    <w:rsid w:val="00B44671"/>
    <w:rsid w:val="00B44BCC"/>
    <w:rsid w:val="00B4513E"/>
    <w:rsid w:val="00B46805"/>
    <w:rsid w:val="00B4738F"/>
    <w:rsid w:val="00B47C12"/>
    <w:rsid w:val="00B47D8C"/>
    <w:rsid w:val="00B50026"/>
    <w:rsid w:val="00B50FA8"/>
    <w:rsid w:val="00B53434"/>
    <w:rsid w:val="00B53F56"/>
    <w:rsid w:val="00B54644"/>
    <w:rsid w:val="00B54BF5"/>
    <w:rsid w:val="00B5574F"/>
    <w:rsid w:val="00B55797"/>
    <w:rsid w:val="00B560A0"/>
    <w:rsid w:val="00B56C0A"/>
    <w:rsid w:val="00B607F7"/>
    <w:rsid w:val="00B616C8"/>
    <w:rsid w:val="00B62C56"/>
    <w:rsid w:val="00B6440D"/>
    <w:rsid w:val="00B6454F"/>
    <w:rsid w:val="00B667F3"/>
    <w:rsid w:val="00B7202D"/>
    <w:rsid w:val="00B727A8"/>
    <w:rsid w:val="00B73A71"/>
    <w:rsid w:val="00B73CA4"/>
    <w:rsid w:val="00B746B3"/>
    <w:rsid w:val="00B7503F"/>
    <w:rsid w:val="00B754CC"/>
    <w:rsid w:val="00B75C4C"/>
    <w:rsid w:val="00B76054"/>
    <w:rsid w:val="00B77451"/>
    <w:rsid w:val="00B77AD1"/>
    <w:rsid w:val="00B81E4A"/>
    <w:rsid w:val="00B83446"/>
    <w:rsid w:val="00B847A4"/>
    <w:rsid w:val="00B847FD"/>
    <w:rsid w:val="00B84BE4"/>
    <w:rsid w:val="00B856D9"/>
    <w:rsid w:val="00B86357"/>
    <w:rsid w:val="00B86A28"/>
    <w:rsid w:val="00B87167"/>
    <w:rsid w:val="00B876A8"/>
    <w:rsid w:val="00B907E4"/>
    <w:rsid w:val="00B9095B"/>
    <w:rsid w:val="00B909BD"/>
    <w:rsid w:val="00B914AD"/>
    <w:rsid w:val="00B92D57"/>
    <w:rsid w:val="00B93835"/>
    <w:rsid w:val="00B94951"/>
    <w:rsid w:val="00B959AE"/>
    <w:rsid w:val="00B96B1A"/>
    <w:rsid w:val="00B9726B"/>
    <w:rsid w:val="00B97FD5"/>
    <w:rsid w:val="00BA075B"/>
    <w:rsid w:val="00BA4351"/>
    <w:rsid w:val="00BA46CE"/>
    <w:rsid w:val="00BA5B51"/>
    <w:rsid w:val="00BA6EE6"/>
    <w:rsid w:val="00BB0039"/>
    <w:rsid w:val="00BB19E1"/>
    <w:rsid w:val="00BB206B"/>
    <w:rsid w:val="00BB3C9C"/>
    <w:rsid w:val="00BB45B4"/>
    <w:rsid w:val="00BB523B"/>
    <w:rsid w:val="00BB5E11"/>
    <w:rsid w:val="00BB60DA"/>
    <w:rsid w:val="00BB6443"/>
    <w:rsid w:val="00BB669B"/>
    <w:rsid w:val="00BB79A3"/>
    <w:rsid w:val="00BB7C8E"/>
    <w:rsid w:val="00BC039E"/>
    <w:rsid w:val="00BC0B46"/>
    <w:rsid w:val="00BC2458"/>
    <w:rsid w:val="00BC34F0"/>
    <w:rsid w:val="00BC3F62"/>
    <w:rsid w:val="00BC4018"/>
    <w:rsid w:val="00BC4E10"/>
    <w:rsid w:val="00BC5165"/>
    <w:rsid w:val="00BC5264"/>
    <w:rsid w:val="00BC52A5"/>
    <w:rsid w:val="00BC5ABC"/>
    <w:rsid w:val="00BC5E82"/>
    <w:rsid w:val="00BC5E94"/>
    <w:rsid w:val="00BC7F1E"/>
    <w:rsid w:val="00BD156D"/>
    <w:rsid w:val="00BD1846"/>
    <w:rsid w:val="00BD202A"/>
    <w:rsid w:val="00BD2380"/>
    <w:rsid w:val="00BD44E7"/>
    <w:rsid w:val="00BD46A9"/>
    <w:rsid w:val="00BD5300"/>
    <w:rsid w:val="00BD5337"/>
    <w:rsid w:val="00BD5A49"/>
    <w:rsid w:val="00BD78A7"/>
    <w:rsid w:val="00BD7E9B"/>
    <w:rsid w:val="00BE002F"/>
    <w:rsid w:val="00BE2307"/>
    <w:rsid w:val="00BE4292"/>
    <w:rsid w:val="00BE4848"/>
    <w:rsid w:val="00BE48D5"/>
    <w:rsid w:val="00BE5390"/>
    <w:rsid w:val="00BE5A9E"/>
    <w:rsid w:val="00BE6033"/>
    <w:rsid w:val="00BF0319"/>
    <w:rsid w:val="00BF366B"/>
    <w:rsid w:val="00BF4E70"/>
    <w:rsid w:val="00BF5203"/>
    <w:rsid w:val="00BF52A1"/>
    <w:rsid w:val="00BF73F5"/>
    <w:rsid w:val="00C010D5"/>
    <w:rsid w:val="00C02D7A"/>
    <w:rsid w:val="00C03150"/>
    <w:rsid w:val="00C044D2"/>
    <w:rsid w:val="00C06E1C"/>
    <w:rsid w:val="00C074E5"/>
    <w:rsid w:val="00C114B0"/>
    <w:rsid w:val="00C11FAB"/>
    <w:rsid w:val="00C12C70"/>
    <w:rsid w:val="00C12ECF"/>
    <w:rsid w:val="00C1619E"/>
    <w:rsid w:val="00C16AAE"/>
    <w:rsid w:val="00C170EE"/>
    <w:rsid w:val="00C176E1"/>
    <w:rsid w:val="00C20E55"/>
    <w:rsid w:val="00C21E4A"/>
    <w:rsid w:val="00C22301"/>
    <w:rsid w:val="00C24085"/>
    <w:rsid w:val="00C246C6"/>
    <w:rsid w:val="00C24E2D"/>
    <w:rsid w:val="00C25009"/>
    <w:rsid w:val="00C25640"/>
    <w:rsid w:val="00C26B6E"/>
    <w:rsid w:val="00C270B2"/>
    <w:rsid w:val="00C311F6"/>
    <w:rsid w:val="00C322B1"/>
    <w:rsid w:val="00C33B9F"/>
    <w:rsid w:val="00C33D53"/>
    <w:rsid w:val="00C369E8"/>
    <w:rsid w:val="00C424DC"/>
    <w:rsid w:val="00C43725"/>
    <w:rsid w:val="00C4382A"/>
    <w:rsid w:val="00C4441A"/>
    <w:rsid w:val="00C449FC"/>
    <w:rsid w:val="00C44FB3"/>
    <w:rsid w:val="00C452E5"/>
    <w:rsid w:val="00C453C1"/>
    <w:rsid w:val="00C45CF4"/>
    <w:rsid w:val="00C470AE"/>
    <w:rsid w:val="00C5013C"/>
    <w:rsid w:val="00C50A75"/>
    <w:rsid w:val="00C50EDA"/>
    <w:rsid w:val="00C5172A"/>
    <w:rsid w:val="00C5287D"/>
    <w:rsid w:val="00C53BC2"/>
    <w:rsid w:val="00C554AE"/>
    <w:rsid w:val="00C55EFB"/>
    <w:rsid w:val="00C56081"/>
    <w:rsid w:val="00C57811"/>
    <w:rsid w:val="00C57C77"/>
    <w:rsid w:val="00C60F1F"/>
    <w:rsid w:val="00C618ED"/>
    <w:rsid w:val="00C62B4B"/>
    <w:rsid w:val="00C62B79"/>
    <w:rsid w:val="00C64428"/>
    <w:rsid w:val="00C64435"/>
    <w:rsid w:val="00C64459"/>
    <w:rsid w:val="00C66204"/>
    <w:rsid w:val="00C674E1"/>
    <w:rsid w:val="00C67DBB"/>
    <w:rsid w:val="00C70ED1"/>
    <w:rsid w:val="00C72406"/>
    <w:rsid w:val="00C74297"/>
    <w:rsid w:val="00C7676A"/>
    <w:rsid w:val="00C779C0"/>
    <w:rsid w:val="00C80D44"/>
    <w:rsid w:val="00C81203"/>
    <w:rsid w:val="00C82454"/>
    <w:rsid w:val="00C82845"/>
    <w:rsid w:val="00C82F21"/>
    <w:rsid w:val="00C8335B"/>
    <w:rsid w:val="00C83806"/>
    <w:rsid w:val="00C855D0"/>
    <w:rsid w:val="00C858CD"/>
    <w:rsid w:val="00C85A08"/>
    <w:rsid w:val="00C85A2C"/>
    <w:rsid w:val="00C85DBB"/>
    <w:rsid w:val="00C869F8"/>
    <w:rsid w:val="00C87D24"/>
    <w:rsid w:val="00C90DA3"/>
    <w:rsid w:val="00C917F8"/>
    <w:rsid w:val="00C9287A"/>
    <w:rsid w:val="00C94AD8"/>
    <w:rsid w:val="00C9548E"/>
    <w:rsid w:val="00C954A6"/>
    <w:rsid w:val="00C9617D"/>
    <w:rsid w:val="00CA0380"/>
    <w:rsid w:val="00CA18B5"/>
    <w:rsid w:val="00CA1F89"/>
    <w:rsid w:val="00CA2C4C"/>
    <w:rsid w:val="00CA3E52"/>
    <w:rsid w:val="00CA4446"/>
    <w:rsid w:val="00CA5FA1"/>
    <w:rsid w:val="00CA6838"/>
    <w:rsid w:val="00CA697B"/>
    <w:rsid w:val="00CA6E12"/>
    <w:rsid w:val="00CB00F2"/>
    <w:rsid w:val="00CB061E"/>
    <w:rsid w:val="00CB2B7A"/>
    <w:rsid w:val="00CB2DC0"/>
    <w:rsid w:val="00CB3C43"/>
    <w:rsid w:val="00CB43E3"/>
    <w:rsid w:val="00CB56F3"/>
    <w:rsid w:val="00CB6BFF"/>
    <w:rsid w:val="00CB6E59"/>
    <w:rsid w:val="00CB6F1E"/>
    <w:rsid w:val="00CB7B1B"/>
    <w:rsid w:val="00CB7E41"/>
    <w:rsid w:val="00CC0B7C"/>
    <w:rsid w:val="00CC2BD3"/>
    <w:rsid w:val="00CC4448"/>
    <w:rsid w:val="00CC5BDE"/>
    <w:rsid w:val="00CC662F"/>
    <w:rsid w:val="00CC6A2A"/>
    <w:rsid w:val="00CC74FB"/>
    <w:rsid w:val="00CC79B5"/>
    <w:rsid w:val="00CD009D"/>
    <w:rsid w:val="00CD03EF"/>
    <w:rsid w:val="00CD095C"/>
    <w:rsid w:val="00CD1D4E"/>
    <w:rsid w:val="00CD2541"/>
    <w:rsid w:val="00CD2F51"/>
    <w:rsid w:val="00CD37FD"/>
    <w:rsid w:val="00CD4107"/>
    <w:rsid w:val="00CD53EE"/>
    <w:rsid w:val="00CD6A5B"/>
    <w:rsid w:val="00CD7854"/>
    <w:rsid w:val="00CD7F42"/>
    <w:rsid w:val="00CE24CF"/>
    <w:rsid w:val="00CE5072"/>
    <w:rsid w:val="00CE5F21"/>
    <w:rsid w:val="00CF0825"/>
    <w:rsid w:val="00CF0B11"/>
    <w:rsid w:val="00CF2376"/>
    <w:rsid w:val="00CF303D"/>
    <w:rsid w:val="00CF3137"/>
    <w:rsid w:val="00CF68AF"/>
    <w:rsid w:val="00CF7E5D"/>
    <w:rsid w:val="00D00616"/>
    <w:rsid w:val="00D008EC"/>
    <w:rsid w:val="00D013EB"/>
    <w:rsid w:val="00D01D61"/>
    <w:rsid w:val="00D023BB"/>
    <w:rsid w:val="00D0379A"/>
    <w:rsid w:val="00D038B4"/>
    <w:rsid w:val="00D03BF1"/>
    <w:rsid w:val="00D03C3C"/>
    <w:rsid w:val="00D043E8"/>
    <w:rsid w:val="00D06C1A"/>
    <w:rsid w:val="00D06C56"/>
    <w:rsid w:val="00D072A2"/>
    <w:rsid w:val="00D0786D"/>
    <w:rsid w:val="00D101BC"/>
    <w:rsid w:val="00D1110B"/>
    <w:rsid w:val="00D11501"/>
    <w:rsid w:val="00D1266F"/>
    <w:rsid w:val="00D13334"/>
    <w:rsid w:val="00D13D60"/>
    <w:rsid w:val="00D14B58"/>
    <w:rsid w:val="00D14DDF"/>
    <w:rsid w:val="00D15BB4"/>
    <w:rsid w:val="00D16816"/>
    <w:rsid w:val="00D17C7C"/>
    <w:rsid w:val="00D21040"/>
    <w:rsid w:val="00D21D03"/>
    <w:rsid w:val="00D22C0A"/>
    <w:rsid w:val="00D23290"/>
    <w:rsid w:val="00D25871"/>
    <w:rsid w:val="00D25DD7"/>
    <w:rsid w:val="00D260AA"/>
    <w:rsid w:val="00D26906"/>
    <w:rsid w:val="00D26B16"/>
    <w:rsid w:val="00D2792E"/>
    <w:rsid w:val="00D30A32"/>
    <w:rsid w:val="00D30A7F"/>
    <w:rsid w:val="00D32CD6"/>
    <w:rsid w:val="00D32FD8"/>
    <w:rsid w:val="00D34EC4"/>
    <w:rsid w:val="00D3574B"/>
    <w:rsid w:val="00D35B89"/>
    <w:rsid w:val="00D36B5C"/>
    <w:rsid w:val="00D36C7B"/>
    <w:rsid w:val="00D374E0"/>
    <w:rsid w:val="00D40750"/>
    <w:rsid w:val="00D41DF3"/>
    <w:rsid w:val="00D42517"/>
    <w:rsid w:val="00D43798"/>
    <w:rsid w:val="00D4527D"/>
    <w:rsid w:val="00D4573D"/>
    <w:rsid w:val="00D46409"/>
    <w:rsid w:val="00D50013"/>
    <w:rsid w:val="00D50474"/>
    <w:rsid w:val="00D5144F"/>
    <w:rsid w:val="00D5225B"/>
    <w:rsid w:val="00D5273F"/>
    <w:rsid w:val="00D52BA6"/>
    <w:rsid w:val="00D52BBC"/>
    <w:rsid w:val="00D55DCC"/>
    <w:rsid w:val="00D56D8E"/>
    <w:rsid w:val="00D56FF5"/>
    <w:rsid w:val="00D57A59"/>
    <w:rsid w:val="00D60028"/>
    <w:rsid w:val="00D60093"/>
    <w:rsid w:val="00D604A8"/>
    <w:rsid w:val="00D60A9E"/>
    <w:rsid w:val="00D60CCD"/>
    <w:rsid w:val="00D60EBC"/>
    <w:rsid w:val="00D61057"/>
    <w:rsid w:val="00D63074"/>
    <w:rsid w:val="00D639A1"/>
    <w:rsid w:val="00D63B12"/>
    <w:rsid w:val="00D6452D"/>
    <w:rsid w:val="00D64CD7"/>
    <w:rsid w:val="00D6672A"/>
    <w:rsid w:val="00D66ECA"/>
    <w:rsid w:val="00D678A4"/>
    <w:rsid w:val="00D67C2F"/>
    <w:rsid w:val="00D7429B"/>
    <w:rsid w:val="00D77D76"/>
    <w:rsid w:val="00D80DBA"/>
    <w:rsid w:val="00D80F67"/>
    <w:rsid w:val="00D811C2"/>
    <w:rsid w:val="00D81BC5"/>
    <w:rsid w:val="00D81DC3"/>
    <w:rsid w:val="00D82582"/>
    <w:rsid w:val="00D82661"/>
    <w:rsid w:val="00D84CC8"/>
    <w:rsid w:val="00D859BC"/>
    <w:rsid w:val="00D85A53"/>
    <w:rsid w:val="00D87221"/>
    <w:rsid w:val="00D8766B"/>
    <w:rsid w:val="00D879B4"/>
    <w:rsid w:val="00D90C5B"/>
    <w:rsid w:val="00D92A97"/>
    <w:rsid w:val="00D93F5B"/>
    <w:rsid w:val="00D9491D"/>
    <w:rsid w:val="00D95259"/>
    <w:rsid w:val="00D95612"/>
    <w:rsid w:val="00D9595D"/>
    <w:rsid w:val="00D979F1"/>
    <w:rsid w:val="00DA17E3"/>
    <w:rsid w:val="00DA1AEC"/>
    <w:rsid w:val="00DA20BD"/>
    <w:rsid w:val="00DA22ED"/>
    <w:rsid w:val="00DA29C2"/>
    <w:rsid w:val="00DA3745"/>
    <w:rsid w:val="00DA5DEE"/>
    <w:rsid w:val="00DA62BC"/>
    <w:rsid w:val="00DA66E8"/>
    <w:rsid w:val="00DA6FCE"/>
    <w:rsid w:val="00DA7079"/>
    <w:rsid w:val="00DA7547"/>
    <w:rsid w:val="00DA76A3"/>
    <w:rsid w:val="00DA79D7"/>
    <w:rsid w:val="00DA7BCC"/>
    <w:rsid w:val="00DB0DFE"/>
    <w:rsid w:val="00DB1B81"/>
    <w:rsid w:val="00DB2188"/>
    <w:rsid w:val="00DB3332"/>
    <w:rsid w:val="00DB3675"/>
    <w:rsid w:val="00DB5325"/>
    <w:rsid w:val="00DB6112"/>
    <w:rsid w:val="00DB654D"/>
    <w:rsid w:val="00DC0266"/>
    <w:rsid w:val="00DC12A3"/>
    <w:rsid w:val="00DC1795"/>
    <w:rsid w:val="00DC42E0"/>
    <w:rsid w:val="00DC45FB"/>
    <w:rsid w:val="00DC6783"/>
    <w:rsid w:val="00DC6C71"/>
    <w:rsid w:val="00DC71A2"/>
    <w:rsid w:val="00DC796D"/>
    <w:rsid w:val="00DD0664"/>
    <w:rsid w:val="00DD0F60"/>
    <w:rsid w:val="00DD1485"/>
    <w:rsid w:val="00DD2414"/>
    <w:rsid w:val="00DD5320"/>
    <w:rsid w:val="00DD6B08"/>
    <w:rsid w:val="00DD6BA7"/>
    <w:rsid w:val="00DD6EC0"/>
    <w:rsid w:val="00DE0422"/>
    <w:rsid w:val="00DE0B29"/>
    <w:rsid w:val="00DE259F"/>
    <w:rsid w:val="00DE2EAC"/>
    <w:rsid w:val="00DE4CE2"/>
    <w:rsid w:val="00DE500E"/>
    <w:rsid w:val="00DE563E"/>
    <w:rsid w:val="00DE5F8A"/>
    <w:rsid w:val="00DE6060"/>
    <w:rsid w:val="00DE65D5"/>
    <w:rsid w:val="00DE7CF8"/>
    <w:rsid w:val="00DE7EEA"/>
    <w:rsid w:val="00DF2003"/>
    <w:rsid w:val="00DF202D"/>
    <w:rsid w:val="00DF2EBF"/>
    <w:rsid w:val="00DF2FD3"/>
    <w:rsid w:val="00DF36BF"/>
    <w:rsid w:val="00DF4A51"/>
    <w:rsid w:val="00DF58BE"/>
    <w:rsid w:val="00DF5B62"/>
    <w:rsid w:val="00DF6703"/>
    <w:rsid w:val="00DF7AF4"/>
    <w:rsid w:val="00DF7BF4"/>
    <w:rsid w:val="00E0018F"/>
    <w:rsid w:val="00E0051E"/>
    <w:rsid w:val="00E00593"/>
    <w:rsid w:val="00E00841"/>
    <w:rsid w:val="00E011E1"/>
    <w:rsid w:val="00E019C9"/>
    <w:rsid w:val="00E01FF0"/>
    <w:rsid w:val="00E02234"/>
    <w:rsid w:val="00E04498"/>
    <w:rsid w:val="00E04FD8"/>
    <w:rsid w:val="00E05D8F"/>
    <w:rsid w:val="00E06C3E"/>
    <w:rsid w:val="00E07109"/>
    <w:rsid w:val="00E1029D"/>
    <w:rsid w:val="00E104D6"/>
    <w:rsid w:val="00E10B41"/>
    <w:rsid w:val="00E216CF"/>
    <w:rsid w:val="00E2359F"/>
    <w:rsid w:val="00E2376A"/>
    <w:rsid w:val="00E253D4"/>
    <w:rsid w:val="00E2779F"/>
    <w:rsid w:val="00E2781F"/>
    <w:rsid w:val="00E27FC7"/>
    <w:rsid w:val="00E3028B"/>
    <w:rsid w:val="00E31104"/>
    <w:rsid w:val="00E31D83"/>
    <w:rsid w:val="00E3218C"/>
    <w:rsid w:val="00E352A7"/>
    <w:rsid w:val="00E36463"/>
    <w:rsid w:val="00E37295"/>
    <w:rsid w:val="00E376B8"/>
    <w:rsid w:val="00E40CF9"/>
    <w:rsid w:val="00E411F4"/>
    <w:rsid w:val="00E428EB"/>
    <w:rsid w:val="00E42FB5"/>
    <w:rsid w:val="00E44557"/>
    <w:rsid w:val="00E46A70"/>
    <w:rsid w:val="00E5013B"/>
    <w:rsid w:val="00E51D9D"/>
    <w:rsid w:val="00E5518C"/>
    <w:rsid w:val="00E56C4C"/>
    <w:rsid w:val="00E57A21"/>
    <w:rsid w:val="00E57A6E"/>
    <w:rsid w:val="00E60BA5"/>
    <w:rsid w:val="00E6156B"/>
    <w:rsid w:val="00E61651"/>
    <w:rsid w:val="00E62C41"/>
    <w:rsid w:val="00E62DA1"/>
    <w:rsid w:val="00E647A9"/>
    <w:rsid w:val="00E64F1C"/>
    <w:rsid w:val="00E667FC"/>
    <w:rsid w:val="00E673E5"/>
    <w:rsid w:val="00E67CB5"/>
    <w:rsid w:val="00E67E6D"/>
    <w:rsid w:val="00E7169C"/>
    <w:rsid w:val="00E716A1"/>
    <w:rsid w:val="00E71F52"/>
    <w:rsid w:val="00E730A5"/>
    <w:rsid w:val="00E735FF"/>
    <w:rsid w:val="00E73E01"/>
    <w:rsid w:val="00E73FBC"/>
    <w:rsid w:val="00E74C32"/>
    <w:rsid w:val="00E74C84"/>
    <w:rsid w:val="00E74C9F"/>
    <w:rsid w:val="00E74CA7"/>
    <w:rsid w:val="00E75B03"/>
    <w:rsid w:val="00E7773B"/>
    <w:rsid w:val="00E77BF6"/>
    <w:rsid w:val="00E80524"/>
    <w:rsid w:val="00E8090B"/>
    <w:rsid w:val="00E80C69"/>
    <w:rsid w:val="00E81640"/>
    <w:rsid w:val="00E81AAA"/>
    <w:rsid w:val="00E81BF3"/>
    <w:rsid w:val="00E82469"/>
    <w:rsid w:val="00E8247D"/>
    <w:rsid w:val="00E826E5"/>
    <w:rsid w:val="00E83E45"/>
    <w:rsid w:val="00E83FBE"/>
    <w:rsid w:val="00E85814"/>
    <w:rsid w:val="00E87C51"/>
    <w:rsid w:val="00E87DEF"/>
    <w:rsid w:val="00E926CD"/>
    <w:rsid w:val="00E92E33"/>
    <w:rsid w:val="00E936FF"/>
    <w:rsid w:val="00E9428F"/>
    <w:rsid w:val="00E956D4"/>
    <w:rsid w:val="00E95C37"/>
    <w:rsid w:val="00E9714E"/>
    <w:rsid w:val="00E97566"/>
    <w:rsid w:val="00EA079A"/>
    <w:rsid w:val="00EA0A86"/>
    <w:rsid w:val="00EA1271"/>
    <w:rsid w:val="00EA16D7"/>
    <w:rsid w:val="00EA215C"/>
    <w:rsid w:val="00EA2325"/>
    <w:rsid w:val="00EA2A99"/>
    <w:rsid w:val="00EA2E2D"/>
    <w:rsid w:val="00EA4823"/>
    <w:rsid w:val="00EA6B6F"/>
    <w:rsid w:val="00EB48E8"/>
    <w:rsid w:val="00EB4B28"/>
    <w:rsid w:val="00EB4B55"/>
    <w:rsid w:val="00EB6722"/>
    <w:rsid w:val="00EB777A"/>
    <w:rsid w:val="00EC0781"/>
    <w:rsid w:val="00EC1002"/>
    <w:rsid w:val="00EC25F3"/>
    <w:rsid w:val="00EC4053"/>
    <w:rsid w:val="00EC5262"/>
    <w:rsid w:val="00EC7687"/>
    <w:rsid w:val="00EC7C7E"/>
    <w:rsid w:val="00ED1FCD"/>
    <w:rsid w:val="00ED49C0"/>
    <w:rsid w:val="00ED5A85"/>
    <w:rsid w:val="00ED5C7E"/>
    <w:rsid w:val="00ED75F0"/>
    <w:rsid w:val="00EE03F8"/>
    <w:rsid w:val="00EE08B5"/>
    <w:rsid w:val="00EE25F1"/>
    <w:rsid w:val="00EE3C1D"/>
    <w:rsid w:val="00EE3C44"/>
    <w:rsid w:val="00EE5EEA"/>
    <w:rsid w:val="00EE6393"/>
    <w:rsid w:val="00EF06D9"/>
    <w:rsid w:val="00EF2368"/>
    <w:rsid w:val="00EF246C"/>
    <w:rsid w:val="00EF278C"/>
    <w:rsid w:val="00EF3132"/>
    <w:rsid w:val="00EF3F07"/>
    <w:rsid w:val="00EF553A"/>
    <w:rsid w:val="00EF5726"/>
    <w:rsid w:val="00EF57E5"/>
    <w:rsid w:val="00EF622B"/>
    <w:rsid w:val="00F00E55"/>
    <w:rsid w:val="00F0152F"/>
    <w:rsid w:val="00F02155"/>
    <w:rsid w:val="00F0372F"/>
    <w:rsid w:val="00F0386F"/>
    <w:rsid w:val="00F0420E"/>
    <w:rsid w:val="00F04FDA"/>
    <w:rsid w:val="00F0619A"/>
    <w:rsid w:val="00F061D0"/>
    <w:rsid w:val="00F0660C"/>
    <w:rsid w:val="00F06D0B"/>
    <w:rsid w:val="00F10865"/>
    <w:rsid w:val="00F10EB9"/>
    <w:rsid w:val="00F11BD7"/>
    <w:rsid w:val="00F1337D"/>
    <w:rsid w:val="00F135BC"/>
    <w:rsid w:val="00F1509B"/>
    <w:rsid w:val="00F1568E"/>
    <w:rsid w:val="00F15ED3"/>
    <w:rsid w:val="00F200F3"/>
    <w:rsid w:val="00F24492"/>
    <w:rsid w:val="00F2466C"/>
    <w:rsid w:val="00F304D9"/>
    <w:rsid w:val="00F30B0C"/>
    <w:rsid w:val="00F30D79"/>
    <w:rsid w:val="00F30ED6"/>
    <w:rsid w:val="00F31B15"/>
    <w:rsid w:val="00F32FD0"/>
    <w:rsid w:val="00F35720"/>
    <w:rsid w:val="00F36980"/>
    <w:rsid w:val="00F41116"/>
    <w:rsid w:val="00F42D8C"/>
    <w:rsid w:val="00F42E35"/>
    <w:rsid w:val="00F43183"/>
    <w:rsid w:val="00F43555"/>
    <w:rsid w:val="00F44177"/>
    <w:rsid w:val="00F45403"/>
    <w:rsid w:val="00F45565"/>
    <w:rsid w:val="00F45890"/>
    <w:rsid w:val="00F4658E"/>
    <w:rsid w:val="00F46BBC"/>
    <w:rsid w:val="00F5005D"/>
    <w:rsid w:val="00F5062C"/>
    <w:rsid w:val="00F511A8"/>
    <w:rsid w:val="00F51366"/>
    <w:rsid w:val="00F5152D"/>
    <w:rsid w:val="00F51919"/>
    <w:rsid w:val="00F527B5"/>
    <w:rsid w:val="00F533BC"/>
    <w:rsid w:val="00F53C33"/>
    <w:rsid w:val="00F54142"/>
    <w:rsid w:val="00F54295"/>
    <w:rsid w:val="00F56209"/>
    <w:rsid w:val="00F569F1"/>
    <w:rsid w:val="00F57D88"/>
    <w:rsid w:val="00F63053"/>
    <w:rsid w:val="00F64558"/>
    <w:rsid w:val="00F64D0D"/>
    <w:rsid w:val="00F64E3E"/>
    <w:rsid w:val="00F65F43"/>
    <w:rsid w:val="00F6666B"/>
    <w:rsid w:val="00F66797"/>
    <w:rsid w:val="00F6754E"/>
    <w:rsid w:val="00F678D5"/>
    <w:rsid w:val="00F70091"/>
    <w:rsid w:val="00F70A54"/>
    <w:rsid w:val="00F70C71"/>
    <w:rsid w:val="00F70D22"/>
    <w:rsid w:val="00F713A2"/>
    <w:rsid w:val="00F72FC4"/>
    <w:rsid w:val="00F73073"/>
    <w:rsid w:val="00F7313D"/>
    <w:rsid w:val="00F73EBB"/>
    <w:rsid w:val="00F74056"/>
    <w:rsid w:val="00F760A3"/>
    <w:rsid w:val="00F7658A"/>
    <w:rsid w:val="00F80ACF"/>
    <w:rsid w:val="00F81584"/>
    <w:rsid w:val="00F8249E"/>
    <w:rsid w:val="00F83B9F"/>
    <w:rsid w:val="00F844AE"/>
    <w:rsid w:val="00F84C9A"/>
    <w:rsid w:val="00F84EEF"/>
    <w:rsid w:val="00F87F6C"/>
    <w:rsid w:val="00F91789"/>
    <w:rsid w:val="00F91B16"/>
    <w:rsid w:val="00F92829"/>
    <w:rsid w:val="00F93C50"/>
    <w:rsid w:val="00F946E5"/>
    <w:rsid w:val="00F948F7"/>
    <w:rsid w:val="00F94F77"/>
    <w:rsid w:val="00F96BC0"/>
    <w:rsid w:val="00F96D19"/>
    <w:rsid w:val="00FA08C6"/>
    <w:rsid w:val="00FA0BA3"/>
    <w:rsid w:val="00FA108A"/>
    <w:rsid w:val="00FA1E28"/>
    <w:rsid w:val="00FA2BD7"/>
    <w:rsid w:val="00FA2EA9"/>
    <w:rsid w:val="00FA3E08"/>
    <w:rsid w:val="00FA5053"/>
    <w:rsid w:val="00FA551A"/>
    <w:rsid w:val="00FA5866"/>
    <w:rsid w:val="00FA6269"/>
    <w:rsid w:val="00FA6E2F"/>
    <w:rsid w:val="00FB09D8"/>
    <w:rsid w:val="00FB6ED7"/>
    <w:rsid w:val="00FB716A"/>
    <w:rsid w:val="00FB7802"/>
    <w:rsid w:val="00FB7D8B"/>
    <w:rsid w:val="00FC0DC5"/>
    <w:rsid w:val="00FC1822"/>
    <w:rsid w:val="00FC3C1D"/>
    <w:rsid w:val="00FC460D"/>
    <w:rsid w:val="00FC465D"/>
    <w:rsid w:val="00FC4BA6"/>
    <w:rsid w:val="00FC6542"/>
    <w:rsid w:val="00FC7C7B"/>
    <w:rsid w:val="00FD01F0"/>
    <w:rsid w:val="00FD2070"/>
    <w:rsid w:val="00FD2903"/>
    <w:rsid w:val="00FD3BB1"/>
    <w:rsid w:val="00FD43D5"/>
    <w:rsid w:val="00FD473E"/>
    <w:rsid w:val="00FD52AF"/>
    <w:rsid w:val="00FD6171"/>
    <w:rsid w:val="00FD6DD9"/>
    <w:rsid w:val="00FD7F3C"/>
    <w:rsid w:val="00FE0FE4"/>
    <w:rsid w:val="00FE1AE9"/>
    <w:rsid w:val="00FE1BB9"/>
    <w:rsid w:val="00FE372C"/>
    <w:rsid w:val="00FE3772"/>
    <w:rsid w:val="00FE45F0"/>
    <w:rsid w:val="00FE67BD"/>
    <w:rsid w:val="00FE69F1"/>
    <w:rsid w:val="00FF0287"/>
    <w:rsid w:val="00FF1FC3"/>
    <w:rsid w:val="00FF279D"/>
    <w:rsid w:val="00FF2901"/>
    <w:rsid w:val="00FF334A"/>
    <w:rsid w:val="00FF418D"/>
    <w:rsid w:val="00FF41D1"/>
    <w:rsid w:val="00FF470C"/>
    <w:rsid w:val="00FF5024"/>
    <w:rsid w:val="00FF6DC5"/>
    <w:rsid w:val="13550CED"/>
    <w:rsid w:val="22385A79"/>
    <w:rsid w:val="408FDCB4"/>
    <w:rsid w:val="5AA09E48"/>
    <w:rsid w:val="6E38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126BFC6F"/>
  <w15:chartTrackingRefBased/>
  <w15:docId w15:val="{F855FBDB-AB72-4BA1-AB47-B26BB665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83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832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832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713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A0B7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842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424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8424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42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424A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83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32FD"/>
  </w:style>
  <w:style w:type="paragraph" w:styleId="Pta">
    <w:name w:val="footer"/>
    <w:basedOn w:val="Normlny"/>
    <w:link w:val="PtaChar"/>
    <w:uiPriority w:val="99"/>
    <w:unhideWhenUsed/>
    <w:rsid w:val="00383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32FD"/>
  </w:style>
  <w:style w:type="character" w:customStyle="1" w:styleId="Nadpis1Char">
    <w:name w:val="Nadpis 1 Char"/>
    <w:basedOn w:val="Predvolenpsmoodseku"/>
    <w:link w:val="Nadpis1"/>
    <w:uiPriority w:val="9"/>
    <w:rsid w:val="00383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3832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832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3832FD"/>
    <w:pPr>
      <w:outlineLvl w:val="9"/>
    </w:pPr>
    <w:rPr>
      <w:kern w:val="0"/>
      <w14:ligatures w14:val="none"/>
    </w:rPr>
  </w:style>
  <w:style w:type="paragraph" w:styleId="Obsah1">
    <w:name w:val="toc 1"/>
    <w:basedOn w:val="Normlny"/>
    <w:next w:val="Normlny"/>
    <w:autoRedefine/>
    <w:uiPriority w:val="39"/>
    <w:unhideWhenUsed/>
    <w:rsid w:val="00731A1F"/>
    <w:pPr>
      <w:tabs>
        <w:tab w:val="right" w:leader="dot" w:pos="9016"/>
      </w:tabs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400FFF"/>
    <w:pPr>
      <w:tabs>
        <w:tab w:val="right" w:leader="dot" w:pos="9016"/>
      </w:tabs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3832FD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6E17A4"/>
    <w:pPr>
      <w:tabs>
        <w:tab w:val="right" w:leader="dot" w:pos="9016"/>
      </w:tabs>
      <w:spacing w:after="100"/>
      <w:ind w:left="440"/>
    </w:pPr>
    <w:rPr>
      <w:rFonts w:eastAsiaTheme="minorEastAsia" w:cs="Times New Roman"/>
      <w:kern w:val="0"/>
      <w14:ligatures w14:val="none"/>
    </w:rPr>
  </w:style>
  <w:style w:type="paragraph" w:styleId="Revzia">
    <w:name w:val="Revision"/>
    <w:hidden/>
    <w:uiPriority w:val="99"/>
    <w:semiHidden/>
    <w:rsid w:val="00A7625D"/>
    <w:pPr>
      <w:spacing w:after="0" w:line="240" w:lineRule="auto"/>
    </w:pPr>
  </w:style>
  <w:style w:type="character" w:customStyle="1" w:styleId="Nadpis4Char">
    <w:name w:val="Nadpis 4 Char"/>
    <w:basedOn w:val="Predvolenpsmoodseku"/>
    <w:link w:val="Nadpis4"/>
    <w:uiPriority w:val="9"/>
    <w:rsid w:val="00F713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nywebov">
    <w:name w:val="Normal (Web)"/>
    <w:basedOn w:val="Normlny"/>
    <w:uiPriority w:val="99"/>
    <w:semiHidden/>
    <w:unhideWhenUsed/>
    <w:rsid w:val="00220D48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styleId="Zvraznenie">
    <w:name w:val="Emphasis"/>
    <w:basedOn w:val="Predvolenpsmoodseku"/>
    <w:uiPriority w:val="20"/>
    <w:qFormat/>
    <w:rsid w:val="00220D48"/>
    <w:rPr>
      <w:i/>
      <w:iCs/>
    </w:rPr>
  </w:style>
  <w:style w:type="character" w:customStyle="1" w:styleId="normaltextrun">
    <w:name w:val="normaltextrun"/>
    <w:basedOn w:val="Predvolenpsmoodseku"/>
    <w:rsid w:val="00FA108A"/>
  </w:style>
  <w:style w:type="paragraph" w:customStyle="1" w:styleId="SNFlietext11ptZA15">
    <w:name w:val="SN_Fließtext_11pt_ZA15"/>
    <w:basedOn w:val="Normlny"/>
    <w:autoRedefine/>
    <w:qFormat/>
    <w:rsid w:val="00C64428"/>
    <w:pPr>
      <w:widowControl w:val="0"/>
      <w:spacing w:after="0" w:line="300" w:lineRule="exact"/>
      <w:jc w:val="both"/>
    </w:pPr>
    <w:rPr>
      <w:rFonts w:ascii="Arial" w:hAnsi="Arial"/>
      <w:kern w:val="0"/>
      <w:szCs w:val="20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00FFF"/>
    <w:rPr>
      <w:color w:val="954F72" w:themeColor="followedHyperlink"/>
      <w:u w:val="single"/>
    </w:rPr>
  </w:style>
  <w:style w:type="paragraph" w:customStyle="1" w:styleId="CEABullet-Level1">
    <w:name w:val="CEA Bullet - Level 1"/>
    <w:basedOn w:val="Normlny"/>
    <w:qFormat/>
    <w:rsid w:val="00D6672A"/>
    <w:pPr>
      <w:numPr>
        <w:numId w:val="25"/>
      </w:numPr>
      <w:autoSpaceDE w:val="0"/>
      <w:autoSpaceDN w:val="0"/>
      <w:adjustRightInd w:val="0"/>
      <w:spacing w:after="0" w:line="288" w:lineRule="auto"/>
      <w:jc w:val="both"/>
    </w:pPr>
    <w:rPr>
      <w:rFonts w:ascii="Verdana" w:eastAsia="Times New Roman" w:hAnsi="Verdana" w:cs="Frutiger LT Std 45 Light"/>
      <w:color w:val="000000"/>
      <w:kern w:val="0"/>
      <w:sz w:val="17"/>
      <w:szCs w:val="20"/>
      <w:lang w:val="en-GB"/>
      <w14:ligatures w14:val="none"/>
    </w:rPr>
  </w:style>
  <w:style w:type="paragraph" w:customStyle="1" w:styleId="CEABullet-Level2">
    <w:name w:val="CEA Bullet - Level 2"/>
    <w:basedOn w:val="CEABullet-Level1"/>
    <w:next w:val="Normlny"/>
    <w:qFormat/>
    <w:rsid w:val="00D6672A"/>
    <w:pPr>
      <w:numPr>
        <w:numId w:val="26"/>
      </w:numPr>
    </w:pPr>
  </w:style>
  <w:style w:type="paragraph" w:customStyle="1" w:styleId="CEABullet-Level3">
    <w:name w:val="CEA Bullet - Level 3"/>
    <w:basedOn w:val="Normlny"/>
    <w:qFormat/>
    <w:rsid w:val="00D6672A"/>
    <w:pPr>
      <w:numPr>
        <w:numId w:val="27"/>
      </w:numPr>
      <w:autoSpaceDE w:val="0"/>
      <w:autoSpaceDN w:val="0"/>
      <w:adjustRightInd w:val="0"/>
      <w:spacing w:after="0" w:line="288" w:lineRule="auto"/>
      <w:jc w:val="both"/>
    </w:pPr>
    <w:rPr>
      <w:rFonts w:ascii="Verdana" w:eastAsia="Times New Roman" w:hAnsi="Verdana" w:cs="Frutiger LT Std 45 Light"/>
      <w:color w:val="000000"/>
      <w:kern w:val="0"/>
      <w:sz w:val="17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line xmlns="d352728d-c7aa-455d-bd83-40fe44122be8" xsi:nil="true"/>
    <Type_x0020_of_x0020_document xmlns="d352728d-c7aa-455d-bd83-40fe44122be8" xsi:nil="true"/>
    <Type_x0020_of_x0020_memo xmlns="d352728d-c7aa-455d-bd83-40fe44122be8" xsi:nil="true"/>
    <Uploads xmlns="d352728d-c7aa-455d-bd83-40fe44122be8" xsi:nil="true"/>
    <Leading_x0020_document xmlns="d352728d-c7aa-455d-bd83-40fe44122be8" xsi:nil="true"/>
    <Can_x0020_be_x0020_edited xmlns="d352728d-c7aa-455d-bd83-40fe44122be8">false</Can_x0020_be_x0020_edited>
    <AllowComments xmlns="d352728d-c7aa-455d-bd83-40fe44122be8">true</AllowComments>
    <Allow_x0020_uploads xmlns="d352728d-c7aa-455d-bd83-40fe44122be8" xsi:nil="true"/>
    <Display_x0020_validated_x0020_documents_x0020_library_x0020_button xmlns="d352728d-c7aa-455d-bd83-40fe44122be8">false</Display_x0020_validated_x0020_documents_x0020_library_x0020_button>
    <Validated xmlns="d352728d-c7aa-455d-bd83-40fe44122be8">false</Validated>
    <Feedback_x0020_type xmlns="d352728d-c7aa-455d-bd83-40fe44122be8" xsi:nil="true"/>
    <isAnnex xmlns="d352728d-c7aa-455d-bd83-40fe44122be8" xsi:nil="true"/>
    <ValidationComment xmlns="d352728d-c7aa-455d-bd83-40fe44122be8" xsi:nil="true"/>
    <Allow_x0020_comments xmlns="d352728d-c7aa-455d-bd83-40fe44122b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Documents" ma:contentTypeID="0x0101007A2A1B97D27D6A4C90B6022E1624614C" ma:contentTypeVersion="25" ma:contentTypeDescription="Published Documents Content types for Insurance Europe" ma:contentTypeScope="" ma:versionID="8a2d4692b2818bc39a2ce63c0804f6e5">
  <xsd:schema xmlns:xsd="http://www.w3.org/2001/XMLSchema" xmlns:xs="http://www.w3.org/2001/XMLSchema" xmlns:p="http://schemas.microsoft.com/office/2006/metadata/properties" xmlns:ns2="d352728d-c7aa-455d-bd83-40fe44122be8" targetNamespace="http://schemas.microsoft.com/office/2006/metadata/properties" ma:root="true" ma:fieldsID="8b95e88459e8d978ad07ee6f97c580c8" ns2:_="">
    <xsd:import namespace="d352728d-c7aa-455d-bd83-40fe44122be8"/>
    <xsd:element name="properties">
      <xsd:complexType>
        <xsd:sequence>
          <xsd:element name="documentManagement">
            <xsd:complexType>
              <xsd:all>
                <xsd:element ref="ns2:AllowComments" minOccurs="0"/>
                <xsd:element ref="ns2:Validated" minOccurs="0"/>
                <xsd:element ref="ns2:ValidationComment" minOccurs="0"/>
                <xsd:element ref="ns2:Can_x0020_be_x0020_edited" minOccurs="0"/>
                <xsd:element ref="ns2:Type_x0020_of_x0020_document" minOccurs="0"/>
                <xsd:element ref="ns2:Deadline" minOccurs="0"/>
                <xsd:element ref="ns2:Type_x0020_of_x0020_memo" minOccurs="0"/>
                <xsd:element ref="ns2:Display_x0020_validated_x0020_documents_x0020_library_x0020_button" minOccurs="0"/>
                <xsd:element ref="ns2:isAnnex" minOccurs="0"/>
                <xsd:element ref="ns2:Uploads" minOccurs="0"/>
                <xsd:element ref="ns2:Allow_x0020_uploads" minOccurs="0"/>
                <xsd:element ref="ns2:Allow_x0020_comments" minOccurs="0"/>
                <xsd:element ref="ns2:Feedback_x0020_type" minOccurs="0"/>
                <xsd:element ref="ns2:Leading_x0020_docu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2728d-c7aa-455d-bd83-40fe44122be8" elementFormDefault="qualified">
    <xsd:import namespace="http://schemas.microsoft.com/office/2006/documentManagement/types"/>
    <xsd:import namespace="http://schemas.microsoft.com/office/infopath/2007/PartnerControls"/>
    <xsd:element name="AllowComments" ma:index="8" nillable="true" ma:displayName="AllowComments" ma:default="1" ma:internalName="AllowComments" ma:readOnly="false">
      <xsd:simpleType>
        <xsd:restriction base="dms:Boolean"/>
      </xsd:simpleType>
    </xsd:element>
    <xsd:element name="Validated" ma:index="9" nillable="true" ma:displayName="Validated" ma:default="0" ma:internalName="Validated" ma:readOnly="false">
      <xsd:simpleType>
        <xsd:restriction base="dms:Boolean"/>
      </xsd:simpleType>
    </xsd:element>
    <xsd:element name="ValidationComment" ma:index="10" nillable="true" ma:displayName="ValidationComment" ma:internalName="ValidationComment" ma:readOnly="false">
      <xsd:simpleType>
        <xsd:restriction base="dms:Note">
          <xsd:maxLength value="255"/>
        </xsd:restriction>
      </xsd:simpleType>
    </xsd:element>
    <xsd:element name="Can_x0020_be_x0020_edited" ma:index="11" nillable="true" ma:displayName="Can be edited" ma:default="0" ma:internalName="Can_x0020_be_x0020_edited" ma:readOnly="false">
      <xsd:simpleType>
        <xsd:restriction base="dms:Boolean"/>
      </xsd:simpleType>
    </xsd:element>
    <xsd:element name="Type_x0020_of_x0020_document" ma:index="12" nillable="true" ma:displayName="Type of document" ma:format="Dropdown" ma:internalName="Type_x0020_of_x0020_document" ma:readOnly="false">
      <xsd:simpleType>
        <xsd:restriction base="dms:Choice">
          <xsd:enumeration value="Memo"/>
          <xsd:enumeration value="Blank document"/>
          <xsd:enumeration value="Agenda"/>
          <xsd:enumeration value="News Flash"/>
          <xsd:enumeration value="Participants List"/>
          <xsd:enumeration value="Press Release"/>
          <xsd:enumeration value="Fax Cover"/>
          <xsd:enumeration value="Letter"/>
          <xsd:enumeration value="Background note"/>
          <xsd:enumeration value="Meeting Conclusions"/>
          <xsd:enumeration value="Position Paper"/>
          <xsd:enumeration value="PowerPoint template"/>
        </xsd:restriction>
      </xsd:simpleType>
    </xsd:element>
    <xsd:element name="Deadline" ma:index="13" nillable="true" ma:displayName="Deadline" ma:format="DateTime" ma:internalName="Deadline" ma:readOnly="false">
      <xsd:simpleType>
        <xsd:restriction base="dms:DateTime"/>
      </xsd:simpleType>
    </xsd:element>
    <xsd:element name="Type_x0020_of_x0020_memo" ma:index="14" nillable="true" ma:displayName="Type of memo" ma:format="Dropdown" ma:internalName="Type_x0020_of_x0020_memo" ma:readOnly="false">
      <xsd:simpleType>
        <xsd:restriction base="dms:Choice">
          <xsd:enumeration value="information"/>
          <xsd:enumeration value="action"/>
        </xsd:restriction>
      </xsd:simpleType>
    </xsd:element>
    <xsd:element name="Display_x0020_validated_x0020_documents_x0020_library_x0020_button" ma:index="15" nillable="true" ma:displayName="Display validated documents library button" ma:default="0" ma:internalName="Display_x0020_validated_x0020_documents_x0020_library_x0020_button" ma:readOnly="false">
      <xsd:simpleType>
        <xsd:restriction base="dms:Boolean"/>
      </xsd:simpleType>
    </xsd:element>
    <xsd:element name="isAnnex" ma:index="16" nillable="true" ma:displayName="isAnnex" ma:internalName="isAnnex" ma:readOnly="false">
      <xsd:simpleType>
        <xsd:restriction base="dms:Text"/>
      </xsd:simpleType>
    </xsd:element>
    <xsd:element name="Uploads" ma:index="17" nillable="true" ma:displayName="Uploads" ma:internalName="Uploads" ma:readOnly="false">
      <xsd:simpleType>
        <xsd:restriction base="dms:Boolean"/>
      </xsd:simpleType>
    </xsd:element>
    <xsd:element name="Allow_x0020_uploads" ma:index="18" nillable="true" ma:displayName="Allow uploads" ma:internalName="Allow_x0020_uploads">
      <xsd:simpleType>
        <xsd:restriction base="dms:Boolean"/>
      </xsd:simpleType>
    </xsd:element>
    <xsd:element name="Allow_x0020_comments" ma:index="19" nillable="true" ma:displayName="Allow comments" ma:internalName="Allow_x0020_comments">
      <xsd:simpleType>
        <xsd:restriction base="dms:Boolean"/>
      </xsd:simpleType>
    </xsd:element>
    <xsd:element name="Feedback_x0020_type" ma:index="20" nillable="true" ma:displayName="Feedback type" ma:internalName="Feedback_x0020_type">
      <xsd:simpleType>
        <xsd:restriction base="dms:Text"/>
      </xsd:simpleType>
    </xsd:element>
    <xsd:element name="Leading_x0020_document" ma:index="21" nillable="true" ma:displayName="Leading document" ma:internalName="Leading_x0020_document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D4A736-7856-413D-86F8-842C1EFF0F2D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d352728d-c7aa-455d-bd83-40fe44122be8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1DF521-D7DA-46F5-9D4F-2442929DC7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1AA9DF-A1F5-404A-B732-A5E9F2B93B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329018-2B3A-46AE-9C97-882229BC9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2728d-c7aa-455d-bd83-40fe4412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2582</Words>
  <Characters>14724</Characters>
  <Application>Microsoft Office Word</Application>
  <DocSecurity>4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2 proportionality</vt:lpstr>
    </vt:vector>
  </TitlesOfParts>
  <Company/>
  <LinksUpToDate>false</LinksUpToDate>
  <CharactersWithSpaces>17272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paper - Increasing regulatory efficiency – enhancing proportionality and streamlining reporting requirements</dc:title>
  <dc:subject/>
  <dc:creator>Insurance Europe</dc:creator>
  <cp:keywords/>
  <dc:description/>
  <cp:lastModifiedBy>jozef.bachnicek</cp:lastModifiedBy>
  <cp:revision>2</cp:revision>
  <dcterms:created xsi:type="dcterms:W3CDTF">2024-04-02T08:22:00Z</dcterms:created>
  <dcterms:modified xsi:type="dcterms:W3CDTF">2024-04-02T08:22:00Z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0x0101007A2A1B97D27D6A4C90B6022E1624614C</vt:lpwstr>
  </property>
  <property fmtid="{D5CDD505-2E9C-101B-9397-08002B2CF9AE}" pid="3" name="GrammarlyDocumentId">
    <vt:lpwstr>6770c6b08e1cfec8d0e19c222e8cafdc3f86731adad666e4c5b098164b4e4801</vt:lpwstr>
  </property>
  <property fmtid="{D5CDD505-2E9C-101B-9397-08002B2CF9AE}" pid="4" name="MediaServiceImageTags">
    <vt:lpwstr/>
  </property>
</Properties>
</file>