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6824" w14:textId="09EDCDC4" w:rsidR="00C94E51" w:rsidRDefault="00C94E51" w:rsidP="00AE4448">
      <w:pPr>
        <w:jc w:val="both"/>
        <w:rPr>
          <w:rFonts w:eastAsia="Times New Roman"/>
        </w:rPr>
      </w:pPr>
      <w:r>
        <w:t xml:space="preserve">Na základe stanovísk od svojich členov SLASPO predpokladá, že by </w:t>
      </w:r>
      <w:r w:rsidRPr="00C94E51">
        <w:t>vypusten</w:t>
      </w:r>
      <w:r>
        <w:t xml:space="preserve">ie </w:t>
      </w:r>
      <w:r w:rsidRPr="00C94E51">
        <w:t xml:space="preserve"> §20 ods. 8 zo Zákona o dani z</w:t>
      </w:r>
      <w:r>
        <w:t> </w:t>
      </w:r>
      <w:r w:rsidRPr="00C94E51">
        <w:t>príjmov</w:t>
      </w:r>
      <w:r>
        <w:t xml:space="preserve"> mohlo byť súčasťou riešenia daňových aspektov implementácie IFRS 17. Zároveň s vypustením </w:t>
      </w:r>
      <w:r w:rsidRPr="00C94E51">
        <w:t>§20 ods. 8</w:t>
      </w:r>
      <w:r>
        <w:t xml:space="preserve"> však musia byť spravené ďalšie legislatívne úpravy, ktoré poisťovniam zaručia, </w:t>
      </w:r>
      <w:r w:rsidRPr="00581D87">
        <w:t xml:space="preserve">že </w:t>
      </w:r>
      <w:r w:rsidR="00AE4A4E" w:rsidRPr="00581D87">
        <w:t>náklady a výnosy zaúčtované pri operáciách o poistných zmluvách v súlade so štandardom IFRS 17 budú priamo vstupovať do základu dane z</w:t>
      </w:r>
      <w:r w:rsidR="0041315E" w:rsidRPr="00581D87">
        <w:t> </w:t>
      </w:r>
      <w:r w:rsidR="00AE4A4E" w:rsidRPr="00581D87">
        <w:t>príjmov</w:t>
      </w:r>
      <w:r w:rsidR="0041315E" w:rsidRPr="00581D87">
        <w:t>, bez potreby ho upravovať  (napr. podľa O</w:t>
      </w:r>
      <w:r w:rsidR="0041315E" w:rsidRPr="00581D87">
        <w:rPr>
          <w:rFonts w:eastAsia="Times New Roman"/>
        </w:rPr>
        <w:t>patrenia  MF SR 12/2006).  Obdobne by mali byť posúdené operácie zaúčtované pri implementácii IFRS 17 do vlastného imania z dôvodu zmeny metódy.</w:t>
      </w:r>
      <w:r w:rsidR="00732608" w:rsidRPr="00581D87">
        <w:rPr>
          <w:rFonts w:eastAsia="Times New Roman"/>
        </w:rPr>
        <w:t xml:space="preserve">  Malo by ísť najmä o určitú formu potvrdenia zo strany MF SR, že </w:t>
      </w:r>
      <w:r w:rsidR="00030D3C" w:rsidRPr="00581D87">
        <w:rPr>
          <w:rFonts w:eastAsia="Times New Roman"/>
        </w:rPr>
        <w:t>záväzky z poistných zmlúv podľa IFRS 17 nemajú</w:t>
      </w:r>
      <w:r w:rsidR="00030D3C" w:rsidRPr="00030D3C">
        <w:rPr>
          <w:rFonts w:eastAsia="Times New Roman"/>
        </w:rPr>
        <w:t xml:space="preserve"> charakter rezerv podľa zákona o dani z príjmov</w:t>
      </w:r>
      <w:r w:rsidR="00AE4448">
        <w:rPr>
          <w:rFonts w:eastAsia="Times New Roman"/>
        </w:rPr>
        <w:t xml:space="preserve"> a o takú úpravu </w:t>
      </w:r>
      <w:r w:rsidR="00AE4448" w:rsidRPr="00AE4448">
        <w:rPr>
          <w:rFonts w:eastAsia="Times New Roman"/>
        </w:rPr>
        <w:t>Opatrenia  MF SR 12/2006 – prevodový mostík, aby bolo jasné, že v súvislosti s</w:t>
      </w:r>
      <w:r w:rsidR="00AE4448">
        <w:rPr>
          <w:rFonts w:eastAsia="Times New Roman"/>
        </w:rPr>
        <w:t xml:space="preserve"> </w:t>
      </w:r>
      <w:r w:rsidR="00AE4448" w:rsidRPr="00AE4448">
        <w:rPr>
          <w:rFonts w:eastAsia="Times New Roman"/>
        </w:rPr>
        <w:t>poistný</w:t>
      </w:r>
      <w:r w:rsidR="00AE4448">
        <w:rPr>
          <w:rFonts w:eastAsia="Times New Roman"/>
        </w:rPr>
        <w:t>mi</w:t>
      </w:r>
      <w:r w:rsidR="00AE4448" w:rsidRPr="00AE4448">
        <w:rPr>
          <w:rFonts w:eastAsia="Times New Roman"/>
        </w:rPr>
        <w:t xml:space="preserve"> zml</w:t>
      </w:r>
      <w:r w:rsidR="00AE4448">
        <w:rPr>
          <w:rFonts w:eastAsia="Times New Roman"/>
        </w:rPr>
        <w:t>uvami</w:t>
      </w:r>
      <w:r w:rsidR="00AE4448" w:rsidRPr="00AE4448">
        <w:rPr>
          <w:rFonts w:eastAsia="Times New Roman"/>
        </w:rPr>
        <w:t>, ktoré sú vykazované a oceňované podľa IFRS 17, sa nemusia robiť úpravy hospodárskeho výsledku o rozdiel, ktorý vznikne medzi vykázaním účtovných prípadov podľa IFRS 17 a vykázaním týchto prípadov podľa účtovných postupov pre poisťovne, ktoré platili do roku 2005.</w:t>
      </w:r>
    </w:p>
    <w:p w14:paraId="6E55944D" w14:textId="642741F6" w:rsidR="00AE4448" w:rsidRDefault="00AE4448" w:rsidP="00AE4448">
      <w:pPr>
        <w:jc w:val="both"/>
        <w:rPr>
          <w:rFonts w:eastAsia="Times New Roman"/>
        </w:rPr>
      </w:pPr>
    </w:p>
    <w:p w14:paraId="511A5B19" w14:textId="63641190" w:rsidR="00AE4448" w:rsidRDefault="00AE4448" w:rsidP="00AE4448">
      <w:pPr>
        <w:jc w:val="both"/>
        <w:rPr>
          <w:rFonts w:eastAsia="Times New Roman"/>
        </w:rPr>
      </w:pPr>
      <w:r>
        <w:rPr>
          <w:rFonts w:eastAsia="Times New Roman"/>
        </w:rPr>
        <w:t>Zvažovali sme viaceré možnosti, ako by sa mohli tieto veci riešiť</w:t>
      </w:r>
      <w:r w:rsidR="00030D3C">
        <w:rPr>
          <w:rFonts w:eastAsia="Times New Roman"/>
        </w:rPr>
        <w:t>, ako akceptovateľné z pohľadu poisťovní nám vyšli nasledovné alternatívy:</w:t>
      </w:r>
    </w:p>
    <w:p w14:paraId="1102BB39" w14:textId="77777777" w:rsidR="00030D3C" w:rsidRDefault="00030D3C" w:rsidP="00AE4448">
      <w:pPr>
        <w:jc w:val="both"/>
      </w:pPr>
    </w:p>
    <w:p w14:paraId="21CA7766" w14:textId="77BC8742" w:rsidR="00C94E51" w:rsidRDefault="00030D3C" w:rsidP="00A61A11">
      <w:pPr>
        <w:rPr>
          <w:b/>
          <w:bCs/>
        </w:rPr>
      </w:pPr>
      <w:r>
        <w:rPr>
          <w:b/>
          <w:bCs/>
        </w:rPr>
        <w:t xml:space="preserve">Potvrdenie, že </w:t>
      </w:r>
      <w:r w:rsidRPr="00030D3C">
        <w:rPr>
          <w:b/>
          <w:bCs/>
        </w:rPr>
        <w:t>záväzky z poistných zmlúv podľa IFRS 17 nemajú charakter rezerv podľa zákona o dani z</w:t>
      </w:r>
      <w:r w:rsidR="00C55CEE">
        <w:rPr>
          <w:b/>
          <w:bCs/>
        </w:rPr>
        <w:t> </w:t>
      </w:r>
      <w:r w:rsidRPr="00030D3C">
        <w:rPr>
          <w:b/>
          <w:bCs/>
        </w:rPr>
        <w:t>príjmov</w:t>
      </w:r>
    </w:p>
    <w:p w14:paraId="18CE1E5E" w14:textId="77777777" w:rsidR="00C55CEE" w:rsidRPr="00030D3C" w:rsidRDefault="00C55CEE" w:rsidP="00A61A11"/>
    <w:p w14:paraId="01A7C7C0" w14:textId="79C3A76D" w:rsidR="00030D3C" w:rsidRDefault="00030D3C" w:rsidP="00030D3C">
      <w:pPr>
        <w:pStyle w:val="Odsekzoznamu"/>
        <w:numPr>
          <w:ilvl w:val="0"/>
          <w:numId w:val="9"/>
        </w:numPr>
      </w:pPr>
      <w:r>
        <w:t xml:space="preserve">Zakomponovať to priamo do zákona o dani z príjmov  - k tomuto riešeniu sa nám zatiaľ nepodarilo nájsť presnú formuláciu, najbližšie tomuto cieľu by bolo </w:t>
      </w:r>
      <w:r w:rsidR="000F039C">
        <w:t xml:space="preserve">doplnenia zákona o dani z príjmov o ustanovenie, že </w:t>
      </w:r>
      <w:r w:rsidR="000F039C" w:rsidRPr="000F039C">
        <w:t>náklady zaúčtované pri účtovaní záväzkov z poistných zmlúv podľa IFRS 17 budú uznané ako daňový výdavok</w:t>
      </w:r>
      <w:r w:rsidR="000F039C">
        <w:t>.</w:t>
      </w:r>
    </w:p>
    <w:p w14:paraId="61FAEDD7" w14:textId="77777777" w:rsidR="00C55CEE" w:rsidRDefault="00C55CEE" w:rsidP="00C55CEE">
      <w:pPr>
        <w:pStyle w:val="Odsekzoznamu"/>
      </w:pPr>
    </w:p>
    <w:p w14:paraId="0B5005C5" w14:textId="0D94C74E" w:rsidR="000F039C" w:rsidRDefault="000F039C" w:rsidP="000F039C">
      <w:pPr>
        <w:pStyle w:val="Odsekzoznamu"/>
        <w:numPr>
          <w:ilvl w:val="0"/>
          <w:numId w:val="9"/>
        </w:numPr>
      </w:pPr>
      <w:r w:rsidRPr="000F039C">
        <w:t>Vyjadrenie MF SR v sprievodnej dokumentácii</w:t>
      </w:r>
      <w:r>
        <w:t xml:space="preserve"> k</w:t>
      </w:r>
      <w:r w:rsidRPr="000F039C">
        <w:t xml:space="preserve"> novele zákona o dani z</w:t>
      </w:r>
      <w:r>
        <w:t> </w:t>
      </w:r>
      <w:r w:rsidRPr="000F039C">
        <w:t>príjmov</w:t>
      </w:r>
      <w:r>
        <w:t xml:space="preserve">, ktorou dôjde k  </w:t>
      </w:r>
      <w:r w:rsidRPr="000F039C">
        <w:t xml:space="preserve">vypustenia §20 ods. 8 </w:t>
      </w:r>
      <w:r>
        <w:t>(</w:t>
      </w:r>
      <w:r w:rsidRPr="000F039C">
        <w:t>napr. v Dôvodovej správe</w:t>
      </w:r>
      <w:r>
        <w:t xml:space="preserve">), že </w:t>
      </w:r>
      <w:r w:rsidRPr="000F039C">
        <w:t xml:space="preserve">vypustenia §20 ods. 8 </w:t>
      </w:r>
      <w:r>
        <w:t>je zdôvodnené tým</w:t>
      </w:r>
      <w:r w:rsidRPr="000F039C">
        <w:t xml:space="preserve">, že technické rezervy podľa IFRS 17 </w:t>
      </w:r>
      <w:r>
        <w:t xml:space="preserve">už </w:t>
      </w:r>
      <w:r w:rsidRPr="000F039C">
        <w:t xml:space="preserve">nebudú existovať </w:t>
      </w:r>
      <w:r>
        <w:t xml:space="preserve">a </w:t>
      </w:r>
      <w:r w:rsidRPr="000F039C">
        <w:t xml:space="preserve">záväzky z poistných zmlúv </w:t>
      </w:r>
      <w:r>
        <w:t>podľa IFRS 17</w:t>
      </w:r>
      <w:r w:rsidR="006D4E31">
        <w:t xml:space="preserve"> </w:t>
      </w:r>
      <w:r w:rsidRPr="000F039C">
        <w:t xml:space="preserve">nemajú charakter rezerv </w:t>
      </w:r>
      <w:r>
        <w:t>z pohľadu dane z príjmov.</w:t>
      </w:r>
      <w:r w:rsidR="006D4E31">
        <w:t xml:space="preserve"> Dôvodová správa by m</w:t>
      </w:r>
      <w:r w:rsidR="008D70AE">
        <w:t xml:space="preserve">ala </w:t>
      </w:r>
      <w:r w:rsidR="006D4E31">
        <w:t>obsahovať aj potvrdenie, že cieľom úpravy zákona je to, aby pri vykazovaní poistných zmlúv podľa IFRS 17 nebolo potrebné upravovať základ dane.</w:t>
      </w:r>
    </w:p>
    <w:p w14:paraId="31E1A03C" w14:textId="77777777" w:rsidR="00C55CEE" w:rsidRPr="000F039C" w:rsidRDefault="00C55CEE" w:rsidP="00C55CEE"/>
    <w:p w14:paraId="409365C6" w14:textId="7EE3EC81" w:rsidR="000F039C" w:rsidRPr="00030D3C" w:rsidRDefault="006D4E31" w:rsidP="00030D3C">
      <w:pPr>
        <w:pStyle w:val="Odsekzoznamu"/>
        <w:numPr>
          <w:ilvl w:val="0"/>
          <w:numId w:val="9"/>
        </w:numPr>
      </w:pPr>
      <w:r>
        <w:t>Písomné záväzné stanovisko MF SR.</w:t>
      </w:r>
    </w:p>
    <w:p w14:paraId="6BE15063" w14:textId="02C7CADD" w:rsidR="00C94E51" w:rsidRPr="00030D3C" w:rsidRDefault="00C94E51" w:rsidP="00A61A11"/>
    <w:p w14:paraId="39DB595B" w14:textId="169DD99A" w:rsidR="00C94E51" w:rsidRDefault="006D4E31" w:rsidP="00A61A11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Opatrenie  MF SR 12/2006</w:t>
      </w:r>
    </w:p>
    <w:p w14:paraId="40B1AEB4" w14:textId="77777777" w:rsidR="00C55CEE" w:rsidRDefault="00C55CEE" w:rsidP="00A61A11">
      <w:pPr>
        <w:rPr>
          <w:rFonts w:eastAsia="Times New Roman"/>
          <w:b/>
          <w:bCs/>
        </w:rPr>
      </w:pPr>
    </w:p>
    <w:p w14:paraId="2AFCD368" w14:textId="7B880D59" w:rsidR="006D4E31" w:rsidRDefault="006D4E31" w:rsidP="006D4E31">
      <w:pPr>
        <w:pStyle w:val="Odsekzoznamu"/>
        <w:numPr>
          <w:ilvl w:val="0"/>
          <w:numId w:val="10"/>
        </w:numPr>
      </w:pPr>
      <w:r>
        <w:t>Zrušenie opatrenia MF SR  12/20</w:t>
      </w:r>
      <w:r w:rsidR="00902FAB">
        <w:t>0</w:t>
      </w:r>
      <w:r>
        <w:t>6</w:t>
      </w:r>
    </w:p>
    <w:p w14:paraId="706E9ABB" w14:textId="275DE373" w:rsidR="006D4E31" w:rsidRDefault="006D4E31" w:rsidP="006D4E31">
      <w:pPr>
        <w:pStyle w:val="Odsekzoznamu"/>
        <w:numPr>
          <w:ilvl w:val="0"/>
          <w:numId w:val="10"/>
        </w:numPr>
      </w:pPr>
      <w:r>
        <w:t xml:space="preserve">Vyňatie poisťovní spod účinnosti opatrenia </w:t>
      </w:r>
      <w:r w:rsidR="00902FAB">
        <w:t>MF SR 12/200</w:t>
      </w:r>
      <w:r w:rsidR="00C55CEE">
        <w:t>6</w:t>
      </w:r>
    </w:p>
    <w:p w14:paraId="515A06CD" w14:textId="2C9FA244" w:rsidR="0045018D" w:rsidRDefault="0045018D" w:rsidP="0045018D">
      <w:pPr>
        <w:pStyle w:val="Odsekzoznamu"/>
        <w:numPr>
          <w:ilvl w:val="0"/>
          <w:numId w:val="10"/>
        </w:numPr>
      </w:pPr>
      <w:r>
        <w:t>Úprava Opatrenia MF  SR 12/2006 pozostávajúca zo zmeny §1 a vypustenia §9</w:t>
      </w:r>
    </w:p>
    <w:p w14:paraId="05C3B826" w14:textId="256BC698" w:rsidR="0045018D" w:rsidRDefault="0045018D" w:rsidP="0045018D">
      <w:pPr>
        <w:pStyle w:val="Odsekzoznamu"/>
        <w:numPr>
          <w:ilvl w:val="1"/>
          <w:numId w:val="10"/>
        </w:numPr>
      </w:pPr>
      <w:r>
        <w:t>Do §1 ods(1) doplniť na koniec vetu „Toto opatrenie sa nevzťahuje na  poistn</w:t>
      </w:r>
      <w:r w:rsidR="0096365F">
        <w:t xml:space="preserve">é </w:t>
      </w:r>
      <w:r>
        <w:t>zmluv</w:t>
      </w:r>
      <w:r w:rsidR="0096365F">
        <w:t>y</w:t>
      </w:r>
      <w:r>
        <w:t>, ktoré sú vykazované a oceňované podľa IFRS 17.</w:t>
      </w:r>
      <w:r w:rsidR="00581D87">
        <w:t>“</w:t>
      </w:r>
    </w:p>
    <w:p w14:paraId="407C3CD5" w14:textId="77777777" w:rsidR="0045018D" w:rsidRDefault="0045018D" w:rsidP="0045018D">
      <w:pPr>
        <w:pStyle w:val="Odsekzoznamu"/>
        <w:numPr>
          <w:ilvl w:val="1"/>
          <w:numId w:val="10"/>
        </w:numPr>
      </w:pPr>
      <w:r>
        <w:t>§9 sa z opatrenia vypustí</w:t>
      </w:r>
    </w:p>
    <w:p w14:paraId="06F3A537" w14:textId="77777777" w:rsidR="0045018D" w:rsidRDefault="0045018D" w:rsidP="0045018D">
      <w:pPr>
        <w:pStyle w:val="Odsekzoznamu"/>
      </w:pPr>
    </w:p>
    <w:p w14:paraId="167B1071" w14:textId="3D723108" w:rsidR="00442363" w:rsidRDefault="00C55CEE" w:rsidP="00C55CEE">
      <w:pPr>
        <w:pStyle w:val="Odsekzoznamu"/>
        <w:ind w:left="0"/>
        <w:jc w:val="both"/>
        <w:rPr>
          <w:rFonts w:eastAsia="Times New Roman"/>
        </w:rPr>
      </w:pPr>
      <w:r>
        <w:rPr>
          <w:rFonts w:eastAsia="Times New Roman"/>
        </w:rPr>
        <w:t xml:space="preserve">Okrem vyššie uvedeného sme zatiaľ sme neidentifikovali v súvislosti s IFRS 17 potrebu ďalších úprav zákona o dani z príjmov. Domnievame sa, že pre samotný prechod na IFRS 17 budú postačovať zmeny, ktoré boli spravené pri implementácii IFRS 9 bankami. Za zváženie stojí iba doplnenie prechodných ustanovení v súvislosti s časovým rozložením vplyvu operácií zaúčtovaných pri prechode poisťovní na IFRS 17 a IFRS 9 do vlastného imania </w:t>
      </w:r>
      <w:r w:rsidR="009F01B2">
        <w:rPr>
          <w:rFonts w:eastAsia="Times New Roman"/>
        </w:rPr>
        <w:t xml:space="preserve">na viac rokov. Podľa dostupných prvých odhadov (ktoré nemusia byť presné) časti poistného trhu ohľadom zmien vlastného imania by mohlo u niektorých subjektov pri prechode na IFRS 17 a IFRS 9 dôjsť k navýšeniu vlastného imania a u niektorých subjektov k zníženiu vlastného imania. </w:t>
      </w:r>
      <w:r w:rsidR="00442363">
        <w:rPr>
          <w:rFonts w:eastAsia="Times New Roman"/>
        </w:rPr>
        <w:t>To znamená, že zatiaľ nevieme odhadnúť, či by zahrnutie všetkých operácií zaúčtovaných do vlastného imania pri prechode na IFRS 17 a IFRS 9 do daňového priznania za rok 2023 jednorazovo spôsobilo zvýšenie alebo zníženie príjmov štátneho rozpočtu.</w:t>
      </w:r>
    </w:p>
    <w:p w14:paraId="63F6E8F0" w14:textId="257FE937" w:rsidR="00CB521E" w:rsidRDefault="00442363" w:rsidP="00C55CEE">
      <w:pPr>
        <w:pStyle w:val="Odsekzoznamu"/>
        <w:ind w:left="0"/>
        <w:jc w:val="both"/>
        <w:rPr>
          <w:rFonts w:eastAsia="Times New Roman"/>
        </w:rPr>
      </w:pPr>
      <w:r>
        <w:rPr>
          <w:rFonts w:eastAsia="Times New Roman"/>
        </w:rPr>
        <w:lastRenderedPageBreak/>
        <w:t>Presnejšie odhady by sme mohli mať k</w:t>
      </w:r>
      <w:r w:rsidR="00141A93">
        <w:rPr>
          <w:rFonts w:eastAsia="Times New Roman"/>
        </w:rPr>
        <w:t> </w:t>
      </w:r>
      <w:r>
        <w:rPr>
          <w:rFonts w:eastAsia="Times New Roman"/>
        </w:rPr>
        <w:t>dispozícii</w:t>
      </w:r>
      <w:r w:rsidR="00141A93">
        <w:rPr>
          <w:rFonts w:eastAsia="Times New Roman"/>
        </w:rPr>
        <w:t xml:space="preserve"> až</w:t>
      </w:r>
      <w:r>
        <w:rPr>
          <w:rFonts w:eastAsia="Times New Roman"/>
        </w:rPr>
        <w:t xml:space="preserve"> koncom druhého štvrťroka 2022. </w:t>
      </w:r>
      <w:r w:rsidR="009F01B2">
        <w:rPr>
          <w:rFonts w:eastAsia="Times New Roman"/>
        </w:rPr>
        <w:t xml:space="preserve">Kvôli bezpečnosti </w:t>
      </w:r>
      <w:r>
        <w:rPr>
          <w:rFonts w:eastAsia="Times New Roman"/>
        </w:rPr>
        <w:t xml:space="preserve"> MF SR z pohľadu príjmov štátneho rozpočtu ako aj </w:t>
      </w:r>
      <w:r w:rsidR="00141A93">
        <w:rPr>
          <w:rFonts w:eastAsia="Times New Roman"/>
        </w:rPr>
        <w:t>ochrane niektorých poisťovní proti jednorazovo vyššej daňovej povinnosti by preto asi bolo lepšie vplyv prechodu poisťovní na IFRS 17 a IFRS 9 časovo rozložiť na niekoľko rokov.</w:t>
      </w:r>
    </w:p>
    <w:p w14:paraId="3722A3A5" w14:textId="46ECC16A" w:rsidR="00872BB3" w:rsidRDefault="00872BB3" w:rsidP="00C55CEE">
      <w:pPr>
        <w:pStyle w:val="Odsekzoznamu"/>
        <w:ind w:left="0"/>
        <w:jc w:val="both"/>
        <w:rPr>
          <w:rFonts w:eastAsia="Times New Roman"/>
        </w:rPr>
      </w:pPr>
    </w:p>
    <w:p w14:paraId="03C4DC7F" w14:textId="5B8D68EA" w:rsidR="00872BB3" w:rsidRPr="00C55CEE" w:rsidRDefault="00872BB3" w:rsidP="00C55CEE">
      <w:pPr>
        <w:pStyle w:val="Odsekzoznamu"/>
        <w:ind w:left="0"/>
        <w:jc w:val="both"/>
        <w:rPr>
          <w:rFonts w:eastAsia="Times New Roman"/>
        </w:rPr>
      </w:pPr>
      <w:r>
        <w:rPr>
          <w:rFonts w:eastAsia="Times New Roman"/>
        </w:rPr>
        <w:t>SLASPO je pripravená o jednotlivých alternatívach diskutovať so zástupcami MF SR.</w:t>
      </w:r>
    </w:p>
    <w:sectPr w:rsidR="00872BB3" w:rsidRPr="00C55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00265" w14:textId="77777777" w:rsidR="00D004EB" w:rsidRDefault="00D004EB" w:rsidP="00C94E51">
      <w:r>
        <w:separator/>
      </w:r>
    </w:p>
  </w:endnote>
  <w:endnote w:type="continuationSeparator" w:id="0">
    <w:p w14:paraId="40F6BBDE" w14:textId="77777777" w:rsidR="00D004EB" w:rsidRDefault="00D004EB" w:rsidP="00C9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F79E9" w14:textId="77777777" w:rsidR="00D004EB" w:rsidRDefault="00D004EB" w:rsidP="00C94E51">
      <w:r>
        <w:separator/>
      </w:r>
    </w:p>
  </w:footnote>
  <w:footnote w:type="continuationSeparator" w:id="0">
    <w:p w14:paraId="06606E33" w14:textId="77777777" w:rsidR="00D004EB" w:rsidRDefault="00D004EB" w:rsidP="00C94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0729"/>
    <w:multiLevelType w:val="hybridMultilevel"/>
    <w:tmpl w:val="F7504A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737B2"/>
    <w:multiLevelType w:val="hybridMultilevel"/>
    <w:tmpl w:val="E5D605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C6AC8"/>
    <w:multiLevelType w:val="hybridMultilevel"/>
    <w:tmpl w:val="A5C60C8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06682"/>
    <w:multiLevelType w:val="hybridMultilevel"/>
    <w:tmpl w:val="F000E6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841D9"/>
    <w:multiLevelType w:val="hybridMultilevel"/>
    <w:tmpl w:val="C9E00E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F4EBC"/>
    <w:multiLevelType w:val="hybridMultilevel"/>
    <w:tmpl w:val="90F6B7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27A66"/>
    <w:multiLevelType w:val="hybridMultilevel"/>
    <w:tmpl w:val="D13A4A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10C15"/>
    <w:multiLevelType w:val="hybridMultilevel"/>
    <w:tmpl w:val="4A6EE878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216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936" w:hanging="360"/>
      </w:pPr>
    </w:lvl>
    <w:lvl w:ilvl="4" w:tplc="FFFFFFFF">
      <w:start w:val="1"/>
      <w:numFmt w:val="lowerLetter"/>
      <w:lvlText w:val="%5."/>
      <w:lvlJc w:val="left"/>
      <w:pPr>
        <w:ind w:left="4656" w:hanging="360"/>
      </w:pPr>
    </w:lvl>
    <w:lvl w:ilvl="5" w:tplc="FFFFFFFF">
      <w:start w:val="1"/>
      <w:numFmt w:val="lowerRoman"/>
      <w:lvlText w:val="%6."/>
      <w:lvlJc w:val="right"/>
      <w:pPr>
        <w:ind w:left="5376" w:hanging="180"/>
      </w:pPr>
    </w:lvl>
    <w:lvl w:ilvl="6" w:tplc="FFFFFFFF">
      <w:start w:val="1"/>
      <w:numFmt w:val="decimal"/>
      <w:lvlText w:val="%7."/>
      <w:lvlJc w:val="left"/>
      <w:pPr>
        <w:ind w:left="6096" w:hanging="360"/>
      </w:pPr>
    </w:lvl>
    <w:lvl w:ilvl="7" w:tplc="FFFFFFFF">
      <w:start w:val="1"/>
      <w:numFmt w:val="lowerLetter"/>
      <w:lvlText w:val="%8."/>
      <w:lvlJc w:val="left"/>
      <w:pPr>
        <w:ind w:left="6816" w:hanging="360"/>
      </w:pPr>
    </w:lvl>
    <w:lvl w:ilvl="8" w:tplc="FFFFFFFF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2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11"/>
    <w:rsid w:val="00030D3C"/>
    <w:rsid w:val="0003555A"/>
    <w:rsid w:val="000F039C"/>
    <w:rsid w:val="00141A93"/>
    <w:rsid w:val="0015342D"/>
    <w:rsid w:val="001B767C"/>
    <w:rsid w:val="00266669"/>
    <w:rsid w:val="00316301"/>
    <w:rsid w:val="00343695"/>
    <w:rsid w:val="003C54C8"/>
    <w:rsid w:val="0041315E"/>
    <w:rsid w:val="00414F4F"/>
    <w:rsid w:val="00420F7D"/>
    <w:rsid w:val="00442363"/>
    <w:rsid w:val="0045018D"/>
    <w:rsid w:val="00472733"/>
    <w:rsid w:val="00576444"/>
    <w:rsid w:val="00581D87"/>
    <w:rsid w:val="00631D10"/>
    <w:rsid w:val="006D4E31"/>
    <w:rsid w:val="00732608"/>
    <w:rsid w:val="00840555"/>
    <w:rsid w:val="008420A9"/>
    <w:rsid w:val="00872BB3"/>
    <w:rsid w:val="00886E42"/>
    <w:rsid w:val="008D70AE"/>
    <w:rsid w:val="00902FAB"/>
    <w:rsid w:val="0096365F"/>
    <w:rsid w:val="009F01B2"/>
    <w:rsid w:val="00A4314B"/>
    <w:rsid w:val="00A61A11"/>
    <w:rsid w:val="00AB225B"/>
    <w:rsid w:val="00AE4448"/>
    <w:rsid w:val="00AE4A4E"/>
    <w:rsid w:val="00B74703"/>
    <w:rsid w:val="00B767EC"/>
    <w:rsid w:val="00BC6290"/>
    <w:rsid w:val="00C55CEE"/>
    <w:rsid w:val="00C94E51"/>
    <w:rsid w:val="00CB521E"/>
    <w:rsid w:val="00D004EB"/>
    <w:rsid w:val="00E53455"/>
    <w:rsid w:val="00FE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EC0D"/>
  <w15:chartTrackingRefBased/>
  <w15:docId w15:val="{D81A4996-AA4C-461C-8DD7-52409194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1A11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1A1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534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5345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53455"/>
    <w:rPr>
      <w:rFonts w:ascii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34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3455"/>
    <w:rPr>
      <w:rFonts w:ascii="Calibri" w:hAnsi="Calibri" w:cs="Calibri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C94E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94E51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C94E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94E5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2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jozef.bachnicek</dc:creator>
  <cp:keywords/>
  <dc:description/>
  <cp:lastModifiedBy>jozef.bachnicek</cp:lastModifiedBy>
  <cp:revision>3</cp:revision>
  <dcterms:created xsi:type="dcterms:W3CDTF">2022-01-26T08:25:00Z</dcterms:created>
  <dcterms:modified xsi:type="dcterms:W3CDTF">2022-01-26T08:25:00Z</dcterms:modified>
</cp:coreProperties>
</file>