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98410A" w14:textId="57BFEE7D" w:rsidR="00F90614" w:rsidRPr="00C573C6" w:rsidRDefault="12933287" w:rsidP="1C3AFF7D">
      <w:pPr>
        <w:spacing w:after="120"/>
        <w:rPr>
          <w:rStyle w:val="Nzovknihy"/>
          <w:rFonts w:cs="Arial"/>
          <w:i w:val="0"/>
          <w:iCs w:val="0"/>
        </w:rPr>
      </w:pPr>
      <w:r w:rsidRPr="00C573C6">
        <w:rPr>
          <w:rStyle w:val="Nzovknihy"/>
          <w:rFonts w:cs="Arial"/>
          <w:i w:val="0"/>
          <w:iCs w:val="0"/>
        </w:rPr>
        <w:t xml:space="preserve">Response to OECD </w:t>
      </w:r>
      <w:proofErr w:type="spellStart"/>
      <w:r w:rsidRPr="00C573C6">
        <w:rPr>
          <w:rStyle w:val="Nzovknihy"/>
          <w:rFonts w:cs="Arial"/>
          <w:i w:val="0"/>
          <w:iCs w:val="0"/>
        </w:rPr>
        <w:t>P</w:t>
      </w:r>
      <w:r w:rsidR="00CD44EC">
        <w:rPr>
          <w:rStyle w:val="Nzovknihy"/>
          <w:rFonts w:cs="Arial"/>
          <w:i w:val="0"/>
          <w:iCs w:val="0"/>
        </w:rPr>
        <w:t>i</w:t>
      </w:r>
      <w:r w:rsidRPr="00C573C6">
        <w:rPr>
          <w:rStyle w:val="Nzovknihy"/>
          <w:rFonts w:cs="Arial"/>
          <w:i w:val="0"/>
          <w:iCs w:val="0"/>
        </w:rPr>
        <w:t>Ilar</w:t>
      </w:r>
      <w:proofErr w:type="spellEnd"/>
      <w:r w:rsidRPr="00C573C6">
        <w:rPr>
          <w:rStyle w:val="Nzovknihy"/>
          <w:rFonts w:cs="Arial"/>
          <w:i w:val="0"/>
          <w:iCs w:val="0"/>
        </w:rPr>
        <w:t xml:space="preserve"> 2 Consultation</w:t>
      </w:r>
    </w:p>
    <w:p w14:paraId="0ECA2B63" w14:textId="60CFD30A" w:rsidR="12933287" w:rsidRPr="00C573C6" w:rsidRDefault="12933287" w:rsidP="1C3AFF7D">
      <w:pPr>
        <w:spacing w:after="120"/>
        <w:rPr>
          <w:rStyle w:val="Nzovknihy"/>
          <w:rFonts w:cs="Arial"/>
          <w:b w:val="0"/>
          <w:bCs w:val="0"/>
          <w:i w:val="0"/>
          <w:iCs w:val="0"/>
          <w:highlight w:val="yellow"/>
        </w:rPr>
      </w:pPr>
      <w:r w:rsidRPr="00C573C6">
        <w:rPr>
          <w:rStyle w:val="Nzovknihy"/>
          <w:rFonts w:cs="Arial"/>
          <w:b w:val="0"/>
          <w:bCs w:val="0"/>
          <w:i w:val="0"/>
          <w:iCs w:val="0"/>
        </w:rPr>
        <w:t xml:space="preserve">Version: </w:t>
      </w:r>
      <w:r w:rsidR="00C36985" w:rsidRPr="760A453A">
        <w:rPr>
          <w:rStyle w:val="Nzovknihy"/>
          <w:rFonts w:cs="Arial"/>
          <w:b w:val="0"/>
          <w:bCs w:val="0"/>
          <w:i w:val="0"/>
          <w:iCs w:val="0"/>
          <w:highlight w:val="yellow"/>
        </w:rPr>
        <w:t>2</w:t>
      </w:r>
      <w:r w:rsidR="23CF05BF" w:rsidRPr="760A453A">
        <w:rPr>
          <w:rStyle w:val="Nzovknihy"/>
          <w:rFonts w:cs="Arial"/>
          <w:b w:val="0"/>
          <w:bCs w:val="0"/>
          <w:i w:val="0"/>
          <w:iCs w:val="0"/>
          <w:highlight w:val="yellow"/>
        </w:rPr>
        <w:t>7</w:t>
      </w:r>
      <w:r w:rsidR="00C36985" w:rsidRPr="00CD44EC">
        <w:rPr>
          <w:rStyle w:val="Nzovknihy"/>
          <w:rFonts w:cs="Arial"/>
          <w:b w:val="0"/>
          <w:bCs w:val="0"/>
          <w:i w:val="0"/>
          <w:iCs w:val="0"/>
        </w:rPr>
        <w:t xml:space="preserve"> </w:t>
      </w:r>
      <w:r w:rsidRPr="00CD44EC">
        <w:rPr>
          <w:rStyle w:val="Nzovknihy"/>
          <w:rFonts w:cs="Arial"/>
          <w:b w:val="0"/>
          <w:bCs w:val="0"/>
          <w:i w:val="0"/>
          <w:iCs w:val="0"/>
        </w:rPr>
        <w:t>November 2020</w:t>
      </w:r>
    </w:p>
    <w:p w14:paraId="3E1C7456" w14:textId="5BFA7B6B" w:rsidR="3DA9E5FC" w:rsidRPr="00077C03" w:rsidDel="00060DBA" w:rsidRDefault="634DEE1C" w:rsidP="00077C03">
      <w:pPr>
        <w:pStyle w:val="Default"/>
        <w:spacing w:after="120"/>
        <w:rPr>
          <w:b/>
          <w:sz w:val="22"/>
          <w:szCs w:val="22"/>
          <w:u w:val="single"/>
        </w:rPr>
      </w:pPr>
      <w:r w:rsidRPr="00077C03">
        <w:rPr>
          <w:b/>
          <w:bCs/>
          <w:sz w:val="22"/>
          <w:szCs w:val="22"/>
          <w:u w:val="single"/>
        </w:rPr>
        <w:t>Executive Summary</w:t>
      </w:r>
    </w:p>
    <w:p w14:paraId="63CB884E" w14:textId="6965A23E" w:rsidR="003F6534" w:rsidRPr="0008583A" w:rsidRDefault="00A13858" w:rsidP="00077C03">
      <w:pPr>
        <w:pStyle w:val="Default"/>
        <w:spacing w:after="120"/>
        <w:rPr>
          <w:rFonts w:eastAsiaTheme="minorEastAsia"/>
          <w:b/>
          <w:bCs/>
          <w:color w:val="auto"/>
          <w:sz w:val="22"/>
          <w:szCs w:val="22"/>
        </w:rPr>
      </w:pPr>
      <w:r w:rsidRPr="0008583A">
        <w:rPr>
          <w:rFonts w:eastAsiaTheme="minorEastAsia"/>
          <w:b/>
          <w:bCs/>
          <w:color w:val="auto"/>
          <w:sz w:val="22"/>
          <w:szCs w:val="22"/>
        </w:rPr>
        <w:t>Insurance industry</w:t>
      </w:r>
      <w:r w:rsidR="009F0C56">
        <w:rPr>
          <w:rFonts w:eastAsiaTheme="minorEastAsia"/>
          <w:b/>
          <w:bCs/>
          <w:color w:val="auto"/>
          <w:sz w:val="22"/>
          <w:szCs w:val="22"/>
        </w:rPr>
        <w:t xml:space="preserve">: </w:t>
      </w:r>
      <w:r w:rsidR="00476E5A">
        <w:rPr>
          <w:rFonts w:eastAsiaTheme="minorEastAsia"/>
          <w:b/>
          <w:bCs/>
          <w:color w:val="auto"/>
          <w:sz w:val="22"/>
          <w:szCs w:val="22"/>
        </w:rPr>
        <w:t>economic con</w:t>
      </w:r>
      <w:r w:rsidR="00B57E24">
        <w:rPr>
          <w:rFonts w:eastAsiaTheme="minorEastAsia"/>
          <w:b/>
          <w:bCs/>
          <w:color w:val="auto"/>
          <w:sz w:val="22"/>
          <w:szCs w:val="22"/>
        </w:rPr>
        <w:t>text</w:t>
      </w:r>
      <w:r w:rsidR="00476E5A">
        <w:rPr>
          <w:rFonts w:eastAsiaTheme="minorEastAsia"/>
          <w:b/>
          <w:bCs/>
          <w:color w:val="auto"/>
          <w:sz w:val="22"/>
          <w:szCs w:val="22"/>
        </w:rPr>
        <w:t xml:space="preserve"> for Pillar </w:t>
      </w:r>
      <w:r w:rsidR="00B57E24">
        <w:rPr>
          <w:rFonts w:eastAsiaTheme="minorEastAsia"/>
          <w:b/>
          <w:bCs/>
          <w:color w:val="auto"/>
          <w:sz w:val="22"/>
          <w:szCs w:val="22"/>
        </w:rPr>
        <w:t>Two</w:t>
      </w:r>
    </w:p>
    <w:p w14:paraId="115B5C3A" w14:textId="29FBAEBD" w:rsidR="003F6534" w:rsidRPr="003E361D" w:rsidRDefault="002A596D" w:rsidP="00077C03">
      <w:pPr>
        <w:pStyle w:val="Default"/>
        <w:spacing w:after="120"/>
        <w:jc w:val="both"/>
        <w:rPr>
          <w:rFonts w:cstheme="minorBidi"/>
          <w:color w:val="auto"/>
          <w:sz w:val="22"/>
          <w:szCs w:val="22"/>
          <w:lang w:val="en-US"/>
        </w:rPr>
      </w:pPr>
      <w:r>
        <w:rPr>
          <w:rFonts w:eastAsiaTheme="minorEastAsia"/>
          <w:color w:val="auto"/>
          <w:sz w:val="22"/>
          <w:szCs w:val="22"/>
        </w:rPr>
        <w:t>T</w:t>
      </w:r>
      <w:r w:rsidR="00565F28" w:rsidRPr="003E361D">
        <w:rPr>
          <w:rFonts w:cstheme="minorBidi"/>
          <w:color w:val="auto"/>
          <w:sz w:val="22"/>
          <w:szCs w:val="22"/>
          <w:lang w:val="en-US"/>
        </w:rPr>
        <w:t xml:space="preserve">he Pillar </w:t>
      </w:r>
      <w:r w:rsidR="00C37B2B">
        <w:rPr>
          <w:rFonts w:cstheme="minorBidi"/>
          <w:color w:val="auto"/>
          <w:sz w:val="22"/>
          <w:szCs w:val="22"/>
          <w:lang w:val="en-US"/>
        </w:rPr>
        <w:t>Two Blueprint</w:t>
      </w:r>
      <w:r w:rsidR="00565F28" w:rsidRPr="003E361D">
        <w:rPr>
          <w:rFonts w:cstheme="minorBidi"/>
          <w:color w:val="auto"/>
          <w:sz w:val="22"/>
          <w:szCs w:val="22"/>
          <w:lang w:val="en-US"/>
        </w:rPr>
        <w:t xml:space="preserve"> </w:t>
      </w:r>
      <w:r w:rsidR="00865759">
        <w:rPr>
          <w:rFonts w:cstheme="minorBidi"/>
          <w:color w:val="auto"/>
          <w:sz w:val="22"/>
          <w:szCs w:val="22"/>
          <w:lang w:val="en-US"/>
        </w:rPr>
        <w:t xml:space="preserve">(‘the Blueprint”) </w:t>
      </w:r>
      <w:r w:rsidR="0070118C">
        <w:rPr>
          <w:rFonts w:cstheme="minorBidi"/>
          <w:color w:val="auto"/>
          <w:sz w:val="22"/>
          <w:szCs w:val="22"/>
          <w:lang w:val="en-US"/>
        </w:rPr>
        <w:t xml:space="preserve">as currently drafted, </w:t>
      </w:r>
      <w:r w:rsidR="003A695D" w:rsidRPr="003E361D">
        <w:rPr>
          <w:rFonts w:cstheme="minorBidi"/>
          <w:color w:val="auto"/>
          <w:sz w:val="22"/>
          <w:szCs w:val="22"/>
          <w:lang w:val="en-US"/>
        </w:rPr>
        <w:t>do</w:t>
      </w:r>
      <w:r w:rsidR="00740018">
        <w:rPr>
          <w:rFonts w:cstheme="minorBidi"/>
          <w:color w:val="auto"/>
          <w:sz w:val="22"/>
          <w:szCs w:val="22"/>
          <w:lang w:val="en-US"/>
        </w:rPr>
        <w:t>es</w:t>
      </w:r>
      <w:r w:rsidR="003A695D" w:rsidRPr="003E361D">
        <w:rPr>
          <w:rFonts w:cstheme="minorBidi"/>
          <w:color w:val="auto"/>
          <w:sz w:val="22"/>
          <w:szCs w:val="22"/>
          <w:lang w:val="en-US"/>
        </w:rPr>
        <w:t xml:space="preserve"> not </w:t>
      </w:r>
      <w:r w:rsidR="0070118C" w:rsidRPr="003E361D">
        <w:rPr>
          <w:rFonts w:cstheme="minorBidi"/>
          <w:color w:val="auto"/>
          <w:sz w:val="22"/>
          <w:szCs w:val="22"/>
          <w:lang w:val="en-US"/>
        </w:rPr>
        <w:t>consider</w:t>
      </w:r>
      <w:r w:rsidR="003A695D" w:rsidRPr="003E361D">
        <w:rPr>
          <w:rFonts w:cstheme="minorBidi"/>
          <w:color w:val="auto"/>
          <w:sz w:val="22"/>
          <w:szCs w:val="22"/>
          <w:lang w:val="en-US"/>
        </w:rPr>
        <w:t xml:space="preserve"> the nature of insurance</w:t>
      </w:r>
      <w:r w:rsidR="00F3668B" w:rsidRPr="003E361D">
        <w:rPr>
          <w:rFonts w:cstheme="minorBidi"/>
          <w:color w:val="auto"/>
          <w:sz w:val="22"/>
          <w:szCs w:val="22"/>
          <w:lang w:val="en-US"/>
        </w:rPr>
        <w:t xml:space="preserve"> (and reinsurance)</w:t>
      </w:r>
      <w:r w:rsidR="003A695D" w:rsidRPr="003E361D">
        <w:rPr>
          <w:rFonts w:cstheme="minorBidi"/>
          <w:color w:val="auto"/>
          <w:sz w:val="22"/>
          <w:szCs w:val="22"/>
          <w:lang w:val="en-US"/>
        </w:rPr>
        <w:t xml:space="preserve"> </w:t>
      </w:r>
      <w:r>
        <w:rPr>
          <w:rFonts w:cstheme="minorBidi"/>
          <w:color w:val="auto"/>
          <w:sz w:val="22"/>
          <w:szCs w:val="22"/>
          <w:lang w:val="en-US"/>
        </w:rPr>
        <w:t xml:space="preserve">and how the global industry </w:t>
      </w:r>
      <w:r w:rsidR="0070118C">
        <w:rPr>
          <w:rFonts w:cstheme="minorBidi"/>
          <w:color w:val="auto"/>
          <w:sz w:val="22"/>
          <w:szCs w:val="22"/>
          <w:lang w:val="en-US"/>
        </w:rPr>
        <w:t>operates in a highly regulated environment.</w:t>
      </w:r>
      <w:r w:rsidR="0089296A">
        <w:rPr>
          <w:rFonts w:cstheme="minorBidi"/>
          <w:color w:val="auto"/>
          <w:sz w:val="22"/>
          <w:szCs w:val="22"/>
          <w:lang w:val="en-US"/>
        </w:rPr>
        <w:t xml:space="preserve"> </w:t>
      </w:r>
      <w:r w:rsidR="0070118C">
        <w:rPr>
          <w:rFonts w:cstheme="minorBidi"/>
          <w:color w:val="auto"/>
          <w:sz w:val="22"/>
          <w:szCs w:val="22"/>
          <w:lang w:val="en-US"/>
        </w:rPr>
        <w:t xml:space="preserve"> </w:t>
      </w:r>
      <w:r w:rsidR="001934BA" w:rsidRPr="760A453A">
        <w:rPr>
          <w:rFonts w:cstheme="minorBidi"/>
          <w:color w:val="auto"/>
          <w:sz w:val="22"/>
          <w:szCs w:val="22"/>
          <w:lang w:val="en-US"/>
        </w:rPr>
        <w:t xml:space="preserve">The </w:t>
      </w:r>
      <w:proofErr w:type="spellStart"/>
      <w:r w:rsidR="397E03F2" w:rsidRPr="760A453A">
        <w:rPr>
          <w:rFonts w:cstheme="minorBidi"/>
          <w:color w:val="auto"/>
          <w:sz w:val="22"/>
          <w:szCs w:val="22"/>
          <w:lang w:val="en-US"/>
        </w:rPr>
        <w:t>GloBE</w:t>
      </w:r>
      <w:proofErr w:type="spellEnd"/>
      <w:r w:rsidR="397E03F2" w:rsidRPr="760A453A">
        <w:rPr>
          <w:rFonts w:cstheme="minorBidi"/>
          <w:color w:val="auto"/>
          <w:sz w:val="22"/>
          <w:szCs w:val="22"/>
          <w:lang w:val="en-US"/>
        </w:rPr>
        <w:t xml:space="preserve"> rules</w:t>
      </w:r>
      <w:r w:rsidR="001934BA" w:rsidRPr="760A453A">
        <w:rPr>
          <w:rFonts w:cstheme="minorBidi"/>
          <w:color w:val="auto"/>
          <w:sz w:val="22"/>
          <w:szCs w:val="22"/>
          <w:lang w:val="en-US"/>
        </w:rPr>
        <w:t xml:space="preserve"> ha</w:t>
      </w:r>
      <w:r w:rsidR="39ECCC9C" w:rsidRPr="760A453A">
        <w:rPr>
          <w:rFonts w:cstheme="minorBidi"/>
          <w:color w:val="auto"/>
          <w:sz w:val="22"/>
          <w:szCs w:val="22"/>
          <w:lang w:val="en-US"/>
        </w:rPr>
        <w:t>ve</w:t>
      </w:r>
      <w:r w:rsidR="001934BA" w:rsidRPr="001934BA">
        <w:rPr>
          <w:rFonts w:cstheme="minorBidi"/>
          <w:color w:val="auto"/>
          <w:sz w:val="22"/>
          <w:szCs w:val="22"/>
          <w:lang w:val="en-US"/>
        </w:rPr>
        <w:t xml:space="preserve"> the potential to </w:t>
      </w:r>
      <w:proofErr w:type="spellStart"/>
      <w:r w:rsidR="001934BA" w:rsidRPr="001934BA">
        <w:rPr>
          <w:rFonts w:cstheme="minorBidi"/>
          <w:color w:val="auto"/>
          <w:sz w:val="22"/>
          <w:szCs w:val="22"/>
          <w:lang w:val="en-US"/>
        </w:rPr>
        <w:t>penalise</w:t>
      </w:r>
      <w:proofErr w:type="spellEnd"/>
      <w:r w:rsidR="001934BA" w:rsidRPr="001934BA">
        <w:rPr>
          <w:rFonts w:cstheme="minorBidi"/>
          <w:color w:val="auto"/>
          <w:sz w:val="22"/>
          <w:szCs w:val="22"/>
          <w:lang w:val="en-US"/>
        </w:rPr>
        <w:t xml:space="preserve"> insurance companies </w:t>
      </w:r>
      <w:r w:rsidR="007B675D">
        <w:rPr>
          <w:rFonts w:cstheme="minorBidi"/>
          <w:color w:val="auto"/>
          <w:sz w:val="22"/>
          <w:szCs w:val="22"/>
          <w:lang w:val="en-US"/>
        </w:rPr>
        <w:t>unduly compared to similar</w:t>
      </w:r>
      <w:r w:rsidR="007B675D" w:rsidRPr="001934BA">
        <w:rPr>
          <w:rFonts w:cstheme="minorBidi"/>
          <w:color w:val="auto"/>
          <w:sz w:val="22"/>
          <w:szCs w:val="22"/>
          <w:lang w:val="en-US"/>
        </w:rPr>
        <w:t xml:space="preserve"> businesses</w:t>
      </w:r>
      <w:r w:rsidR="007B675D">
        <w:rPr>
          <w:rFonts w:cstheme="minorBidi"/>
          <w:color w:val="auto"/>
          <w:sz w:val="22"/>
          <w:szCs w:val="22"/>
          <w:lang w:val="en-US"/>
        </w:rPr>
        <w:t xml:space="preserve"> in other </w:t>
      </w:r>
      <w:r w:rsidR="007B675D" w:rsidRPr="001934BA">
        <w:rPr>
          <w:rFonts w:cstheme="minorBidi"/>
          <w:color w:val="auto"/>
          <w:sz w:val="22"/>
          <w:szCs w:val="22"/>
          <w:lang w:val="en-US"/>
        </w:rPr>
        <w:t>industries</w:t>
      </w:r>
      <w:r w:rsidR="007B675D">
        <w:rPr>
          <w:rFonts w:cstheme="minorBidi"/>
          <w:color w:val="auto"/>
          <w:sz w:val="22"/>
          <w:szCs w:val="22"/>
          <w:lang w:val="en-US"/>
        </w:rPr>
        <w:t xml:space="preserve"> </w:t>
      </w:r>
      <w:r w:rsidR="00DB47B5">
        <w:rPr>
          <w:rFonts w:cstheme="minorBidi"/>
          <w:color w:val="auto"/>
          <w:sz w:val="22"/>
          <w:szCs w:val="22"/>
          <w:lang w:val="en-US"/>
        </w:rPr>
        <w:t xml:space="preserve">because of </w:t>
      </w:r>
      <w:r w:rsidR="001934BA" w:rsidRPr="001934BA">
        <w:rPr>
          <w:rFonts w:cstheme="minorBidi"/>
          <w:color w:val="auto"/>
          <w:sz w:val="22"/>
          <w:szCs w:val="22"/>
          <w:lang w:val="en-US"/>
        </w:rPr>
        <w:t xml:space="preserve">the </w:t>
      </w:r>
      <w:r w:rsidR="00DB47B5">
        <w:rPr>
          <w:rFonts w:cstheme="minorBidi"/>
          <w:color w:val="auto"/>
          <w:sz w:val="22"/>
          <w:szCs w:val="22"/>
          <w:lang w:val="en-US"/>
        </w:rPr>
        <w:t xml:space="preserve">intrinsic </w:t>
      </w:r>
      <w:r w:rsidR="001934BA" w:rsidRPr="001934BA">
        <w:rPr>
          <w:rFonts w:cstheme="minorBidi"/>
          <w:color w:val="auto"/>
          <w:sz w:val="22"/>
          <w:szCs w:val="22"/>
          <w:lang w:val="en-US"/>
        </w:rPr>
        <w:t xml:space="preserve">nature of the </w:t>
      </w:r>
      <w:r w:rsidR="00017ECD">
        <w:rPr>
          <w:rFonts w:cstheme="minorBidi"/>
          <w:color w:val="auto"/>
          <w:sz w:val="22"/>
          <w:szCs w:val="22"/>
          <w:lang w:val="en-US"/>
        </w:rPr>
        <w:t>industry</w:t>
      </w:r>
      <w:r w:rsidR="00DB47B5">
        <w:rPr>
          <w:rFonts w:cstheme="minorBidi"/>
          <w:color w:val="auto"/>
          <w:sz w:val="22"/>
          <w:szCs w:val="22"/>
          <w:lang w:val="en-US"/>
        </w:rPr>
        <w:t>.</w:t>
      </w:r>
      <w:r w:rsidR="001934BA" w:rsidRPr="001934BA">
        <w:rPr>
          <w:rFonts w:cstheme="minorBidi"/>
          <w:color w:val="auto"/>
          <w:sz w:val="22"/>
          <w:szCs w:val="22"/>
          <w:lang w:val="en-US"/>
        </w:rPr>
        <w:t xml:space="preserve"> </w:t>
      </w:r>
      <w:r w:rsidR="006978A3">
        <w:rPr>
          <w:rFonts w:cstheme="minorBidi"/>
          <w:color w:val="auto"/>
          <w:sz w:val="22"/>
          <w:szCs w:val="22"/>
          <w:lang w:val="en-US"/>
        </w:rPr>
        <w:t>Key issues that need to be considered</w:t>
      </w:r>
      <w:r w:rsidR="00CA694D">
        <w:rPr>
          <w:rFonts w:cstheme="minorBidi"/>
          <w:color w:val="auto"/>
          <w:sz w:val="22"/>
          <w:szCs w:val="22"/>
          <w:lang w:val="en-US"/>
        </w:rPr>
        <w:t xml:space="preserve"> by the OECD/</w:t>
      </w:r>
      <w:r w:rsidR="009F579A">
        <w:rPr>
          <w:rFonts w:cstheme="minorBidi"/>
          <w:color w:val="auto"/>
          <w:sz w:val="22"/>
          <w:szCs w:val="22"/>
          <w:lang w:val="en-US"/>
        </w:rPr>
        <w:t>G20 Inclusive Framework</w:t>
      </w:r>
      <w:r w:rsidR="00A360C0">
        <w:rPr>
          <w:rFonts w:cstheme="minorBidi"/>
          <w:color w:val="auto"/>
          <w:sz w:val="22"/>
          <w:szCs w:val="22"/>
          <w:lang w:val="en-US"/>
        </w:rPr>
        <w:t xml:space="preserve"> </w:t>
      </w:r>
      <w:r w:rsidR="009F579A">
        <w:rPr>
          <w:rFonts w:cstheme="minorBidi"/>
          <w:color w:val="auto"/>
          <w:sz w:val="22"/>
          <w:szCs w:val="22"/>
          <w:lang w:val="en-US"/>
        </w:rPr>
        <w:t xml:space="preserve">(the </w:t>
      </w:r>
      <w:r w:rsidR="00C23B3C">
        <w:rPr>
          <w:rFonts w:cstheme="minorBidi"/>
          <w:color w:val="auto"/>
          <w:sz w:val="22"/>
          <w:szCs w:val="22"/>
          <w:lang w:val="en-US"/>
        </w:rPr>
        <w:t>‘</w:t>
      </w:r>
      <w:r w:rsidR="009F579A">
        <w:rPr>
          <w:rFonts w:cstheme="minorBidi"/>
          <w:color w:val="auto"/>
          <w:sz w:val="22"/>
          <w:szCs w:val="22"/>
          <w:lang w:val="en-US"/>
        </w:rPr>
        <w:t>IF’)</w:t>
      </w:r>
      <w:r w:rsidR="006978A3">
        <w:rPr>
          <w:rFonts w:cstheme="minorBidi"/>
          <w:color w:val="auto"/>
          <w:sz w:val="22"/>
          <w:szCs w:val="22"/>
          <w:lang w:val="en-US"/>
        </w:rPr>
        <w:t xml:space="preserve"> are:</w:t>
      </w:r>
    </w:p>
    <w:p w14:paraId="354F28FE" w14:textId="186E2295" w:rsidR="00F13225" w:rsidRDefault="00FB70D8" w:rsidP="00077C03">
      <w:pPr>
        <w:pStyle w:val="Default"/>
        <w:numPr>
          <w:ilvl w:val="0"/>
          <w:numId w:val="25"/>
        </w:numPr>
        <w:spacing w:after="120"/>
        <w:jc w:val="both"/>
        <w:rPr>
          <w:rFonts w:eastAsiaTheme="minorEastAsia"/>
          <w:color w:val="auto"/>
          <w:sz w:val="22"/>
          <w:szCs w:val="22"/>
        </w:rPr>
      </w:pPr>
      <w:r w:rsidRPr="00FB70D8">
        <w:rPr>
          <w:rFonts w:eastAsiaTheme="minorEastAsia"/>
          <w:color w:val="auto"/>
          <w:sz w:val="22"/>
          <w:szCs w:val="22"/>
        </w:rPr>
        <w:t>Unlike many other industries, accounting results do not directly translate into free cash flows for insurance companies due to regulatory rules and obligations</w:t>
      </w:r>
      <w:r w:rsidR="00024782">
        <w:rPr>
          <w:rFonts w:eastAsiaTheme="minorEastAsia"/>
          <w:color w:val="auto"/>
          <w:sz w:val="22"/>
          <w:szCs w:val="22"/>
        </w:rPr>
        <w:t xml:space="preserve"> and commercial </w:t>
      </w:r>
      <w:r w:rsidR="009608BA">
        <w:rPr>
          <w:rFonts w:eastAsiaTheme="minorEastAsia"/>
          <w:color w:val="auto"/>
          <w:sz w:val="22"/>
          <w:szCs w:val="22"/>
        </w:rPr>
        <w:t>focus on available funds</w:t>
      </w:r>
      <w:r w:rsidR="00024782">
        <w:rPr>
          <w:rFonts w:eastAsiaTheme="minorEastAsia"/>
          <w:color w:val="auto"/>
          <w:sz w:val="22"/>
          <w:szCs w:val="22"/>
        </w:rPr>
        <w:t xml:space="preserve"> (e.g. </w:t>
      </w:r>
      <w:r w:rsidR="009608BA">
        <w:rPr>
          <w:rFonts w:eastAsiaTheme="minorEastAsia"/>
          <w:color w:val="auto"/>
          <w:sz w:val="22"/>
          <w:szCs w:val="22"/>
        </w:rPr>
        <w:t xml:space="preserve">from </w:t>
      </w:r>
      <w:r w:rsidR="00024782">
        <w:rPr>
          <w:rFonts w:eastAsiaTheme="minorEastAsia"/>
          <w:color w:val="auto"/>
          <w:sz w:val="22"/>
          <w:szCs w:val="22"/>
        </w:rPr>
        <w:t>ratings agencies)</w:t>
      </w:r>
      <w:r w:rsidRPr="00FB70D8">
        <w:rPr>
          <w:rFonts w:eastAsiaTheme="minorEastAsia"/>
          <w:color w:val="auto"/>
          <w:sz w:val="22"/>
          <w:szCs w:val="22"/>
        </w:rPr>
        <w:t>. It is for this reason that tax rules often follow</w:t>
      </w:r>
      <w:r>
        <w:rPr>
          <w:rFonts w:eastAsiaTheme="minorEastAsia"/>
          <w:color w:val="auto"/>
          <w:sz w:val="22"/>
          <w:szCs w:val="22"/>
        </w:rPr>
        <w:t xml:space="preserve"> </w:t>
      </w:r>
      <w:r w:rsidR="00F062E5" w:rsidRPr="0008583A">
        <w:rPr>
          <w:rFonts w:eastAsiaTheme="minorEastAsia"/>
          <w:color w:val="auto"/>
          <w:sz w:val="22"/>
          <w:szCs w:val="22"/>
        </w:rPr>
        <w:t>a regulatory basis</w:t>
      </w:r>
      <w:r w:rsidR="00335DC4" w:rsidRPr="0008583A">
        <w:rPr>
          <w:rFonts w:eastAsiaTheme="minorEastAsia"/>
          <w:color w:val="auto"/>
          <w:sz w:val="22"/>
          <w:szCs w:val="22"/>
        </w:rPr>
        <w:t xml:space="preserve"> with different rules for valuing investment assets and insurance </w:t>
      </w:r>
      <w:r w:rsidR="00DF107F">
        <w:rPr>
          <w:rFonts w:eastAsiaTheme="minorEastAsia"/>
          <w:color w:val="auto"/>
          <w:sz w:val="22"/>
          <w:szCs w:val="22"/>
        </w:rPr>
        <w:t>technical provisions</w:t>
      </w:r>
      <w:r w:rsidR="006053D4" w:rsidRPr="0008583A">
        <w:rPr>
          <w:rFonts w:eastAsiaTheme="minorEastAsia"/>
          <w:color w:val="auto"/>
          <w:sz w:val="22"/>
          <w:szCs w:val="22"/>
        </w:rPr>
        <w:t xml:space="preserve">. As these </w:t>
      </w:r>
      <w:r w:rsidR="00DD3731">
        <w:rPr>
          <w:rFonts w:eastAsiaTheme="minorEastAsia"/>
          <w:color w:val="auto"/>
          <w:sz w:val="22"/>
          <w:szCs w:val="22"/>
        </w:rPr>
        <w:t>comprise</w:t>
      </w:r>
      <w:r w:rsidR="006053D4" w:rsidRPr="0008583A">
        <w:rPr>
          <w:rFonts w:eastAsiaTheme="minorEastAsia"/>
          <w:color w:val="auto"/>
          <w:sz w:val="22"/>
          <w:szCs w:val="22"/>
        </w:rPr>
        <w:t xml:space="preserve"> the significant items on insurers</w:t>
      </w:r>
      <w:r w:rsidR="00553A6F">
        <w:rPr>
          <w:rFonts w:eastAsiaTheme="minorEastAsia"/>
          <w:color w:val="auto"/>
          <w:sz w:val="22"/>
          <w:szCs w:val="22"/>
        </w:rPr>
        <w:t>’</w:t>
      </w:r>
      <w:r w:rsidR="006053D4" w:rsidRPr="0008583A">
        <w:rPr>
          <w:rFonts w:eastAsiaTheme="minorEastAsia"/>
          <w:color w:val="auto"/>
          <w:sz w:val="22"/>
          <w:szCs w:val="22"/>
        </w:rPr>
        <w:t xml:space="preserve"> balance sheet</w:t>
      </w:r>
      <w:r w:rsidR="00DF107F">
        <w:rPr>
          <w:rFonts w:eastAsiaTheme="minorEastAsia"/>
          <w:color w:val="auto"/>
          <w:sz w:val="22"/>
          <w:szCs w:val="22"/>
        </w:rPr>
        <w:t>s</w:t>
      </w:r>
      <w:r w:rsidR="006053D4" w:rsidRPr="0008583A">
        <w:rPr>
          <w:rFonts w:eastAsiaTheme="minorEastAsia"/>
          <w:color w:val="auto"/>
          <w:sz w:val="22"/>
          <w:szCs w:val="22"/>
        </w:rPr>
        <w:t xml:space="preserve"> this </w:t>
      </w:r>
      <w:r w:rsidR="00335DC4" w:rsidRPr="0008583A">
        <w:rPr>
          <w:rFonts w:eastAsiaTheme="minorEastAsia"/>
          <w:color w:val="auto"/>
          <w:sz w:val="22"/>
          <w:szCs w:val="22"/>
        </w:rPr>
        <w:t xml:space="preserve">commonly </w:t>
      </w:r>
      <w:r w:rsidR="006053D4" w:rsidRPr="0008583A">
        <w:rPr>
          <w:rFonts w:eastAsiaTheme="minorEastAsia"/>
          <w:color w:val="auto"/>
          <w:sz w:val="22"/>
          <w:szCs w:val="22"/>
        </w:rPr>
        <w:t xml:space="preserve">leads to timing differences </w:t>
      </w:r>
      <w:r w:rsidR="00DD3731">
        <w:rPr>
          <w:rFonts w:eastAsiaTheme="minorEastAsia"/>
          <w:color w:val="auto"/>
          <w:sz w:val="22"/>
          <w:szCs w:val="22"/>
        </w:rPr>
        <w:t xml:space="preserve">between tax and accounting </w:t>
      </w:r>
      <w:r w:rsidR="006053D4" w:rsidRPr="0008583A">
        <w:rPr>
          <w:rFonts w:eastAsiaTheme="minorEastAsia"/>
          <w:color w:val="auto"/>
          <w:sz w:val="22"/>
          <w:szCs w:val="22"/>
        </w:rPr>
        <w:t>in</w:t>
      </w:r>
      <w:r w:rsidR="00335DC4" w:rsidRPr="0008583A">
        <w:rPr>
          <w:rFonts w:eastAsiaTheme="minorEastAsia"/>
          <w:color w:val="auto"/>
          <w:sz w:val="22"/>
          <w:szCs w:val="22"/>
        </w:rPr>
        <w:t xml:space="preserve"> the hundreds of millions or billions of </w:t>
      </w:r>
      <w:r w:rsidR="004931DF">
        <w:rPr>
          <w:rFonts w:eastAsiaTheme="minorEastAsia"/>
          <w:color w:val="auto"/>
          <w:sz w:val="22"/>
          <w:szCs w:val="22"/>
        </w:rPr>
        <w:t>Euros</w:t>
      </w:r>
      <w:r w:rsidR="00D267F2">
        <w:rPr>
          <w:rFonts w:eastAsiaTheme="minorEastAsia"/>
          <w:color w:val="auto"/>
          <w:sz w:val="22"/>
          <w:szCs w:val="22"/>
        </w:rPr>
        <w:t>, as can be seen by the size of deferred tax assets/liabilities on insurers</w:t>
      </w:r>
      <w:r w:rsidR="00DF107F">
        <w:rPr>
          <w:rFonts w:eastAsiaTheme="minorEastAsia"/>
          <w:color w:val="auto"/>
          <w:sz w:val="22"/>
          <w:szCs w:val="22"/>
        </w:rPr>
        <w:t>’</w:t>
      </w:r>
      <w:r w:rsidR="00D267F2">
        <w:rPr>
          <w:rFonts w:eastAsiaTheme="minorEastAsia"/>
          <w:color w:val="auto"/>
          <w:sz w:val="22"/>
          <w:szCs w:val="22"/>
        </w:rPr>
        <w:t xml:space="preserve"> balance sheets.</w:t>
      </w:r>
    </w:p>
    <w:p w14:paraId="08411A43" w14:textId="7BC26252" w:rsidR="00445354" w:rsidRPr="0008583A" w:rsidRDefault="00445354" w:rsidP="00077C03">
      <w:pPr>
        <w:pStyle w:val="Default"/>
        <w:numPr>
          <w:ilvl w:val="0"/>
          <w:numId w:val="25"/>
        </w:numPr>
        <w:spacing w:after="120"/>
        <w:jc w:val="both"/>
        <w:rPr>
          <w:rFonts w:eastAsiaTheme="minorEastAsia"/>
          <w:color w:val="auto"/>
          <w:sz w:val="22"/>
          <w:szCs w:val="22"/>
        </w:rPr>
      </w:pPr>
      <w:r>
        <w:rPr>
          <w:rFonts w:eastAsiaTheme="minorEastAsia"/>
          <w:color w:val="auto"/>
          <w:sz w:val="22"/>
          <w:szCs w:val="22"/>
        </w:rPr>
        <w:t xml:space="preserve">Timing differences </w:t>
      </w:r>
      <w:r w:rsidR="0091766F">
        <w:rPr>
          <w:rFonts w:eastAsiaTheme="minorEastAsia"/>
          <w:color w:val="auto"/>
          <w:sz w:val="22"/>
          <w:szCs w:val="22"/>
        </w:rPr>
        <w:t>can be very long lasting:</w:t>
      </w:r>
    </w:p>
    <w:p w14:paraId="54DEA153" w14:textId="2F9AFEC1" w:rsidR="006B3DF7" w:rsidRPr="0008583A" w:rsidRDefault="00D61F1B" w:rsidP="00077C03">
      <w:pPr>
        <w:pStyle w:val="Default"/>
        <w:numPr>
          <w:ilvl w:val="1"/>
          <w:numId w:val="25"/>
        </w:numPr>
        <w:spacing w:after="120"/>
        <w:jc w:val="both"/>
        <w:rPr>
          <w:rFonts w:eastAsiaTheme="minorEastAsia"/>
          <w:color w:val="auto"/>
          <w:sz w:val="22"/>
          <w:szCs w:val="22"/>
        </w:rPr>
      </w:pPr>
      <w:r w:rsidRPr="0008583A">
        <w:rPr>
          <w:rFonts w:eastAsiaTheme="minorEastAsia"/>
          <w:color w:val="auto"/>
          <w:sz w:val="22"/>
          <w:szCs w:val="22"/>
        </w:rPr>
        <w:t xml:space="preserve">Many insurance policies extend over </w:t>
      </w:r>
      <w:r w:rsidR="003B3269" w:rsidRPr="0008583A">
        <w:rPr>
          <w:rFonts w:eastAsiaTheme="minorEastAsia"/>
          <w:color w:val="auto"/>
          <w:sz w:val="22"/>
          <w:szCs w:val="22"/>
        </w:rPr>
        <w:t xml:space="preserve">decades. This is common </w:t>
      </w:r>
      <w:r w:rsidR="00776934">
        <w:rPr>
          <w:rFonts w:eastAsiaTheme="minorEastAsia"/>
          <w:color w:val="auto"/>
          <w:sz w:val="22"/>
          <w:szCs w:val="22"/>
        </w:rPr>
        <w:t xml:space="preserve">across life insurance (e.g. 20 year </w:t>
      </w:r>
      <w:r w:rsidR="00AD4D08">
        <w:rPr>
          <w:rFonts w:eastAsiaTheme="minorEastAsia"/>
          <w:color w:val="auto"/>
          <w:sz w:val="22"/>
          <w:szCs w:val="22"/>
        </w:rPr>
        <w:t>term insurance</w:t>
      </w:r>
      <w:r w:rsidR="00776934">
        <w:rPr>
          <w:rFonts w:eastAsiaTheme="minorEastAsia"/>
          <w:color w:val="auto"/>
          <w:sz w:val="22"/>
          <w:szCs w:val="22"/>
        </w:rPr>
        <w:t>)</w:t>
      </w:r>
      <w:r w:rsidR="00A05A75">
        <w:rPr>
          <w:rFonts w:eastAsiaTheme="minorEastAsia"/>
          <w:color w:val="auto"/>
          <w:sz w:val="22"/>
          <w:szCs w:val="22"/>
        </w:rPr>
        <w:t>,</w:t>
      </w:r>
      <w:r w:rsidR="003B3269" w:rsidRPr="0008583A">
        <w:rPr>
          <w:rFonts w:eastAsiaTheme="minorEastAsia"/>
          <w:color w:val="auto"/>
          <w:sz w:val="22"/>
          <w:szCs w:val="22"/>
        </w:rPr>
        <w:t xml:space="preserve"> the long-term savings world </w:t>
      </w:r>
      <w:r w:rsidR="00D267F2">
        <w:rPr>
          <w:rFonts w:eastAsiaTheme="minorEastAsia"/>
          <w:color w:val="auto"/>
          <w:sz w:val="22"/>
          <w:szCs w:val="22"/>
        </w:rPr>
        <w:t xml:space="preserve">(e.g. </w:t>
      </w:r>
      <w:r w:rsidR="003B3269" w:rsidRPr="0008583A">
        <w:rPr>
          <w:rFonts w:eastAsiaTheme="minorEastAsia"/>
          <w:color w:val="auto"/>
          <w:sz w:val="22"/>
          <w:szCs w:val="22"/>
        </w:rPr>
        <w:t>pensions and investment bonds</w:t>
      </w:r>
      <w:r w:rsidR="00D267F2">
        <w:rPr>
          <w:rFonts w:eastAsiaTheme="minorEastAsia"/>
          <w:color w:val="auto"/>
          <w:sz w:val="22"/>
          <w:szCs w:val="22"/>
        </w:rPr>
        <w:t>)</w:t>
      </w:r>
      <w:r w:rsidR="00FB3057" w:rsidRPr="0008583A">
        <w:rPr>
          <w:rFonts w:eastAsiaTheme="minorEastAsia"/>
          <w:color w:val="auto"/>
          <w:sz w:val="22"/>
          <w:szCs w:val="22"/>
        </w:rPr>
        <w:t xml:space="preserve"> and general insurance </w:t>
      </w:r>
      <w:r w:rsidR="00D267F2">
        <w:rPr>
          <w:rFonts w:eastAsiaTheme="minorEastAsia"/>
          <w:color w:val="auto"/>
          <w:sz w:val="22"/>
          <w:szCs w:val="22"/>
        </w:rPr>
        <w:t>(</w:t>
      </w:r>
      <w:r w:rsidR="00FB3057" w:rsidRPr="0008583A">
        <w:rPr>
          <w:rFonts w:eastAsiaTheme="minorEastAsia"/>
          <w:color w:val="auto"/>
          <w:sz w:val="22"/>
          <w:szCs w:val="22"/>
        </w:rPr>
        <w:t xml:space="preserve">e.g. </w:t>
      </w:r>
      <w:r w:rsidR="00FB3057" w:rsidRPr="760A453A">
        <w:rPr>
          <w:rFonts w:eastAsiaTheme="minorEastAsia"/>
          <w:color w:val="auto"/>
          <w:sz w:val="22"/>
          <w:szCs w:val="22"/>
        </w:rPr>
        <w:t xml:space="preserve">asbestos </w:t>
      </w:r>
      <w:r w:rsidR="07D9CED5" w:rsidRPr="760A453A">
        <w:rPr>
          <w:rFonts w:eastAsiaTheme="minorEastAsia"/>
          <w:color w:val="auto"/>
          <w:sz w:val="22"/>
          <w:szCs w:val="22"/>
        </w:rPr>
        <w:t>and other liability</w:t>
      </w:r>
      <w:r w:rsidR="00FB3057" w:rsidRPr="0008583A">
        <w:rPr>
          <w:rFonts w:eastAsiaTheme="minorEastAsia"/>
          <w:color w:val="auto"/>
          <w:sz w:val="22"/>
          <w:szCs w:val="22"/>
        </w:rPr>
        <w:t xml:space="preserve"> claims that arise decades after the associated premium payments</w:t>
      </w:r>
      <w:r w:rsidR="00D267F2">
        <w:rPr>
          <w:rFonts w:eastAsiaTheme="minorEastAsia"/>
          <w:color w:val="auto"/>
          <w:sz w:val="22"/>
          <w:szCs w:val="22"/>
        </w:rPr>
        <w:t>)</w:t>
      </w:r>
      <w:r w:rsidR="00FB3057" w:rsidRPr="0008583A">
        <w:rPr>
          <w:rFonts w:eastAsiaTheme="minorEastAsia"/>
          <w:color w:val="auto"/>
          <w:sz w:val="22"/>
          <w:szCs w:val="22"/>
        </w:rPr>
        <w:t xml:space="preserve">. </w:t>
      </w:r>
    </w:p>
    <w:p w14:paraId="7C33C54E" w14:textId="61275581" w:rsidR="006B3DF7" w:rsidRDefault="00FB3057" w:rsidP="00077C03">
      <w:pPr>
        <w:pStyle w:val="Default"/>
        <w:numPr>
          <w:ilvl w:val="1"/>
          <w:numId w:val="25"/>
        </w:numPr>
        <w:spacing w:after="120"/>
        <w:jc w:val="both"/>
        <w:rPr>
          <w:rFonts w:eastAsiaTheme="minorEastAsia"/>
          <w:color w:val="auto"/>
          <w:sz w:val="22"/>
          <w:szCs w:val="22"/>
        </w:rPr>
      </w:pPr>
      <w:r w:rsidRPr="0008583A">
        <w:rPr>
          <w:rFonts w:eastAsiaTheme="minorEastAsia"/>
          <w:color w:val="auto"/>
          <w:sz w:val="22"/>
          <w:szCs w:val="22"/>
        </w:rPr>
        <w:t xml:space="preserve">Overlaid on this </w:t>
      </w:r>
      <w:r w:rsidR="00205EE6" w:rsidRPr="0008583A">
        <w:rPr>
          <w:rFonts w:eastAsiaTheme="minorEastAsia"/>
          <w:color w:val="auto"/>
          <w:sz w:val="22"/>
          <w:szCs w:val="22"/>
        </w:rPr>
        <w:t>very long-term view is the impact of t</w:t>
      </w:r>
      <w:r w:rsidR="008C7EC2" w:rsidRPr="0008583A">
        <w:rPr>
          <w:rFonts w:eastAsiaTheme="minorEastAsia"/>
          <w:color w:val="auto"/>
          <w:sz w:val="22"/>
          <w:szCs w:val="22"/>
        </w:rPr>
        <w:t>he insurance cycle</w:t>
      </w:r>
      <w:r w:rsidR="00205EE6" w:rsidRPr="0008583A">
        <w:rPr>
          <w:rFonts w:eastAsiaTheme="minorEastAsia"/>
          <w:color w:val="auto"/>
          <w:sz w:val="22"/>
          <w:szCs w:val="22"/>
        </w:rPr>
        <w:t>.</w:t>
      </w:r>
      <w:r w:rsidR="008C7EC2" w:rsidRPr="0008583A">
        <w:rPr>
          <w:rFonts w:eastAsiaTheme="minorEastAsia"/>
          <w:color w:val="auto"/>
          <w:sz w:val="22"/>
          <w:szCs w:val="22"/>
        </w:rPr>
        <w:t xml:space="preserve"> </w:t>
      </w:r>
      <w:r w:rsidR="00205EE6" w:rsidRPr="0008583A">
        <w:rPr>
          <w:rFonts w:eastAsiaTheme="minorEastAsia"/>
          <w:color w:val="auto"/>
          <w:sz w:val="22"/>
          <w:szCs w:val="22"/>
        </w:rPr>
        <w:t>L</w:t>
      </w:r>
      <w:r w:rsidR="00465AA8" w:rsidRPr="0008583A">
        <w:rPr>
          <w:rFonts w:eastAsiaTheme="minorEastAsia"/>
          <w:color w:val="auto"/>
          <w:sz w:val="22"/>
          <w:szCs w:val="22"/>
        </w:rPr>
        <w:t>arge claim events (e.g. hurricanes) and market movements</w:t>
      </w:r>
      <w:r w:rsidR="00205EE6" w:rsidRPr="0008583A">
        <w:rPr>
          <w:rFonts w:eastAsiaTheme="minorEastAsia"/>
          <w:color w:val="auto"/>
          <w:sz w:val="22"/>
          <w:szCs w:val="22"/>
        </w:rPr>
        <w:t xml:space="preserve"> </w:t>
      </w:r>
      <w:r w:rsidR="1D69FCD0" w:rsidRPr="760A453A">
        <w:rPr>
          <w:rFonts w:eastAsiaTheme="minorEastAsia"/>
          <w:color w:val="auto"/>
          <w:sz w:val="22"/>
          <w:szCs w:val="22"/>
        </w:rPr>
        <w:t xml:space="preserve">on assets </w:t>
      </w:r>
      <w:r w:rsidR="00205EE6" w:rsidRPr="0008583A">
        <w:rPr>
          <w:rFonts w:eastAsiaTheme="minorEastAsia"/>
          <w:color w:val="auto"/>
          <w:sz w:val="22"/>
          <w:szCs w:val="22"/>
        </w:rPr>
        <w:t>in one year can lead to losses that take many years to recover. Insurers operate a long-term view</w:t>
      </w:r>
      <w:r w:rsidR="008928DC">
        <w:rPr>
          <w:rFonts w:eastAsiaTheme="minorEastAsia"/>
          <w:color w:val="auto"/>
          <w:sz w:val="22"/>
          <w:szCs w:val="22"/>
        </w:rPr>
        <w:t xml:space="preserve"> as part of their business planning</w:t>
      </w:r>
      <w:r w:rsidR="00205EE6" w:rsidRPr="0008583A">
        <w:rPr>
          <w:rFonts w:eastAsiaTheme="minorEastAsia"/>
          <w:color w:val="auto"/>
          <w:sz w:val="22"/>
          <w:szCs w:val="22"/>
        </w:rPr>
        <w:t xml:space="preserve">. Profitability in any </w:t>
      </w:r>
      <w:r w:rsidR="00F82E13">
        <w:rPr>
          <w:rFonts w:eastAsiaTheme="minorEastAsia"/>
          <w:color w:val="auto"/>
          <w:sz w:val="22"/>
          <w:szCs w:val="22"/>
        </w:rPr>
        <w:t>given</w:t>
      </w:r>
      <w:r w:rsidR="00F94B3F" w:rsidRPr="0008583A">
        <w:rPr>
          <w:rFonts w:eastAsiaTheme="minorEastAsia"/>
          <w:color w:val="auto"/>
          <w:sz w:val="22"/>
          <w:szCs w:val="22"/>
        </w:rPr>
        <w:t xml:space="preserve"> period is not the key metric – it is the long-term trend.</w:t>
      </w:r>
    </w:p>
    <w:p w14:paraId="631FA30F" w14:textId="1C385912" w:rsidR="006B3DF7" w:rsidRPr="00F60844" w:rsidRDefault="006B3DF7" w:rsidP="00077C03">
      <w:pPr>
        <w:pStyle w:val="Default"/>
        <w:numPr>
          <w:ilvl w:val="0"/>
          <w:numId w:val="25"/>
        </w:numPr>
        <w:spacing w:after="120"/>
        <w:jc w:val="both"/>
        <w:rPr>
          <w:rFonts w:eastAsiaTheme="minorEastAsia"/>
          <w:color w:val="auto"/>
          <w:sz w:val="22"/>
          <w:szCs w:val="22"/>
        </w:rPr>
      </w:pPr>
      <w:r w:rsidRPr="00F60844">
        <w:rPr>
          <w:rFonts w:eastAsiaTheme="minorEastAsia"/>
          <w:color w:val="auto"/>
          <w:sz w:val="22"/>
          <w:szCs w:val="22"/>
        </w:rPr>
        <w:t xml:space="preserve">Combining these tax and business impacts means that insurers </w:t>
      </w:r>
      <w:r w:rsidRPr="004D0542">
        <w:rPr>
          <w:rFonts w:eastAsiaTheme="minorEastAsia"/>
          <w:color w:val="auto"/>
          <w:sz w:val="22"/>
          <w:szCs w:val="22"/>
        </w:rPr>
        <w:t>have</w:t>
      </w:r>
      <w:r w:rsidRPr="00F75ECC">
        <w:rPr>
          <w:rFonts w:eastAsiaTheme="minorEastAsia"/>
          <w:color w:val="auto"/>
          <w:sz w:val="22"/>
          <w:szCs w:val="22"/>
        </w:rPr>
        <w:t xml:space="preserve"> </w:t>
      </w:r>
      <w:r w:rsidR="00C017D8">
        <w:rPr>
          <w:rFonts w:eastAsiaTheme="minorEastAsia"/>
          <w:color w:val="auto"/>
          <w:sz w:val="22"/>
          <w:szCs w:val="22"/>
        </w:rPr>
        <w:t xml:space="preserve">very </w:t>
      </w:r>
      <w:r w:rsidR="00400EC0">
        <w:rPr>
          <w:rFonts w:eastAsiaTheme="minorEastAsia"/>
          <w:color w:val="auto"/>
          <w:sz w:val="22"/>
          <w:szCs w:val="22"/>
        </w:rPr>
        <w:t>significant</w:t>
      </w:r>
      <w:r w:rsidR="68502728" w:rsidRPr="760A453A">
        <w:rPr>
          <w:rFonts w:eastAsiaTheme="minorEastAsia"/>
          <w:color w:val="auto"/>
          <w:sz w:val="22"/>
          <w:szCs w:val="22"/>
        </w:rPr>
        <w:t xml:space="preserve"> and</w:t>
      </w:r>
      <w:r w:rsidR="00C017D8">
        <w:rPr>
          <w:rFonts w:eastAsiaTheme="minorEastAsia"/>
          <w:color w:val="auto"/>
          <w:sz w:val="22"/>
          <w:szCs w:val="22"/>
        </w:rPr>
        <w:t xml:space="preserve"> very </w:t>
      </w:r>
      <w:r w:rsidRPr="00F75ECC">
        <w:rPr>
          <w:rFonts w:eastAsiaTheme="minorEastAsia"/>
          <w:color w:val="auto"/>
          <w:sz w:val="22"/>
          <w:szCs w:val="22"/>
        </w:rPr>
        <w:t>extended timing differences</w:t>
      </w:r>
      <w:r w:rsidRPr="00F31965">
        <w:rPr>
          <w:rFonts w:eastAsiaTheme="minorEastAsia"/>
          <w:color w:val="auto"/>
          <w:sz w:val="22"/>
          <w:szCs w:val="22"/>
        </w:rPr>
        <w:t xml:space="preserve"> which may take decades to reverse.</w:t>
      </w:r>
      <w:r w:rsidRPr="00FB12F0">
        <w:rPr>
          <w:rFonts w:eastAsiaTheme="minorEastAsia"/>
          <w:color w:val="auto"/>
          <w:sz w:val="22"/>
          <w:szCs w:val="22"/>
        </w:rPr>
        <w:t xml:space="preserve"> </w:t>
      </w:r>
      <w:r w:rsidR="00AD4490" w:rsidRPr="00AD4490">
        <w:rPr>
          <w:rFonts w:eastAsiaTheme="minorEastAsia"/>
          <w:color w:val="auto"/>
          <w:sz w:val="22"/>
          <w:szCs w:val="22"/>
        </w:rPr>
        <w:t xml:space="preserve">These differences can result in </w:t>
      </w:r>
      <w:r w:rsidR="75AE6FEC" w:rsidRPr="760A453A">
        <w:rPr>
          <w:rFonts w:eastAsiaTheme="minorEastAsia"/>
          <w:color w:val="auto"/>
          <w:sz w:val="22"/>
          <w:szCs w:val="22"/>
        </w:rPr>
        <w:t xml:space="preserve">significant volatility and </w:t>
      </w:r>
      <w:r w:rsidR="00AD4490" w:rsidRPr="760A453A">
        <w:rPr>
          <w:rFonts w:eastAsiaTheme="minorEastAsia"/>
          <w:color w:val="auto"/>
          <w:sz w:val="22"/>
          <w:szCs w:val="22"/>
        </w:rPr>
        <w:t xml:space="preserve">in </w:t>
      </w:r>
      <w:r w:rsidR="00AD4490" w:rsidRPr="00AD4490">
        <w:rPr>
          <w:rFonts w:eastAsiaTheme="minorEastAsia"/>
          <w:color w:val="auto"/>
          <w:sz w:val="22"/>
          <w:szCs w:val="22"/>
        </w:rPr>
        <w:t xml:space="preserve">insurance operations having an inappropriately low </w:t>
      </w:r>
      <w:proofErr w:type="spellStart"/>
      <w:r w:rsidR="00AD4490" w:rsidRPr="00AD4490">
        <w:rPr>
          <w:rFonts w:eastAsiaTheme="minorEastAsia"/>
          <w:color w:val="auto"/>
          <w:sz w:val="22"/>
          <w:szCs w:val="22"/>
        </w:rPr>
        <w:t>GloBE</w:t>
      </w:r>
      <w:proofErr w:type="spellEnd"/>
      <w:r w:rsidR="00AD4490" w:rsidRPr="00AD4490">
        <w:rPr>
          <w:rFonts w:eastAsiaTheme="minorEastAsia"/>
          <w:color w:val="auto"/>
          <w:sz w:val="22"/>
          <w:szCs w:val="22"/>
        </w:rPr>
        <w:t xml:space="preserve"> effective tax rate (“ETR”) that in many cases will not be adequately addressed by the credit and carry-forward mechanism, as described in </w:t>
      </w:r>
      <w:r w:rsidR="35C351AE" w:rsidRPr="760A453A">
        <w:rPr>
          <w:rFonts w:eastAsiaTheme="minorEastAsia"/>
          <w:color w:val="auto"/>
          <w:sz w:val="22"/>
          <w:szCs w:val="22"/>
        </w:rPr>
        <w:t xml:space="preserve">the Blueprint. We comment on this issue in  </w:t>
      </w:r>
      <w:r w:rsidR="00AD4490" w:rsidRPr="00AD4490">
        <w:rPr>
          <w:rFonts w:eastAsiaTheme="minorEastAsia"/>
          <w:color w:val="auto"/>
          <w:sz w:val="22"/>
          <w:szCs w:val="22"/>
        </w:rPr>
        <w:t xml:space="preserve">more detail in section </w:t>
      </w:r>
      <w:r w:rsidR="001B4F77">
        <w:rPr>
          <w:rFonts w:eastAsiaTheme="minorEastAsia"/>
          <w:color w:val="auto"/>
          <w:sz w:val="22"/>
          <w:szCs w:val="22"/>
        </w:rPr>
        <w:t>1 below.</w:t>
      </w:r>
    </w:p>
    <w:p w14:paraId="5A7683C9" w14:textId="10DDFAC6" w:rsidR="0093024C" w:rsidRPr="0008583A" w:rsidRDefault="7632A20E" w:rsidP="00077C03">
      <w:pPr>
        <w:pStyle w:val="Default"/>
        <w:numPr>
          <w:ilvl w:val="0"/>
          <w:numId w:val="25"/>
        </w:numPr>
        <w:spacing w:after="120"/>
        <w:jc w:val="both"/>
        <w:rPr>
          <w:rFonts w:asciiTheme="minorEastAsia" w:eastAsiaTheme="minorEastAsia" w:hAnsiTheme="minorEastAsia" w:cstheme="minorEastAsia"/>
          <w:color w:val="auto"/>
          <w:sz w:val="22"/>
          <w:szCs w:val="22"/>
        </w:rPr>
      </w:pPr>
      <w:r w:rsidRPr="760A453A">
        <w:rPr>
          <w:rFonts w:eastAsiaTheme="minorEastAsia"/>
          <w:color w:val="auto"/>
          <w:sz w:val="22"/>
          <w:szCs w:val="22"/>
        </w:rPr>
        <w:t xml:space="preserve">Substance for an insurer is intrinsically linked to appropriate capital being held in a regulated legal entity. The minimum amount of capital required is set by the local regulatory authority, however the attitude of ratings agencies and insurance counterparties means in practice prudence on top of this minimum must be retained by an insurer. This capital is not very fungible, and regulatory rules acknowledge this when looking at the overall group capital position for insurers. </w:t>
      </w:r>
    </w:p>
    <w:p w14:paraId="32BCF5DA" w14:textId="5C98953E" w:rsidR="0093024C" w:rsidRPr="0008583A" w:rsidRDefault="0093024C" w:rsidP="760A453A">
      <w:pPr>
        <w:pStyle w:val="Default"/>
        <w:numPr>
          <w:ilvl w:val="0"/>
          <w:numId w:val="25"/>
        </w:numPr>
        <w:spacing w:after="120"/>
        <w:jc w:val="both"/>
        <w:rPr>
          <w:color w:val="auto"/>
          <w:sz w:val="22"/>
          <w:szCs w:val="22"/>
        </w:rPr>
      </w:pPr>
      <w:r w:rsidRPr="0008583A">
        <w:rPr>
          <w:rFonts w:eastAsiaTheme="minorEastAsia"/>
          <w:color w:val="auto"/>
          <w:sz w:val="22"/>
          <w:szCs w:val="22"/>
        </w:rPr>
        <w:t>Insurance premium payments do not correlate to corporate profitability / profit transfer in the same way that interest or royalty payments do</w:t>
      </w:r>
      <w:r w:rsidR="002A0F60">
        <w:rPr>
          <w:rFonts w:eastAsiaTheme="minorEastAsia"/>
          <w:color w:val="auto"/>
          <w:sz w:val="22"/>
          <w:szCs w:val="22"/>
        </w:rPr>
        <w:t xml:space="preserve">, which </w:t>
      </w:r>
      <w:r w:rsidR="05239938" w:rsidRPr="760A453A">
        <w:rPr>
          <w:rFonts w:eastAsiaTheme="minorEastAsia"/>
          <w:color w:val="auto"/>
          <w:sz w:val="22"/>
          <w:szCs w:val="22"/>
        </w:rPr>
        <w:t xml:space="preserve">can </w:t>
      </w:r>
      <w:r w:rsidR="002A0F60">
        <w:rPr>
          <w:rFonts w:eastAsiaTheme="minorEastAsia"/>
          <w:color w:val="auto"/>
          <w:sz w:val="22"/>
          <w:szCs w:val="22"/>
        </w:rPr>
        <w:t>reflect largely risk free, continually profitable business models</w:t>
      </w:r>
      <w:r w:rsidRPr="0008583A">
        <w:rPr>
          <w:rFonts w:eastAsiaTheme="minorEastAsia"/>
          <w:color w:val="auto"/>
          <w:sz w:val="22"/>
          <w:szCs w:val="22"/>
        </w:rPr>
        <w:t xml:space="preserve">. Indeed, substantial premiums can be </w:t>
      </w:r>
      <w:r>
        <w:rPr>
          <w:rFonts w:eastAsiaTheme="minorEastAsia"/>
          <w:color w:val="auto"/>
          <w:sz w:val="22"/>
          <w:szCs w:val="22"/>
        </w:rPr>
        <w:t>received by an insurer</w:t>
      </w:r>
      <w:r w:rsidRPr="0008583A">
        <w:rPr>
          <w:rFonts w:eastAsiaTheme="minorEastAsia"/>
          <w:color w:val="auto"/>
          <w:sz w:val="22"/>
          <w:szCs w:val="22"/>
        </w:rPr>
        <w:t xml:space="preserve"> even where </w:t>
      </w:r>
      <w:r w:rsidR="1A0C5E1B" w:rsidRPr="760A453A">
        <w:rPr>
          <w:rFonts w:eastAsiaTheme="minorEastAsia"/>
          <w:color w:val="auto"/>
          <w:sz w:val="22"/>
          <w:szCs w:val="22"/>
        </w:rPr>
        <w:t xml:space="preserve">that </w:t>
      </w:r>
      <w:r w:rsidRPr="0008583A">
        <w:rPr>
          <w:rFonts w:eastAsiaTheme="minorEastAsia"/>
          <w:color w:val="auto"/>
          <w:sz w:val="22"/>
          <w:szCs w:val="22"/>
        </w:rPr>
        <w:t xml:space="preserve">business is </w:t>
      </w:r>
      <w:r>
        <w:rPr>
          <w:rFonts w:eastAsiaTheme="minorEastAsia"/>
          <w:color w:val="auto"/>
          <w:sz w:val="22"/>
          <w:szCs w:val="22"/>
        </w:rPr>
        <w:t xml:space="preserve">ultimately </w:t>
      </w:r>
      <w:r w:rsidRPr="0008583A">
        <w:rPr>
          <w:rFonts w:eastAsiaTheme="minorEastAsia"/>
          <w:color w:val="auto"/>
          <w:sz w:val="22"/>
          <w:szCs w:val="22"/>
        </w:rPr>
        <w:t>loss-making.</w:t>
      </w:r>
      <w:r w:rsidR="00C94010">
        <w:rPr>
          <w:rFonts w:eastAsiaTheme="minorEastAsia"/>
          <w:color w:val="auto"/>
          <w:sz w:val="22"/>
          <w:szCs w:val="22"/>
        </w:rPr>
        <w:t xml:space="preserve"> We comment further in section 2 on this key issue in the context of the Subject To Tax Rule (‘STTR’).</w:t>
      </w:r>
    </w:p>
    <w:p w14:paraId="07B06D4E" w14:textId="768E3972" w:rsidR="00974B8D" w:rsidRPr="0008583A" w:rsidRDefault="00F3668B" w:rsidP="00077C03">
      <w:pPr>
        <w:pStyle w:val="Default"/>
        <w:spacing w:after="120"/>
        <w:jc w:val="both"/>
        <w:rPr>
          <w:rFonts w:eastAsiaTheme="minorEastAsia"/>
          <w:color w:val="auto"/>
          <w:sz w:val="22"/>
          <w:szCs w:val="22"/>
        </w:rPr>
      </w:pPr>
      <w:r w:rsidRPr="0008583A">
        <w:rPr>
          <w:rFonts w:eastAsiaTheme="minorEastAsia"/>
          <w:color w:val="auto"/>
          <w:sz w:val="22"/>
          <w:szCs w:val="22"/>
        </w:rPr>
        <w:lastRenderedPageBreak/>
        <w:t xml:space="preserve">We </w:t>
      </w:r>
      <w:r w:rsidR="001A1822" w:rsidRPr="0008583A">
        <w:rPr>
          <w:rFonts w:eastAsiaTheme="minorEastAsia"/>
          <w:color w:val="auto"/>
          <w:sz w:val="22"/>
          <w:szCs w:val="22"/>
        </w:rPr>
        <w:t xml:space="preserve">request that the </w:t>
      </w:r>
      <w:r w:rsidR="00A360C0">
        <w:rPr>
          <w:rFonts w:eastAsiaTheme="minorEastAsia"/>
          <w:color w:val="auto"/>
          <w:sz w:val="22"/>
          <w:szCs w:val="22"/>
        </w:rPr>
        <w:t>IF</w:t>
      </w:r>
      <w:r w:rsidR="00A360C0" w:rsidRPr="0008583A">
        <w:rPr>
          <w:rFonts w:eastAsiaTheme="minorEastAsia"/>
          <w:color w:val="auto"/>
          <w:sz w:val="22"/>
          <w:szCs w:val="22"/>
        </w:rPr>
        <w:t xml:space="preserve"> </w:t>
      </w:r>
      <w:r w:rsidR="001A1822" w:rsidRPr="0008583A">
        <w:rPr>
          <w:rFonts w:eastAsiaTheme="minorEastAsia"/>
          <w:color w:val="auto"/>
          <w:sz w:val="22"/>
          <w:szCs w:val="22"/>
        </w:rPr>
        <w:t xml:space="preserve">considers the </w:t>
      </w:r>
      <w:r w:rsidR="00190F7C" w:rsidRPr="0008583A">
        <w:rPr>
          <w:rFonts w:eastAsiaTheme="minorEastAsia"/>
          <w:color w:val="auto"/>
          <w:sz w:val="22"/>
          <w:szCs w:val="22"/>
        </w:rPr>
        <w:t>points made above</w:t>
      </w:r>
      <w:r w:rsidR="00003F9A">
        <w:rPr>
          <w:rFonts w:eastAsiaTheme="minorEastAsia"/>
          <w:color w:val="auto"/>
          <w:sz w:val="22"/>
          <w:szCs w:val="22"/>
        </w:rPr>
        <w:t>.</w:t>
      </w:r>
      <w:r w:rsidR="00190F7C" w:rsidRPr="0008583A">
        <w:rPr>
          <w:rFonts w:eastAsiaTheme="minorEastAsia"/>
          <w:color w:val="auto"/>
          <w:sz w:val="22"/>
          <w:szCs w:val="22"/>
        </w:rPr>
        <w:t xml:space="preserve"> </w:t>
      </w:r>
      <w:r w:rsidR="00003F9A">
        <w:rPr>
          <w:rFonts w:eastAsiaTheme="minorEastAsia"/>
          <w:color w:val="auto"/>
          <w:sz w:val="22"/>
          <w:szCs w:val="22"/>
        </w:rPr>
        <w:t>We note that in Pi</w:t>
      </w:r>
      <w:r w:rsidR="00632AEF">
        <w:rPr>
          <w:rFonts w:eastAsiaTheme="minorEastAsia"/>
          <w:color w:val="auto"/>
          <w:sz w:val="22"/>
          <w:szCs w:val="22"/>
        </w:rPr>
        <w:t>llar One</w:t>
      </w:r>
      <w:r w:rsidR="00003F9A" w:rsidRPr="0008583A">
        <w:rPr>
          <w:rFonts w:eastAsiaTheme="minorEastAsia"/>
          <w:color w:val="auto"/>
          <w:sz w:val="22"/>
          <w:szCs w:val="22"/>
        </w:rPr>
        <w:t xml:space="preserve"> </w:t>
      </w:r>
      <w:r w:rsidR="00632AEF">
        <w:rPr>
          <w:rFonts w:eastAsiaTheme="minorEastAsia"/>
          <w:color w:val="auto"/>
          <w:sz w:val="22"/>
          <w:szCs w:val="22"/>
        </w:rPr>
        <w:t xml:space="preserve">the </w:t>
      </w:r>
      <w:r w:rsidR="2072F47F" w:rsidRPr="760A453A">
        <w:rPr>
          <w:rFonts w:eastAsiaTheme="minorEastAsia"/>
          <w:color w:val="auto"/>
          <w:sz w:val="22"/>
          <w:szCs w:val="22"/>
        </w:rPr>
        <w:t>IF</w:t>
      </w:r>
      <w:r w:rsidR="00632AEF">
        <w:rPr>
          <w:rFonts w:eastAsiaTheme="minorEastAsia"/>
          <w:color w:val="auto"/>
          <w:sz w:val="22"/>
          <w:szCs w:val="22"/>
        </w:rPr>
        <w:t xml:space="preserve"> has recognised insurance is unique.</w:t>
      </w:r>
      <w:r w:rsidR="00632AEF" w:rsidRPr="00632AEF">
        <w:rPr>
          <w:rStyle w:val="Odkaznapoznmkupodiarou"/>
          <w:rFonts w:cstheme="minorBidi"/>
          <w:color w:val="auto"/>
          <w:sz w:val="22"/>
          <w:szCs w:val="22"/>
          <w:lang w:val="en-US"/>
        </w:rPr>
        <w:t xml:space="preserve"> </w:t>
      </w:r>
      <w:r w:rsidR="00632AEF">
        <w:rPr>
          <w:rStyle w:val="Odkaznapoznmkupodiarou"/>
          <w:rFonts w:cstheme="minorBidi"/>
          <w:color w:val="auto"/>
          <w:sz w:val="22"/>
          <w:szCs w:val="22"/>
          <w:lang w:val="en-US"/>
        </w:rPr>
        <w:footnoteReference w:id="2"/>
      </w:r>
      <w:r w:rsidR="00632AEF">
        <w:rPr>
          <w:rFonts w:eastAsiaTheme="minorEastAsia"/>
          <w:color w:val="auto"/>
          <w:sz w:val="22"/>
          <w:szCs w:val="22"/>
        </w:rPr>
        <w:t xml:space="preserve"> Similarly,</w:t>
      </w:r>
      <w:r w:rsidR="00632AEF" w:rsidRPr="0008583A">
        <w:rPr>
          <w:rFonts w:eastAsiaTheme="minorEastAsia"/>
          <w:color w:val="auto"/>
          <w:sz w:val="22"/>
          <w:szCs w:val="22"/>
        </w:rPr>
        <w:t xml:space="preserve"> </w:t>
      </w:r>
      <w:r w:rsidR="00190F7C" w:rsidRPr="0008583A">
        <w:rPr>
          <w:rFonts w:eastAsiaTheme="minorEastAsia"/>
          <w:color w:val="auto"/>
          <w:sz w:val="22"/>
          <w:szCs w:val="22"/>
        </w:rPr>
        <w:t>t</w:t>
      </w:r>
      <w:r w:rsidR="004427CD" w:rsidRPr="0008583A">
        <w:rPr>
          <w:rFonts w:eastAsiaTheme="minorEastAsia"/>
          <w:color w:val="auto"/>
          <w:sz w:val="22"/>
          <w:szCs w:val="22"/>
        </w:rPr>
        <w:t xml:space="preserve">he regulated nature, specific tax rules and long-term business cycle of </w:t>
      </w:r>
      <w:r w:rsidRPr="0008583A">
        <w:rPr>
          <w:rFonts w:eastAsiaTheme="minorEastAsia"/>
          <w:color w:val="auto"/>
          <w:sz w:val="22"/>
          <w:szCs w:val="22"/>
        </w:rPr>
        <w:t>insurance and reinsurance</w:t>
      </w:r>
      <w:r w:rsidR="00190F7C" w:rsidRPr="0008583A">
        <w:rPr>
          <w:rFonts w:eastAsiaTheme="minorEastAsia"/>
          <w:color w:val="auto"/>
          <w:sz w:val="22"/>
          <w:szCs w:val="22"/>
        </w:rPr>
        <w:t xml:space="preserve"> </w:t>
      </w:r>
      <w:r w:rsidR="004427CD" w:rsidRPr="0008583A">
        <w:rPr>
          <w:rFonts w:eastAsiaTheme="minorEastAsia"/>
          <w:color w:val="auto"/>
          <w:sz w:val="22"/>
          <w:szCs w:val="22"/>
        </w:rPr>
        <w:t xml:space="preserve">means that </w:t>
      </w:r>
      <w:r w:rsidR="00DA5287" w:rsidRPr="0008583A">
        <w:rPr>
          <w:rFonts w:eastAsiaTheme="minorEastAsia"/>
          <w:color w:val="auto"/>
          <w:sz w:val="22"/>
          <w:szCs w:val="22"/>
        </w:rPr>
        <w:t xml:space="preserve">the </w:t>
      </w:r>
      <w:r w:rsidR="00B27DC2">
        <w:rPr>
          <w:rFonts w:eastAsiaTheme="minorEastAsia"/>
          <w:color w:val="auto"/>
          <w:sz w:val="22"/>
          <w:szCs w:val="22"/>
        </w:rPr>
        <w:t xml:space="preserve">current </w:t>
      </w:r>
      <w:r w:rsidR="00DA5287" w:rsidRPr="0008583A">
        <w:rPr>
          <w:rFonts w:eastAsiaTheme="minorEastAsia"/>
          <w:color w:val="auto"/>
          <w:sz w:val="22"/>
          <w:szCs w:val="22"/>
        </w:rPr>
        <w:t xml:space="preserve">Pillar </w:t>
      </w:r>
      <w:r w:rsidR="00632AEF">
        <w:rPr>
          <w:rFonts w:eastAsiaTheme="minorEastAsia"/>
          <w:color w:val="auto"/>
          <w:sz w:val="22"/>
          <w:szCs w:val="22"/>
        </w:rPr>
        <w:t>Two</w:t>
      </w:r>
      <w:r w:rsidR="00DA5287" w:rsidRPr="0008583A">
        <w:rPr>
          <w:rFonts w:eastAsiaTheme="minorEastAsia"/>
          <w:color w:val="auto"/>
          <w:sz w:val="22"/>
          <w:szCs w:val="22"/>
        </w:rPr>
        <w:t xml:space="preserve"> rules </w:t>
      </w:r>
      <w:r w:rsidR="00B27DC2">
        <w:rPr>
          <w:rFonts w:eastAsiaTheme="minorEastAsia"/>
          <w:color w:val="auto"/>
          <w:sz w:val="22"/>
          <w:szCs w:val="22"/>
        </w:rPr>
        <w:t>do not work in a fair way for the industry.</w:t>
      </w:r>
      <w:r w:rsidR="00003F9A" w:rsidRPr="00003F9A">
        <w:rPr>
          <w:rStyle w:val="Odkaznapoznmkupodiarou"/>
          <w:rFonts w:cstheme="minorBidi"/>
          <w:color w:val="auto"/>
          <w:sz w:val="22"/>
          <w:szCs w:val="22"/>
          <w:lang w:val="en-US"/>
        </w:rPr>
        <w:t xml:space="preserve"> </w:t>
      </w:r>
      <w:r w:rsidR="00B27DC2">
        <w:rPr>
          <w:rFonts w:eastAsiaTheme="minorEastAsia"/>
          <w:color w:val="auto"/>
          <w:sz w:val="22"/>
          <w:szCs w:val="22"/>
        </w:rPr>
        <w:t xml:space="preserve">It may be </w:t>
      </w:r>
      <w:r w:rsidR="00060DBA">
        <w:rPr>
          <w:rFonts w:eastAsiaTheme="minorEastAsia"/>
          <w:color w:val="auto"/>
          <w:sz w:val="22"/>
          <w:szCs w:val="22"/>
        </w:rPr>
        <w:t xml:space="preserve">therefore </w:t>
      </w:r>
      <w:r w:rsidR="00B27DC2">
        <w:rPr>
          <w:rFonts w:eastAsiaTheme="minorEastAsia"/>
          <w:color w:val="auto"/>
          <w:sz w:val="22"/>
          <w:szCs w:val="22"/>
        </w:rPr>
        <w:t>that</w:t>
      </w:r>
      <w:r w:rsidR="00302A9C">
        <w:rPr>
          <w:rFonts w:eastAsiaTheme="minorEastAsia"/>
          <w:color w:val="auto"/>
          <w:sz w:val="22"/>
          <w:szCs w:val="22"/>
        </w:rPr>
        <w:t xml:space="preserve"> in some respects</w:t>
      </w:r>
      <w:r w:rsidR="00B27DC2">
        <w:rPr>
          <w:rFonts w:eastAsiaTheme="minorEastAsia"/>
          <w:color w:val="auto"/>
          <w:sz w:val="22"/>
          <w:szCs w:val="22"/>
        </w:rPr>
        <w:t xml:space="preserve"> Pillar </w:t>
      </w:r>
      <w:r w:rsidR="00632AEF">
        <w:rPr>
          <w:rFonts w:eastAsiaTheme="minorEastAsia"/>
          <w:color w:val="auto"/>
          <w:sz w:val="22"/>
          <w:szCs w:val="22"/>
        </w:rPr>
        <w:t>Two</w:t>
      </w:r>
      <w:r w:rsidR="00B27DC2">
        <w:rPr>
          <w:rFonts w:eastAsiaTheme="minorEastAsia"/>
          <w:color w:val="auto"/>
          <w:sz w:val="22"/>
          <w:szCs w:val="22"/>
        </w:rPr>
        <w:t xml:space="preserve"> rules </w:t>
      </w:r>
      <w:r w:rsidR="00DA5287" w:rsidRPr="0008583A">
        <w:rPr>
          <w:rFonts w:eastAsiaTheme="minorEastAsia"/>
          <w:color w:val="auto"/>
          <w:sz w:val="22"/>
          <w:szCs w:val="22"/>
        </w:rPr>
        <w:t xml:space="preserve">will need to </w:t>
      </w:r>
      <w:r w:rsidR="00302A9C">
        <w:rPr>
          <w:rFonts w:eastAsiaTheme="minorEastAsia"/>
          <w:color w:val="auto"/>
          <w:sz w:val="22"/>
          <w:szCs w:val="22"/>
        </w:rPr>
        <w:t>be applied</w:t>
      </w:r>
      <w:r w:rsidR="00302A9C" w:rsidRPr="0008583A">
        <w:rPr>
          <w:rFonts w:eastAsiaTheme="minorEastAsia"/>
          <w:color w:val="auto"/>
          <w:sz w:val="22"/>
          <w:szCs w:val="22"/>
        </w:rPr>
        <w:t xml:space="preserve"> </w:t>
      </w:r>
      <w:r w:rsidR="00DA5287" w:rsidRPr="0008583A">
        <w:rPr>
          <w:rFonts w:eastAsiaTheme="minorEastAsia"/>
          <w:color w:val="auto"/>
          <w:sz w:val="22"/>
          <w:szCs w:val="22"/>
        </w:rPr>
        <w:t xml:space="preserve">differently </w:t>
      </w:r>
      <w:r w:rsidR="00015078">
        <w:rPr>
          <w:rFonts w:eastAsiaTheme="minorEastAsia"/>
          <w:color w:val="auto"/>
          <w:sz w:val="22"/>
          <w:szCs w:val="22"/>
        </w:rPr>
        <w:t xml:space="preserve">for insurance </w:t>
      </w:r>
      <w:r w:rsidR="00302A9C">
        <w:rPr>
          <w:rFonts w:eastAsiaTheme="minorEastAsia"/>
          <w:color w:val="auto"/>
          <w:sz w:val="22"/>
          <w:szCs w:val="22"/>
        </w:rPr>
        <w:t xml:space="preserve">and reinsurance than </w:t>
      </w:r>
      <w:r w:rsidR="00DA5287" w:rsidRPr="0008583A">
        <w:rPr>
          <w:rFonts w:eastAsiaTheme="minorEastAsia"/>
          <w:color w:val="auto"/>
          <w:sz w:val="22"/>
          <w:szCs w:val="22"/>
        </w:rPr>
        <w:t>to other industries.</w:t>
      </w:r>
    </w:p>
    <w:p w14:paraId="4B9AA0E1" w14:textId="7023A0CC" w:rsidR="231AF102" w:rsidRPr="00077C03" w:rsidRDefault="231AF102" w:rsidP="760A453A">
      <w:pPr>
        <w:pStyle w:val="Default"/>
        <w:spacing w:after="120"/>
        <w:jc w:val="both"/>
        <w:rPr>
          <w:rFonts w:eastAsiaTheme="minorEastAsia"/>
          <w:b/>
          <w:bCs/>
          <w:color w:val="auto"/>
          <w:sz w:val="22"/>
          <w:szCs w:val="22"/>
          <w:u w:val="single"/>
        </w:rPr>
      </w:pPr>
      <w:r w:rsidRPr="00077C03">
        <w:rPr>
          <w:rFonts w:eastAsiaTheme="minorEastAsia"/>
          <w:b/>
          <w:bCs/>
          <w:color w:val="auto"/>
          <w:sz w:val="22"/>
          <w:szCs w:val="22"/>
          <w:u w:val="single"/>
        </w:rPr>
        <w:t>Other Specific Issues</w:t>
      </w:r>
    </w:p>
    <w:p w14:paraId="1BF9BD46" w14:textId="2BC8774E" w:rsidR="231AF102" w:rsidRDefault="231AF102" w:rsidP="760A453A">
      <w:pPr>
        <w:pStyle w:val="Default"/>
        <w:spacing w:after="120"/>
        <w:jc w:val="both"/>
        <w:rPr>
          <w:rFonts w:eastAsiaTheme="minorEastAsia"/>
          <w:color w:val="auto"/>
          <w:sz w:val="22"/>
          <w:szCs w:val="22"/>
        </w:rPr>
      </w:pPr>
      <w:r w:rsidRPr="760A453A">
        <w:rPr>
          <w:rFonts w:eastAsiaTheme="minorEastAsia"/>
          <w:color w:val="auto"/>
          <w:sz w:val="22"/>
          <w:szCs w:val="22"/>
        </w:rPr>
        <w:t xml:space="preserve">There are a number of other issues that are not covered by consultation questions, which we are concerned about. We </w:t>
      </w:r>
      <w:r w:rsidR="0B7BF682" w:rsidRPr="760A453A">
        <w:rPr>
          <w:rFonts w:eastAsiaTheme="minorEastAsia"/>
          <w:color w:val="auto"/>
          <w:sz w:val="22"/>
          <w:szCs w:val="22"/>
        </w:rPr>
        <w:t>comment further on these issues in section 3</w:t>
      </w:r>
      <w:r w:rsidR="1B7551EF" w:rsidRPr="760A453A">
        <w:rPr>
          <w:rFonts w:eastAsiaTheme="minorEastAsia"/>
          <w:color w:val="auto"/>
          <w:sz w:val="22"/>
          <w:szCs w:val="22"/>
        </w:rPr>
        <w:t xml:space="preserve"> below</w:t>
      </w:r>
      <w:r w:rsidR="0B7BF682" w:rsidRPr="760A453A">
        <w:rPr>
          <w:rFonts w:eastAsiaTheme="minorEastAsia"/>
          <w:color w:val="auto"/>
          <w:sz w:val="22"/>
          <w:szCs w:val="22"/>
        </w:rPr>
        <w:t>.</w:t>
      </w:r>
    </w:p>
    <w:p w14:paraId="2668778E" w14:textId="4B5357AD" w:rsidR="0B7BF682" w:rsidRPr="006D377E" w:rsidRDefault="0B7BF682" w:rsidP="760A453A">
      <w:pPr>
        <w:pStyle w:val="Default"/>
        <w:spacing w:after="120"/>
        <w:jc w:val="both"/>
        <w:rPr>
          <w:rFonts w:eastAsiaTheme="minorEastAsia"/>
          <w:b/>
          <w:bCs/>
          <w:color w:val="auto"/>
          <w:sz w:val="22"/>
          <w:szCs w:val="22"/>
          <w:u w:val="single"/>
        </w:rPr>
      </w:pPr>
      <w:r w:rsidRPr="006D377E">
        <w:rPr>
          <w:rFonts w:eastAsiaTheme="minorEastAsia"/>
          <w:b/>
          <w:bCs/>
          <w:color w:val="auto"/>
          <w:sz w:val="22"/>
          <w:szCs w:val="22"/>
          <w:u w:val="single"/>
        </w:rPr>
        <w:t>Answers to Consultation Questions</w:t>
      </w:r>
    </w:p>
    <w:p w14:paraId="17231727" w14:textId="23D6A372" w:rsidR="0B7BF682" w:rsidRDefault="0B7BF682" w:rsidP="760A453A">
      <w:pPr>
        <w:pStyle w:val="Default"/>
        <w:spacing w:after="120"/>
        <w:jc w:val="both"/>
        <w:rPr>
          <w:rFonts w:eastAsiaTheme="minorEastAsia"/>
          <w:color w:val="auto"/>
          <w:sz w:val="22"/>
          <w:szCs w:val="22"/>
        </w:rPr>
      </w:pPr>
      <w:r w:rsidRPr="760A453A">
        <w:rPr>
          <w:rFonts w:eastAsiaTheme="minorEastAsia"/>
          <w:color w:val="auto"/>
          <w:sz w:val="22"/>
          <w:szCs w:val="22"/>
        </w:rPr>
        <w:t xml:space="preserve">We have not attempted to answer every question in the consultation, but we </w:t>
      </w:r>
      <w:r w:rsidR="2390EA0A" w:rsidRPr="760A453A">
        <w:rPr>
          <w:rFonts w:eastAsiaTheme="minorEastAsia"/>
          <w:color w:val="auto"/>
          <w:sz w:val="22"/>
          <w:szCs w:val="22"/>
        </w:rPr>
        <w:t xml:space="preserve">have </w:t>
      </w:r>
      <w:r w:rsidRPr="760A453A">
        <w:rPr>
          <w:rFonts w:eastAsiaTheme="minorEastAsia"/>
          <w:color w:val="auto"/>
          <w:sz w:val="22"/>
          <w:szCs w:val="22"/>
        </w:rPr>
        <w:t xml:space="preserve">provided answers to </w:t>
      </w:r>
      <w:r w:rsidR="2DAEE60B" w:rsidRPr="760A453A">
        <w:rPr>
          <w:rFonts w:eastAsiaTheme="minorEastAsia"/>
          <w:color w:val="auto"/>
          <w:sz w:val="22"/>
          <w:szCs w:val="22"/>
        </w:rPr>
        <w:t>those questions of most importance to the insurance industry in section 4</w:t>
      </w:r>
      <w:r w:rsidR="1B5CF670" w:rsidRPr="760A453A">
        <w:rPr>
          <w:rFonts w:eastAsiaTheme="minorEastAsia"/>
          <w:color w:val="auto"/>
          <w:sz w:val="22"/>
          <w:szCs w:val="22"/>
        </w:rPr>
        <w:t xml:space="preserve"> below</w:t>
      </w:r>
      <w:r w:rsidR="2DAEE60B" w:rsidRPr="760A453A">
        <w:rPr>
          <w:rFonts w:eastAsiaTheme="minorEastAsia"/>
          <w:color w:val="auto"/>
          <w:sz w:val="22"/>
          <w:szCs w:val="22"/>
        </w:rPr>
        <w:t>.</w:t>
      </w:r>
    </w:p>
    <w:p w14:paraId="48937074" w14:textId="21D9FD1F" w:rsidR="5DC36789" w:rsidRDefault="5DC36789" w:rsidP="760A453A">
      <w:pPr>
        <w:pStyle w:val="Default"/>
        <w:spacing w:after="120"/>
        <w:jc w:val="both"/>
        <w:rPr>
          <w:rFonts w:eastAsiaTheme="minorEastAsia"/>
          <w:b/>
          <w:bCs/>
          <w:color w:val="auto"/>
          <w:sz w:val="22"/>
          <w:szCs w:val="22"/>
          <w:u w:val="single"/>
        </w:rPr>
      </w:pPr>
      <w:r w:rsidRPr="00077C03">
        <w:rPr>
          <w:rFonts w:eastAsiaTheme="minorEastAsia"/>
          <w:b/>
          <w:bCs/>
          <w:color w:val="auto"/>
          <w:sz w:val="22"/>
          <w:szCs w:val="22"/>
          <w:u w:val="single"/>
        </w:rPr>
        <w:t>Appendix</w:t>
      </w:r>
    </w:p>
    <w:p w14:paraId="2B6FDD34" w14:textId="084AF500" w:rsidR="5DC36789" w:rsidRPr="00077C03" w:rsidRDefault="5DC36789" w:rsidP="760A453A">
      <w:pPr>
        <w:pStyle w:val="Default"/>
        <w:spacing w:after="120"/>
        <w:jc w:val="both"/>
        <w:rPr>
          <w:rFonts w:eastAsiaTheme="minorEastAsia"/>
          <w:b/>
          <w:bCs/>
          <w:color w:val="auto"/>
          <w:sz w:val="22"/>
          <w:szCs w:val="22"/>
          <w:u w:val="single"/>
        </w:rPr>
      </w:pPr>
      <w:r w:rsidRPr="760A453A">
        <w:rPr>
          <w:rFonts w:eastAsiaTheme="minorEastAsia"/>
          <w:color w:val="auto"/>
          <w:sz w:val="22"/>
          <w:szCs w:val="22"/>
        </w:rPr>
        <w:t xml:space="preserve">In the appendix attached we have provided an overview of how the global insurance industry operates. </w:t>
      </w:r>
      <w:r w:rsidRPr="00C3058F">
        <w:rPr>
          <w:rFonts w:eastAsiaTheme="minorEastAsia"/>
          <w:color w:val="auto"/>
          <w:sz w:val="22"/>
          <w:szCs w:val="22"/>
          <w:highlight w:val="yellow"/>
        </w:rPr>
        <w:t>(To be added before</w:t>
      </w:r>
      <w:r w:rsidR="6F02FC03" w:rsidRPr="00C3058F">
        <w:rPr>
          <w:rFonts w:eastAsiaTheme="minorEastAsia"/>
          <w:color w:val="auto"/>
          <w:sz w:val="22"/>
          <w:szCs w:val="22"/>
          <w:highlight w:val="yellow"/>
        </w:rPr>
        <w:t xml:space="preserve"> filing)</w:t>
      </w:r>
    </w:p>
    <w:p w14:paraId="769A954C" w14:textId="235E7F6B" w:rsidR="00F663DD" w:rsidRDefault="00F663DD" w:rsidP="00077C03">
      <w:pPr>
        <w:spacing w:after="120"/>
        <w:rPr>
          <w:rFonts w:cs="Arial"/>
        </w:rPr>
      </w:pPr>
      <w:r>
        <w:br w:type="page"/>
      </w:r>
    </w:p>
    <w:p w14:paraId="193F5450" w14:textId="493EC200" w:rsidR="00524B04" w:rsidRDefault="00DD157C" w:rsidP="00077C03">
      <w:pPr>
        <w:pStyle w:val="Default"/>
        <w:numPr>
          <w:ilvl w:val="0"/>
          <w:numId w:val="3"/>
        </w:numPr>
        <w:spacing w:after="120"/>
        <w:ind w:left="360"/>
        <w:rPr>
          <w:rFonts w:eastAsiaTheme="minorEastAsia"/>
          <w:b/>
          <w:bCs/>
          <w:color w:val="auto"/>
          <w:sz w:val="22"/>
          <w:szCs w:val="22"/>
        </w:rPr>
      </w:pPr>
      <w:r>
        <w:rPr>
          <w:rFonts w:eastAsiaTheme="minorEastAsia"/>
          <w:b/>
          <w:bCs/>
          <w:color w:val="auto"/>
          <w:sz w:val="22"/>
          <w:szCs w:val="22"/>
        </w:rPr>
        <w:lastRenderedPageBreak/>
        <w:t xml:space="preserve">Carry-forwards and </w:t>
      </w:r>
      <w:r w:rsidR="00F86AD4">
        <w:rPr>
          <w:rFonts w:eastAsiaTheme="minorEastAsia"/>
          <w:b/>
          <w:bCs/>
          <w:color w:val="auto"/>
          <w:sz w:val="22"/>
          <w:szCs w:val="22"/>
        </w:rPr>
        <w:t>c</w:t>
      </w:r>
      <w:r>
        <w:rPr>
          <w:rFonts w:eastAsiaTheme="minorEastAsia"/>
          <w:b/>
          <w:bCs/>
          <w:color w:val="auto"/>
          <w:sz w:val="22"/>
          <w:szCs w:val="22"/>
        </w:rPr>
        <w:t>arve</w:t>
      </w:r>
      <w:r w:rsidR="00F86AD4">
        <w:rPr>
          <w:rFonts w:eastAsiaTheme="minorEastAsia"/>
          <w:b/>
          <w:bCs/>
          <w:color w:val="auto"/>
          <w:sz w:val="22"/>
          <w:szCs w:val="22"/>
        </w:rPr>
        <w:t>-</w:t>
      </w:r>
      <w:r>
        <w:rPr>
          <w:rFonts w:eastAsiaTheme="minorEastAsia"/>
          <w:b/>
          <w:bCs/>
          <w:color w:val="auto"/>
          <w:sz w:val="22"/>
          <w:szCs w:val="22"/>
        </w:rPr>
        <w:t>out</w:t>
      </w:r>
    </w:p>
    <w:p w14:paraId="4358B3D7" w14:textId="52F70532" w:rsidR="008229EE" w:rsidRDefault="00524B04" w:rsidP="00077C03">
      <w:pPr>
        <w:pStyle w:val="Default"/>
        <w:numPr>
          <w:ilvl w:val="0"/>
          <w:numId w:val="34"/>
        </w:numPr>
        <w:spacing w:after="120"/>
        <w:rPr>
          <w:rFonts w:eastAsiaTheme="minorEastAsia"/>
          <w:b/>
          <w:bCs/>
          <w:color w:val="auto"/>
          <w:sz w:val="22"/>
          <w:szCs w:val="22"/>
        </w:rPr>
      </w:pPr>
      <w:r>
        <w:rPr>
          <w:rFonts w:eastAsiaTheme="minorEastAsia"/>
          <w:b/>
          <w:bCs/>
          <w:color w:val="auto"/>
          <w:sz w:val="22"/>
          <w:szCs w:val="22"/>
        </w:rPr>
        <w:t>Timing differences: Income Inclusion rule</w:t>
      </w:r>
    </w:p>
    <w:p w14:paraId="2B721C10" w14:textId="106CE0F1" w:rsidR="00B03AB0" w:rsidRDefault="00927F6E" w:rsidP="00077C03">
      <w:pPr>
        <w:pStyle w:val="Default"/>
        <w:spacing w:after="120"/>
        <w:jc w:val="both"/>
        <w:rPr>
          <w:color w:val="auto"/>
          <w:sz w:val="22"/>
          <w:szCs w:val="22"/>
        </w:rPr>
      </w:pPr>
      <w:r w:rsidRPr="0008583A">
        <w:rPr>
          <w:color w:val="auto"/>
          <w:sz w:val="22"/>
          <w:szCs w:val="22"/>
        </w:rPr>
        <w:t>The Blueprint generally</w:t>
      </w:r>
      <w:r w:rsidR="00B03AB0">
        <w:rPr>
          <w:color w:val="auto"/>
          <w:sz w:val="22"/>
          <w:szCs w:val="22"/>
        </w:rPr>
        <w:t>:</w:t>
      </w:r>
    </w:p>
    <w:p w14:paraId="197D22E8" w14:textId="2E9A7048" w:rsidR="002E7DD8" w:rsidRPr="0008583A" w:rsidRDefault="00927F6E" w:rsidP="00077C03">
      <w:pPr>
        <w:pStyle w:val="Default"/>
        <w:numPr>
          <w:ilvl w:val="0"/>
          <w:numId w:val="36"/>
        </w:numPr>
        <w:spacing w:after="120"/>
        <w:jc w:val="both"/>
        <w:rPr>
          <w:color w:val="auto"/>
          <w:sz w:val="22"/>
          <w:szCs w:val="22"/>
        </w:rPr>
      </w:pPr>
      <w:r w:rsidRPr="0008583A">
        <w:rPr>
          <w:color w:val="auto"/>
          <w:sz w:val="22"/>
          <w:szCs w:val="22"/>
        </w:rPr>
        <w:t xml:space="preserve">provides that the ETR is calculated on a jurisdictional basis by dividing covered taxes  without taking </w:t>
      </w:r>
      <w:r w:rsidR="00E064D6">
        <w:rPr>
          <w:color w:val="auto"/>
          <w:sz w:val="22"/>
          <w:szCs w:val="22"/>
        </w:rPr>
        <w:t>timing differences</w:t>
      </w:r>
      <w:r w:rsidRPr="0008583A">
        <w:rPr>
          <w:color w:val="auto"/>
          <w:sz w:val="22"/>
          <w:szCs w:val="22"/>
        </w:rPr>
        <w:t xml:space="preserve"> into account) by the amount of income within the company’s financial accounts that are prepared under the same accounting standard that is used by the parent, with certain adjustments</w:t>
      </w:r>
      <w:r w:rsidR="00F53A78">
        <w:rPr>
          <w:color w:val="auto"/>
          <w:sz w:val="22"/>
          <w:szCs w:val="22"/>
        </w:rPr>
        <w:t>; and</w:t>
      </w:r>
    </w:p>
    <w:p w14:paraId="427F27DC" w14:textId="0F6756FD" w:rsidR="00D261D0" w:rsidRDefault="002E7DD8" w:rsidP="00077C03">
      <w:pPr>
        <w:pStyle w:val="Default"/>
        <w:numPr>
          <w:ilvl w:val="0"/>
          <w:numId w:val="36"/>
        </w:numPr>
        <w:spacing w:after="120"/>
        <w:jc w:val="both"/>
        <w:rPr>
          <w:color w:val="auto"/>
          <w:sz w:val="22"/>
          <w:szCs w:val="22"/>
        </w:rPr>
      </w:pPr>
      <w:r>
        <w:rPr>
          <w:color w:val="auto"/>
          <w:sz w:val="22"/>
          <w:szCs w:val="22"/>
        </w:rPr>
        <w:t xml:space="preserve">does </w:t>
      </w:r>
      <w:r w:rsidR="00E16A21" w:rsidRPr="00E16A21">
        <w:rPr>
          <w:color w:val="auto"/>
          <w:sz w:val="22"/>
          <w:szCs w:val="22"/>
        </w:rPr>
        <w:t>not provide for adjustments for the significant book/tax differences that impact the insurance industry</w:t>
      </w:r>
      <w:r w:rsidR="00850E76">
        <w:rPr>
          <w:color w:val="auto"/>
          <w:sz w:val="22"/>
          <w:szCs w:val="22"/>
        </w:rPr>
        <w:t xml:space="preserve">, creating a mismatch </w:t>
      </w:r>
      <w:r w:rsidR="00956B70">
        <w:rPr>
          <w:color w:val="auto"/>
          <w:sz w:val="22"/>
          <w:szCs w:val="22"/>
        </w:rPr>
        <w:t>at the jurisdictional level.</w:t>
      </w:r>
    </w:p>
    <w:p w14:paraId="34CD8507" w14:textId="6B0685C5" w:rsidR="00DA5287" w:rsidRDefault="00B76A00" w:rsidP="00077C03">
      <w:pPr>
        <w:pStyle w:val="Default"/>
        <w:spacing w:after="120"/>
        <w:jc w:val="both"/>
        <w:rPr>
          <w:color w:val="auto"/>
          <w:sz w:val="22"/>
          <w:szCs w:val="22"/>
        </w:rPr>
      </w:pPr>
      <w:r w:rsidRPr="005D0647">
        <w:rPr>
          <w:color w:val="auto"/>
          <w:sz w:val="22"/>
          <w:szCs w:val="22"/>
        </w:rPr>
        <w:t xml:space="preserve">This discrepancy </w:t>
      </w:r>
      <w:r>
        <w:rPr>
          <w:color w:val="auto"/>
          <w:sz w:val="22"/>
          <w:szCs w:val="22"/>
        </w:rPr>
        <w:t>will</w:t>
      </w:r>
      <w:r w:rsidRPr="005D0647">
        <w:rPr>
          <w:color w:val="auto"/>
          <w:sz w:val="22"/>
          <w:szCs w:val="22"/>
        </w:rPr>
        <w:t xml:space="preserve"> </w:t>
      </w:r>
      <w:r>
        <w:rPr>
          <w:color w:val="auto"/>
          <w:sz w:val="22"/>
          <w:szCs w:val="22"/>
        </w:rPr>
        <w:t>have systematic and material impacts on the</w:t>
      </w:r>
      <w:r w:rsidRPr="005D0647">
        <w:rPr>
          <w:color w:val="auto"/>
          <w:sz w:val="22"/>
          <w:szCs w:val="22"/>
        </w:rPr>
        <w:t xml:space="preserve"> insurance industry</w:t>
      </w:r>
      <w:r>
        <w:rPr>
          <w:color w:val="auto"/>
          <w:sz w:val="22"/>
          <w:szCs w:val="22"/>
        </w:rPr>
        <w:t xml:space="preserve"> significantly greater than most other industries. </w:t>
      </w:r>
      <w:r w:rsidR="00497AAA">
        <w:rPr>
          <w:color w:val="auto"/>
          <w:sz w:val="22"/>
          <w:szCs w:val="22"/>
        </w:rPr>
        <w:t xml:space="preserve">The most material </w:t>
      </w:r>
      <w:r w:rsidR="0006659D">
        <w:rPr>
          <w:color w:val="auto"/>
          <w:sz w:val="22"/>
          <w:szCs w:val="22"/>
        </w:rPr>
        <w:t>differences for insurers arise from the largest items on the balance sheet:</w:t>
      </w:r>
    </w:p>
    <w:p w14:paraId="5DAEC706" w14:textId="3DDF6DA0" w:rsidR="00577BE7" w:rsidRDefault="0006659D" w:rsidP="00077C03">
      <w:pPr>
        <w:pStyle w:val="Default"/>
        <w:numPr>
          <w:ilvl w:val="0"/>
          <w:numId w:val="38"/>
        </w:numPr>
        <w:spacing w:after="120"/>
        <w:jc w:val="both"/>
        <w:rPr>
          <w:color w:val="auto"/>
          <w:sz w:val="22"/>
          <w:szCs w:val="22"/>
        </w:rPr>
      </w:pPr>
      <w:r>
        <w:rPr>
          <w:color w:val="auto"/>
          <w:sz w:val="22"/>
          <w:szCs w:val="22"/>
        </w:rPr>
        <w:t>Insurance technical provisions</w:t>
      </w:r>
    </w:p>
    <w:p w14:paraId="3F7D7309" w14:textId="7359AEFC" w:rsidR="0006659D" w:rsidRDefault="0006659D" w:rsidP="00077C03">
      <w:pPr>
        <w:pStyle w:val="Default"/>
        <w:numPr>
          <w:ilvl w:val="0"/>
          <w:numId w:val="38"/>
        </w:numPr>
        <w:spacing w:after="120"/>
        <w:jc w:val="both"/>
        <w:rPr>
          <w:color w:val="auto"/>
          <w:sz w:val="22"/>
          <w:szCs w:val="22"/>
        </w:rPr>
      </w:pPr>
      <w:r>
        <w:rPr>
          <w:color w:val="auto"/>
          <w:sz w:val="22"/>
          <w:szCs w:val="22"/>
        </w:rPr>
        <w:t>Investments</w:t>
      </w:r>
    </w:p>
    <w:p w14:paraId="504E3859" w14:textId="122E046C" w:rsidR="00E55797" w:rsidRPr="00E55797" w:rsidRDefault="00E55797" w:rsidP="00077C03">
      <w:pPr>
        <w:pStyle w:val="Default"/>
        <w:spacing w:after="120"/>
        <w:jc w:val="both"/>
        <w:rPr>
          <w:b/>
          <w:bCs/>
          <w:i/>
          <w:iCs/>
          <w:color w:val="auto"/>
          <w:sz w:val="22"/>
          <w:szCs w:val="22"/>
        </w:rPr>
      </w:pPr>
      <w:r w:rsidRPr="00E55797">
        <w:rPr>
          <w:b/>
          <w:bCs/>
          <w:i/>
          <w:iCs/>
          <w:color w:val="auto"/>
          <w:sz w:val="22"/>
          <w:szCs w:val="22"/>
        </w:rPr>
        <w:t xml:space="preserve">Insurance </w:t>
      </w:r>
      <w:r w:rsidR="00E226FA">
        <w:rPr>
          <w:b/>
          <w:bCs/>
          <w:i/>
          <w:iCs/>
          <w:color w:val="auto"/>
          <w:sz w:val="22"/>
          <w:szCs w:val="22"/>
        </w:rPr>
        <w:t>technical provisions</w:t>
      </w:r>
    </w:p>
    <w:p w14:paraId="00817380" w14:textId="66A1463A" w:rsidR="000B4B25" w:rsidRDefault="003D4F80" w:rsidP="00077C03">
      <w:pPr>
        <w:pStyle w:val="Default"/>
        <w:spacing w:after="120"/>
        <w:jc w:val="both"/>
        <w:rPr>
          <w:color w:val="auto"/>
          <w:sz w:val="22"/>
          <w:szCs w:val="22"/>
        </w:rPr>
      </w:pPr>
      <w:r>
        <w:rPr>
          <w:color w:val="auto"/>
          <w:sz w:val="22"/>
          <w:szCs w:val="22"/>
        </w:rPr>
        <w:t xml:space="preserve">Insurance technical provisions include </w:t>
      </w:r>
      <w:r w:rsidRPr="005D0647">
        <w:rPr>
          <w:color w:val="auto"/>
          <w:sz w:val="22"/>
          <w:szCs w:val="22"/>
        </w:rPr>
        <w:t>liabilities to pay future benefits to policyholders</w:t>
      </w:r>
      <w:r>
        <w:rPr>
          <w:color w:val="auto"/>
          <w:sz w:val="22"/>
          <w:szCs w:val="22"/>
        </w:rPr>
        <w:t xml:space="preserve"> and assets such as deferred acquisition costs.</w:t>
      </w:r>
      <w:r w:rsidR="004D0EB8">
        <w:rPr>
          <w:color w:val="auto"/>
          <w:sz w:val="22"/>
          <w:szCs w:val="22"/>
        </w:rPr>
        <w:t xml:space="preserve"> </w:t>
      </w:r>
      <w:r w:rsidR="00112FAC" w:rsidRPr="005D0647">
        <w:rPr>
          <w:color w:val="auto"/>
          <w:sz w:val="22"/>
          <w:szCs w:val="22"/>
        </w:rPr>
        <w:t xml:space="preserve">The policyholder reserves are almost always the largest liabilities on an insurance company’s balance sheet – and are generally multiple times larger than an insurance company’s </w:t>
      </w:r>
      <w:r w:rsidR="0004663D">
        <w:rPr>
          <w:color w:val="auto"/>
          <w:sz w:val="22"/>
          <w:szCs w:val="22"/>
        </w:rPr>
        <w:t xml:space="preserve"> </w:t>
      </w:r>
      <w:r w:rsidR="00112FAC" w:rsidRPr="005D0647">
        <w:rPr>
          <w:color w:val="auto"/>
          <w:sz w:val="22"/>
          <w:szCs w:val="22"/>
        </w:rPr>
        <w:t xml:space="preserve">equity capital.  </w:t>
      </w:r>
      <w:r w:rsidR="0004663D">
        <w:rPr>
          <w:color w:val="auto"/>
          <w:sz w:val="22"/>
          <w:szCs w:val="22"/>
        </w:rPr>
        <w:t>The</w:t>
      </w:r>
      <w:r w:rsidR="00112FAC" w:rsidRPr="005D0647">
        <w:rPr>
          <w:color w:val="auto"/>
          <w:sz w:val="22"/>
          <w:szCs w:val="22"/>
        </w:rPr>
        <w:t xml:space="preserve"> </w:t>
      </w:r>
      <w:r w:rsidR="00A50B99">
        <w:rPr>
          <w:color w:val="auto"/>
          <w:sz w:val="22"/>
          <w:szCs w:val="22"/>
        </w:rPr>
        <w:t xml:space="preserve">accounting and tax </w:t>
      </w:r>
      <w:r w:rsidR="00112FAC" w:rsidRPr="005D0647">
        <w:rPr>
          <w:color w:val="auto"/>
          <w:sz w:val="22"/>
          <w:szCs w:val="22"/>
        </w:rPr>
        <w:t xml:space="preserve">rules for </w:t>
      </w:r>
      <w:r w:rsidR="0004663D">
        <w:rPr>
          <w:color w:val="auto"/>
          <w:sz w:val="22"/>
          <w:szCs w:val="22"/>
        </w:rPr>
        <w:t xml:space="preserve">calculating </w:t>
      </w:r>
      <w:r w:rsidR="00112FAC" w:rsidRPr="005D0647">
        <w:rPr>
          <w:color w:val="auto"/>
          <w:sz w:val="22"/>
          <w:szCs w:val="22"/>
        </w:rPr>
        <w:t xml:space="preserve">these liabilities are often different, and even a small </w:t>
      </w:r>
      <w:r w:rsidR="006B3A8F">
        <w:rPr>
          <w:color w:val="auto"/>
          <w:sz w:val="22"/>
          <w:szCs w:val="22"/>
        </w:rPr>
        <w:t>percentage valuation</w:t>
      </w:r>
      <w:r w:rsidR="006B3A8F" w:rsidRPr="005D0647">
        <w:rPr>
          <w:color w:val="auto"/>
          <w:sz w:val="22"/>
          <w:szCs w:val="22"/>
        </w:rPr>
        <w:t xml:space="preserve"> </w:t>
      </w:r>
      <w:r w:rsidR="00112FAC" w:rsidRPr="005D0647">
        <w:rPr>
          <w:color w:val="auto"/>
          <w:sz w:val="22"/>
          <w:szCs w:val="22"/>
        </w:rPr>
        <w:t>difference for such  large balance sheet item</w:t>
      </w:r>
      <w:r w:rsidR="002658CF">
        <w:rPr>
          <w:color w:val="auto"/>
          <w:sz w:val="22"/>
          <w:szCs w:val="22"/>
        </w:rPr>
        <w:t>s</w:t>
      </w:r>
      <w:r w:rsidR="00112FAC" w:rsidRPr="005D0647">
        <w:rPr>
          <w:color w:val="auto"/>
          <w:sz w:val="22"/>
          <w:szCs w:val="22"/>
        </w:rPr>
        <w:t xml:space="preserve"> can create enormous timing differences.</w:t>
      </w:r>
      <w:r w:rsidR="009B06DD">
        <w:rPr>
          <w:color w:val="auto"/>
          <w:sz w:val="22"/>
          <w:szCs w:val="22"/>
        </w:rPr>
        <w:t xml:space="preserve"> A couple of specific examples are included below, but this is a global issue</w:t>
      </w:r>
      <w:r w:rsidR="004D0EB8">
        <w:rPr>
          <w:color w:val="auto"/>
          <w:sz w:val="22"/>
          <w:szCs w:val="22"/>
        </w:rPr>
        <w:t>:</w:t>
      </w:r>
    </w:p>
    <w:p w14:paraId="5D1AA54E" w14:textId="4B87A3B3" w:rsidR="008E4845" w:rsidRDefault="004D0EB8" w:rsidP="00077C03">
      <w:pPr>
        <w:pStyle w:val="Default"/>
        <w:numPr>
          <w:ilvl w:val="0"/>
          <w:numId w:val="37"/>
        </w:numPr>
        <w:spacing w:after="120"/>
        <w:jc w:val="both"/>
        <w:rPr>
          <w:color w:val="auto"/>
          <w:sz w:val="22"/>
          <w:szCs w:val="22"/>
        </w:rPr>
      </w:pPr>
      <w:r>
        <w:rPr>
          <w:color w:val="auto"/>
          <w:sz w:val="22"/>
          <w:szCs w:val="22"/>
        </w:rPr>
        <w:t xml:space="preserve">In </w:t>
      </w:r>
      <w:r w:rsidR="00112FAC" w:rsidRPr="005D0647">
        <w:rPr>
          <w:color w:val="auto"/>
          <w:sz w:val="22"/>
          <w:szCs w:val="22"/>
        </w:rPr>
        <w:t xml:space="preserve">the </w:t>
      </w:r>
      <w:r w:rsidR="000B4B25">
        <w:rPr>
          <w:color w:val="auto"/>
          <w:sz w:val="22"/>
          <w:szCs w:val="22"/>
        </w:rPr>
        <w:t xml:space="preserve">US </w:t>
      </w:r>
      <w:r w:rsidR="00112FAC" w:rsidRPr="005D0647">
        <w:rPr>
          <w:color w:val="auto"/>
          <w:sz w:val="22"/>
          <w:szCs w:val="22"/>
        </w:rPr>
        <w:t xml:space="preserve">general insurance industry, tax reserves are </w:t>
      </w:r>
      <w:r w:rsidR="00E60C81">
        <w:rPr>
          <w:color w:val="auto"/>
          <w:sz w:val="22"/>
          <w:szCs w:val="22"/>
        </w:rPr>
        <w:t xml:space="preserve">discounted to fair value so are </w:t>
      </w:r>
      <w:r w:rsidR="00112FAC" w:rsidRPr="005D0647">
        <w:rPr>
          <w:color w:val="auto"/>
          <w:sz w:val="22"/>
          <w:szCs w:val="22"/>
        </w:rPr>
        <w:t xml:space="preserve">generally less in value than </w:t>
      </w:r>
      <w:r w:rsidR="00E60C81">
        <w:rPr>
          <w:color w:val="auto"/>
          <w:sz w:val="22"/>
          <w:szCs w:val="22"/>
        </w:rPr>
        <w:t xml:space="preserve">the nominal value </w:t>
      </w:r>
      <w:r w:rsidR="00D618AB">
        <w:rPr>
          <w:color w:val="auto"/>
          <w:sz w:val="22"/>
          <w:szCs w:val="22"/>
        </w:rPr>
        <w:t>in US GAAP accounting rules.</w:t>
      </w:r>
    </w:p>
    <w:p w14:paraId="6612876E" w14:textId="113FFE65" w:rsidR="000A405D" w:rsidRDefault="007A6D3F" w:rsidP="00077C03">
      <w:pPr>
        <w:pStyle w:val="Default"/>
        <w:numPr>
          <w:ilvl w:val="0"/>
          <w:numId w:val="37"/>
        </w:numPr>
        <w:spacing w:after="120"/>
        <w:jc w:val="both"/>
        <w:rPr>
          <w:color w:val="auto"/>
          <w:sz w:val="22"/>
          <w:szCs w:val="22"/>
        </w:rPr>
      </w:pPr>
      <w:r>
        <w:rPr>
          <w:color w:val="auto"/>
          <w:sz w:val="22"/>
          <w:szCs w:val="22"/>
        </w:rPr>
        <w:t>In some European countries, a</w:t>
      </w:r>
      <w:r w:rsidR="000A405D">
        <w:rPr>
          <w:color w:val="auto"/>
          <w:sz w:val="22"/>
          <w:szCs w:val="22"/>
        </w:rPr>
        <w:t xml:space="preserve">dditional </w:t>
      </w:r>
      <w:r w:rsidR="43394F1F" w:rsidRPr="760A453A">
        <w:rPr>
          <w:color w:val="auto"/>
          <w:sz w:val="22"/>
          <w:szCs w:val="22"/>
        </w:rPr>
        <w:t xml:space="preserve">regulatory </w:t>
      </w:r>
      <w:r w:rsidR="000A405D">
        <w:rPr>
          <w:color w:val="auto"/>
          <w:sz w:val="22"/>
          <w:szCs w:val="22"/>
        </w:rPr>
        <w:t>reserves</w:t>
      </w:r>
      <w:r w:rsidR="00EB3456">
        <w:rPr>
          <w:color w:val="auto"/>
          <w:sz w:val="22"/>
          <w:szCs w:val="22"/>
        </w:rPr>
        <w:t xml:space="preserve"> (liabilities)</w:t>
      </w:r>
      <w:r w:rsidR="000A405D">
        <w:rPr>
          <w:color w:val="auto"/>
          <w:sz w:val="22"/>
          <w:szCs w:val="22"/>
        </w:rPr>
        <w:t xml:space="preserve"> </w:t>
      </w:r>
      <w:r w:rsidR="006D0070">
        <w:rPr>
          <w:color w:val="auto"/>
          <w:sz w:val="22"/>
          <w:szCs w:val="22"/>
        </w:rPr>
        <w:t xml:space="preserve">are </w:t>
      </w:r>
      <w:r w:rsidR="000A405D">
        <w:rPr>
          <w:color w:val="auto"/>
          <w:sz w:val="22"/>
          <w:szCs w:val="22"/>
        </w:rPr>
        <w:t xml:space="preserve">included in tax </w:t>
      </w:r>
      <w:r w:rsidR="395E709F" w:rsidRPr="760A453A">
        <w:rPr>
          <w:color w:val="auto"/>
          <w:sz w:val="22"/>
          <w:szCs w:val="22"/>
        </w:rPr>
        <w:t xml:space="preserve">basis </w:t>
      </w:r>
      <w:r w:rsidR="00EB3456">
        <w:rPr>
          <w:color w:val="auto"/>
          <w:sz w:val="22"/>
          <w:szCs w:val="22"/>
        </w:rPr>
        <w:t xml:space="preserve">but not accounting </w:t>
      </w:r>
      <w:r w:rsidR="000A405D">
        <w:rPr>
          <w:color w:val="auto"/>
          <w:sz w:val="22"/>
          <w:szCs w:val="22"/>
        </w:rPr>
        <w:t>calculations</w:t>
      </w:r>
      <w:r>
        <w:rPr>
          <w:color w:val="auto"/>
          <w:sz w:val="22"/>
          <w:szCs w:val="22"/>
        </w:rPr>
        <w:t>.</w:t>
      </w:r>
      <w:r w:rsidR="000A405D">
        <w:rPr>
          <w:color w:val="auto"/>
          <w:sz w:val="22"/>
          <w:szCs w:val="22"/>
        </w:rPr>
        <w:t xml:space="preserve"> </w:t>
      </w:r>
    </w:p>
    <w:p w14:paraId="64369480" w14:textId="1DB4F8C6" w:rsidR="003A6EDF" w:rsidRDefault="004D0542" w:rsidP="00077C03">
      <w:pPr>
        <w:pStyle w:val="Default"/>
        <w:spacing w:after="120"/>
        <w:jc w:val="both"/>
        <w:rPr>
          <w:color w:val="auto"/>
          <w:sz w:val="22"/>
          <w:szCs w:val="22"/>
        </w:rPr>
      </w:pPr>
      <w:r>
        <w:rPr>
          <w:color w:val="auto"/>
          <w:sz w:val="22"/>
          <w:szCs w:val="22"/>
        </w:rPr>
        <w:t xml:space="preserve">Regulatory </w:t>
      </w:r>
      <w:r w:rsidR="009177B5" w:rsidRPr="009177B5">
        <w:rPr>
          <w:color w:val="auto"/>
          <w:sz w:val="22"/>
          <w:szCs w:val="22"/>
        </w:rPr>
        <w:t xml:space="preserve">reserves </w:t>
      </w:r>
      <w:r w:rsidR="00DB18F1">
        <w:rPr>
          <w:color w:val="auto"/>
          <w:sz w:val="22"/>
          <w:szCs w:val="22"/>
        </w:rPr>
        <w:t>(such as equalization</w:t>
      </w:r>
      <w:r w:rsidR="008726E2">
        <w:rPr>
          <w:color w:val="auto"/>
          <w:sz w:val="22"/>
          <w:szCs w:val="22"/>
        </w:rPr>
        <w:t>/safety/contingency</w:t>
      </w:r>
      <w:r w:rsidR="00DB18F1">
        <w:rPr>
          <w:color w:val="auto"/>
          <w:sz w:val="22"/>
          <w:szCs w:val="22"/>
        </w:rPr>
        <w:t xml:space="preserve"> reserves</w:t>
      </w:r>
      <w:r w:rsidR="009967A2">
        <w:rPr>
          <w:color w:val="auto"/>
          <w:sz w:val="22"/>
          <w:szCs w:val="22"/>
        </w:rPr>
        <w:t xml:space="preserve"> in European countries</w:t>
      </w:r>
      <w:r w:rsidR="00DB18F1">
        <w:rPr>
          <w:color w:val="auto"/>
          <w:sz w:val="22"/>
          <w:szCs w:val="22"/>
        </w:rPr>
        <w:t xml:space="preserve">) </w:t>
      </w:r>
      <w:r w:rsidR="00EB0346">
        <w:rPr>
          <w:color w:val="auto"/>
          <w:sz w:val="22"/>
          <w:szCs w:val="22"/>
        </w:rPr>
        <w:t xml:space="preserve"> are liabilities which</w:t>
      </w:r>
      <w:r w:rsidR="009177B5" w:rsidRPr="009177B5">
        <w:rPr>
          <w:color w:val="auto"/>
          <w:sz w:val="22"/>
          <w:szCs w:val="22"/>
        </w:rPr>
        <w:t xml:space="preserve"> are set to ensure that the insurance company will remain solvent  under moderate</w:t>
      </w:r>
      <w:r w:rsidR="008726E2">
        <w:rPr>
          <w:color w:val="auto"/>
          <w:sz w:val="22"/>
          <w:szCs w:val="22"/>
        </w:rPr>
        <w:t xml:space="preserve"> to severe</w:t>
      </w:r>
      <w:r w:rsidR="009177B5" w:rsidRPr="009177B5">
        <w:rPr>
          <w:color w:val="auto"/>
          <w:sz w:val="22"/>
          <w:szCs w:val="22"/>
        </w:rPr>
        <w:t xml:space="preserve"> adverse scenarios so as to meet its long term promises to policyholders and their beneficiaries</w:t>
      </w:r>
      <w:r w:rsidR="1BEB4AF7" w:rsidRPr="760A453A">
        <w:rPr>
          <w:color w:val="auto"/>
          <w:sz w:val="22"/>
          <w:szCs w:val="22"/>
        </w:rPr>
        <w:t>.</w:t>
      </w:r>
      <w:r w:rsidR="009177B5" w:rsidRPr="009177B5">
        <w:rPr>
          <w:color w:val="auto"/>
          <w:sz w:val="22"/>
          <w:szCs w:val="22"/>
        </w:rPr>
        <w:t xml:space="preserve">  In contrast, </w:t>
      </w:r>
      <w:r w:rsidR="00A54EF1">
        <w:rPr>
          <w:color w:val="auto"/>
          <w:sz w:val="22"/>
          <w:szCs w:val="22"/>
        </w:rPr>
        <w:t xml:space="preserve">financial statement </w:t>
      </w:r>
      <w:r w:rsidR="009177B5" w:rsidRPr="009177B5">
        <w:rPr>
          <w:color w:val="auto"/>
          <w:sz w:val="22"/>
          <w:szCs w:val="22"/>
        </w:rPr>
        <w:t xml:space="preserve">accounting is intended to provide investors, not regulators, a view of the company’s profitability in the reporting period and to give investors a basis for comparison of products and companies.  </w:t>
      </w:r>
    </w:p>
    <w:p w14:paraId="2F0C39D9" w14:textId="64BCC487" w:rsidR="001874BE" w:rsidRDefault="001874BE" w:rsidP="00077C03">
      <w:pPr>
        <w:pStyle w:val="Default"/>
        <w:spacing w:after="120"/>
        <w:jc w:val="both"/>
        <w:rPr>
          <w:color w:val="auto"/>
          <w:sz w:val="22"/>
          <w:szCs w:val="22"/>
        </w:rPr>
      </w:pPr>
      <w:r>
        <w:rPr>
          <w:color w:val="auto"/>
          <w:sz w:val="22"/>
          <w:szCs w:val="22"/>
        </w:rPr>
        <w:t>Even where Solvency II has super</w:t>
      </w:r>
      <w:r w:rsidR="004777A7">
        <w:rPr>
          <w:color w:val="auto"/>
          <w:sz w:val="22"/>
          <w:szCs w:val="22"/>
        </w:rPr>
        <w:t>s</w:t>
      </w:r>
      <w:r>
        <w:rPr>
          <w:color w:val="auto"/>
          <w:sz w:val="22"/>
          <w:szCs w:val="22"/>
        </w:rPr>
        <w:t>eded the regulatory rules, tax rules often still follow the traditional regulatory basis of calculating insurance reserves.</w:t>
      </w:r>
      <w:r w:rsidRPr="008E4DAD">
        <w:rPr>
          <w:color w:val="auto"/>
          <w:sz w:val="22"/>
          <w:szCs w:val="22"/>
        </w:rPr>
        <w:t xml:space="preserve">  The reserves are formulaic, incorporating an insured’s premium income levels and the difference between the current period’s claim activity and normalized claims activity, subject to a cap.  As a result, an insurance company is required to increase reserves in “good” years, which are then used to fund policyholder payments in “bad” years.  Generally, increases to reserves are tax deductible and decreases in reserves are included in taxable income, thus equalizing results over time.  </w:t>
      </w:r>
      <w:r w:rsidR="000D568C">
        <w:rPr>
          <w:color w:val="auto"/>
          <w:sz w:val="22"/>
          <w:szCs w:val="22"/>
        </w:rPr>
        <w:t>T</w:t>
      </w:r>
      <w:r w:rsidRPr="008E4DAD">
        <w:rPr>
          <w:color w:val="auto"/>
          <w:sz w:val="22"/>
          <w:szCs w:val="22"/>
        </w:rPr>
        <w:t xml:space="preserve">here is </w:t>
      </w:r>
      <w:r w:rsidR="000D568C">
        <w:rPr>
          <w:color w:val="auto"/>
          <w:sz w:val="22"/>
          <w:szCs w:val="22"/>
        </w:rPr>
        <w:t xml:space="preserve">usually </w:t>
      </w:r>
      <w:r w:rsidRPr="008E4DAD">
        <w:rPr>
          <w:color w:val="auto"/>
          <w:sz w:val="22"/>
          <w:szCs w:val="22"/>
        </w:rPr>
        <w:t>no time limit after which unused reserves are returned to general funds.  The reserves fully reverse only if / when the insurance company winds down its affairs.</w:t>
      </w:r>
    </w:p>
    <w:p w14:paraId="21F4BD7D" w14:textId="6143EB25" w:rsidR="00CF4692" w:rsidRPr="00C622E6" w:rsidRDefault="00CF4692" w:rsidP="00077C03">
      <w:pPr>
        <w:pStyle w:val="Default"/>
        <w:spacing w:after="120"/>
        <w:jc w:val="both"/>
        <w:rPr>
          <w:b/>
          <w:bCs/>
          <w:i/>
          <w:iCs/>
          <w:color w:val="auto"/>
          <w:sz w:val="22"/>
          <w:szCs w:val="22"/>
        </w:rPr>
      </w:pPr>
      <w:r w:rsidRPr="00C622E6">
        <w:rPr>
          <w:b/>
          <w:bCs/>
          <w:i/>
          <w:iCs/>
          <w:color w:val="auto"/>
          <w:sz w:val="22"/>
          <w:szCs w:val="22"/>
        </w:rPr>
        <w:t>Investments</w:t>
      </w:r>
    </w:p>
    <w:p w14:paraId="00733988" w14:textId="01D099CF" w:rsidR="00CF4692" w:rsidRPr="00C622E6" w:rsidRDefault="00CF4692" w:rsidP="00077C03">
      <w:pPr>
        <w:pStyle w:val="Default"/>
        <w:spacing w:after="120"/>
        <w:jc w:val="both"/>
        <w:rPr>
          <w:color w:val="auto"/>
          <w:sz w:val="22"/>
          <w:szCs w:val="22"/>
        </w:rPr>
      </w:pPr>
      <w:r w:rsidRPr="00C622E6">
        <w:rPr>
          <w:color w:val="auto"/>
          <w:sz w:val="22"/>
          <w:szCs w:val="22"/>
        </w:rPr>
        <w:t xml:space="preserve">Insurance companies are often recognized as </w:t>
      </w:r>
      <w:r w:rsidR="4864D140" w:rsidRPr="760A453A">
        <w:rPr>
          <w:color w:val="auto"/>
          <w:sz w:val="22"/>
          <w:szCs w:val="22"/>
        </w:rPr>
        <w:t xml:space="preserve">some of </w:t>
      </w:r>
      <w:r w:rsidRPr="00C622E6">
        <w:rPr>
          <w:color w:val="auto"/>
          <w:sz w:val="22"/>
          <w:szCs w:val="22"/>
        </w:rPr>
        <w:t xml:space="preserve">the largest investors in the economy  </w:t>
      </w:r>
      <w:r w:rsidR="27B743D9" w:rsidRPr="760A453A">
        <w:rPr>
          <w:color w:val="auto"/>
          <w:sz w:val="22"/>
          <w:szCs w:val="22"/>
        </w:rPr>
        <w:t>who</w:t>
      </w:r>
      <w:r w:rsidRPr="760A453A">
        <w:rPr>
          <w:color w:val="auto"/>
          <w:sz w:val="22"/>
          <w:szCs w:val="22"/>
        </w:rPr>
        <w:t xml:space="preserve"> </w:t>
      </w:r>
      <w:r w:rsidRPr="00C622E6">
        <w:rPr>
          <w:color w:val="auto"/>
          <w:sz w:val="22"/>
          <w:szCs w:val="22"/>
        </w:rPr>
        <w:t>invest for the long term</w:t>
      </w:r>
      <w:r w:rsidR="2167095C" w:rsidRPr="760A453A">
        <w:rPr>
          <w:color w:val="auto"/>
          <w:sz w:val="22"/>
          <w:szCs w:val="22"/>
        </w:rPr>
        <w:t>.</w:t>
      </w:r>
      <w:r w:rsidRPr="760A453A">
        <w:rPr>
          <w:color w:val="auto"/>
          <w:sz w:val="22"/>
          <w:szCs w:val="22"/>
        </w:rPr>
        <w:t xml:space="preserve"> </w:t>
      </w:r>
      <w:r w:rsidR="0E3F31A0" w:rsidRPr="760A453A">
        <w:rPr>
          <w:color w:val="auto"/>
          <w:sz w:val="22"/>
          <w:szCs w:val="22"/>
        </w:rPr>
        <w:t>They</w:t>
      </w:r>
      <w:r w:rsidRPr="00C622E6">
        <w:rPr>
          <w:color w:val="auto"/>
          <w:sz w:val="22"/>
          <w:szCs w:val="22"/>
        </w:rPr>
        <w:t xml:space="preserve"> look to match long term liabilities with long term investments to support their promises to policyholders.</w:t>
      </w:r>
      <w:r>
        <w:rPr>
          <w:color w:val="auto"/>
          <w:sz w:val="22"/>
          <w:szCs w:val="22"/>
        </w:rPr>
        <w:t xml:space="preserve"> </w:t>
      </w:r>
      <w:r w:rsidR="00FF4998">
        <w:rPr>
          <w:color w:val="auto"/>
          <w:sz w:val="22"/>
          <w:szCs w:val="22"/>
        </w:rPr>
        <w:t>The Balance Sheet valuation of i</w:t>
      </w:r>
      <w:r w:rsidR="002C5B25">
        <w:rPr>
          <w:color w:val="auto"/>
          <w:sz w:val="22"/>
          <w:szCs w:val="22"/>
        </w:rPr>
        <w:t xml:space="preserve">nvestment assets </w:t>
      </w:r>
      <w:r w:rsidR="00FF4998">
        <w:rPr>
          <w:color w:val="auto"/>
          <w:sz w:val="22"/>
          <w:szCs w:val="22"/>
        </w:rPr>
        <w:t>is</w:t>
      </w:r>
      <w:r w:rsidR="002C5B25">
        <w:rPr>
          <w:color w:val="auto"/>
          <w:sz w:val="22"/>
          <w:szCs w:val="22"/>
        </w:rPr>
        <w:t xml:space="preserve"> therefore</w:t>
      </w:r>
      <w:r w:rsidR="00FF4998">
        <w:rPr>
          <w:color w:val="auto"/>
          <w:sz w:val="22"/>
          <w:szCs w:val="22"/>
        </w:rPr>
        <w:t xml:space="preserve"> </w:t>
      </w:r>
      <w:r w:rsidR="5F99052D" w:rsidRPr="760A453A">
        <w:rPr>
          <w:color w:val="auto"/>
          <w:sz w:val="22"/>
          <w:szCs w:val="22"/>
        </w:rPr>
        <w:t>often</w:t>
      </w:r>
      <w:r w:rsidR="002C5B25">
        <w:rPr>
          <w:color w:val="auto"/>
          <w:sz w:val="22"/>
          <w:szCs w:val="22"/>
        </w:rPr>
        <w:t xml:space="preserve"> of a similar magnitude to </w:t>
      </w:r>
      <w:r w:rsidR="00FF4998">
        <w:rPr>
          <w:color w:val="auto"/>
          <w:sz w:val="22"/>
          <w:szCs w:val="22"/>
        </w:rPr>
        <w:t xml:space="preserve">insurance technical provisions. </w:t>
      </w:r>
      <w:r w:rsidR="2A74A9D4" w:rsidRPr="760A453A">
        <w:rPr>
          <w:color w:val="auto"/>
          <w:sz w:val="22"/>
          <w:szCs w:val="22"/>
        </w:rPr>
        <w:t>T</w:t>
      </w:r>
      <w:r w:rsidRPr="760A453A">
        <w:rPr>
          <w:color w:val="auto"/>
          <w:sz w:val="22"/>
          <w:szCs w:val="22"/>
        </w:rPr>
        <w:t>he</w:t>
      </w:r>
      <w:r w:rsidRPr="00C622E6">
        <w:rPr>
          <w:color w:val="auto"/>
          <w:sz w:val="22"/>
          <w:szCs w:val="22"/>
        </w:rPr>
        <w:t xml:space="preserve"> financial reporting regime may require mark to market accounting, while tax rules require realization to recognize gains and losses</w:t>
      </w:r>
      <w:r w:rsidR="00470B83">
        <w:rPr>
          <w:color w:val="auto"/>
          <w:sz w:val="22"/>
          <w:szCs w:val="22"/>
        </w:rPr>
        <w:t>.</w:t>
      </w:r>
      <w:r w:rsidRPr="00C622E6">
        <w:rPr>
          <w:color w:val="auto"/>
          <w:sz w:val="22"/>
          <w:szCs w:val="22"/>
        </w:rPr>
        <w:t xml:space="preserve"> </w:t>
      </w:r>
      <w:r w:rsidR="00470B83">
        <w:rPr>
          <w:color w:val="auto"/>
          <w:sz w:val="22"/>
          <w:szCs w:val="22"/>
        </w:rPr>
        <w:t>In certain jurisdictions,</w:t>
      </w:r>
      <w:r w:rsidRPr="00C622E6">
        <w:rPr>
          <w:color w:val="auto"/>
          <w:sz w:val="22"/>
          <w:szCs w:val="22"/>
        </w:rPr>
        <w:t xml:space="preserve"> the opposite can be true.</w:t>
      </w:r>
      <w:r w:rsidR="00672EA7">
        <w:rPr>
          <w:color w:val="auto"/>
          <w:sz w:val="22"/>
          <w:szCs w:val="22"/>
        </w:rPr>
        <w:t xml:space="preserve"> T</w:t>
      </w:r>
      <w:r w:rsidR="00672EA7" w:rsidRPr="00C622E6">
        <w:rPr>
          <w:color w:val="auto"/>
          <w:sz w:val="22"/>
          <w:szCs w:val="22"/>
        </w:rPr>
        <w:t xml:space="preserve">he timing differences related to investments are </w:t>
      </w:r>
      <w:r w:rsidR="004975BF">
        <w:rPr>
          <w:color w:val="auto"/>
          <w:sz w:val="22"/>
          <w:szCs w:val="22"/>
        </w:rPr>
        <w:t xml:space="preserve">therefore </w:t>
      </w:r>
      <w:r w:rsidR="00672EA7" w:rsidRPr="00C622E6">
        <w:rPr>
          <w:color w:val="auto"/>
          <w:sz w:val="22"/>
          <w:szCs w:val="22"/>
        </w:rPr>
        <w:t>volatile and material.</w:t>
      </w:r>
    </w:p>
    <w:p w14:paraId="433AE08D" w14:textId="514ACA54" w:rsidR="00CF4692" w:rsidRPr="00C622E6" w:rsidRDefault="00CF4692" w:rsidP="00077C03">
      <w:pPr>
        <w:pStyle w:val="Default"/>
        <w:spacing w:after="120"/>
        <w:jc w:val="both"/>
        <w:rPr>
          <w:b/>
          <w:bCs/>
          <w:i/>
          <w:iCs/>
          <w:color w:val="auto"/>
          <w:sz w:val="22"/>
          <w:szCs w:val="22"/>
        </w:rPr>
      </w:pPr>
      <w:r w:rsidRPr="00C622E6">
        <w:rPr>
          <w:b/>
          <w:bCs/>
          <w:i/>
          <w:iCs/>
          <w:color w:val="auto"/>
          <w:sz w:val="22"/>
          <w:szCs w:val="22"/>
        </w:rPr>
        <w:t>Carry</w:t>
      </w:r>
      <w:r w:rsidR="004975BF">
        <w:rPr>
          <w:b/>
          <w:bCs/>
          <w:i/>
          <w:iCs/>
          <w:color w:val="auto"/>
          <w:sz w:val="22"/>
          <w:szCs w:val="22"/>
        </w:rPr>
        <w:t>-</w:t>
      </w:r>
      <w:r w:rsidRPr="00C622E6">
        <w:rPr>
          <w:b/>
          <w:bCs/>
          <w:i/>
          <w:iCs/>
          <w:color w:val="auto"/>
          <w:sz w:val="22"/>
          <w:szCs w:val="22"/>
        </w:rPr>
        <w:t>forward model application</w:t>
      </w:r>
    </w:p>
    <w:p w14:paraId="767F091B" w14:textId="498979B9" w:rsidR="00C43125" w:rsidRDefault="0093457E" w:rsidP="00077C03">
      <w:pPr>
        <w:pStyle w:val="Default"/>
        <w:spacing w:after="120"/>
        <w:jc w:val="both"/>
        <w:rPr>
          <w:color w:val="auto"/>
          <w:sz w:val="22"/>
          <w:szCs w:val="22"/>
        </w:rPr>
      </w:pPr>
      <w:r>
        <w:rPr>
          <w:color w:val="auto"/>
          <w:sz w:val="22"/>
          <w:szCs w:val="22"/>
        </w:rPr>
        <w:t xml:space="preserve">While the Blueprint </w:t>
      </w:r>
      <w:r w:rsidR="00CD6063">
        <w:rPr>
          <w:color w:val="auto"/>
          <w:sz w:val="22"/>
          <w:szCs w:val="22"/>
        </w:rPr>
        <w:t>i</w:t>
      </w:r>
      <w:r>
        <w:rPr>
          <w:color w:val="auto"/>
          <w:sz w:val="22"/>
          <w:szCs w:val="22"/>
        </w:rPr>
        <w:t>ncludes a carry-forward mechanism</w:t>
      </w:r>
      <w:r w:rsidR="004E532E">
        <w:rPr>
          <w:color w:val="auto"/>
          <w:sz w:val="22"/>
          <w:szCs w:val="22"/>
        </w:rPr>
        <w:t xml:space="preserve"> to help address timing differences, t</w:t>
      </w:r>
      <w:r w:rsidR="001B3766" w:rsidRPr="001B3766">
        <w:rPr>
          <w:color w:val="auto"/>
          <w:sz w:val="22"/>
          <w:szCs w:val="22"/>
        </w:rPr>
        <w:t xml:space="preserve">he examples </w:t>
      </w:r>
      <w:r w:rsidR="001B3766">
        <w:rPr>
          <w:color w:val="auto"/>
          <w:sz w:val="22"/>
          <w:szCs w:val="22"/>
        </w:rPr>
        <w:t>below</w:t>
      </w:r>
      <w:r w:rsidR="001B3766" w:rsidRPr="001B3766">
        <w:rPr>
          <w:color w:val="auto"/>
          <w:sz w:val="22"/>
          <w:szCs w:val="22"/>
        </w:rPr>
        <w:t xml:space="preserve"> show that, an insurance company with typical reserve liabilities would </w:t>
      </w:r>
      <w:r w:rsidR="00CD6063">
        <w:rPr>
          <w:color w:val="auto"/>
          <w:sz w:val="22"/>
          <w:szCs w:val="22"/>
        </w:rPr>
        <w:t xml:space="preserve">frequently </w:t>
      </w:r>
      <w:r w:rsidR="001B3766" w:rsidRPr="001B3766">
        <w:rPr>
          <w:color w:val="auto"/>
          <w:sz w:val="22"/>
          <w:szCs w:val="22"/>
        </w:rPr>
        <w:t xml:space="preserve">not benefit from </w:t>
      </w:r>
      <w:r w:rsidR="00CD6063">
        <w:rPr>
          <w:color w:val="auto"/>
          <w:sz w:val="22"/>
          <w:szCs w:val="22"/>
        </w:rPr>
        <w:t>this.</w:t>
      </w:r>
      <w:r w:rsidR="001B3766" w:rsidRPr="001B3766">
        <w:rPr>
          <w:color w:val="auto"/>
          <w:sz w:val="22"/>
          <w:szCs w:val="22"/>
        </w:rPr>
        <w:t xml:space="preserve"> An </w:t>
      </w:r>
      <w:r w:rsidR="00343B44">
        <w:rPr>
          <w:color w:val="auto"/>
          <w:sz w:val="22"/>
          <w:szCs w:val="22"/>
        </w:rPr>
        <w:t>Income Inclusion Rule (‘</w:t>
      </w:r>
      <w:r w:rsidR="001B3766" w:rsidRPr="001B3766">
        <w:rPr>
          <w:color w:val="auto"/>
          <w:sz w:val="22"/>
          <w:szCs w:val="22"/>
        </w:rPr>
        <w:t>IIR</w:t>
      </w:r>
      <w:r w:rsidR="00343B44">
        <w:rPr>
          <w:color w:val="auto"/>
          <w:sz w:val="22"/>
          <w:szCs w:val="22"/>
        </w:rPr>
        <w:t>’)</w:t>
      </w:r>
      <w:r w:rsidR="001B3766" w:rsidRPr="001B3766">
        <w:rPr>
          <w:color w:val="auto"/>
          <w:sz w:val="22"/>
          <w:szCs w:val="22"/>
        </w:rPr>
        <w:t xml:space="preserve"> tax credit or local tax carry</w:t>
      </w:r>
      <w:r w:rsidR="006A1748">
        <w:rPr>
          <w:color w:val="auto"/>
          <w:sz w:val="22"/>
          <w:szCs w:val="22"/>
        </w:rPr>
        <w:t>-</w:t>
      </w:r>
      <w:r w:rsidR="001B3766" w:rsidRPr="001B3766">
        <w:rPr>
          <w:color w:val="auto"/>
          <w:sz w:val="22"/>
          <w:szCs w:val="22"/>
        </w:rPr>
        <w:t>forward would not be created until the reversing year, which could be long after the year in which the top up tax is paid for reserve differences</w:t>
      </w:r>
      <w:r w:rsidR="004E532E">
        <w:rPr>
          <w:color w:val="auto"/>
          <w:sz w:val="22"/>
          <w:szCs w:val="22"/>
        </w:rPr>
        <w:t>, particularly</w:t>
      </w:r>
      <w:r w:rsidR="001B3766" w:rsidRPr="001B3766">
        <w:rPr>
          <w:color w:val="auto"/>
          <w:sz w:val="22"/>
          <w:szCs w:val="22"/>
        </w:rPr>
        <w:t xml:space="preserve"> for a growing business or long duration insurance products.</w:t>
      </w:r>
      <w:r w:rsidR="00C71B96">
        <w:rPr>
          <w:color w:val="auto"/>
          <w:sz w:val="22"/>
          <w:szCs w:val="22"/>
        </w:rPr>
        <w:t xml:space="preserve"> In other cases, where the IIR tax credit and local tax carry-forward were time limited they would expire before the timing difference reversed. </w:t>
      </w:r>
    </w:p>
    <w:p w14:paraId="546D1E13" w14:textId="01C8FBB0" w:rsidR="006D2A24" w:rsidRDefault="00892A58" w:rsidP="00077C03">
      <w:pPr>
        <w:pStyle w:val="Default"/>
        <w:spacing w:after="120"/>
        <w:jc w:val="both"/>
        <w:rPr>
          <w:color w:val="auto"/>
          <w:sz w:val="22"/>
          <w:szCs w:val="22"/>
        </w:rPr>
      </w:pPr>
      <w:r>
        <w:rPr>
          <w:color w:val="auto"/>
          <w:sz w:val="22"/>
          <w:szCs w:val="22"/>
        </w:rPr>
        <w:t>Critically</w:t>
      </w:r>
      <w:r w:rsidR="001B3766" w:rsidRPr="001B3766">
        <w:rPr>
          <w:color w:val="auto"/>
          <w:sz w:val="22"/>
          <w:szCs w:val="22"/>
        </w:rPr>
        <w:t>, so long as an insurer maintains a steady book of business, or increases its book of business, reserve differences do not reverse in the financial statements.  Again, this means the IIR tax credit or loss carry</w:t>
      </w:r>
      <w:r w:rsidR="006A1748">
        <w:rPr>
          <w:color w:val="auto"/>
          <w:sz w:val="22"/>
          <w:szCs w:val="22"/>
        </w:rPr>
        <w:t>-</w:t>
      </w:r>
      <w:r w:rsidR="001B3766" w:rsidRPr="001B3766">
        <w:rPr>
          <w:color w:val="auto"/>
          <w:sz w:val="22"/>
          <w:szCs w:val="22"/>
        </w:rPr>
        <w:t>forward would be ineffective in eliminating the effects of this timing difference.</w:t>
      </w:r>
    </w:p>
    <w:p w14:paraId="163A491A" w14:textId="3708D61E" w:rsidR="006D2A24" w:rsidRDefault="006D2A24" w:rsidP="00077C03">
      <w:pPr>
        <w:pStyle w:val="Default"/>
        <w:spacing w:after="120"/>
        <w:jc w:val="both"/>
        <w:rPr>
          <w:color w:val="auto"/>
          <w:sz w:val="22"/>
          <w:szCs w:val="22"/>
        </w:rPr>
      </w:pPr>
      <w:r>
        <w:rPr>
          <w:color w:val="auto"/>
          <w:sz w:val="22"/>
          <w:szCs w:val="22"/>
        </w:rPr>
        <w:t>Carry</w:t>
      </w:r>
      <w:r w:rsidR="004975BF">
        <w:rPr>
          <w:color w:val="auto"/>
          <w:sz w:val="22"/>
          <w:szCs w:val="22"/>
        </w:rPr>
        <w:t>-</w:t>
      </w:r>
      <w:r>
        <w:rPr>
          <w:color w:val="auto"/>
          <w:sz w:val="22"/>
          <w:szCs w:val="22"/>
        </w:rPr>
        <w:t xml:space="preserve">forward models would therefore have </w:t>
      </w:r>
      <w:r w:rsidR="00A75BAA">
        <w:rPr>
          <w:color w:val="auto"/>
          <w:sz w:val="22"/>
          <w:szCs w:val="22"/>
        </w:rPr>
        <w:t xml:space="preserve">permanent tax rate impacts in excess of the proposed </w:t>
      </w:r>
      <w:proofErr w:type="spellStart"/>
      <w:r w:rsidR="000C27AE">
        <w:rPr>
          <w:color w:val="auto"/>
          <w:sz w:val="22"/>
          <w:szCs w:val="22"/>
        </w:rPr>
        <w:t>GloBE</w:t>
      </w:r>
      <w:proofErr w:type="spellEnd"/>
      <w:r w:rsidR="000C27AE">
        <w:rPr>
          <w:color w:val="auto"/>
          <w:sz w:val="22"/>
          <w:szCs w:val="22"/>
        </w:rPr>
        <w:t xml:space="preserve"> minimum </w:t>
      </w:r>
      <w:r w:rsidR="00A75BAA">
        <w:rPr>
          <w:color w:val="auto"/>
          <w:sz w:val="22"/>
          <w:szCs w:val="22"/>
        </w:rPr>
        <w:t xml:space="preserve">and </w:t>
      </w:r>
      <w:r>
        <w:rPr>
          <w:color w:val="auto"/>
          <w:sz w:val="22"/>
          <w:szCs w:val="22"/>
        </w:rPr>
        <w:t>a penal cashflow and opportunity cost impact on the insurance industry.</w:t>
      </w:r>
    </w:p>
    <w:p w14:paraId="55588AE3" w14:textId="00829906" w:rsidR="001B3766" w:rsidRDefault="001B3766" w:rsidP="00077C03">
      <w:pPr>
        <w:pStyle w:val="Default"/>
        <w:spacing w:after="120"/>
        <w:jc w:val="both"/>
        <w:rPr>
          <w:color w:val="auto"/>
          <w:sz w:val="22"/>
          <w:szCs w:val="22"/>
        </w:rPr>
      </w:pPr>
      <w:r w:rsidRPr="001B3766">
        <w:rPr>
          <w:color w:val="auto"/>
          <w:sz w:val="22"/>
          <w:szCs w:val="22"/>
        </w:rPr>
        <w:t xml:space="preserve">In contrast, incorporating deferred taxes </w:t>
      </w:r>
      <w:r w:rsidR="00964DC8">
        <w:rPr>
          <w:color w:val="auto"/>
          <w:sz w:val="22"/>
          <w:szCs w:val="22"/>
        </w:rPr>
        <w:t xml:space="preserve">based on factual </w:t>
      </w:r>
      <w:r w:rsidR="00BB62ED">
        <w:rPr>
          <w:color w:val="auto"/>
          <w:sz w:val="22"/>
          <w:szCs w:val="22"/>
        </w:rPr>
        <w:t>timing differences identified in</w:t>
      </w:r>
      <w:r w:rsidR="00687756">
        <w:rPr>
          <w:color w:val="auto"/>
          <w:sz w:val="22"/>
          <w:szCs w:val="22"/>
        </w:rPr>
        <w:t xml:space="preserve"> regulatory</w:t>
      </w:r>
      <w:r w:rsidR="008C0554">
        <w:rPr>
          <w:color w:val="auto"/>
          <w:sz w:val="22"/>
          <w:szCs w:val="22"/>
        </w:rPr>
        <w:t xml:space="preserve"> </w:t>
      </w:r>
      <w:r w:rsidR="00BB62ED">
        <w:rPr>
          <w:color w:val="auto"/>
          <w:sz w:val="22"/>
          <w:szCs w:val="22"/>
        </w:rPr>
        <w:t>/</w:t>
      </w:r>
      <w:r w:rsidR="00687756">
        <w:rPr>
          <w:color w:val="auto"/>
          <w:sz w:val="22"/>
          <w:szCs w:val="22"/>
        </w:rPr>
        <w:t xml:space="preserve"> tax basis </w:t>
      </w:r>
      <w:r w:rsidR="00E518EA">
        <w:rPr>
          <w:color w:val="auto"/>
          <w:sz w:val="22"/>
          <w:szCs w:val="22"/>
        </w:rPr>
        <w:t>calculation methodolog</w:t>
      </w:r>
      <w:r w:rsidR="00BB62ED">
        <w:rPr>
          <w:color w:val="auto"/>
          <w:sz w:val="22"/>
          <w:szCs w:val="22"/>
        </w:rPr>
        <w:t>ies</w:t>
      </w:r>
      <w:r w:rsidR="00E518EA">
        <w:rPr>
          <w:color w:val="auto"/>
          <w:sz w:val="22"/>
          <w:szCs w:val="22"/>
        </w:rPr>
        <w:t xml:space="preserve"> </w:t>
      </w:r>
      <w:r w:rsidRPr="001B3766">
        <w:rPr>
          <w:color w:val="auto"/>
          <w:sz w:val="22"/>
          <w:szCs w:val="22"/>
        </w:rPr>
        <w:t>would remedy this volatility by creating basis parity between the Pillar Two ETR’s numerator and denominator</w:t>
      </w:r>
      <w:r w:rsidR="005D0647">
        <w:rPr>
          <w:color w:val="auto"/>
          <w:sz w:val="22"/>
          <w:szCs w:val="22"/>
        </w:rPr>
        <w:t>.</w:t>
      </w:r>
      <w:r w:rsidR="00E30F5E">
        <w:rPr>
          <w:color w:val="auto"/>
          <w:sz w:val="22"/>
          <w:szCs w:val="22"/>
        </w:rPr>
        <w:t xml:space="preserve"> </w:t>
      </w:r>
      <w:r w:rsidR="004D3342">
        <w:rPr>
          <w:color w:val="auto"/>
          <w:sz w:val="22"/>
          <w:szCs w:val="22"/>
        </w:rPr>
        <w:t>A</w:t>
      </w:r>
      <w:r w:rsidR="00E30F5E" w:rsidRPr="00E30F5E">
        <w:rPr>
          <w:color w:val="auto"/>
          <w:sz w:val="22"/>
          <w:szCs w:val="22"/>
        </w:rPr>
        <w:t xml:space="preserve">dministrative burden </w:t>
      </w:r>
      <w:r w:rsidR="004D3342">
        <w:rPr>
          <w:color w:val="auto"/>
          <w:sz w:val="22"/>
          <w:szCs w:val="22"/>
        </w:rPr>
        <w:t xml:space="preserve">would be reduced compared to current proposals </w:t>
      </w:r>
      <w:r w:rsidR="00A3698A">
        <w:rPr>
          <w:color w:val="auto"/>
          <w:sz w:val="22"/>
          <w:szCs w:val="22"/>
        </w:rPr>
        <w:t>because</w:t>
      </w:r>
      <w:r w:rsidR="00E30F5E" w:rsidRPr="00E30F5E">
        <w:rPr>
          <w:color w:val="auto"/>
          <w:sz w:val="22"/>
          <w:szCs w:val="22"/>
        </w:rPr>
        <w:t xml:space="preserve"> deferred taxes have to be determined for financial accounting purposes and </w:t>
      </w:r>
      <w:r w:rsidR="004D3342">
        <w:rPr>
          <w:color w:val="auto"/>
          <w:sz w:val="22"/>
          <w:szCs w:val="22"/>
        </w:rPr>
        <w:t>source information is</w:t>
      </w:r>
      <w:r w:rsidR="00E30F5E" w:rsidRPr="00E30F5E">
        <w:rPr>
          <w:color w:val="auto"/>
          <w:sz w:val="22"/>
          <w:szCs w:val="22"/>
        </w:rPr>
        <w:t xml:space="preserve"> therefore </w:t>
      </w:r>
      <w:r w:rsidR="004D3342">
        <w:rPr>
          <w:color w:val="auto"/>
          <w:sz w:val="22"/>
          <w:szCs w:val="22"/>
        </w:rPr>
        <w:t xml:space="preserve">readily </w:t>
      </w:r>
      <w:r w:rsidR="00E30F5E" w:rsidRPr="00E30F5E">
        <w:rPr>
          <w:color w:val="auto"/>
          <w:sz w:val="22"/>
          <w:szCs w:val="22"/>
        </w:rPr>
        <w:t>available.</w:t>
      </w:r>
    </w:p>
    <w:p w14:paraId="6D4F8906" w14:textId="3A11B223" w:rsidR="009031B6" w:rsidRPr="00911DC6" w:rsidRDefault="00ED6EBD" w:rsidP="00077C03">
      <w:pPr>
        <w:pStyle w:val="Default"/>
        <w:spacing w:after="120"/>
        <w:rPr>
          <w:color w:val="auto"/>
          <w:sz w:val="22"/>
          <w:szCs w:val="22"/>
        </w:rPr>
      </w:pPr>
      <w:r>
        <w:rPr>
          <w:noProof/>
        </w:rPr>
        <mc:AlternateContent>
          <mc:Choice Requires="wps">
            <w:drawing>
              <wp:inline distT="0" distB="0" distL="0" distR="0" wp14:anchorId="1FDD75DF" wp14:editId="7A50A128">
                <wp:extent cx="5903366" cy="3065069"/>
                <wp:effectExtent l="0" t="0" r="21590" b="21590"/>
                <wp:docPr id="189628560" name="Rectangle 3"/>
                <wp:cNvGraphicFramePr/>
                <a:graphic xmlns:a="http://schemas.openxmlformats.org/drawingml/2006/main">
                  <a:graphicData uri="http://schemas.microsoft.com/office/word/2010/wordprocessingShape">
                    <wps:wsp>
                      <wps:cNvSpPr/>
                      <wps:spPr>
                        <a:xfrm>
                          <a:off x="0" y="0"/>
                          <a:ext cx="5903366" cy="306506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5E61D0E" w14:textId="77777777" w:rsidR="00ED6EBD" w:rsidRPr="00911DC6" w:rsidRDefault="00ED6EBD" w:rsidP="00ED6EBD">
                            <w:pPr>
                              <w:pStyle w:val="Default"/>
                              <w:rPr>
                                <w:b/>
                                <w:bCs/>
                                <w:i/>
                                <w:iCs/>
                                <w:color w:val="auto"/>
                                <w:sz w:val="22"/>
                                <w:szCs w:val="22"/>
                              </w:rPr>
                            </w:pPr>
                            <w:r w:rsidRPr="00911DC6">
                              <w:rPr>
                                <w:b/>
                                <w:bCs/>
                                <w:i/>
                                <w:iCs/>
                                <w:color w:val="auto"/>
                                <w:sz w:val="22"/>
                                <w:szCs w:val="22"/>
                              </w:rPr>
                              <w:t>Example 1</w:t>
                            </w:r>
                          </w:p>
                          <w:p w14:paraId="77F58B5B" w14:textId="77777777" w:rsidR="00ED6EBD" w:rsidRDefault="00ED6EBD" w:rsidP="00ED6EBD">
                            <w:pPr>
                              <w:pStyle w:val="Default"/>
                              <w:rPr>
                                <w:color w:val="auto"/>
                                <w:sz w:val="22"/>
                                <w:szCs w:val="22"/>
                              </w:rPr>
                            </w:pPr>
                          </w:p>
                          <w:p w14:paraId="21F02A21" w14:textId="4C7047D9" w:rsidR="00ED6EBD" w:rsidRDefault="00ED6EBD" w:rsidP="00ED6EBD">
                            <w:pPr>
                              <w:pStyle w:val="Default"/>
                              <w:jc w:val="both"/>
                              <w:rPr>
                                <w:color w:val="auto"/>
                                <w:sz w:val="22"/>
                                <w:szCs w:val="22"/>
                              </w:rPr>
                            </w:pPr>
                            <w:r>
                              <w:rPr>
                                <w:color w:val="auto"/>
                                <w:sz w:val="22"/>
                                <w:szCs w:val="22"/>
                              </w:rPr>
                              <w:t xml:space="preserve">In this example, regulators in the relevant country require an additional reserve for prudence </w:t>
                            </w:r>
                            <w:r w:rsidR="008D11A3">
                              <w:rPr>
                                <w:color w:val="auto"/>
                                <w:sz w:val="22"/>
                                <w:szCs w:val="22"/>
                              </w:rPr>
                              <w:t>which reduces ta</w:t>
                            </w:r>
                            <w:r w:rsidR="00BF1245">
                              <w:rPr>
                                <w:color w:val="auto"/>
                                <w:sz w:val="22"/>
                                <w:szCs w:val="22"/>
                              </w:rPr>
                              <w:t>x</w:t>
                            </w:r>
                            <w:r w:rsidR="008D11A3">
                              <w:rPr>
                                <w:color w:val="auto"/>
                                <w:sz w:val="22"/>
                                <w:szCs w:val="22"/>
                              </w:rPr>
                              <w:t>able income in</w:t>
                            </w:r>
                            <w:r w:rsidR="00BF1245">
                              <w:rPr>
                                <w:color w:val="auto"/>
                                <w:sz w:val="22"/>
                                <w:szCs w:val="22"/>
                              </w:rPr>
                              <w:t xml:space="preserve">itially </w:t>
                            </w:r>
                            <w:r>
                              <w:rPr>
                                <w:color w:val="auto"/>
                                <w:sz w:val="22"/>
                                <w:szCs w:val="22"/>
                              </w:rPr>
                              <w:t xml:space="preserve">e.g. European insurance business:  </w:t>
                            </w:r>
                          </w:p>
                          <w:p w14:paraId="158D086F" w14:textId="77777777" w:rsidR="00ED6EBD" w:rsidRDefault="00ED6EBD" w:rsidP="00ED6EBD">
                            <w:pPr>
                              <w:pStyle w:val="Default"/>
                              <w:ind w:left="720"/>
                              <w:rPr>
                                <w:color w:val="auto"/>
                                <w:sz w:val="22"/>
                                <w:szCs w:val="22"/>
                              </w:rPr>
                            </w:pPr>
                            <w:r w:rsidDel="00603FE4">
                              <w:rPr>
                                <w:color w:val="auto"/>
                                <w:sz w:val="22"/>
                                <w:szCs w:val="22"/>
                              </w:rPr>
                              <w:t xml:space="preserve"> </w:t>
                            </w:r>
                          </w:p>
                          <w:tbl>
                            <w:tblPr>
                              <w:tblStyle w:val="Mriekatabuky"/>
                              <w:tblW w:w="8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1276"/>
                              <w:gridCol w:w="1418"/>
                              <w:gridCol w:w="283"/>
                              <w:gridCol w:w="1276"/>
                              <w:gridCol w:w="1417"/>
                            </w:tblGrid>
                            <w:tr w:rsidR="00ED6EBD" w14:paraId="446EA102" w14:textId="77777777" w:rsidTr="00077C03">
                              <w:tc>
                                <w:tcPr>
                                  <w:tcW w:w="3260" w:type="dxa"/>
                                </w:tcPr>
                                <w:p w14:paraId="5E8958FF" w14:textId="77777777" w:rsidR="00ED6EBD" w:rsidRPr="004C0C70" w:rsidRDefault="00ED6EBD" w:rsidP="00DE16CE">
                                  <w:pPr>
                                    <w:pStyle w:val="Default"/>
                                    <w:rPr>
                                      <w:b/>
                                      <w:bCs/>
                                      <w:color w:val="auto"/>
                                      <w:sz w:val="20"/>
                                      <w:szCs w:val="20"/>
                                    </w:rPr>
                                  </w:pPr>
                                  <w:r w:rsidRPr="004C0C70">
                                    <w:rPr>
                                      <w:b/>
                                      <w:bCs/>
                                      <w:color w:val="auto"/>
                                      <w:sz w:val="20"/>
                                      <w:szCs w:val="20"/>
                                    </w:rPr>
                                    <w:t>Item</w:t>
                                  </w:r>
                                </w:p>
                              </w:tc>
                              <w:tc>
                                <w:tcPr>
                                  <w:tcW w:w="2694" w:type="dxa"/>
                                  <w:gridSpan w:val="2"/>
                                </w:tcPr>
                                <w:p w14:paraId="56282433" w14:textId="77777777" w:rsidR="00ED6EBD" w:rsidRPr="004C0C70" w:rsidRDefault="00ED6EBD" w:rsidP="00DE16CE">
                                  <w:pPr>
                                    <w:pStyle w:val="Default"/>
                                    <w:jc w:val="center"/>
                                    <w:rPr>
                                      <w:b/>
                                      <w:bCs/>
                                      <w:color w:val="auto"/>
                                      <w:sz w:val="20"/>
                                      <w:szCs w:val="20"/>
                                    </w:rPr>
                                  </w:pPr>
                                  <w:r>
                                    <w:rPr>
                                      <w:b/>
                                      <w:bCs/>
                                      <w:color w:val="auto"/>
                                      <w:sz w:val="20"/>
                                      <w:szCs w:val="20"/>
                                    </w:rPr>
                                    <w:t>Origination year</w:t>
                                  </w:r>
                                </w:p>
                              </w:tc>
                              <w:tc>
                                <w:tcPr>
                                  <w:tcW w:w="283" w:type="dxa"/>
                                </w:tcPr>
                                <w:p w14:paraId="5D019224" w14:textId="77777777" w:rsidR="00ED6EBD" w:rsidRPr="004C0C70" w:rsidRDefault="00ED6EBD" w:rsidP="00DE16CE">
                                  <w:pPr>
                                    <w:pStyle w:val="Default"/>
                                    <w:jc w:val="right"/>
                                    <w:rPr>
                                      <w:b/>
                                      <w:bCs/>
                                      <w:color w:val="auto"/>
                                      <w:sz w:val="20"/>
                                      <w:szCs w:val="20"/>
                                    </w:rPr>
                                  </w:pPr>
                                </w:p>
                              </w:tc>
                              <w:tc>
                                <w:tcPr>
                                  <w:tcW w:w="2693" w:type="dxa"/>
                                  <w:gridSpan w:val="2"/>
                                </w:tcPr>
                                <w:p w14:paraId="20505236" w14:textId="77777777" w:rsidR="00ED6EBD" w:rsidRPr="004C0C70" w:rsidRDefault="00ED6EBD" w:rsidP="00DE16CE">
                                  <w:pPr>
                                    <w:pStyle w:val="Default"/>
                                    <w:jc w:val="center"/>
                                    <w:rPr>
                                      <w:b/>
                                      <w:bCs/>
                                      <w:color w:val="auto"/>
                                      <w:sz w:val="20"/>
                                      <w:szCs w:val="20"/>
                                    </w:rPr>
                                  </w:pPr>
                                  <w:r>
                                    <w:rPr>
                                      <w:b/>
                                      <w:bCs/>
                                      <w:color w:val="auto"/>
                                      <w:sz w:val="20"/>
                                      <w:szCs w:val="20"/>
                                    </w:rPr>
                                    <w:t>Reversing year</w:t>
                                  </w:r>
                                </w:p>
                              </w:tc>
                            </w:tr>
                            <w:tr w:rsidR="00ED6EBD" w14:paraId="19C13727" w14:textId="77777777" w:rsidTr="00077C03">
                              <w:tc>
                                <w:tcPr>
                                  <w:tcW w:w="3260" w:type="dxa"/>
                                </w:tcPr>
                                <w:p w14:paraId="632396D3" w14:textId="77777777" w:rsidR="00ED6EBD" w:rsidRPr="004C0C70" w:rsidRDefault="00ED6EBD" w:rsidP="00DE16CE">
                                  <w:pPr>
                                    <w:pStyle w:val="Default"/>
                                    <w:rPr>
                                      <w:b/>
                                      <w:bCs/>
                                      <w:color w:val="auto"/>
                                      <w:sz w:val="20"/>
                                      <w:szCs w:val="20"/>
                                    </w:rPr>
                                  </w:pPr>
                                </w:p>
                              </w:tc>
                              <w:tc>
                                <w:tcPr>
                                  <w:tcW w:w="1276" w:type="dxa"/>
                                </w:tcPr>
                                <w:p w14:paraId="675E1955" w14:textId="77777777" w:rsidR="00ED6EBD" w:rsidRPr="004C0C70" w:rsidRDefault="00ED6EBD" w:rsidP="00DE16CE">
                                  <w:pPr>
                                    <w:pStyle w:val="Default"/>
                                    <w:jc w:val="right"/>
                                    <w:rPr>
                                      <w:b/>
                                      <w:bCs/>
                                      <w:color w:val="auto"/>
                                      <w:sz w:val="20"/>
                                      <w:szCs w:val="20"/>
                                    </w:rPr>
                                  </w:pPr>
                                  <w:r w:rsidRPr="004C0C70">
                                    <w:rPr>
                                      <w:b/>
                                      <w:bCs/>
                                      <w:color w:val="auto"/>
                                      <w:sz w:val="20"/>
                                      <w:szCs w:val="20"/>
                                    </w:rPr>
                                    <w:t>Current</w:t>
                                  </w:r>
                                  <w:r>
                                    <w:rPr>
                                      <w:b/>
                                      <w:bCs/>
                                      <w:color w:val="auto"/>
                                      <w:sz w:val="20"/>
                                      <w:szCs w:val="20"/>
                                    </w:rPr>
                                    <w:t xml:space="preserve"> IF</w:t>
                                  </w:r>
                                  <w:r w:rsidRPr="004C0C70">
                                    <w:rPr>
                                      <w:b/>
                                      <w:bCs/>
                                      <w:color w:val="auto"/>
                                      <w:sz w:val="20"/>
                                      <w:szCs w:val="20"/>
                                    </w:rPr>
                                    <w:t xml:space="preserve"> proposal</w:t>
                                  </w:r>
                                </w:p>
                              </w:tc>
                              <w:tc>
                                <w:tcPr>
                                  <w:tcW w:w="1418" w:type="dxa"/>
                                </w:tcPr>
                                <w:p w14:paraId="1FFEB550" w14:textId="3C2322E4" w:rsidR="00ED6EBD" w:rsidRPr="004C0C70" w:rsidRDefault="00ED6EBD" w:rsidP="00DE16CE">
                                  <w:pPr>
                                    <w:pStyle w:val="Default"/>
                                    <w:jc w:val="right"/>
                                    <w:rPr>
                                      <w:b/>
                                      <w:bCs/>
                                      <w:color w:val="auto"/>
                                      <w:sz w:val="20"/>
                                      <w:szCs w:val="20"/>
                                    </w:rPr>
                                  </w:pPr>
                                  <w:r w:rsidRPr="004C0C70">
                                    <w:rPr>
                                      <w:b/>
                                      <w:bCs/>
                                      <w:color w:val="auto"/>
                                      <w:sz w:val="20"/>
                                      <w:szCs w:val="20"/>
                                    </w:rPr>
                                    <w:t>Regulatory</w:t>
                                  </w:r>
                                  <w:r>
                                    <w:rPr>
                                      <w:b/>
                                      <w:bCs/>
                                      <w:color w:val="auto"/>
                                      <w:sz w:val="20"/>
                                      <w:szCs w:val="20"/>
                                    </w:rPr>
                                    <w:t xml:space="preserve"> / tax</w:t>
                                  </w:r>
                                  <w:r w:rsidRPr="004C0C70">
                                    <w:rPr>
                                      <w:b/>
                                      <w:bCs/>
                                      <w:color w:val="auto"/>
                                      <w:sz w:val="20"/>
                                      <w:szCs w:val="20"/>
                                    </w:rPr>
                                    <w:t xml:space="preserve"> basis</w:t>
                                  </w:r>
                                  <w:r>
                                    <w:rPr>
                                      <w:b/>
                                      <w:bCs/>
                                      <w:color w:val="auto"/>
                                      <w:sz w:val="20"/>
                                      <w:szCs w:val="20"/>
                                    </w:rPr>
                                    <w:t xml:space="preserve"> </w:t>
                                  </w:r>
                                </w:p>
                              </w:tc>
                              <w:tc>
                                <w:tcPr>
                                  <w:tcW w:w="283" w:type="dxa"/>
                                </w:tcPr>
                                <w:p w14:paraId="097E72F7" w14:textId="77777777" w:rsidR="00ED6EBD" w:rsidRPr="004C0C70" w:rsidRDefault="00ED6EBD" w:rsidP="00DE16CE">
                                  <w:pPr>
                                    <w:pStyle w:val="Default"/>
                                    <w:jc w:val="right"/>
                                    <w:rPr>
                                      <w:b/>
                                      <w:bCs/>
                                      <w:color w:val="auto"/>
                                      <w:sz w:val="20"/>
                                      <w:szCs w:val="20"/>
                                    </w:rPr>
                                  </w:pPr>
                                </w:p>
                              </w:tc>
                              <w:tc>
                                <w:tcPr>
                                  <w:tcW w:w="1276" w:type="dxa"/>
                                </w:tcPr>
                                <w:p w14:paraId="530D2A59" w14:textId="77777777" w:rsidR="00ED6EBD" w:rsidRPr="004C0C70" w:rsidRDefault="00ED6EBD" w:rsidP="00DE16CE">
                                  <w:pPr>
                                    <w:pStyle w:val="Default"/>
                                    <w:jc w:val="right"/>
                                    <w:rPr>
                                      <w:b/>
                                      <w:bCs/>
                                      <w:color w:val="auto"/>
                                      <w:sz w:val="20"/>
                                      <w:szCs w:val="20"/>
                                    </w:rPr>
                                  </w:pPr>
                                  <w:r w:rsidRPr="004C0C70">
                                    <w:rPr>
                                      <w:b/>
                                      <w:bCs/>
                                      <w:color w:val="auto"/>
                                      <w:sz w:val="20"/>
                                      <w:szCs w:val="20"/>
                                    </w:rPr>
                                    <w:t xml:space="preserve">Current </w:t>
                                  </w:r>
                                  <w:r>
                                    <w:rPr>
                                      <w:b/>
                                      <w:bCs/>
                                      <w:color w:val="auto"/>
                                      <w:sz w:val="20"/>
                                      <w:szCs w:val="20"/>
                                    </w:rPr>
                                    <w:t xml:space="preserve">IF </w:t>
                                  </w:r>
                                  <w:r w:rsidRPr="004C0C70">
                                    <w:rPr>
                                      <w:b/>
                                      <w:bCs/>
                                      <w:color w:val="auto"/>
                                      <w:sz w:val="20"/>
                                      <w:szCs w:val="20"/>
                                    </w:rPr>
                                    <w:t>proposal</w:t>
                                  </w:r>
                                </w:p>
                              </w:tc>
                              <w:tc>
                                <w:tcPr>
                                  <w:tcW w:w="1417" w:type="dxa"/>
                                </w:tcPr>
                                <w:p w14:paraId="3B1E7026" w14:textId="252E2D18" w:rsidR="00ED6EBD" w:rsidRPr="004C0C70" w:rsidRDefault="00ED6EBD" w:rsidP="00DE16CE">
                                  <w:pPr>
                                    <w:pStyle w:val="Default"/>
                                    <w:jc w:val="right"/>
                                    <w:rPr>
                                      <w:b/>
                                      <w:bCs/>
                                      <w:color w:val="auto"/>
                                      <w:sz w:val="20"/>
                                      <w:szCs w:val="20"/>
                                    </w:rPr>
                                  </w:pPr>
                                  <w:r w:rsidRPr="004C0C70">
                                    <w:rPr>
                                      <w:b/>
                                      <w:bCs/>
                                      <w:color w:val="auto"/>
                                      <w:sz w:val="20"/>
                                      <w:szCs w:val="20"/>
                                    </w:rPr>
                                    <w:t xml:space="preserve">Regulatory </w:t>
                                  </w:r>
                                  <w:r>
                                    <w:rPr>
                                      <w:b/>
                                      <w:bCs/>
                                      <w:color w:val="auto"/>
                                      <w:sz w:val="20"/>
                                      <w:szCs w:val="20"/>
                                    </w:rPr>
                                    <w:t xml:space="preserve">/ tax </w:t>
                                  </w:r>
                                  <w:r w:rsidRPr="004C0C70">
                                    <w:rPr>
                                      <w:b/>
                                      <w:bCs/>
                                      <w:color w:val="auto"/>
                                      <w:sz w:val="20"/>
                                      <w:szCs w:val="20"/>
                                    </w:rPr>
                                    <w:t>basis</w:t>
                                  </w:r>
                                  <w:r>
                                    <w:rPr>
                                      <w:b/>
                                      <w:bCs/>
                                      <w:color w:val="auto"/>
                                      <w:sz w:val="20"/>
                                      <w:szCs w:val="20"/>
                                    </w:rPr>
                                    <w:t xml:space="preserve"> </w:t>
                                  </w:r>
                                </w:p>
                              </w:tc>
                            </w:tr>
                            <w:tr w:rsidR="00ED6EBD" w14:paraId="2E4BDF72" w14:textId="77777777" w:rsidTr="00077C03">
                              <w:tc>
                                <w:tcPr>
                                  <w:tcW w:w="3260" w:type="dxa"/>
                                </w:tcPr>
                                <w:p w14:paraId="246D8260" w14:textId="77777777" w:rsidR="00ED6EBD" w:rsidRPr="004C0C70" w:rsidRDefault="00ED6EBD" w:rsidP="00DE16CE">
                                  <w:pPr>
                                    <w:pStyle w:val="Default"/>
                                    <w:rPr>
                                      <w:color w:val="auto"/>
                                      <w:sz w:val="20"/>
                                      <w:szCs w:val="20"/>
                                    </w:rPr>
                                  </w:pPr>
                                  <w:r w:rsidRPr="004C0C70">
                                    <w:rPr>
                                      <w:color w:val="auto"/>
                                      <w:sz w:val="20"/>
                                      <w:szCs w:val="20"/>
                                    </w:rPr>
                                    <w:t>Pre-tax income – group GAAP</w:t>
                                  </w:r>
                                </w:p>
                              </w:tc>
                              <w:tc>
                                <w:tcPr>
                                  <w:tcW w:w="1276" w:type="dxa"/>
                                </w:tcPr>
                                <w:p w14:paraId="182F60FD" w14:textId="77777777" w:rsidR="00ED6EBD" w:rsidRPr="004C0C70" w:rsidRDefault="00ED6EBD" w:rsidP="00DE16CE">
                                  <w:pPr>
                                    <w:pStyle w:val="Default"/>
                                    <w:jc w:val="right"/>
                                    <w:rPr>
                                      <w:color w:val="auto"/>
                                      <w:sz w:val="20"/>
                                      <w:szCs w:val="20"/>
                                    </w:rPr>
                                  </w:pPr>
                                  <w:r>
                                    <w:rPr>
                                      <w:color w:val="auto"/>
                                      <w:sz w:val="20"/>
                                      <w:szCs w:val="20"/>
                                    </w:rPr>
                                    <w:t>1,000</w:t>
                                  </w:r>
                                </w:p>
                              </w:tc>
                              <w:tc>
                                <w:tcPr>
                                  <w:tcW w:w="1418" w:type="dxa"/>
                                </w:tcPr>
                                <w:p w14:paraId="6CA881A8" w14:textId="77777777" w:rsidR="00ED6EBD" w:rsidRPr="004C0C70" w:rsidRDefault="00ED6EBD" w:rsidP="00DE16CE">
                                  <w:pPr>
                                    <w:pStyle w:val="Default"/>
                                    <w:jc w:val="right"/>
                                    <w:rPr>
                                      <w:color w:val="auto"/>
                                      <w:sz w:val="20"/>
                                      <w:szCs w:val="20"/>
                                    </w:rPr>
                                  </w:pPr>
                                  <w:r>
                                    <w:rPr>
                                      <w:color w:val="auto"/>
                                      <w:sz w:val="20"/>
                                      <w:szCs w:val="20"/>
                                    </w:rPr>
                                    <w:t>1,000</w:t>
                                  </w:r>
                                </w:p>
                              </w:tc>
                              <w:tc>
                                <w:tcPr>
                                  <w:tcW w:w="283" w:type="dxa"/>
                                </w:tcPr>
                                <w:p w14:paraId="1782E945" w14:textId="77777777" w:rsidR="00ED6EBD" w:rsidRDefault="00ED6EBD" w:rsidP="00DE16CE">
                                  <w:pPr>
                                    <w:pStyle w:val="Default"/>
                                    <w:jc w:val="right"/>
                                    <w:rPr>
                                      <w:color w:val="auto"/>
                                      <w:sz w:val="20"/>
                                      <w:szCs w:val="20"/>
                                    </w:rPr>
                                  </w:pPr>
                                </w:p>
                              </w:tc>
                              <w:tc>
                                <w:tcPr>
                                  <w:tcW w:w="1276" w:type="dxa"/>
                                </w:tcPr>
                                <w:p w14:paraId="143BAA73" w14:textId="77777777" w:rsidR="00ED6EBD" w:rsidRDefault="00ED6EBD" w:rsidP="00DE16CE">
                                  <w:pPr>
                                    <w:pStyle w:val="Default"/>
                                    <w:jc w:val="right"/>
                                    <w:rPr>
                                      <w:color w:val="auto"/>
                                      <w:sz w:val="20"/>
                                      <w:szCs w:val="20"/>
                                    </w:rPr>
                                  </w:pPr>
                                  <w:r>
                                    <w:rPr>
                                      <w:color w:val="auto"/>
                                      <w:sz w:val="20"/>
                                      <w:szCs w:val="20"/>
                                    </w:rPr>
                                    <w:t>1,000</w:t>
                                  </w:r>
                                </w:p>
                              </w:tc>
                              <w:tc>
                                <w:tcPr>
                                  <w:tcW w:w="1417" w:type="dxa"/>
                                </w:tcPr>
                                <w:p w14:paraId="5006C1F6" w14:textId="77777777" w:rsidR="00ED6EBD" w:rsidRDefault="00ED6EBD" w:rsidP="00DE16CE">
                                  <w:pPr>
                                    <w:pStyle w:val="Default"/>
                                    <w:jc w:val="right"/>
                                    <w:rPr>
                                      <w:color w:val="auto"/>
                                      <w:sz w:val="20"/>
                                      <w:szCs w:val="20"/>
                                    </w:rPr>
                                  </w:pPr>
                                  <w:r>
                                    <w:rPr>
                                      <w:color w:val="auto"/>
                                      <w:sz w:val="20"/>
                                      <w:szCs w:val="20"/>
                                    </w:rPr>
                                    <w:t>1,000</w:t>
                                  </w:r>
                                </w:p>
                              </w:tc>
                            </w:tr>
                            <w:tr w:rsidR="00ED6EBD" w14:paraId="1F544339" w14:textId="77777777" w:rsidTr="00077C03">
                              <w:tc>
                                <w:tcPr>
                                  <w:tcW w:w="3260" w:type="dxa"/>
                                </w:tcPr>
                                <w:p w14:paraId="2FC7F387" w14:textId="77777777" w:rsidR="00ED6EBD" w:rsidRPr="004C0C70" w:rsidRDefault="00ED6EBD" w:rsidP="00DE16CE">
                                  <w:pPr>
                                    <w:pStyle w:val="Default"/>
                                    <w:rPr>
                                      <w:color w:val="auto"/>
                                      <w:sz w:val="20"/>
                                      <w:szCs w:val="20"/>
                                    </w:rPr>
                                  </w:pPr>
                                  <w:r w:rsidRPr="004C0C70">
                                    <w:rPr>
                                      <w:color w:val="auto"/>
                                      <w:sz w:val="20"/>
                                      <w:szCs w:val="20"/>
                                    </w:rPr>
                                    <w:t xml:space="preserve">Regulatory </w:t>
                                  </w:r>
                                  <w:r>
                                    <w:rPr>
                                      <w:color w:val="auto"/>
                                      <w:sz w:val="20"/>
                                      <w:szCs w:val="20"/>
                                    </w:rPr>
                                    <w:t xml:space="preserve">&amp; </w:t>
                                  </w:r>
                                  <w:r w:rsidRPr="004C0C70">
                                    <w:rPr>
                                      <w:color w:val="auto"/>
                                      <w:sz w:val="20"/>
                                      <w:szCs w:val="20"/>
                                    </w:rPr>
                                    <w:t>tax basis adjustment</w:t>
                                  </w:r>
                                </w:p>
                              </w:tc>
                              <w:tc>
                                <w:tcPr>
                                  <w:tcW w:w="1276" w:type="dxa"/>
                                </w:tcPr>
                                <w:p w14:paraId="24D65717" w14:textId="77777777" w:rsidR="00ED6EBD" w:rsidRPr="004C0C70" w:rsidRDefault="00ED6EBD" w:rsidP="00DE16CE">
                                  <w:pPr>
                                    <w:pStyle w:val="Default"/>
                                    <w:jc w:val="right"/>
                                    <w:rPr>
                                      <w:color w:val="auto"/>
                                      <w:sz w:val="20"/>
                                      <w:szCs w:val="20"/>
                                    </w:rPr>
                                  </w:pPr>
                                  <w:r>
                                    <w:rPr>
                                      <w:color w:val="auto"/>
                                      <w:sz w:val="20"/>
                                      <w:szCs w:val="20"/>
                                    </w:rPr>
                                    <w:t>(600)</w:t>
                                  </w:r>
                                </w:p>
                              </w:tc>
                              <w:tc>
                                <w:tcPr>
                                  <w:tcW w:w="1418" w:type="dxa"/>
                                </w:tcPr>
                                <w:p w14:paraId="4DD7C70D" w14:textId="77777777" w:rsidR="00ED6EBD" w:rsidRPr="004C0C70" w:rsidRDefault="00ED6EBD" w:rsidP="00DE16CE">
                                  <w:pPr>
                                    <w:pStyle w:val="Default"/>
                                    <w:jc w:val="right"/>
                                    <w:rPr>
                                      <w:color w:val="auto"/>
                                      <w:sz w:val="20"/>
                                      <w:szCs w:val="20"/>
                                    </w:rPr>
                                  </w:pPr>
                                  <w:r>
                                    <w:rPr>
                                      <w:color w:val="auto"/>
                                      <w:sz w:val="20"/>
                                      <w:szCs w:val="20"/>
                                    </w:rPr>
                                    <w:t>(600)</w:t>
                                  </w:r>
                                </w:p>
                              </w:tc>
                              <w:tc>
                                <w:tcPr>
                                  <w:tcW w:w="283" w:type="dxa"/>
                                </w:tcPr>
                                <w:p w14:paraId="69FC1251" w14:textId="77777777" w:rsidR="00ED6EBD" w:rsidRDefault="00ED6EBD" w:rsidP="00DE16CE">
                                  <w:pPr>
                                    <w:pStyle w:val="Default"/>
                                    <w:jc w:val="right"/>
                                    <w:rPr>
                                      <w:color w:val="auto"/>
                                      <w:sz w:val="20"/>
                                      <w:szCs w:val="20"/>
                                    </w:rPr>
                                  </w:pPr>
                                </w:p>
                              </w:tc>
                              <w:tc>
                                <w:tcPr>
                                  <w:tcW w:w="1276" w:type="dxa"/>
                                </w:tcPr>
                                <w:p w14:paraId="06578A0A" w14:textId="77777777" w:rsidR="00ED6EBD" w:rsidRDefault="00ED6EBD" w:rsidP="00DE16CE">
                                  <w:pPr>
                                    <w:pStyle w:val="Default"/>
                                    <w:jc w:val="right"/>
                                    <w:rPr>
                                      <w:color w:val="auto"/>
                                      <w:sz w:val="20"/>
                                      <w:szCs w:val="20"/>
                                    </w:rPr>
                                  </w:pPr>
                                  <w:r>
                                    <w:rPr>
                                      <w:color w:val="auto"/>
                                      <w:sz w:val="20"/>
                                      <w:szCs w:val="20"/>
                                    </w:rPr>
                                    <w:t>600</w:t>
                                  </w:r>
                                </w:p>
                              </w:tc>
                              <w:tc>
                                <w:tcPr>
                                  <w:tcW w:w="1417" w:type="dxa"/>
                                </w:tcPr>
                                <w:p w14:paraId="67576896" w14:textId="77777777" w:rsidR="00ED6EBD" w:rsidRDefault="00ED6EBD" w:rsidP="00DE16CE">
                                  <w:pPr>
                                    <w:pStyle w:val="Default"/>
                                    <w:jc w:val="right"/>
                                    <w:rPr>
                                      <w:color w:val="auto"/>
                                      <w:sz w:val="20"/>
                                      <w:szCs w:val="20"/>
                                    </w:rPr>
                                  </w:pPr>
                                  <w:r>
                                    <w:rPr>
                                      <w:color w:val="auto"/>
                                      <w:sz w:val="20"/>
                                      <w:szCs w:val="20"/>
                                    </w:rPr>
                                    <w:t>600</w:t>
                                  </w:r>
                                </w:p>
                              </w:tc>
                            </w:tr>
                            <w:tr w:rsidR="00ED6EBD" w14:paraId="54DC4E78" w14:textId="77777777" w:rsidTr="00077C03">
                              <w:tc>
                                <w:tcPr>
                                  <w:tcW w:w="3260" w:type="dxa"/>
                                </w:tcPr>
                                <w:p w14:paraId="7EA3976D" w14:textId="77777777" w:rsidR="00ED6EBD" w:rsidRPr="004C0C70" w:rsidRDefault="00ED6EBD" w:rsidP="00DE16CE">
                                  <w:pPr>
                                    <w:pStyle w:val="Default"/>
                                    <w:rPr>
                                      <w:color w:val="auto"/>
                                      <w:sz w:val="20"/>
                                      <w:szCs w:val="20"/>
                                    </w:rPr>
                                  </w:pPr>
                                  <w:r>
                                    <w:rPr>
                                      <w:color w:val="auto"/>
                                      <w:sz w:val="20"/>
                                      <w:szCs w:val="20"/>
                                    </w:rPr>
                                    <w:t>Jurisdictional taxable income</w:t>
                                  </w:r>
                                </w:p>
                              </w:tc>
                              <w:tc>
                                <w:tcPr>
                                  <w:tcW w:w="1276" w:type="dxa"/>
                                </w:tcPr>
                                <w:p w14:paraId="64F539DD" w14:textId="77777777" w:rsidR="00ED6EBD" w:rsidRPr="004C0C70" w:rsidRDefault="00ED6EBD" w:rsidP="00DE16CE">
                                  <w:pPr>
                                    <w:pStyle w:val="Default"/>
                                    <w:jc w:val="right"/>
                                    <w:rPr>
                                      <w:color w:val="auto"/>
                                      <w:sz w:val="20"/>
                                      <w:szCs w:val="20"/>
                                    </w:rPr>
                                  </w:pPr>
                                  <w:r>
                                    <w:rPr>
                                      <w:color w:val="auto"/>
                                      <w:sz w:val="20"/>
                                      <w:szCs w:val="20"/>
                                    </w:rPr>
                                    <w:t>400</w:t>
                                  </w:r>
                                </w:p>
                              </w:tc>
                              <w:tc>
                                <w:tcPr>
                                  <w:tcW w:w="1418" w:type="dxa"/>
                                </w:tcPr>
                                <w:p w14:paraId="2EB9CA7F" w14:textId="77777777" w:rsidR="00ED6EBD" w:rsidRPr="004C0C70" w:rsidRDefault="00ED6EBD" w:rsidP="00DE16CE">
                                  <w:pPr>
                                    <w:pStyle w:val="Default"/>
                                    <w:jc w:val="right"/>
                                    <w:rPr>
                                      <w:color w:val="auto"/>
                                      <w:sz w:val="20"/>
                                      <w:szCs w:val="20"/>
                                    </w:rPr>
                                  </w:pPr>
                                  <w:r>
                                    <w:rPr>
                                      <w:color w:val="auto"/>
                                      <w:sz w:val="20"/>
                                      <w:szCs w:val="20"/>
                                    </w:rPr>
                                    <w:t>400</w:t>
                                  </w:r>
                                </w:p>
                              </w:tc>
                              <w:tc>
                                <w:tcPr>
                                  <w:tcW w:w="283" w:type="dxa"/>
                                </w:tcPr>
                                <w:p w14:paraId="289A439A" w14:textId="77777777" w:rsidR="00ED6EBD" w:rsidRDefault="00ED6EBD" w:rsidP="00DE16CE">
                                  <w:pPr>
                                    <w:pStyle w:val="Default"/>
                                    <w:jc w:val="right"/>
                                    <w:rPr>
                                      <w:color w:val="auto"/>
                                      <w:sz w:val="20"/>
                                      <w:szCs w:val="20"/>
                                    </w:rPr>
                                  </w:pPr>
                                </w:p>
                              </w:tc>
                              <w:tc>
                                <w:tcPr>
                                  <w:tcW w:w="1276" w:type="dxa"/>
                                </w:tcPr>
                                <w:p w14:paraId="41204024" w14:textId="77777777" w:rsidR="00ED6EBD" w:rsidRDefault="00ED6EBD" w:rsidP="00DE16CE">
                                  <w:pPr>
                                    <w:pStyle w:val="Default"/>
                                    <w:jc w:val="right"/>
                                    <w:rPr>
                                      <w:color w:val="auto"/>
                                      <w:sz w:val="20"/>
                                      <w:szCs w:val="20"/>
                                    </w:rPr>
                                  </w:pPr>
                                  <w:r>
                                    <w:rPr>
                                      <w:color w:val="auto"/>
                                      <w:sz w:val="20"/>
                                      <w:szCs w:val="20"/>
                                    </w:rPr>
                                    <w:t>1,600</w:t>
                                  </w:r>
                                </w:p>
                              </w:tc>
                              <w:tc>
                                <w:tcPr>
                                  <w:tcW w:w="1417" w:type="dxa"/>
                                </w:tcPr>
                                <w:p w14:paraId="0D496CB7" w14:textId="77777777" w:rsidR="00ED6EBD" w:rsidRDefault="00ED6EBD" w:rsidP="00DE16CE">
                                  <w:pPr>
                                    <w:pStyle w:val="Default"/>
                                    <w:jc w:val="right"/>
                                    <w:rPr>
                                      <w:color w:val="auto"/>
                                      <w:sz w:val="20"/>
                                      <w:szCs w:val="20"/>
                                    </w:rPr>
                                  </w:pPr>
                                  <w:r>
                                    <w:rPr>
                                      <w:color w:val="auto"/>
                                      <w:sz w:val="20"/>
                                      <w:szCs w:val="20"/>
                                    </w:rPr>
                                    <w:t>1,600</w:t>
                                  </w:r>
                                </w:p>
                              </w:tc>
                            </w:tr>
                            <w:tr w:rsidR="00ED6EBD" w14:paraId="7F4FB9C6" w14:textId="77777777" w:rsidTr="00077C03">
                              <w:tc>
                                <w:tcPr>
                                  <w:tcW w:w="3260" w:type="dxa"/>
                                </w:tcPr>
                                <w:p w14:paraId="22BB2EF5" w14:textId="77777777" w:rsidR="00ED6EBD" w:rsidRPr="004C0C70" w:rsidRDefault="00ED6EBD" w:rsidP="00DE16CE">
                                  <w:pPr>
                                    <w:pStyle w:val="Default"/>
                                    <w:rPr>
                                      <w:color w:val="auto"/>
                                      <w:sz w:val="20"/>
                                      <w:szCs w:val="20"/>
                                    </w:rPr>
                                  </w:pPr>
                                  <w:r>
                                    <w:rPr>
                                      <w:color w:val="auto"/>
                                      <w:sz w:val="20"/>
                                      <w:szCs w:val="20"/>
                                    </w:rPr>
                                    <w:t>Cash taxes at 22%</w:t>
                                  </w:r>
                                </w:p>
                              </w:tc>
                              <w:tc>
                                <w:tcPr>
                                  <w:tcW w:w="1276" w:type="dxa"/>
                                </w:tcPr>
                                <w:p w14:paraId="02052CEC" w14:textId="77777777" w:rsidR="00ED6EBD" w:rsidRPr="004C0C70" w:rsidRDefault="00ED6EBD" w:rsidP="00DE16CE">
                                  <w:pPr>
                                    <w:pStyle w:val="Default"/>
                                    <w:jc w:val="right"/>
                                    <w:rPr>
                                      <w:color w:val="auto"/>
                                      <w:sz w:val="20"/>
                                      <w:szCs w:val="20"/>
                                    </w:rPr>
                                  </w:pPr>
                                  <w:r>
                                    <w:rPr>
                                      <w:color w:val="auto"/>
                                      <w:sz w:val="20"/>
                                      <w:szCs w:val="20"/>
                                    </w:rPr>
                                    <w:t>88</w:t>
                                  </w:r>
                                </w:p>
                              </w:tc>
                              <w:tc>
                                <w:tcPr>
                                  <w:tcW w:w="1418" w:type="dxa"/>
                                </w:tcPr>
                                <w:p w14:paraId="1B990AE4" w14:textId="77777777" w:rsidR="00ED6EBD" w:rsidRPr="004C0C70" w:rsidRDefault="00ED6EBD" w:rsidP="00DE16CE">
                                  <w:pPr>
                                    <w:pStyle w:val="Default"/>
                                    <w:jc w:val="right"/>
                                    <w:rPr>
                                      <w:color w:val="auto"/>
                                      <w:sz w:val="20"/>
                                      <w:szCs w:val="20"/>
                                    </w:rPr>
                                  </w:pPr>
                                  <w:r>
                                    <w:rPr>
                                      <w:color w:val="auto"/>
                                      <w:sz w:val="20"/>
                                      <w:szCs w:val="20"/>
                                    </w:rPr>
                                    <w:t>88</w:t>
                                  </w:r>
                                </w:p>
                              </w:tc>
                              <w:tc>
                                <w:tcPr>
                                  <w:tcW w:w="283" w:type="dxa"/>
                                </w:tcPr>
                                <w:p w14:paraId="5943864D" w14:textId="77777777" w:rsidR="00ED6EBD" w:rsidRDefault="00ED6EBD" w:rsidP="00DE16CE">
                                  <w:pPr>
                                    <w:pStyle w:val="Default"/>
                                    <w:jc w:val="right"/>
                                    <w:rPr>
                                      <w:color w:val="auto"/>
                                      <w:sz w:val="20"/>
                                      <w:szCs w:val="20"/>
                                    </w:rPr>
                                  </w:pPr>
                                </w:p>
                              </w:tc>
                              <w:tc>
                                <w:tcPr>
                                  <w:tcW w:w="1276" w:type="dxa"/>
                                </w:tcPr>
                                <w:p w14:paraId="0E840EAB" w14:textId="77777777" w:rsidR="00ED6EBD" w:rsidRDefault="00ED6EBD" w:rsidP="00DE16CE">
                                  <w:pPr>
                                    <w:pStyle w:val="Default"/>
                                    <w:jc w:val="right"/>
                                    <w:rPr>
                                      <w:color w:val="auto"/>
                                      <w:sz w:val="20"/>
                                      <w:szCs w:val="20"/>
                                    </w:rPr>
                                  </w:pPr>
                                  <w:r>
                                    <w:rPr>
                                      <w:color w:val="auto"/>
                                      <w:sz w:val="20"/>
                                      <w:szCs w:val="20"/>
                                    </w:rPr>
                                    <w:t>352</w:t>
                                  </w:r>
                                </w:p>
                              </w:tc>
                              <w:tc>
                                <w:tcPr>
                                  <w:tcW w:w="1417" w:type="dxa"/>
                                </w:tcPr>
                                <w:p w14:paraId="7B336FAA" w14:textId="77777777" w:rsidR="00ED6EBD" w:rsidRDefault="00ED6EBD" w:rsidP="00DE16CE">
                                  <w:pPr>
                                    <w:pStyle w:val="Default"/>
                                    <w:jc w:val="right"/>
                                    <w:rPr>
                                      <w:color w:val="auto"/>
                                      <w:sz w:val="20"/>
                                      <w:szCs w:val="20"/>
                                    </w:rPr>
                                  </w:pPr>
                                  <w:r>
                                    <w:rPr>
                                      <w:color w:val="auto"/>
                                      <w:sz w:val="20"/>
                                      <w:szCs w:val="20"/>
                                    </w:rPr>
                                    <w:t>352</w:t>
                                  </w:r>
                                </w:p>
                              </w:tc>
                            </w:tr>
                            <w:tr w:rsidR="00ED6EBD" w14:paraId="0089FE56" w14:textId="77777777" w:rsidTr="00077C03">
                              <w:tc>
                                <w:tcPr>
                                  <w:tcW w:w="3260" w:type="dxa"/>
                                </w:tcPr>
                                <w:p w14:paraId="3096EC39" w14:textId="77777777" w:rsidR="00ED6EBD" w:rsidRPr="004C0C70" w:rsidRDefault="00ED6EBD" w:rsidP="00DE16CE">
                                  <w:pPr>
                                    <w:pStyle w:val="Default"/>
                                    <w:rPr>
                                      <w:color w:val="auto"/>
                                      <w:sz w:val="20"/>
                                      <w:szCs w:val="20"/>
                                    </w:rPr>
                                  </w:pPr>
                                  <w:r>
                                    <w:rPr>
                                      <w:color w:val="auto"/>
                                      <w:sz w:val="20"/>
                                      <w:szCs w:val="20"/>
                                    </w:rPr>
                                    <w:t>Timing difference (deferred) taxes</w:t>
                                  </w:r>
                                </w:p>
                              </w:tc>
                              <w:tc>
                                <w:tcPr>
                                  <w:tcW w:w="1276" w:type="dxa"/>
                                </w:tcPr>
                                <w:p w14:paraId="28F113F6" w14:textId="77777777" w:rsidR="00ED6EBD" w:rsidRPr="004C0C70" w:rsidRDefault="00ED6EBD" w:rsidP="00DE16CE">
                                  <w:pPr>
                                    <w:pStyle w:val="Default"/>
                                    <w:jc w:val="right"/>
                                    <w:rPr>
                                      <w:color w:val="auto"/>
                                      <w:sz w:val="20"/>
                                      <w:szCs w:val="20"/>
                                    </w:rPr>
                                  </w:pPr>
                                  <w:r>
                                    <w:rPr>
                                      <w:color w:val="auto"/>
                                      <w:sz w:val="20"/>
                                      <w:szCs w:val="20"/>
                                    </w:rPr>
                                    <w:t>0</w:t>
                                  </w:r>
                                </w:p>
                              </w:tc>
                              <w:tc>
                                <w:tcPr>
                                  <w:tcW w:w="1418" w:type="dxa"/>
                                </w:tcPr>
                                <w:p w14:paraId="43978242" w14:textId="77777777" w:rsidR="00ED6EBD" w:rsidRPr="004C0C70" w:rsidRDefault="00ED6EBD" w:rsidP="00DE16CE">
                                  <w:pPr>
                                    <w:pStyle w:val="Default"/>
                                    <w:jc w:val="right"/>
                                    <w:rPr>
                                      <w:color w:val="auto"/>
                                      <w:sz w:val="20"/>
                                      <w:szCs w:val="20"/>
                                    </w:rPr>
                                  </w:pPr>
                                  <w:r>
                                    <w:rPr>
                                      <w:color w:val="auto"/>
                                      <w:sz w:val="20"/>
                                      <w:szCs w:val="20"/>
                                    </w:rPr>
                                    <w:t>132</w:t>
                                  </w:r>
                                </w:p>
                              </w:tc>
                              <w:tc>
                                <w:tcPr>
                                  <w:tcW w:w="283" w:type="dxa"/>
                                </w:tcPr>
                                <w:p w14:paraId="266CF92B" w14:textId="77777777" w:rsidR="00ED6EBD" w:rsidRDefault="00ED6EBD" w:rsidP="00DE16CE">
                                  <w:pPr>
                                    <w:pStyle w:val="Default"/>
                                    <w:jc w:val="right"/>
                                    <w:rPr>
                                      <w:color w:val="auto"/>
                                      <w:sz w:val="20"/>
                                      <w:szCs w:val="20"/>
                                    </w:rPr>
                                  </w:pPr>
                                </w:p>
                              </w:tc>
                              <w:tc>
                                <w:tcPr>
                                  <w:tcW w:w="1276" w:type="dxa"/>
                                </w:tcPr>
                                <w:p w14:paraId="3D9F9C45" w14:textId="77777777" w:rsidR="00ED6EBD" w:rsidRDefault="00ED6EBD" w:rsidP="00DE16CE">
                                  <w:pPr>
                                    <w:pStyle w:val="Default"/>
                                    <w:jc w:val="right"/>
                                    <w:rPr>
                                      <w:color w:val="auto"/>
                                      <w:sz w:val="20"/>
                                      <w:szCs w:val="20"/>
                                    </w:rPr>
                                  </w:pPr>
                                  <w:r>
                                    <w:rPr>
                                      <w:color w:val="auto"/>
                                      <w:sz w:val="20"/>
                                      <w:szCs w:val="20"/>
                                    </w:rPr>
                                    <w:t>0</w:t>
                                  </w:r>
                                </w:p>
                              </w:tc>
                              <w:tc>
                                <w:tcPr>
                                  <w:tcW w:w="1417" w:type="dxa"/>
                                </w:tcPr>
                                <w:p w14:paraId="2F3ADF01" w14:textId="77777777" w:rsidR="00ED6EBD" w:rsidRDefault="00ED6EBD" w:rsidP="00DE16CE">
                                  <w:pPr>
                                    <w:pStyle w:val="Default"/>
                                    <w:jc w:val="right"/>
                                    <w:rPr>
                                      <w:color w:val="auto"/>
                                      <w:sz w:val="20"/>
                                      <w:szCs w:val="20"/>
                                    </w:rPr>
                                  </w:pPr>
                                  <w:r>
                                    <w:rPr>
                                      <w:color w:val="auto"/>
                                      <w:sz w:val="20"/>
                                      <w:szCs w:val="20"/>
                                    </w:rPr>
                                    <w:t>(132)</w:t>
                                  </w:r>
                                </w:p>
                              </w:tc>
                            </w:tr>
                            <w:tr w:rsidR="00ED6EBD" w14:paraId="51654C20" w14:textId="77777777" w:rsidTr="00077C03">
                              <w:tc>
                                <w:tcPr>
                                  <w:tcW w:w="3260" w:type="dxa"/>
                                </w:tcPr>
                                <w:p w14:paraId="48EEDBF8" w14:textId="77777777" w:rsidR="00ED6EBD" w:rsidRDefault="00ED6EBD" w:rsidP="00DE16CE">
                                  <w:pPr>
                                    <w:pStyle w:val="Default"/>
                                    <w:rPr>
                                      <w:color w:val="auto"/>
                                      <w:sz w:val="20"/>
                                      <w:szCs w:val="20"/>
                                    </w:rPr>
                                  </w:pPr>
                                  <w:r>
                                    <w:rPr>
                                      <w:color w:val="auto"/>
                                      <w:sz w:val="20"/>
                                      <w:szCs w:val="20"/>
                                    </w:rPr>
                                    <w:t>Covered taxes</w:t>
                                  </w:r>
                                </w:p>
                              </w:tc>
                              <w:tc>
                                <w:tcPr>
                                  <w:tcW w:w="1276" w:type="dxa"/>
                                </w:tcPr>
                                <w:p w14:paraId="0E7991D0" w14:textId="77777777" w:rsidR="00ED6EBD" w:rsidRDefault="00ED6EBD" w:rsidP="00DE16CE">
                                  <w:pPr>
                                    <w:pStyle w:val="Default"/>
                                    <w:jc w:val="right"/>
                                    <w:rPr>
                                      <w:color w:val="auto"/>
                                      <w:sz w:val="20"/>
                                      <w:szCs w:val="20"/>
                                    </w:rPr>
                                  </w:pPr>
                                  <w:r>
                                    <w:rPr>
                                      <w:color w:val="auto"/>
                                      <w:sz w:val="20"/>
                                      <w:szCs w:val="20"/>
                                    </w:rPr>
                                    <w:t>88</w:t>
                                  </w:r>
                                </w:p>
                              </w:tc>
                              <w:tc>
                                <w:tcPr>
                                  <w:tcW w:w="1418" w:type="dxa"/>
                                </w:tcPr>
                                <w:p w14:paraId="68DB99E6" w14:textId="77777777" w:rsidR="00ED6EBD" w:rsidRPr="004C0C70" w:rsidRDefault="00ED6EBD" w:rsidP="00DE16CE">
                                  <w:pPr>
                                    <w:pStyle w:val="Default"/>
                                    <w:jc w:val="right"/>
                                    <w:rPr>
                                      <w:color w:val="auto"/>
                                      <w:sz w:val="20"/>
                                      <w:szCs w:val="20"/>
                                    </w:rPr>
                                  </w:pPr>
                                  <w:r>
                                    <w:rPr>
                                      <w:color w:val="auto"/>
                                      <w:sz w:val="20"/>
                                      <w:szCs w:val="20"/>
                                    </w:rPr>
                                    <w:t>220</w:t>
                                  </w:r>
                                </w:p>
                              </w:tc>
                              <w:tc>
                                <w:tcPr>
                                  <w:tcW w:w="283" w:type="dxa"/>
                                </w:tcPr>
                                <w:p w14:paraId="4BABF561" w14:textId="77777777" w:rsidR="00ED6EBD" w:rsidRDefault="00ED6EBD" w:rsidP="00DE16CE">
                                  <w:pPr>
                                    <w:pStyle w:val="Default"/>
                                    <w:jc w:val="right"/>
                                    <w:rPr>
                                      <w:color w:val="auto"/>
                                      <w:sz w:val="20"/>
                                      <w:szCs w:val="20"/>
                                    </w:rPr>
                                  </w:pPr>
                                </w:p>
                              </w:tc>
                              <w:tc>
                                <w:tcPr>
                                  <w:tcW w:w="1276" w:type="dxa"/>
                                </w:tcPr>
                                <w:p w14:paraId="1EF16880" w14:textId="77777777" w:rsidR="00ED6EBD" w:rsidRDefault="00ED6EBD" w:rsidP="00DE16CE">
                                  <w:pPr>
                                    <w:pStyle w:val="Default"/>
                                    <w:jc w:val="right"/>
                                    <w:rPr>
                                      <w:color w:val="auto"/>
                                      <w:sz w:val="20"/>
                                      <w:szCs w:val="20"/>
                                    </w:rPr>
                                  </w:pPr>
                                  <w:r>
                                    <w:rPr>
                                      <w:color w:val="auto"/>
                                      <w:sz w:val="20"/>
                                      <w:szCs w:val="20"/>
                                    </w:rPr>
                                    <w:t>352</w:t>
                                  </w:r>
                                </w:p>
                              </w:tc>
                              <w:tc>
                                <w:tcPr>
                                  <w:tcW w:w="1417" w:type="dxa"/>
                                </w:tcPr>
                                <w:p w14:paraId="2E42BD4F" w14:textId="77777777" w:rsidR="00ED6EBD" w:rsidRDefault="00ED6EBD" w:rsidP="00DE16CE">
                                  <w:pPr>
                                    <w:pStyle w:val="Default"/>
                                    <w:jc w:val="right"/>
                                    <w:rPr>
                                      <w:color w:val="auto"/>
                                      <w:sz w:val="20"/>
                                      <w:szCs w:val="20"/>
                                    </w:rPr>
                                  </w:pPr>
                                  <w:r>
                                    <w:rPr>
                                      <w:color w:val="auto"/>
                                      <w:sz w:val="20"/>
                                      <w:szCs w:val="20"/>
                                    </w:rPr>
                                    <w:t>220</w:t>
                                  </w:r>
                                </w:p>
                              </w:tc>
                            </w:tr>
                            <w:tr w:rsidR="00ED6EBD" w14:paraId="343882C5" w14:textId="77777777" w:rsidTr="00077C03">
                              <w:tc>
                                <w:tcPr>
                                  <w:tcW w:w="3260" w:type="dxa"/>
                                </w:tcPr>
                                <w:p w14:paraId="36264BF4" w14:textId="77777777" w:rsidR="00ED6EBD" w:rsidRPr="004C0C70" w:rsidRDefault="00ED6EBD" w:rsidP="00DE16CE">
                                  <w:pPr>
                                    <w:pStyle w:val="Default"/>
                                    <w:rPr>
                                      <w:color w:val="auto"/>
                                      <w:sz w:val="20"/>
                                      <w:szCs w:val="20"/>
                                    </w:rPr>
                                  </w:pPr>
                                  <w:r>
                                    <w:rPr>
                                      <w:color w:val="auto"/>
                                      <w:sz w:val="20"/>
                                      <w:szCs w:val="20"/>
                                    </w:rPr>
                                    <w:t>Pillar Two ETR</w:t>
                                  </w:r>
                                </w:p>
                              </w:tc>
                              <w:tc>
                                <w:tcPr>
                                  <w:tcW w:w="1276" w:type="dxa"/>
                                </w:tcPr>
                                <w:p w14:paraId="763CB1CB" w14:textId="77777777" w:rsidR="00ED6EBD" w:rsidRPr="004C0C70" w:rsidRDefault="00ED6EBD" w:rsidP="00DE16CE">
                                  <w:pPr>
                                    <w:pStyle w:val="Default"/>
                                    <w:jc w:val="right"/>
                                    <w:rPr>
                                      <w:color w:val="auto"/>
                                      <w:sz w:val="20"/>
                                      <w:szCs w:val="20"/>
                                    </w:rPr>
                                  </w:pPr>
                                  <w:r>
                                    <w:rPr>
                                      <w:color w:val="auto"/>
                                      <w:sz w:val="20"/>
                                      <w:szCs w:val="20"/>
                                    </w:rPr>
                                    <w:t>8.80%</w:t>
                                  </w:r>
                                </w:p>
                              </w:tc>
                              <w:tc>
                                <w:tcPr>
                                  <w:tcW w:w="1418" w:type="dxa"/>
                                </w:tcPr>
                                <w:p w14:paraId="117DB701" w14:textId="77777777" w:rsidR="00ED6EBD" w:rsidRPr="004C0C70" w:rsidRDefault="00ED6EBD" w:rsidP="00DE16CE">
                                  <w:pPr>
                                    <w:pStyle w:val="Default"/>
                                    <w:jc w:val="right"/>
                                    <w:rPr>
                                      <w:color w:val="auto"/>
                                      <w:sz w:val="20"/>
                                      <w:szCs w:val="20"/>
                                    </w:rPr>
                                  </w:pPr>
                                  <w:r>
                                    <w:rPr>
                                      <w:color w:val="auto"/>
                                      <w:sz w:val="20"/>
                                      <w:szCs w:val="20"/>
                                    </w:rPr>
                                    <w:t>22.00%</w:t>
                                  </w:r>
                                </w:p>
                              </w:tc>
                              <w:tc>
                                <w:tcPr>
                                  <w:tcW w:w="283" w:type="dxa"/>
                                </w:tcPr>
                                <w:p w14:paraId="1EE25764" w14:textId="77777777" w:rsidR="00ED6EBD" w:rsidRDefault="00ED6EBD" w:rsidP="00DE16CE">
                                  <w:pPr>
                                    <w:pStyle w:val="Default"/>
                                    <w:jc w:val="right"/>
                                    <w:rPr>
                                      <w:color w:val="auto"/>
                                      <w:sz w:val="20"/>
                                      <w:szCs w:val="20"/>
                                    </w:rPr>
                                  </w:pPr>
                                </w:p>
                              </w:tc>
                              <w:tc>
                                <w:tcPr>
                                  <w:tcW w:w="1276" w:type="dxa"/>
                                </w:tcPr>
                                <w:p w14:paraId="6C3F4961" w14:textId="77777777" w:rsidR="00ED6EBD" w:rsidRDefault="00ED6EBD" w:rsidP="00DE16CE">
                                  <w:pPr>
                                    <w:pStyle w:val="Default"/>
                                    <w:jc w:val="right"/>
                                    <w:rPr>
                                      <w:color w:val="auto"/>
                                      <w:sz w:val="20"/>
                                      <w:szCs w:val="20"/>
                                    </w:rPr>
                                  </w:pPr>
                                  <w:r>
                                    <w:rPr>
                                      <w:color w:val="auto"/>
                                      <w:sz w:val="20"/>
                                      <w:szCs w:val="20"/>
                                    </w:rPr>
                                    <w:t>35.20%</w:t>
                                  </w:r>
                                </w:p>
                              </w:tc>
                              <w:tc>
                                <w:tcPr>
                                  <w:tcW w:w="1417" w:type="dxa"/>
                                </w:tcPr>
                                <w:p w14:paraId="52EEF4F7" w14:textId="77777777" w:rsidR="00ED6EBD" w:rsidRDefault="00ED6EBD" w:rsidP="00DE16CE">
                                  <w:pPr>
                                    <w:pStyle w:val="Default"/>
                                    <w:jc w:val="right"/>
                                    <w:rPr>
                                      <w:color w:val="auto"/>
                                      <w:sz w:val="20"/>
                                      <w:szCs w:val="20"/>
                                    </w:rPr>
                                  </w:pPr>
                                  <w:r>
                                    <w:rPr>
                                      <w:color w:val="auto"/>
                                      <w:sz w:val="20"/>
                                      <w:szCs w:val="20"/>
                                    </w:rPr>
                                    <w:t>22.00%</w:t>
                                  </w:r>
                                </w:p>
                              </w:tc>
                            </w:tr>
                            <w:tr w:rsidR="00ED6EBD" w14:paraId="7876D2B9" w14:textId="77777777" w:rsidTr="00077C03">
                              <w:tc>
                                <w:tcPr>
                                  <w:tcW w:w="3260" w:type="dxa"/>
                                </w:tcPr>
                                <w:p w14:paraId="76FD8DA3" w14:textId="77777777" w:rsidR="00ED6EBD" w:rsidRPr="004C1814" w:rsidRDefault="00ED6EBD" w:rsidP="00DE16CE">
                                  <w:pPr>
                                    <w:pStyle w:val="Default"/>
                                    <w:rPr>
                                      <w:b/>
                                      <w:bCs/>
                                      <w:color w:val="auto"/>
                                      <w:sz w:val="20"/>
                                      <w:szCs w:val="20"/>
                                    </w:rPr>
                                  </w:pPr>
                                  <w:r w:rsidRPr="004C1814">
                                    <w:rPr>
                                      <w:b/>
                                      <w:bCs/>
                                      <w:color w:val="auto"/>
                                      <w:sz w:val="20"/>
                                      <w:szCs w:val="20"/>
                                    </w:rPr>
                                    <w:t>Top-up tax (12.5% min rate)</w:t>
                                  </w:r>
                                </w:p>
                              </w:tc>
                              <w:tc>
                                <w:tcPr>
                                  <w:tcW w:w="1276" w:type="dxa"/>
                                </w:tcPr>
                                <w:p w14:paraId="782FB0C1" w14:textId="77777777" w:rsidR="00ED6EBD" w:rsidRPr="004C1814" w:rsidRDefault="00ED6EBD" w:rsidP="00DE16CE">
                                  <w:pPr>
                                    <w:pStyle w:val="Default"/>
                                    <w:jc w:val="right"/>
                                    <w:rPr>
                                      <w:b/>
                                      <w:bCs/>
                                      <w:color w:val="FF0000"/>
                                      <w:sz w:val="20"/>
                                      <w:szCs w:val="20"/>
                                    </w:rPr>
                                  </w:pPr>
                                  <w:r w:rsidRPr="004C1814">
                                    <w:rPr>
                                      <w:b/>
                                      <w:bCs/>
                                      <w:color w:val="FF0000"/>
                                      <w:sz w:val="20"/>
                                      <w:szCs w:val="20"/>
                                    </w:rPr>
                                    <w:t>3.70%</w:t>
                                  </w:r>
                                </w:p>
                              </w:tc>
                              <w:tc>
                                <w:tcPr>
                                  <w:tcW w:w="1418" w:type="dxa"/>
                                </w:tcPr>
                                <w:p w14:paraId="589CD6C5" w14:textId="77777777" w:rsidR="00ED6EBD" w:rsidRPr="004C1814" w:rsidRDefault="00ED6EBD" w:rsidP="00DE16CE">
                                  <w:pPr>
                                    <w:pStyle w:val="Default"/>
                                    <w:jc w:val="right"/>
                                    <w:rPr>
                                      <w:b/>
                                      <w:bCs/>
                                      <w:color w:val="auto"/>
                                      <w:sz w:val="20"/>
                                      <w:szCs w:val="20"/>
                                    </w:rPr>
                                  </w:pPr>
                                  <w:r w:rsidRPr="004C1814">
                                    <w:rPr>
                                      <w:b/>
                                      <w:bCs/>
                                      <w:color w:val="auto"/>
                                      <w:sz w:val="20"/>
                                      <w:szCs w:val="20"/>
                                    </w:rPr>
                                    <w:t>0.00%</w:t>
                                  </w:r>
                                </w:p>
                              </w:tc>
                              <w:tc>
                                <w:tcPr>
                                  <w:tcW w:w="283" w:type="dxa"/>
                                </w:tcPr>
                                <w:p w14:paraId="13E82ABF" w14:textId="77777777" w:rsidR="00ED6EBD" w:rsidRPr="004C1814" w:rsidRDefault="00ED6EBD" w:rsidP="00DE16CE">
                                  <w:pPr>
                                    <w:pStyle w:val="Default"/>
                                    <w:jc w:val="right"/>
                                    <w:rPr>
                                      <w:b/>
                                      <w:bCs/>
                                      <w:color w:val="auto"/>
                                      <w:sz w:val="20"/>
                                      <w:szCs w:val="20"/>
                                    </w:rPr>
                                  </w:pPr>
                                </w:p>
                              </w:tc>
                              <w:tc>
                                <w:tcPr>
                                  <w:tcW w:w="1276" w:type="dxa"/>
                                </w:tcPr>
                                <w:p w14:paraId="4CBC996F" w14:textId="77777777" w:rsidR="00ED6EBD" w:rsidRPr="004C1814" w:rsidRDefault="00ED6EBD" w:rsidP="00DE16CE">
                                  <w:pPr>
                                    <w:pStyle w:val="Default"/>
                                    <w:jc w:val="right"/>
                                    <w:rPr>
                                      <w:b/>
                                      <w:bCs/>
                                      <w:color w:val="auto"/>
                                      <w:sz w:val="20"/>
                                      <w:szCs w:val="20"/>
                                    </w:rPr>
                                  </w:pPr>
                                  <w:r>
                                    <w:rPr>
                                      <w:b/>
                                      <w:bCs/>
                                      <w:color w:val="FF0000"/>
                                      <w:sz w:val="20"/>
                                      <w:szCs w:val="20"/>
                                    </w:rPr>
                                    <w:t>0.</w:t>
                                  </w:r>
                                  <w:r w:rsidRPr="004C1814">
                                    <w:rPr>
                                      <w:b/>
                                      <w:bCs/>
                                      <w:color w:val="FF0000"/>
                                      <w:sz w:val="20"/>
                                      <w:szCs w:val="20"/>
                                    </w:rPr>
                                    <w:t>0%</w:t>
                                  </w:r>
                                </w:p>
                              </w:tc>
                              <w:tc>
                                <w:tcPr>
                                  <w:tcW w:w="1417" w:type="dxa"/>
                                </w:tcPr>
                                <w:p w14:paraId="7A570C11" w14:textId="77777777" w:rsidR="00ED6EBD" w:rsidRPr="004C1814" w:rsidRDefault="00ED6EBD" w:rsidP="00DE16CE">
                                  <w:pPr>
                                    <w:pStyle w:val="Default"/>
                                    <w:jc w:val="right"/>
                                    <w:rPr>
                                      <w:b/>
                                      <w:bCs/>
                                      <w:color w:val="auto"/>
                                      <w:sz w:val="20"/>
                                      <w:szCs w:val="20"/>
                                    </w:rPr>
                                  </w:pPr>
                                  <w:r w:rsidRPr="004C1814">
                                    <w:rPr>
                                      <w:b/>
                                      <w:bCs/>
                                      <w:color w:val="auto"/>
                                      <w:sz w:val="20"/>
                                      <w:szCs w:val="20"/>
                                    </w:rPr>
                                    <w:t>0.00%</w:t>
                                  </w:r>
                                </w:p>
                              </w:tc>
                            </w:tr>
                          </w:tbl>
                          <w:p w14:paraId="017EE870" w14:textId="77777777" w:rsidR="00ED6EBD" w:rsidRPr="00451C79" w:rsidRDefault="00ED6EBD" w:rsidP="00ED6EBD">
                            <w:pPr>
                              <w:pStyle w:val="Default"/>
                              <w:ind w:left="720"/>
                              <w:rPr>
                                <w:color w:val="auto"/>
                                <w:sz w:val="18"/>
                                <w:szCs w:val="18"/>
                              </w:rPr>
                            </w:pPr>
                          </w:p>
                          <w:p w14:paraId="7CA7D372" w14:textId="77777777" w:rsidR="00ED6EBD" w:rsidRPr="00451C79" w:rsidRDefault="00ED6EBD" w:rsidP="00ED6EBD">
                            <w:pPr>
                              <w:pStyle w:val="Default"/>
                              <w:jc w:val="both"/>
                              <w:rPr>
                                <w:color w:val="auto"/>
                                <w:sz w:val="18"/>
                                <w:szCs w:val="18"/>
                              </w:rPr>
                            </w:pPr>
                            <w:r w:rsidRPr="00451C79">
                              <w:rPr>
                                <w:color w:val="auto"/>
                                <w:sz w:val="18"/>
                                <w:szCs w:val="18"/>
                              </w:rPr>
                              <w:t>Note the IIR tax credit carry</w:t>
                            </w:r>
                            <w:r>
                              <w:rPr>
                                <w:color w:val="auto"/>
                                <w:sz w:val="18"/>
                                <w:szCs w:val="18"/>
                              </w:rPr>
                              <w:t>-</w:t>
                            </w:r>
                            <w:r w:rsidRPr="00451C79">
                              <w:rPr>
                                <w:color w:val="auto"/>
                                <w:sz w:val="18"/>
                                <w:szCs w:val="18"/>
                              </w:rPr>
                              <w:t>forward or local tax carry</w:t>
                            </w:r>
                            <w:r>
                              <w:rPr>
                                <w:color w:val="auto"/>
                                <w:sz w:val="18"/>
                                <w:szCs w:val="18"/>
                              </w:rPr>
                              <w:t>-</w:t>
                            </w:r>
                            <w:r w:rsidRPr="00451C79">
                              <w:rPr>
                                <w:color w:val="auto"/>
                                <w:sz w:val="18"/>
                                <w:szCs w:val="18"/>
                              </w:rPr>
                              <w:t xml:space="preserve">forwards do not provide any benefit in this example, as there is no further Pillar </w:t>
                            </w:r>
                            <w:r>
                              <w:rPr>
                                <w:color w:val="auto"/>
                                <w:sz w:val="18"/>
                                <w:szCs w:val="18"/>
                              </w:rPr>
                              <w:t>Two</w:t>
                            </w:r>
                            <w:r w:rsidRPr="00451C79">
                              <w:rPr>
                                <w:color w:val="auto"/>
                                <w:sz w:val="18"/>
                                <w:szCs w:val="18"/>
                              </w:rPr>
                              <w:t xml:space="preserve"> IIR top-up tax liability. This therefore is a permanent additional tax.</w:t>
                            </w:r>
                          </w:p>
                          <w:p w14:paraId="4D67B68C" w14:textId="77777777" w:rsidR="00ED6EBD" w:rsidRDefault="00ED6EBD" w:rsidP="00ED6E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FDD75DF" id="Rectangle 3" o:spid="_x0000_s1026" style="width:464.85pt;height:24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" fillcolor="#4472c4 [3204]" strokecolor="#1f3763 [1604]" strokeweight="1pt">
                <v:textbox>
                  <w:txbxContent>
                    <w:p w14:paraId="55E61D0E" w14:textId="77777777" w:rsidR="00ED6EBD" w:rsidRPr="00911DC6" w:rsidRDefault="00ED6EBD" w:rsidP="00ED6EBD">
                      <w:pPr>
                        <w:pStyle w:val="Default"/>
                        <w:rPr>
                          <w:b/>
                          <w:bCs/>
                          <w:i/>
                          <w:iCs/>
                          <w:color w:val="auto"/>
                          <w:sz w:val="22"/>
                          <w:szCs w:val="22"/>
                        </w:rPr>
                      </w:pPr>
                      <w:r w:rsidRPr="00911DC6">
                        <w:rPr>
                          <w:b/>
                          <w:bCs/>
                          <w:i/>
                          <w:iCs/>
                          <w:color w:val="auto"/>
                          <w:sz w:val="22"/>
                          <w:szCs w:val="22"/>
                        </w:rPr>
                        <w:t>Example 1</w:t>
                      </w:r>
                    </w:p>
                    <w:p w14:paraId="77F58B5B" w14:textId="77777777" w:rsidR="00ED6EBD" w:rsidRDefault="00ED6EBD" w:rsidP="00ED6EBD">
                      <w:pPr>
                        <w:pStyle w:val="Default"/>
                        <w:rPr>
                          <w:color w:val="auto"/>
                          <w:sz w:val="22"/>
                          <w:szCs w:val="22"/>
                        </w:rPr>
                      </w:pPr>
                    </w:p>
                    <w:p w14:paraId="21F02A21" w14:textId="4C7047D9" w:rsidR="00ED6EBD" w:rsidRDefault="00ED6EBD" w:rsidP="00ED6EBD">
                      <w:pPr>
                        <w:pStyle w:val="Default"/>
                        <w:jc w:val="both"/>
                        <w:rPr>
                          <w:color w:val="auto"/>
                          <w:sz w:val="22"/>
                          <w:szCs w:val="22"/>
                        </w:rPr>
                      </w:pPr>
                      <w:r>
                        <w:rPr>
                          <w:color w:val="auto"/>
                          <w:sz w:val="22"/>
                          <w:szCs w:val="22"/>
                        </w:rPr>
                        <w:t xml:space="preserve">In this example, regulators in the relevant country require an additional reserve for prudence </w:t>
                      </w:r>
                      <w:r w:rsidR="008D11A3">
                        <w:rPr>
                          <w:color w:val="auto"/>
                          <w:sz w:val="22"/>
                          <w:szCs w:val="22"/>
                        </w:rPr>
                        <w:t>which reduces ta</w:t>
                      </w:r>
                      <w:r w:rsidR="00BF1245">
                        <w:rPr>
                          <w:color w:val="auto"/>
                          <w:sz w:val="22"/>
                          <w:szCs w:val="22"/>
                        </w:rPr>
                        <w:t>x</w:t>
                      </w:r>
                      <w:r w:rsidR="008D11A3">
                        <w:rPr>
                          <w:color w:val="auto"/>
                          <w:sz w:val="22"/>
                          <w:szCs w:val="22"/>
                        </w:rPr>
                        <w:t>able income in</w:t>
                      </w:r>
                      <w:r w:rsidR="00BF1245">
                        <w:rPr>
                          <w:color w:val="auto"/>
                          <w:sz w:val="22"/>
                          <w:szCs w:val="22"/>
                        </w:rPr>
                        <w:t xml:space="preserve">itially </w:t>
                      </w:r>
                      <w:r>
                        <w:rPr>
                          <w:color w:val="auto"/>
                          <w:sz w:val="22"/>
                          <w:szCs w:val="22"/>
                        </w:rPr>
                        <w:t xml:space="preserve">e.g. European insurance business:  </w:t>
                      </w:r>
                    </w:p>
                    <w:p w14:paraId="158D086F" w14:textId="77777777" w:rsidR="00ED6EBD" w:rsidRDefault="00ED6EBD" w:rsidP="00ED6EBD">
                      <w:pPr>
                        <w:pStyle w:val="Default"/>
                        <w:ind w:left="720"/>
                        <w:rPr>
                          <w:color w:val="auto"/>
                          <w:sz w:val="22"/>
                          <w:szCs w:val="22"/>
                        </w:rPr>
                      </w:pPr>
                      <w:r w:rsidDel="00603FE4">
                        <w:rPr>
                          <w:color w:val="auto"/>
                          <w:sz w:val="22"/>
                          <w:szCs w:val="22"/>
                        </w:rPr>
                        <w:t xml:space="preserve"> </w:t>
                      </w:r>
                    </w:p>
                    <w:tbl>
                      <w:tblPr>
                        <w:tblStyle w:val="Mriekatabuky"/>
                        <w:tblW w:w="8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1276"/>
                        <w:gridCol w:w="1418"/>
                        <w:gridCol w:w="283"/>
                        <w:gridCol w:w="1276"/>
                        <w:gridCol w:w="1417"/>
                      </w:tblGrid>
                      <w:tr w:rsidR="00ED6EBD" w14:paraId="446EA102" w14:textId="77777777" w:rsidTr="00077C03">
                        <w:tc>
                          <w:tcPr>
                            <w:tcW w:w="3260" w:type="dxa"/>
                          </w:tcPr>
                          <w:p w14:paraId="5E8958FF" w14:textId="77777777" w:rsidR="00ED6EBD" w:rsidRPr="004C0C70" w:rsidRDefault="00ED6EBD" w:rsidP="00DE16CE">
                            <w:pPr>
                              <w:pStyle w:val="Default"/>
                              <w:rPr>
                                <w:b/>
                                <w:bCs/>
                                <w:color w:val="auto"/>
                                <w:sz w:val="20"/>
                                <w:szCs w:val="20"/>
                              </w:rPr>
                            </w:pPr>
                            <w:r w:rsidRPr="004C0C70">
                              <w:rPr>
                                <w:b/>
                                <w:bCs/>
                                <w:color w:val="auto"/>
                                <w:sz w:val="20"/>
                                <w:szCs w:val="20"/>
                              </w:rPr>
                              <w:t>Item</w:t>
                            </w:r>
                          </w:p>
                        </w:tc>
                        <w:tc>
                          <w:tcPr>
                            <w:tcW w:w="2694" w:type="dxa"/>
                            <w:gridSpan w:val="2"/>
                          </w:tcPr>
                          <w:p w14:paraId="56282433" w14:textId="77777777" w:rsidR="00ED6EBD" w:rsidRPr="004C0C70" w:rsidRDefault="00ED6EBD" w:rsidP="00DE16CE">
                            <w:pPr>
                              <w:pStyle w:val="Default"/>
                              <w:jc w:val="center"/>
                              <w:rPr>
                                <w:b/>
                                <w:bCs/>
                                <w:color w:val="auto"/>
                                <w:sz w:val="20"/>
                                <w:szCs w:val="20"/>
                              </w:rPr>
                            </w:pPr>
                            <w:r>
                              <w:rPr>
                                <w:b/>
                                <w:bCs/>
                                <w:color w:val="auto"/>
                                <w:sz w:val="20"/>
                                <w:szCs w:val="20"/>
                              </w:rPr>
                              <w:t>Origination year</w:t>
                            </w:r>
                          </w:p>
                        </w:tc>
                        <w:tc>
                          <w:tcPr>
                            <w:tcW w:w="283" w:type="dxa"/>
                          </w:tcPr>
                          <w:p w14:paraId="5D019224" w14:textId="77777777" w:rsidR="00ED6EBD" w:rsidRPr="004C0C70" w:rsidRDefault="00ED6EBD" w:rsidP="00DE16CE">
                            <w:pPr>
                              <w:pStyle w:val="Default"/>
                              <w:jc w:val="right"/>
                              <w:rPr>
                                <w:b/>
                                <w:bCs/>
                                <w:color w:val="auto"/>
                                <w:sz w:val="20"/>
                                <w:szCs w:val="20"/>
                              </w:rPr>
                            </w:pPr>
                          </w:p>
                        </w:tc>
                        <w:tc>
                          <w:tcPr>
                            <w:tcW w:w="2693" w:type="dxa"/>
                            <w:gridSpan w:val="2"/>
                          </w:tcPr>
                          <w:p w14:paraId="20505236" w14:textId="77777777" w:rsidR="00ED6EBD" w:rsidRPr="004C0C70" w:rsidRDefault="00ED6EBD" w:rsidP="00DE16CE">
                            <w:pPr>
                              <w:pStyle w:val="Default"/>
                              <w:jc w:val="center"/>
                              <w:rPr>
                                <w:b/>
                                <w:bCs/>
                                <w:color w:val="auto"/>
                                <w:sz w:val="20"/>
                                <w:szCs w:val="20"/>
                              </w:rPr>
                            </w:pPr>
                            <w:r>
                              <w:rPr>
                                <w:b/>
                                <w:bCs/>
                                <w:color w:val="auto"/>
                                <w:sz w:val="20"/>
                                <w:szCs w:val="20"/>
                              </w:rPr>
                              <w:t>Reversing year</w:t>
                            </w:r>
                          </w:p>
                        </w:tc>
                      </w:tr>
                      <w:tr w:rsidR="00ED6EBD" w14:paraId="19C13727" w14:textId="77777777" w:rsidTr="00077C03">
                        <w:tc>
                          <w:tcPr>
                            <w:tcW w:w="3260" w:type="dxa"/>
                          </w:tcPr>
                          <w:p w14:paraId="632396D3" w14:textId="77777777" w:rsidR="00ED6EBD" w:rsidRPr="004C0C70" w:rsidRDefault="00ED6EBD" w:rsidP="00DE16CE">
                            <w:pPr>
                              <w:pStyle w:val="Default"/>
                              <w:rPr>
                                <w:b/>
                                <w:bCs/>
                                <w:color w:val="auto"/>
                                <w:sz w:val="20"/>
                                <w:szCs w:val="20"/>
                              </w:rPr>
                            </w:pPr>
                          </w:p>
                        </w:tc>
                        <w:tc>
                          <w:tcPr>
                            <w:tcW w:w="1276" w:type="dxa"/>
                          </w:tcPr>
                          <w:p w14:paraId="675E1955" w14:textId="77777777" w:rsidR="00ED6EBD" w:rsidRPr="004C0C70" w:rsidRDefault="00ED6EBD" w:rsidP="00DE16CE">
                            <w:pPr>
                              <w:pStyle w:val="Default"/>
                              <w:jc w:val="right"/>
                              <w:rPr>
                                <w:b/>
                                <w:bCs/>
                                <w:color w:val="auto"/>
                                <w:sz w:val="20"/>
                                <w:szCs w:val="20"/>
                              </w:rPr>
                            </w:pPr>
                            <w:r w:rsidRPr="004C0C70">
                              <w:rPr>
                                <w:b/>
                                <w:bCs/>
                                <w:color w:val="auto"/>
                                <w:sz w:val="20"/>
                                <w:szCs w:val="20"/>
                              </w:rPr>
                              <w:t>Current</w:t>
                            </w:r>
                            <w:r>
                              <w:rPr>
                                <w:b/>
                                <w:bCs/>
                                <w:color w:val="auto"/>
                                <w:sz w:val="20"/>
                                <w:szCs w:val="20"/>
                              </w:rPr>
                              <w:t xml:space="preserve"> IF</w:t>
                            </w:r>
                            <w:r w:rsidRPr="004C0C70">
                              <w:rPr>
                                <w:b/>
                                <w:bCs/>
                                <w:color w:val="auto"/>
                                <w:sz w:val="20"/>
                                <w:szCs w:val="20"/>
                              </w:rPr>
                              <w:t xml:space="preserve"> proposal</w:t>
                            </w:r>
                          </w:p>
                        </w:tc>
                        <w:tc>
                          <w:tcPr>
                            <w:tcW w:w="1418" w:type="dxa"/>
                          </w:tcPr>
                          <w:p w14:paraId="1FFEB550" w14:textId="3C2322E4" w:rsidR="00ED6EBD" w:rsidRPr="004C0C70" w:rsidRDefault="00ED6EBD" w:rsidP="00DE16CE">
                            <w:pPr>
                              <w:pStyle w:val="Default"/>
                              <w:jc w:val="right"/>
                              <w:rPr>
                                <w:b/>
                                <w:bCs/>
                                <w:color w:val="auto"/>
                                <w:sz w:val="20"/>
                                <w:szCs w:val="20"/>
                              </w:rPr>
                            </w:pPr>
                            <w:r w:rsidRPr="004C0C70">
                              <w:rPr>
                                <w:b/>
                                <w:bCs/>
                                <w:color w:val="auto"/>
                                <w:sz w:val="20"/>
                                <w:szCs w:val="20"/>
                              </w:rPr>
                              <w:t>Regulatory</w:t>
                            </w:r>
                            <w:r>
                              <w:rPr>
                                <w:b/>
                                <w:bCs/>
                                <w:color w:val="auto"/>
                                <w:sz w:val="20"/>
                                <w:szCs w:val="20"/>
                              </w:rPr>
                              <w:t xml:space="preserve"> / tax</w:t>
                            </w:r>
                            <w:r w:rsidRPr="004C0C70">
                              <w:rPr>
                                <w:b/>
                                <w:bCs/>
                                <w:color w:val="auto"/>
                                <w:sz w:val="20"/>
                                <w:szCs w:val="20"/>
                              </w:rPr>
                              <w:t xml:space="preserve"> basis</w:t>
                            </w:r>
                            <w:r>
                              <w:rPr>
                                <w:b/>
                                <w:bCs/>
                                <w:color w:val="auto"/>
                                <w:sz w:val="20"/>
                                <w:szCs w:val="20"/>
                              </w:rPr>
                              <w:t xml:space="preserve"> </w:t>
                            </w:r>
                          </w:p>
                        </w:tc>
                        <w:tc>
                          <w:tcPr>
                            <w:tcW w:w="283" w:type="dxa"/>
                          </w:tcPr>
                          <w:p w14:paraId="097E72F7" w14:textId="77777777" w:rsidR="00ED6EBD" w:rsidRPr="004C0C70" w:rsidRDefault="00ED6EBD" w:rsidP="00DE16CE">
                            <w:pPr>
                              <w:pStyle w:val="Default"/>
                              <w:jc w:val="right"/>
                              <w:rPr>
                                <w:b/>
                                <w:bCs/>
                                <w:color w:val="auto"/>
                                <w:sz w:val="20"/>
                                <w:szCs w:val="20"/>
                              </w:rPr>
                            </w:pPr>
                          </w:p>
                        </w:tc>
                        <w:tc>
                          <w:tcPr>
                            <w:tcW w:w="1276" w:type="dxa"/>
                          </w:tcPr>
                          <w:p w14:paraId="530D2A59" w14:textId="77777777" w:rsidR="00ED6EBD" w:rsidRPr="004C0C70" w:rsidRDefault="00ED6EBD" w:rsidP="00DE16CE">
                            <w:pPr>
                              <w:pStyle w:val="Default"/>
                              <w:jc w:val="right"/>
                              <w:rPr>
                                <w:b/>
                                <w:bCs/>
                                <w:color w:val="auto"/>
                                <w:sz w:val="20"/>
                                <w:szCs w:val="20"/>
                              </w:rPr>
                            </w:pPr>
                            <w:r w:rsidRPr="004C0C70">
                              <w:rPr>
                                <w:b/>
                                <w:bCs/>
                                <w:color w:val="auto"/>
                                <w:sz w:val="20"/>
                                <w:szCs w:val="20"/>
                              </w:rPr>
                              <w:t xml:space="preserve">Current </w:t>
                            </w:r>
                            <w:r>
                              <w:rPr>
                                <w:b/>
                                <w:bCs/>
                                <w:color w:val="auto"/>
                                <w:sz w:val="20"/>
                                <w:szCs w:val="20"/>
                              </w:rPr>
                              <w:t xml:space="preserve">IF </w:t>
                            </w:r>
                            <w:r w:rsidRPr="004C0C70">
                              <w:rPr>
                                <w:b/>
                                <w:bCs/>
                                <w:color w:val="auto"/>
                                <w:sz w:val="20"/>
                                <w:szCs w:val="20"/>
                              </w:rPr>
                              <w:t>proposal</w:t>
                            </w:r>
                          </w:p>
                        </w:tc>
                        <w:tc>
                          <w:tcPr>
                            <w:tcW w:w="1417" w:type="dxa"/>
                          </w:tcPr>
                          <w:p w14:paraId="3B1E7026" w14:textId="252E2D18" w:rsidR="00ED6EBD" w:rsidRPr="004C0C70" w:rsidRDefault="00ED6EBD" w:rsidP="00DE16CE">
                            <w:pPr>
                              <w:pStyle w:val="Default"/>
                              <w:jc w:val="right"/>
                              <w:rPr>
                                <w:b/>
                                <w:bCs/>
                                <w:color w:val="auto"/>
                                <w:sz w:val="20"/>
                                <w:szCs w:val="20"/>
                              </w:rPr>
                            </w:pPr>
                            <w:r w:rsidRPr="004C0C70">
                              <w:rPr>
                                <w:b/>
                                <w:bCs/>
                                <w:color w:val="auto"/>
                                <w:sz w:val="20"/>
                                <w:szCs w:val="20"/>
                              </w:rPr>
                              <w:t xml:space="preserve">Regulatory </w:t>
                            </w:r>
                            <w:r>
                              <w:rPr>
                                <w:b/>
                                <w:bCs/>
                                <w:color w:val="auto"/>
                                <w:sz w:val="20"/>
                                <w:szCs w:val="20"/>
                              </w:rPr>
                              <w:t xml:space="preserve">/ tax </w:t>
                            </w:r>
                            <w:r w:rsidRPr="004C0C70">
                              <w:rPr>
                                <w:b/>
                                <w:bCs/>
                                <w:color w:val="auto"/>
                                <w:sz w:val="20"/>
                                <w:szCs w:val="20"/>
                              </w:rPr>
                              <w:t>basis</w:t>
                            </w:r>
                            <w:r>
                              <w:rPr>
                                <w:b/>
                                <w:bCs/>
                                <w:color w:val="auto"/>
                                <w:sz w:val="20"/>
                                <w:szCs w:val="20"/>
                              </w:rPr>
                              <w:t xml:space="preserve"> </w:t>
                            </w:r>
                          </w:p>
                        </w:tc>
                      </w:tr>
                      <w:tr w:rsidR="00ED6EBD" w14:paraId="2E4BDF72" w14:textId="77777777" w:rsidTr="00077C03">
                        <w:tc>
                          <w:tcPr>
                            <w:tcW w:w="3260" w:type="dxa"/>
                          </w:tcPr>
                          <w:p w14:paraId="246D8260" w14:textId="77777777" w:rsidR="00ED6EBD" w:rsidRPr="004C0C70" w:rsidRDefault="00ED6EBD" w:rsidP="00DE16CE">
                            <w:pPr>
                              <w:pStyle w:val="Default"/>
                              <w:rPr>
                                <w:color w:val="auto"/>
                                <w:sz w:val="20"/>
                                <w:szCs w:val="20"/>
                              </w:rPr>
                            </w:pPr>
                            <w:r w:rsidRPr="004C0C70">
                              <w:rPr>
                                <w:color w:val="auto"/>
                                <w:sz w:val="20"/>
                                <w:szCs w:val="20"/>
                              </w:rPr>
                              <w:t>Pre-tax income – group GAAP</w:t>
                            </w:r>
                          </w:p>
                        </w:tc>
                        <w:tc>
                          <w:tcPr>
                            <w:tcW w:w="1276" w:type="dxa"/>
                          </w:tcPr>
                          <w:p w14:paraId="182F60FD" w14:textId="77777777" w:rsidR="00ED6EBD" w:rsidRPr="004C0C70" w:rsidRDefault="00ED6EBD" w:rsidP="00DE16CE">
                            <w:pPr>
                              <w:pStyle w:val="Default"/>
                              <w:jc w:val="right"/>
                              <w:rPr>
                                <w:color w:val="auto"/>
                                <w:sz w:val="20"/>
                                <w:szCs w:val="20"/>
                              </w:rPr>
                            </w:pPr>
                            <w:r>
                              <w:rPr>
                                <w:color w:val="auto"/>
                                <w:sz w:val="20"/>
                                <w:szCs w:val="20"/>
                              </w:rPr>
                              <w:t>1,000</w:t>
                            </w:r>
                          </w:p>
                        </w:tc>
                        <w:tc>
                          <w:tcPr>
                            <w:tcW w:w="1418" w:type="dxa"/>
                          </w:tcPr>
                          <w:p w14:paraId="6CA881A8" w14:textId="77777777" w:rsidR="00ED6EBD" w:rsidRPr="004C0C70" w:rsidRDefault="00ED6EBD" w:rsidP="00DE16CE">
                            <w:pPr>
                              <w:pStyle w:val="Default"/>
                              <w:jc w:val="right"/>
                              <w:rPr>
                                <w:color w:val="auto"/>
                                <w:sz w:val="20"/>
                                <w:szCs w:val="20"/>
                              </w:rPr>
                            </w:pPr>
                            <w:r>
                              <w:rPr>
                                <w:color w:val="auto"/>
                                <w:sz w:val="20"/>
                                <w:szCs w:val="20"/>
                              </w:rPr>
                              <w:t>1,000</w:t>
                            </w:r>
                          </w:p>
                        </w:tc>
                        <w:tc>
                          <w:tcPr>
                            <w:tcW w:w="283" w:type="dxa"/>
                          </w:tcPr>
                          <w:p w14:paraId="1782E945" w14:textId="77777777" w:rsidR="00ED6EBD" w:rsidRDefault="00ED6EBD" w:rsidP="00DE16CE">
                            <w:pPr>
                              <w:pStyle w:val="Default"/>
                              <w:jc w:val="right"/>
                              <w:rPr>
                                <w:color w:val="auto"/>
                                <w:sz w:val="20"/>
                                <w:szCs w:val="20"/>
                              </w:rPr>
                            </w:pPr>
                          </w:p>
                        </w:tc>
                        <w:tc>
                          <w:tcPr>
                            <w:tcW w:w="1276" w:type="dxa"/>
                          </w:tcPr>
                          <w:p w14:paraId="143BAA73" w14:textId="77777777" w:rsidR="00ED6EBD" w:rsidRDefault="00ED6EBD" w:rsidP="00DE16CE">
                            <w:pPr>
                              <w:pStyle w:val="Default"/>
                              <w:jc w:val="right"/>
                              <w:rPr>
                                <w:color w:val="auto"/>
                                <w:sz w:val="20"/>
                                <w:szCs w:val="20"/>
                              </w:rPr>
                            </w:pPr>
                            <w:r>
                              <w:rPr>
                                <w:color w:val="auto"/>
                                <w:sz w:val="20"/>
                                <w:szCs w:val="20"/>
                              </w:rPr>
                              <w:t>1,000</w:t>
                            </w:r>
                          </w:p>
                        </w:tc>
                        <w:tc>
                          <w:tcPr>
                            <w:tcW w:w="1417" w:type="dxa"/>
                          </w:tcPr>
                          <w:p w14:paraId="5006C1F6" w14:textId="77777777" w:rsidR="00ED6EBD" w:rsidRDefault="00ED6EBD" w:rsidP="00DE16CE">
                            <w:pPr>
                              <w:pStyle w:val="Default"/>
                              <w:jc w:val="right"/>
                              <w:rPr>
                                <w:color w:val="auto"/>
                                <w:sz w:val="20"/>
                                <w:szCs w:val="20"/>
                              </w:rPr>
                            </w:pPr>
                            <w:r>
                              <w:rPr>
                                <w:color w:val="auto"/>
                                <w:sz w:val="20"/>
                                <w:szCs w:val="20"/>
                              </w:rPr>
                              <w:t>1,000</w:t>
                            </w:r>
                          </w:p>
                        </w:tc>
                      </w:tr>
                      <w:tr w:rsidR="00ED6EBD" w14:paraId="1F544339" w14:textId="77777777" w:rsidTr="00077C03">
                        <w:tc>
                          <w:tcPr>
                            <w:tcW w:w="3260" w:type="dxa"/>
                          </w:tcPr>
                          <w:p w14:paraId="2FC7F387" w14:textId="77777777" w:rsidR="00ED6EBD" w:rsidRPr="004C0C70" w:rsidRDefault="00ED6EBD" w:rsidP="00DE16CE">
                            <w:pPr>
                              <w:pStyle w:val="Default"/>
                              <w:rPr>
                                <w:color w:val="auto"/>
                                <w:sz w:val="20"/>
                                <w:szCs w:val="20"/>
                              </w:rPr>
                            </w:pPr>
                            <w:r w:rsidRPr="004C0C70">
                              <w:rPr>
                                <w:color w:val="auto"/>
                                <w:sz w:val="20"/>
                                <w:szCs w:val="20"/>
                              </w:rPr>
                              <w:t xml:space="preserve">Regulatory </w:t>
                            </w:r>
                            <w:r>
                              <w:rPr>
                                <w:color w:val="auto"/>
                                <w:sz w:val="20"/>
                                <w:szCs w:val="20"/>
                              </w:rPr>
                              <w:t xml:space="preserve">&amp; </w:t>
                            </w:r>
                            <w:r w:rsidRPr="004C0C70">
                              <w:rPr>
                                <w:color w:val="auto"/>
                                <w:sz w:val="20"/>
                                <w:szCs w:val="20"/>
                              </w:rPr>
                              <w:t>tax basis adjustment</w:t>
                            </w:r>
                          </w:p>
                        </w:tc>
                        <w:tc>
                          <w:tcPr>
                            <w:tcW w:w="1276" w:type="dxa"/>
                          </w:tcPr>
                          <w:p w14:paraId="24D65717" w14:textId="77777777" w:rsidR="00ED6EBD" w:rsidRPr="004C0C70" w:rsidRDefault="00ED6EBD" w:rsidP="00DE16CE">
                            <w:pPr>
                              <w:pStyle w:val="Default"/>
                              <w:jc w:val="right"/>
                              <w:rPr>
                                <w:color w:val="auto"/>
                                <w:sz w:val="20"/>
                                <w:szCs w:val="20"/>
                              </w:rPr>
                            </w:pPr>
                            <w:r>
                              <w:rPr>
                                <w:color w:val="auto"/>
                                <w:sz w:val="20"/>
                                <w:szCs w:val="20"/>
                              </w:rPr>
                              <w:t>(600)</w:t>
                            </w:r>
                          </w:p>
                        </w:tc>
                        <w:tc>
                          <w:tcPr>
                            <w:tcW w:w="1418" w:type="dxa"/>
                          </w:tcPr>
                          <w:p w14:paraId="4DD7C70D" w14:textId="77777777" w:rsidR="00ED6EBD" w:rsidRPr="004C0C70" w:rsidRDefault="00ED6EBD" w:rsidP="00DE16CE">
                            <w:pPr>
                              <w:pStyle w:val="Default"/>
                              <w:jc w:val="right"/>
                              <w:rPr>
                                <w:color w:val="auto"/>
                                <w:sz w:val="20"/>
                                <w:szCs w:val="20"/>
                              </w:rPr>
                            </w:pPr>
                            <w:r>
                              <w:rPr>
                                <w:color w:val="auto"/>
                                <w:sz w:val="20"/>
                                <w:szCs w:val="20"/>
                              </w:rPr>
                              <w:t>(600)</w:t>
                            </w:r>
                          </w:p>
                        </w:tc>
                        <w:tc>
                          <w:tcPr>
                            <w:tcW w:w="283" w:type="dxa"/>
                          </w:tcPr>
                          <w:p w14:paraId="69FC1251" w14:textId="77777777" w:rsidR="00ED6EBD" w:rsidRDefault="00ED6EBD" w:rsidP="00DE16CE">
                            <w:pPr>
                              <w:pStyle w:val="Default"/>
                              <w:jc w:val="right"/>
                              <w:rPr>
                                <w:color w:val="auto"/>
                                <w:sz w:val="20"/>
                                <w:szCs w:val="20"/>
                              </w:rPr>
                            </w:pPr>
                          </w:p>
                        </w:tc>
                        <w:tc>
                          <w:tcPr>
                            <w:tcW w:w="1276" w:type="dxa"/>
                          </w:tcPr>
                          <w:p w14:paraId="06578A0A" w14:textId="77777777" w:rsidR="00ED6EBD" w:rsidRDefault="00ED6EBD" w:rsidP="00DE16CE">
                            <w:pPr>
                              <w:pStyle w:val="Default"/>
                              <w:jc w:val="right"/>
                              <w:rPr>
                                <w:color w:val="auto"/>
                                <w:sz w:val="20"/>
                                <w:szCs w:val="20"/>
                              </w:rPr>
                            </w:pPr>
                            <w:r>
                              <w:rPr>
                                <w:color w:val="auto"/>
                                <w:sz w:val="20"/>
                                <w:szCs w:val="20"/>
                              </w:rPr>
                              <w:t>600</w:t>
                            </w:r>
                          </w:p>
                        </w:tc>
                        <w:tc>
                          <w:tcPr>
                            <w:tcW w:w="1417" w:type="dxa"/>
                          </w:tcPr>
                          <w:p w14:paraId="67576896" w14:textId="77777777" w:rsidR="00ED6EBD" w:rsidRDefault="00ED6EBD" w:rsidP="00DE16CE">
                            <w:pPr>
                              <w:pStyle w:val="Default"/>
                              <w:jc w:val="right"/>
                              <w:rPr>
                                <w:color w:val="auto"/>
                                <w:sz w:val="20"/>
                                <w:szCs w:val="20"/>
                              </w:rPr>
                            </w:pPr>
                            <w:r>
                              <w:rPr>
                                <w:color w:val="auto"/>
                                <w:sz w:val="20"/>
                                <w:szCs w:val="20"/>
                              </w:rPr>
                              <w:t>600</w:t>
                            </w:r>
                          </w:p>
                        </w:tc>
                      </w:tr>
                      <w:tr w:rsidR="00ED6EBD" w14:paraId="54DC4E78" w14:textId="77777777" w:rsidTr="00077C03">
                        <w:tc>
                          <w:tcPr>
                            <w:tcW w:w="3260" w:type="dxa"/>
                          </w:tcPr>
                          <w:p w14:paraId="7EA3976D" w14:textId="77777777" w:rsidR="00ED6EBD" w:rsidRPr="004C0C70" w:rsidRDefault="00ED6EBD" w:rsidP="00DE16CE">
                            <w:pPr>
                              <w:pStyle w:val="Default"/>
                              <w:rPr>
                                <w:color w:val="auto"/>
                                <w:sz w:val="20"/>
                                <w:szCs w:val="20"/>
                              </w:rPr>
                            </w:pPr>
                            <w:r>
                              <w:rPr>
                                <w:color w:val="auto"/>
                                <w:sz w:val="20"/>
                                <w:szCs w:val="20"/>
                              </w:rPr>
                              <w:t>Jurisdictional taxable income</w:t>
                            </w:r>
                          </w:p>
                        </w:tc>
                        <w:tc>
                          <w:tcPr>
                            <w:tcW w:w="1276" w:type="dxa"/>
                          </w:tcPr>
                          <w:p w14:paraId="64F539DD" w14:textId="77777777" w:rsidR="00ED6EBD" w:rsidRPr="004C0C70" w:rsidRDefault="00ED6EBD" w:rsidP="00DE16CE">
                            <w:pPr>
                              <w:pStyle w:val="Default"/>
                              <w:jc w:val="right"/>
                              <w:rPr>
                                <w:color w:val="auto"/>
                                <w:sz w:val="20"/>
                                <w:szCs w:val="20"/>
                              </w:rPr>
                            </w:pPr>
                            <w:r>
                              <w:rPr>
                                <w:color w:val="auto"/>
                                <w:sz w:val="20"/>
                                <w:szCs w:val="20"/>
                              </w:rPr>
                              <w:t>400</w:t>
                            </w:r>
                          </w:p>
                        </w:tc>
                        <w:tc>
                          <w:tcPr>
                            <w:tcW w:w="1418" w:type="dxa"/>
                          </w:tcPr>
                          <w:p w14:paraId="2EB9CA7F" w14:textId="77777777" w:rsidR="00ED6EBD" w:rsidRPr="004C0C70" w:rsidRDefault="00ED6EBD" w:rsidP="00DE16CE">
                            <w:pPr>
                              <w:pStyle w:val="Default"/>
                              <w:jc w:val="right"/>
                              <w:rPr>
                                <w:color w:val="auto"/>
                                <w:sz w:val="20"/>
                                <w:szCs w:val="20"/>
                              </w:rPr>
                            </w:pPr>
                            <w:r>
                              <w:rPr>
                                <w:color w:val="auto"/>
                                <w:sz w:val="20"/>
                                <w:szCs w:val="20"/>
                              </w:rPr>
                              <w:t>400</w:t>
                            </w:r>
                          </w:p>
                        </w:tc>
                        <w:tc>
                          <w:tcPr>
                            <w:tcW w:w="283" w:type="dxa"/>
                          </w:tcPr>
                          <w:p w14:paraId="289A439A" w14:textId="77777777" w:rsidR="00ED6EBD" w:rsidRDefault="00ED6EBD" w:rsidP="00DE16CE">
                            <w:pPr>
                              <w:pStyle w:val="Default"/>
                              <w:jc w:val="right"/>
                              <w:rPr>
                                <w:color w:val="auto"/>
                                <w:sz w:val="20"/>
                                <w:szCs w:val="20"/>
                              </w:rPr>
                            </w:pPr>
                          </w:p>
                        </w:tc>
                        <w:tc>
                          <w:tcPr>
                            <w:tcW w:w="1276" w:type="dxa"/>
                          </w:tcPr>
                          <w:p w14:paraId="41204024" w14:textId="77777777" w:rsidR="00ED6EBD" w:rsidRDefault="00ED6EBD" w:rsidP="00DE16CE">
                            <w:pPr>
                              <w:pStyle w:val="Default"/>
                              <w:jc w:val="right"/>
                              <w:rPr>
                                <w:color w:val="auto"/>
                                <w:sz w:val="20"/>
                                <w:szCs w:val="20"/>
                              </w:rPr>
                            </w:pPr>
                            <w:r>
                              <w:rPr>
                                <w:color w:val="auto"/>
                                <w:sz w:val="20"/>
                                <w:szCs w:val="20"/>
                              </w:rPr>
                              <w:t>1,600</w:t>
                            </w:r>
                          </w:p>
                        </w:tc>
                        <w:tc>
                          <w:tcPr>
                            <w:tcW w:w="1417" w:type="dxa"/>
                          </w:tcPr>
                          <w:p w14:paraId="0D496CB7" w14:textId="77777777" w:rsidR="00ED6EBD" w:rsidRDefault="00ED6EBD" w:rsidP="00DE16CE">
                            <w:pPr>
                              <w:pStyle w:val="Default"/>
                              <w:jc w:val="right"/>
                              <w:rPr>
                                <w:color w:val="auto"/>
                                <w:sz w:val="20"/>
                                <w:szCs w:val="20"/>
                              </w:rPr>
                            </w:pPr>
                            <w:r>
                              <w:rPr>
                                <w:color w:val="auto"/>
                                <w:sz w:val="20"/>
                                <w:szCs w:val="20"/>
                              </w:rPr>
                              <w:t>1,600</w:t>
                            </w:r>
                          </w:p>
                        </w:tc>
                      </w:tr>
                      <w:tr w:rsidR="00ED6EBD" w14:paraId="7F4FB9C6" w14:textId="77777777" w:rsidTr="00077C03">
                        <w:tc>
                          <w:tcPr>
                            <w:tcW w:w="3260" w:type="dxa"/>
                          </w:tcPr>
                          <w:p w14:paraId="22BB2EF5" w14:textId="77777777" w:rsidR="00ED6EBD" w:rsidRPr="004C0C70" w:rsidRDefault="00ED6EBD" w:rsidP="00DE16CE">
                            <w:pPr>
                              <w:pStyle w:val="Default"/>
                              <w:rPr>
                                <w:color w:val="auto"/>
                                <w:sz w:val="20"/>
                                <w:szCs w:val="20"/>
                              </w:rPr>
                            </w:pPr>
                            <w:r>
                              <w:rPr>
                                <w:color w:val="auto"/>
                                <w:sz w:val="20"/>
                                <w:szCs w:val="20"/>
                              </w:rPr>
                              <w:t>Cash taxes at 22%</w:t>
                            </w:r>
                          </w:p>
                        </w:tc>
                        <w:tc>
                          <w:tcPr>
                            <w:tcW w:w="1276" w:type="dxa"/>
                          </w:tcPr>
                          <w:p w14:paraId="02052CEC" w14:textId="77777777" w:rsidR="00ED6EBD" w:rsidRPr="004C0C70" w:rsidRDefault="00ED6EBD" w:rsidP="00DE16CE">
                            <w:pPr>
                              <w:pStyle w:val="Default"/>
                              <w:jc w:val="right"/>
                              <w:rPr>
                                <w:color w:val="auto"/>
                                <w:sz w:val="20"/>
                                <w:szCs w:val="20"/>
                              </w:rPr>
                            </w:pPr>
                            <w:r>
                              <w:rPr>
                                <w:color w:val="auto"/>
                                <w:sz w:val="20"/>
                                <w:szCs w:val="20"/>
                              </w:rPr>
                              <w:t>88</w:t>
                            </w:r>
                          </w:p>
                        </w:tc>
                        <w:tc>
                          <w:tcPr>
                            <w:tcW w:w="1418" w:type="dxa"/>
                          </w:tcPr>
                          <w:p w14:paraId="1B990AE4" w14:textId="77777777" w:rsidR="00ED6EBD" w:rsidRPr="004C0C70" w:rsidRDefault="00ED6EBD" w:rsidP="00DE16CE">
                            <w:pPr>
                              <w:pStyle w:val="Default"/>
                              <w:jc w:val="right"/>
                              <w:rPr>
                                <w:color w:val="auto"/>
                                <w:sz w:val="20"/>
                                <w:szCs w:val="20"/>
                              </w:rPr>
                            </w:pPr>
                            <w:r>
                              <w:rPr>
                                <w:color w:val="auto"/>
                                <w:sz w:val="20"/>
                                <w:szCs w:val="20"/>
                              </w:rPr>
                              <w:t>88</w:t>
                            </w:r>
                          </w:p>
                        </w:tc>
                        <w:tc>
                          <w:tcPr>
                            <w:tcW w:w="283" w:type="dxa"/>
                          </w:tcPr>
                          <w:p w14:paraId="5943864D" w14:textId="77777777" w:rsidR="00ED6EBD" w:rsidRDefault="00ED6EBD" w:rsidP="00DE16CE">
                            <w:pPr>
                              <w:pStyle w:val="Default"/>
                              <w:jc w:val="right"/>
                              <w:rPr>
                                <w:color w:val="auto"/>
                                <w:sz w:val="20"/>
                                <w:szCs w:val="20"/>
                              </w:rPr>
                            </w:pPr>
                          </w:p>
                        </w:tc>
                        <w:tc>
                          <w:tcPr>
                            <w:tcW w:w="1276" w:type="dxa"/>
                          </w:tcPr>
                          <w:p w14:paraId="0E840EAB" w14:textId="77777777" w:rsidR="00ED6EBD" w:rsidRDefault="00ED6EBD" w:rsidP="00DE16CE">
                            <w:pPr>
                              <w:pStyle w:val="Default"/>
                              <w:jc w:val="right"/>
                              <w:rPr>
                                <w:color w:val="auto"/>
                                <w:sz w:val="20"/>
                                <w:szCs w:val="20"/>
                              </w:rPr>
                            </w:pPr>
                            <w:r>
                              <w:rPr>
                                <w:color w:val="auto"/>
                                <w:sz w:val="20"/>
                                <w:szCs w:val="20"/>
                              </w:rPr>
                              <w:t>352</w:t>
                            </w:r>
                          </w:p>
                        </w:tc>
                        <w:tc>
                          <w:tcPr>
                            <w:tcW w:w="1417" w:type="dxa"/>
                          </w:tcPr>
                          <w:p w14:paraId="7B336FAA" w14:textId="77777777" w:rsidR="00ED6EBD" w:rsidRDefault="00ED6EBD" w:rsidP="00DE16CE">
                            <w:pPr>
                              <w:pStyle w:val="Default"/>
                              <w:jc w:val="right"/>
                              <w:rPr>
                                <w:color w:val="auto"/>
                                <w:sz w:val="20"/>
                                <w:szCs w:val="20"/>
                              </w:rPr>
                            </w:pPr>
                            <w:r>
                              <w:rPr>
                                <w:color w:val="auto"/>
                                <w:sz w:val="20"/>
                                <w:szCs w:val="20"/>
                              </w:rPr>
                              <w:t>352</w:t>
                            </w:r>
                          </w:p>
                        </w:tc>
                      </w:tr>
                      <w:tr w:rsidR="00ED6EBD" w14:paraId="0089FE56" w14:textId="77777777" w:rsidTr="00077C03">
                        <w:tc>
                          <w:tcPr>
                            <w:tcW w:w="3260" w:type="dxa"/>
                          </w:tcPr>
                          <w:p w14:paraId="3096EC39" w14:textId="77777777" w:rsidR="00ED6EBD" w:rsidRPr="004C0C70" w:rsidRDefault="00ED6EBD" w:rsidP="00DE16CE">
                            <w:pPr>
                              <w:pStyle w:val="Default"/>
                              <w:rPr>
                                <w:color w:val="auto"/>
                                <w:sz w:val="20"/>
                                <w:szCs w:val="20"/>
                              </w:rPr>
                            </w:pPr>
                            <w:r>
                              <w:rPr>
                                <w:color w:val="auto"/>
                                <w:sz w:val="20"/>
                                <w:szCs w:val="20"/>
                              </w:rPr>
                              <w:t>Timing difference (deferred) taxes</w:t>
                            </w:r>
                          </w:p>
                        </w:tc>
                        <w:tc>
                          <w:tcPr>
                            <w:tcW w:w="1276" w:type="dxa"/>
                          </w:tcPr>
                          <w:p w14:paraId="28F113F6" w14:textId="77777777" w:rsidR="00ED6EBD" w:rsidRPr="004C0C70" w:rsidRDefault="00ED6EBD" w:rsidP="00DE16CE">
                            <w:pPr>
                              <w:pStyle w:val="Default"/>
                              <w:jc w:val="right"/>
                              <w:rPr>
                                <w:color w:val="auto"/>
                                <w:sz w:val="20"/>
                                <w:szCs w:val="20"/>
                              </w:rPr>
                            </w:pPr>
                            <w:r>
                              <w:rPr>
                                <w:color w:val="auto"/>
                                <w:sz w:val="20"/>
                                <w:szCs w:val="20"/>
                              </w:rPr>
                              <w:t>0</w:t>
                            </w:r>
                          </w:p>
                        </w:tc>
                        <w:tc>
                          <w:tcPr>
                            <w:tcW w:w="1418" w:type="dxa"/>
                          </w:tcPr>
                          <w:p w14:paraId="43978242" w14:textId="77777777" w:rsidR="00ED6EBD" w:rsidRPr="004C0C70" w:rsidRDefault="00ED6EBD" w:rsidP="00DE16CE">
                            <w:pPr>
                              <w:pStyle w:val="Default"/>
                              <w:jc w:val="right"/>
                              <w:rPr>
                                <w:color w:val="auto"/>
                                <w:sz w:val="20"/>
                                <w:szCs w:val="20"/>
                              </w:rPr>
                            </w:pPr>
                            <w:r>
                              <w:rPr>
                                <w:color w:val="auto"/>
                                <w:sz w:val="20"/>
                                <w:szCs w:val="20"/>
                              </w:rPr>
                              <w:t>132</w:t>
                            </w:r>
                          </w:p>
                        </w:tc>
                        <w:tc>
                          <w:tcPr>
                            <w:tcW w:w="283" w:type="dxa"/>
                          </w:tcPr>
                          <w:p w14:paraId="266CF92B" w14:textId="77777777" w:rsidR="00ED6EBD" w:rsidRDefault="00ED6EBD" w:rsidP="00DE16CE">
                            <w:pPr>
                              <w:pStyle w:val="Default"/>
                              <w:jc w:val="right"/>
                              <w:rPr>
                                <w:color w:val="auto"/>
                                <w:sz w:val="20"/>
                                <w:szCs w:val="20"/>
                              </w:rPr>
                            </w:pPr>
                          </w:p>
                        </w:tc>
                        <w:tc>
                          <w:tcPr>
                            <w:tcW w:w="1276" w:type="dxa"/>
                          </w:tcPr>
                          <w:p w14:paraId="3D9F9C45" w14:textId="77777777" w:rsidR="00ED6EBD" w:rsidRDefault="00ED6EBD" w:rsidP="00DE16CE">
                            <w:pPr>
                              <w:pStyle w:val="Default"/>
                              <w:jc w:val="right"/>
                              <w:rPr>
                                <w:color w:val="auto"/>
                                <w:sz w:val="20"/>
                                <w:szCs w:val="20"/>
                              </w:rPr>
                            </w:pPr>
                            <w:r>
                              <w:rPr>
                                <w:color w:val="auto"/>
                                <w:sz w:val="20"/>
                                <w:szCs w:val="20"/>
                              </w:rPr>
                              <w:t>0</w:t>
                            </w:r>
                          </w:p>
                        </w:tc>
                        <w:tc>
                          <w:tcPr>
                            <w:tcW w:w="1417" w:type="dxa"/>
                          </w:tcPr>
                          <w:p w14:paraId="2F3ADF01" w14:textId="77777777" w:rsidR="00ED6EBD" w:rsidRDefault="00ED6EBD" w:rsidP="00DE16CE">
                            <w:pPr>
                              <w:pStyle w:val="Default"/>
                              <w:jc w:val="right"/>
                              <w:rPr>
                                <w:color w:val="auto"/>
                                <w:sz w:val="20"/>
                                <w:szCs w:val="20"/>
                              </w:rPr>
                            </w:pPr>
                            <w:r>
                              <w:rPr>
                                <w:color w:val="auto"/>
                                <w:sz w:val="20"/>
                                <w:szCs w:val="20"/>
                              </w:rPr>
                              <w:t>(132)</w:t>
                            </w:r>
                          </w:p>
                        </w:tc>
                      </w:tr>
                      <w:tr w:rsidR="00ED6EBD" w14:paraId="51654C20" w14:textId="77777777" w:rsidTr="00077C03">
                        <w:tc>
                          <w:tcPr>
                            <w:tcW w:w="3260" w:type="dxa"/>
                          </w:tcPr>
                          <w:p w14:paraId="48EEDBF8" w14:textId="77777777" w:rsidR="00ED6EBD" w:rsidRDefault="00ED6EBD" w:rsidP="00DE16CE">
                            <w:pPr>
                              <w:pStyle w:val="Default"/>
                              <w:rPr>
                                <w:color w:val="auto"/>
                                <w:sz w:val="20"/>
                                <w:szCs w:val="20"/>
                              </w:rPr>
                            </w:pPr>
                            <w:r>
                              <w:rPr>
                                <w:color w:val="auto"/>
                                <w:sz w:val="20"/>
                                <w:szCs w:val="20"/>
                              </w:rPr>
                              <w:t>Covered taxes</w:t>
                            </w:r>
                          </w:p>
                        </w:tc>
                        <w:tc>
                          <w:tcPr>
                            <w:tcW w:w="1276" w:type="dxa"/>
                          </w:tcPr>
                          <w:p w14:paraId="0E7991D0" w14:textId="77777777" w:rsidR="00ED6EBD" w:rsidRDefault="00ED6EBD" w:rsidP="00DE16CE">
                            <w:pPr>
                              <w:pStyle w:val="Default"/>
                              <w:jc w:val="right"/>
                              <w:rPr>
                                <w:color w:val="auto"/>
                                <w:sz w:val="20"/>
                                <w:szCs w:val="20"/>
                              </w:rPr>
                            </w:pPr>
                            <w:r>
                              <w:rPr>
                                <w:color w:val="auto"/>
                                <w:sz w:val="20"/>
                                <w:szCs w:val="20"/>
                              </w:rPr>
                              <w:t>88</w:t>
                            </w:r>
                          </w:p>
                        </w:tc>
                        <w:tc>
                          <w:tcPr>
                            <w:tcW w:w="1418" w:type="dxa"/>
                          </w:tcPr>
                          <w:p w14:paraId="68DB99E6" w14:textId="77777777" w:rsidR="00ED6EBD" w:rsidRPr="004C0C70" w:rsidRDefault="00ED6EBD" w:rsidP="00DE16CE">
                            <w:pPr>
                              <w:pStyle w:val="Default"/>
                              <w:jc w:val="right"/>
                              <w:rPr>
                                <w:color w:val="auto"/>
                                <w:sz w:val="20"/>
                                <w:szCs w:val="20"/>
                              </w:rPr>
                            </w:pPr>
                            <w:r>
                              <w:rPr>
                                <w:color w:val="auto"/>
                                <w:sz w:val="20"/>
                                <w:szCs w:val="20"/>
                              </w:rPr>
                              <w:t>220</w:t>
                            </w:r>
                          </w:p>
                        </w:tc>
                        <w:tc>
                          <w:tcPr>
                            <w:tcW w:w="283" w:type="dxa"/>
                          </w:tcPr>
                          <w:p w14:paraId="4BABF561" w14:textId="77777777" w:rsidR="00ED6EBD" w:rsidRDefault="00ED6EBD" w:rsidP="00DE16CE">
                            <w:pPr>
                              <w:pStyle w:val="Default"/>
                              <w:jc w:val="right"/>
                              <w:rPr>
                                <w:color w:val="auto"/>
                                <w:sz w:val="20"/>
                                <w:szCs w:val="20"/>
                              </w:rPr>
                            </w:pPr>
                          </w:p>
                        </w:tc>
                        <w:tc>
                          <w:tcPr>
                            <w:tcW w:w="1276" w:type="dxa"/>
                          </w:tcPr>
                          <w:p w14:paraId="1EF16880" w14:textId="77777777" w:rsidR="00ED6EBD" w:rsidRDefault="00ED6EBD" w:rsidP="00DE16CE">
                            <w:pPr>
                              <w:pStyle w:val="Default"/>
                              <w:jc w:val="right"/>
                              <w:rPr>
                                <w:color w:val="auto"/>
                                <w:sz w:val="20"/>
                                <w:szCs w:val="20"/>
                              </w:rPr>
                            </w:pPr>
                            <w:r>
                              <w:rPr>
                                <w:color w:val="auto"/>
                                <w:sz w:val="20"/>
                                <w:szCs w:val="20"/>
                              </w:rPr>
                              <w:t>352</w:t>
                            </w:r>
                          </w:p>
                        </w:tc>
                        <w:tc>
                          <w:tcPr>
                            <w:tcW w:w="1417" w:type="dxa"/>
                          </w:tcPr>
                          <w:p w14:paraId="2E42BD4F" w14:textId="77777777" w:rsidR="00ED6EBD" w:rsidRDefault="00ED6EBD" w:rsidP="00DE16CE">
                            <w:pPr>
                              <w:pStyle w:val="Default"/>
                              <w:jc w:val="right"/>
                              <w:rPr>
                                <w:color w:val="auto"/>
                                <w:sz w:val="20"/>
                                <w:szCs w:val="20"/>
                              </w:rPr>
                            </w:pPr>
                            <w:r>
                              <w:rPr>
                                <w:color w:val="auto"/>
                                <w:sz w:val="20"/>
                                <w:szCs w:val="20"/>
                              </w:rPr>
                              <w:t>220</w:t>
                            </w:r>
                          </w:p>
                        </w:tc>
                      </w:tr>
                      <w:tr w:rsidR="00ED6EBD" w14:paraId="343882C5" w14:textId="77777777" w:rsidTr="00077C03">
                        <w:tc>
                          <w:tcPr>
                            <w:tcW w:w="3260" w:type="dxa"/>
                          </w:tcPr>
                          <w:p w14:paraId="36264BF4" w14:textId="77777777" w:rsidR="00ED6EBD" w:rsidRPr="004C0C70" w:rsidRDefault="00ED6EBD" w:rsidP="00DE16CE">
                            <w:pPr>
                              <w:pStyle w:val="Default"/>
                              <w:rPr>
                                <w:color w:val="auto"/>
                                <w:sz w:val="20"/>
                                <w:szCs w:val="20"/>
                              </w:rPr>
                            </w:pPr>
                            <w:r>
                              <w:rPr>
                                <w:color w:val="auto"/>
                                <w:sz w:val="20"/>
                                <w:szCs w:val="20"/>
                              </w:rPr>
                              <w:t>Pillar Two ETR</w:t>
                            </w:r>
                          </w:p>
                        </w:tc>
                        <w:tc>
                          <w:tcPr>
                            <w:tcW w:w="1276" w:type="dxa"/>
                          </w:tcPr>
                          <w:p w14:paraId="763CB1CB" w14:textId="77777777" w:rsidR="00ED6EBD" w:rsidRPr="004C0C70" w:rsidRDefault="00ED6EBD" w:rsidP="00DE16CE">
                            <w:pPr>
                              <w:pStyle w:val="Default"/>
                              <w:jc w:val="right"/>
                              <w:rPr>
                                <w:color w:val="auto"/>
                                <w:sz w:val="20"/>
                                <w:szCs w:val="20"/>
                              </w:rPr>
                            </w:pPr>
                            <w:r>
                              <w:rPr>
                                <w:color w:val="auto"/>
                                <w:sz w:val="20"/>
                                <w:szCs w:val="20"/>
                              </w:rPr>
                              <w:t>8.80%</w:t>
                            </w:r>
                          </w:p>
                        </w:tc>
                        <w:tc>
                          <w:tcPr>
                            <w:tcW w:w="1418" w:type="dxa"/>
                          </w:tcPr>
                          <w:p w14:paraId="117DB701" w14:textId="77777777" w:rsidR="00ED6EBD" w:rsidRPr="004C0C70" w:rsidRDefault="00ED6EBD" w:rsidP="00DE16CE">
                            <w:pPr>
                              <w:pStyle w:val="Default"/>
                              <w:jc w:val="right"/>
                              <w:rPr>
                                <w:color w:val="auto"/>
                                <w:sz w:val="20"/>
                                <w:szCs w:val="20"/>
                              </w:rPr>
                            </w:pPr>
                            <w:r>
                              <w:rPr>
                                <w:color w:val="auto"/>
                                <w:sz w:val="20"/>
                                <w:szCs w:val="20"/>
                              </w:rPr>
                              <w:t>22.00%</w:t>
                            </w:r>
                          </w:p>
                        </w:tc>
                        <w:tc>
                          <w:tcPr>
                            <w:tcW w:w="283" w:type="dxa"/>
                          </w:tcPr>
                          <w:p w14:paraId="1EE25764" w14:textId="77777777" w:rsidR="00ED6EBD" w:rsidRDefault="00ED6EBD" w:rsidP="00DE16CE">
                            <w:pPr>
                              <w:pStyle w:val="Default"/>
                              <w:jc w:val="right"/>
                              <w:rPr>
                                <w:color w:val="auto"/>
                                <w:sz w:val="20"/>
                                <w:szCs w:val="20"/>
                              </w:rPr>
                            </w:pPr>
                          </w:p>
                        </w:tc>
                        <w:tc>
                          <w:tcPr>
                            <w:tcW w:w="1276" w:type="dxa"/>
                          </w:tcPr>
                          <w:p w14:paraId="6C3F4961" w14:textId="77777777" w:rsidR="00ED6EBD" w:rsidRDefault="00ED6EBD" w:rsidP="00DE16CE">
                            <w:pPr>
                              <w:pStyle w:val="Default"/>
                              <w:jc w:val="right"/>
                              <w:rPr>
                                <w:color w:val="auto"/>
                                <w:sz w:val="20"/>
                                <w:szCs w:val="20"/>
                              </w:rPr>
                            </w:pPr>
                            <w:r>
                              <w:rPr>
                                <w:color w:val="auto"/>
                                <w:sz w:val="20"/>
                                <w:szCs w:val="20"/>
                              </w:rPr>
                              <w:t>35.20%</w:t>
                            </w:r>
                          </w:p>
                        </w:tc>
                        <w:tc>
                          <w:tcPr>
                            <w:tcW w:w="1417" w:type="dxa"/>
                          </w:tcPr>
                          <w:p w14:paraId="52EEF4F7" w14:textId="77777777" w:rsidR="00ED6EBD" w:rsidRDefault="00ED6EBD" w:rsidP="00DE16CE">
                            <w:pPr>
                              <w:pStyle w:val="Default"/>
                              <w:jc w:val="right"/>
                              <w:rPr>
                                <w:color w:val="auto"/>
                                <w:sz w:val="20"/>
                                <w:szCs w:val="20"/>
                              </w:rPr>
                            </w:pPr>
                            <w:r>
                              <w:rPr>
                                <w:color w:val="auto"/>
                                <w:sz w:val="20"/>
                                <w:szCs w:val="20"/>
                              </w:rPr>
                              <w:t>22.00%</w:t>
                            </w:r>
                          </w:p>
                        </w:tc>
                      </w:tr>
                      <w:tr w:rsidR="00ED6EBD" w14:paraId="7876D2B9" w14:textId="77777777" w:rsidTr="00077C03">
                        <w:tc>
                          <w:tcPr>
                            <w:tcW w:w="3260" w:type="dxa"/>
                          </w:tcPr>
                          <w:p w14:paraId="76FD8DA3" w14:textId="77777777" w:rsidR="00ED6EBD" w:rsidRPr="004C1814" w:rsidRDefault="00ED6EBD" w:rsidP="00DE16CE">
                            <w:pPr>
                              <w:pStyle w:val="Default"/>
                              <w:rPr>
                                <w:b/>
                                <w:bCs/>
                                <w:color w:val="auto"/>
                                <w:sz w:val="20"/>
                                <w:szCs w:val="20"/>
                              </w:rPr>
                            </w:pPr>
                            <w:r w:rsidRPr="004C1814">
                              <w:rPr>
                                <w:b/>
                                <w:bCs/>
                                <w:color w:val="auto"/>
                                <w:sz w:val="20"/>
                                <w:szCs w:val="20"/>
                              </w:rPr>
                              <w:t>Top-up tax (12.5% min rate)</w:t>
                            </w:r>
                          </w:p>
                        </w:tc>
                        <w:tc>
                          <w:tcPr>
                            <w:tcW w:w="1276" w:type="dxa"/>
                          </w:tcPr>
                          <w:p w14:paraId="782FB0C1" w14:textId="77777777" w:rsidR="00ED6EBD" w:rsidRPr="004C1814" w:rsidRDefault="00ED6EBD" w:rsidP="00DE16CE">
                            <w:pPr>
                              <w:pStyle w:val="Default"/>
                              <w:jc w:val="right"/>
                              <w:rPr>
                                <w:b/>
                                <w:bCs/>
                                <w:color w:val="FF0000"/>
                                <w:sz w:val="20"/>
                                <w:szCs w:val="20"/>
                              </w:rPr>
                            </w:pPr>
                            <w:r w:rsidRPr="004C1814">
                              <w:rPr>
                                <w:b/>
                                <w:bCs/>
                                <w:color w:val="FF0000"/>
                                <w:sz w:val="20"/>
                                <w:szCs w:val="20"/>
                              </w:rPr>
                              <w:t>3.70%</w:t>
                            </w:r>
                          </w:p>
                        </w:tc>
                        <w:tc>
                          <w:tcPr>
                            <w:tcW w:w="1418" w:type="dxa"/>
                          </w:tcPr>
                          <w:p w14:paraId="589CD6C5" w14:textId="77777777" w:rsidR="00ED6EBD" w:rsidRPr="004C1814" w:rsidRDefault="00ED6EBD" w:rsidP="00DE16CE">
                            <w:pPr>
                              <w:pStyle w:val="Default"/>
                              <w:jc w:val="right"/>
                              <w:rPr>
                                <w:b/>
                                <w:bCs/>
                                <w:color w:val="auto"/>
                                <w:sz w:val="20"/>
                                <w:szCs w:val="20"/>
                              </w:rPr>
                            </w:pPr>
                            <w:r w:rsidRPr="004C1814">
                              <w:rPr>
                                <w:b/>
                                <w:bCs/>
                                <w:color w:val="auto"/>
                                <w:sz w:val="20"/>
                                <w:szCs w:val="20"/>
                              </w:rPr>
                              <w:t>0.00%</w:t>
                            </w:r>
                          </w:p>
                        </w:tc>
                        <w:tc>
                          <w:tcPr>
                            <w:tcW w:w="283" w:type="dxa"/>
                          </w:tcPr>
                          <w:p w14:paraId="13E82ABF" w14:textId="77777777" w:rsidR="00ED6EBD" w:rsidRPr="004C1814" w:rsidRDefault="00ED6EBD" w:rsidP="00DE16CE">
                            <w:pPr>
                              <w:pStyle w:val="Default"/>
                              <w:jc w:val="right"/>
                              <w:rPr>
                                <w:b/>
                                <w:bCs/>
                                <w:color w:val="auto"/>
                                <w:sz w:val="20"/>
                                <w:szCs w:val="20"/>
                              </w:rPr>
                            </w:pPr>
                          </w:p>
                        </w:tc>
                        <w:tc>
                          <w:tcPr>
                            <w:tcW w:w="1276" w:type="dxa"/>
                          </w:tcPr>
                          <w:p w14:paraId="4CBC996F" w14:textId="77777777" w:rsidR="00ED6EBD" w:rsidRPr="004C1814" w:rsidRDefault="00ED6EBD" w:rsidP="00DE16CE">
                            <w:pPr>
                              <w:pStyle w:val="Default"/>
                              <w:jc w:val="right"/>
                              <w:rPr>
                                <w:b/>
                                <w:bCs/>
                                <w:color w:val="auto"/>
                                <w:sz w:val="20"/>
                                <w:szCs w:val="20"/>
                              </w:rPr>
                            </w:pPr>
                            <w:r>
                              <w:rPr>
                                <w:b/>
                                <w:bCs/>
                                <w:color w:val="FF0000"/>
                                <w:sz w:val="20"/>
                                <w:szCs w:val="20"/>
                              </w:rPr>
                              <w:t>0.</w:t>
                            </w:r>
                            <w:r w:rsidRPr="004C1814">
                              <w:rPr>
                                <w:b/>
                                <w:bCs/>
                                <w:color w:val="FF0000"/>
                                <w:sz w:val="20"/>
                                <w:szCs w:val="20"/>
                              </w:rPr>
                              <w:t>0%</w:t>
                            </w:r>
                          </w:p>
                        </w:tc>
                        <w:tc>
                          <w:tcPr>
                            <w:tcW w:w="1417" w:type="dxa"/>
                          </w:tcPr>
                          <w:p w14:paraId="7A570C11" w14:textId="77777777" w:rsidR="00ED6EBD" w:rsidRPr="004C1814" w:rsidRDefault="00ED6EBD" w:rsidP="00DE16CE">
                            <w:pPr>
                              <w:pStyle w:val="Default"/>
                              <w:jc w:val="right"/>
                              <w:rPr>
                                <w:b/>
                                <w:bCs/>
                                <w:color w:val="auto"/>
                                <w:sz w:val="20"/>
                                <w:szCs w:val="20"/>
                              </w:rPr>
                            </w:pPr>
                            <w:r w:rsidRPr="004C1814">
                              <w:rPr>
                                <w:b/>
                                <w:bCs/>
                                <w:color w:val="auto"/>
                                <w:sz w:val="20"/>
                                <w:szCs w:val="20"/>
                              </w:rPr>
                              <w:t>0.00%</w:t>
                            </w:r>
                          </w:p>
                        </w:tc>
                      </w:tr>
                    </w:tbl>
                    <w:p w14:paraId="017EE870" w14:textId="77777777" w:rsidR="00ED6EBD" w:rsidRPr="00451C79" w:rsidRDefault="00ED6EBD" w:rsidP="00ED6EBD">
                      <w:pPr>
                        <w:pStyle w:val="Default"/>
                        <w:ind w:left="720"/>
                        <w:rPr>
                          <w:color w:val="auto"/>
                          <w:sz w:val="18"/>
                          <w:szCs w:val="18"/>
                        </w:rPr>
                      </w:pPr>
                    </w:p>
                    <w:p w14:paraId="7CA7D372" w14:textId="77777777" w:rsidR="00ED6EBD" w:rsidRPr="00451C79" w:rsidRDefault="00ED6EBD" w:rsidP="00ED6EBD">
                      <w:pPr>
                        <w:pStyle w:val="Default"/>
                        <w:jc w:val="both"/>
                        <w:rPr>
                          <w:color w:val="auto"/>
                          <w:sz w:val="18"/>
                          <w:szCs w:val="18"/>
                        </w:rPr>
                      </w:pPr>
                      <w:r w:rsidRPr="00451C79">
                        <w:rPr>
                          <w:color w:val="auto"/>
                          <w:sz w:val="18"/>
                          <w:szCs w:val="18"/>
                        </w:rPr>
                        <w:t>Note the IIR tax credit carry</w:t>
                      </w:r>
                      <w:r>
                        <w:rPr>
                          <w:color w:val="auto"/>
                          <w:sz w:val="18"/>
                          <w:szCs w:val="18"/>
                        </w:rPr>
                        <w:t>-</w:t>
                      </w:r>
                      <w:r w:rsidRPr="00451C79">
                        <w:rPr>
                          <w:color w:val="auto"/>
                          <w:sz w:val="18"/>
                          <w:szCs w:val="18"/>
                        </w:rPr>
                        <w:t>forward or local tax carry</w:t>
                      </w:r>
                      <w:r>
                        <w:rPr>
                          <w:color w:val="auto"/>
                          <w:sz w:val="18"/>
                          <w:szCs w:val="18"/>
                        </w:rPr>
                        <w:t>-</w:t>
                      </w:r>
                      <w:r w:rsidRPr="00451C79">
                        <w:rPr>
                          <w:color w:val="auto"/>
                          <w:sz w:val="18"/>
                          <w:szCs w:val="18"/>
                        </w:rPr>
                        <w:t xml:space="preserve">forwards do not provide any benefit in this example, as there is no further Pillar </w:t>
                      </w:r>
                      <w:r>
                        <w:rPr>
                          <w:color w:val="auto"/>
                          <w:sz w:val="18"/>
                          <w:szCs w:val="18"/>
                        </w:rPr>
                        <w:t>Two</w:t>
                      </w:r>
                      <w:r w:rsidRPr="00451C79">
                        <w:rPr>
                          <w:color w:val="auto"/>
                          <w:sz w:val="18"/>
                          <w:szCs w:val="18"/>
                        </w:rPr>
                        <w:t xml:space="preserve"> IIR top-up tax liability. This therefore is a permanent additional tax.</w:t>
                      </w:r>
                    </w:p>
                    <w:p w14:paraId="4D67B68C" w14:textId="77777777" w:rsidR="00ED6EBD" w:rsidRDefault="00ED6EBD" w:rsidP="00ED6EBD">
                      <w:pPr>
                        <w:jc w:val="center"/>
                      </w:pPr>
                    </w:p>
                  </w:txbxContent>
                </v:textbox>
                <w10:anchorlock/>
              </v:rect>
            </w:pict>
          </mc:Fallback>
        </mc:AlternateContent>
      </w:r>
    </w:p>
    <w:p w14:paraId="05EDA645" w14:textId="634964EF" w:rsidR="00347449" w:rsidRPr="00347449" w:rsidRDefault="00ED6EBD" w:rsidP="00077C03">
      <w:pPr>
        <w:pStyle w:val="Default"/>
        <w:spacing w:after="120"/>
        <w:jc w:val="both"/>
        <w:rPr>
          <w:b/>
          <w:bCs/>
          <w:i/>
          <w:iCs/>
          <w:color w:val="auto"/>
          <w:sz w:val="22"/>
          <w:szCs w:val="22"/>
        </w:rPr>
      </w:pPr>
      <w:r>
        <w:rPr>
          <w:noProof/>
        </w:rPr>
        <mc:AlternateContent>
          <mc:Choice Requires="wps">
            <w:drawing>
              <wp:inline distT="0" distB="0" distL="0" distR="0" wp14:anchorId="3305C838" wp14:editId="4F864231">
                <wp:extent cx="5947258" cy="3306470"/>
                <wp:effectExtent l="0" t="0" r="15875" b="27305"/>
                <wp:docPr id="4" name="Rectangle 4"/>
                <wp:cNvGraphicFramePr/>
                <a:graphic xmlns:a="http://schemas.openxmlformats.org/drawingml/2006/main">
                  <a:graphicData uri="http://schemas.microsoft.com/office/word/2010/wordprocessingShape">
                    <wps:wsp>
                      <wps:cNvSpPr/>
                      <wps:spPr>
                        <a:xfrm>
                          <a:off x="0" y="0"/>
                          <a:ext cx="5947258" cy="33064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B4E7BE8" w14:textId="77777777" w:rsidR="00ED6EBD" w:rsidRPr="00911DC6" w:rsidRDefault="00ED6EBD" w:rsidP="00ED6EBD">
                            <w:pPr>
                              <w:pStyle w:val="Default"/>
                              <w:rPr>
                                <w:b/>
                                <w:bCs/>
                                <w:i/>
                                <w:iCs/>
                                <w:color w:val="auto"/>
                                <w:sz w:val="22"/>
                                <w:szCs w:val="22"/>
                              </w:rPr>
                            </w:pPr>
                            <w:r w:rsidRPr="00911DC6">
                              <w:rPr>
                                <w:b/>
                                <w:bCs/>
                                <w:i/>
                                <w:iCs/>
                                <w:color w:val="auto"/>
                                <w:sz w:val="22"/>
                                <w:szCs w:val="22"/>
                              </w:rPr>
                              <w:t>Example 2</w:t>
                            </w:r>
                          </w:p>
                          <w:p w14:paraId="5CF42AA7" w14:textId="77777777" w:rsidR="00ED6EBD" w:rsidRDefault="00ED6EBD" w:rsidP="00ED6EBD">
                            <w:pPr>
                              <w:pStyle w:val="Default"/>
                              <w:rPr>
                                <w:color w:val="auto"/>
                                <w:sz w:val="22"/>
                                <w:szCs w:val="22"/>
                              </w:rPr>
                            </w:pPr>
                          </w:p>
                          <w:p w14:paraId="1E152B6D" w14:textId="77777777" w:rsidR="00ED6EBD" w:rsidRDefault="00ED6EBD" w:rsidP="00ED6EBD">
                            <w:pPr>
                              <w:pStyle w:val="Default"/>
                              <w:jc w:val="both"/>
                              <w:rPr>
                                <w:color w:val="auto"/>
                                <w:sz w:val="22"/>
                                <w:szCs w:val="22"/>
                              </w:rPr>
                            </w:pPr>
                            <w:r>
                              <w:rPr>
                                <w:color w:val="auto"/>
                                <w:sz w:val="22"/>
                                <w:szCs w:val="22"/>
                              </w:rPr>
                              <w:t>In this example, the regulatory / tax reserves are lower than the accounting reserves so the taxable profit in the originating year is higher than the accounting profit e.g. US general insurance business:</w:t>
                            </w:r>
                          </w:p>
                          <w:p w14:paraId="2D2FB783" w14:textId="77777777" w:rsidR="00ED6EBD" w:rsidRDefault="00ED6EBD" w:rsidP="00ED6EBD">
                            <w:pPr>
                              <w:pStyle w:val="Default"/>
                              <w:rPr>
                                <w:color w:val="auto"/>
                                <w:sz w:val="22"/>
                                <w:szCs w:val="22"/>
                              </w:rPr>
                            </w:pPr>
                          </w:p>
                          <w:tbl>
                            <w:tblPr>
                              <w:tblStyle w:val="Mriekatabuky"/>
                              <w:tblW w:w="8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1276"/>
                              <w:gridCol w:w="1418"/>
                              <w:gridCol w:w="283"/>
                              <w:gridCol w:w="1276"/>
                              <w:gridCol w:w="1417"/>
                            </w:tblGrid>
                            <w:tr w:rsidR="00ED6EBD" w14:paraId="041C64D2" w14:textId="77777777" w:rsidTr="005127F7">
                              <w:tc>
                                <w:tcPr>
                                  <w:tcW w:w="3260" w:type="dxa"/>
                                </w:tcPr>
                                <w:p w14:paraId="1A9FD7F0" w14:textId="77777777" w:rsidR="00ED6EBD" w:rsidRPr="004C0C70" w:rsidRDefault="00ED6EBD" w:rsidP="00ED6EBD">
                                  <w:pPr>
                                    <w:pStyle w:val="Default"/>
                                    <w:rPr>
                                      <w:b/>
                                      <w:bCs/>
                                      <w:color w:val="auto"/>
                                      <w:sz w:val="20"/>
                                      <w:szCs w:val="20"/>
                                    </w:rPr>
                                  </w:pPr>
                                  <w:r w:rsidRPr="004C0C70">
                                    <w:rPr>
                                      <w:b/>
                                      <w:bCs/>
                                      <w:color w:val="auto"/>
                                      <w:sz w:val="20"/>
                                      <w:szCs w:val="20"/>
                                    </w:rPr>
                                    <w:t>Item</w:t>
                                  </w:r>
                                </w:p>
                              </w:tc>
                              <w:tc>
                                <w:tcPr>
                                  <w:tcW w:w="2694" w:type="dxa"/>
                                  <w:gridSpan w:val="2"/>
                                </w:tcPr>
                                <w:p w14:paraId="012BC046" w14:textId="77777777" w:rsidR="00ED6EBD" w:rsidRPr="004C0C70" w:rsidRDefault="00ED6EBD" w:rsidP="00ED6EBD">
                                  <w:pPr>
                                    <w:pStyle w:val="Default"/>
                                    <w:jc w:val="center"/>
                                    <w:rPr>
                                      <w:b/>
                                      <w:bCs/>
                                      <w:color w:val="auto"/>
                                      <w:sz w:val="20"/>
                                      <w:szCs w:val="20"/>
                                    </w:rPr>
                                  </w:pPr>
                                  <w:r>
                                    <w:rPr>
                                      <w:b/>
                                      <w:bCs/>
                                      <w:color w:val="auto"/>
                                      <w:sz w:val="20"/>
                                      <w:szCs w:val="20"/>
                                    </w:rPr>
                                    <w:t>Origination year</w:t>
                                  </w:r>
                                </w:p>
                              </w:tc>
                              <w:tc>
                                <w:tcPr>
                                  <w:tcW w:w="283" w:type="dxa"/>
                                </w:tcPr>
                                <w:p w14:paraId="067BE5BF" w14:textId="77777777" w:rsidR="00ED6EBD" w:rsidRPr="004C0C70" w:rsidRDefault="00ED6EBD" w:rsidP="00ED6EBD">
                                  <w:pPr>
                                    <w:pStyle w:val="Default"/>
                                    <w:jc w:val="right"/>
                                    <w:rPr>
                                      <w:b/>
                                      <w:bCs/>
                                      <w:color w:val="auto"/>
                                      <w:sz w:val="20"/>
                                      <w:szCs w:val="20"/>
                                    </w:rPr>
                                  </w:pPr>
                                </w:p>
                              </w:tc>
                              <w:tc>
                                <w:tcPr>
                                  <w:tcW w:w="2693" w:type="dxa"/>
                                  <w:gridSpan w:val="2"/>
                                </w:tcPr>
                                <w:p w14:paraId="5A297939" w14:textId="77777777" w:rsidR="00ED6EBD" w:rsidRPr="004C0C70" w:rsidRDefault="00ED6EBD" w:rsidP="00ED6EBD">
                                  <w:pPr>
                                    <w:pStyle w:val="Default"/>
                                    <w:jc w:val="center"/>
                                    <w:rPr>
                                      <w:b/>
                                      <w:bCs/>
                                      <w:color w:val="auto"/>
                                      <w:sz w:val="20"/>
                                      <w:szCs w:val="20"/>
                                    </w:rPr>
                                  </w:pPr>
                                  <w:r>
                                    <w:rPr>
                                      <w:b/>
                                      <w:bCs/>
                                      <w:color w:val="auto"/>
                                      <w:sz w:val="20"/>
                                      <w:szCs w:val="20"/>
                                    </w:rPr>
                                    <w:t>Reversing year</w:t>
                                  </w:r>
                                </w:p>
                              </w:tc>
                            </w:tr>
                            <w:tr w:rsidR="00ED6EBD" w14:paraId="0C626410" w14:textId="77777777" w:rsidTr="00077C03">
                              <w:tc>
                                <w:tcPr>
                                  <w:tcW w:w="3260" w:type="dxa"/>
                                </w:tcPr>
                                <w:p w14:paraId="50549019" w14:textId="77777777" w:rsidR="00ED6EBD" w:rsidRPr="004C0C70" w:rsidRDefault="00ED6EBD" w:rsidP="00ED6EBD">
                                  <w:pPr>
                                    <w:pStyle w:val="Default"/>
                                    <w:rPr>
                                      <w:b/>
                                      <w:bCs/>
                                      <w:color w:val="auto"/>
                                      <w:sz w:val="20"/>
                                      <w:szCs w:val="20"/>
                                    </w:rPr>
                                  </w:pPr>
                                </w:p>
                              </w:tc>
                              <w:tc>
                                <w:tcPr>
                                  <w:tcW w:w="1276" w:type="dxa"/>
                                </w:tcPr>
                                <w:p w14:paraId="5728F7AE" w14:textId="77777777" w:rsidR="00ED6EBD" w:rsidRPr="004C0C70" w:rsidRDefault="00ED6EBD" w:rsidP="00ED6EBD">
                                  <w:pPr>
                                    <w:pStyle w:val="Default"/>
                                    <w:jc w:val="right"/>
                                    <w:rPr>
                                      <w:b/>
                                      <w:bCs/>
                                      <w:color w:val="auto"/>
                                      <w:sz w:val="20"/>
                                      <w:szCs w:val="20"/>
                                    </w:rPr>
                                  </w:pPr>
                                  <w:r w:rsidRPr="004C0C70">
                                    <w:rPr>
                                      <w:b/>
                                      <w:bCs/>
                                      <w:color w:val="auto"/>
                                      <w:sz w:val="20"/>
                                      <w:szCs w:val="20"/>
                                    </w:rPr>
                                    <w:t>Current</w:t>
                                  </w:r>
                                  <w:r>
                                    <w:rPr>
                                      <w:b/>
                                      <w:bCs/>
                                      <w:color w:val="auto"/>
                                      <w:sz w:val="20"/>
                                      <w:szCs w:val="20"/>
                                    </w:rPr>
                                    <w:t xml:space="preserve"> IF</w:t>
                                  </w:r>
                                  <w:r w:rsidRPr="004C0C70">
                                    <w:rPr>
                                      <w:b/>
                                      <w:bCs/>
                                      <w:color w:val="auto"/>
                                      <w:sz w:val="20"/>
                                      <w:szCs w:val="20"/>
                                    </w:rPr>
                                    <w:t xml:space="preserve"> proposal</w:t>
                                  </w:r>
                                </w:p>
                              </w:tc>
                              <w:tc>
                                <w:tcPr>
                                  <w:tcW w:w="1418" w:type="dxa"/>
                                </w:tcPr>
                                <w:p w14:paraId="59B2BDEE" w14:textId="77777777" w:rsidR="00ED6EBD" w:rsidRPr="004C0C70" w:rsidRDefault="00ED6EBD" w:rsidP="00ED6EBD">
                                  <w:pPr>
                                    <w:pStyle w:val="Default"/>
                                    <w:jc w:val="right"/>
                                    <w:rPr>
                                      <w:b/>
                                      <w:bCs/>
                                      <w:color w:val="auto"/>
                                      <w:sz w:val="20"/>
                                      <w:szCs w:val="20"/>
                                    </w:rPr>
                                  </w:pPr>
                                  <w:r w:rsidRPr="004C0C70">
                                    <w:rPr>
                                      <w:b/>
                                      <w:bCs/>
                                      <w:color w:val="auto"/>
                                      <w:sz w:val="20"/>
                                      <w:szCs w:val="20"/>
                                    </w:rPr>
                                    <w:t xml:space="preserve">Regulatory </w:t>
                                  </w:r>
                                  <w:r>
                                    <w:rPr>
                                      <w:b/>
                                      <w:bCs/>
                                      <w:color w:val="auto"/>
                                      <w:sz w:val="20"/>
                                      <w:szCs w:val="20"/>
                                    </w:rPr>
                                    <w:t xml:space="preserve">&amp; tax </w:t>
                                  </w:r>
                                  <w:r w:rsidRPr="004C0C70">
                                    <w:rPr>
                                      <w:b/>
                                      <w:bCs/>
                                      <w:color w:val="auto"/>
                                      <w:sz w:val="20"/>
                                      <w:szCs w:val="20"/>
                                    </w:rPr>
                                    <w:t>basis</w:t>
                                  </w:r>
                                </w:p>
                              </w:tc>
                              <w:tc>
                                <w:tcPr>
                                  <w:tcW w:w="283" w:type="dxa"/>
                                </w:tcPr>
                                <w:p w14:paraId="392D26A2" w14:textId="77777777" w:rsidR="00ED6EBD" w:rsidRPr="004C0C70" w:rsidRDefault="00ED6EBD" w:rsidP="00ED6EBD">
                                  <w:pPr>
                                    <w:pStyle w:val="Default"/>
                                    <w:jc w:val="right"/>
                                    <w:rPr>
                                      <w:b/>
                                      <w:bCs/>
                                      <w:color w:val="auto"/>
                                      <w:sz w:val="20"/>
                                      <w:szCs w:val="20"/>
                                    </w:rPr>
                                  </w:pPr>
                                </w:p>
                              </w:tc>
                              <w:tc>
                                <w:tcPr>
                                  <w:tcW w:w="1276" w:type="dxa"/>
                                </w:tcPr>
                                <w:p w14:paraId="142FE028" w14:textId="77777777" w:rsidR="00ED6EBD" w:rsidRPr="004C0C70" w:rsidRDefault="00ED6EBD" w:rsidP="00ED6EBD">
                                  <w:pPr>
                                    <w:pStyle w:val="Default"/>
                                    <w:jc w:val="right"/>
                                    <w:rPr>
                                      <w:b/>
                                      <w:bCs/>
                                      <w:color w:val="auto"/>
                                      <w:sz w:val="20"/>
                                      <w:szCs w:val="20"/>
                                    </w:rPr>
                                  </w:pPr>
                                  <w:r w:rsidRPr="004C0C70">
                                    <w:rPr>
                                      <w:b/>
                                      <w:bCs/>
                                      <w:color w:val="auto"/>
                                      <w:sz w:val="20"/>
                                      <w:szCs w:val="20"/>
                                    </w:rPr>
                                    <w:t xml:space="preserve">Current </w:t>
                                  </w:r>
                                  <w:r>
                                    <w:rPr>
                                      <w:b/>
                                      <w:bCs/>
                                      <w:color w:val="auto"/>
                                      <w:sz w:val="20"/>
                                      <w:szCs w:val="20"/>
                                    </w:rPr>
                                    <w:t xml:space="preserve">IF </w:t>
                                  </w:r>
                                  <w:r w:rsidRPr="004C0C70">
                                    <w:rPr>
                                      <w:b/>
                                      <w:bCs/>
                                      <w:color w:val="auto"/>
                                      <w:sz w:val="20"/>
                                      <w:szCs w:val="20"/>
                                    </w:rPr>
                                    <w:t>proposal</w:t>
                                  </w:r>
                                </w:p>
                              </w:tc>
                              <w:tc>
                                <w:tcPr>
                                  <w:tcW w:w="1417" w:type="dxa"/>
                                </w:tcPr>
                                <w:p w14:paraId="0BB72711" w14:textId="77777777" w:rsidR="00ED6EBD" w:rsidRPr="004C0C70" w:rsidRDefault="00ED6EBD" w:rsidP="00ED6EBD">
                                  <w:pPr>
                                    <w:pStyle w:val="Default"/>
                                    <w:jc w:val="right"/>
                                    <w:rPr>
                                      <w:b/>
                                      <w:bCs/>
                                      <w:color w:val="auto"/>
                                      <w:sz w:val="20"/>
                                      <w:szCs w:val="20"/>
                                    </w:rPr>
                                  </w:pPr>
                                  <w:r w:rsidRPr="004C0C70">
                                    <w:rPr>
                                      <w:b/>
                                      <w:bCs/>
                                      <w:color w:val="auto"/>
                                      <w:sz w:val="20"/>
                                      <w:szCs w:val="20"/>
                                    </w:rPr>
                                    <w:t>Regulatory</w:t>
                                  </w:r>
                                  <w:r>
                                    <w:rPr>
                                      <w:b/>
                                      <w:bCs/>
                                      <w:color w:val="auto"/>
                                      <w:sz w:val="20"/>
                                      <w:szCs w:val="20"/>
                                    </w:rPr>
                                    <w:t xml:space="preserve"> &amp; tax</w:t>
                                  </w:r>
                                  <w:r w:rsidRPr="004C0C70">
                                    <w:rPr>
                                      <w:b/>
                                      <w:bCs/>
                                      <w:color w:val="auto"/>
                                      <w:sz w:val="20"/>
                                      <w:szCs w:val="20"/>
                                    </w:rPr>
                                    <w:t xml:space="preserve"> basis</w:t>
                                  </w:r>
                                </w:p>
                              </w:tc>
                            </w:tr>
                            <w:tr w:rsidR="00ED6EBD" w14:paraId="020904E0" w14:textId="77777777" w:rsidTr="00077C03">
                              <w:tc>
                                <w:tcPr>
                                  <w:tcW w:w="3260" w:type="dxa"/>
                                </w:tcPr>
                                <w:p w14:paraId="35A565B9" w14:textId="77777777" w:rsidR="00ED6EBD" w:rsidRPr="004C0C70" w:rsidRDefault="00ED6EBD" w:rsidP="00ED6EBD">
                                  <w:pPr>
                                    <w:pStyle w:val="Default"/>
                                    <w:rPr>
                                      <w:color w:val="auto"/>
                                      <w:sz w:val="20"/>
                                      <w:szCs w:val="20"/>
                                    </w:rPr>
                                  </w:pPr>
                                  <w:r w:rsidRPr="004C0C70">
                                    <w:rPr>
                                      <w:color w:val="auto"/>
                                      <w:sz w:val="20"/>
                                      <w:szCs w:val="20"/>
                                    </w:rPr>
                                    <w:t>Pre-tax income – group GAAP</w:t>
                                  </w:r>
                                </w:p>
                              </w:tc>
                              <w:tc>
                                <w:tcPr>
                                  <w:tcW w:w="1276" w:type="dxa"/>
                                </w:tcPr>
                                <w:p w14:paraId="253C2E9E" w14:textId="77777777" w:rsidR="00ED6EBD" w:rsidRPr="004C0C70" w:rsidRDefault="00ED6EBD" w:rsidP="00ED6EBD">
                                  <w:pPr>
                                    <w:pStyle w:val="Default"/>
                                    <w:jc w:val="right"/>
                                    <w:rPr>
                                      <w:color w:val="auto"/>
                                      <w:sz w:val="20"/>
                                      <w:szCs w:val="20"/>
                                    </w:rPr>
                                  </w:pPr>
                                  <w:r>
                                    <w:rPr>
                                      <w:color w:val="auto"/>
                                      <w:sz w:val="20"/>
                                      <w:szCs w:val="20"/>
                                    </w:rPr>
                                    <w:t>1,000</w:t>
                                  </w:r>
                                </w:p>
                              </w:tc>
                              <w:tc>
                                <w:tcPr>
                                  <w:tcW w:w="1418" w:type="dxa"/>
                                </w:tcPr>
                                <w:p w14:paraId="10D53706" w14:textId="77777777" w:rsidR="00ED6EBD" w:rsidRPr="004C0C70" w:rsidRDefault="00ED6EBD" w:rsidP="00ED6EBD">
                                  <w:pPr>
                                    <w:pStyle w:val="Default"/>
                                    <w:jc w:val="right"/>
                                    <w:rPr>
                                      <w:color w:val="auto"/>
                                      <w:sz w:val="20"/>
                                      <w:szCs w:val="20"/>
                                    </w:rPr>
                                  </w:pPr>
                                  <w:r>
                                    <w:rPr>
                                      <w:color w:val="auto"/>
                                      <w:sz w:val="20"/>
                                      <w:szCs w:val="20"/>
                                    </w:rPr>
                                    <w:t>1,000</w:t>
                                  </w:r>
                                </w:p>
                              </w:tc>
                              <w:tc>
                                <w:tcPr>
                                  <w:tcW w:w="283" w:type="dxa"/>
                                </w:tcPr>
                                <w:p w14:paraId="5EAC8991" w14:textId="77777777" w:rsidR="00ED6EBD" w:rsidRDefault="00ED6EBD" w:rsidP="00ED6EBD">
                                  <w:pPr>
                                    <w:pStyle w:val="Default"/>
                                    <w:jc w:val="right"/>
                                    <w:rPr>
                                      <w:color w:val="auto"/>
                                      <w:sz w:val="20"/>
                                      <w:szCs w:val="20"/>
                                    </w:rPr>
                                  </w:pPr>
                                </w:p>
                              </w:tc>
                              <w:tc>
                                <w:tcPr>
                                  <w:tcW w:w="1276" w:type="dxa"/>
                                </w:tcPr>
                                <w:p w14:paraId="1C2655D9" w14:textId="77777777" w:rsidR="00ED6EBD" w:rsidRDefault="00ED6EBD" w:rsidP="00ED6EBD">
                                  <w:pPr>
                                    <w:pStyle w:val="Default"/>
                                    <w:jc w:val="right"/>
                                    <w:rPr>
                                      <w:color w:val="auto"/>
                                      <w:sz w:val="20"/>
                                      <w:szCs w:val="20"/>
                                    </w:rPr>
                                  </w:pPr>
                                  <w:r>
                                    <w:rPr>
                                      <w:color w:val="auto"/>
                                      <w:sz w:val="20"/>
                                      <w:szCs w:val="20"/>
                                    </w:rPr>
                                    <w:t>1,000</w:t>
                                  </w:r>
                                </w:p>
                              </w:tc>
                              <w:tc>
                                <w:tcPr>
                                  <w:tcW w:w="1417" w:type="dxa"/>
                                </w:tcPr>
                                <w:p w14:paraId="05B814F7" w14:textId="77777777" w:rsidR="00ED6EBD" w:rsidRDefault="00ED6EBD" w:rsidP="00ED6EBD">
                                  <w:pPr>
                                    <w:pStyle w:val="Default"/>
                                    <w:jc w:val="right"/>
                                    <w:rPr>
                                      <w:color w:val="auto"/>
                                      <w:sz w:val="20"/>
                                      <w:szCs w:val="20"/>
                                    </w:rPr>
                                  </w:pPr>
                                  <w:r>
                                    <w:rPr>
                                      <w:color w:val="auto"/>
                                      <w:sz w:val="20"/>
                                      <w:szCs w:val="20"/>
                                    </w:rPr>
                                    <w:t>1000</w:t>
                                  </w:r>
                                </w:p>
                              </w:tc>
                            </w:tr>
                            <w:tr w:rsidR="00ED6EBD" w14:paraId="277A8D1E" w14:textId="77777777" w:rsidTr="00077C03">
                              <w:tc>
                                <w:tcPr>
                                  <w:tcW w:w="3260" w:type="dxa"/>
                                </w:tcPr>
                                <w:p w14:paraId="2F0CC13E" w14:textId="77777777" w:rsidR="00ED6EBD" w:rsidRPr="004C0C70" w:rsidRDefault="00ED6EBD" w:rsidP="00ED6EBD">
                                  <w:pPr>
                                    <w:pStyle w:val="Default"/>
                                    <w:rPr>
                                      <w:color w:val="auto"/>
                                      <w:sz w:val="20"/>
                                      <w:szCs w:val="20"/>
                                    </w:rPr>
                                  </w:pPr>
                                  <w:r w:rsidRPr="004C0C70">
                                    <w:rPr>
                                      <w:color w:val="auto"/>
                                      <w:sz w:val="20"/>
                                      <w:szCs w:val="20"/>
                                    </w:rPr>
                                    <w:t>Regulatory</w:t>
                                  </w:r>
                                  <w:r>
                                    <w:rPr>
                                      <w:color w:val="auto"/>
                                      <w:sz w:val="20"/>
                                      <w:szCs w:val="20"/>
                                    </w:rPr>
                                    <w:t xml:space="preserve"> &amp;</w:t>
                                  </w:r>
                                  <w:r w:rsidRPr="004C0C70">
                                    <w:rPr>
                                      <w:color w:val="auto"/>
                                      <w:sz w:val="20"/>
                                      <w:szCs w:val="20"/>
                                    </w:rPr>
                                    <w:t xml:space="preserve"> tax basis adjustment</w:t>
                                  </w:r>
                                </w:p>
                              </w:tc>
                              <w:tc>
                                <w:tcPr>
                                  <w:tcW w:w="1276" w:type="dxa"/>
                                </w:tcPr>
                                <w:p w14:paraId="175E4663" w14:textId="77777777" w:rsidR="00ED6EBD" w:rsidRPr="004C0C70" w:rsidRDefault="00ED6EBD" w:rsidP="00ED6EBD">
                                  <w:pPr>
                                    <w:pStyle w:val="Default"/>
                                    <w:jc w:val="right"/>
                                    <w:rPr>
                                      <w:color w:val="auto"/>
                                      <w:sz w:val="20"/>
                                      <w:szCs w:val="20"/>
                                    </w:rPr>
                                  </w:pPr>
                                  <w:r>
                                    <w:rPr>
                                      <w:color w:val="auto"/>
                                      <w:sz w:val="20"/>
                                      <w:szCs w:val="20"/>
                                    </w:rPr>
                                    <w:t>600</w:t>
                                  </w:r>
                                </w:p>
                              </w:tc>
                              <w:tc>
                                <w:tcPr>
                                  <w:tcW w:w="1418" w:type="dxa"/>
                                </w:tcPr>
                                <w:p w14:paraId="16BF0CCC" w14:textId="77777777" w:rsidR="00ED6EBD" w:rsidRPr="004C0C70" w:rsidRDefault="00ED6EBD" w:rsidP="00ED6EBD">
                                  <w:pPr>
                                    <w:pStyle w:val="Default"/>
                                    <w:jc w:val="right"/>
                                    <w:rPr>
                                      <w:color w:val="auto"/>
                                      <w:sz w:val="20"/>
                                      <w:szCs w:val="20"/>
                                    </w:rPr>
                                  </w:pPr>
                                  <w:r>
                                    <w:rPr>
                                      <w:color w:val="auto"/>
                                      <w:sz w:val="20"/>
                                      <w:szCs w:val="20"/>
                                    </w:rPr>
                                    <w:t>600</w:t>
                                  </w:r>
                                </w:p>
                              </w:tc>
                              <w:tc>
                                <w:tcPr>
                                  <w:tcW w:w="283" w:type="dxa"/>
                                </w:tcPr>
                                <w:p w14:paraId="3A5AB6DE" w14:textId="77777777" w:rsidR="00ED6EBD" w:rsidRDefault="00ED6EBD" w:rsidP="00ED6EBD">
                                  <w:pPr>
                                    <w:pStyle w:val="Default"/>
                                    <w:jc w:val="right"/>
                                    <w:rPr>
                                      <w:color w:val="auto"/>
                                      <w:sz w:val="20"/>
                                      <w:szCs w:val="20"/>
                                    </w:rPr>
                                  </w:pPr>
                                </w:p>
                              </w:tc>
                              <w:tc>
                                <w:tcPr>
                                  <w:tcW w:w="1276" w:type="dxa"/>
                                </w:tcPr>
                                <w:p w14:paraId="4526246F" w14:textId="77777777" w:rsidR="00ED6EBD" w:rsidRDefault="00ED6EBD" w:rsidP="00ED6EBD">
                                  <w:pPr>
                                    <w:pStyle w:val="Default"/>
                                    <w:jc w:val="right"/>
                                    <w:rPr>
                                      <w:color w:val="auto"/>
                                      <w:sz w:val="20"/>
                                      <w:szCs w:val="20"/>
                                    </w:rPr>
                                  </w:pPr>
                                  <w:r>
                                    <w:rPr>
                                      <w:color w:val="auto"/>
                                      <w:sz w:val="20"/>
                                      <w:szCs w:val="20"/>
                                    </w:rPr>
                                    <w:t>(600)</w:t>
                                  </w:r>
                                </w:p>
                              </w:tc>
                              <w:tc>
                                <w:tcPr>
                                  <w:tcW w:w="1417" w:type="dxa"/>
                                </w:tcPr>
                                <w:p w14:paraId="6350A298" w14:textId="77777777" w:rsidR="00ED6EBD" w:rsidRDefault="00ED6EBD" w:rsidP="00ED6EBD">
                                  <w:pPr>
                                    <w:pStyle w:val="Default"/>
                                    <w:jc w:val="right"/>
                                    <w:rPr>
                                      <w:color w:val="auto"/>
                                      <w:sz w:val="20"/>
                                      <w:szCs w:val="20"/>
                                    </w:rPr>
                                  </w:pPr>
                                  <w:r>
                                    <w:rPr>
                                      <w:color w:val="auto"/>
                                      <w:sz w:val="20"/>
                                      <w:szCs w:val="20"/>
                                    </w:rPr>
                                    <w:t>(600)</w:t>
                                  </w:r>
                                </w:p>
                              </w:tc>
                            </w:tr>
                            <w:tr w:rsidR="00ED6EBD" w14:paraId="7B37B140" w14:textId="77777777" w:rsidTr="00077C03">
                              <w:tc>
                                <w:tcPr>
                                  <w:tcW w:w="3260" w:type="dxa"/>
                                </w:tcPr>
                                <w:p w14:paraId="238480F5" w14:textId="77777777" w:rsidR="00ED6EBD" w:rsidRPr="004C0C70" w:rsidRDefault="00ED6EBD" w:rsidP="00ED6EBD">
                                  <w:pPr>
                                    <w:pStyle w:val="Default"/>
                                    <w:rPr>
                                      <w:color w:val="auto"/>
                                      <w:sz w:val="20"/>
                                      <w:szCs w:val="20"/>
                                    </w:rPr>
                                  </w:pPr>
                                  <w:r>
                                    <w:rPr>
                                      <w:color w:val="auto"/>
                                      <w:sz w:val="20"/>
                                      <w:szCs w:val="20"/>
                                    </w:rPr>
                                    <w:t>Jurisdictional taxable income</w:t>
                                  </w:r>
                                </w:p>
                              </w:tc>
                              <w:tc>
                                <w:tcPr>
                                  <w:tcW w:w="1276" w:type="dxa"/>
                                </w:tcPr>
                                <w:p w14:paraId="2D53EE4D" w14:textId="77777777" w:rsidR="00ED6EBD" w:rsidRPr="004C0C70" w:rsidRDefault="00ED6EBD" w:rsidP="00ED6EBD">
                                  <w:pPr>
                                    <w:pStyle w:val="Default"/>
                                    <w:jc w:val="right"/>
                                    <w:rPr>
                                      <w:color w:val="auto"/>
                                      <w:sz w:val="20"/>
                                      <w:szCs w:val="20"/>
                                    </w:rPr>
                                  </w:pPr>
                                  <w:r>
                                    <w:rPr>
                                      <w:color w:val="auto"/>
                                      <w:sz w:val="20"/>
                                      <w:szCs w:val="20"/>
                                    </w:rPr>
                                    <w:t>1,600</w:t>
                                  </w:r>
                                </w:p>
                              </w:tc>
                              <w:tc>
                                <w:tcPr>
                                  <w:tcW w:w="1418" w:type="dxa"/>
                                </w:tcPr>
                                <w:p w14:paraId="07E9DBC3" w14:textId="77777777" w:rsidR="00ED6EBD" w:rsidRPr="004C0C70" w:rsidRDefault="00ED6EBD" w:rsidP="00ED6EBD">
                                  <w:pPr>
                                    <w:pStyle w:val="Default"/>
                                    <w:jc w:val="right"/>
                                    <w:rPr>
                                      <w:color w:val="auto"/>
                                      <w:sz w:val="20"/>
                                      <w:szCs w:val="20"/>
                                    </w:rPr>
                                  </w:pPr>
                                  <w:r>
                                    <w:rPr>
                                      <w:color w:val="auto"/>
                                      <w:sz w:val="20"/>
                                      <w:szCs w:val="20"/>
                                    </w:rPr>
                                    <w:t>1,600</w:t>
                                  </w:r>
                                </w:p>
                              </w:tc>
                              <w:tc>
                                <w:tcPr>
                                  <w:tcW w:w="283" w:type="dxa"/>
                                </w:tcPr>
                                <w:p w14:paraId="31A08EE0" w14:textId="77777777" w:rsidR="00ED6EBD" w:rsidRDefault="00ED6EBD" w:rsidP="00ED6EBD">
                                  <w:pPr>
                                    <w:pStyle w:val="Default"/>
                                    <w:jc w:val="right"/>
                                    <w:rPr>
                                      <w:color w:val="auto"/>
                                      <w:sz w:val="20"/>
                                      <w:szCs w:val="20"/>
                                    </w:rPr>
                                  </w:pPr>
                                </w:p>
                              </w:tc>
                              <w:tc>
                                <w:tcPr>
                                  <w:tcW w:w="1276" w:type="dxa"/>
                                </w:tcPr>
                                <w:p w14:paraId="7795E257" w14:textId="77777777" w:rsidR="00ED6EBD" w:rsidRDefault="00ED6EBD" w:rsidP="00ED6EBD">
                                  <w:pPr>
                                    <w:pStyle w:val="Default"/>
                                    <w:jc w:val="right"/>
                                    <w:rPr>
                                      <w:color w:val="auto"/>
                                      <w:sz w:val="20"/>
                                      <w:szCs w:val="20"/>
                                    </w:rPr>
                                  </w:pPr>
                                  <w:r>
                                    <w:rPr>
                                      <w:color w:val="auto"/>
                                      <w:sz w:val="20"/>
                                      <w:szCs w:val="20"/>
                                    </w:rPr>
                                    <w:t>400</w:t>
                                  </w:r>
                                </w:p>
                              </w:tc>
                              <w:tc>
                                <w:tcPr>
                                  <w:tcW w:w="1417" w:type="dxa"/>
                                </w:tcPr>
                                <w:p w14:paraId="4C1921EF" w14:textId="77777777" w:rsidR="00ED6EBD" w:rsidRDefault="00ED6EBD" w:rsidP="00ED6EBD">
                                  <w:pPr>
                                    <w:pStyle w:val="Default"/>
                                    <w:jc w:val="right"/>
                                    <w:rPr>
                                      <w:color w:val="auto"/>
                                      <w:sz w:val="20"/>
                                      <w:szCs w:val="20"/>
                                    </w:rPr>
                                  </w:pPr>
                                  <w:r>
                                    <w:rPr>
                                      <w:color w:val="auto"/>
                                      <w:sz w:val="20"/>
                                      <w:szCs w:val="20"/>
                                    </w:rPr>
                                    <w:t>400</w:t>
                                  </w:r>
                                </w:p>
                              </w:tc>
                            </w:tr>
                            <w:tr w:rsidR="00ED6EBD" w14:paraId="49E16052" w14:textId="77777777" w:rsidTr="00077C03">
                              <w:tc>
                                <w:tcPr>
                                  <w:tcW w:w="3260" w:type="dxa"/>
                                </w:tcPr>
                                <w:p w14:paraId="2297E5E1" w14:textId="77777777" w:rsidR="00ED6EBD" w:rsidRPr="004C0C70" w:rsidRDefault="00ED6EBD" w:rsidP="00ED6EBD">
                                  <w:pPr>
                                    <w:pStyle w:val="Default"/>
                                    <w:rPr>
                                      <w:color w:val="auto"/>
                                      <w:sz w:val="20"/>
                                      <w:szCs w:val="20"/>
                                    </w:rPr>
                                  </w:pPr>
                                  <w:r>
                                    <w:rPr>
                                      <w:color w:val="auto"/>
                                      <w:sz w:val="20"/>
                                      <w:szCs w:val="20"/>
                                    </w:rPr>
                                    <w:t>Cash taxes at 22%</w:t>
                                  </w:r>
                                </w:p>
                              </w:tc>
                              <w:tc>
                                <w:tcPr>
                                  <w:tcW w:w="1276" w:type="dxa"/>
                                </w:tcPr>
                                <w:p w14:paraId="385AA582" w14:textId="77777777" w:rsidR="00ED6EBD" w:rsidRPr="004C0C70" w:rsidRDefault="00ED6EBD" w:rsidP="00ED6EBD">
                                  <w:pPr>
                                    <w:pStyle w:val="Default"/>
                                    <w:jc w:val="right"/>
                                    <w:rPr>
                                      <w:color w:val="auto"/>
                                      <w:sz w:val="20"/>
                                      <w:szCs w:val="20"/>
                                    </w:rPr>
                                  </w:pPr>
                                  <w:r>
                                    <w:rPr>
                                      <w:color w:val="auto"/>
                                      <w:sz w:val="20"/>
                                      <w:szCs w:val="20"/>
                                    </w:rPr>
                                    <w:t>352</w:t>
                                  </w:r>
                                </w:p>
                              </w:tc>
                              <w:tc>
                                <w:tcPr>
                                  <w:tcW w:w="1418" w:type="dxa"/>
                                </w:tcPr>
                                <w:p w14:paraId="088C2B9F" w14:textId="77777777" w:rsidR="00ED6EBD" w:rsidRPr="004C0C70" w:rsidRDefault="00ED6EBD" w:rsidP="00ED6EBD">
                                  <w:pPr>
                                    <w:pStyle w:val="Default"/>
                                    <w:jc w:val="right"/>
                                    <w:rPr>
                                      <w:color w:val="auto"/>
                                      <w:sz w:val="20"/>
                                      <w:szCs w:val="20"/>
                                    </w:rPr>
                                  </w:pPr>
                                  <w:r>
                                    <w:rPr>
                                      <w:color w:val="auto"/>
                                      <w:sz w:val="20"/>
                                      <w:szCs w:val="20"/>
                                    </w:rPr>
                                    <w:t>352</w:t>
                                  </w:r>
                                </w:p>
                              </w:tc>
                              <w:tc>
                                <w:tcPr>
                                  <w:tcW w:w="283" w:type="dxa"/>
                                </w:tcPr>
                                <w:p w14:paraId="04721981" w14:textId="77777777" w:rsidR="00ED6EBD" w:rsidRDefault="00ED6EBD" w:rsidP="00ED6EBD">
                                  <w:pPr>
                                    <w:pStyle w:val="Default"/>
                                    <w:jc w:val="right"/>
                                    <w:rPr>
                                      <w:color w:val="auto"/>
                                      <w:sz w:val="20"/>
                                      <w:szCs w:val="20"/>
                                    </w:rPr>
                                  </w:pPr>
                                </w:p>
                              </w:tc>
                              <w:tc>
                                <w:tcPr>
                                  <w:tcW w:w="1276" w:type="dxa"/>
                                </w:tcPr>
                                <w:p w14:paraId="284919D2" w14:textId="77777777" w:rsidR="00ED6EBD" w:rsidRDefault="00ED6EBD" w:rsidP="00ED6EBD">
                                  <w:pPr>
                                    <w:pStyle w:val="Default"/>
                                    <w:jc w:val="right"/>
                                    <w:rPr>
                                      <w:color w:val="auto"/>
                                      <w:sz w:val="20"/>
                                      <w:szCs w:val="20"/>
                                    </w:rPr>
                                  </w:pPr>
                                  <w:r>
                                    <w:rPr>
                                      <w:color w:val="auto"/>
                                      <w:sz w:val="20"/>
                                      <w:szCs w:val="20"/>
                                    </w:rPr>
                                    <w:t>88</w:t>
                                  </w:r>
                                </w:p>
                              </w:tc>
                              <w:tc>
                                <w:tcPr>
                                  <w:tcW w:w="1417" w:type="dxa"/>
                                </w:tcPr>
                                <w:p w14:paraId="17704A5C" w14:textId="77777777" w:rsidR="00ED6EBD" w:rsidRDefault="00ED6EBD" w:rsidP="00ED6EBD">
                                  <w:pPr>
                                    <w:pStyle w:val="Default"/>
                                    <w:jc w:val="right"/>
                                    <w:rPr>
                                      <w:color w:val="auto"/>
                                      <w:sz w:val="20"/>
                                      <w:szCs w:val="20"/>
                                    </w:rPr>
                                  </w:pPr>
                                  <w:r>
                                    <w:rPr>
                                      <w:color w:val="auto"/>
                                      <w:sz w:val="20"/>
                                      <w:szCs w:val="20"/>
                                    </w:rPr>
                                    <w:t>88</w:t>
                                  </w:r>
                                </w:p>
                              </w:tc>
                            </w:tr>
                            <w:tr w:rsidR="00ED6EBD" w14:paraId="50E2A5AF" w14:textId="77777777" w:rsidTr="00077C03">
                              <w:tc>
                                <w:tcPr>
                                  <w:tcW w:w="3260" w:type="dxa"/>
                                </w:tcPr>
                                <w:p w14:paraId="66390CC4" w14:textId="77777777" w:rsidR="00ED6EBD" w:rsidRPr="004C0C70" w:rsidRDefault="00ED6EBD" w:rsidP="00ED6EBD">
                                  <w:pPr>
                                    <w:pStyle w:val="Default"/>
                                    <w:rPr>
                                      <w:color w:val="auto"/>
                                      <w:sz w:val="20"/>
                                      <w:szCs w:val="20"/>
                                    </w:rPr>
                                  </w:pPr>
                                  <w:r>
                                    <w:rPr>
                                      <w:color w:val="auto"/>
                                      <w:sz w:val="20"/>
                                      <w:szCs w:val="20"/>
                                    </w:rPr>
                                    <w:t>Timing difference (deferred) taxes</w:t>
                                  </w:r>
                                </w:p>
                              </w:tc>
                              <w:tc>
                                <w:tcPr>
                                  <w:tcW w:w="1276" w:type="dxa"/>
                                </w:tcPr>
                                <w:p w14:paraId="35ABB962" w14:textId="77777777" w:rsidR="00ED6EBD" w:rsidRPr="004C0C70" w:rsidRDefault="00ED6EBD" w:rsidP="00ED6EBD">
                                  <w:pPr>
                                    <w:pStyle w:val="Default"/>
                                    <w:jc w:val="right"/>
                                    <w:rPr>
                                      <w:color w:val="auto"/>
                                      <w:sz w:val="20"/>
                                      <w:szCs w:val="20"/>
                                    </w:rPr>
                                  </w:pPr>
                                  <w:r>
                                    <w:rPr>
                                      <w:color w:val="auto"/>
                                      <w:sz w:val="20"/>
                                      <w:szCs w:val="20"/>
                                    </w:rPr>
                                    <w:t>0</w:t>
                                  </w:r>
                                </w:p>
                              </w:tc>
                              <w:tc>
                                <w:tcPr>
                                  <w:tcW w:w="1418" w:type="dxa"/>
                                </w:tcPr>
                                <w:p w14:paraId="17F3B9F3" w14:textId="77777777" w:rsidR="00ED6EBD" w:rsidRPr="004C0C70" w:rsidRDefault="00ED6EBD" w:rsidP="00ED6EBD">
                                  <w:pPr>
                                    <w:pStyle w:val="Default"/>
                                    <w:jc w:val="right"/>
                                    <w:rPr>
                                      <w:color w:val="auto"/>
                                      <w:sz w:val="20"/>
                                      <w:szCs w:val="20"/>
                                    </w:rPr>
                                  </w:pPr>
                                  <w:r>
                                    <w:rPr>
                                      <w:color w:val="auto"/>
                                      <w:sz w:val="20"/>
                                      <w:szCs w:val="20"/>
                                    </w:rPr>
                                    <w:t>(132)</w:t>
                                  </w:r>
                                </w:p>
                              </w:tc>
                              <w:tc>
                                <w:tcPr>
                                  <w:tcW w:w="283" w:type="dxa"/>
                                </w:tcPr>
                                <w:p w14:paraId="7C314E7B" w14:textId="77777777" w:rsidR="00ED6EBD" w:rsidRDefault="00ED6EBD" w:rsidP="00ED6EBD">
                                  <w:pPr>
                                    <w:pStyle w:val="Default"/>
                                    <w:jc w:val="right"/>
                                    <w:rPr>
                                      <w:color w:val="auto"/>
                                      <w:sz w:val="20"/>
                                      <w:szCs w:val="20"/>
                                    </w:rPr>
                                  </w:pPr>
                                </w:p>
                              </w:tc>
                              <w:tc>
                                <w:tcPr>
                                  <w:tcW w:w="1276" w:type="dxa"/>
                                </w:tcPr>
                                <w:p w14:paraId="0A9CAF29" w14:textId="77777777" w:rsidR="00ED6EBD" w:rsidRDefault="00ED6EBD" w:rsidP="00ED6EBD">
                                  <w:pPr>
                                    <w:pStyle w:val="Default"/>
                                    <w:jc w:val="right"/>
                                    <w:rPr>
                                      <w:color w:val="auto"/>
                                      <w:sz w:val="20"/>
                                      <w:szCs w:val="20"/>
                                    </w:rPr>
                                  </w:pPr>
                                  <w:r>
                                    <w:rPr>
                                      <w:color w:val="auto"/>
                                      <w:sz w:val="20"/>
                                      <w:szCs w:val="20"/>
                                    </w:rPr>
                                    <w:t>0</w:t>
                                  </w:r>
                                </w:p>
                              </w:tc>
                              <w:tc>
                                <w:tcPr>
                                  <w:tcW w:w="1417" w:type="dxa"/>
                                </w:tcPr>
                                <w:p w14:paraId="37F86FB8" w14:textId="77777777" w:rsidR="00ED6EBD" w:rsidRDefault="00ED6EBD" w:rsidP="00ED6EBD">
                                  <w:pPr>
                                    <w:pStyle w:val="Default"/>
                                    <w:jc w:val="right"/>
                                    <w:rPr>
                                      <w:color w:val="auto"/>
                                      <w:sz w:val="20"/>
                                      <w:szCs w:val="20"/>
                                    </w:rPr>
                                  </w:pPr>
                                  <w:r>
                                    <w:rPr>
                                      <w:color w:val="auto"/>
                                      <w:sz w:val="20"/>
                                      <w:szCs w:val="20"/>
                                    </w:rPr>
                                    <w:t>132</w:t>
                                  </w:r>
                                </w:p>
                              </w:tc>
                            </w:tr>
                            <w:tr w:rsidR="00ED6EBD" w14:paraId="15F18373" w14:textId="77777777" w:rsidTr="00077C03">
                              <w:tc>
                                <w:tcPr>
                                  <w:tcW w:w="3260" w:type="dxa"/>
                                </w:tcPr>
                                <w:p w14:paraId="21FAFB20" w14:textId="77777777" w:rsidR="00ED6EBD" w:rsidRDefault="00ED6EBD" w:rsidP="00ED6EBD">
                                  <w:pPr>
                                    <w:pStyle w:val="Default"/>
                                    <w:rPr>
                                      <w:color w:val="auto"/>
                                      <w:sz w:val="20"/>
                                      <w:szCs w:val="20"/>
                                    </w:rPr>
                                  </w:pPr>
                                  <w:r>
                                    <w:rPr>
                                      <w:color w:val="auto"/>
                                      <w:sz w:val="20"/>
                                      <w:szCs w:val="20"/>
                                    </w:rPr>
                                    <w:t>Covered taxes</w:t>
                                  </w:r>
                                </w:p>
                              </w:tc>
                              <w:tc>
                                <w:tcPr>
                                  <w:tcW w:w="1276" w:type="dxa"/>
                                </w:tcPr>
                                <w:p w14:paraId="3480B838" w14:textId="77777777" w:rsidR="00ED6EBD" w:rsidRDefault="00ED6EBD" w:rsidP="00ED6EBD">
                                  <w:pPr>
                                    <w:pStyle w:val="Default"/>
                                    <w:jc w:val="right"/>
                                    <w:rPr>
                                      <w:color w:val="auto"/>
                                      <w:sz w:val="20"/>
                                      <w:szCs w:val="20"/>
                                    </w:rPr>
                                  </w:pPr>
                                  <w:r>
                                    <w:rPr>
                                      <w:color w:val="auto"/>
                                      <w:sz w:val="20"/>
                                      <w:szCs w:val="20"/>
                                    </w:rPr>
                                    <w:t>352</w:t>
                                  </w:r>
                                </w:p>
                              </w:tc>
                              <w:tc>
                                <w:tcPr>
                                  <w:tcW w:w="1418" w:type="dxa"/>
                                </w:tcPr>
                                <w:p w14:paraId="4927FBA8" w14:textId="77777777" w:rsidR="00ED6EBD" w:rsidRPr="004C0C70" w:rsidRDefault="00ED6EBD" w:rsidP="00ED6EBD">
                                  <w:pPr>
                                    <w:pStyle w:val="Default"/>
                                    <w:jc w:val="right"/>
                                    <w:rPr>
                                      <w:color w:val="auto"/>
                                      <w:sz w:val="20"/>
                                      <w:szCs w:val="20"/>
                                    </w:rPr>
                                  </w:pPr>
                                  <w:r>
                                    <w:rPr>
                                      <w:color w:val="auto"/>
                                      <w:sz w:val="20"/>
                                      <w:szCs w:val="20"/>
                                    </w:rPr>
                                    <w:t>220</w:t>
                                  </w:r>
                                </w:p>
                              </w:tc>
                              <w:tc>
                                <w:tcPr>
                                  <w:tcW w:w="283" w:type="dxa"/>
                                </w:tcPr>
                                <w:p w14:paraId="1DEE4888" w14:textId="77777777" w:rsidR="00ED6EBD" w:rsidRDefault="00ED6EBD" w:rsidP="00ED6EBD">
                                  <w:pPr>
                                    <w:pStyle w:val="Default"/>
                                    <w:jc w:val="right"/>
                                    <w:rPr>
                                      <w:color w:val="auto"/>
                                      <w:sz w:val="20"/>
                                      <w:szCs w:val="20"/>
                                    </w:rPr>
                                  </w:pPr>
                                </w:p>
                              </w:tc>
                              <w:tc>
                                <w:tcPr>
                                  <w:tcW w:w="1276" w:type="dxa"/>
                                </w:tcPr>
                                <w:p w14:paraId="59613D7B" w14:textId="77777777" w:rsidR="00ED6EBD" w:rsidRDefault="00ED6EBD" w:rsidP="00ED6EBD">
                                  <w:pPr>
                                    <w:pStyle w:val="Default"/>
                                    <w:jc w:val="right"/>
                                    <w:rPr>
                                      <w:color w:val="auto"/>
                                      <w:sz w:val="20"/>
                                      <w:szCs w:val="20"/>
                                    </w:rPr>
                                  </w:pPr>
                                  <w:r>
                                    <w:rPr>
                                      <w:color w:val="auto"/>
                                      <w:sz w:val="20"/>
                                      <w:szCs w:val="20"/>
                                    </w:rPr>
                                    <w:t>88</w:t>
                                  </w:r>
                                </w:p>
                              </w:tc>
                              <w:tc>
                                <w:tcPr>
                                  <w:tcW w:w="1417" w:type="dxa"/>
                                </w:tcPr>
                                <w:p w14:paraId="02807ABE" w14:textId="77777777" w:rsidR="00ED6EBD" w:rsidRDefault="00ED6EBD" w:rsidP="00ED6EBD">
                                  <w:pPr>
                                    <w:pStyle w:val="Default"/>
                                    <w:jc w:val="right"/>
                                    <w:rPr>
                                      <w:color w:val="auto"/>
                                      <w:sz w:val="20"/>
                                      <w:szCs w:val="20"/>
                                    </w:rPr>
                                  </w:pPr>
                                  <w:r>
                                    <w:rPr>
                                      <w:color w:val="auto"/>
                                      <w:sz w:val="20"/>
                                      <w:szCs w:val="20"/>
                                    </w:rPr>
                                    <w:t>220</w:t>
                                  </w:r>
                                </w:p>
                              </w:tc>
                            </w:tr>
                            <w:tr w:rsidR="00ED6EBD" w14:paraId="26B78DD9" w14:textId="77777777" w:rsidTr="00077C03">
                              <w:tc>
                                <w:tcPr>
                                  <w:tcW w:w="3260" w:type="dxa"/>
                                </w:tcPr>
                                <w:p w14:paraId="6D4C7DA3" w14:textId="77777777" w:rsidR="00ED6EBD" w:rsidRPr="004C0C70" w:rsidRDefault="00ED6EBD" w:rsidP="00ED6EBD">
                                  <w:pPr>
                                    <w:pStyle w:val="Default"/>
                                    <w:rPr>
                                      <w:color w:val="auto"/>
                                      <w:sz w:val="20"/>
                                      <w:szCs w:val="20"/>
                                    </w:rPr>
                                  </w:pPr>
                                  <w:r>
                                    <w:rPr>
                                      <w:color w:val="auto"/>
                                      <w:sz w:val="20"/>
                                      <w:szCs w:val="20"/>
                                    </w:rPr>
                                    <w:t>Pillar Two ETR</w:t>
                                  </w:r>
                                </w:p>
                              </w:tc>
                              <w:tc>
                                <w:tcPr>
                                  <w:tcW w:w="1276" w:type="dxa"/>
                                </w:tcPr>
                                <w:p w14:paraId="2A7CC32A" w14:textId="77777777" w:rsidR="00ED6EBD" w:rsidRPr="004C0C70" w:rsidRDefault="00ED6EBD" w:rsidP="00ED6EBD">
                                  <w:pPr>
                                    <w:pStyle w:val="Default"/>
                                    <w:jc w:val="right"/>
                                    <w:rPr>
                                      <w:color w:val="auto"/>
                                      <w:sz w:val="20"/>
                                      <w:szCs w:val="20"/>
                                    </w:rPr>
                                  </w:pPr>
                                  <w:r>
                                    <w:rPr>
                                      <w:color w:val="auto"/>
                                      <w:sz w:val="20"/>
                                      <w:szCs w:val="20"/>
                                    </w:rPr>
                                    <w:t>35.2%</w:t>
                                  </w:r>
                                </w:p>
                              </w:tc>
                              <w:tc>
                                <w:tcPr>
                                  <w:tcW w:w="1418" w:type="dxa"/>
                                </w:tcPr>
                                <w:p w14:paraId="0F57D9EF" w14:textId="77777777" w:rsidR="00ED6EBD" w:rsidRPr="004C0C70" w:rsidRDefault="00ED6EBD" w:rsidP="00ED6EBD">
                                  <w:pPr>
                                    <w:pStyle w:val="Default"/>
                                    <w:jc w:val="right"/>
                                    <w:rPr>
                                      <w:color w:val="auto"/>
                                      <w:sz w:val="20"/>
                                      <w:szCs w:val="20"/>
                                    </w:rPr>
                                  </w:pPr>
                                  <w:r>
                                    <w:rPr>
                                      <w:color w:val="auto"/>
                                      <w:sz w:val="20"/>
                                      <w:szCs w:val="20"/>
                                    </w:rPr>
                                    <w:t>22.00%</w:t>
                                  </w:r>
                                </w:p>
                              </w:tc>
                              <w:tc>
                                <w:tcPr>
                                  <w:tcW w:w="283" w:type="dxa"/>
                                </w:tcPr>
                                <w:p w14:paraId="385057BA" w14:textId="77777777" w:rsidR="00ED6EBD" w:rsidRDefault="00ED6EBD" w:rsidP="00ED6EBD">
                                  <w:pPr>
                                    <w:pStyle w:val="Default"/>
                                    <w:jc w:val="right"/>
                                    <w:rPr>
                                      <w:color w:val="auto"/>
                                      <w:sz w:val="20"/>
                                      <w:szCs w:val="20"/>
                                    </w:rPr>
                                  </w:pPr>
                                </w:p>
                              </w:tc>
                              <w:tc>
                                <w:tcPr>
                                  <w:tcW w:w="1276" w:type="dxa"/>
                                </w:tcPr>
                                <w:p w14:paraId="7D42535B" w14:textId="77777777" w:rsidR="00ED6EBD" w:rsidRDefault="00ED6EBD" w:rsidP="00ED6EBD">
                                  <w:pPr>
                                    <w:pStyle w:val="Default"/>
                                    <w:jc w:val="right"/>
                                    <w:rPr>
                                      <w:color w:val="auto"/>
                                      <w:sz w:val="20"/>
                                      <w:szCs w:val="20"/>
                                    </w:rPr>
                                  </w:pPr>
                                  <w:r>
                                    <w:rPr>
                                      <w:color w:val="auto"/>
                                      <w:sz w:val="20"/>
                                      <w:szCs w:val="20"/>
                                    </w:rPr>
                                    <w:t>8.80%</w:t>
                                  </w:r>
                                </w:p>
                              </w:tc>
                              <w:tc>
                                <w:tcPr>
                                  <w:tcW w:w="1417" w:type="dxa"/>
                                </w:tcPr>
                                <w:p w14:paraId="7484D3A0" w14:textId="77777777" w:rsidR="00ED6EBD" w:rsidRDefault="00ED6EBD" w:rsidP="00ED6EBD">
                                  <w:pPr>
                                    <w:pStyle w:val="Default"/>
                                    <w:jc w:val="right"/>
                                    <w:rPr>
                                      <w:color w:val="auto"/>
                                      <w:sz w:val="20"/>
                                      <w:szCs w:val="20"/>
                                    </w:rPr>
                                  </w:pPr>
                                  <w:r>
                                    <w:rPr>
                                      <w:color w:val="auto"/>
                                      <w:sz w:val="20"/>
                                      <w:szCs w:val="20"/>
                                    </w:rPr>
                                    <w:t>22.00%</w:t>
                                  </w:r>
                                </w:p>
                              </w:tc>
                            </w:tr>
                            <w:tr w:rsidR="00ED6EBD" w14:paraId="1C34242F" w14:textId="77777777" w:rsidTr="00077C03">
                              <w:tc>
                                <w:tcPr>
                                  <w:tcW w:w="3260" w:type="dxa"/>
                                </w:tcPr>
                                <w:p w14:paraId="6AC986E3" w14:textId="77777777" w:rsidR="00ED6EBD" w:rsidRPr="004C1814" w:rsidRDefault="00ED6EBD" w:rsidP="00ED6EBD">
                                  <w:pPr>
                                    <w:pStyle w:val="Default"/>
                                    <w:rPr>
                                      <w:b/>
                                      <w:bCs/>
                                      <w:color w:val="auto"/>
                                      <w:sz w:val="20"/>
                                      <w:szCs w:val="20"/>
                                    </w:rPr>
                                  </w:pPr>
                                  <w:r w:rsidRPr="004C1814">
                                    <w:rPr>
                                      <w:b/>
                                      <w:bCs/>
                                      <w:color w:val="auto"/>
                                      <w:sz w:val="20"/>
                                      <w:szCs w:val="20"/>
                                    </w:rPr>
                                    <w:t>Top-up tax (12.5% min rate)</w:t>
                                  </w:r>
                                </w:p>
                              </w:tc>
                              <w:tc>
                                <w:tcPr>
                                  <w:tcW w:w="1276" w:type="dxa"/>
                                </w:tcPr>
                                <w:p w14:paraId="50489020" w14:textId="77777777" w:rsidR="00ED6EBD" w:rsidRPr="004C1814" w:rsidRDefault="00ED6EBD" w:rsidP="00ED6EBD">
                                  <w:pPr>
                                    <w:pStyle w:val="Default"/>
                                    <w:jc w:val="right"/>
                                    <w:rPr>
                                      <w:b/>
                                      <w:bCs/>
                                      <w:color w:val="FF0000"/>
                                      <w:sz w:val="20"/>
                                      <w:szCs w:val="20"/>
                                    </w:rPr>
                                  </w:pPr>
                                  <w:r>
                                    <w:rPr>
                                      <w:b/>
                                      <w:bCs/>
                                      <w:color w:val="FF0000"/>
                                      <w:sz w:val="20"/>
                                      <w:szCs w:val="20"/>
                                    </w:rPr>
                                    <w:t>0.0</w:t>
                                  </w:r>
                                  <w:r w:rsidRPr="004C1814">
                                    <w:rPr>
                                      <w:b/>
                                      <w:bCs/>
                                      <w:color w:val="FF0000"/>
                                      <w:sz w:val="20"/>
                                      <w:szCs w:val="20"/>
                                    </w:rPr>
                                    <w:t>0%</w:t>
                                  </w:r>
                                </w:p>
                              </w:tc>
                              <w:tc>
                                <w:tcPr>
                                  <w:tcW w:w="1418" w:type="dxa"/>
                                </w:tcPr>
                                <w:p w14:paraId="0ACDF791" w14:textId="77777777" w:rsidR="00ED6EBD" w:rsidRPr="004C1814" w:rsidRDefault="00ED6EBD" w:rsidP="00ED6EBD">
                                  <w:pPr>
                                    <w:pStyle w:val="Default"/>
                                    <w:jc w:val="right"/>
                                    <w:rPr>
                                      <w:b/>
                                      <w:bCs/>
                                      <w:color w:val="auto"/>
                                      <w:sz w:val="20"/>
                                      <w:szCs w:val="20"/>
                                    </w:rPr>
                                  </w:pPr>
                                  <w:r w:rsidRPr="004C1814">
                                    <w:rPr>
                                      <w:b/>
                                      <w:bCs/>
                                      <w:color w:val="auto"/>
                                      <w:sz w:val="20"/>
                                      <w:szCs w:val="20"/>
                                    </w:rPr>
                                    <w:t>0.00%</w:t>
                                  </w:r>
                                </w:p>
                              </w:tc>
                              <w:tc>
                                <w:tcPr>
                                  <w:tcW w:w="283" w:type="dxa"/>
                                </w:tcPr>
                                <w:p w14:paraId="1A9F2449" w14:textId="77777777" w:rsidR="00ED6EBD" w:rsidRPr="004C1814" w:rsidRDefault="00ED6EBD" w:rsidP="00ED6EBD">
                                  <w:pPr>
                                    <w:pStyle w:val="Default"/>
                                    <w:jc w:val="right"/>
                                    <w:rPr>
                                      <w:b/>
                                      <w:bCs/>
                                      <w:color w:val="auto"/>
                                      <w:sz w:val="20"/>
                                      <w:szCs w:val="20"/>
                                    </w:rPr>
                                  </w:pPr>
                                </w:p>
                              </w:tc>
                              <w:tc>
                                <w:tcPr>
                                  <w:tcW w:w="1276" w:type="dxa"/>
                                </w:tcPr>
                                <w:p w14:paraId="663FB73E" w14:textId="77777777" w:rsidR="00ED6EBD" w:rsidRPr="004C1814" w:rsidRDefault="00ED6EBD" w:rsidP="00ED6EBD">
                                  <w:pPr>
                                    <w:pStyle w:val="Default"/>
                                    <w:jc w:val="right"/>
                                    <w:rPr>
                                      <w:b/>
                                      <w:bCs/>
                                      <w:color w:val="auto"/>
                                      <w:sz w:val="20"/>
                                      <w:szCs w:val="20"/>
                                    </w:rPr>
                                  </w:pPr>
                                  <w:r>
                                    <w:rPr>
                                      <w:b/>
                                      <w:bCs/>
                                      <w:color w:val="FF0000"/>
                                      <w:sz w:val="20"/>
                                      <w:szCs w:val="20"/>
                                    </w:rPr>
                                    <w:t>3.7</w:t>
                                  </w:r>
                                  <w:r w:rsidRPr="004C1814">
                                    <w:rPr>
                                      <w:b/>
                                      <w:bCs/>
                                      <w:color w:val="FF0000"/>
                                      <w:sz w:val="20"/>
                                      <w:szCs w:val="20"/>
                                    </w:rPr>
                                    <w:t>0%</w:t>
                                  </w:r>
                                </w:p>
                              </w:tc>
                              <w:tc>
                                <w:tcPr>
                                  <w:tcW w:w="1417" w:type="dxa"/>
                                </w:tcPr>
                                <w:p w14:paraId="3565C49A" w14:textId="77777777" w:rsidR="00ED6EBD" w:rsidRPr="004C1814" w:rsidRDefault="00ED6EBD" w:rsidP="00ED6EBD">
                                  <w:pPr>
                                    <w:pStyle w:val="Default"/>
                                    <w:jc w:val="right"/>
                                    <w:rPr>
                                      <w:b/>
                                      <w:bCs/>
                                      <w:color w:val="auto"/>
                                      <w:sz w:val="20"/>
                                      <w:szCs w:val="20"/>
                                    </w:rPr>
                                  </w:pPr>
                                  <w:r w:rsidRPr="004C1814">
                                    <w:rPr>
                                      <w:b/>
                                      <w:bCs/>
                                      <w:color w:val="auto"/>
                                      <w:sz w:val="20"/>
                                      <w:szCs w:val="20"/>
                                    </w:rPr>
                                    <w:t>0.00%</w:t>
                                  </w:r>
                                </w:p>
                              </w:tc>
                            </w:tr>
                          </w:tbl>
                          <w:p w14:paraId="175CE98E" w14:textId="77777777" w:rsidR="00ED6EBD" w:rsidRDefault="00ED6EBD" w:rsidP="00ED6EBD">
                            <w:pPr>
                              <w:pStyle w:val="Default"/>
                              <w:ind w:left="720"/>
                              <w:rPr>
                                <w:color w:val="auto"/>
                                <w:sz w:val="22"/>
                                <w:szCs w:val="22"/>
                              </w:rPr>
                            </w:pPr>
                          </w:p>
                          <w:p w14:paraId="6278B531" w14:textId="77777777" w:rsidR="00ED6EBD" w:rsidRDefault="00ED6EBD" w:rsidP="00ED6EBD">
                            <w:pPr>
                              <w:pStyle w:val="Default"/>
                              <w:jc w:val="both"/>
                              <w:rPr>
                                <w:color w:val="auto"/>
                                <w:sz w:val="22"/>
                                <w:szCs w:val="22"/>
                              </w:rPr>
                            </w:pPr>
                            <w:r w:rsidRPr="00451C79">
                              <w:rPr>
                                <w:color w:val="auto"/>
                                <w:sz w:val="18"/>
                                <w:szCs w:val="18"/>
                              </w:rPr>
                              <w:t>Note in the example above the carry</w:t>
                            </w:r>
                            <w:r>
                              <w:rPr>
                                <w:color w:val="auto"/>
                                <w:sz w:val="18"/>
                                <w:szCs w:val="18"/>
                              </w:rPr>
                              <w:t>-</w:t>
                            </w:r>
                            <w:r w:rsidRPr="00451C79">
                              <w:rPr>
                                <w:color w:val="auto"/>
                                <w:sz w:val="18"/>
                                <w:szCs w:val="18"/>
                              </w:rPr>
                              <w:t>forward attributes (which are time-limited unlike losses) are presumed to have expired due to the long-term nature of insurance business and are hence not available in the reversing year</w:t>
                            </w:r>
                            <w:r>
                              <w:rPr>
                                <w:color w:val="auto"/>
                                <w:sz w:val="22"/>
                                <w:szCs w:val="22"/>
                              </w:rPr>
                              <w:t>.</w:t>
                            </w:r>
                          </w:p>
                          <w:p w14:paraId="4BCBF304" w14:textId="77777777" w:rsidR="00ED6EBD" w:rsidRDefault="00ED6EBD" w:rsidP="00ED6EBD">
                            <w:pPr>
                              <w:pStyle w:val="Default"/>
                              <w:jc w:val="both"/>
                              <w:rPr>
                                <w:color w:val="auto"/>
                                <w:sz w:val="22"/>
                                <w:szCs w:val="22"/>
                              </w:rPr>
                            </w:pPr>
                          </w:p>
                          <w:p w14:paraId="4C14ABEB" w14:textId="77777777" w:rsidR="00ED6EBD" w:rsidRDefault="00ED6EBD" w:rsidP="00ED6E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305C838" id="Rectangle 4" o:spid="_x0000_s1027" style="width:468.3pt;height:260.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" fillcolor="#4472c4 [3204]" strokecolor="#1f3763 [1604]" strokeweight="1pt">
                <v:textbox>
                  <w:txbxContent>
                    <w:p w14:paraId="0B4E7BE8" w14:textId="77777777" w:rsidR="00ED6EBD" w:rsidRPr="00911DC6" w:rsidRDefault="00ED6EBD" w:rsidP="00ED6EBD">
                      <w:pPr>
                        <w:pStyle w:val="Default"/>
                        <w:rPr>
                          <w:b/>
                          <w:bCs/>
                          <w:i/>
                          <w:iCs/>
                          <w:color w:val="auto"/>
                          <w:sz w:val="22"/>
                          <w:szCs w:val="22"/>
                        </w:rPr>
                      </w:pPr>
                      <w:r w:rsidRPr="00911DC6">
                        <w:rPr>
                          <w:b/>
                          <w:bCs/>
                          <w:i/>
                          <w:iCs/>
                          <w:color w:val="auto"/>
                          <w:sz w:val="22"/>
                          <w:szCs w:val="22"/>
                        </w:rPr>
                        <w:t>Example 2</w:t>
                      </w:r>
                    </w:p>
                    <w:p w14:paraId="5CF42AA7" w14:textId="77777777" w:rsidR="00ED6EBD" w:rsidRDefault="00ED6EBD" w:rsidP="00ED6EBD">
                      <w:pPr>
                        <w:pStyle w:val="Default"/>
                        <w:rPr>
                          <w:color w:val="auto"/>
                          <w:sz w:val="22"/>
                          <w:szCs w:val="22"/>
                        </w:rPr>
                      </w:pPr>
                    </w:p>
                    <w:p w14:paraId="1E152B6D" w14:textId="77777777" w:rsidR="00ED6EBD" w:rsidRDefault="00ED6EBD" w:rsidP="00ED6EBD">
                      <w:pPr>
                        <w:pStyle w:val="Default"/>
                        <w:jc w:val="both"/>
                        <w:rPr>
                          <w:color w:val="auto"/>
                          <w:sz w:val="22"/>
                          <w:szCs w:val="22"/>
                        </w:rPr>
                      </w:pPr>
                      <w:r>
                        <w:rPr>
                          <w:color w:val="auto"/>
                          <w:sz w:val="22"/>
                          <w:szCs w:val="22"/>
                        </w:rPr>
                        <w:t>In this example, the regulatory / tax reserves are lower than the accounting reserves so the taxable profit in the originating year is higher than the accounting profit e.g. US general insurance business:</w:t>
                      </w:r>
                    </w:p>
                    <w:p w14:paraId="2D2FB783" w14:textId="77777777" w:rsidR="00ED6EBD" w:rsidRDefault="00ED6EBD" w:rsidP="00ED6EBD">
                      <w:pPr>
                        <w:pStyle w:val="Default"/>
                        <w:rPr>
                          <w:color w:val="auto"/>
                          <w:sz w:val="22"/>
                          <w:szCs w:val="22"/>
                        </w:rPr>
                      </w:pPr>
                    </w:p>
                    <w:tbl>
                      <w:tblPr>
                        <w:tblStyle w:val="Mriekatabuky"/>
                        <w:tblW w:w="8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1276"/>
                        <w:gridCol w:w="1418"/>
                        <w:gridCol w:w="283"/>
                        <w:gridCol w:w="1276"/>
                        <w:gridCol w:w="1417"/>
                      </w:tblGrid>
                      <w:tr w:rsidR="00ED6EBD" w14:paraId="041C64D2" w14:textId="77777777" w:rsidTr="005127F7">
                        <w:tc>
                          <w:tcPr>
                            <w:tcW w:w="3260" w:type="dxa"/>
                          </w:tcPr>
                          <w:p w14:paraId="1A9FD7F0" w14:textId="77777777" w:rsidR="00ED6EBD" w:rsidRPr="004C0C70" w:rsidRDefault="00ED6EBD" w:rsidP="00ED6EBD">
                            <w:pPr>
                              <w:pStyle w:val="Default"/>
                              <w:rPr>
                                <w:b/>
                                <w:bCs/>
                                <w:color w:val="auto"/>
                                <w:sz w:val="20"/>
                                <w:szCs w:val="20"/>
                              </w:rPr>
                            </w:pPr>
                            <w:r w:rsidRPr="004C0C70">
                              <w:rPr>
                                <w:b/>
                                <w:bCs/>
                                <w:color w:val="auto"/>
                                <w:sz w:val="20"/>
                                <w:szCs w:val="20"/>
                              </w:rPr>
                              <w:t>Item</w:t>
                            </w:r>
                          </w:p>
                        </w:tc>
                        <w:tc>
                          <w:tcPr>
                            <w:tcW w:w="2694" w:type="dxa"/>
                            <w:gridSpan w:val="2"/>
                          </w:tcPr>
                          <w:p w14:paraId="012BC046" w14:textId="77777777" w:rsidR="00ED6EBD" w:rsidRPr="004C0C70" w:rsidRDefault="00ED6EBD" w:rsidP="00ED6EBD">
                            <w:pPr>
                              <w:pStyle w:val="Default"/>
                              <w:jc w:val="center"/>
                              <w:rPr>
                                <w:b/>
                                <w:bCs/>
                                <w:color w:val="auto"/>
                                <w:sz w:val="20"/>
                                <w:szCs w:val="20"/>
                              </w:rPr>
                            </w:pPr>
                            <w:r>
                              <w:rPr>
                                <w:b/>
                                <w:bCs/>
                                <w:color w:val="auto"/>
                                <w:sz w:val="20"/>
                                <w:szCs w:val="20"/>
                              </w:rPr>
                              <w:t>Origination year</w:t>
                            </w:r>
                          </w:p>
                        </w:tc>
                        <w:tc>
                          <w:tcPr>
                            <w:tcW w:w="283" w:type="dxa"/>
                          </w:tcPr>
                          <w:p w14:paraId="067BE5BF" w14:textId="77777777" w:rsidR="00ED6EBD" w:rsidRPr="004C0C70" w:rsidRDefault="00ED6EBD" w:rsidP="00ED6EBD">
                            <w:pPr>
                              <w:pStyle w:val="Default"/>
                              <w:jc w:val="right"/>
                              <w:rPr>
                                <w:b/>
                                <w:bCs/>
                                <w:color w:val="auto"/>
                                <w:sz w:val="20"/>
                                <w:szCs w:val="20"/>
                              </w:rPr>
                            </w:pPr>
                          </w:p>
                        </w:tc>
                        <w:tc>
                          <w:tcPr>
                            <w:tcW w:w="2693" w:type="dxa"/>
                            <w:gridSpan w:val="2"/>
                          </w:tcPr>
                          <w:p w14:paraId="5A297939" w14:textId="77777777" w:rsidR="00ED6EBD" w:rsidRPr="004C0C70" w:rsidRDefault="00ED6EBD" w:rsidP="00ED6EBD">
                            <w:pPr>
                              <w:pStyle w:val="Default"/>
                              <w:jc w:val="center"/>
                              <w:rPr>
                                <w:b/>
                                <w:bCs/>
                                <w:color w:val="auto"/>
                                <w:sz w:val="20"/>
                                <w:szCs w:val="20"/>
                              </w:rPr>
                            </w:pPr>
                            <w:r>
                              <w:rPr>
                                <w:b/>
                                <w:bCs/>
                                <w:color w:val="auto"/>
                                <w:sz w:val="20"/>
                                <w:szCs w:val="20"/>
                              </w:rPr>
                              <w:t>Reversing year</w:t>
                            </w:r>
                          </w:p>
                        </w:tc>
                      </w:tr>
                      <w:tr w:rsidR="00ED6EBD" w14:paraId="0C626410" w14:textId="77777777" w:rsidTr="00077C03">
                        <w:tc>
                          <w:tcPr>
                            <w:tcW w:w="3260" w:type="dxa"/>
                          </w:tcPr>
                          <w:p w14:paraId="50549019" w14:textId="77777777" w:rsidR="00ED6EBD" w:rsidRPr="004C0C70" w:rsidRDefault="00ED6EBD" w:rsidP="00ED6EBD">
                            <w:pPr>
                              <w:pStyle w:val="Default"/>
                              <w:rPr>
                                <w:b/>
                                <w:bCs/>
                                <w:color w:val="auto"/>
                                <w:sz w:val="20"/>
                                <w:szCs w:val="20"/>
                              </w:rPr>
                            </w:pPr>
                          </w:p>
                        </w:tc>
                        <w:tc>
                          <w:tcPr>
                            <w:tcW w:w="1276" w:type="dxa"/>
                          </w:tcPr>
                          <w:p w14:paraId="5728F7AE" w14:textId="77777777" w:rsidR="00ED6EBD" w:rsidRPr="004C0C70" w:rsidRDefault="00ED6EBD" w:rsidP="00ED6EBD">
                            <w:pPr>
                              <w:pStyle w:val="Default"/>
                              <w:jc w:val="right"/>
                              <w:rPr>
                                <w:b/>
                                <w:bCs/>
                                <w:color w:val="auto"/>
                                <w:sz w:val="20"/>
                                <w:szCs w:val="20"/>
                              </w:rPr>
                            </w:pPr>
                            <w:r w:rsidRPr="004C0C70">
                              <w:rPr>
                                <w:b/>
                                <w:bCs/>
                                <w:color w:val="auto"/>
                                <w:sz w:val="20"/>
                                <w:szCs w:val="20"/>
                              </w:rPr>
                              <w:t>Current</w:t>
                            </w:r>
                            <w:r>
                              <w:rPr>
                                <w:b/>
                                <w:bCs/>
                                <w:color w:val="auto"/>
                                <w:sz w:val="20"/>
                                <w:szCs w:val="20"/>
                              </w:rPr>
                              <w:t xml:space="preserve"> IF</w:t>
                            </w:r>
                            <w:r w:rsidRPr="004C0C70">
                              <w:rPr>
                                <w:b/>
                                <w:bCs/>
                                <w:color w:val="auto"/>
                                <w:sz w:val="20"/>
                                <w:szCs w:val="20"/>
                              </w:rPr>
                              <w:t xml:space="preserve"> proposal</w:t>
                            </w:r>
                          </w:p>
                        </w:tc>
                        <w:tc>
                          <w:tcPr>
                            <w:tcW w:w="1418" w:type="dxa"/>
                          </w:tcPr>
                          <w:p w14:paraId="59B2BDEE" w14:textId="77777777" w:rsidR="00ED6EBD" w:rsidRPr="004C0C70" w:rsidRDefault="00ED6EBD" w:rsidP="00ED6EBD">
                            <w:pPr>
                              <w:pStyle w:val="Default"/>
                              <w:jc w:val="right"/>
                              <w:rPr>
                                <w:b/>
                                <w:bCs/>
                                <w:color w:val="auto"/>
                                <w:sz w:val="20"/>
                                <w:szCs w:val="20"/>
                              </w:rPr>
                            </w:pPr>
                            <w:r w:rsidRPr="004C0C70">
                              <w:rPr>
                                <w:b/>
                                <w:bCs/>
                                <w:color w:val="auto"/>
                                <w:sz w:val="20"/>
                                <w:szCs w:val="20"/>
                              </w:rPr>
                              <w:t xml:space="preserve">Regulatory </w:t>
                            </w:r>
                            <w:r>
                              <w:rPr>
                                <w:b/>
                                <w:bCs/>
                                <w:color w:val="auto"/>
                                <w:sz w:val="20"/>
                                <w:szCs w:val="20"/>
                              </w:rPr>
                              <w:t xml:space="preserve">&amp; tax </w:t>
                            </w:r>
                            <w:r w:rsidRPr="004C0C70">
                              <w:rPr>
                                <w:b/>
                                <w:bCs/>
                                <w:color w:val="auto"/>
                                <w:sz w:val="20"/>
                                <w:szCs w:val="20"/>
                              </w:rPr>
                              <w:t>basis</w:t>
                            </w:r>
                          </w:p>
                        </w:tc>
                        <w:tc>
                          <w:tcPr>
                            <w:tcW w:w="283" w:type="dxa"/>
                          </w:tcPr>
                          <w:p w14:paraId="392D26A2" w14:textId="77777777" w:rsidR="00ED6EBD" w:rsidRPr="004C0C70" w:rsidRDefault="00ED6EBD" w:rsidP="00ED6EBD">
                            <w:pPr>
                              <w:pStyle w:val="Default"/>
                              <w:jc w:val="right"/>
                              <w:rPr>
                                <w:b/>
                                <w:bCs/>
                                <w:color w:val="auto"/>
                                <w:sz w:val="20"/>
                                <w:szCs w:val="20"/>
                              </w:rPr>
                            </w:pPr>
                          </w:p>
                        </w:tc>
                        <w:tc>
                          <w:tcPr>
                            <w:tcW w:w="1276" w:type="dxa"/>
                          </w:tcPr>
                          <w:p w14:paraId="142FE028" w14:textId="77777777" w:rsidR="00ED6EBD" w:rsidRPr="004C0C70" w:rsidRDefault="00ED6EBD" w:rsidP="00ED6EBD">
                            <w:pPr>
                              <w:pStyle w:val="Default"/>
                              <w:jc w:val="right"/>
                              <w:rPr>
                                <w:b/>
                                <w:bCs/>
                                <w:color w:val="auto"/>
                                <w:sz w:val="20"/>
                                <w:szCs w:val="20"/>
                              </w:rPr>
                            </w:pPr>
                            <w:r w:rsidRPr="004C0C70">
                              <w:rPr>
                                <w:b/>
                                <w:bCs/>
                                <w:color w:val="auto"/>
                                <w:sz w:val="20"/>
                                <w:szCs w:val="20"/>
                              </w:rPr>
                              <w:t xml:space="preserve">Current </w:t>
                            </w:r>
                            <w:r>
                              <w:rPr>
                                <w:b/>
                                <w:bCs/>
                                <w:color w:val="auto"/>
                                <w:sz w:val="20"/>
                                <w:szCs w:val="20"/>
                              </w:rPr>
                              <w:t xml:space="preserve">IF </w:t>
                            </w:r>
                            <w:r w:rsidRPr="004C0C70">
                              <w:rPr>
                                <w:b/>
                                <w:bCs/>
                                <w:color w:val="auto"/>
                                <w:sz w:val="20"/>
                                <w:szCs w:val="20"/>
                              </w:rPr>
                              <w:t>proposal</w:t>
                            </w:r>
                          </w:p>
                        </w:tc>
                        <w:tc>
                          <w:tcPr>
                            <w:tcW w:w="1417" w:type="dxa"/>
                          </w:tcPr>
                          <w:p w14:paraId="0BB72711" w14:textId="77777777" w:rsidR="00ED6EBD" w:rsidRPr="004C0C70" w:rsidRDefault="00ED6EBD" w:rsidP="00ED6EBD">
                            <w:pPr>
                              <w:pStyle w:val="Default"/>
                              <w:jc w:val="right"/>
                              <w:rPr>
                                <w:b/>
                                <w:bCs/>
                                <w:color w:val="auto"/>
                                <w:sz w:val="20"/>
                                <w:szCs w:val="20"/>
                              </w:rPr>
                            </w:pPr>
                            <w:r w:rsidRPr="004C0C70">
                              <w:rPr>
                                <w:b/>
                                <w:bCs/>
                                <w:color w:val="auto"/>
                                <w:sz w:val="20"/>
                                <w:szCs w:val="20"/>
                              </w:rPr>
                              <w:t>Regulatory</w:t>
                            </w:r>
                            <w:r>
                              <w:rPr>
                                <w:b/>
                                <w:bCs/>
                                <w:color w:val="auto"/>
                                <w:sz w:val="20"/>
                                <w:szCs w:val="20"/>
                              </w:rPr>
                              <w:t xml:space="preserve"> &amp; tax</w:t>
                            </w:r>
                            <w:r w:rsidRPr="004C0C70">
                              <w:rPr>
                                <w:b/>
                                <w:bCs/>
                                <w:color w:val="auto"/>
                                <w:sz w:val="20"/>
                                <w:szCs w:val="20"/>
                              </w:rPr>
                              <w:t xml:space="preserve"> basis</w:t>
                            </w:r>
                          </w:p>
                        </w:tc>
                      </w:tr>
                      <w:tr w:rsidR="00ED6EBD" w14:paraId="020904E0" w14:textId="77777777" w:rsidTr="00077C03">
                        <w:tc>
                          <w:tcPr>
                            <w:tcW w:w="3260" w:type="dxa"/>
                          </w:tcPr>
                          <w:p w14:paraId="35A565B9" w14:textId="77777777" w:rsidR="00ED6EBD" w:rsidRPr="004C0C70" w:rsidRDefault="00ED6EBD" w:rsidP="00ED6EBD">
                            <w:pPr>
                              <w:pStyle w:val="Default"/>
                              <w:rPr>
                                <w:color w:val="auto"/>
                                <w:sz w:val="20"/>
                                <w:szCs w:val="20"/>
                              </w:rPr>
                            </w:pPr>
                            <w:r w:rsidRPr="004C0C70">
                              <w:rPr>
                                <w:color w:val="auto"/>
                                <w:sz w:val="20"/>
                                <w:szCs w:val="20"/>
                              </w:rPr>
                              <w:t>Pre-tax income – group GAAP</w:t>
                            </w:r>
                          </w:p>
                        </w:tc>
                        <w:tc>
                          <w:tcPr>
                            <w:tcW w:w="1276" w:type="dxa"/>
                          </w:tcPr>
                          <w:p w14:paraId="253C2E9E" w14:textId="77777777" w:rsidR="00ED6EBD" w:rsidRPr="004C0C70" w:rsidRDefault="00ED6EBD" w:rsidP="00ED6EBD">
                            <w:pPr>
                              <w:pStyle w:val="Default"/>
                              <w:jc w:val="right"/>
                              <w:rPr>
                                <w:color w:val="auto"/>
                                <w:sz w:val="20"/>
                                <w:szCs w:val="20"/>
                              </w:rPr>
                            </w:pPr>
                            <w:r>
                              <w:rPr>
                                <w:color w:val="auto"/>
                                <w:sz w:val="20"/>
                                <w:szCs w:val="20"/>
                              </w:rPr>
                              <w:t>1,000</w:t>
                            </w:r>
                          </w:p>
                        </w:tc>
                        <w:tc>
                          <w:tcPr>
                            <w:tcW w:w="1418" w:type="dxa"/>
                          </w:tcPr>
                          <w:p w14:paraId="10D53706" w14:textId="77777777" w:rsidR="00ED6EBD" w:rsidRPr="004C0C70" w:rsidRDefault="00ED6EBD" w:rsidP="00ED6EBD">
                            <w:pPr>
                              <w:pStyle w:val="Default"/>
                              <w:jc w:val="right"/>
                              <w:rPr>
                                <w:color w:val="auto"/>
                                <w:sz w:val="20"/>
                                <w:szCs w:val="20"/>
                              </w:rPr>
                            </w:pPr>
                            <w:r>
                              <w:rPr>
                                <w:color w:val="auto"/>
                                <w:sz w:val="20"/>
                                <w:szCs w:val="20"/>
                              </w:rPr>
                              <w:t>1,000</w:t>
                            </w:r>
                          </w:p>
                        </w:tc>
                        <w:tc>
                          <w:tcPr>
                            <w:tcW w:w="283" w:type="dxa"/>
                          </w:tcPr>
                          <w:p w14:paraId="5EAC8991" w14:textId="77777777" w:rsidR="00ED6EBD" w:rsidRDefault="00ED6EBD" w:rsidP="00ED6EBD">
                            <w:pPr>
                              <w:pStyle w:val="Default"/>
                              <w:jc w:val="right"/>
                              <w:rPr>
                                <w:color w:val="auto"/>
                                <w:sz w:val="20"/>
                                <w:szCs w:val="20"/>
                              </w:rPr>
                            </w:pPr>
                          </w:p>
                        </w:tc>
                        <w:tc>
                          <w:tcPr>
                            <w:tcW w:w="1276" w:type="dxa"/>
                          </w:tcPr>
                          <w:p w14:paraId="1C2655D9" w14:textId="77777777" w:rsidR="00ED6EBD" w:rsidRDefault="00ED6EBD" w:rsidP="00ED6EBD">
                            <w:pPr>
                              <w:pStyle w:val="Default"/>
                              <w:jc w:val="right"/>
                              <w:rPr>
                                <w:color w:val="auto"/>
                                <w:sz w:val="20"/>
                                <w:szCs w:val="20"/>
                              </w:rPr>
                            </w:pPr>
                            <w:r>
                              <w:rPr>
                                <w:color w:val="auto"/>
                                <w:sz w:val="20"/>
                                <w:szCs w:val="20"/>
                              </w:rPr>
                              <w:t>1,000</w:t>
                            </w:r>
                          </w:p>
                        </w:tc>
                        <w:tc>
                          <w:tcPr>
                            <w:tcW w:w="1417" w:type="dxa"/>
                          </w:tcPr>
                          <w:p w14:paraId="05B814F7" w14:textId="77777777" w:rsidR="00ED6EBD" w:rsidRDefault="00ED6EBD" w:rsidP="00ED6EBD">
                            <w:pPr>
                              <w:pStyle w:val="Default"/>
                              <w:jc w:val="right"/>
                              <w:rPr>
                                <w:color w:val="auto"/>
                                <w:sz w:val="20"/>
                                <w:szCs w:val="20"/>
                              </w:rPr>
                            </w:pPr>
                            <w:r>
                              <w:rPr>
                                <w:color w:val="auto"/>
                                <w:sz w:val="20"/>
                                <w:szCs w:val="20"/>
                              </w:rPr>
                              <w:t>1000</w:t>
                            </w:r>
                          </w:p>
                        </w:tc>
                      </w:tr>
                      <w:tr w:rsidR="00ED6EBD" w14:paraId="277A8D1E" w14:textId="77777777" w:rsidTr="00077C03">
                        <w:tc>
                          <w:tcPr>
                            <w:tcW w:w="3260" w:type="dxa"/>
                          </w:tcPr>
                          <w:p w14:paraId="2F0CC13E" w14:textId="77777777" w:rsidR="00ED6EBD" w:rsidRPr="004C0C70" w:rsidRDefault="00ED6EBD" w:rsidP="00ED6EBD">
                            <w:pPr>
                              <w:pStyle w:val="Default"/>
                              <w:rPr>
                                <w:color w:val="auto"/>
                                <w:sz w:val="20"/>
                                <w:szCs w:val="20"/>
                              </w:rPr>
                            </w:pPr>
                            <w:r w:rsidRPr="004C0C70">
                              <w:rPr>
                                <w:color w:val="auto"/>
                                <w:sz w:val="20"/>
                                <w:szCs w:val="20"/>
                              </w:rPr>
                              <w:t>Regulatory</w:t>
                            </w:r>
                            <w:r>
                              <w:rPr>
                                <w:color w:val="auto"/>
                                <w:sz w:val="20"/>
                                <w:szCs w:val="20"/>
                              </w:rPr>
                              <w:t xml:space="preserve"> &amp;</w:t>
                            </w:r>
                            <w:r w:rsidRPr="004C0C70">
                              <w:rPr>
                                <w:color w:val="auto"/>
                                <w:sz w:val="20"/>
                                <w:szCs w:val="20"/>
                              </w:rPr>
                              <w:t xml:space="preserve"> tax basis adjustment</w:t>
                            </w:r>
                          </w:p>
                        </w:tc>
                        <w:tc>
                          <w:tcPr>
                            <w:tcW w:w="1276" w:type="dxa"/>
                          </w:tcPr>
                          <w:p w14:paraId="175E4663" w14:textId="77777777" w:rsidR="00ED6EBD" w:rsidRPr="004C0C70" w:rsidRDefault="00ED6EBD" w:rsidP="00ED6EBD">
                            <w:pPr>
                              <w:pStyle w:val="Default"/>
                              <w:jc w:val="right"/>
                              <w:rPr>
                                <w:color w:val="auto"/>
                                <w:sz w:val="20"/>
                                <w:szCs w:val="20"/>
                              </w:rPr>
                            </w:pPr>
                            <w:r>
                              <w:rPr>
                                <w:color w:val="auto"/>
                                <w:sz w:val="20"/>
                                <w:szCs w:val="20"/>
                              </w:rPr>
                              <w:t>600</w:t>
                            </w:r>
                          </w:p>
                        </w:tc>
                        <w:tc>
                          <w:tcPr>
                            <w:tcW w:w="1418" w:type="dxa"/>
                          </w:tcPr>
                          <w:p w14:paraId="16BF0CCC" w14:textId="77777777" w:rsidR="00ED6EBD" w:rsidRPr="004C0C70" w:rsidRDefault="00ED6EBD" w:rsidP="00ED6EBD">
                            <w:pPr>
                              <w:pStyle w:val="Default"/>
                              <w:jc w:val="right"/>
                              <w:rPr>
                                <w:color w:val="auto"/>
                                <w:sz w:val="20"/>
                                <w:szCs w:val="20"/>
                              </w:rPr>
                            </w:pPr>
                            <w:r>
                              <w:rPr>
                                <w:color w:val="auto"/>
                                <w:sz w:val="20"/>
                                <w:szCs w:val="20"/>
                              </w:rPr>
                              <w:t>600</w:t>
                            </w:r>
                          </w:p>
                        </w:tc>
                        <w:tc>
                          <w:tcPr>
                            <w:tcW w:w="283" w:type="dxa"/>
                          </w:tcPr>
                          <w:p w14:paraId="3A5AB6DE" w14:textId="77777777" w:rsidR="00ED6EBD" w:rsidRDefault="00ED6EBD" w:rsidP="00ED6EBD">
                            <w:pPr>
                              <w:pStyle w:val="Default"/>
                              <w:jc w:val="right"/>
                              <w:rPr>
                                <w:color w:val="auto"/>
                                <w:sz w:val="20"/>
                                <w:szCs w:val="20"/>
                              </w:rPr>
                            </w:pPr>
                          </w:p>
                        </w:tc>
                        <w:tc>
                          <w:tcPr>
                            <w:tcW w:w="1276" w:type="dxa"/>
                          </w:tcPr>
                          <w:p w14:paraId="4526246F" w14:textId="77777777" w:rsidR="00ED6EBD" w:rsidRDefault="00ED6EBD" w:rsidP="00ED6EBD">
                            <w:pPr>
                              <w:pStyle w:val="Default"/>
                              <w:jc w:val="right"/>
                              <w:rPr>
                                <w:color w:val="auto"/>
                                <w:sz w:val="20"/>
                                <w:szCs w:val="20"/>
                              </w:rPr>
                            </w:pPr>
                            <w:r>
                              <w:rPr>
                                <w:color w:val="auto"/>
                                <w:sz w:val="20"/>
                                <w:szCs w:val="20"/>
                              </w:rPr>
                              <w:t>(600)</w:t>
                            </w:r>
                          </w:p>
                        </w:tc>
                        <w:tc>
                          <w:tcPr>
                            <w:tcW w:w="1417" w:type="dxa"/>
                          </w:tcPr>
                          <w:p w14:paraId="6350A298" w14:textId="77777777" w:rsidR="00ED6EBD" w:rsidRDefault="00ED6EBD" w:rsidP="00ED6EBD">
                            <w:pPr>
                              <w:pStyle w:val="Default"/>
                              <w:jc w:val="right"/>
                              <w:rPr>
                                <w:color w:val="auto"/>
                                <w:sz w:val="20"/>
                                <w:szCs w:val="20"/>
                              </w:rPr>
                            </w:pPr>
                            <w:r>
                              <w:rPr>
                                <w:color w:val="auto"/>
                                <w:sz w:val="20"/>
                                <w:szCs w:val="20"/>
                              </w:rPr>
                              <w:t>(600)</w:t>
                            </w:r>
                          </w:p>
                        </w:tc>
                      </w:tr>
                      <w:tr w:rsidR="00ED6EBD" w14:paraId="7B37B140" w14:textId="77777777" w:rsidTr="00077C03">
                        <w:tc>
                          <w:tcPr>
                            <w:tcW w:w="3260" w:type="dxa"/>
                          </w:tcPr>
                          <w:p w14:paraId="238480F5" w14:textId="77777777" w:rsidR="00ED6EBD" w:rsidRPr="004C0C70" w:rsidRDefault="00ED6EBD" w:rsidP="00ED6EBD">
                            <w:pPr>
                              <w:pStyle w:val="Default"/>
                              <w:rPr>
                                <w:color w:val="auto"/>
                                <w:sz w:val="20"/>
                                <w:szCs w:val="20"/>
                              </w:rPr>
                            </w:pPr>
                            <w:r>
                              <w:rPr>
                                <w:color w:val="auto"/>
                                <w:sz w:val="20"/>
                                <w:szCs w:val="20"/>
                              </w:rPr>
                              <w:t>Jurisdictional taxable income</w:t>
                            </w:r>
                          </w:p>
                        </w:tc>
                        <w:tc>
                          <w:tcPr>
                            <w:tcW w:w="1276" w:type="dxa"/>
                          </w:tcPr>
                          <w:p w14:paraId="2D53EE4D" w14:textId="77777777" w:rsidR="00ED6EBD" w:rsidRPr="004C0C70" w:rsidRDefault="00ED6EBD" w:rsidP="00ED6EBD">
                            <w:pPr>
                              <w:pStyle w:val="Default"/>
                              <w:jc w:val="right"/>
                              <w:rPr>
                                <w:color w:val="auto"/>
                                <w:sz w:val="20"/>
                                <w:szCs w:val="20"/>
                              </w:rPr>
                            </w:pPr>
                            <w:r>
                              <w:rPr>
                                <w:color w:val="auto"/>
                                <w:sz w:val="20"/>
                                <w:szCs w:val="20"/>
                              </w:rPr>
                              <w:t>1,600</w:t>
                            </w:r>
                          </w:p>
                        </w:tc>
                        <w:tc>
                          <w:tcPr>
                            <w:tcW w:w="1418" w:type="dxa"/>
                          </w:tcPr>
                          <w:p w14:paraId="07E9DBC3" w14:textId="77777777" w:rsidR="00ED6EBD" w:rsidRPr="004C0C70" w:rsidRDefault="00ED6EBD" w:rsidP="00ED6EBD">
                            <w:pPr>
                              <w:pStyle w:val="Default"/>
                              <w:jc w:val="right"/>
                              <w:rPr>
                                <w:color w:val="auto"/>
                                <w:sz w:val="20"/>
                                <w:szCs w:val="20"/>
                              </w:rPr>
                            </w:pPr>
                            <w:r>
                              <w:rPr>
                                <w:color w:val="auto"/>
                                <w:sz w:val="20"/>
                                <w:szCs w:val="20"/>
                              </w:rPr>
                              <w:t>1,600</w:t>
                            </w:r>
                          </w:p>
                        </w:tc>
                        <w:tc>
                          <w:tcPr>
                            <w:tcW w:w="283" w:type="dxa"/>
                          </w:tcPr>
                          <w:p w14:paraId="31A08EE0" w14:textId="77777777" w:rsidR="00ED6EBD" w:rsidRDefault="00ED6EBD" w:rsidP="00ED6EBD">
                            <w:pPr>
                              <w:pStyle w:val="Default"/>
                              <w:jc w:val="right"/>
                              <w:rPr>
                                <w:color w:val="auto"/>
                                <w:sz w:val="20"/>
                                <w:szCs w:val="20"/>
                              </w:rPr>
                            </w:pPr>
                          </w:p>
                        </w:tc>
                        <w:tc>
                          <w:tcPr>
                            <w:tcW w:w="1276" w:type="dxa"/>
                          </w:tcPr>
                          <w:p w14:paraId="7795E257" w14:textId="77777777" w:rsidR="00ED6EBD" w:rsidRDefault="00ED6EBD" w:rsidP="00ED6EBD">
                            <w:pPr>
                              <w:pStyle w:val="Default"/>
                              <w:jc w:val="right"/>
                              <w:rPr>
                                <w:color w:val="auto"/>
                                <w:sz w:val="20"/>
                                <w:szCs w:val="20"/>
                              </w:rPr>
                            </w:pPr>
                            <w:r>
                              <w:rPr>
                                <w:color w:val="auto"/>
                                <w:sz w:val="20"/>
                                <w:szCs w:val="20"/>
                              </w:rPr>
                              <w:t>400</w:t>
                            </w:r>
                          </w:p>
                        </w:tc>
                        <w:tc>
                          <w:tcPr>
                            <w:tcW w:w="1417" w:type="dxa"/>
                          </w:tcPr>
                          <w:p w14:paraId="4C1921EF" w14:textId="77777777" w:rsidR="00ED6EBD" w:rsidRDefault="00ED6EBD" w:rsidP="00ED6EBD">
                            <w:pPr>
                              <w:pStyle w:val="Default"/>
                              <w:jc w:val="right"/>
                              <w:rPr>
                                <w:color w:val="auto"/>
                                <w:sz w:val="20"/>
                                <w:szCs w:val="20"/>
                              </w:rPr>
                            </w:pPr>
                            <w:r>
                              <w:rPr>
                                <w:color w:val="auto"/>
                                <w:sz w:val="20"/>
                                <w:szCs w:val="20"/>
                              </w:rPr>
                              <w:t>400</w:t>
                            </w:r>
                          </w:p>
                        </w:tc>
                      </w:tr>
                      <w:tr w:rsidR="00ED6EBD" w14:paraId="49E16052" w14:textId="77777777" w:rsidTr="00077C03">
                        <w:tc>
                          <w:tcPr>
                            <w:tcW w:w="3260" w:type="dxa"/>
                          </w:tcPr>
                          <w:p w14:paraId="2297E5E1" w14:textId="77777777" w:rsidR="00ED6EBD" w:rsidRPr="004C0C70" w:rsidRDefault="00ED6EBD" w:rsidP="00ED6EBD">
                            <w:pPr>
                              <w:pStyle w:val="Default"/>
                              <w:rPr>
                                <w:color w:val="auto"/>
                                <w:sz w:val="20"/>
                                <w:szCs w:val="20"/>
                              </w:rPr>
                            </w:pPr>
                            <w:r>
                              <w:rPr>
                                <w:color w:val="auto"/>
                                <w:sz w:val="20"/>
                                <w:szCs w:val="20"/>
                              </w:rPr>
                              <w:t>Cash taxes at 22%</w:t>
                            </w:r>
                          </w:p>
                        </w:tc>
                        <w:tc>
                          <w:tcPr>
                            <w:tcW w:w="1276" w:type="dxa"/>
                          </w:tcPr>
                          <w:p w14:paraId="385AA582" w14:textId="77777777" w:rsidR="00ED6EBD" w:rsidRPr="004C0C70" w:rsidRDefault="00ED6EBD" w:rsidP="00ED6EBD">
                            <w:pPr>
                              <w:pStyle w:val="Default"/>
                              <w:jc w:val="right"/>
                              <w:rPr>
                                <w:color w:val="auto"/>
                                <w:sz w:val="20"/>
                                <w:szCs w:val="20"/>
                              </w:rPr>
                            </w:pPr>
                            <w:r>
                              <w:rPr>
                                <w:color w:val="auto"/>
                                <w:sz w:val="20"/>
                                <w:szCs w:val="20"/>
                              </w:rPr>
                              <w:t>352</w:t>
                            </w:r>
                          </w:p>
                        </w:tc>
                        <w:tc>
                          <w:tcPr>
                            <w:tcW w:w="1418" w:type="dxa"/>
                          </w:tcPr>
                          <w:p w14:paraId="088C2B9F" w14:textId="77777777" w:rsidR="00ED6EBD" w:rsidRPr="004C0C70" w:rsidRDefault="00ED6EBD" w:rsidP="00ED6EBD">
                            <w:pPr>
                              <w:pStyle w:val="Default"/>
                              <w:jc w:val="right"/>
                              <w:rPr>
                                <w:color w:val="auto"/>
                                <w:sz w:val="20"/>
                                <w:szCs w:val="20"/>
                              </w:rPr>
                            </w:pPr>
                            <w:r>
                              <w:rPr>
                                <w:color w:val="auto"/>
                                <w:sz w:val="20"/>
                                <w:szCs w:val="20"/>
                              </w:rPr>
                              <w:t>352</w:t>
                            </w:r>
                          </w:p>
                        </w:tc>
                        <w:tc>
                          <w:tcPr>
                            <w:tcW w:w="283" w:type="dxa"/>
                          </w:tcPr>
                          <w:p w14:paraId="04721981" w14:textId="77777777" w:rsidR="00ED6EBD" w:rsidRDefault="00ED6EBD" w:rsidP="00ED6EBD">
                            <w:pPr>
                              <w:pStyle w:val="Default"/>
                              <w:jc w:val="right"/>
                              <w:rPr>
                                <w:color w:val="auto"/>
                                <w:sz w:val="20"/>
                                <w:szCs w:val="20"/>
                              </w:rPr>
                            </w:pPr>
                          </w:p>
                        </w:tc>
                        <w:tc>
                          <w:tcPr>
                            <w:tcW w:w="1276" w:type="dxa"/>
                          </w:tcPr>
                          <w:p w14:paraId="284919D2" w14:textId="77777777" w:rsidR="00ED6EBD" w:rsidRDefault="00ED6EBD" w:rsidP="00ED6EBD">
                            <w:pPr>
                              <w:pStyle w:val="Default"/>
                              <w:jc w:val="right"/>
                              <w:rPr>
                                <w:color w:val="auto"/>
                                <w:sz w:val="20"/>
                                <w:szCs w:val="20"/>
                              </w:rPr>
                            </w:pPr>
                            <w:r>
                              <w:rPr>
                                <w:color w:val="auto"/>
                                <w:sz w:val="20"/>
                                <w:szCs w:val="20"/>
                              </w:rPr>
                              <w:t>88</w:t>
                            </w:r>
                          </w:p>
                        </w:tc>
                        <w:tc>
                          <w:tcPr>
                            <w:tcW w:w="1417" w:type="dxa"/>
                          </w:tcPr>
                          <w:p w14:paraId="17704A5C" w14:textId="77777777" w:rsidR="00ED6EBD" w:rsidRDefault="00ED6EBD" w:rsidP="00ED6EBD">
                            <w:pPr>
                              <w:pStyle w:val="Default"/>
                              <w:jc w:val="right"/>
                              <w:rPr>
                                <w:color w:val="auto"/>
                                <w:sz w:val="20"/>
                                <w:szCs w:val="20"/>
                              </w:rPr>
                            </w:pPr>
                            <w:r>
                              <w:rPr>
                                <w:color w:val="auto"/>
                                <w:sz w:val="20"/>
                                <w:szCs w:val="20"/>
                              </w:rPr>
                              <w:t>88</w:t>
                            </w:r>
                          </w:p>
                        </w:tc>
                      </w:tr>
                      <w:tr w:rsidR="00ED6EBD" w14:paraId="50E2A5AF" w14:textId="77777777" w:rsidTr="00077C03">
                        <w:tc>
                          <w:tcPr>
                            <w:tcW w:w="3260" w:type="dxa"/>
                          </w:tcPr>
                          <w:p w14:paraId="66390CC4" w14:textId="77777777" w:rsidR="00ED6EBD" w:rsidRPr="004C0C70" w:rsidRDefault="00ED6EBD" w:rsidP="00ED6EBD">
                            <w:pPr>
                              <w:pStyle w:val="Default"/>
                              <w:rPr>
                                <w:color w:val="auto"/>
                                <w:sz w:val="20"/>
                                <w:szCs w:val="20"/>
                              </w:rPr>
                            </w:pPr>
                            <w:r>
                              <w:rPr>
                                <w:color w:val="auto"/>
                                <w:sz w:val="20"/>
                                <w:szCs w:val="20"/>
                              </w:rPr>
                              <w:t>Timing difference (deferred) taxes</w:t>
                            </w:r>
                          </w:p>
                        </w:tc>
                        <w:tc>
                          <w:tcPr>
                            <w:tcW w:w="1276" w:type="dxa"/>
                          </w:tcPr>
                          <w:p w14:paraId="35ABB962" w14:textId="77777777" w:rsidR="00ED6EBD" w:rsidRPr="004C0C70" w:rsidRDefault="00ED6EBD" w:rsidP="00ED6EBD">
                            <w:pPr>
                              <w:pStyle w:val="Default"/>
                              <w:jc w:val="right"/>
                              <w:rPr>
                                <w:color w:val="auto"/>
                                <w:sz w:val="20"/>
                                <w:szCs w:val="20"/>
                              </w:rPr>
                            </w:pPr>
                            <w:r>
                              <w:rPr>
                                <w:color w:val="auto"/>
                                <w:sz w:val="20"/>
                                <w:szCs w:val="20"/>
                              </w:rPr>
                              <w:t>0</w:t>
                            </w:r>
                          </w:p>
                        </w:tc>
                        <w:tc>
                          <w:tcPr>
                            <w:tcW w:w="1418" w:type="dxa"/>
                          </w:tcPr>
                          <w:p w14:paraId="17F3B9F3" w14:textId="77777777" w:rsidR="00ED6EBD" w:rsidRPr="004C0C70" w:rsidRDefault="00ED6EBD" w:rsidP="00ED6EBD">
                            <w:pPr>
                              <w:pStyle w:val="Default"/>
                              <w:jc w:val="right"/>
                              <w:rPr>
                                <w:color w:val="auto"/>
                                <w:sz w:val="20"/>
                                <w:szCs w:val="20"/>
                              </w:rPr>
                            </w:pPr>
                            <w:r>
                              <w:rPr>
                                <w:color w:val="auto"/>
                                <w:sz w:val="20"/>
                                <w:szCs w:val="20"/>
                              </w:rPr>
                              <w:t>(132)</w:t>
                            </w:r>
                          </w:p>
                        </w:tc>
                        <w:tc>
                          <w:tcPr>
                            <w:tcW w:w="283" w:type="dxa"/>
                          </w:tcPr>
                          <w:p w14:paraId="7C314E7B" w14:textId="77777777" w:rsidR="00ED6EBD" w:rsidRDefault="00ED6EBD" w:rsidP="00ED6EBD">
                            <w:pPr>
                              <w:pStyle w:val="Default"/>
                              <w:jc w:val="right"/>
                              <w:rPr>
                                <w:color w:val="auto"/>
                                <w:sz w:val="20"/>
                                <w:szCs w:val="20"/>
                              </w:rPr>
                            </w:pPr>
                          </w:p>
                        </w:tc>
                        <w:tc>
                          <w:tcPr>
                            <w:tcW w:w="1276" w:type="dxa"/>
                          </w:tcPr>
                          <w:p w14:paraId="0A9CAF29" w14:textId="77777777" w:rsidR="00ED6EBD" w:rsidRDefault="00ED6EBD" w:rsidP="00ED6EBD">
                            <w:pPr>
                              <w:pStyle w:val="Default"/>
                              <w:jc w:val="right"/>
                              <w:rPr>
                                <w:color w:val="auto"/>
                                <w:sz w:val="20"/>
                                <w:szCs w:val="20"/>
                              </w:rPr>
                            </w:pPr>
                            <w:r>
                              <w:rPr>
                                <w:color w:val="auto"/>
                                <w:sz w:val="20"/>
                                <w:szCs w:val="20"/>
                              </w:rPr>
                              <w:t>0</w:t>
                            </w:r>
                          </w:p>
                        </w:tc>
                        <w:tc>
                          <w:tcPr>
                            <w:tcW w:w="1417" w:type="dxa"/>
                          </w:tcPr>
                          <w:p w14:paraId="37F86FB8" w14:textId="77777777" w:rsidR="00ED6EBD" w:rsidRDefault="00ED6EBD" w:rsidP="00ED6EBD">
                            <w:pPr>
                              <w:pStyle w:val="Default"/>
                              <w:jc w:val="right"/>
                              <w:rPr>
                                <w:color w:val="auto"/>
                                <w:sz w:val="20"/>
                                <w:szCs w:val="20"/>
                              </w:rPr>
                            </w:pPr>
                            <w:r>
                              <w:rPr>
                                <w:color w:val="auto"/>
                                <w:sz w:val="20"/>
                                <w:szCs w:val="20"/>
                              </w:rPr>
                              <w:t>132</w:t>
                            </w:r>
                          </w:p>
                        </w:tc>
                      </w:tr>
                      <w:tr w:rsidR="00ED6EBD" w14:paraId="15F18373" w14:textId="77777777" w:rsidTr="00077C03">
                        <w:tc>
                          <w:tcPr>
                            <w:tcW w:w="3260" w:type="dxa"/>
                          </w:tcPr>
                          <w:p w14:paraId="21FAFB20" w14:textId="77777777" w:rsidR="00ED6EBD" w:rsidRDefault="00ED6EBD" w:rsidP="00ED6EBD">
                            <w:pPr>
                              <w:pStyle w:val="Default"/>
                              <w:rPr>
                                <w:color w:val="auto"/>
                                <w:sz w:val="20"/>
                                <w:szCs w:val="20"/>
                              </w:rPr>
                            </w:pPr>
                            <w:r>
                              <w:rPr>
                                <w:color w:val="auto"/>
                                <w:sz w:val="20"/>
                                <w:szCs w:val="20"/>
                              </w:rPr>
                              <w:t>Covered taxes</w:t>
                            </w:r>
                          </w:p>
                        </w:tc>
                        <w:tc>
                          <w:tcPr>
                            <w:tcW w:w="1276" w:type="dxa"/>
                          </w:tcPr>
                          <w:p w14:paraId="3480B838" w14:textId="77777777" w:rsidR="00ED6EBD" w:rsidRDefault="00ED6EBD" w:rsidP="00ED6EBD">
                            <w:pPr>
                              <w:pStyle w:val="Default"/>
                              <w:jc w:val="right"/>
                              <w:rPr>
                                <w:color w:val="auto"/>
                                <w:sz w:val="20"/>
                                <w:szCs w:val="20"/>
                              </w:rPr>
                            </w:pPr>
                            <w:r>
                              <w:rPr>
                                <w:color w:val="auto"/>
                                <w:sz w:val="20"/>
                                <w:szCs w:val="20"/>
                              </w:rPr>
                              <w:t>352</w:t>
                            </w:r>
                          </w:p>
                        </w:tc>
                        <w:tc>
                          <w:tcPr>
                            <w:tcW w:w="1418" w:type="dxa"/>
                          </w:tcPr>
                          <w:p w14:paraId="4927FBA8" w14:textId="77777777" w:rsidR="00ED6EBD" w:rsidRPr="004C0C70" w:rsidRDefault="00ED6EBD" w:rsidP="00ED6EBD">
                            <w:pPr>
                              <w:pStyle w:val="Default"/>
                              <w:jc w:val="right"/>
                              <w:rPr>
                                <w:color w:val="auto"/>
                                <w:sz w:val="20"/>
                                <w:szCs w:val="20"/>
                              </w:rPr>
                            </w:pPr>
                            <w:r>
                              <w:rPr>
                                <w:color w:val="auto"/>
                                <w:sz w:val="20"/>
                                <w:szCs w:val="20"/>
                              </w:rPr>
                              <w:t>220</w:t>
                            </w:r>
                          </w:p>
                        </w:tc>
                        <w:tc>
                          <w:tcPr>
                            <w:tcW w:w="283" w:type="dxa"/>
                          </w:tcPr>
                          <w:p w14:paraId="1DEE4888" w14:textId="77777777" w:rsidR="00ED6EBD" w:rsidRDefault="00ED6EBD" w:rsidP="00ED6EBD">
                            <w:pPr>
                              <w:pStyle w:val="Default"/>
                              <w:jc w:val="right"/>
                              <w:rPr>
                                <w:color w:val="auto"/>
                                <w:sz w:val="20"/>
                                <w:szCs w:val="20"/>
                              </w:rPr>
                            </w:pPr>
                          </w:p>
                        </w:tc>
                        <w:tc>
                          <w:tcPr>
                            <w:tcW w:w="1276" w:type="dxa"/>
                          </w:tcPr>
                          <w:p w14:paraId="59613D7B" w14:textId="77777777" w:rsidR="00ED6EBD" w:rsidRDefault="00ED6EBD" w:rsidP="00ED6EBD">
                            <w:pPr>
                              <w:pStyle w:val="Default"/>
                              <w:jc w:val="right"/>
                              <w:rPr>
                                <w:color w:val="auto"/>
                                <w:sz w:val="20"/>
                                <w:szCs w:val="20"/>
                              </w:rPr>
                            </w:pPr>
                            <w:r>
                              <w:rPr>
                                <w:color w:val="auto"/>
                                <w:sz w:val="20"/>
                                <w:szCs w:val="20"/>
                              </w:rPr>
                              <w:t>88</w:t>
                            </w:r>
                          </w:p>
                        </w:tc>
                        <w:tc>
                          <w:tcPr>
                            <w:tcW w:w="1417" w:type="dxa"/>
                          </w:tcPr>
                          <w:p w14:paraId="02807ABE" w14:textId="77777777" w:rsidR="00ED6EBD" w:rsidRDefault="00ED6EBD" w:rsidP="00ED6EBD">
                            <w:pPr>
                              <w:pStyle w:val="Default"/>
                              <w:jc w:val="right"/>
                              <w:rPr>
                                <w:color w:val="auto"/>
                                <w:sz w:val="20"/>
                                <w:szCs w:val="20"/>
                              </w:rPr>
                            </w:pPr>
                            <w:r>
                              <w:rPr>
                                <w:color w:val="auto"/>
                                <w:sz w:val="20"/>
                                <w:szCs w:val="20"/>
                              </w:rPr>
                              <w:t>220</w:t>
                            </w:r>
                          </w:p>
                        </w:tc>
                      </w:tr>
                      <w:tr w:rsidR="00ED6EBD" w14:paraId="26B78DD9" w14:textId="77777777" w:rsidTr="00077C03">
                        <w:tc>
                          <w:tcPr>
                            <w:tcW w:w="3260" w:type="dxa"/>
                          </w:tcPr>
                          <w:p w14:paraId="6D4C7DA3" w14:textId="77777777" w:rsidR="00ED6EBD" w:rsidRPr="004C0C70" w:rsidRDefault="00ED6EBD" w:rsidP="00ED6EBD">
                            <w:pPr>
                              <w:pStyle w:val="Default"/>
                              <w:rPr>
                                <w:color w:val="auto"/>
                                <w:sz w:val="20"/>
                                <w:szCs w:val="20"/>
                              </w:rPr>
                            </w:pPr>
                            <w:r>
                              <w:rPr>
                                <w:color w:val="auto"/>
                                <w:sz w:val="20"/>
                                <w:szCs w:val="20"/>
                              </w:rPr>
                              <w:t>Pillar Two ETR</w:t>
                            </w:r>
                          </w:p>
                        </w:tc>
                        <w:tc>
                          <w:tcPr>
                            <w:tcW w:w="1276" w:type="dxa"/>
                          </w:tcPr>
                          <w:p w14:paraId="2A7CC32A" w14:textId="77777777" w:rsidR="00ED6EBD" w:rsidRPr="004C0C70" w:rsidRDefault="00ED6EBD" w:rsidP="00ED6EBD">
                            <w:pPr>
                              <w:pStyle w:val="Default"/>
                              <w:jc w:val="right"/>
                              <w:rPr>
                                <w:color w:val="auto"/>
                                <w:sz w:val="20"/>
                                <w:szCs w:val="20"/>
                              </w:rPr>
                            </w:pPr>
                            <w:r>
                              <w:rPr>
                                <w:color w:val="auto"/>
                                <w:sz w:val="20"/>
                                <w:szCs w:val="20"/>
                              </w:rPr>
                              <w:t>35.2%</w:t>
                            </w:r>
                          </w:p>
                        </w:tc>
                        <w:tc>
                          <w:tcPr>
                            <w:tcW w:w="1418" w:type="dxa"/>
                          </w:tcPr>
                          <w:p w14:paraId="0F57D9EF" w14:textId="77777777" w:rsidR="00ED6EBD" w:rsidRPr="004C0C70" w:rsidRDefault="00ED6EBD" w:rsidP="00ED6EBD">
                            <w:pPr>
                              <w:pStyle w:val="Default"/>
                              <w:jc w:val="right"/>
                              <w:rPr>
                                <w:color w:val="auto"/>
                                <w:sz w:val="20"/>
                                <w:szCs w:val="20"/>
                              </w:rPr>
                            </w:pPr>
                            <w:r>
                              <w:rPr>
                                <w:color w:val="auto"/>
                                <w:sz w:val="20"/>
                                <w:szCs w:val="20"/>
                              </w:rPr>
                              <w:t>22.00%</w:t>
                            </w:r>
                          </w:p>
                        </w:tc>
                        <w:tc>
                          <w:tcPr>
                            <w:tcW w:w="283" w:type="dxa"/>
                          </w:tcPr>
                          <w:p w14:paraId="385057BA" w14:textId="77777777" w:rsidR="00ED6EBD" w:rsidRDefault="00ED6EBD" w:rsidP="00ED6EBD">
                            <w:pPr>
                              <w:pStyle w:val="Default"/>
                              <w:jc w:val="right"/>
                              <w:rPr>
                                <w:color w:val="auto"/>
                                <w:sz w:val="20"/>
                                <w:szCs w:val="20"/>
                              </w:rPr>
                            </w:pPr>
                          </w:p>
                        </w:tc>
                        <w:tc>
                          <w:tcPr>
                            <w:tcW w:w="1276" w:type="dxa"/>
                          </w:tcPr>
                          <w:p w14:paraId="7D42535B" w14:textId="77777777" w:rsidR="00ED6EBD" w:rsidRDefault="00ED6EBD" w:rsidP="00ED6EBD">
                            <w:pPr>
                              <w:pStyle w:val="Default"/>
                              <w:jc w:val="right"/>
                              <w:rPr>
                                <w:color w:val="auto"/>
                                <w:sz w:val="20"/>
                                <w:szCs w:val="20"/>
                              </w:rPr>
                            </w:pPr>
                            <w:r>
                              <w:rPr>
                                <w:color w:val="auto"/>
                                <w:sz w:val="20"/>
                                <w:szCs w:val="20"/>
                              </w:rPr>
                              <w:t>8.80%</w:t>
                            </w:r>
                          </w:p>
                        </w:tc>
                        <w:tc>
                          <w:tcPr>
                            <w:tcW w:w="1417" w:type="dxa"/>
                          </w:tcPr>
                          <w:p w14:paraId="7484D3A0" w14:textId="77777777" w:rsidR="00ED6EBD" w:rsidRDefault="00ED6EBD" w:rsidP="00ED6EBD">
                            <w:pPr>
                              <w:pStyle w:val="Default"/>
                              <w:jc w:val="right"/>
                              <w:rPr>
                                <w:color w:val="auto"/>
                                <w:sz w:val="20"/>
                                <w:szCs w:val="20"/>
                              </w:rPr>
                            </w:pPr>
                            <w:r>
                              <w:rPr>
                                <w:color w:val="auto"/>
                                <w:sz w:val="20"/>
                                <w:szCs w:val="20"/>
                              </w:rPr>
                              <w:t>22.00%</w:t>
                            </w:r>
                          </w:p>
                        </w:tc>
                      </w:tr>
                      <w:tr w:rsidR="00ED6EBD" w14:paraId="1C34242F" w14:textId="77777777" w:rsidTr="00077C03">
                        <w:tc>
                          <w:tcPr>
                            <w:tcW w:w="3260" w:type="dxa"/>
                          </w:tcPr>
                          <w:p w14:paraId="6AC986E3" w14:textId="77777777" w:rsidR="00ED6EBD" w:rsidRPr="004C1814" w:rsidRDefault="00ED6EBD" w:rsidP="00ED6EBD">
                            <w:pPr>
                              <w:pStyle w:val="Default"/>
                              <w:rPr>
                                <w:b/>
                                <w:bCs/>
                                <w:color w:val="auto"/>
                                <w:sz w:val="20"/>
                                <w:szCs w:val="20"/>
                              </w:rPr>
                            </w:pPr>
                            <w:r w:rsidRPr="004C1814">
                              <w:rPr>
                                <w:b/>
                                <w:bCs/>
                                <w:color w:val="auto"/>
                                <w:sz w:val="20"/>
                                <w:szCs w:val="20"/>
                              </w:rPr>
                              <w:t>Top-up tax (12.5% min rate)</w:t>
                            </w:r>
                          </w:p>
                        </w:tc>
                        <w:tc>
                          <w:tcPr>
                            <w:tcW w:w="1276" w:type="dxa"/>
                          </w:tcPr>
                          <w:p w14:paraId="50489020" w14:textId="77777777" w:rsidR="00ED6EBD" w:rsidRPr="004C1814" w:rsidRDefault="00ED6EBD" w:rsidP="00ED6EBD">
                            <w:pPr>
                              <w:pStyle w:val="Default"/>
                              <w:jc w:val="right"/>
                              <w:rPr>
                                <w:b/>
                                <w:bCs/>
                                <w:color w:val="FF0000"/>
                                <w:sz w:val="20"/>
                                <w:szCs w:val="20"/>
                              </w:rPr>
                            </w:pPr>
                            <w:r>
                              <w:rPr>
                                <w:b/>
                                <w:bCs/>
                                <w:color w:val="FF0000"/>
                                <w:sz w:val="20"/>
                                <w:szCs w:val="20"/>
                              </w:rPr>
                              <w:t>0.0</w:t>
                            </w:r>
                            <w:r w:rsidRPr="004C1814">
                              <w:rPr>
                                <w:b/>
                                <w:bCs/>
                                <w:color w:val="FF0000"/>
                                <w:sz w:val="20"/>
                                <w:szCs w:val="20"/>
                              </w:rPr>
                              <w:t>0%</w:t>
                            </w:r>
                          </w:p>
                        </w:tc>
                        <w:tc>
                          <w:tcPr>
                            <w:tcW w:w="1418" w:type="dxa"/>
                          </w:tcPr>
                          <w:p w14:paraId="0ACDF791" w14:textId="77777777" w:rsidR="00ED6EBD" w:rsidRPr="004C1814" w:rsidRDefault="00ED6EBD" w:rsidP="00ED6EBD">
                            <w:pPr>
                              <w:pStyle w:val="Default"/>
                              <w:jc w:val="right"/>
                              <w:rPr>
                                <w:b/>
                                <w:bCs/>
                                <w:color w:val="auto"/>
                                <w:sz w:val="20"/>
                                <w:szCs w:val="20"/>
                              </w:rPr>
                            </w:pPr>
                            <w:r w:rsidRPr="004C1814">
                              <w:rPr>
                                <w:b/>
                                <w:bCs/>
                                <w:color w:val="auto"/>
                                <w:sz w:val="20"/>
                                <w:szCs w:val="20"/>
                              </w:rPr>
                              <w:t>0.00%</w:t>
                            </w:r>
                          </w:p>
                        </w:tc>
                        <w:tc>
                          <w:tcPr>
                            <w:tcW w:w="283" w:type="dxa"/>
                          </w:tcPr>
                          <w:p w14:paraId="1A9F2449" w14:textId="77777777" w:rsidR="00ED6EBD" w:rsidRPr="004C1814" w:rsidRDefault="00ED6EBD" w:rsidP="00ED6EBD">
                            <w:pPr>
                              <w:pStyle w:val="Default"/>
                              <w:jc w:val="right"/>
                              <w:rPr>
                                <w:b/>
                                <w:bCs/>
                                <w:color w:val="auto"/>
                                <w:sz w:val="20"/>
                                <w:szCs w:val="20"/>
                              </w:rPr>
                            </w:pPr>
                          </w:p>
                        </w:tc>
                        <w:tc>
                          <w:tcPr>
                            <w:tcW w:w="1276" w:type="dxa"/>
                          </w:tcPr>
                          <w:p w14:paraId="663FB73E" w14:textId="77777777" w:rsidR="00ED6EBD" w:rsidRPr="004C1814" w:rsidRDefault="00ED6EBD" w:rsidP="00ED6EBD">
                            <w:pPr>
                              <w:pStyle w:val="Default"/>
                              <w:jc w:val="right"/>
                              <w:rPr>
                                <w:b/>
                                <w:bCs/>
                                <w:color w:val="auto"/>
                                <w:sz w:val="20"/>
                                <w:szCs w:val="20"/>
                              </w:rPr>
                            </w:pPr>
                            <w:r>
                              <w:rPr>
                                <w:b/>
                                <w:bCs/>
                                <w:color w:val="FF0000"/>
                                <w:sz w:val="20"/>
                                <w:szCs w:val="20"/>
                              </w:rPr>
                              <w:t>3.7</w:t>
                            </w:r>
                            <w:r w:rsidRPr="004C1814">
                              <w:rPr>
                                <w:b/>
                                <w:bCs/>
                                <w:color w:val="FF0000"/>
                                <w:sz w:val="20"/>
                                <w:szCs w:val="20"/>
                              </w:rPr>
                              <w:t>0%</w:t>
                            </w:r>
                          </w:p>
                        </w:tc>
                        <w:tc>
                          <w:tcPr>
                            <w:tcW w:w="1417" w:type="dxa"/>
                          </w:tcPr>
                          <w:p w14:paraId="3565C49A" w14:textId="77777777" w:rsidR="00ED6EBD" w:rsidRPr="004C1814" w:rsidRDefault="00ED6EBD" w:rsidP="00ED6EBD">
                            <w:pPr>
                              <w:pStyle w:val="Default"/>
                              <w:jc w:val="right"/>
                              <w:rPr>
                                <w:b/>
                                <w:bCs/>
                                <w:color w:val="auto"/>
                                <w:sz w:val="20"/>
                                <w:szCs w:val="20"/>
                              </w:rPr>
                            </w:pPr>
                            <w:r w:rsidRPr="004C1814">
                              <w:rPr>
                                <w:b/>
                                <w:bCs/>
                                <w:color w:val="auto"/>
                                <w:sz w:val="20"/>
                                <w:szCs w:val="20"/>
                              </w:rPr>
                              <w:t>0.00%</w:t>
                            </w:r>
                          </w:p>
                        </w:tc>
                      </w:tr>
                    </w:tbl>
                    <w:p w14:paraId="175CE98E" w14:textId="77777777" w:rsidR="00ED6EBD" w:rsidRDefault="00ED6EBD" w:rsidP="00ED6EBD">
                      <w:pPr>
                        <w:pStyle w:val="Default"/>
                        <w:ind w:left="720"/>
                        <w:rPr>
                          <w:color w:val="auto"/>
                          <w:sz w:val="22"/>
                          <w:szCs w:val="22"/>
                        </w:rPr>
                      </w:pPr>
                    </w:p>
                    <w:p w14:paraId="6278B531" w14:textId="77777777" w:rsidR="00ED6EBD" w:rsidRDefault="00ED6EBD" w:rsidP="00ED6EBD">
                      <w:pPr>
                        <w:pStyle w:val="Default"/>
                        <w:jc w:val="both"/>
                        <w:rPr>
                          <w:color w:val="auto"/>
                          <w:sz w:val="22"/>
                          <w:szCs w:val="22"/>
                        </w:rPr>
                      </w:pPr>
                      <w:r w:rsidRPr="00451C79">
                        <w:rPr>
                          <w:color w:val="auto"/>
                          <w:sz w:val="18"/>
                          <w:szCs w:val="18"/>
                        </w:rPr>
                        <w:t>Note in the example above the carry</w:t>
                      </w:r>
                      <w:r>
                        <w:rPr>
                          <w:color w:val="auto"/>
                          <w:sz w:val="18"/>
                          <w:szCs w:val="18"/>
                        </w:rPr>
                        <w:t>-</w:t>
                      </w:r>
                      <w:r w:rsidRPr="00451C79">
                        <w:rPr>
                          <w:color w:val="auto"/>
                          <w:sz w:val="18"/>
                          <w:szCs w:val="18"/>
                        </w:rPr>
                        <w:t>forward attributes (which are time-limited unlike losses) are presumed to have expired due to the long-term nature of insurance business and are hence not available in the reversing year</w:t>
                      </w:r>
                      <w:r>
                        <w:rPr>
                          <w:color w:val="auto"/>
                          <w:sz w:val="22"/>
                          <w:szCs w:val="22"/>
                        </w:rPr>
                        <w:t>.</w:t>
                      </w:r>
                    </w:p>
                    <w:p w14:paraId="4BCBF304" w14:textId="77777777" w:rsidR="00ED6EBD" w:rsidRDefault="00ED6EBD" w:rsidP="00ED6EBD">
                      <w:pPr>
                        <w:pStyle w:val="Default"/>
                        <w:jc w:val="both"/>
                        <w:rPr>
                          <w:color w:val="auto"/>
                          <w:sz w:val="22"/>
                          <w:szCs w:val="22"/>
                        </w:rPr>
                      </w:pPr>
                    </w:p>
                    <w:p w14:paraId="4C14ABEB" w14:textId="77777777" w:rsidR="00ED6EBD" w:rsidRDefault="00ED6EBD" w:rsidP="00ED6EBD">
                      <w:pPr>
                        <w:jc w:val="center"/>
                      </w:pPr>
                    </w:p>
                  </w:txbxContent>
                </v:textbox>
                <w10:anchorlock/>
              </v:rect>
            </w:pict>
          </mc:Fallback>
        </mc:AlternateContent>
      </w:r>
      <w:r w:rsidRPr="00911DC6" w:rsidDel="00ED6EBD">
        <w:rPr>
          <w:b/>
          <w:bCs/>
          <w:i/>
          <w:iCs/>
          <w:color w:val="auto"/>
          <w:sz w:val="22"/>
          <w:szCs w:val="22"/>
        </w:rPr>
        <w:t xml:space="preserve"> </w:t>
      </w:r>
      <w:r w:rsidR="00347449" w:rsidRPr="00347449">
        <w:rPr>
          <w:b/>
          <w:bCs/>
          <w:i/>
          <w:iCs/>
          <w:color w:val="auto"/>
          <w:sz w:val="22"/>
          <w:szCs w:val="22"/>
        </w:rPr>
        <w:t>Our ask</w:t>
      </w:r>
    </w:p>
    <w:p w14:paraId="687FE372" w14:textId="568A696D" w:rsidR="003666BE" w:rsidRDefault="003666BE" w:rsidP="00077C03">
      <w:pPr>
        <w:pStyle w:val="Textkomentra"/>
        <w:spacing w:after="120" w:line="22" w:lineRule="atLeast"/>
        <w:rPr>
          <w:rFonts w:ascii="Arial" w:hAnsi="Arial" w:cs="Arial"/>
          <w:sz w:val="22"/>
          <w:szCs w:val="22"/>
        </w:rPr>
      </w:pPr>
      <w:r>
        <w:rPr>
          <w:rFonts w:ascii="Arial" w:hAnsi="Arial" w:cs="Arial"/>
          <w:sz w:val="22"/>
          <w:szCs w:val="22"/>
        </w:rPr>
        <w:t>Conceptually there are three ways to deal with book/tax differences:</w:t>
      </w:r>
    </w:p>
    <w:p w14:paraId="0D93D57A" w14:textId="77777777" w:rsidR="003666BE" w:rsidRDefault="003666BE" w:rsidP="00077C03">
      <w:pPr>
        <w:pStyle w:val="Textkomentra"/>
        <w:numPr>
          <w:ilvl w:val="0"/>
          <w:numId w:val="33"/>
        </w:numPr>
        <w:spacing w:after="120" w:line="22" w:lineRule="atLeast"/>
        <w:rPr>
          <w:rFonts w:ascii="Arial" w:hAnsi="Arial" w:cs="Arial"/>
          <w:sz w:val="22"/>
          <w:szCs w:val="22"/>
        </w:rPr>
      </w:pPr>
      <w:r>
        <w:rPr>
          <w:rFonts w:ascii="Arial" w:hAnsi="Arial" w:cs="Arial"/>
          <w:sz w:val="22"/>
          <w:szCs w:val="22"/>
        </w:rPr>
        <w:t>deferred tax accounting;</w:t>
      </w:r>
    </w:p>
    <w:p w14:paraId="472666F2" w14:textId="11B1FF31" w:rsidR="003666BE" w:rsidRDefault="003666BE" w:rsidP="00077C03">
      <w:pPr>
        <w:pStyle w:val="Textkomentra"/>
        <w:numPr>
          <w:ilvl w:val="0"/>
          <w:numId w:val="33"/>
        </w:numPr>
        <w:spacing w:after="120" w:line="22" w:lineRule="atLeast"/>
        <w:rPr>
          <w:rFonts w:ascii="Arial" w:hAnsi="Arial" w:cs="Arial"/>
          <w:sz w:val="22"/>
          <w:szCs w:val="22"/>
        </w:rPr>
      </w:pPr>
      <w:r>
        <w:rPr>
          <w:rFonts w:ascii="Arial" w:hAnsi="Arial" w:cs="Arial"/>
          <w:sz w:val="22"/>
          <w:szCs w:val="22"/>
        </w:rPr>
        <w:t xml:space="preserve">making adjustments to the </w:t>
      </w:r>
      <w:proofErr w:type="spellStart"/>
      <w:r>
        <w:rPr>
          <w:rFonts w:ascii="Arial" w:hAnsi="Arial" w:cs="Arial"/>
          <w:sz w:val="22"/>
          <w:szCs w:val="22"/>
        </w:rPr>
        <w:t>GloBE</w:t>
      </w:r>
      <w:proofErr w:type="spellEnd"/>
      <w:r>
        <w:rPr>
          <w:rFonts w:ascii="Arial" w:hAnsi="Arial" w:cs="Arial"/>
          <w:sz w:val="22"/>
          <w:szCs w:val="22"/>
        </w:rPr>
        <w:t xml:space="preserve"> tax base for</w:t>
      </w:r>
      <w:r>
        <w:rPr>
          <w:rFonts w:ascii="Arial" w:hAnsi="Arial"/>
          <w:sz w:val="22"/>
        </w:rPr>
        <w:t xml:space="preserve"> significant </w:t>
      </w:r>
      <w:r>
        <w:rPr>
          <w:rFonts w:ascii="Arial" w:hAnsi="Arial" w:cs="Arial"/>
          <w:sz w:val="22"/>
          <w:szCs w:val="22"/>
        </w:rPr>
        <w:t>book/</w:t>
      </w:r>
      <w:r>
        <w:rPr>
          <w:rFonts w:ascii="Arial" w:hAnsi="Arial"/>
          <w:sz w:val="22"/>
        </w:rPr>
        <w:t xml:space="preserve">tax </w:t>
      </w:r>
      <w:r>
        <w:rPr>
          <w:rFonts w:ascii="Arial" w:hAnsi="Arial" w:cs="Arial"/>
          <w:sz w:val="22"/>
          <w:szCs w:val="22"/>
        </w:rPr>
        <w:t>differences; and</w:t>
      </w:r>
    </w:p>
    <w:p w14:paraId="225E3724" w14:textId="259E68CF" w:rsidR="003666BE" w:rsidRDefault="003666BE" w:rsidP="00077C03">
      <w:pPr>
        <w:pStyle w:val="Textkomentra"/>
        <w:numPr>
          <w:ilvl w:val="0"/>
          <w:numId w:val="33"/>
        </w:numPr>
        <w:spacing w:after="120" w:line="22" w:lineRule="atLeast"/>
        <w:rPr>
          <w:rFonts w:ascii="Arial" w:hAnsi="Arial" w:cs="Arial"/>
          <w:sz w:val="22"/>
          <w:szCs w:val="22"/>
        </w:rPr>
      </w:pPr>
      <w:r>
        <w:rPr>
          <w:rFonts w:ascii="Arial" w:hAnsi="Arial" w:cs="Arial"/>
          <w:sz w:val="22"/>
          <w:szCs w:val="22"/>
        </w:rPr>
        <w:t xml:space="preserve">a carry-forward or credit mechanism.  </w:t>
      </w:r>
    </w:p>
    <w:p w14:paraId="390624A4" w14:textId="7A5BE795" w:rsidR="003666BE" w:rsidRDefault="003666BE" w:rsidP="00077C03">
      <w:pPr>
        <w:pStyle w:val="Textkomentra"/>
        <w:spacing w:after="120" w:line="22" w:lineRule="atLeast"/>
        <w:rPr>
          <w:rFonts w:ascii="Arial" w:hAnsi="Arial" w:cs="Arial"/>
          <w:sz w:val="22"/>
          <w:szCs w:val="22"/>
        </w:rPr>
      </w:pPr>
      <w:r>
        <w:rPr>
          <w:rFonts w:ascii="Arial" w:hAnsi="Arial" w:cs="Arial"/>
          <w:sz w:val="22"/>
          <w:szCs w:val="22"/>
        </w:rPr>
        <w:t xml:space="preserve">The Blueprint adopts a combination of (ii) and (iii).  However, while the Blueprint makes adjustments to the </w:t>
      </w:r>
      <w:proofErr w:type="spellStart"/>
      <w:r>
        <w:rPr>
          <w:rFonts w:ascii="Arial" w:hAnsi="Arial" w:cs="Arial"/>
          <w:sz w:val="22"/>
          <w:szCs w:val="22"/>
        </w:rPr>
        <w:t>GloBE</w:t>
      </w:r>
      <w:proofErr w:type="spellEnd"/>
      <w:r>
        <w:rPr>
          <w:rFonts w:ascii="Arial" w:hAnsi="Arial" w:cs="Arial"/>
          <w:sz w:val="22"/>
          <w:szCs w:val="22"/>
        </w:rPr>
        <w:t xml:space="preserve"> tax base </w:t>
      </w:r>
      <w:r w:rsidR="00126B19">
        <w:rPr>
          <w:rFonts w:ascii="Arial" w:hAnsi="Arial" w:cs="Arial"/>
          <w:sz w:val="22"/>
          <w:szCs w:val="22"/>
        </w:rPr>
        <w:t xml:space="preserve">(the denominator) </w:t>
      </w:r>
      <w:r>
        <w:rPr>
          <w:rFonts w:ascii="Arial" w:hAnsi="Arial" w:cs="Arial"/>
          <w:sz w:val="22"/>
          <w:szCs w:val="22"/>
        </w:rPr>
        <w:t>for some industries’ significant book/tax differences, it does not address the significant book/tax differences for the insurance industry – namely insurance technical provisions and mark-to-market</w:t>
      </w:r>
      <w:r w:rsidRPr="760A453A">
        <w:rPr>
          <w:rFonts w:ascii="Arial" w:hAnsi="Arial"/>
          <w:sz w:val="22"/>
          <w:szCs w:val="22"/>
        </w:rPr>
        <w:t xml:space="preserve"> </w:t>
      </w:r>
      <w:r w:rsidR="7443B9AA" w:rsidRPr="760A453A">
        <w:rPr>
          <w:rFonts w:ascii="Arial" w:hAnsi="Arial"/>
          <w:sz w:val="22"/>
          <w:szCs w:val="22"/>
        </w:rPr>
        <w:t xml:space="preserve">investment </w:t>
      </w:r>
      <w:r w:rsidRPr="760A453A">
        <w:rPr>
          <w:rFonts w:ascii="Arial" w:hAnsi="Arial"/>
          <w:sz w:val="22"/>
          <w:szCs w:val="22"/>
        </w:rPr>
        <w:t>accounting</w:t>
      </w:r>
      <w:r>
        <w:rPr>
          <w:rFonts w:ascii="Arial" w:hAnsi="Arial" w:cs="Arial"/>
          <w:sz w:val="22"/>
          <w:szCs w:val="22"/>
        </w:rPr>
        <w:t>.  That means the insurance industry is left</w:t>
      </w:r>
      <w:r w:rsidRPr="760A453A">
        <w:rPr>
          <w:rFonts w:ascii="Arial" w:hAnsi="Arial"/>
          <w:sz w:val="22"/>
          <w:szCs w:val="22"/>
        </w:rPr>
        <w:t xml:space="preserve"> with </w:t>
      </w:r>
      <w:r>
        <w:rPr>
          <w:rFonts w:ascii="Arial" w:hAnsi="Arial" w:cs="Arial"/>
          <w:sz w:val="22"/>
          <w:szCs w:val="22"/>
        </w:rPr>
        <w:t xml:space="preserve">the carry-forward and credit mechanism, which </w:t>
      </w:r>
      <w:r w:rsidR="001C19F8">
        <w:rPr>
          <w:rFonts w:ascii="Arial" w:hAnsi="Arial" w:cs="Arial"/>
          <w:sz w:val="22"/>
          <w:szCs w:val="22"/>
        </w:rPr>
        <w:t xml:space="preserve">results in both cashflow </w:t>
      </w:r>
      <w:r w:rsidR="00AF2D69">
        <w:rPr>
          <w:rFonts w:ascii="Arial" w:hAnsi="Arial" w:cs="Arial"/>
          <w:sz w:val="22"/>
          <w:szCs w:val="22"/>
        </w:rPr>
        <w:t>and permanent tax disadvantages where the timing differences are over extended periods</w:t>
      </w:r>
      <w:r>
        <w:rPr>
          <w:rFonts w:ascii="Arial" w:hAnsi="Arial" w:cs="Arial"/>
          <w:sz w:val="22"/>
          <w:szCs w:val="22"/>
        </w:rPr>
        <w:t>.</w:t>
      </w:r>
    </w:p>
    <w:p w14:paraId="2D38FADA" w14:textId="160C1854" w:rsidR="003666BE" w:rsidRDefault="003666BE" w:rsidP="00077C03">
      <w:pPr>
        <w:pStyle w:val="Textkomentra"/>
        <w:spacing w:after="120" w:line="22" w:lineRule="atLeast"/>
        <w:rPr>
          <w:rFonts w:ascii="Arial" w:hAnsi="Arial" w:cs="Arial"/>
          <w:sz w:val="22"/>
          <w:szCs w:val="22"/>
        </w:rPr>
      </w:pPr>
      <w:r>
        <w:rPr>
          <w:rFonts w:ascii="Arial" w:hAnsi="Arial" w:cs="Arial"/>
          <w:sz w:val="22"/>
          <w:szCs w:val="22"/>
        </w:rPr>
        <w:t xml:space="preserve">Making adjustments to the </w:t>
      </w:r>
      <w:proofErr w:type="spellStart"/>
      <w:r>
        <w:rPr>
          <w:rFonts w:ascii="Arial" w:hAnsi="Arial" w:cs="Arial"/>
          <w:sz w:val="22"/>
          <w:szCs w:val="22"/>
        </w:rPr>
        <w:t>GloBE</w:t>
      </w:r>
      <w:proofErr w:type="spellEnd"/>
      <w:r>
        <w:rPr>
          <w:rFonts w:ascii="Arial" w:hAnsi="Arial" w:cs="Arial"/>
          <w:sz w:val="22"/>
          <w:szCs w:val="22"/>
        </w:rPr>
        <w:t xml:space="preserve"> tax base to take into account </w:t>
      </w:r>
      <w:r w:rsidR="00F13F33">
        <w:rPr>
          <w:rFonts w:ascii="Arial" w:hAnsi="Arial" w:cs="Arial"/>
          <w:sz w:val="22"/>
          <w:szCs w:val="22"/>
        </w:rPr>
        <w:t xml:space="preserve">solely </w:t>
      </w:r>
      <w:r>
        <w:rPr>
          <w:rFonts w:ascii="Arial" w:hAnsi="Arial" w:cs="Arial"/>
          <w:sz w:val="22"/>
          <w:szCs w:val="22"/>
        </w:rPr>
        <w:t xml:space="preserve">insurance </w:t>
      </w:r>
      <w:r w:rsidR="00AF2D69">
        <w:rPr>
          <w:rFonts w:ascii="Arial" w:hAnsi="Arial" w:cs="Arial"/>
          <w:sz w:val="22"/>
          <w:szCs w:val="22"/>
        </w:rPr>
        <w:t>technical provisions and</w:t>
      </w:r>
      <w:r>
        <w:rPr>
          <w:rFonts w:ascii="Arial" w:hAnsi="Arial" w:cs="Arial"/>
          <w:sz w:val="22"/>
          <w:szCs w:val="22"/>
        </w:rPr>
        <w:t xml:space="preserve"> mark-to-market accounting</w:t>
      </w:r>
      <w:r w:rsidR="00AF2D69">
        <w:rPr>
          <w:rFonts w:ascii="Arial" w:hAnsi="Arial" w:cs="Arial"/>
          <w:sz w:val="22"/>
          <w:szCs w:val="22"/>
        </w:rPr>
        <w:t xml:space="preserve"> </w:t>
      </w:r>
      <w:r>
        <w:rPr>
          <w:rFonts w:ascii="Arial" w:hAnsi="Arial" w:cs="Arial"/>
          <w:sz w:val="22"/>
          <w:szCs w:val="22"/>
        </w:rPr>
        <w:t>could work</w:t>
      </w:r>
      <w:r w:rsidRPr="760A453A">
        <w:rPr>
          <w:rFonts w:ascii="Arial" w:hAnsi="Arial"/>
          <w:sz w:val="22"/>
          <w:szCs w:val="22"/>
        </w:rPr>
        <w:t xml:space="preserve"> in </w:t>
      </w:r>
      <w:r>
        <w:rPr>
          <w:rFonts w:ascii="Arial" w:hAnsi="Arial" w:cs="Arial"/>
          <w:sz w:val="22"/>
          <w:szCs w:val="22"/>
        </w:rPr>
        <w:t xml:space="preserve">theory, but in practice the rules are unlikely to fully address the important book/tax differences for all industries.   </w:t>
      </w:r>
    </w:p>
    <w:p w14:paraId="0CA26ED2" w14:textId="178C614A" w:rsidR="00CD4EBB" w:rsidRDefault="00B75F7A" w:rsidP="00077C03">
      <w:pPr>
        <w:pStyle w:val="Default"/>
        <w:spacing w:after="120"/>
        <w:jc w:val="both"/>
        <w:rPr>
          <w:color w:val="auto"/>
          <w:sz w:val="22"/>
          <w:szCs w:val="22"/>
        </w:rPr>
      </w:pPr>
      <w:r>
        <w:rPr>
          <w:color w:val="auto"/>
          <w:sz w:val="22"/>
          <w:szCs w:val="22"/>
        </w:rPr>
        <w:t>We therefore ask</w:t>
      </w:r>
      <w:r w:rsidR="00347449">
        <w:rPr>
          <w:color w:val="auto"/>
          <w:sz w:val="22"/>
          <w:szCs w:val="22"/>
        </w:rPr>
        <w:t xml:space="preserve"> that the significant tax </w:t>
      </w:r>
      <w:r w:rsidR="006F6E85">
        <w:rPr>
          <w:color w:val="auto"/>
          <w:sz w:val="22"/>
          <w:szCs w:val="22"/>
        </w:rPr>
        <w:t xml:space="preserve">/ accounting </w:t>
      </w:r>
      <w:r w:rsidR="00130533">
        <w:rPr>
          <w:color w:val="auto"/>
          <w:sz w:val="22"/>
          <w:szCs w:val="22"/>
        </w:rPr>
        <w:t xml:space="preserve">timing </w:t>
      </w:r>
      <w:r w:rsidR="006F6E85">
        <w:rPr>
          <w:color w:val="auto"/>
          <w:sz w:val="22"/>
          <w:szCs w:val="22"/>
        </w:rPr>
        <w:t xml:space="preserve">differences are dealt with under Pillar </w:t>
      </w:r>
      <w:r w:rsidR="20BD3FF4" w:rsidRPr="760A453A">
        <w:rPr>
          <w:color w:val="auto"/>
          <w:sz w:val="22"/>
          <w:szCs w:val="22"/>
        </w:rPr>
        <w:t>Two</w:t>
      </w:r>
      <w:r w:rsidR="006F6E85">
        <w:rPr>
          <w:color w:val="auto"/>
          <w:sz w:val="22"/>
          <w:szCs w:val="22"/>
        </w:rPr>
        <w:t xml:space="preserve"> in </w:t>
      </w:r>
      <w:r w:rsidR="00F871B7">
        <w:rPr>
          <w:color w:val="auto"/>
          <w:sz w:val="22"/>
          <w:szCs w:val="22"/>
        </w:rPr>
        <w:t xml:space="preserve">a way </w:t>
      </w:r>
      <w:r w:rsidR="00F871B7" w:rsidRPr="00F871B7">
        <w:rPr>
          <w:color w:val="auto"/>
          <w:sz w:val="22"/>
          <w:szCs w:val="22"/>
        </w:rPr>
        <w:t>that does not prejudice sustainable insurance businesses</w:t>
      </w:r>
      <w:r w:rsidR="006F6E85">
        <w:rPr>
          <w:color w:val="auto"/>
          <w:sz w:val="22"/>
          <w:szCs w:val="22"/>
        </w:rPr>
        <w:t xml:space="preserve">. </w:t>
      </w:r>
      <w:r w:rsidR="000E5984">
        <w:rPr>
          <w:color w:val="auto"/>
          <w:sz w:val="22"/>
          <w:szCs w:val="22"/>
        </w:rPr>
        <w:t>Our</w:t>
      </w:r>
      <w:r w:rsidR="006F6E85">
        <w:rPr>
          <w:color w:val="auto"/>
          <w:sz w:val="22"/>
          <w:szCs w:val="22"/>
        </w:rPr>
        <w:t xml:space="preserve"> preferred solution is deferred tax</w:t>
      </w:r>
      <w:r w:rsidR="00DE618A">
        <w:rPr>
          <w:color w:val="auto"/>
          <w:sz w:val="22"/>
          <w:szCs w:val="22"/>
        </w:rPr>
        <w:t xml:space="preserve"> as this </w:t>
      </w:r>
      <w:r w:rsidR="00185092">
        <w:rPr>
          <w:color w:val="auto"/>
          <w:sz w:val="22"/>
          <w:szCs w:val="22"/>
        </w:rPr>
        <w:t>eliminates</w:t>
      </w:r>
      <w:r w:rsidR="00DE618A">
        <w:rPr>
          <w:color w:val="auto"/>
          <w:sz w:val="22"/>
          <w:szCs w:val="22"/>
        </w:rPr>
        <w:t xml:space="preserve"> significant timing differences due to differences in valuation of investment assets and insurance </w:t>
      </w:r>
      <w:r w:rsidR="00BD575E">
        <w:rPr>
          <w:color w:val="auto"/>
          <w:sz w:val="22"/>
          <w:szCs w:val="22"/>
        </w:rPr>
        <w:t xml:space="preserve">technical provisions </w:t>
      </w:r>
      <w:r w:rsidR="00DE618A">
        <w:rPr>
          <w:color w:val="auto"/>
          <w:sz w:val="22"/>
          <w:szCs w:val="22"/>
        </w:rPr>
        <w:t>between tax and accounting</w:t>
      </w:r>
      <w:r w:rsidR="00AD2220">
        <w:rPr>
          <w:color w:val="auto"/>
          <w:sz w:val="22"/>
          <w:szCs w:val="22"/>
        </w:rPr>
        <w:t xml:space="preserve"> results</w:t>
      </w:r>
      <w:r w:rsidR="00DE618A">
        <w:rPr>
          <w:color w:val="auto"/>
          <w:sz w:val="22"/>
          <w:szCs w:val="22"/>
        </w:rPr>
        <w:t xml:space="preserve"> in a well understood</w:t>
      </w:r>
      <w:r w:rsidR="00AD2220">
        <w:rPr>
          <w:color w:val="auto"/>
          <w:sz w:val="22"/>
          <w:szCs w:val="22"/>
        </w:rPr>
        <w:t xml:space="preserve"> manner.</w:t>
      </w:r>
    </w:p>
    <w:p w14:paraId="6D1538A8" w14:textId="1B44F8F6" w:rsidR="00347449" w:rsidRDefault="00B54BF7" w:rsidP="00077C03">
      <w:pPr>
        <w:pStyle w:val="Default"/>
        <w:spacing w:after="120"/>
        <w:jc w:val="both"/>
        <w:rPr>
          <w:color w:val="auto"/>
          <w:sz w:val="22"/>
          <w:szCs w:val="22"/>
        </w:rPr>
      </w:pPr>
      <w:r>
        <w:rPr>
          <w:color w:val="auto"/>
          <w:sz w:val="22"/>
          <w:szCs w:val="22"/>
        </w:rPr>
        <w:t>W</w:t>
      </w:r>
      <w:r w:rsidR="00CD4EBB">
        <w:rPr>
          <w:color w:val="auto"/>
          <w:sz w:val="22"/>
          <w:szCs w:val="22"/>
        </w:rPr>
        <w:t>e understand</w:t>
      </w:r>
      <w:r>
        <w:rPr>
          <w:color w:val="auto"/>
          <w:sz w:val="22"/>
          <w:szCs w:val="22"/>
        </w:rPr>
        <w:t xml:space="preserve"> there is concern over the ability </w:t>
      </w:r>
      <w:r w:rsidR="00B75F7A">
        <w:rPr>
          <w:color w:val="auto"/>
          <w:sz w:val="22"/>
          <w:szCs w:val="22"/>
        </w:rPr>
        <w:t xml:space="preserve">of organisations </w:t>
      </w:r>
      <w:r>
        <w:rPr>
          <w:color w:val="auto"/>
          <w:sz w:val="22"/>
          <w:szCs w:val="22"/>
        </w:rPr>
        <w:t xml:space="preserve">to </w:t>
      </w:r>
      <w:r w:rsidR="4C58257C" w:rsidRPr="760A453A">
        <w:rPr>
          <w:color w:val="auto"/>
          <w:sz w:val="22"/>
          <w:szCs w:val="22"/>
        </w:rPr>
        <w:t>influence</w:t>
      </w:r>
      <w:r>
        <w:rPr>
          <w:color w:val="auto"/>
          <w:sz w:val="22"/>
          <w:szCs w:val="22"/>
        </w:rPr>
        <w:t xml:space="preserve"> deferred tax impacts</w:t>
      </w:r>
      <w:r w:rsidR="006D655A">
        <w:rPr>
          <w:color w:val="auto"/>
          <w:sz w:val="22"/>
          <w:szCs w:val="22"/>
        </w:rPr>
        <w:t>.</w:t>
      </w:r>
      <w:r>
        <w:rPr>
          <w:color w:val="auto"/>
          <w:sz w:val="22"/>
          <w:szCs w:val="22"/>
        </w:rPr>
        <w:t xml:space="preserve"> </w:t>
      </w:r>
      <w:r w:rsidR="001267F8">
        <w:rPr>
          <w:color w:val="auto"/>
          <w:sz w:val="22"/>
          <w:szCs w:val="22"/>
        </w:rPr>
        <w:t xml:space="preserve">We </w:t>
      </w:r>
      <w:r w:rsidR="0017209B">
        <w:rPr>
          <w:color w:val="auto"/>
          <w:sz w:val="22"/>
          <w:szCs w:val="22"/>
        </w:rPr>
        <w:t>do not believe these are well founded concerns due to the scrutiny of auditors</w:t>
      </w:r>
      <w:r w:rsidR="00A83526">
        <w:rPr>
          <w:color w:val="auto"/>
          <w:sz w:val="22"/>
          <w:szCs w:val="22"/>
        </w:rPr>
        <w:t xml:space="preserve"> and the </w:t>
      </w:r>
      <w:r w:rsidR="00081F2A">
        <w:rPr>
          <w:color w:val="auto"/>
          <w:sz w:val="22"/>
          <w:szCs w:val="22"/>
        </w:rPr>
        <w:t>wider imp</w:t>
      </w:r>
      <w:r w:rsidR="00B23C66">
        <w:rPr>
          <w:color w:val="auto"/>
          <w:sz w:val="22"/>
          <w:szCs w:val="22"/>
        </w:rPr>
        <w:t xml:space="preserve">act </w:t>
      </w:r>
      <w:r w:rsidR="000A075A">
        <w:rPr>
          <w:color w:val="auto"/>
          <w:sz w:val="22"/>
          <w:szCs w:val="22"/>
        </w:rPr>
        <w:t xml:space="preserve">any manipulation would have on financial statement results used by other stakeholders such as investors. Should </w:t>
      </w:r>
      <w:r w:rsidR="000D6CE8">
        <w:rPr>
          <w:color w:val="auto"/>
          <w:sz w:val="22"/>
          <w:szCs w:val="22"/>
        </w:rPr>
        <w:t>areas such as uncertain tax positions be particularly sensitive, a</w:t>
      </w:r>
      <w:r w:rsidR="006D655A">
        <w:rPr>
          <w:color w:val="auto"/>
          <w:sz w:val="22"/>
          <w:szCs w:val="22"/>
        </w:rPr>
        <w:t xml:space="preserve">n </w:t>
      </w:r>
      <w:r w:rsidR="002B4635">
        <w:rPr>
          <w:color w:val="auto"/>
          <w:sz w:val="22"/>
          <w:szCs w:val="22"/>
        </w:rPr>
        <w:t xml:space="preserve">alternative would be to provide for </w:t>
      </w:r>
      <w:r w:rsidR="000D6CE8">
        <w:rPr>
          <w:color w:val="auto"/>
          <w:sz w:val="22"/>
          <w:szCs w:val="22"/>
        </w:rPr>
        <w:t xml:space="preserve">deferred tax </w:t>
      </w:r>
      <w:r>
        <w:rPr>
          <w:color w:val="auto"/>
          <w:sz w:val="22"/>
          <w:szCs w:val="22"/>
        </w:rPr>
        <w:t xml:space="preserve">as an option for </w:t>
      </w:r>
      <w:r w:rsidR="00377B3F">
        <w:rPr>
          <w:color w:val="auto"/>
          <w:sz w:val="22"/>
          <w:szCs w:val="22"/>
        </w:rPr>
        <w:t xml:space="preserve">timing differences </w:t>
      </w:r>
      <w:r w:rsidR="006D655A">
        <w:rPr>
          <w:color w:val="auto"/>
          <w:sz w:val="22"/>
          <w:szCs w:val="22"/>
        </w:rPr>
        <w:t xml:space="preserve">explicitly </w:t>
      </w:r>
      <w:r w:rsidR="00377B3F">
        <w:rPr>
          <w:color w:val="auto"/>
          <w:sz w:val="22"/>
          <w:szCs w:val="22"/>
        </w:rPr>
        <w:t xml:space="preserve">evident in submitted tax computations </w:t>
      </w:r>
      <w:r w:rsidR="008902B5">
        <w:rPr>
          <w:color w:val="auto"/>
          <w:sz w:val="22"/>
          <w:szCs w:val="22"/>
        </w:rPr>
        <w:t>which would include</w:t>
      </w:r>
      <w:r w:rsidR="00377B3F">
        <w:rPr>
          <w:color w:val="auto"/>
          <w:sz w:val="22"/>
          <w:szCs w:val="22"/>
        </w:rPr>
        <w:t xml:space="preserve"> </w:t>
      </w:r>
      <w:r>
        <w:rPr>
          <w:color w:val="auto"/>
          <w:sz w:val="22"/>
          <w:szCs w:val="22"/>
        </w:rPr>
        <w:t xml:space="preserve">investment assets and insurance </w:t>
      </w:r>
      <w:r w:rsidR="003B2738">
        <w:rPr>
          <w:color w:val="auto"/>
          <w:sz w:val="22"/>
          <w:szCs w:val="22"/>
        </w:rPr>
        <w:t xml:space="preserve">technical provisions </w:t>
      </w:r>
      <w:r w:rsidR="00CD4EBB">
        <w:rPr>
          <w:color w:val="auto"/>
          <w:sz w:val="22"/>
          <w:szCs w:val="22"/>
        </w:rPr>
        <w:t>within regulated insurers</w:t>
      </w:r>
      <w:r w:rsidR="008902B5">
        <w:rPr>
          <w:color w:val="auto"/>
          <w:sz w:val="22"/>
          <w:szCs w:val="22"/>
        </w:rPr>
        <w:t>.</w:t>
      </w:r>
      <w:r w:rsidR="00D16688">
        <w:rPr>
          <w:color w:val="auto"/>
          <w:sz w:val="22"/>
          <w:szCs w:val="22"/>
        </w:rPr>
        <w:t xml:space="preserve"> </w:t>
      </w:r>
      <w:r w:rsidR="008902B5">
        <w:rPr>
          <w:color w:val="auto"/>
          <w:sz w:val="22"/>
          <w:szCs w:val="22"/>
        </w:rPr>
        <w:t xml:space="preserve">This could be </w:t>
      </w:r>
      <w:r w:rsidR="00D16688">
        <w:rPr>
          <w:color w:val="auto"/>
          <w:sz w:val="22"/>
          <w:szCs w:val="22"/>
        </w:rPr>
        <w:t>subject to a materiality threshold where required</w:t>
      </w:r>
      <w:r w:rsidR="00CD4EBB">
        <w:rPr>
          <w:color w:val="auto"/>
          <w:sz w:val="22"/>
          <w:szCs w:val="22"/>
        </w:rPr>
        <w:t>. Th</w:t>
      </w:r>
      <w:r w:rsidR="00B00500">
        <w:rPr>
          <w:color w:val="auto"/>
          <w:sz w:val="22"/>
          <w:szCs w:val="22"/>
        </w:rPr>
        <w:t xml:space="preserve">ere are </w:t>
      </w:r>
      <w:r w:rsidR="008902B5">
        <w:rPr>
          <w:color w:val="auto"/>
          <w:sz w:val="22"/>
          <w:szCs w:val="22"/>
        </w:rPr>
        <w:t xml:space="preserve">however </w:t>
      </w:r>
      <w:r w:rsidR="00B00500">
        <w:rPr>
          <w:color w:val="auto"/>
          <w:sz w:val="22"/>
          <w:szCs w:val="22"/>
        </w:rPr>
        <w:t xml:space="preserve">drawbacks to this </w:t>
      </w:r>
      <w:r w:rsidR="008902B5">
        <w:rPr>
          <w:color w:val="auto"/>
          <w:sz w:val="22"/>
          <w:szCs w:val="22"/>
        </w:rPr>
        <w:t xml:space="preserve">modified </w:t>
      </w:r>
      <w:r w:rsidR="00B00500">
        <w:rPr>
          <w:color w:val="auto"/>
          <w:sz w:val="22"/>
          <w:szCs w:val="22"/>
        </w:rPr>
        <w:t>approach as it</w:t>
      </w:r>
      <w:r w:rsidR="00CD4EBB">
        <w:rPr>
          <w:color w:val="auto"/>
          <w:sz w:val="22"/>
          <w:szCs w:val="22"/>
        </w:rPr>
        <w:t xml:space="preserve"> </w:t>
      </w:r>
      <w:r w:rsidR="00B539D0">
        <w:rPr>
          <w:color w:val="auto"/>
          <w:sz w:val="22"/>
          <w:szCs w:val="22"/>
        </w:rPr>
        <w:t>would create significant additional compliance complexity</w:t>
      </w:r>
      <w:r w:rsidR="00185092">
        <w:rPr>
          <w:color w:val="auto"/>
          <w:sz w:val="22"/>
          <w:szCs w:val="22"/>
        </w:rPr>
        <w:t>.</w:t>
      </w:r>
    </w:p>
    <w:p w14:paraId="0052B4FE" w14:textId="5746270F" w:rsidR="007879FA" w:rsidRDefault="00B474EE" w:rsidP="00077C03">
      <w:pPr>
        <w:pStyle w:val="Default"/>
        <w:spacing w:after="120"/>
        <w:jc w:val="both"/>
        <w:rPr>
          <w:color w:val="auto"/>
          <w:sz w:val="22"/>
          <w:szCs w:val="22"/>
        </w:rPr>
      </w:pPr>
      <w:r>
        <w:rPr>
          <w:color w:val="auto"/>
          <w:sz w:val="22"/>
          <w:szCs w:val="22"/>
        </w:rPr>
        <w:t>Should this not be acceptable, a</w:t>
      </w:r>
      <w:r w:rsidR="00C43618">
        <w:rPr>
          <w:color w:val="auto"/>
          <w:sz w:val="22"/>
          <w:szCs w:val="22"/>
        </w:rPr>
        <w:t xml:space="preserve"> further</w:t>
      </w:r>
      <w:r>
        <w:rPr>
          <w:color w:val="auto"/>
          <w:sz w:val="22"/>
          <w:szCs w:val="22"/>
        </w:rPr>
        <w:t xml:space="preserve"> alternative could be to adjust the denominator of </w:t>
      </w:r>
      <w:r w:rsidR="00F47D11">
        <w:rPr>
          <w:color w:val="auto"/>
          <w:sz w:val="22"/>
          <w:szCs w:val="22"/>
        </w:rPr>
        <w:t xml:space="preserve">the </w:t>
      </w:r>
      <w:proofErr w:type="spellStart"/>
      <w:r w:rsidR="00F47D11">
        <w:rPr>
          <w:color w:val="auto"/>
          <w:sz w:val="22"/>
          <w:szCs w:val="22"/>
        </w:rPr>
        <w:t>GloBE</w:t>
      </w:r>
      <w:proofErr w:type="spellEnd"/>
      <w:r w:rsidR="00F47D11">
        <w:rPr>
          <w:color w:val="auto"/>
          <w:sz w:val="22"/>
          <w:szCs w:val="22"/>
        </w:rPr>
        <w:t xml:space="preserve"> calculation for specified timing difference</w:t>
      </w:r>
      <w:r w:rsidR="00957CAA">
        <w:rPr>
          <w:color w:val="auto"/>
          <w:sz w:val="22"/>
          <w:szCs w:val="22"/>
        </w:rPr>
        <w:t>s</w:t>
      </w:r>
      <w:r w:rsidR="008B700E">
        <w:rPr>
          <w:color w:val="auto"/>
          <w:sz w:val="22"/>
          <w:szCs w:val="22"/>
        </w:rPr>
        <w:t xml:space="preserve"> </w:t>
      </w:r>
      <w:r w:rsidR="000D2126">
        <w:rPr>
          <w:color w:val="auto"/>
          <w:sz w:val="22"/>
          <w:szCs w:val="22"/>
        </w:rPr>
        <w:t xml:space="preserve">such as technical provisions and investment assets </w:t>
      </w:r>
      <w:r w:rsidR="00497392">
        <w:rPr>
          <w:color w:val="auto"/>
          <w:sz w:val="22"/>
          <w:szCs w:val="22"/>
        </w:rPr>
        <w:t>where</w:t>
      </w:r>
      <w:r w:rsidR="008B700E">
        <w:rPr>
          <w:color w:val="auto"/>
          <w:sz w:val="22"/>
          <w:szCs w:val="22"/>
        </w:rPr>
        <w:t xml:space="preserve"> adjustments </w:t>
      </w:r>
      <w:r w:rsidR="00497392">
        <w:rPr>
          <w:color w:val="auto"/>
          <w:sz w:val="22"/>
          <w:szCs w:val="22"/>
        </w:rPr>
        <w:t xml:space="preserve">are </w:t>
      </w:r>
      <w:r w:rsidR="008B700E">
        <w:rPr>
          <w:color w:val="auto"/>
          <w:sz w:val="22"/>
          <w:szCs w:val="22"/>
        </w:rPr>
        <w:t>made in submitted tax computations</w:t>
      </w:r>
      <w:r w:rsidR="00957CAA">
        <w:rPr>
          <w:color w:val="auto"/>
          <w:sz w:val="22"/>
          <w:szCs w:val="22"/>
        </w:rPr>
        <w:t>. This would</w:t>
      </w:r>
      <w:r w:rsidR="008B700E">
        <w:rPr>
          <w:color w:val="auto"/>
          <w:sz w:val="22"/>
          <w:szCs w:val="22"/>
        </w:rPr>
        <w:t xml:space="preserve"> have similar complexity to the modified deferred tax approach mentioned above, but </w:t>
      </w:r>
      <w:r w:rsidR="00E80745">
        <w:rPr>
          <w:color w:val="auto"/>
          <w:sz w:val="22"/>
          <w:szCs w:val="22"/>
        </w:rPr>
        <w:t>would potentially be more acceptable to all stakeholders</w:t>
      </w:r>
      <w:r w:rsidR="008B700E">
        <w:rPr>
          <w:color w:val="auto"/>
          <w:sz w:val="22"/>
          <w:szCs w:val="22"/>
        </w:rPr>
        <w:t>.</w:t>
      </w:r>
    </w:p>
    <w:p w14:paraId="79D94BFE" w14:textId="737D89EB" w:rsidR="003D426B" w:rsidRPr="00C622E6" w:rsidRDefault="00524B04" w:rsidP="00077C03">
      <w:pPr>
        <w:pStyle w:val="Default"/>
        <w:numPr>
          <w:ilvl w:val="0"/>
          <w:numId w:val="34"/>
        </w:numPr>
        <w:spacing w:after="120"/>
        <w:rPr>
          <w:rFonts w:eastAsiaTheme="minorEastAsia"/>
          <w:b/>
          <w:bCs/>
          <w:color w:val="auto"/>
          <w:sz w:val="22"/>
          <w:szCs w:val="22"/>
        </w:rPr>
      </w:pPr>
      <w:r>
        <w:rPr>
          <w:rFonts w:eastAsiaTheme="minorEastAsia"/>
          <w:b/>
          <w:bCs/>
          <w:color w:val="auto"/>
          <w:sz w:val="22"/>
          <w:szCs w:val="22"/>
        </w:rPr>
        <w:t xml:space="preserve">Timing differences: </w:t>
      </w:r>
      <w:r w:rsidR="003D426B" w:rsidRPr="00C622E6">
        <w:rPr>
          <w:rFonts w:eastAsiaTheme="minorEastAsia"/>
          <w:b/>
          <w:bCs/>
          <w:color w:val="auto"/>
          <w:sz w:val="22"/>
          <w:szCs w:val="22"/>
        </w:rPr>
        <w:t xml:space="preserve">Pre-regime loss carry-forward provisions </w:t>
      </w:r>
    </w:p>
    <w:p w14:paraId="133F3EFB" w14:textId="1BB2F63A" w:rsidR="002611B2" w:rsidRDefault="002611B2" w:rsidP="00077C03">
      <w:pPr>
        <w:pStyle w:val="Default"/>
        <w:spacing w:after="120"/>
        <w:jc w:val="both"/>
        <w:rPr>
          <w:color w:val="auto"/>
          <w:sz w:val="22"/>
          <w:szCs w:val="22"/>
        </w:rPr>
      </w:pPr>
      <w:r w:rsidRPr="00C622E6">
        <w:rPr>
          <w:color w:val="auto"/>
          <w:sz w:val="22"/>
          <w:szCs w:val="22"/>
        </w:rPr>
        <w:t xml:space="preserve">As summarized in the </w:t>
      </w:r>
      <w:r w:rsidR="00FC496C" w:rsidRPr="00C622E6">
        <w:rPr>
          <w:color w:val="auto"/>
          <w:sz w:val="22"/>
          <w:szCs w:val="22"/>
        </w:rPr>
        <w:t>Blueprint</w:t>
      </w:r>
      <w:r w:rsidRPr="00C622E6">
        <w:rPr>
          <w:color w:val="auto"/>
          <w:sz w:val="22"/>
          <w:szCs w:val="22"/>
        </w:rPr>
        <w:t>, failure to take appropriate account of pre-regime losses</w:t>
      </w:r>
      <w:r w:rsidR="00157342">
        <w:rPr>
          <w:color w:val="auto"/>
          <w:sz w:val="22"/>
          <w:szCs w:val="22"/>
        </w:rPr>
        <w:t xml:space="preserve"> and timing differences</w:t>
      </w:r>
      <w:r w:rsidRPr="00C622E6">
        <w:rPr>
          <w:color w:val="auto"/>
          <w:sz w:val="22"/>
          <w:szCs w:val="22"/>
        </w:rPr>
        <w:t xml:space="preserve"> could result in an MNE Group being overtaxed, by converting what was essentially a timing difference into a permanent difference based on the mere fact that the MNE Group</w:t>
      </w:r>
      <w:r w:rsidRPr="00C622E6">
        <w:rPr>
          <w:sz w:val="22"/>
          <w:szCs w:val="22"/>
        </w:rPr>
        <w:t xml:space="preserve"> was</w:t>
      </w:r>
      <w:r>
        <w:t xml:space="preserve"> </w:t>
      </w:r>
      <w:r w:rsidRPr="00C622E6">
        <w:rPr>
          <w:color w:val="auto"/>
          <w:sz w:val="22"/>
          <w:szCs w:val="22"/>
        </w:rPr>
        <w:t xml:space="preserve">brought within the scope of the </w:t>
      </w:r>
      <w:proofErr w:type="spellStart"/>
      <w:r w:rsidRPr="00C622E6">
        <w:rPr>
          <w:color w:val="auto"/>
          <w:sz w:val="22"/>
          <w:szCs w:val="22"/>
        </w:rPr>
        <w:t>GloBE</w:t>
      </w:r>
      <w:proofErr w:type="spellEnd"/>
      <w:r w:rsidRPr="00C622E6">
        <w:rPr>
          <w:color w:val="auto"/>
          <w:sz w:val="22"/>
          <w:szCs w:val="22"/>
        </w:rPr>
        <w:t xml:space="preserve"> rules after those </w:t>
      </w:r>
      <w:r w:rsidR="00591E50">
        <w:rPr>
          <w:color w:val="auto"/>
          <w:sz w:val="22"/>
          <w:szCs w:val="22"/>
        </w:rPr>
        <w:t>attributes</w:t>
      </w:r>
      <w:r w:rsidR="00157342" w:rsidRPr="00C622E6">
        <w:rPr>
          <w:color w:val="auto"/>
          <w:sz w:val="22"/>
          <w:szCs w:val="22"/>
        </w:rPr>
        <w:t xml:space="preserve"> </w:t>
      </w:r>
      <w:r w:rsidRPr="00C622E6">
        <w:rPr>
          <w:color w:val="auto"/>
          <w:sz w:val="22"/>
          <w:szCs w:val="22"/>
        </w:rPr>
        <w:t xml:space="preserve">arose.  </w:t>
      </w:r>
      <w:r w:rsidR="006215D4" w:rsidRPr="00C622E6">
        <w:rPr>
          <w:color w:val="auto"/>
          <w:sz w:val="22"/>
          <w:szCs w:val="22"/>
        </w:rPr>
        <w:t>The Blueprint proposes the development of transition rules</w:t>
      </w:r>
      <w:r w:rsidR="006215D4">
        <w:rPr>
          <w:color w:val="auto"/>
          <w:sz w:val="22"/>
          <w:szCs w:val="22"/>
        </w:rPr>
        <w:t xml:space="preserve"> to address these concerns</w:t>
      </w:r>
      <w:r w:rsidR="006215D4" w:rsidRPr="00C622E6">
        <w:rPr>
          <w:color w:val="auto"/>
          <w:sz w:val="22"/>
          <w:szCs w:val="22"/>
        </w:rPr>
        <w:t>.</w:t>
      </w:r>
      <w:r w:rsidR="006215D4">
        <w:rPr>
          <w:color w:val="auto"/>
          <w:sz w:val="22"/>
          <w:szCs w:val="22"/>
        </w:rPr>
        <w:t xml:space="preserve"> </w:t>
      </w:r>
      <w:r w:rsidR="009E5ECE">
        <w:rPr>
          <w:color w:val="auto"/>
          <w:sz w:val="22"/>
          <w:szCs w:val="22"/>
        </w:rPr>
        <w:t>We have focussed comments below on losses, but they apply to other t</w:t>
      </w:r>
      <w:r w:rsidR="00365B0D">
        <w:rPr>
          <w:color w:val="auto"/>
          <w:sz w:val="22"/>
          <w:szCs w:val="22"/>
        </w:rPr>
        <w:t xml:space="preserve">iming differences equally. </w:t>
      </w:r>
    </w:p>
    <w:p w14:paraId="2394443A" w14:textId="77777777" w:rsidR="004F37FD" w:rsidRDefault="001B02DC" w:rsidP="00077C03">
      <w:pPr>
        <w:pStyle w:val="Default"/>
        <w:spacing w:after="120"/>
        <w:jc w:val="both"/>
        <w:rPr>
          <w:color w:val="auto"/>
          <w:sz w:val="22"/>
          <w:szCs w:val="22"/>
        </w:rPr>
      </w:pPr>
      <w:r w:rsidRPr="00C622E6">
        <w:rPr>
          <w:color w:val="auto"/>
          <w:sz w:val="22"/>
          <w:szCs w:val="22"/>
        </w:rPr>
        <w:t>We have two concerns with the transition proposals in the Blueprint.</w:t>
      </w:r>
    </w:p>
    <w:p w14:paraId="762ADE7B" w14:textId="357D4A74" w:rsidR="001B02DC" w:rsidRPr="00C622E6" w:rsidRDefault="001B02DC" w:rsidP="00077C03">
      <w:pPr>
        <w:pStyle w:val="Default"/>
        <w:numPr>
          <w:ilvl w:val="0"/>
          <w:numId w:val="39"/>
        </w:numPr>
        <w:spacing w:after="120"/>
        <w:jc w:val="both"/>
        <w:rPr>
          <w:color w:val="auto"/>
          <w:sz w:val="22"/>
          <w:szCs w:val="22"/>
        </w:rPr>
      </w:pPr>
      <w:r w:rsidRPr="00C622E6">
        <w:rPr>
          <w:color w:val="auto"/>
          <w:sz w:val="22"/>
          <w:szCs w:val="22"/>
        </w:rPr>
        <w:t xml:space="preserve">The Blueprint suggests that the transition period for determining pre-regime losses will be limited, perhaps to seven years.  Some insurance groups are still utilizing losses that are substantially older than the seven-year period that has been proposed; thus, a seven-year look-back period would materially distort the computation of those groups’ </w:t>
      </w:r>
      <w:proofErr w:type="spellStart"/>
      <w:r w:rsidRPr="00C622E6">
        <w:rPr>
          <w:color w:val="auto"/>
          <w:sz w:val="22"/>
          <w:szCs w:val="22"/>
        </w:rPr>
        <w:t>GloBE</w:t>
      </w:r>
      <w:proofErr w:type="spellEnd"/>
      <w:r w:rsidRPr="00C622E6">
        <w:rPr>
          <w:color w:val="auto"/>
          <w:sz w:val="22"/>
          <w:szCs w:val="22"/>
        </w:rPr>
        <w:t xml:space="preserve"> ETRs.  </w:t>
      </w:r>
      <w:r w:rsidR="005D4BD2" w:rsidRPr="00C622E6">
        <w:rPr>
          <w:color w:val="auto"/>
          <w:sz w:val="22"/>
          <w:szCs w:val="22"/>
        </w:rPr>
        <w:t xml:space="preserve">There </w:t>
      </w:r>
      <w:r w:rsidR="005D4BD2">
        <w:rPr>
          <w:color w:val="auto"/>
          <w:sz w:val="22"/>
          <w:szCs w:val="22"/>
        </w:rPr>
        <w:t>is no</w:t>
      </w:r>
      <w:r w:rsidR="005D4BD2" w:rsidRPr="00C622E6">
        <w:rPr>
          <w:color w:val="auto"/>
          <w:sz w:val="22"/>
          <w:szCs w:val="22"/>
        </w:rPr>
        <w:t xml:space="preserve"> compelling reason </w:t>
      </w:r>
      <w:r w:rsidR="005D4BD2">
        <w:rPr>
          <w:color w:val="auto"/>
          <w:sz w:val="22"/>
          <w:szCs w:val="22"/>
        </w:rPr>
        <w:t xml:space="preserve">articulated </w:t>
      </w:r>
      <w:r w:rsidR="005D4BD2" w:rsidRPr="00C622E6">
        <w:rPr>
          <w:color w:val="auto"/>
          <w:sz w:val="22"/>
          <w:szCs w:val="22"/>
        </w:rPr>
        <w:t xml:space="preserve">why the policy rationale supporting the indefinite carry-forward of post-implementation losses would not be equally applicable to pre-regime losses.  </w:t>
      </w:r>
      <w:r w:rsidRPr="00C622E6">
        <w:rPr>
          <w:color w:val="auto"/>
          <w:sz w:val="22"/>
          <w:szCs w:val="22"/>
        </w:rPr>
        <w:t>We believe that – like the post-implementation loss carry-forward – the look-back period for transition losses</w:t>
      </w:r>
      <w:r w:rsidR="001B1A6D">
        <w:rPr>
          <w:color w:val="auto"/>
          <w:sz w:val="22"/>
          <w:szCs w:val="22"/>
        </w:rPr>
        <w:t xml:space="preserve"> and other timing differences</w:t>
      </w:r>
      <w:r w:rsidRPr="00C622E6">
        <w:rPr>
          <w:color w:val="auto"/>
          <w:sz w:val="22"/>
          <w:szCs w:val="22"/>
        </w:rPr>
        <w:t xml:space="preserve"> should be indefinite to provide for industries with very long business cycles</w:t>
      </w:r>
      <w:r w:rsidR="005C7F15">
        <w:rPr>
          <w:color w:val="auto"/>
          <w:sz w:val="22"/>
          <w:szCs w:val="22"/>
        </w:rPr>
        <w:t xml:space="preserve"> and tax regimes that apply loss restriction rules </w:t>
      </w:r>
      <w:r w:rsidR="00586951">
        <w:rPr>
          <w:color w:val="auto"/>
          <w:sz w:val="22"/>
          <w:szCs w:val="22"/>
        </w:rPr>
        <w:t>(</w:t>
      </w:r>
      <w:r w:rsidR="005C7F15">
        <w:rPr>
          <w:color w:val="auto"/>
          <w:sz w:val="22"/>
          <w:szCs w:val="22"/>
        </w:rPr>
        <w:t>e.g. limited to 50% of taxable profit as in the UK</w:t>
      </w:r>
      <w:r w:rsidR="00586951">
        <w:rPr>
          <w:color w:val="auto"/>
          <w:sz w:val="22"/>
          <w:szCs w:val="22"/>
        </w:rPr>
        <w:t>)</w:t>
      </w:r>
      <w:r w:rsidRPr="00C622E6">
        <w:rPr>
          <w:color w:val="auto"/>
          <w:sz w:val="22"/>
          <w:szCs w:val="22"/>
        </w:rPr>
        <w:t xml:space="preserve">.  Alternatively, the transition loss-carry-forward provision could allow taxpayers to use their local tax loss carry-forwards </w:t>
      </w:r>
      <w:r w:rsidR="00F1211F">
        <w:rPr>
          <w:color w:val="auto"/>
          <w:sz w:val="22"/>
          <w:szCs w:val="22"/>
        </w:rPr>
        <w:t xml:space="preserve">and material timing differences </w:t>
      </w:r>
      <w:r w:rsidRPr="00C622E6">
        <w:rPr>
          <w:color w:val="auto"/>
          <w:sz w:val="22"/>
          <w:szCs w:val="22"/>
        </w:rPr>
        <w:t xml:space="preserve">as of the </w:t>
      </w:r>
      <w:proofErr w:type="spellStart"/>
      <w:r w:rsidR="799F20C2" w:rsidRPr="760A453A">
        <w:rPr>
          <w:color w:val="auto"/>
          <w:sz w:val="22"/>
          <w:szCs w:val="22"/>
        </w:rPr>
        <w:t>inaugaral</w:t>
      </w:r>
      <w:proofErr w:type="spellEnd"/>
      <w:r w:rsidR="799F20C2" w:rsidRPr="760A453A">
        <w:rPr>
          <w:color w:val="auto"/>
          <w:sz w:val="22"/>
          <w:szCs w:val="22"/>
        </w:rPr>
        <w:t xml:space="preserve"> </w:t>
      </w:r>
      <w:r w:rsidRPr="760A453A">
        <w:rPr>
          <w:color w:val="auto"/>
          <w:sz w:val="22"/>
          <w:szCs w:val="22"/>
        </w:rPr>
        <w:t xml:space="preserve">date </w:t>
      </w:r>
      <w:r w:rsidR="75F5F059" w:rsidRPr="760A453A">
        <w:rPr>
          <w:color w:val="auto"/>
          <w:sz w:val="22"/>
          <w:szCs w:val="22"/>
        </w:rPr>
        <w:t>of</w:t>
      </w:r>
      <w:r w:rsidRPr="00C622E6">
        <w:rPr>
          <w:color w:val="auto"/>
          <w:sz w:val="22"/>
          <w:szCs w:val="22"/>
        </w:rPr>
        <w:t xml:space="preserve"> the </w:t>
      </w:r>
      <w:proofErr w:type="spellStart"/>
      <w:r w:rsidRPr="00C622E6">
        <w:rPr>
          <w:color w:val="auto"/>
          <w:sz w:val="22"/>
          <w:szCs w:val="22"/>
        </w:rPr>
        <w:t>GloBE</w:t>
      </w:r>
      <w:proofErr w:type="spellEnd"/>
      <w:r w:rsidRPr="00C622E6">
        <w:rPr>
          <w:color w:val="auto"/>
          <w:sz w:val="22"/>
          <w:szCs w:val="22"/>
        </w:rPr>
        <w:t xml:space="preserve"> proposals  to determine the </w:t>
      </w:r>
      <w:proofErr w:type="spellStart"/>
      <w:r w:rsidRPr="00C622E6">
        <w:rPr>
          <w:color w:val="auto"/>
          <w:sz w:val="22"/>
          <w:szCs w:val="22"/>
        </w:rPr>
        <w:t>GloBE</w:t>
      </w:r>
      <w:proofErr w:type="spellEnd"/>
      <w:r w:rsidRPr="00C622E6">
        <w:rPr>
          <w:color w:val="auto"/>
          <w:sz w:val="22"/>
          <w:szCs w:val="22"/>
        </w:rPr>
        <w:t xml:space="preserve"> tax base.</w:t>
      </w:r>
    </w:p>
    <w:p w14:paraId="670D5A81" w14:textId="2E55BDD0" w:rsidR="002611B2" w:rsidRDefault="00AC406E" w:rsidP="00077C03">
      <w:pPr>
        <w:pStyle w:val="Default"/>
        <w:numPr>
          <w:ilvl w:val="0"/>
          <w:numId w:val="39"/>
        </w:numPr>
        <w:spacing w:after="120"/>
        <w:jc w:val="both"/>
        <w:rPr>
          <w:color w:val="auto"/>
          <w:sz w:val="22"/>
          <w:szCs w:val="22"/>
        </w:rPr>
      </w:pPr>
      <w:r>
        <w:rPr>
          <w:color w:val="auto"/>
          <w:sz w:val="22"/>
          <w:szCs w:val="22"/>
        </w:rPr>
        <w:t>The</w:t>
      </w:r>
      <w:r w:rsidR="001B02DC" w:rsidRPr="00C622E6">
        <w:rPr>
          <w:color w:val="auto"/>
          <w:sz w:val="22"/>
          <w:szCs w:val="22"/>
        </w:rPr>
        <w:t xml:space="preserve"> Blueprint </w:t>
      </w:r>
      <w:r w:rsidR="002611B2" w:rsidRPr="00C622E6">
        <w:rPr>
          <w:color w:val="auto"/>
          <w:sz w:val="22"/>
          <w:szCs w:val="22"/>
        </w:rPr>
        <w:t xml:space="preserve">indicates that the “most accurate” approach would be to identify an applicable start date for the transitional period and require an MNE Group to compute an opening balance of its loss carry-forward and local tax carry-forward as if the </w:t>
      </w:r>
      <w:proofErr w:type="spellStart"/>
      <w:r w:rsidR="002611B2" w:rsidRPr="00C622E6">
        <w:rPr>
          <w:color w:val="auto"/>
          <w:sz w:val="22"/>
          <w:szCs w:val="22"/>
        </w:rPr>
        <w:t>GloBE</w:t>
      </w:r>
      <w:proofErr w:type="spellEnd"/>
      <w:r w:rsidR="002611B2" w:rsidRPr="00C622E6">
        <w:rPr>
          <w:color w:val="auto"/>
          <w:sz w:val="22"/>
          <w:szCs w:val="22"/>
        </w:rPr>
        <w:t xml:space="preserve"> rules had applied during the transition period. The Report also considers the development of a “simplified method” that could produce results that reasonably approximate the “more accurate” approach with less complexity and administrative burden.  While we endorse efforts to reduce complexity (particularly in light of the highly complex nature of the </w:t>
      </w:r>
      <w:proofErr w:type="spellStart"/>
      <w:r w:rsidR="002611B2" w:rsidRPr="00C622E6">
        <w:rPr>
          <w:color w:val="auto"/>
          <w:sz w:val="22"/>
          <w:szCs w:val="22"/>
        </w:rPr>
        <w:t>GloBE</w:t>
      </w:r>
      <w:proofErr w:type="spellEnd"/>
      <w:r w:rsidR="002611B2" w:rsidRPr="00C622E6">
        <w:rPr>
          <w:color w:val="auto"/>
          <w:sz w:val="22"/>
          <w:szCs w:val="22"/>
        </w:rPr>
        <w:t xml:space="preserve"> provisions overall), given the considerable importance of the loss carry-forward provisions to certain cyclical business sectors, we support the application of the “most accurate” approach as the default means by which pre-regime loss and local tax carry-forward attributes are determined, with an optional “simplified” approach which MNE Groups may choose to apply (e.g. where an MNE Group is not disadvantaged by the less accurate approach and/or wishes to reduce complexity and its administrative burden).</w:t>
      </w:r>
    </w:p>
    <w:p w14:paraId="390C44CB" w14:textId="4DDE706B" w:rsidR="006E6BCF" w:rsidRDefault="002611B2" w:rsidP="00077C03">
      <w:pPr>
        <w:pStyle w:val="Default"/>
        <w:spacing w:after="120"/>
        <w:jc w:val="both"/>
        <w:rPr>
          <w:color w:val="auto"/>
          <w:sz w:val="22"/>
          <w:szCs w:val="22"/>
        </w:rPr>
      </w:pPr>
      <w:r w:rsidRPr="00C622E6">
        <w:rPr>
          <w:color w:val="auto"/>
          <w:sz w:val="22"/>
          <w:szCs w:val="22"/>
        </w:rPr>
        <w:t xml:space="preserve">We would further suggest that an adjustment be permitted to increase the </w:t>
      </w:r>
      <w:proofErr w:type="spellStart"/>
      <w:r w:rsidRPr="00C622E6">
        <w:rPr>
          <w:color w:val="auto"/>
          <w:sz w:val="22"/>
          <w:szCs w:val="22"/>
        </w:rPr>
        <w:t>GloBE</w:t>
      </w:r>
      <w:proofErr w:type="spellEnd"/>
      <w:r w:rsidRPr="00C622E6">
        <w:rPr>
          <w:color w:val="auto"/>
          <w:sz w:val="22"/>
          <w:szCs w:val="22"/>
        </w:rPr>
        <w:t xml:space="preserve"> loss carry-forward amount to the extent that the loss carry-forward available to a Constituent Entity under local tax law exceeds the loss carry-forward determined with respect to the limited transition period.</w:t>
      </w:r>
    </w:p>
    <w:p w14:paraId="16DE59A5" w14:textId="02DA6590" w:rsidR="00A838F8" w:rsidRPr="00C622E6" w:rsidRDefault="00A838F8" w:rsidP="00077C03">
      <w:pPr>
        <w:pStyle w:val="Default"/>
        <w:spacing w:after="120"/>
        <w:jc w:val="both"/>
        <w:rPr>
          <w:b/>
          <w:bCs/>
          <w:i/>
          <w:iCs/>
          <w:color w:val="auto"/>
          <w:sz w:val="22"/>
          <w:szCs w:val="22"/>
        </w:rPr>
      </w:pPr>
      <w:r w:rsidRPr="00C622E6">
        <w:rPr>
          <w:b/>
          <w:bCs/>
          <w:i/>
          <w:iCs/>
          <w:color w:val="auto"/>
          <w:sz w:val="22"/>
          <w:szCs w:val="22"/>
        </w:rPr>
        <w:t>Our ask</w:t>
      </w:r>
    </w:p>
    <w:p w14:paraId="15D1BE71" w14:textId="77777777" w:rsidR="00B94E17" w:rsidRDefault="00B94E17" w:rsidP="00077C03">
      <w:pPr>
        <w:pStyle w:val="Default"/>
        <w:spacing w:after="120"/>
        <w:jc w:val="both"/>
        <w:rPr>
          <w:color w:val="auto"/>
          <w:sz w:val="22"/>
          <w:szCs w:val="22"/>
        </w:rPr>
      </w:pPr>
      <w:r w:rsidRPr="00C55A43">
        <w:rPr>
          <w:color w:val="auto"/>
          <w:sz w:val="22"/>
          <w:szCs w:val="22"/>
        </w:rPr>
        <w:t>We would note that most (or all) of these issues would be effectively addressed by the adoption of a more accurate and straightforward model that takes deferred tax accounting principles into account, as summarized above.</w:t>
      </w:r>
      <w:r>
        <w:rPr>
          <w:color w:val="auto"/>
          <w:sz w:val="22"/>
          <w:szCs w:val="22"/>
        </w:rPr>
        <w:t xml:space="preserve"> </w:t>
      </w:r>
    </w:p>
    <w:p w14:paraId="731D01D4" w14:textId="2FC245E9" w:rsidR="00BD4D61" w:rsidRDefault="00B94E17" w:rsidP="00077C03">
      <w:pPr>
        <w:pStyle w:val="Default"/>
        <w:spacing w:after="120"/>
        <w:jc w:val="both"/>
        <w:rPr>
          <w:color w:val="auto"/>
          <w:sz w:val="22"/>
          <w:szCs w:val="22"/>
        </w:rPr>
      </w:pPr>
      <w:r>
        <w:rPr>
          <w:color w:val="auto"/>
          <w:sz w:val="22"/>
          <w:szCs w:val="22"/>
        </w:rPr>
        <w:t>Should this not be possible</w:t>
      </w:r>
      <w:r w:rsidR="002611B2" w:rsidRPr="00C622E6">
        <w:rPr>
          <w:color w:val="auto"/>
          <w:sz w:val="22"/>
          <w:szCs w:val="22"/>
        </w:rPr>
        <w:t>, in determining the pre-regime local tax carry-forward we suggest that an MNE Group should be permitted to apply the “most accurate” approach to a transition period consistent with the post-implementation local tax carry-forward period (currently proposed at 7 years, per paragraph 310 of the Report).  In practice, certain MNE Groups may opt to limit the application of the “most accurate” approach to a shorter period (e.g. where insufficient records are available in support of a longer look-back period and/or the MNE Group wishes to reduce its administrative burden by limiting the look-back period).</w:t>
      </w:r>
    </w:p>
    <w:p w14:paraId="4A549BF3" w14:textId="3E6CB175" w:rsidR="00DE3415" w:rsidRPr="00090F94" w:rsidRDefault="00524B04" w:rsidP="00077C03">
      <w:pPr>
        <w:pStyle w:val="Default"/>
        <w:numPr>
          <w:ilvl w:val="0"/>
          <w:numId w:val="34"/>
        </w:numPr>
        <w:spacing w:after="120"/>
        <w:rPr>
          <w:b/>
          <w:bCs/>
          <w:color w:val="auto"/>
          <w:sz w:val="22"/>
          <w:szCs w:val="22"/>
        </w:rPr>
      </w:pPr>
      <w:r>
        <w:rPr>
          <w:b/>
          <w:bCs/>
          <w:color w:val="auto"/>
          <w:sz w:val="22"/>
          <w:szCs w:val="22"/>
        </w:rPr>
        <w:t xml:space="preserve">Timing </w:t>
      </w:r>
      <w:r w:rsidRPr="760A453A">
        <w:rPr>
          <w:b/>
          <w:color w:val="auto"/>
          <w:sz w:val="22"/>
          <w:szCs w:val="22"/>
        </w:rPr>
        <w:t>differences</w:t>
      </w:r>
      <w:r>
        <w:rPr>
          <w:b/>
          <w:bCs/>
          <w:color w:val="auto"/>
          <w:sz w:val="22"/>
          <w:szCs w:val="22"/>
        </w:rPr>
        <w:t xml:space="preserve">: </w:t>
      </w:r>
      <w:r w:rsidR="00AB54EF" w:rsidRPr="00C622E6">
        <w:rPr>
          <w:b/>
          <w:bCs/>
          <w:color w:val="auto"/>
          <w:sz w:val="22"/>
          <w:szCs w:val="22"/>
        </w:rPr>
        <w:t>Undertaxed Pa</w:t>
      </w:r>
      <w:r w:rsidR="001131DA" w:rsidRPr="00C622E6">
        <w:rPr>
          <w:b/>
          <w:bCs/>
          <w:color w:val="auto"/>
          <w:sz w:val="22"/>
          <w:szCs w:val="22"/>
        </w:rPr>
        <w:t>yment Rule</w:t>
      </w:r>
    </w:p>
    <w:p w14:paraId="7D404DA8" w14:textId="383FA092" w:rsidR="00CC163B" w:rsidRDefault="006808F0" w:rsidP="00077C03">
      <w:pPr>
        <w:pStyle w:val="Default"/>
        <w:spacing w:after="120"/>
        <w:jc w:val="both"/>
        <w:rPr>
          <w:color w:val="auto"/>
          <w:sz w:val="22"/>
          <w:szCs w:val="22"/>
        </w:rPr>
      </w:pPr>
      <w:r w:rsidRPr="006808F0">
        <w:rPr>
          <w:color w:val="auto"/>
          <w:sz w:val="22"/>
          <w:szCs w:val="22"/>
        </w:rPr>
        <w:t xml:space="preserve">The credit and carry-forward rules can be ineffective when applied to the UTPR regime.  The proposed cap to mitigate the impact of the UTPR only provides a rule to mitigate the amount of tax payable, and does not consider previous amounts of tax paid, if any.  Consider the example of a UPE with a low ETR from timing differences in a country that has adopted the </w:t>
      </w:r>
      <w:proofErr w:type="spellStart"/>
      <w:r w:rsidRPr="006808F0">
        <w:rPr>
          <w:color w:val="auto"/>
          <w:sz w:val="22"/>
          <w:szCs w:val="22"/>
        </w:rPr>
        <w:t>GloBE</w:t>
      </w:r>
      <w:proofErr w:type="spellEnd"/>
      <w:r w:rsidRPr="006808F0">
        <w:rPr>
          <w:color w:val="auto"/>
          <w:sz w:val="22"/>
          <w:szCs w:val="22"/>
        </w:rPr>
        <w:t xml:space="preserve"> rules.  In that case, the UTPR may be imposed by countries where the UPE has affiliates making payments to the UPE.  If after a number of years those timing differences reverse </w:t>
      </w:r>
      <w:r w:rsidR="00FC6BFF">
        <w:rPr>
          <w:color w:val="auto"/>
          <w:sz w:val="22"/>
          <w:szCs w:val="22"/>
        </w:rPr>
        <w:t>and</w:t>
      </w:r>
      <w:r w:rsidRPr="006808F0">
        <w:rPr>
          <w:color w:val="auto"/>
          <w:sz w:val="22"/>
          <w:szCs w:val="22"/>
        </w:rPr>
        <w:t xml:space="preserve"> drive the ETR of the UPE in excess of the minimum tax rate, there is no mechanism for a credit or refund of the UTPR.  Moreover, a proposal to increase deductions in a later year to the UTPR taxpayer may be ineffective since that relies upon the UTPR taxpayer having a tax liability in the later year while still being affiliated with the UPE.  As discussed previously, deferred tax accounting </w:t>
      </w:r>
      <w:r w:rsidR="003109FF">
        <w:rPr>
          <w:color w:val="auto"/>
          <w:sz w:val="22"/>
          <w:szCs w:val="22"/>
        </w:rPr>
        <w:t xml:space="preserve">or a similar mechanism </w:t>
      </w:r>
      <w:r w:rsidRPr="006808F0">
        <w:rPr>
          <w:color w:val="auto"/>
          <w:sz w:val="22"/>
          <w:szCs w:val="22"/>
        </w:rPr>
        <w:t>should be used to address this and other concerns.  If deferred tax accounting is not used, we suggest that the UTPR credit rules be written such that the UPE jurisdiction gives the UPE a credit for the UTPR paid by its affiliates, or the jurisdictions in which the affiliates paid tax need to refund that tax.</w:t>
      </w:r>
    </w:p>
    <w:p w14:paraId="39849ECB" w14:textId="69987A17" w:rsidR="006A59E3" w:rsidRPr="00C622E6" w:rsidRDefault="006A59E3" w:rsidP="00077C03">
      <w:pPr>
        <w:pStyle w:val="Default"/>
        <w:spacing w:after="120"/>
        <w:jc w:val="both"/>
        <w:rPr>
          <w:b/>
          <w:bCs/>
          <w:i/>
          <w:iCs/>
          <w:color w:val="auto"/>
          <w:sz w:val="22"/>
          <w:szCs w:val="22"/>
        </w:rPr>
      </w:pPr>
      <w:r w:rsidRPr="00C622E6">
        <w:rPr>
          <w:b/>
          <w:bCs/>
          <w:i/>
          <w:iCs/>
          <w:color w:val="auto"/>
          <w:sz w:val="22"/>
          <w:szCs w:val="22"/>
        </w:rPr>
        <w:t>Our ask</w:t>
      </w:r>
    </w:p>
    <w:p w14:paraId="17E9FEB5" w14:textId="67965776" w:rsidR="00047AF0" w:rsidRPr="006E6BCF" w:rsidRDefault="00BD4D61" w:rsidP="00077C03">
      <w:pPr>
        <w:pStyle w:val="Default"/>
        <w:spacing w:after="120"/>
        <w:jc w:val="both"/>
      </w:pPr>
      <w:r w:rsidRPr="00C622E6">
        <w:rPr>
          <w:color w:val="auto"/>
          <w:sz w:val="22"/>
          <w:szCs w:val="22"/>
        </w:rPr>
        <w:t>Therefore, the UTPR cap and related rules needs to take into consideration the long term and integrated nature of reinsurance, that includes reserves</w:t>
      </w:r>
      <w:r w:rsidR="006A59E3">
        <w:rPr>
          <w:color w:val="auto"/>
          <w:sz w:val="22"/>
          <w:szCs w:val="22"/>
        </w:rPr>
        <w:t xml:space="preserve"> movements charged to profit and loss where they are</w:t>
      </w:r>
      <w:r w:rsidRPr="00C622E6">
        <w:rPr>
          <w:color w:val="auto"/>
          <w:sz w:val="22"/>
          <w:szCs w:val="22"/>
        </w:rPr>
        <w:t xml:space="preserve"> established to represent future cash flows.</w:t>
      </w:r>
    </w:p>
    <w:p w14:paraId="3C2BD963" w14:textId="2AE45ABB" w:rsidR="00047AF0" w:rsidRPr="00077C03" w:rsidRDefault="00047AF0" w:rsidP="760A453A">
      <w:pPr>
        <w:pStyle w:val="Default"/>
        <w:spacing w:after="120"/>
        <w:jc w:val="both"/>
        <w:rPr>
          <w:b/>
          <w:bCs/>
        </w:rPr>
      </w:pPr>
    </w:p>
    <w:p w14:paraId="6A59D15D" w14:textId="70EA398C" w:rsidR="00047AF0" w:rsidRPr="001E414D" w:rsidRDefault="7F19ECB8" w:rsidP="001E414D">
      <w:pPr>
        <w:pStyle w:val="Default"/>
        <w:numPr>
          <w:ilvl w:val="0"/>
          <w:numId w:val="34"/>
        </w:numPr>
        <w:spacing w:after="120"/>
        <w:rPr>
          <w:b/>
          <w:bCs/>
          <w:color w:val="auto"/>
          <w:sz w:val="22"/>
          <w:szCs w:val="22"/>
        </w:rPr>
      </w:pPr>
      <w:r w:rsidRPr="001E414D">
        <w:rPr>
          <w:b/>
          <w:bCs/>
          <w:color w:val="auto"/>
          <w:sz w:val="22"/>
          <w:szCs w:val="22"/>
        </w:rPr>
        <w:t xml:space="preserve">Substance </w:t>
      </w:r>
      <w:r w:rsidR="001E414D">
        <w:rPr>
          <w:b/>
          <w:bCs/>
          <w:color w:val="auto"/>
          <w:sz w:val="22"/>
          <w:szCs w:val="22"/>
        </w:rPr>
        <w:t>c</w:t>
      </w:r>
      <w:r w:rsidRPr="001E414D">
        <w:rPr>
          <w:b/>
          <w:bCs/>
          <w:color w:val="auto"/>
          <w:sz w:val="22"/>
          <w:szCs w:val="22"/>
        </w:rPr>
        <w:t>arve-out</w:t>
      </w:r>
    </w:p>
    <w:p w14:paraId="180268A0" w14:textId="1C4C015B" w:rsidR="00047AF0" w:rsidRPr="006E6BCF" w:rsidRDefault="7F19ECB8" w:rsidP="760A453A">
      <w:pPr>
        <w:pStyle w:val="Default"/>
        <w:spacing w:after="120"/>
        <w:jc w:val="both"/>
      </w:pPr>
      <w:r w:rsidRPr="001E414D">
        <w:rPr>
          <w:color w:val="auto"/>
          <w:sz w:val="22"/>
          <w:szCs w:val="22"/>
        </w:rPr>
        <w:t>See answers to specific questions in section 4.</w:t>
      </w:r>
    </w:p>
    <w:p w14:paraId="7505FCC9" w14:textId="4B5E3962" w:rsidR="00047AF0" w:rsidRPr="006E6BCF" w:rsidRDefault="00047AF0" w:rsidP="760A453A">
      <w:pPr>
        <w:pStyle w:val="Default"/>
        <w:spacing w:after="120"/>
        <w:jc w:val="both"/>
      </w:pPr>
      <w:r>
        <w:br w:type="page"/>
      </w:r>
    </w:p>
    <w:p w14:paraId="57B74A1E" w14:textId="233F89B3" w:rsidR="00AB0C94" w:rsidRPr="00090F94" w:rsidRDefault="008229EE" w:rsidP="00077C03">
      <w:pPr>
        <w:pStyle w:val="Default"/>
        <w:numPr>
          <w:ilvl w:val="0"/>
          <w:numId w:val="3"/>
        </w:numPr>
        <w:spacing w:after="120"/>
        <w:ind w:left="360"/>
        <w:rPr>
          <w:color w:val="auto"/>
          <w:sz w:val="22"/>
          <w:szCs w:val="22"/>
        </w:rPr>
      </w:pPr>
      <w:r w:rsidRPr="00F32706">
        <w:rPr>
          <w:rFonts w:eastAsiaTheme="minorEastAsia"/>
          <w:b/>
          <w:bCs/>
          <w:color w:val="auto"/>
          <w:sz w:val="22"/>
          <w:szCs w:val="22"/>
        </w:rPr>
        <w:t>Subject to tax rule</w:t>
      </w:r>
      <w:r w:rsidR="003A6F19">
        <w:rPr>
          <w:rFonts w:eastAsiaTheme="minorEastAsia"/>
          <w:b/>
          <w:bCs/>
          <w:color w:val="auto"/>
          <w:sz w:val="22"/>
          <w:szCs w:val="22"/>
        </w:rPr>
        <w:t xml:space="preserve"> (‘STTR’)</w:t>
      </w:r>
    </w:p>
    <w:p w14:paraId="4EA9252D" w14:textId="22AC91AE" w:rsidR="000D5FAC" w:rsidRDefault="00281FB7" w:rsidP="00077C03">
      <w:pPr>
        <w:pStyle w:val="Default"/>
        <w:spacing w:after="120"/>
        <w:jc w:val="both"/>
        <w:rPr>
          <w:color w:val="auto"/>
          <w:sz w:val="22"/>
          <w:szCs w:val="22"/>
        </w:rPr>
      </w:pPr>
      <w:r>
        <w:rPr>
          <w:color w:val="auto"/>
          <w:sz w:val="22"/>
          <w:szCs w:val="22"/>
        </w:rPr>
        <w:t>W</w:t>
      </w:r>
      <w:r w:rsidR="005357B0" w:rsidRPr="005357B0">
        <w:rPr>
          <w:color w:val="auto"/>
          <w:sz w:val="22"/>
          <w:szCs w:val="22"/>
        </w:rPr>
        <w:t>e believe that insurance premiums should be distinguished from other intragroup payments</w:t>
      </w:r>
      <w:r>
        <w:rPr>
          <w:color w:val="auto"/>
          <w:sz w:val="22"/>
          <w:szCs w:val="22"/>
        </w:rPr>
        <w:t xml:space="preserve"> for STTR purposes</w:t>
      </w:r>
      <w:r w:rsidR="005357B0" w:rsidRPr="005357B0">
        <w:rPr>
          <w:color w:val="auto"/>
          <w:sz w:val="22"/>
          <w:szCs w:val="22"/>
        </w:rPr>
        <w:t xml:space="preserve">. </w:t>
      </w:r>
      <w:r w:rsidR="009A14A3" w:rsidRPr="00D40EEE">
        <w:rPr>
          <w:color w:val="auto"/>
          <w:sz w:val="22"/>
          <w:szCs w:val="22"/>
        </w:rPr>
        <w:t xml:space="preserve">As outlined further below, the </w:t>
      </w:r>
      <w:r w:rsidR="00EF01AF">
        <w:rPr>
          <w:color w:val="auto"/>
          <w:sz w:val="22"/>
          <w:szCs w:val="22"/>
        </w:rPr>
        <w:t>STTR</w:t>
      </w:r>
      <w:r w:rsidR="009A14A3" w:rsidRPr="00D40EEE">
        <w:rPr>
          <w:color w:val="auto"/>
          <w:sz w:val="22"/>
          <w:szCs w:val="22"/>
        </w:rPr>
        <w:t xml:space="preserve"> relating to insurance or reinsurance premium</w:t>
      </w:r>
      <w:r w:rsidR="0029300B">
        <w:rPr>
          <w:color w:val="auto"/>
          <w:sz w:val="22"/>
          <w:szCs w:val="22"/>
        </w:rPr>
        <w:t>s</w:t>
      </w:r>
      <w:r w:rsidR="009A14A3" w:rsidRPr="00D40EEE">
        <w:rPr>
          <w:color w:val="auto"/>
          <w:sz w:val="22"/>
          <w:szCs w:val="22"/>
        </w:rPr>
        <w:t xml:space="preserve"> seems to disregard the economic realities in the insurance sector and would likely result in over-taxation.</w:t>
      </w:r>
      <w:r w:rsidR="007126B8">
        <w:rPr>
          <w:color w:val="auto"/>
          <w:sz w:val="22"/>
          <w:szCs w:val="22"/>
        </w:rPr>
        <w:t xml:space="preserve"> </w:t>
      </w:r>
    </w:p>
    <w:p w14:paraId="4480287C" w14:textId="18D095A0" w:rsidR="005819F2" w:rsidRDefault="000D5FAC" w:rsidP="00077C03">
      <w:pPr>
        <w:pStyle w:val="Default"/>
        <w:spacing w:after="120"/>
        <w:jc w:val="both"/>
        <w:rPr>
          <w:color w:val="auto"/>
          <w:sz w:val="22"/>
          <w:szCs w:val="22"/>
        </w:rPr>
      </w:pPr>
      <w:r>
        <w:rPr>
          <w:color w:val="auto"/>
          <w:sz w:val="22"/>
          <w:szCs w:val="22"/>
        </w:rPr>
        <w:t>Critically, t</w:t>
      </w:r>
      <w:r w:rsidR="007126B8">
        <w:rPr>
          <w:color w:val="auto"/>
          <w:sz w:val="22"/>
          <w:szCs w:val="22"/>
        </w:rPr>
        <w:t xml:space="preserve">he </w:t>
      </w:r>
      <w:r w:rsidR="00CD36BD">
        <w:rPr>
          <w:color w:val="auto"/>
          <w:sz w:val="22"/>
          <w:szCs w:val="22"/>
        </w:rPr>
        <w:t>statement at paragraph 601 of the Blueprint that:</w:t>
      </w:r>
    </w:p>
    <w:p w14:paraId="3BE17647" w14:textId="538367B2" w:rsidR="005819F2" w:rsidRPr="005819F2" w:rsidRDefault="007126B8" w:rsidP="00077C03">
      <w:pPr>
        <w:pStyle w:val="Default"/>
        <w:spacing w:after="120"/>
        <w:ind w:left="720"/>
        <w:rPr>
          <w:i/>
          <w:iCs/>
          <w:color w:val="auto"/>
          <w:sz w:val="22"/>
          <w:szCs w:val="22"/>
        </w:rPr>
      </w:pPr>
      <w:r w:rsidRPr="005819F2">
        <w:rPr>
          <w:i/>
          <w:iCs/>
          <w:color w:val="auto"/>
          <w:sz w:val="22"/>
          <w:szCs w:val="22"/>
        </w:rPr>
        <w:t>“</w:t>
      </w:r>
      <w:r w:rsidR="000D5FAC" w:rsidRPr="005819F2">
        <w:rPr>
          <w:i/>
          <w:iCs/>
          <w:color w:val="auto"/>
          <w:sz w:val="22"/>
          <w:szCs w:val="22"/>
        </w:rPr>
        <w:t>If the risk does not materialise, the insurance or reinsurance premium can generate a high return.”</w:t>
      </w:r>
    </w:p>
    <w:p w14:paraId="7DD9A78A" w14:textId="2E1B1A4C" w:rsidR="005B64C8" w:rsidRDefault="000D5FAC" w:rsidP="00077C03">
      <w:pPr>
        <w:spacing w:after="120" w:line="240" w:lineRule="auto"/>
        <w:rPr>
          <w:rFonts w:ascii="Times New Roman" w:hAnsi="Times New Roman" w:cs="Times New Roman"/>
          <w:sz w:val="24"/>
          <w:szCs w:val="24"/>
          <w:lang w:eastAsia="en-GB"/>
        </w:rPr>
      </w:pPr>
      <w:r>
        <w:t xml:space="preserve">misses the </w:t>
      </w:r>
      <w:r w:rsidR="00CD36BD">
        <w:t xml:space="preserve">fundamental </w:t>
      </w:r>
      <w:r w:rsidR="00B227FE">
        <w:t>point of insurance. I</w:t>
      </w:r>
      <w:r>
        <w:t>f the risk does materialise, a loss far exceeding the initial premium payment can arise</w:t>
      </w:r>
      <w:r w:rsidR="00B227FE">
        <w:t xml:space="preserve"> – i.e. the risk of the adverse event occurring has been assumed by the </w:t>
      </w:r>
      <w:r w:rsidR="4AF9B7EF">
        <w:t>(re)</w:t>
      </w:r>
      <w:r w:rsidR="00B227FE">
        <w:t>insurer</w:t>
      </w:r>
      <w:r>
        <w:t>.</w:t>
      </w:r>
      <w:r w:rsidR="005819F2">
        <w:t xml:space="preserve"> </w:t>
      </w:r>
      <w:r w:rsidR="005B64C8">
        <w:t>The OECD has acknowledged</w:t>
      </w:r>
      <w:r w:rsidR="625CD664">
        <w:t xml:space="preserve"> in previous reports,</w:t>
      </w:r>
      <w:r w:rsidR="005B64C8">
        <w:t xml:space="preserve"> that premium should not be thought of as pure income, leading to high returns “if” losses do not materialize, but rather that it is of the essence of insurance that although premium income may be reported as income in the current year, “a substantial portion of the [premium] income is simply to fund future expected loss payments”.</w:t>
      </w:r>
      <w:r w:rsidR="005B64C8">
        <w:rPr>
          <w:rStyle w:val="Odkaznapoznmkupodiarou"/>
        </w:rPr>
        <w:footnoteReference w:id="3"/>
      </w:r>
      <w:r w:rsidR="005B64C8">
        <w:t xml:space="preserve"> </w:t>
      </w:r>
      <w:r w:rsidR="009D6787">
        <w:t xml:space="preserve">The </w:t>
      </w:r>
      <w:r w:rsidR="003B6BC3">
        <w:t xml:space="preserve">OECD has also considered factors that can indicate </w:t>
      </w:r>
      <w:r w:rsidR="00204F6B">
        <w:t>there is genuine insurance business and transfer of risk.</w:t>
      </w:r>
      <w:r w:rsidR="00204F6B">
        <w:rPr>
          <w:rStyle w:val="Odkaznapoznmkupodiarou"/>
        </w:rPr>
        <w:footnoteReference w:id="4"/>
      </w:r>
    </w:p>
    <w:p w14:paraId="0B8BEAE5" w14:textId="77777777" w:rsidR="00AD5326" w:rsidRPr="00CE1CA0" w:rsidRDefault="00AD5326" w:rsidP="00077C03">
      <w:pPr>
        <w:pStyle w:val="Default"/>
        <w:numPr>
          <w:ilvl w:val="0"/>
          <w:numId w:val="27"/>
        </w:numPr>
        <w:spacing w:after="120"/>
        <w:ind w:left="360"/>
        <w:jc w:val="both"/>
        <w:rPr>
          <w:b/>
          <w:bCs/>
          <w:i/>
          <w:iCs/>
          <w:color w:val="auto"/>
          <w:sz w:val="22"/>
          <w:szCs w:val="22"/>
        </w:rPr>
      </w:pPr>
      <w:r w:rsidRPr="00CE1CA0">
        <w:rPr>
          <w:b/>
          <w:bCs/>
          <w:i/>
          <w:iCs/>
          <w:color w:val="auto"/>
          <w:sz w:val="22"/>
          <w:szCs w:val="22"/>
        </w:rPr>
        <w:t>Risk of substantial over-taxation</w:t>
      </w:r>
    </w:p>
    <w:p w14:paraId="19FF4EFF" w14:textId="5DD081E7" w:rsidR="00EF6882" w:rsidRDefault="00AD5326" w:rsidP="00077C03">
      <w:pPr>
        <w:pStyle w:val="Default"/>
        <w:spacing w:after="120"/>
        <w:jc w:val="both"/>
        <w:rPr>
          <w:color w:val="auto"/>
          <w:sz w:val="22"/>
          <w:szCs w:val="22"/>
        </w:rPr>
      </w:pPr>
      <w:r w:rsidRPr="00AD6540">
        <w:rPr>
          <w:color w:val="auto"/>
          <w:sz w:val="22"/>
          <w:szCs w:val="22"/>
        </w:rPr>
        <w:t xml:space="preserve">The envisaged withholding tax potentially leads to over-taxation because it would be levied on the gross amount of a payment. This would </w:t>
      </w:r>
      <w:r w:rsidR="00E21D17">
        <w:rPr>
          <w:color w:val="auto"/>
          <w:sz w:val="22"/>
          <w:szCs w:val="22"/>
        </w:rPr>
        <w:t xml:space="preserve">hit </w:t>
      </w:r>
      <w:r w:rsidRPr="00AD6540">
        <w:rPr>
          <w:color w:val="auto"/>
          <w:sz w:val="22"/>
          <w:szCs w:val="22"/>
        </w:rPr>
        <w:t xml:space="preserve">particularly hard </w:t>
      </w:r>
      <w:r w:rsidR="00E21D17">
        <w:rPr>
          <w:color w:val="auto"/>
          <w:sz w:val="22"/>
          <w:szCs w:val="22"/>
        </w:rPr>
        <w:t xml:space="preserve">those </w:t>
      </w:r>
      <w:r w:rsidRPr="00AD6540">
        <w:rPr>
          <w:color w:val="auto"/>
          <w:sz w:val="22"/>
          <w:szCs w:val="22"/>
        </w:rPr>
        <w:t xml:space="preserve">companies whose sole or main source of turnover was subject to </w:t>
      </w:r>
      <w:r w:rsidR="686CDD97" w:rsidRPr="760A453A">
        <w:rPr>
          <w:color w:val="auto"/>
          <w:sz w:val="22"/>
          <w:szCs w:val="22"/>
        </w:rPr>
        <w:t xml:space="preserve">such a </w:t>
      </w:r>
      <w:r w:rsidRPr="00AD6540">
        <w:rPr>
          <w:color w:val="auto"/>
          <w:sz w:val="22"/>
          <w:szCs w:val="22"/>
        </w:rPr>
        <w:t xml:space="preserve">withholding tax , as would </w:t>
      </w:r>
      <w:r w:rsidR="00BE5D79">
        <w:rPr>
          <w:color w:val="auto"/>
          <w:sz w:val="22"/>
          <w:szCs w:val="22"/>
        </w:rPr>
        <w:t xml:space="preserve">often </w:t>
      </w:r>
      <w:r w:rsidRPr="00AD6540">
        <w:rPr>
          <w:color w:val="auto"/>
          <w:sz w:val="22"/>
          <w:szCs w:val="22"/>
        </w:rPr>
        <w:t xml:space="preserve">be the case for reinsurers of MNE </w:t>
      </w:r>
      <w:r w:rsidR="00BE5D79">
        <w:rPr>
          <w:color w:val="auto"/>
          <w:sz w:val="22"/>
          <w:szCs w:val="22"/>
        </w:rPr>
        <w:t xml:space="preserve">insurance </w:t>
      </w:r>
      <w:r w:rsidRPr="00AD6540">
        <w:rPr>
          <w:color w:val="auto"/>
          <w:sz w:val="22"/>
          <w:szCs w:val="22"/>
        </w:rPr>
        <w:t xml:space="preserve">groups. A likely consequence would be that the withholding tax would push the effective tax rate in the payee jurisdiction far above the minimum tax rate resulting in a perpetual building up of the local tax carry forward </w:t>
      </w:r>
      <w:r w:rsidR="000F1BCE">
        <w:rPr>
          <w:color w:val="auto"/>
          <w:sz w:val="22"/>
          <w:szCs w:val="22"/>
        </w:rPr>
        <w:t xml:space="preserve">in the insurer jurisdiction </w:t>
      </w:r>
      <w:r w:rsidRPr="00AD6540">
        <w:rPr>
          <w:color w:val="auto"/>
          <w:sz w:val="22"/>
          <w:szCs w:val="22"/>
        </w:rPr>
        <w:t xml:space="preserve">which </w:t>
      </w:r>
      <w:r w:rsidR="20AB2C65" w:rsidRPr="760A453A">
        <w:rPr>
          <w:color w:val="auto"/>
          <w:sz w:val="22"/>
          <w:szCs w:val="22"/>
        </w:rPr>
        <w:t>may</w:t>
      </w:r>
      <w:r w:rsidRPr="00AD6540">
        <w:rPr>
          <w:color w:val="auto"/>
          <w:sz w:val="22"/>
          <w:szCs w:val="22"/>
        </w:rPr>
        <w:t xml:space="preserve"> never be used.</w:t>
      </w:r>
      <w:r w:rsidR="0090647E">
        <w:rPr>
          <w:color w:val="auto"/>
          <w:sz w:val="22"/>
          <w:szCs w:val="22"/>
        </w:rPr>
        <w:t xml:space="preserve">  </w:t>
      </w:r>
    </w:p>
    <w:p w14:paraId="7B4C03D0" w14:textId="61632A71" w:rsidR="00EF6882" w:rsidRPr="00EF6882" w:rsidRDefault="00EF6882" w:rsidP="00077C03">
      <w:pPr>
        <w:pStyle w:val="Default"/>
        <w:spacing w:after="120"/>
        <w:jc w:val="both"/>
        <w:rPr>
          <w:color w:val="auto"/>
          <w:sz w:val="22"/>
          <w:szCs w:val="22"/>
        </w:rPr>
      </w:pPr>
      <w:r w:rsidRPr="00EF6882">
        <w:rPr>
          <w:color w:val="auto"/>
          <w:sz w:val="22"/>
          <w:szCs w:val="22"/>
        </w:rPr>
        <w:t xml:space="preserve">As shown in the examples below, the over-taxation resulting from the application of the STTR </w:t>
      </w:r>
      <w:r w:rsidR="001B1925">
        <w:rPr>
          <w:color w:val="auto"/>
          <w:sz w:val="22"/>
          <w:szCs w:val="22"/>
        </w:rPr>
        <w:t>sh</w:t>
      </w:r>
      <w:r w:rsidRPr="00EF6882">
        <w:rPr>
          <w:color w:val="auto"/>
          <w:sz w:val="22"/>
          <w:szCs w:val="22"/>
        </w:rPr>
        <w:t xml:space="preserve">ould not be seen as a one-off event in a single year but rather as a more or less prevailing situation. </w:t>
      </w:r>
      <w:r w:rsidR="00FA1BE0">
        <w:rPr>
          <w:color w:val="auto"/>
          <w:sz w:val="22"/>
          <w:szCs w:val="22"/>
        </w:rPr>
        <w:t>The</w:t>
      </w:r>
      <w:r w:rsidRPr="00EF6882">
        <w:rPr>
          <w:color w:val="auto"/>
          <w:sz w:val="22"/>
          <w:szCs w:val="22"/>
        </w:rPr>
        <w:t xml:space="preserve"> </w:t>
      </w:r>
      <w:r w:rsidR="001B1925">
        <w:rPr>
          <w:color w:val="auto"/>
          <w:sz w:val="22"/>
          <w:szCs w:val="22"/>
        </w:rPr>
        <w:t>STTR</w:t>
      </w:r>
      <w:r w:rsidRPr="00EF6882">
        <w:rPr>
          <w:color w:val="auto"/>
          <w:sz w:val="22"/>
          <w:szCs w:val="22"/>
        </w:rPr>
        <w:t xml:space="preserve"> would work as a turnover tax, possibly in addition to an insurance premium tax levied on the same payment</w:t>
      </w:r>
      <w:r w:rsidR="00FA1BE0">
        <w:rPr>
          <w:color w:val="auto"/>
          <w:sz w:val="22"/>
          <w:szCs w:val="22"/>
        </w:rPr>
        <w:t xml:space="preserve">. This </w:t>
      </w:r>
      <w:r w:rsidR="00313444">
        <w:rPr>
          <w:color w:val="auto"/>
          <w:sz w:val="22"/>
          <w:szCs w:val="22"/>
        </w:rPr>
        <w:t xml:space="preserve">would result in penal tax where losses result and </w:t>
      </w:r>
      <w:r w:rsidR="00FA1BE0">
        <w:rPr>
          <w:color w:val="auto"/>
          <w:sz w:val="22"/>
          <w:szCs w:val="22"/>
        </w:rPr>
        <w:t>can</w:t>
      </w:r>
      <w:r w:rsidRPr="00EF6882">
        <w:rPr>
          <w:color w:val="auto"/>
          <w:sz w:val="22"/>
          <w:szCs w:val="22"/>
        </w:rPr>
        <w:t>not be justified as a BEPS counter measure</w:t>
      </w:r>
      <w:r w:rsidR="007E4C2D">
        <w:rPr>
          <w:color w:val="auto"/>
          <w:sz w:val="22"/>
          <w:szCs w:val="22"/>
        </w:rPr>
        <w:t>.</w:t>
      </w:r>
    </w:p>
    <w:p w14:paraId="2EB4769C" w14:textId="2E6D7CEF" w:rsidR="00EF6882" w:rsidRPr="00EF6882" w:rsidRDefault="00EF6882" w:rsidP="00077C03">
      <w:pPr>
        <w:pStyle w:val="Default"/>
        <w:spacing w:after="120"/>
        <w:jc w:val="both"/>
        <w:rPr>
          <w:color w:val="auto"/>
          <w:sz w:val="22"/>
          <w:szCs w:val="22"/>
        </w:rPr>
      </w:pPr>
      <w:r w:rsidRPr="00EF6882">
        <w:rPr>
          <w:color w:val="auto"/>
          <w:sz w:val="22"/>
          <w:szCs w:val="22"/>
        </w:rPr>
        <w:t xml:space="preserve">Furthermore, this situation would be exacerbated if the payments are removed from the </w:t>
      </w:r>
      <w:proofErr w:type="spellStart"/>
      <w:r w:rsidRPr="00EF6882">
        <w:rPr>
          <w:color w:val="auto"/>
          <w:sz w:val="22"/>
          <w:szCs w:val="22"/>
        </w:rPr>
        <w:t>GloBE</w:t>
      </w:r>
      <w:proofErr w:type="spellEnd"/>
      <w:r w:rsidRPr="00EF6882">
        <w:rPr>
          <w:color w:val="auto"/>
          <w:sz w:val="22"/>
          <w:szCs w:val="22"/>
        </w:rPr>
        <w:t xml:space="preserve"> tax base because they are Subject to CFC rules as suggested on p. 95-96 of the Blueprint. If the withholding tax is not treated as </w:t>
      </w:r>
      <w:r w:rsidR="004B4267">
        <w:rPr>
          <w:color w:val="auto"/>
          <w:sz w:val="22"/>
          <w:szCs w:val="22"/>
        </w:rPr>
        <w:t xml:space="preserve">a </w:t>
      </w:r>
      <w:r w:rsidRPr="00EF6882">
        <w:rPr>
          <w:color w:val="auto"/>
          <w:sz w:val="22"/>
          <w:szCs w:val="22"/>
        </w:rPr>
        <w:t xml:space="preserve">covered tax under </w:t>
      </w:r>
      <w:r w:rsidR="004B4267">
        <w:rPr>
          <w:color w:val="auto"/>
          <w:sz w:val="22"/>
          <w:szCs w:val="22"/>
        </w:rPr>
        <w:t>relevant</w:t>
      </w:r>
      <w:r w:rsidR="004B4267" w:rsidRPr="00EF6882">
        <w:rPr>
          <w:color w:val="auto"/>
          <w:sz w:val="22"/>
          <w:szCs w:val="22"/>
        </w:rPr>
        <w:t xml:space="preserve"> </w:t>
      </w:r>
      <w:r w:rsidRPr="00EF6882">
        <w:rPr>
          <w:color w:val="auto"/>
          <w:sz w:val="22"/>
          <w:szCs w:val="22"/>
        </w:rPr>
        <w:t>CFC regime</w:t>
      </w:r>
      <w:r w:rsidR="004B4267">
        <w:rPr>
          <w:color w:val="auto"/>
          <w:sz w:val="22"/>
          <w:szCs w:val="22"/>
        </w:rPr>
        <w:t>s</w:t>
      </w:r>
      <w:r w:rsidRPr="00EF6882">
        <w:rPr>
          <w:color w:val="auto"/>
          <w:sz w:val="22"/>
          <w:szCs w:val="22"/>
        </w:rPr>
        <w:t xml:space="preserve">, it would then simply come on top of income taxes, </w:t>
      </w:r>
      <w:r w:rsidR="0085311A" w:rsidRPr="00EF6882">
        <w:rPr>
          <w:color w:val="auto"/>
          <w:sz w:val="22"/>
          <w:szCs w:val="22"/>
        </w:rPr>
        <w:t xml:space="preserve">CFC taxes </w:t>
      </w:r>
      <w:r w:rsidR="0085311A">
        <w:rPr>
          <w:color w:val="auto"/>
          <w:sz w:val="22"/>
          <w:szCs w:val="22"/>
        </w:rPr>
        <w:t xml:space="preserve">and potentially even </w:t>
      </w:r>
      <w:r w:rsidRPr="00EF6882">
        <w:rPr>
          <w:color w:val="auto"/>
          <w:sz w:val="22"/>
          <w:szCs w:val="22"/>
        </w:rPr>
        <w:t>top-up tax</w:t>
      </w:r>
      <w:r w:rsidR="0085311A">
        <w:rPr>
          <w:color w:val="auto"/>
          <w:sz w:val="22"/>
          <w:szCs w:val="22"/>
        </w:rPr>
        <w:t>es</w:t>
      </w:r>
      <w:r w:rsidRPr="00EF6882">
        <w:rPr>
          <w:color w:val="auto"/>
          <w:sz w:val="22"/>
          <w:szCs w:val="22"/>
        </w:rPr>
        <w:t xml:space="preserve"> under the Income Inclusion Rule. </w:t>
      </w:r>
    </w:p>
    <w:p w14:paraId="142F8A6A" w14:textId="7D3EA329" w:rsidR="003B2765" w:rsidRDefault="003B2765" w:rsidP="00077C03">
      <w:pPr>
        <w:spacing w:after="120" w:line="240" w:lineRule="auto"/>
        <w:textAlignment w:val="baseline"/>
        <w:rPr>
          <w:rFonts w:eastAsia="Times New Roman" w:cs="Arial"/>
          <w:lang w:eastAsia="en-GB"/>
        </w:rPr>
      </w:pPr>
      <w:r w:rsidRPr="00EB525C">
        <w:rPr>
          <w:rFonts w:eastAsia="Times New Roman" w:cs="Arial"/>
          <w:b/>
          <w:bCs/>
          <w:lang w:val="en-US" w:eastAsia="en-GB"/>
        </w:rPr>
        <w:t>Example </w:t>
      </w:r>
      <w:r w:rsidRPr="00EB525C">
        <w:rPr>
          <w:rFonts w:eastAsia="Times New Roman" w:cs="Arial"/>
          <w:lang w:val="en-US" w:eastAsia="en-GB"/>
        </w:rPr>
        <w:t xml:space="preserve">(based on </w:t>
      </w:r>
      <w:r w:rsidR="007C19AC" w:rsidRPr="00B77651">
        <w:rPr>
          <w:rFonts w:eastAsia="Times New Roman" w:cs="Arial"/>
          <w:lang w:val="en-US" w:eastAsia="en-GB"/>
        </w:rPr>
        <w:t xml:space="preserve">Blueprint </w:t>
      </w:r>
      <w:r w:rsidRPr="00EB525C">
        <w:rPr>
          <w:rFonts w:eastAsia="Times New Roman" w:cs="Arial"/>
          <w:lang w:val="en-US" w:eastAsia="en-GB"/>
        </w:rPr>
        <w:t>example 10.2.1A):</w:t>
      </w:r>
      <w:r w:rsidRPr="00EB525C">
        <w:rPr>
          <w:rFonts w:eastAsia="Times New Roman" w:cs="Arial"/>
          <w:lang w:eastAsia="en-GB"/>
        </w:rPr>
        <w:t> </w:t>
      </w:r>
    </w:p>
    <w:p w14:paraId="7707D075" w14:textId="52270446" w:rsidR="00017C6F" w:rsidRPr="00090F94" w:rsidRDefault="003B2765" w:rsidP="00077C03">
      <w:pPr>
        <w:pStyle w:val="Odsekzoznamu"/>
        <w:numPr>
          <w:ilvl w:val="0"/>
          <w:numId w:val="28"/>
        </w:numPr>
        <w:spacing w:after="120" w:line="240" w:lineRule="auto"/>
        <w:jc w:val="both"/>
        <w:textAlignment w:val="baseline"/>
        <w:rPr>
          <w:rFonts w:eastAsia="Times New Roman" w:cs="Arial"/>
          <w:lang w:eastAsia="en-GB"/>
        </w:rPr>
      </w:pPr>
      <w:r w:rsidRPr="00B77651">
        <w:rPr>
          <w:rFonts w:eastAsia="Times New Roman" w:cs="Arial"/>
          <w:lang w:val="en-US" w:eastAsia="en-GB"/>
        </w:rPr>
        <w:t>B Co</w:t>
      </w:r>
      <w:r w:rsidR="006118BC">
        <w:rPr>
          <w:rFonts w:eastAsia="Times New Roman" w:cs="Arial"/>
          <w:lang w:val="en-US" w:eastAsia="en-GB"/>
        </w:rPr>
        <w:t xml:space="preserve"> 1</w:t>
      </w:r>
      <w:r w:rsidRPr="00B77651">
        <w:rPr>
          <w:rFonts w:eastAsia="Times New Roman" w:cs="Arial"/>
          <w:lang w:val="en-US" w:eastAsia="en-GB"/>
        </w:rPr>
        <w:t xml:space="preserve"> pays 900 of reinsurance premiums to C Co 1.</w:t>
      </w:r>
    </w:p>
    <w:p w14:paraId="6486C781" w14:textId="3DDBCEB7" w:rsidR="00017C6F" w:rsidRPr="00090F94" w:rsidRDefault="003B2765" w:rsidP="00077C03">
      <w:pPr>
        <w:pStyle w:val="Odsekzoznamu"/>
        <w:numPr>
          <w:ilvl w:val="0"/>
          <w:numId w:val="28"/>
        </w:numPr>
        <w:spacing w:after="120" w:line="240" w:lineRule="auto"/>
        <w:jc w:val="both"/>
        <w:textAlignment w:val="baseline"/>
        <w:rPr>
          <w:rFonts w:eastAsia="Times New Roman" w:cs="Arial"/>
          <w:lang w:eastAsia="en-GB"/>
        </w:rPr>
      </w:pPr>
      <w:r w:rsidRPr="00B77651">
        <w:rPr>
          <w:rFonts w:eastAsia="Times New Roman" w:cs="Arial"/>
          <w:lang w:val="en-US" w:eastAsia="en-GB"/>
        </w:rPr>
        <w:t>Country C has a corporate tax rate of 5%.</w:t>
      </w:r>
    </w:p>
    <w:p w14:paraId="24F0F0FD" w14:textId="7E9B1E04" w:rsidR="00017C6F" w:rsidRPr="00090F94" w:rsidRDefault="003B2765" w:rsidP="00077C03">
      <w:pPr>
        <w:pStyle w:val="Odsekzoznamu"/>
        <w:numPr>
          <w:ilvl w:val="0"/>
          <w:numId w:val="28"/>
        </w:numPr>
        <w:spacing w:after="120" w:line="240" w:lineRule="auto"/>
        <w:jc w:val="both"/>
        <w:textAlignment w:val="baseline"/>
        <w:rPr>
          <w:rFonts w:eastAsia="Times New Roman" w:cs="Arial"/>
          <w:lang w:eastAsia="en-GB"/>
        </w:rPr>
      </w:pPr>
      <w:r w:rsidRPr="00B77651">
        <w:rPr>
          <w:rFonts w:eastAsia="Times New Roman" w:cs="Arial"/>
          <w:lang w:val="en-US" w:eastAsia="en-GB"/>
        </w:rPr>
        <w:t xml:space="preserve">C Co 1 </w:t>
      </w:r>
      <w:r w:rsidR="005B2F3A">
        <w:rPr>
          <w:rFonts w:eastAsia="Times New Roman" w:cs="Arial"/>
          <w:lang w:val="en-US" w:eastAsia="en-GB"/>
        </w:rPr>
        <w:t xml:space="preserve">also </w:t>
      </w:r>
      <w:r w:rsidRPr="00B77651">
        <w:rPr>
          <w:rFonts w:eastAsia="Times New Roman" w:cs="Arial"/>
          <w:lang w:val="en-US" w:eastAsia="en-GB"/>
        </w:rPr>
        <w:t>has 100 taxable investment income.</w:t>
      </w:r>
    </w:p>
    <w:p w14:paraId="753038DA" w14:textId="3B699552" w:rsidR="003B2765" w:rsidRPr="00B77651" w:rsidRDefault="003B2765" w:rsidP="00077C03">
      <w:pPr>
        <w:pStyle w:val="Odsekzoznamu"/>
        <w:numPr>
          <w:ilvl w:val="0"/>
          <w:numId w:val="28"/>
        </w:numPr>
        <w:spacing w:after="120" w:line="240" w:lineRule="auto"/>
        <w:jc w:val="both"/>
        <w:textAlignment w:val="baseline"/>
        <w:rPr>
          <w:rFonts w:eastAsia="Times New Roman" w:cs="Arial"/>
          <w:lang w:eastAsia="en-GB"/>
        </w:rPr>
      </w:pPr>
      <w:r w:rsidRPr="00B77651">
        <w:rPr>
          <w:rFonts w:eastAsia="Times New Roman" w:cs="Arial"/>
          <w:lang w:val="en-US" w:eastAsia="en-GB"/>
        </w:rPr>
        <w:t>Income of B Co overall is 145 (</w:t>
      </w:r>
      <w:r w:rsidR="00512A90">
        <w:rPr>
          <w:rFonts w:eastAsia="Times New Roman" w:cs="Arial"/>
          <w:lang w:val="en-US" w:eastAsia="en-GB"/>
        </w:rPr>
        <w:t xml:space="preserve">The </w:t>
      </w:r>
      <w:r w:rsidRPr="00B77651">
        <w:rPr>
          <w:rFonts w:eastAsia="Times New Roman" w:cs="Arial"/>
          <w:lang w:val="en-US" w:eastAsia="en-GB"/>
        </w:rPr>
        <w:t>combined ratio</w:t>
      </w:r>
      <w:r w:rsidR="00A32E2D">
        <w:rPr>
          <w:rFonts w:eastAsia="Times New Roman" w:cs="Arial"/>
          <w:lang w:val="en-US" w:eastAsia="en-GB"/>
        </w:rPr>
        <w:t xml:space="preserve"> -</w:t>
      </w:r>
      <w:r w:rsidR="00017C6F">
        <w:rPr>
          <w:rFonts w:eastAsia="Times New Roman" w:cs="Arial"/>
          <w:lang w:val="en-US" w:eastAsia="en-GB"/>
        </w:rPr>
        <w:t xml:space="preserve"> </w:t>
      </w:r>
      <w:r w:rsidR="00A32E2D">
        <w:rPr>
          <w:rFonts w:eastAsia="Times New Roman" w:cs="Arial"/>
          <w:lang w:val="en-US" w:eastAsia="en-GB"/>
        </w:rPr>
        <w:t xml:space="preserve">i.e. losses and expenses </w:t>
      </w:r>
      <w:r w:rsidR="009329FB">
        <w:rPr>
          <w:rFonts w:eastAsia="Times New Roman" w:cs="Arial"/>
          <w:lang w:val="en-US" w:eastAsia="en-GB"/>
        </w:rPr>
        <w:t xml:space="preserve">as a proportion of premium - </w:t>
      </w:r>
      <w:r w:rsidR="00512A90">
        <w:rPr>
          <w:rFonts w:eastAsia="Times New Roman" w:cs="Arial"/>
          <w:lang w:val="en-US" w:eastAsia="en-GB"/>
        </w:rPr>
        <w:t>is</w:t>
      </w:r>
      <w:r w:rsidR="00512A90" w:rsidRPr="00B77651">
        <w:rPr>
          <w:rFonts w:eastAsia="Times New Roman" w:cs="Arial"/>
          <w:lang w:val="en-US" w:eastAsia="en-GB"/>
        </w:rPr>
        <w:t xml:space="preserve"> </w:t>
      </w:r>
      <w:r w:rsidRPr="00B77651">
        <w:rPr>
          <w:rFonts w:eastAsia="Times New Roman" w:cs="Arial"/>
          <w:lang w:val="en-US" w:eastAsia="en-GB"/>
        </w:rPr>
        <w:t>95%</w:t>
      </w:r>
      <w:r w:rsidR="001B528E">
        <w:rPr>
          <w:rFonts w:eastAsia="Times New Roman" w:cs="Arial"/>
          <w:lang w:val="en-US" w:eastAsia="en-GB"/>
        </w:rPr>
        <w:t xml:space="preserve">, </w:t>
      </w:r>
      <w:r w:rsidR="00702845">
        <w:rPr>
          <w:rFonts w:eastAsia="Times New Roman" w:cs="Arial"/>
          <w:lang w:val="en-US" w:eastAsia="en-GB"/>
        </w:rPr>
        <w:t xml:space="preserve">giving an underwriting profit of 45 </w:t>
      </w:r>
      <w:r w:rsidR="68F10FB9" w:rsidRPr="760A453A">
        <w:rPr>
          <w:rFonts w:eastAsia="Times New Roman" w:cs="Arial"/>
          <w:lang w:val="en-US" w:eastAsia="en-GB"/>
        </w:rPr>
        <w:t xml:space="preserve">(5% of 900) </w:t>
      </w:r>
      <w:r w:rsidR="00702845">
        <w:rPr>
          <w:rFonts w:eastAsia="Times New Roman" w:cs="Arial"/>
          <w:lang w:val="en-US" w:eastAsia="en-GB"/>
        </w:rPr>
        <w:t>to add to the investment income</w:t>
      </w:r>
      <w:r w:rsidR="3BFA87AC" w:rsidRPr="760A453A">
        <w:rPr>
          <w:rFonts w:eastAsia="Times New Roman" w:cs="Arial"/>
          <w:lang w:val="en-US" w:eastAsia="en-GB"/>
        </w:rPr>
        <w:t xml:space="preserve"> of 100</w:t>
      </w:r>
      <w:r w:rsidRPr="00B77651">
        <w:rPr>
          <w:rFonts w:eastAsia="Times New Roman" w:cs="Arial"/>
          <w:lang w:val="en-US" w:eastAsia="en-GB"/>
        </w:rPr>
        <w:t>).</w:t>
      </w:r>
      <w:r w:rsidRPr="00B77651">
        <w:rPr>
          <w:rFonts w:eastAsia="Times New Roman" w:cs="Arial"/>
          <w:lang w:eastAsia="en-GB"/>
        </w:rPr>
        <w:t> </w:t>
      </w:r>
    </w:p>
    <w:p w14:paraId="61C232F4" w14:textId="5C924CDE" w:rsidR="009823AB" w:rsidRPr="009823AB" w:rsidRDefault="003B2765" w:rsidP="00077C03">
      <w:pPr>
        <w:pStyle w:val="Odsekzoznamu"/>
        <w:numPr>
          <w:ilvl w:val="0"/>
          <w:numId w:val="28"/>
        </w:numPr>
        <w:spacing w:after="120" w:line="240" w:lineRule="auto"/>
        <w:jc w:val="both"/>
        <w:textAlignment w:val="baseline"/>
        <w:rPr>
          <w:rFonts w:eastAsia="Times New Roman" w:cs="Arial"/>
          <w:lang w:val="en-US" w:eastAsia="en-GB"/>
        </w:rPr>
      </w:pPr>
      <w:r w:rsidRPr="00B77651">
        <w:rPr>
          <w:rFonts w:eastAsia="Times New Roman" w:cs="Arial"/>
          <w:lang w:val="en-US" w:eastAsia="en-GB"/>
        </w:rPr>
        <w:t>Hold Co is subject to an Income Inclusion Rule in Country A. Countries B and C have a tax treaty that follows the OECD Model Tax Convention  and contains a STTR.</w:t>
      </w:r>
    </w:p>
    <w:p w14:paraId="2C6B1B42" w14:textId="739BD7EE" w:rsidR="009823AB" w:rsidRPr="00EB525C" w:rsidRDefault="009823AB" w:rsidP="00077C03">
      <w:pPr>
        <w:pStyle w:val="Odsekzoznamu"/>
        <w:numPr>
          <w:ilvl w:val="0"/>
          <w:numId w:val="28"/>
        </w:numPr>
        <w:spacing w:after="120" w:line="240" w:lineRule="auto"/>
        <w:jc w:val="both"/>
        <w:textAlignment w:val="baseline"/>
        <w:rPr>
          <w:rFonts w:eastAsia="Times New Roman" w:cs="Arial"/>
          <w:lang w:val="en-US" w:eastAsia="en-GB"/>
        </w:rPr>
      </w:pPr>
      <w:r w:rsidRPr="00EB525C">
        <w:rPr>
          <w:rFonts w:eastAsia="Times New Roman" w:cs="Arial"/>
          <w:lang w:val="en-US" w:eastAsia="en-GB"/>
        </w:rPr>
        <w:t>The minimum adjusted nominal tax trigger rate for the purposes of the STTR is 7.5% and the minimum rate for the </w:t>
      </w:r>
      <w:proofErr w:type="spellStart"/>
      <w:r w:rsidRPr="00EB525C">
        <w:rPr>
          <w:rFonts w:eastAsia="Times New Roman" w:cs="Arial"/>
          <w:lang w:val="en-US" w:eastAsia="en-GB"/>
        </w:rPr>
        <w:t>GloBE</w:t>
      </w:r>
      <w:proofErr w:type="spellEnd"/>
      <w:r w:rsidRPr="00EB525C">
        <w:rPr>
          <w:rFonts w:eastAsia="Times New Roman" w:cs="Arial"/>
          <w:lang w:val="en-US" w:eastAsia="en-GB"/>
        </w:rPr>
        <w:t> rules is 10%. </w:t>
      </w:r>
    </w:p>
    <w:p w14:paraId="560208DE" w14:textId="24017EBB" w:rsidR="003B2765" w:rsidRPr="00B77651" w:rsidRDefault="003B2765" w:rsidP="00077C03">
      <w:pPr>
        <w:pStyle w:val="Odsekzoznamu"/>
        <w:spacing w:after="120" w:line="240" w:lineRule="auto"/>
        <w:ind w:left="360"/>
        <w:textAlignment w:val="baseline"/>
        <w:rPr>
          <w:rFonts w:eastAsia="Times New Roman" w:cs="Arial"/>
          <w:lang w:eastAsia="en-GB"/>
        </w:rPr>
      </w:pPr>
    </w:p>
    <w:p w14:paraId="41D8A9A9" w14:textId="3CB7CC42" w:rsidR="009823AB" w:rsidRPr="009823AB" w:rsidRDefault="00AB0286" w:rsidP="00077C03">
      <w:pPr>
        <w:spacing w:after="120" w:line="240" w:lineRule="auto"/>
        <w:ind w:left="1080"/>
        <w:textAlignment w:val="baseline"/>
        <w:rPr>
          <w:rFonts w:ascii="Calibri" w:eastAsia="Times New Roman" w:hAnsi="Calibri" w:cs="Calibri"/>
          <w:color w:val="FF0000"/>
          <w:lang w:eastAsia="en-GB"/>
        </w:rPr>
      </w:pPr>
      <w:r>
        <w:rPr>
          <w:noProof/>
        </w:rPr>
        <w:drawing>
          <wp:inline distT="0" distB="0" distL="0" distR="0" wp14:anchorId="338AF436" wp14:editId="23814FA7">
            <wp:extent cx="4292821" cy="2844946"/>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4292821" cy="2844946"/>
                    </a:xfrm>
                    <a:prstGeom prst="rect">
                      <a:avLst/>
                    </a:prstGeom>
                  </pic:spPr>
                </pic:pic>
              </a:graphicData>
            </a:graphic>
          </wp:inline>
        </w:drawing>
      </w:r>
    </w:p>
    <w:p w14:paraId="1F4E90F0" w14:textId="319F291D" w:rsidR="00FD50A7" w:rsidRDefault="005571CE" w:rsidP="00077C03">
      <w:pPr>
        <w:pStyle w:val="Odsekzoznamu"/>
        <w:numPr>
          <w:ilvl w:val="0"/>
          <w:numId w:val="28"/>
        </w:numPr>
        <w:spacing w:after="120" w:line="240" w:lineRule="auto"/>
        <w:textAlignment w:val="baseline"/>
        <w:rPr>
          <w:rFonts w:eastAsia="Times New Roman" w:cs="Arial"/>
          <w:lang w:val="en-US" w:eastAsia="en-GB"/>
        </w:rPr>
      </w:pPr>
      <w:r w:rsidRPr="760A453A">
        <w:rPr>
          <w:rFonts w:eastAsia="Times New Roman" w:cs="Arial"/>
          <w:lang w:val="en-US" w:eastAsia="en-GB"/>
        </w:rPr>
        <w:t xml:space="preserve">A 2.5% </w:t>
      </w:r>
      <w:r w:rsidR="0CCACBC6" w:rsidRPr="760A453A">
        <w:rPr>
          <w:rFonts w:eastAsia="Times New Roman" w:cs="Arial"/>
          <w:lang w:val="en-US" w:eastAsia="en-GB"/>
        </w:rPr>
        <w:t>(10% - 7.5%)</w:t>
      </w:r>
      <w:r>
        <w:rPr>
          <w:rFonts w:eastAsia="Times New Roman" w:cs="Arial"/>
          <w:lang w:val="en-US" w:eastAsia="en-GB"/>
        </w:rPr>
        <w:t xml:space="preserve"> </w:t>
      </w:r>
      <w:r w:rsidR="00FD50A7">
        <w:rPr>
          <w:rFonts w:eastAsia="Times New Roman" w:cs="Arial"/>
          <w:lang w:val="en-US" w:eastAsia="en-GB"/>
        </w:rPr>
        <w:t xml:space="preserve">STTR </w:t>
      </w:r>
      <w:r>
        <w:rPr>
          <w:rFonts w:eastAsia="Times New Roman" w:cs="Arial"/>
          <w:lang w:val="en-US" w:eastAsia="en-GB"/>
        </w:rPr>
        <w:t xml:space="preserve">withholding </w:t>
      </w:r>
      <w:r w:rsidR="00F20F69">
        <w:rPr>
          <w:rFonts w:eastAsia="Times New Roman" w:cs="Arial"/>
          <w:lang w:val="en-US" w:eastAsia="en-GB"/>
        </w:rPr>
        <w:t>(=22.5</w:t>
      </w:r>
      <w:r w:rsidR="00F448CA">
        <w:rPr>
          <w:rFonts w:eastAsia="Times New Roman" w:cs="Arial"/>
          <w:lang w:val="en-US" w:eastAsia="en-GB"/>
        </w:rPr>
        <w:t xml:space="preserve"> tax</w:t>
      </w:r>
      <w:r w:rsidR="00F20F69">
        <w:rPr>
          <w:rFonts w:eastAsia="Times New Roman" w:cs="Arial"/>
          <w:lang w:val="en-US" w:eastAsia="en-GB"/>
        </w:rPr>
        <w:t xml:space="preserve">) </w:t>
      </w:r>
      <w:r w:rsidR="00FD50A7">
        <w:rPr>
          <w:rFonts w:eastAsia="Times New Roman" w:cs="Arial"/>
          <w:lang w:val="en-US" w:eastAsia="en-GB"/>
        </w:rPr>
        <w:t xml:space="preserve">applies </w:t>
      </w:r>
      <w:r w:rsidR="00FF1CF0">
        <w:rPr>
          <w:rFonts w:eastAsia="Times New Roman" w:cs="Arial"/>
          <w:lang w:val="en-US" w:eastAsia="en-GB"/>
        </w:rPr>
        <w:t xml:space="preserve">to the reinsurance payment </w:t>
      </w:r>
      <w:r>
        <w:rPr>
          <w:rFonts w:eastAsia="Times New Roman" w:cs="Arial"/>
          <w:lang w:val="en-US" w:eastAsia="en-GB"/>
        </w:rPr>
        <w:t xml:space="preserve">from B Co 1 </w:t>
      </w:r>
      <w:r w:rsidR="00FF1CF0">
        <w:rPr>
          <w:rFonts w:eastAsia="Times New Roman" w:cs="Arial"/>
          <w:lang w:val="en-US" w:eastAsia="en-GB"/>
        </w:rPr>
        <w:t xml:space="preserve">as the country C nominal tax rate is lower than </w:t>
      </w:r>
      <w:r>
        <w:rPr>
          <w:rFonts w:eastAsia="Times New Roman" w:cs="Arial"/>
          <w:lang w:val="en-US" w:eastAsia="en-GB"/>
        </w:rPr>
        <w:t>the 7.5% trigger rate.</w:t>
      </w:r>
    </w:p>
    <w:p w14:paraId="497EFBF9" w14:textId="47FDA868" w:rsidR="00AA2857" w:rsidRDefault="00AA2857" w:rsidP="00077C03">
      <w:pPr>
        <w:pStyle w:val="Odsekzoznamu"/>
        <w:numPr>
          <w:ilvl w:val="0"/>
          <w:numId w:val="28"/>
        </w:numPr>
        <w:spacing w:after="120" w:line="240" w:lineRule="auto"/>
        <w:textAlignment w:val="baseline"/>
        <w:rPr>
          <w:rFonts w:eastAsia="Times New Roman" w:cs="Arial"/>
          <w:lang w:val="en-US" w:eastAsia="en-GB"/>
        </w:rPr>
      </w:pPr>
      <w:r>
        <w:rPr>
          <w:rFonts w:eastAsia="Times New Roman" w:cs="Arial"/>
          <w:lang w:val="en-US" w:eastAsia="en-GB"/>
        </w:rPr>
        <w:t xml:space="preserve">C Co 1 suffers a 5% local tax charge </w:t>
      </w:r>
      <w:r w:rsidR="008947DD">
        <w:rPr>
          <w:rFonts w:eastAsia="Times New Roman" w:cs="Arial"/>
          <w:lang w:val="en-US" w:eastAsia="en-GB"/>
        </w:rPr>
        <w:t>(=7.25</w:t>
      </w:r>
      <w:r w:rsidR="00F448CA">
        <w:rPr>
          <w:rFonts w:eastAsia="Times New Roman" w:cs="Arial"/>
          <w:lang w:val="en-US" w:eastAsia="en-GB"/>
        </w:rPr>
        <w:t xml:space="preserve"> tax</w:t>
      </w:r>
      <w:r w:rsidR="008947DD">
        <w:rPr>
          <w:rFonts w:eastAsia="Times New Roman" w:cs="Arial"/>
          <w:lang w:val="en-US" w:eastAsia="en-GB"/>
        </w:rPr>
        <w:t xml:space="preserve">) </w:t>
      </w:r>
      <w:r>
        <w:rPr>
          <w:rFonts w:eastAsia="Times New Roman" w:cs="Arial"/>
          <w:lang w:val="en-US" w:eastAsia="en-GB"/>
        </w:rPr>
        <w:t xml:space="preserve">on </w:t>
      </w:r>
      <w:r w:rsidR="00013BBC">
        <w:rPr>
          <w:rFonts w:eastAsia="Times New Roman" w:cs="Arial"/>
          <w:lang w:val="en-US" w:eastAsia="en-GB"/>
        </w:rPr>
        <w:t>the tax base (</w:t>
      </w:r>
      <w:r>
        <w:rPr>
          <w:rFonts w:eastAsia="Times New Roman" w:cs="Arial"/>
          <w:lang w:val="en-US" w:eastAsia="en-GB"/>
        </w:rPr>
        <w:t>profit</w:t>
      </w:r>
      <w:r w:rsidR="00013BBC">
        <w:rPr>
          <w:rFonts w:eastAsia="Times New Roman" w:cs="Arial"/>
          <w:lang w:val="en-US" w:eastAsia="en-GB"/>
        </w:rPr>
        <w:t>)</w:t>
      </w:r>
      <w:r>
        <w:rPr>
          <w:rFonts w:eastAsia="Times New Roman" w:cs="Arial"/>
          <w:lang w:val="en-US" w:eastAsia="en-GB"/>
        </w:rPr>
        <w:t xml:space="preserve"> of 145</w:t>
      </w:r>
      <w:r w:rsidR="008947DD">
        <w:rPr>
          <w:rFonts w:eastAsia="Times New Roman" w:cs="Arial"/>
          <w:lang w:val="en-US" w:eastAsia="en-GB"/>
        </w:rPr>
        <w:t>.</w:t>
      </w:r>
    </w:p>
    <w:p w14:paraId="6E0ED63B" w14:textId="68316643" w:rsidR="008947DD" w:rsidRDefault="008947DD" w:rsidP="00077C03">
      <w:pPr>
        <w:pStyle w:val="Odsekzoznamu"/>
        <w:numPr>
          <w:ilvl w:val="0"/>
          <w:numId w:val="28"/>
        </w:numPr>
        <w:spacing w:after="120" w:line="240" w:lineRule="auto"/>
        <w:textAlignment w:val="baseline"/>
        <w:rPr>
          <w:rFonts w:eastAsia="Times New Roman" w:cs="Arial"/>
          <w:lang w:val="en-US" w:eastAsia="en-GB"/>
        </w:rPr>
      </w:pPr>
      <w:r>
        <w:rPr>
          <w:rFonts w:eastAsia="Times New Roman" w:cs="Arial"/>
          <w:lang w:val="en-US" w:eastAsia="en-GB"/>
        </w:rPr>
        <w:t>Total covered taxes for C Co 1 are 29.75</w:t>
      </w:r>
      <w:r w:rsidR="00983584">
        <w:rPr>
          <w:rFonts w:eastAsia="Times New Roman" w:cs="Arial"/>
          <w:lang w:val="en-US" w:eastAsia="en-GB"/>
        </w:rPr>
        <w:t xml:space="preserve"> </w:t>
      </w:r>
      <w:r w:rsidR="00322EEE">
        <w:rPr>
          <w:rFonts w:eastAsia="Times New Roman" w:cs="Arial"/>
          <w:lang w:val="en-US" w:eastAsia="en-GB"/>
        </w:rPr>
        <w:t xml:space="preserve">giving </w:t>
      </w:r>
      <w:r w:rsidR="00983584">
        <w:rPr>
          <w:rFonts w:eastAsia="Times New Roman" w:cs="Arial"/>
          <w:lang w:val="en-US" w:eastAsia="en-GB"/>
        </w:rPr>
        <w:t>a</w:t>
      </w:r>
      <w:r w:rsidR="00C01883">
        <w:rPr>
          <w:rFonts w:eastAsia="Times New Roman" w:cs="Arial"/>
          <w:lang w:val="en-US" w:eastAsia="en-GB"/>
        </w:rPr>
        <w:t xml:space="preserve"> total</w:t>
      </w:r>
      <w:r w:rsidR="00983584">
        <w:rPr>
          <w:rFonts w:eastAsia="Times New Roman" w:cs="Arial"/>
          <w:lang w:val="en-US" w:eastAsia="en-GB"/>
        </w:rPr>
        <w:t xml:space="preserve"> rate of 20.5%</w:t>
      </w:r>
      <w:r w:rsidR="00322EEE">
        <w:rPr>
          <w:rFonts w:eastAsia="Times New Roman" w:cs="Arial"/>
          <w:lang w:val="en-US" w:eastAsia="en-GB"/>
        </w:rPr>
        <w:t>.</w:t>
      </w:r>
    </w:p>
    <w:p w14:paraId="7794F9D4" w14:textId="4CE17216" w:rsidR="00C01883" w:rsidRDefault="00983584" w:rsidP="00077C03">
      <w:pPr>
        <w:pStyle w:val="Odsekzoznamu"/>
        <w:numPr>
          <w:ilvl w:val="0"/>
          <w:numId w:val="28"/>
        </w:numPr>
        <w:spacing w:after="120" w:line="240" w:lineRule="auto"/>
        <w:textAlignment w:val="baseline"/>
        <w:rPr>
          <w:rFonts w:eastAsia="Times New Roman" w:cs="Arial"/>
          <w:lang w:val="en-US" w:eastAsia="en-GB"/>
        </w:rPr>
      </w:pPr>
      <w:r>
        <w:rPr>
          <w:rFonts w:eastAsia="Times New Roman" w:cs="Arial"/>
          <w:lang w:val="en-US" w:eastAsia="en-GB"/>
        </w:rPr>
        <w:t xml:space="preserve">The IIR does not apply at </w:t>
      </w:r>
      <w:r w:rsidR="003B2765" w:rsidRPr="0060252B">
        <w:rPr>
          <w:rFonts w:eastAsia="Times New Roman" w:cs="Arial"/>
          <w:lang w:val="en-US" w:eastAsia="en-GB"/>
        </w:rPr>
        <w:t xml:space="preserve">Hold Co </w:t>
      </w:r>
      <w:r>
        <w:rPr>
          <w:rFonts w:eastAsia="Times New Roman" w:cs="Arial"/>
          <w:lang w:val="en-US" w:eastAsia="en-GB"/>
        </w:rPr>
        <w:t>level as</w:t>
      </w:r>
      <w:r w:rsidR="00C01883">
        <w:rPr>
          <w:rFonts w:eastAsia="Times New Roman" w:cs="Arial"/>
          <w:lang w:val="en-US" w:eastAsia="en-GB"/>
        </w:rPr>
        <w:t xml:space="preserve"> the total rate is 10.5% above the IIR minimum tax rate of 10%</w:t>
      </w:r>
      <w:r w:rsidR="00AC38F0">
        <w:rPr>
          <w:rFonts w:eastAsia="Times New Roman" w:cs="Arial"/>
          <w:lang w:val="en-US" w:eastAsia="en-GB"/>
        </w:rPr>
        <w:t>,</w:t>
      </w:r>
      <w:r w:rsidR="00322EEE">
        <w:rPr>
          <w:rFonts w:eastAsia="Times New Roman" w:cs="Arial"/>
          <w:lang w:val="en-US" w:eastAsia="en-GB"/>
        </w:rPr>
        <w:t xml:space="preserve"> with 15.25 of additional tax charged.</w:t>
      </w:r>
      <w:r w:rsidR="00015391">
        <w:rPr>
          <w:rFonts w:eastAsia="Times New Roman" w:cs="Arial"/>
          <w:lang w:val="en-US" w:eastAsia="en-GB"/>
        </w:rPr>
        <w:t xml:space="preserve"> This results in a local tax carry-forward.</w:t>
      </w:r>
    </w:p>
    <w:p w14:paraId="31E37DA1" w14:textId="05A880BF" w:rsidR="003B2765" w:rsidRPr="00EB525C" w:rsidRDefault="003B2765" w:rsidP="00077C03">
      <w:pPr>
        <w:pStyle w:val="Odsekzoznamu"/>
        <w:numPr>
          <w:ilvl w:val="0"/>
          <w:numId w:val="28"/>
        </w:numPr>
        <w:spacing w:after="120" w:line="240" w:lineRule="auto"/>
        <w:textAlignment w:val="baseline"/>
        <w:rPr>
          <w:rFonts w:eastAsia="Times New Roman" w:cs="Arial"/>
          <w:lang w:val="en-US" w:eastAsia="en-GB"/>
        </w:rPr>
      </w:pPr>
      <w:r w:rsidRPr="00EB525C">
        <w:rPr>
          <w:rFonts w:eastAsia="Times New Roman" w:cs="Arial"/>
          <w:lang w:val="en-US" w:eastAsia="en-GB"/>
        </w:rPr>
        <w:t>If only the IIR rule were applied, only</w:t>
      </w:r>
      <w:r w:rsidR="002C20DD">
        <w:rPr>
          <w:rFonts w:eastAsia="Times New Roman" w:cs="Arial"/>
          <w:lang w:val="en-US" w:eastAsia="en-GB"/>
        </w:rPr>
        <w:t xml:space="preserve"> an additional </w:t>
      </w:r>
      <w:r w:rsidRPr="00EB525C">
        <w:rPr>
          <w:rFonts w:eastAsia="Times New Roman" w:cs="Arial"/>
          <w:lang w:val="en-US" w:eastAsia="en-GB"/>
        </w:rPr>
        <w:t>5</w:t>
      </w:r>
      <w:r w:rsidR="00372230">
        <w:rPr>
          <w:rFonts w:eastAsia="Times New Roman" w:cs="Arial"/>
          <w:lang w:val="en-US" w:eastAsia="en-GB"/>
        </w:rPr>
        <w:t>%</w:t>
      </w:r>
      <w:r w:rsidR="002C20DD">
        <w:rPr>
          <w:rFonts w:eastAsia="Times New Roman" w:cs="Arial"/>
          <w:lang w:val="en-US" w:eastAsia="en-GB"/>
        </w:rPr>
        <w:t xml:space="preserve"> </w:t>
      </w:r>
      <w:r w:rsidR="0017194F">
        <w:rPr>
          <w:rFonts w:eastAsia="Times New Roman" w:cs="Arial"/>
          <w:lang w:val="en-US" w:eastAsia="en-GB"/>
        </w:rPr>
        <w:t xml:space="preserve">Pillar Two </w:t>
      </w:r>
      <w:r w:rsidRPr="00EB525C">
        <w:rPr>
          <w:rFonts w:eastAsia="Times New Roman" w:cs="Arial"/>
          <w:lang w:val="en-US" w:eastAsia="en-GB"/>
        </w:rPr>
        <w:t>IIR tax</w:t>
      </w:r>
      <w:r w:rsidR="00C252B4">
        <w:rPr>
          <w:rFonts w:eastAsia="Times New Roman" w:cs="Arial"/>
          <w:lang w:val="en-US" w:eastAsia="en-GB"/>
        </w:rPr>
        <w:t xml:space="preserve"> (</w:t>
      </w:r>
      <w:r w:rsidR="00F448CA">
        <w:rPr>
          <w:rFonts w:eastAsia="Times New Roman" w:cs="Arial"/>
          <w:lang w:val="en-US" w:eastAsia="en-GB"/>
        </w:rPr>
        <w:t>=</w:t>
      </w:r>
      <w:r w:rsidR="00C252B4">
        <w:rPr>
          <w:rFonts w:eastAsia="Times New Roman" w:cs="Arial"/>
          <w:lang w:val="en-US" w:eastAsia="en-GB"/>
        </w:rPr>
        <w:t xml:space="preserve"> 7.25</w:t>
      </w:r>
      <w:r w:rsidR="002C20DD">
        <w:rPr>
          <w:rFonts w:eastAsia="Times New Roman" w:cs="Arial"/>
          <w:lang w:val="en-US" w:eastAsia="en-GB"/>
        </w:rPr>
        <w:t xml:space="preserve"> tax</w:t>
      </w:r>
      <w:r w:rsidR="00C252B4">
        <w:rPr>
          <w:rFonts w:eastAsia="Times New Roman" w:cs="Arial"/>
          <w:lang w:val="en-US" w:eastAsia="en-GB"/>
        </w:rPr>
        <w:t>)</w:t>
      </w:r>
      <w:r w:rsidRPr="00EB525C">
        <w:rPr>
          <w:rFonts w:eastAsia="Times New Roman" w:cs="Arial"/>
          <w:lang w:val="en-US" w:eastAsia="en-GB"/>
        </w:rPr>
        <w:t xml:space="preserve"> would have been triggered at the </w:t>
      </w:r>
      <w:proofErr w:type="spellStart"/>
      <w:r w:rsidRPr="00EB525C">
        <w:rPr>
          <w:rFonts w:eastAsia="Times New Roman" w:cs="Arial"/>
          <w:lang w:val="en-US" w:eastAsia="en-GB"/>
        </w:rPr>
        <w:t>HoldCo</w:t>
      </w:r>
      <w:proofErr w:type="spellEnd"/>
      <w:r w:rsidRPr="00EB525C">
        <w:rPr>
          <w:rFonts w:eastAsia="Times New Roman" w:cs="Arial"/>
          <w:lang w:val="en-US" w:eastAsia="en-GB"/>
        </w:rPr>
        <w:t> level</w:t>
      </w:r>
      <w:r w:rsidR="003E66FF">
        <w:rPr>
          <w:rFonts w:eastAsia="Times New Roman" w:cs="Arial"/>
          <w:lang w:val="en-US" w:eastAsia="en-GB"/>
        </w:rPr>
        <w:t>, giving a total ETR of 10%</w:t>
      </w:r>
      <w:r w:rsidRPr="00EB525C">
        <w:rPr>
          <w:rFonts w:eastAsia="Times New Roman" w:cs="Arial"/>
          <w:lang w:val="en-US" w:eastAsia="en-GB"/>
        </w:rPr>
        <w:t>.</w:t>
      </w:r>
    </w:p>
    <w:p w14:paraId="1384847E" w14:textId="317750A8" w:rsidR="00701361" w:rsidRPr="00D70151" w:rsidRDefault="00701361" w:rsidP="00077C03">
      <w:pPr>
        <w:spacing w:after="120" w:line="240" w:lineRule="auto"/>
        <w:jc w:val="both"/>
        <w:textAlignment w:val="baseline"/>
        <w:rPr>
          <w:rFonts w:eastAsia="Times New Roman" w:cs="Arial"/>
          <w:lang w:val="en-US" w:eastAsia="en-GB"/>
        </w:rPr>
      </w:pPr>
      <w:r>
        <w:rPr>
          <w:rFonts w:eastAsia="Times New Roman" w:cs="Arial"/>
          <w:lang w:val="en-US" w:eastAsia="en-GB"/>
        </w:rPr>
        <w:t xml:space="preserve">Critically, assuming </w:t>
      </w:r>
      <w:r w:rsidR="0084750C">
        <w:rPr>
          <w:rFonts w:eastAsia="Times New Roman" w:cs="Arial"/>
          <w:lang w:val="en-US" w:eastAsia="en-GB"/>
        </w:rPr>
        <w:t xml:space="preserve">similar </w:t>
      </w:r>
      <w:r>
        <w:rPr>
          <w:rFonts w:eastAsia="Times New Roman" w:cs="Arial"/>
          <w:lang w:val="en-US" w:eastAsia="en-GB"/>
        </w:rPr>
        <w:t xml:space="preserve">reinsurance premiums </w:t>
      </w:r>
      <w:r w:rsidR="0084750C">
        <w:rPr>
          <w:rFonts w:eastAsia="Times New Roman" w:cs="Arial"/>
          <w:lang w:val="en-US" w:eastAsia="en-GB"/>
        </w:rPr>
        <w:t>and profitability in future periods</w:t>
      </w:r>
      <w:r>
        <w:rPr>
          <w:rFonts w:eastAsia="Times New Roman" w:cs="Arial"/>
          <w:lang w:val="en-US" w:eastAsia="en-GB"/>
        </w:rPr>
        <w:t xml:space="preserve">, the STTR </w:t>
      </w:r>
      <w:r w:rsidR="00B4422B">
        <w:rPr>
          <w:rFonts w:eastAsia="Times New Roman" w:cs="Arial"/>
          <w:lang w:val="en-US" w:eastAsia="en-GB"/>
        </w:rPr>
        <w:t>withholding will routinely swamp any possible IIR top-up</w:t>
      </w:r>
      <w:r w:rsidR="00BC271F">
        <w:rPr>
          <w:rFonts w:eastAsia="Times New Roman" w:cs="Arial"/>
          <w:lang w:val="en-US" w:eastAsia="en-GB"/>
        </w:rPr>
        <w:t>.</w:t>
      </w:r>
      <w:r w:rsidR="00B4422B">
        <w:rPr>
          <w:rFonts w:eastAsia="Times New Roman" w:cs="Arial"/>
          <w:lang w:val="en-US" w:eastAsia="en-GB"/>
        </w:rPr>
        <w:t xml:space="preserve"> </w:t>
      </w:r>
      <w:r w:rsidR="00BC271F">
        <w:rPr>
          <w:rFonts w:eastAsia="Times New Roman" w:cs="Arial"/>
          <w:lang w:val="en-US" w:eastAsia="en-GB"/>
        </w:rPr>
        <w:t>T</w:t>
      </w:r>
      <w:r w:rsidR="00B4422B">
        <w:rPr>
          <w:rFonts w:eastAsia="Times New Roman" w:cs="Arial"/>
          <w:lang w:val="en-US" w:eastAsia="en-GB"/>
        </w:rPr>
        <w:t>he local</w:t>
      </w:r>
      <w:r w:rsidR="00FB12F0">
        <w:rPr>
          <w:rFonts w:eastAsia="Times New Roman" w:cs="Arial"/>
          <w:lang w:val="en-US" w:eastAsia="en-GB"/>
        </w:rPr>
        <w:t xml:space="preserve"> tax carry-forward would </w:t>
      </w:r>
      <w:r w:rsidR="00AA75E4">
        <w:rPr>
          <w:rFonts w:eastAsia="Times New Roman" w:cs="Arial"/>
          <w:lang w:val="en-US" w:eastAsia="en-GB"/>
        </w:rPr>
        <w:t>only</w:t>
      </w:r>
      <w:r w:rsidR="00FB12F0">
        <w:rPr>
          <w:rFonts w:eastAsia="Times New Roman" w:cs="Arial"/>
          <w:lang w:val="en-US" w:eastAsia="en-GB"/>
        </w:rPr>
        <w:t xml:space="preserve"> be utilized</w:t>
      </w:r>
      <w:r w:rsidR="00AA75E4">
        <w:rPr>
          <w:rFonts w:eastAsia="Times New Roman" w:cs="Arial"/>
          <w:lang w:val="en-US" w:eastAsia="en-GB"/>
        </w:rPr>
        <w:t xml:space="preserve"> </w:t>
      </w:r>
      <w:r w:rsidR="00942AC0">
        <w:rPr>
          <w:rFonts w:eastAsia="Times New Roman" w:cs="Arial"/>
          <w:lang w:val="en-US" w:eastAsia="en-GB"/>
        </w:rPr>
        <w:t xml:space="preserve">where </w:t>
      </w:r>
      <w:r w:rsidR="00D70151">
        <w:rPr>
          <w:rFonts w:eastAsia="Times New Roman" w:cs="Arial"/>
          <w:lang w:val="en-US" w:eastAsia="en-GB"/>
        </w:rPr>
        <w:t xml:space="preserve">the reinsurance volume fell significantly or </w:t>
      </w:r>
      <w:r w:rsidR="00942AC0">
        <w:rPr>
          <w:rFonts w:eastAsia="Times New Roman" w:cs="Arial"/>
          <w:lang w:val="en-US" w:eastAsia="en-GB"/>
        </w:rPr>
        <w:t>profitability was far higher than the assumed 95% combined ratio.</w:t>
      </w:r>
    </w:p>
    <w:p w14:paraId="2CFE4BCB" w14:textId="64567A3B" w:rsidR="00875998" w:rsidRPr="00090F94" w:rsidRDefault="00875998" w:rsidP="00077C03">
      <w:pPr>
        <w:pStyle w:val="Default"/>
        <w:numPr>
          <w:ilvl w:val="0"/>
          <w:numId w:val="27"/>
        </w:numPr>
        <w:spacing w:after="120"/>
        <w:ind w:left="360"/>
        <w:jc w:val="both"/>
        <w:rPr>
          <w:color w:val="auto"/>
          <w:sz w:val="22"/>
          <w:szCs w:val="22"/>
        </w:rPr>
      </w:pPr>
      <w:r w:rsidRPr="00CE1CA0">
        <w:rPr>
          <w:b/>
          <w:bCs/>
          <w:i/>
          <w:iCs/>
          <w:color w:val="auto"/>
          <w:sz w:val="22"/>
          <w:szCs w:val="22"/>
        </w:rPr>
        <w:t xml:space="preserve">Differentiation  between captives and reinsurance entities of insurance MNE groups </w:t>
      </w:r>
    </w:p>
    <w:p w14:paraId="7648F6E1" w14:textId="1F1B6506" w:rsidR="00EE01B1" w:rsidRDefault="00875998" w:rsidP="00077C03">
      <w:pPr>
        <w:pStyle w:val="Default"/>
        <w:spacing w:after="120"/>
        <w:jc w:val="both"/>
        <w:rPr>
          <w:color w:val="auto"/>
          <w:sz w:val="22"/>
          <w:szCs w:val="22"/>
        </w:rPr>
      </w:pPr>
      <w:r w:rsidRPr="00875998">
        <w:rPr>
          <w:color w:val="auto"/>
          <w:sz w:val="22"/>
          <w:szCs w:val="22"/>
        </w:rPr>
        <w:t xml:space="preserve">The undifferentiated inclusion of (re)insurance premiums in the high-risk service category seems unfounded and would have undesirable economic effects on </w:t>
      </w:r>
      <w:proofErr w:type="spellStart"/>
      <w:r w:rsidR="66A9A2C6" w:rsidRPr="760A453A">
        <w:rPr>
          <w:color w:val="auto"/>
          <w:sz w:val="22"/>
          <w:szCs w:val="22"/>
        </w:rPr>
        <w:t>well</w:t>
      </w:r>
      <w:r w:rsidR="538B4912" w:rsidRPr="760A453A">
        <w:rPr>
          <w:color w:val="auto"/>
          <w:sz w:val="22"/>
          <w:szCs w:val="22"/>
        </w:rPr>
        <w:t xml:space="preserve"> established</w:t>
      </w:r>
      <w:proofErr w:type="spellEnd"/>
      <w:r w:rsidRPr="00875998">
        <w:rPr>
          <w:color w:val="auto"/>
          <w:sz w:val="22"/>
          <w:szCs w:val="22"/>
        </w:rPr>
        <w:t xml:space="preserve"> business models in the insurance sector. The example of captives mentioned </w:t>
      </w:r>
      <w:r w:rsidR="00882158">
        <w:rPr>
          <w:color w:val="auto"/>
          <w:sz w:val="22"/>
          <w:szCs w:val="22"/>
        </w:rPr>
        <w:t>in the Blueprint</w:t>
      </w:r>
      <w:r w:rsidRPr="00875998">
        <w:rPr>
          <w:color w:val="auto"/>
          <w:sz w:val="22"/>
          <w:szCs w:val="22"/>
        </w:rPr>
        <w:t xml:space="preserve"> </w:t>
      </w:r>
      <w:r w:rsidR="00725C60">
        <w:rPr>
          <w:color w:val="auto"/>
          <w:sz w:val="22"/>
          <w:szCs w:val="22"/>
        </w:rPr>
        <w:t xml:space="preserve">is </w:t>
      </w:r>
      <w:r w:rsidRPr="00875998">
        <w:rPr>
          <w:color w:val="auto"/>
          <w:sz w:val="22"/>
          <w:szCs w:val="22"/>
        </w:rPr>
        <w:t xml:space="preserve">not comparable to the business model of globally operating insurance companies. </w:t>
      </w:r>
      <w:r w:rsidR="0A835ED3" w:rsidRPr="760A453A">
        <w:rPr>
          <w:color w:val="auto"/>
          <w:sz w:val="22"/>
          <w:szCs w:val="22"/>
        </w:rPr>
        <w:t>T</w:t>
      </w:r>
      <w:r w:rsidRPr="760A453A">
        <w:rPr>
          <w:color w:val="auto"/>
          <w:sz w:val="22"/>
          <w:szCs w:val="22"/>
        </w:rPr>
        <w:t>here</w:t>
      </w:r>
      <w:r w:rsidRPr="00875998">
        <w:rPr>
          <w:color w:val="auto"/>
          <w:sz w:val="22"/>
          <w:szCs w:val="22"/>
        </w:rPr>
        <w:t xml:space="preserve"> </w:t>
      </w:r>
      <w:r w:rsidR="005216F7">
        <w:rPr>
          <w:color w:val="auto"/>
          <w:sz w:val="22"/>
          <w:szCs w:val="22"/>
        </w:rPr>
        <w:t>is</w:t>
      </w:r>
      <w:r w:rsidRPr="00875998">
        <w:rPr>
          <w:color w:val="auto"/>
          <w:sz w:val="22"/>
          <w:szCs w:val="22"/>
        </w:rPr>
        <w:t xml:space="preserve"> a distinction between a captive and a reinsurance entity of an insurance MNE group</w:t>
      </w:r>
      <w:r w:rsidR="005216F7">
        <w:rPr>
          <w:color w:val="auto"/>
          <w:sz w:val="22"/>
          <w:szCs w:val="22"/>
        </w:rPr>
        <w:t xml:space="preserve"> which should be reflected in t</w:t>
      </w:r>
      <w:r w:rsidR="00EE01B1">
        <w:rPr>
          <w:color w:val="auto"/>
          <w:sz w:val="22"/>
          <w:szCs w:val="22"/>
        </w:rPr>
        <w:t xml:space="preserve">he Pillar </w:t>
      </w:r>
      <w:r w:rsidR="729E423F" w:rsidRPr="760A453A">
        <w:rPr>
          <w:color w:val="auto"/>
          <w:sz w:val="22"/>
          <w:szCs w:val="22"/>
        </w:rPr>
        <w:t>Two</w:t>
      </w:r>
      <w:r w:rsidR="00EE01B1">
        <w:rPr>
          <w:color w:val="auto"/>
          <w:sz w:val="22"/>
          <w:szCs w:val="22"/>
        </w:rPr>
        <w:t xml:space="preserve"> rules</w:t>
      </w:r>
      <w:r w:rsidR="00BB0FFF">
        <w:rPr>
          <w:color w:val="auto"/>
          <w:sz w:val="22"/>
          <w:szCs w:val="22"/>
        </w:rPr>
        <w:t xml:space="preserve">, as is acknowledged </w:t>
      </w:r>
      <w:r w:rsidR="003C4834">
        <w:rPr>
          <w:color w:val="auto"/>
          <w:sz w:val="22"/>
          <w:szCs w:val="22"/>
        </w:rPr>
        <w:t>in the OECD Transfer Pricing guidelines on Financial Transactions.</w:t>
      </w:r>
    </w:p>
    <w:p w14:paraId="71D61722" w14:textId="522A6D90" w:rsidR="004B4144" w:rsidRDefault="00875998" w:rsidP="00077C03">
      <w:pPr>
        <w:pStyle w:val="Default"/>
        <w:spacing w:after="120"/>
        <w:jc w:val="both"/>
        <w:rPr>
          <w:color w:val="auto"/>
          <w:sz w:val="22"/>
          <w:szCs w:val="22"/>
        </w:rPr>
      </w:pPr>
      <w:r w:rsidRPr="00875998">
        <w:rPr>
          <w:color w:val="auto"/>
          <w:sz w:val="22"/>
          <w:szCs w:val="22"/>
        </w:rPr>
        <w:t xml:space="preserve">A captive on the one hand </w:t>
      </w:r>
      <w:r w:rsidR="4AF2AF33" w:rsidRPr="760A453A">
        <w:rPr>
          <w:color w:val="auto"/>
          <w:sz w:val="22"/>
          <w:szCs w:val="22"/>
        </w:rPr>
        <w:t>may</w:t>
      </w:r>
      <w:r w:rsidRPr="00875998">
        <w:rPr>
          <w:color w:val="auto"/>
          <w:sz w:val="22"/>
          <w:szCs w:val="22"/>
        </w:rPr>
        <w:t xml:space="preserve"> </w:t>
      </w:r>
      <w:r w:rsidR="00300406">
        <w:rPr>
          <w:color w:val="auto"/>
          <w:sz w:val="22"/>
          <w:szCs w:val="22"/>
        </w:rPr>
        <w:t>insure</w:t>
      </w:r>
      <w:r w:rsidRPr="00875998">
        <w:rPr>
          <w:color w:val="auto"/>
          <w:sz w:val="22"/>
          <w:szCs w:val="22"/>
        </w:rPr>
        <w:t xml:space="preserve"> exclusively or almost exclusively risks of entities of the MNE group to which it belongs. A reinsurance entity on the other hand </w:t>
      </w:r>
      <w:r w:rsidR="00300406">
        <w:rPr>
          <w:color w:val="auto"/>
          <w:sz w:val="22"/>
          <w:szCs w:val="22"/>
        </w:rPr>
        <w:t>insures</w:t>
      </w:r>
      <w:r w:rsidRPr="00875998">
        <w:rPr>
          <w:color w:val="auto"/>
          <w:sz w:val="22"/>
          <w:szCs w:val="22"/>
        </w:rPr>
        <w:t xml:space="preserve"> risks of unrelated parties that are insured by other entities of the MNE group to which it belongs. This is a genuine and normal part of the business model of insurance groups.</w:t>
      </w:r>
    </w:p>
    <w:p w14:paraId="615D18B6" w14:textId="74938F0F" w:rsidR="00D938CA" w:rsidRDefault="00875998" w:rsidP="00077C03">
      <w:pPr>
        <w:pStyle w:val="Default"/>
        <w:spacing w:after="120"/>
        <w:jc w:val="both"/>
        <w:rPr>
          <w:color w:val="auto"/>
          <w:sz w:val="22"/>
          <w:szCs w:val="22"/>
        </w:rPr>
      </w:pPr>
      <w:r w:rsidRPr="00875998">
        <w:rPr>
          <w:color w:val="auto"/>
          <w:sz w:val="22"/>
          <w:szCs w:val="22"/>
        </w:rPr>
        <w:t>The reinsurance entity is a regulated company and therefore subject to regulatory requirement</w:t>
      </w:r>
      <w:r w:rsidR="00D42F41">
        <w:rPr>
          <w:color w:val="auto"/>
          <w:sz w:val="22"/>
          <w:szCs w:val="22"/>
        </w:rPr>
        <w:t>s</w:t>
      </w:r>
      <w:r w:rsidRPr="00875998">
        <w:rPr>
          <w:color w:val="auto"/>
          <w:sz w:val="22"/>
          <w:szCs w:val="22"/>
        </w:rPr>
        <w:t xml:space="preserve"> which ensure that it has the financial capacity and the necessary personnel to assume risks from the insured customers. </w:t>
      </w:r>
    </w:p>
    <w:p w14:paraId="04D78EFE" w14:textId="316EE3CC" w:rsidR="00BA63B4" w:rsidRDefault="00D938CA" w:rsidP="00077C03">
      <w:pPr>
        <w:pStyle w:val="Default"/>
        <w:spacing w:after="120"/>
        <w:jc w:val="both"/>
        <w:rPr>
          <w:color w:val="auto"/>
          <w:sz w:val="22"/>
          <w:szCs w:val="22"/>
        </w:rPr>
      </w:pPr>
      <w:r w:rsidRPr="00D938CA">
        <w:rPr>
          <w:color w:val="auto"/>
          <w:sz w:val="22"/>
          <w:szCs w:val="22"/>
        </w:rPr>
        <w:t xml:space="preserve">Equally the cedant insurer is also subject to regulation and </w:t>
      </w:r>
      <w:r>
        <w:rPr>
          <w:color w:val="auto"/>
          <w:sz w:val="22"/>
          <w:szCs w:val="22"/>
        </w:rPr>
        <w:t>is usually</w:t>
      </w:r>
      <w:r w:rsidRPr="00D938CA">
        <w:rPr>
          <w:color w:val="auto"/>
          <w:sz w:val="22"/>
          <w:szCs w:val="22"/>
        </w:rPr>
        <w:t xml:space="preserve"> required to hold capital against the counterparty risk of the reinsurer (whether an internal or an external reinsurer</w:t>
      </w:r>
      <w:r>
        <w:rPr>
          <w:color w:val="auto"/>
          <w:sz w:val="22"/>
          <w:szCs w:val="22"/>
        </w:rPr>
        <w:t>)</w:t>
      </w:r>
      <w:r w:rsidRPr="00D938CA">
        <w:rPr>
          <w:color w:val="auto"/>
          <w:sz w:val="22"/>
          <w:szCs w:val="22"/>
        </w:rPr>
        <w:t xml:space="preserve">. The regulators of the cedant insurer will also be concerned that the terms of the reinsurance are arm’s length (in order to protect the solvency position of the insurance cedant).  </w:t>
      </w:r>
    </w:p>
    <w:p w14:paraId="22B5FB04" w14:textId="77777777" w:rsidR="00AD6540" w:rsidRPr="00CE1CA0" w:rsidRDefault="00AD6540" w:rsidP="00077C03">
      <w:pPr>
        <w:pStyle w:val="Default"/>
        <w:numPr>
          <w:ilvl w:val="0"/>
          <w:numId w:val="27"/>
        </w:numPr>
        <w:spacing w:after="120"/>
        <w:ind w:left="360"/>
        <w:jc w:val="both"/>
        <w:rPr>
          <w:b/>
          <w:bCs/>
          <w:i/>
          <w:iCs/>
          <w:color w:val="auto"/>
          <w:sz w:val="22"/>
          <w:szCs w:val="22"/>
        </w:rPr>
      </w:pPr>
      <w:r w:rsidRPr="00CE1CA0">
        <w:rPr>
          <w:b/>
          <w:bCs/>
          <w:i/>
          <w:iCs/>
          <w:color w:val="auto"/>
          <w:sz w:val="22"/>
          <w:szCs w:val="22"/>
        </w:rPr>
        <w:t xml:space="preserve">Transfer pricing </w:t>
      </w:r>
      <w:proofErr w:type="spellStart"/>
      <w:r w:rsidRPr="00CE1CA0">
        <w:rPr>
          <w:b/>
          <w:bCs/>
          <w:i/>
          <w:iCs/>
          <w:color w:val="auto"/>
          <w:sz w:val="22"/>
          <w:szCs w:val="22"/>
        </w:rPr>
        <w:t>comparables</w:t>
      </w:r>
      <w:proofErr w:type="spellEnd"/>
      <w:r w:rsidRPr="00CE1CA0">
        <w:rPr>
          <w:b/>
          <w:bCs/>
          <w:i/>
          <w:iCs/>
          <w:color w:val="auto"/>
          <w:sz w:val="22"/>
          <w:szCs w:val="22"/>
        </w:rPr>
        <w:t xml:space="preserve"> are available</w:t>
      </w:r>
    </w:p>
    <w:p w14:paraId="3A6B97BA" w14:textId="4AB5D876" w:rsidR="00AD6540" w:rsidRPr="00AD6540" w:rsidRDefault="00AD6540" w:rsidP="00077C03">
      <w:pPr>
        <w:pStyle w:val="Default"/>
        <w:spacing w:after="120"/>
        <w:jc w:val="both"/>
        <w:rPr>
          <w:color w:val="auto"/>
          <w:sz w:val="22"/>
          <w:szCs w:val="22"/>
        </w:rPr>
      </w:pPr>
      <w:r w:rsidRPr="00AD6540">
        <w:rPr>
          <w:color w:val="auto"/>
          <w:sz w:val="22"/>
          <w:szCs w:val="22"/>
        </w:rPr>
        <w:t xml:space="preserve">The assumption in section 601 of the </w:t>
      </w:r>
      <w:r w:rsidR="00AF7DD0">
        <w:rPr>
          <w:color w:val="auto"/>
          <w:sz w:val="22"/>
          <w:szCs w:val="22"/>
        </w:rPr>
        <w:t>P</w:t>
      </w:r>
      <w:r w:rsidRPr="00AD6540">
        <w:rPr>
          <w:color w:val="auto"/>
          <w:sz w:val="22"/>
          <w:szCs w:val="22"/>
        </w:rPr>
        <w:t xml:space="preserve">illar </w:t>
      </w:r>
      <w:r w:rsidR="64914D6F" w:rsidRPr="760A453A">
        <w:rPr>
          <w:color w:val="auto"/>
          <w:sz w:val="22"/>
          <w:szCs w:val="22"/>
        </w:rPr>
        <w:t>Two</w:t>
      </w:r>
      <w:r w:rsidRPr="00AD6540">
        <w:rPr>
          <w:color w:val="auto"/>
          <w:sz w:val="22"/>
          <w:szCs w:val="22"/>
        </w:rPr>
        <w:t xml:space="preserve"> blueprint that it would be hard to find comparable unrelated transactions to test whether the pricing of intra</w:t>
      </w:r>
      <w:r w:rsidR="00635864">
        <w:rPr>
          <w:color w:val="auto"/>
          <w:sz w:val="22"/>
          <w:szCs w:val="22"/>
        </w:rPr>
        <w:t>-</w:t>
      </w:r>
      <w:r w:rsidRPr="00AD6540">
        <w:rPr>
          <w:color w:val="auto"/>
          <w:sz w:val="22"/>
          <w:szCs w:val="22"/>
        </w:rPr>
        <w:t xml:space="preserve">group transactions meets the arm’s length principle seems unfounded </w:t>
      </w:r>
      <w:r w:rsidR="00635864">
        <w:rPr>
          <w:color w:val="auto"/>
          <w:sz w:val="22"/>
          <w:szCs w:val="22"/>
        </w:rPr>
        <w:t>as</w:t>
      </w:r>
      <w:r w:rsidR="00326F2E">
        <w:rPr>
          <w:color w:val="auto"/>
          <w:sz w:val="22"/>
          <w:szCs w:val="22"/>
        </w:rPr>
        <w:t xml:space="preserve"> they can be </w:t>
      </w:r>
      <w:r w:rsidR="005443F1">
        <w:rPr>
          <w:color w:val="auto"/>
          <w:sz w:val="22"/>
          <w:szCs w:val="22"/>
        </w:rPr>
        <w:t xml:space="preserve">commonly </w:t>
      </w:r>
      <w:r w:rsidR="00326F2E">
        <w:rPr>
          <w:color w:val="auto"/>
          <w:sz w:val="22"/>
          <w:szCs w:val="22"/>
        </w:rPr>
        <w:t>found from</w:t>
      </w:r>
      <w:r w:rsidRPr="00AD6540">
        <w:rPr>
          <w:color w:val="auto"/>
          <w:sz w:val="22"/>
          <w:szCs w:val="22"/>
        </w:rPr>
        <w:t xml:space="preserve"> </w:t>
      </w:r>
      <w:r w:rsidR="00326F2E" w:rsidRPr="00AD6540">
        <w:rPr>
          <w:color w:val="auto"/>
          <w:sz w:val="22"/>
          <w:szCs w:val="22"/>
        </w:rPr>
        <w:t xml:space="preserve">contractual </w:t>
      </w:r>
      <w:r w:rsidR="00FB7863">
        <w:rPr>
          <w:color w:val="auto"/>
          <w:sz w:val="22"/>
          <w:szCs w:val="22"/>
        </w:rPr>
        <w:t xml:space="preserve">insurance and reinsurance </w:t>
      </w:r>
      <w:r w:rsidR="00326F2E" w:rsidRPr="00AD6540">
        <w:rPr>
          <w:color w:val="auto"/>
          <w:sz w:val="22"/>
          <w:szCs w:val="22"/>
        </w:rPr>
        <w:t>arrangements with third party customers</w:t>
      </w:r>
      <w:r w:rsidR="00326F2E">
        <w:rPr>
          <w:color w:val="auto"/>
          <w:sz w:val="22"/>
          <w:szCs w:val="22"/>
        </w:rPr>
        <w:t>.</w:t>
      </w:r>
    </w:p>
    <w:p w14:paraId="686CAAD7" w14:textId="7B55062C" w:rsidR="00875998" w:rsidRDefault="00AD6540" w:rsidP="00077C03">
      <w:pPr>
        <w:pStyle w:val="Default"/>
        <w:spacing w:after="120"/>
        <w:jc w:val="both"/>
        <w:rPr>
          <w:color w:val="auto"/>
          <w:sz w:val="22"/>
          <w:szCs w:val="22"/>
        </w:rPr>
      </w:pPr>
      <w:r w:rsidRPr="00AD6540">
        <w:rPr>
          <w:color w:val="auto"/>
          <w:sz w:val="22"/>
          <w:szCs w:val="22"/>
        </w:rPr>
        <w:t>Furthermore, since the new chapter X of the OECD Transfer Pricing Guidelines with a chapter dedicated to captive insurance has been adopted, there are existing international transfer pricing rules which address low substance captive structures, effectively mitigating the risk of artificial BEPS resulting from (re)insurance transactions.</w:t>
      </w:r>
    </w:p>
    <w:p w14:paraId="4985674F" w14:textId="40F1BB66" w:rsidR="00AD6540" w:rsidRPr="00CE1CA0" w:rsidRDefault="00AD6540" w:rsidP="00077C03">
      <w:pPr>
        <w:pStyle w:val="Default"/>
        <w:numPr>
          <w:ilvl w:val="0"/>
          <w:numId w:val="27"/>
        </w:numPr>
        <w:spacing w:after="120"/>
        <w:ind w:left="360"/>
        <w:jc w:val="both"/>
        <w:rPr>
          <w:b/>
          <w:bCs/>
          <w:i/>
          <w:iCs/>
          <w:color w:val="auto"/>
          <w:sz w:val="22"/>
          <w:szCs w:val="22"/>
        </w:rPr>
      </w:pPr>
      <w:r w:rsidRPr="00CE1CA0">
        <w:rPr>
          <w:b/>
          <w:bCs/>
          <w:i/>
          <w:iCs/>
          <w:color w:val="auto"/>
          <w:sz w:val="22"/>
          <w:szCs w:val="22"/>
        </w:rPr>
        <w:t>Detrimental effect on economically driven business models and group structuring</w:t>
      </w:r>
    </w:p>
    <w:p w14:paraId="0DC52D30" w14:textId="6D903A65" w:rsidR="00AD6540" w:rsidRDefault="00AD6540" w:rsidP="00077C03">
      <w:pPr>
        <w:pStyle w:val="Default"/>
        <w:spacing w:after="120"/>
        <w:jc w:val="both"/>
        <w:rPr>
          <w:color w:val="auto"/>
          <w:sz w:val="22"/>
          <w:szCs w:val="22"/>
        </w:rPr>
      </w:pPr>
      <w:r w:rsidRPr="00AD6540">
        <w:rPr>
          <w:color w:val="auto"/>
          <w:sz w:val="22"/>
          <w:szCs w:val="22"/>
        </w:rPr>
        <w:t xml:space="preserve">The withholding tax under the </w:t>
      </w:r>
      <w:r w:rsidR="005B1199">
        <w:rPr>
          <w:color w:val="auto"/>
          <w:sz w:val="22"/>
          <w:szCs w:val="22"/>
        </w:rPr>
        <w:t>STTR</w:t>
      </w:r>
      <w:r w:rsidRPr="00AD6540">
        <w:rPr>
          <w:color w:val="auto"/>
          <w:sz w:val="22"/>
          <w:szCs w:val="22"/>
        </w:rPr>
        <w:t xml:space="preserve"> would work as a disincentive for spreading insurance risks among group members, since it raises the costs for buying intra group re-insurance policies. The consequence may be the accumulation of insurance risks in countries that have introduced the </w:t>
      </w:r>
      <w:r w:rsidR="005B1199">
        <w:rPr>
          <w:color w:val="auto"/>
          <w:sz w:val="22"/>
          <w:szCs w:val="22"/>
        </w:rPr>
        <w:t>STTR</w:t>
      </w:r>
      <w:r w:rsidRPr="00AD6540">
        <w:rPr>
          <w:color w:val="auto"/>
          <w:sz w:val="22"/>
          <w:szCs w:val="22"/>
        </w:rPr>
        <w:t>.</w:t>
      </w:r>
      <w:r w:rsidR="009B2343">
        <w:rPr>
          <w:color w:val="auto"/>
          <w:sz w:val="22"/>
          <w:szCs w:val="22"/>
        </w:rPr>
        <w:t xml:space="preserve"> </w:t>
      </w:r>
      <w:r w:rsidR="009B2343" w:rsidRPr="00090F94">
        <w:rPr>
          <w:color w:val="auto"/>
          <w:sz w:val="22"/>
          <w:szCs w:val="22"/>
        </w:rPr>
        <w:t xml:space="preserve">Such intra-group structures are required to address requirements imposed by regulators worldwide, which seek to ensure </w:t>
      </w:r>
      <w:r w:rsidR="00667793">
        <w:rPr>
          <w:color w:val="auto"/>
          <w:sz w:val="22"/>
          <w:szCs w:val="22"/>
        </w:rPr>
        <w:t>high</w:t>
      </w:r>
      <w:r w:rsidR="009B2343" w:rsidRPr="00090F94">
        <w:rPr>
          <w:color w:val="auto"/>
          <w:sz w:val="22"/>
          <w:szCs w:val="22"/>
        </w:rPr>
        <w:t xml:space="preserve"> capital level</w:t>
      </w:r>
      <w:r w:rsidR="00667793">
        <w:rPr>
          <w:color w:val="auto"/>
          <w:sz w:val="22"/>
          <w:szCs w:val="22"/>
        </w:rPr>
        <w:t>s</w:t>
      </w:r>
      <w:r w:rsidR="009B2343" w:rsidRPr="00090F94">
        <w:rPr>
          <w:color w:val="auto"/>
          <w:sz w:val="22"/>
          <w:szCs w:val="22"/>
        </w:rPr>
        <w:t xml:space="preserve"> for (re)insurers to protect the insured against the potential default of their insurance policies. A less efficient allocation of (costly) capital and risk, and an additional cost component by an imposed withholding tax on (re)insurance premiums, would increase the pressure on prices of end-consumer insurance products, which is already affected by increasing withholding tax requirements worldwide.</w:t>
      </w:r>
    </w:p>
    <w:p w14:paraId="683BDE50" w14:textId="76A53E49" w:rsidR="00F37A9D" w:rsidRPr="009A05AB" w:rsidRDefault="00F37A9D" w:rsidP="00077C03">
      <w:pPr>
        <w:pStyle w:val="Default"/>
        <w:numPr>
          <w:ilvl w:val="0"/>
          <w:numId w:val="27"/>
        </w:numPr>
        <w:spacing w:after="120"/>
        <w:ind w:left="360"/>
        <w:jc w:val="both"/>
        <w:rPr>
          <w:color w:val="auto"/>
          <w:sz w:val="22"/>
          <w:szCs w:val="22"/>
        </w:rPr>
      </w:pPr>
      <w:r w:rsidRPr="001B6A02">
        <w:rPr>
          <w:b/>
          <w:bCs/>
          <w:i/>
          <w:iCs/>
          <w:color w:val="auto"/>
          <w:sz w:val="22"/>
          <w:szCs w:val="22"/>
        </w:rPr>
        <w:t>Brok</w:t>
      </w:r>
      <w:r w:rsidR="009A05AB" w:rsidRPr="009A05AB">
        <w:rPr>
          <w:b/>
          <w:bCs/>
          <w:i/>
          <w:iCs/>
          <w:color w:val="auto"/>
          <w:sz w:val="22"/>
          <w:szCs w:val="22"/>
        </w:rPr>
        <w:t>erage fees</w:t>
      </w:r>
    </w:p>
    <w:p w14:paraId="51531F65" w14:textId="793DB129" w:rsidR="00F37A9D" w:rsidRDefault="009A05AB" w:rsidP="00077C03">
      <w:pPr>
        <w:pStyle w:val="Default"/>
        <w:spacing w:after="120"/>
        <w:jc w:val="both"/>
        <w:rPr>
          <w:color w:val="auto"/>
          <w:sz w:val="22"/>
          <w:szCs w:val="22"/>
        </w:rPr>
      </w:pPr>
      <w:r>
        <w:rPr>
          <w:color w:val="auto"/>
          <w:sz w:val="22"/>
          <w:szCs w:val="22"/>
        </w:rPr>
        <w:t>In addition to the points noted above</w:t>
      </w:r>
      <w:r w:rsidR="00FB60A4">
        <w:rPr>
          <w:color w:val="auto"/>
          <w:sz w:val="22"/>
          <w:szCs w:val="22"/>
        </w:rPr>
        <w:t xml:space="preserve">, paragraph 591 identifies brokerage fees as being within scope of the STTR. Insurance broking is a widely used </w:t>
      </w:r>
      <w:r w:rsidR="00726F8E">
        <w:rPr>
          <w:color w:val="auto"/>
          <w:sz w:val="22"/>
          <w:szCs w:val="22"/>
        </w:rPr>
        <w:t xml:space="preserve">commercial transaction </w:t>
      </w:r>
      <w:r w:rsidR="00927F01">
        <w:rPr>
          <w:color w:val="auto"/>
          <w:sz w:val="22"/>
          <w:szCs w:val="22"/>
        </w:rPr>
        <w:t xml:space="preserve">both </w:t>
      </w:r>
      <w:r w:rsidR="00726F8E">
        <w:rPr>
          <w:color w:val="auto"/>
          <w:sz w:val="22"/>
          <w:szCs w:val="22"/>
        </w:rPr>
        <w:t xml:space="preserve">within groups and with third parties. </w:t>
      </w:r>
      <w:r w:rsidR="0095601A">
        <w:rPr>
          <w:color w:val="auto"/>
          <w:sz w:val="22"/>
          <w:szCs w:val="22"/>
        </w:rPr>
        <w:t xml:space="preserve">Insurance brokers </w:t>
      </w:r>
      <w:r w:rsidR="00151CA7">
        <w:rPr>
          <w:color w:val="auto"/>
          <w:sz w:val="22"/>
          <w:szCs w:val="22"/>
        </w:rPr>
        <w:t xml:space="preserve">as well as insurers </w:t>
      </w:r>
      <w:r w:rsidR="0095601A">
        <w:rPr>
          <w:color w:val="auto"/>
          <w:sz w:val="22"/>
          <w:szCs w:val="22"/>
        </w:rPr>
        <w:t>are</w:t>
      </w:r>
      <w:r w:rsidR="00726F8E">
        <w:rPr>
          <w:color w:val="auto"/>
          <w:sz w:val="22"/>
          <w:szCs w:val="22"/>
        </w:rPr>
        <w:t xml:space="preserve"> typically subject to local regulation </w:t>
      </w:r>
      <w:r w:rsidR="00D743EB">
        <w:rPr>
          <w:color w:val="auto"/>
          <w:sz w:val="22"/>
          <w:szCs w:val="22"/>
        </w:rPr>
        <w:t>which requires local substance.</w:t>
      </w:r>
      <w:r w:rsidR="00037A41">
        <w:rPr>
          <w:color w:val="auto"/>
          <w:sz w:val="22"/>
          <w:szCs w:val="22"/>
        </w:rPr>
        <w:t xml:space="preserve"> </w:t>
      </w:r>
      <w:r w:rsidR="00151CA7">
        <w:rPr>
          <w:color w:val="auto"/>
          <w:sz w:val="22"/>
          <w:szCs w:val="22"/>
        </w:rPr>
        <w:t xml:space="preserve">Most transactions between insurers and brokers are </w:t>
      </w:r>
      <w:r w:rsidR="00BE7999">
        <w:rPr>
          <w:color w:val="auto"/>
          <w:sz w:val="22"/>
          <w:szCs w:val="22"/>
        </w:rPr>
        <w:t xml:space="preserve">co-jurisdictional but there are some cases including using EU freedom of services where they are not. </w:t>
      </w:r>
      <w:r w:rsidR="00D743EB">
        <w:rPr>
          <w:color w:val="auto"/>
          <w:sz w:val="22"/>
          <w:szCs w:val="22"/>
        </w:rPr>
        <w:t>It is not clear from the Blueprint whether insurance broking is intended to be covered by the STTR</w:t>
      </w:r>
      <w:r w:rsidR="00927F01">
        <w:rPr>
          <w:color w:val="auto"/>
          <w:sz w:val="22"/>
          <w:szCs w:val="22"/>
        </w:rPr>
        <w:t xml:space="preserve"> definition of brokerage fees</w:t>
      </w:r>
      <w:r w:rsidR="000F0BA1">
        <w:rPr>
          <w:color w:val="auto"/>
          <w:sz w:val="22"/>
          <w:szCs w:val="22"/>
        </w:rPr>
        <w:t>, however there does not appear to be a reason for doing so</w:t>
      </w:r>
      <w:r w:rsidR="00927F01">
        <w:rPr>
          <w:color w:val="auto"/>
          <w:sz w:val="22"/>
          <w:szCs w:val="22"/>
        </w:rPr>
        <w:t>. As such, we recommend it is made clear that insurance broking is not covered by this definition.</w:t>
      </w:r>
      <w:r w:rsidR="004B7B76">
        <w:rPr>
          <w:color w:val="auto"/>
          <w:sz w:val="22"/>
          <w:szCs w:val="22"/>
        </w:rPr>
        <w:t xml:space="preserve"> </w:t>
      </w:r>
    </w:p>
    <w:p w14:paraId="30C08F05" w14:textId="3A8EB6A3" w:rsidR="00C60E88" w:rsidRPr="00C60E88" w:rsidRDefault="00D61CDF" w:rsidP="00077C03">
      <w:pPr>
        <w:pStyle w:val="Default"/>
        <w:spacing w:after="120"/>
        <w:jc w:val="both"/>
        <w:rPr>
          <w:color w:val="auto"/>
          <w:sz w:val="22"/>
          <w:szCs w:val="22"/>
        </w:rPr>
      </w:pPr>
      <w:r>
        <w:rPr>
          <w:b/>
          <w:bCs/>
          <w:i/>
          <w:iCs/>
          <w:color w:val="auto"/>
          <w:sz w:val="22"/>
          <w:szCs w:val="22"/>
        </w:rPr>
        <w:t>Our ask</w:t>
      </w:r>
    </w:p>
    <w:p w14:paraId="1D051715" w14:textId="712AECE1" w:rsidR="00C60E88" w:rsidRDefault="00C60E88" w:rsidP="00077C03">
      <w:pPr>
        <w:pStyle w:val="Default"/>
        <w:spacing w:after="120"/>
        <w:jc w:val="both"/>
        <w:rPr>
          <w:color w:val="auto"/>
          <w:sz w:val="22"/>
          <w:szCs w:val="22"/>
        </w:rPr>
      </w:pPr>
      <w:r w:rsidRPr="00C60E88">
        <w:rPr>
          <w:color w:val="auto"/>
          <w:sz w:val="22"/>
          <w:szCs w:val="22"/>
        </w:rPr>
        <w:t xml:space="preserve">Intra-group insurance and reinsurance premiums of MNE groups of the insurance sector should be removed from the scope of the STTR. </w:t>
      </w:r>
      <w:r w:rsidR="00D05A61">
        <w:rPr>
          <w:color w:val="auto"/>
          <w:sz w:val="22"/>
          <w:szCs w:val="22"/>
        </w:rPr>
        <w:t xml:space="preserve"> Similarly </w:t>
      </w:r>
      <w:r w:rsidR="003E45EA">
        <w:rPr>
          <w:color w:val="auto"/>
          <w:sz w:val="22"/>
          <w:szCs w:val="22"/>
        </w:rPr>
        <w:t xml:space="preserve">insurance broking transactions should not be within the scope of the </w:t>
      </w:r>
      <w:r w:rsidR="00927F01">
        <w:rPr>
          <w:color w:val="auto"/>
          <w:sz w:val="22"/>
          <w:szCs w:val="22"/>
        </w:rPr>
        <w:t>STTR</w:t>
      </w:r>
      <w:r w:rsidR="003E45EA">
        <w:rPr>
          <w:color w:val="auto"/>
          <w:sz w:val="22"/>
          <w:szCs w:val="22"/>
        </w:rPr>
        <w:t>.</w:t>
      </w:r>
    </w:p>
    <w:p w14:paraId="2D407942" w14:textId="59A3B5C6" w:rsidR="00054BAE" w:rsidRDefault="004C3B07" w:rsidP="00077C03">
      <w:pPr>
        <w:pStyle w:val="Default"/>
        <w:spacing w:after="120"/>
        <w:jc w:val="both"/>
        <w:rPr>
          <w:color w:val="2F5496" w:themeColor="accent1" w:themeShade="BF"/>
        </w:rPr>
      </w:pPr>
      <w:r>
        <w:rPr>
          <w:color w:val="auto"/>
          <w:sz w:val="22"/>
          <w:szCs w:val="22"/>
        </w:rPr>
        <w:t>As there is considerable</w:t>
      </w:r>
      <w:r w:rsidRPr="004C3B07">
        <w:rPr>
          <w:color w:val="auto"/>
          <w:sz w:val="22"/>
          <w:szCs w:val="22"/>
        </w:rPr>
        <w:t xml:space="preserve"> complexity in </w:t>
      </w:r>
      <w:r>
        <w:rPr>
          <w:color w:val="auto"/>
          <w:sz w:val="22"/>
          <w:szCs w:val="22"/>
        </w:rPr>
        <w:t xml:space="preserve">the STTR </w:t>
      </w:r>
      <w:r w:rsidRPr="004C3B07">
        <w:rPr>
          <w:color w:val="auto"/>
          <w:sz w:val="22"/>
          <w:szCs w:val="22"/>
        </w:rPr>
        <w:t xml:space="preserve">interacting with the IIR, </w:t>
      </w:r>
      <w:r>
        <w:rPr>
          <w:color w:val="auto"/>
          <w:sz w:val="22"/>
          <w:szCs w:val="22"/>
        </w:rPr>
        <w:t>we recommend that th</w:t>
      </w:r>
      <w:r w:rsidR="00EF5823">
        <w:rPr>
          <w:color w:val="auto"/>
          <w:sz w:val="22"/>
          <w:szCs w:val="22"/>
        </w:rPr>
        <w:t>e IIR is implemented first, with an assessment made of whether the STTR is necessary at a future date.</w:t>
      </w:r>
      <w:r w:rsidR="00054BAE">
        <w:rPr>
          <w:color w:val="2F5496" w:themeColor="accent1" w:themeShade="BF"/>
        </w:rPr>
        <w:br w:type="page"/>
      </w:r>
    </w:p>
    <w:p w14:paraId="4C61A7E8" w14:textId="23455794" w:rsidR="6D7CE023" w:rsidRPr="008E6B41" w:rsidRDefault="00F32706" w:rsidP="00077C03">
      <w:pPr>
        <w:pStyle w:val="Default"/>
        <w:numPr>
          <w:ilvl w:val="0"/>
          <w:numId w:val="3"/>
        </w:numPr>
        <w:spacing w:after="120"/>
        <w:ind w:left="360"/>
        <w:rPr>
          <w:rFonts w:eastAsiaTheme="minorEastAsia"/>
          <w:b/>
          <w:bCs/>
          <w:color w:val="auto"/>
          <w:sz w:val="22"/>
          <w:szCs w:val="22"/>
        </w:rPr>
      </w:pPr>
      <w:r w:rsidRPr="008E6B41">
        <w:rPr>
          <w:rFonts w:eastAsiaTheme="minorEastAsia"/>
          <w:b/>
          <w:bCs/>
          <w:color w:val="auto"/>
          <w:sz w:val="22"/>
          <w:szCs w:val="22"/>
        </w:rPr>
        <w:t>Other s</w:t>
      </w:r>
      <w:r w:rsidR="6D7CE023" w:rsidRPr="008E6B41">
        <w:rPr>
          <w:rFonts w:eastAsiaTheme="minorEastAsia"/>
          <w:b/>
          <w:bCs/>
          <w:color w:val="auto"/>
          <w:sz w:val="22"/>
          <w:szCs w:val="22"/>
        </w:rPr>
        <w:t xml:space="preserve">pecific </w:t>
      </w:r>
      <w:r w:rsidR="00845D0F" w:rsidRPr="008E6B41">
        <w:rPr>
          <w:rFonts w:eastAsiaTheme="minorEastAsia"/>
          <w:b/>
          <w:bCs/>
          <w:color w:val="auto"/>
          <w:sz w:val="22"/>
          <w:szCs w:val="22"/>
        </w:rPr>
        <w:t xml:space="preserve">issues not covered by </w:t>
      </w:r>
      <w:r w:rsidRPr="008E6B41">
        <w:rPr>
          <w:rFonts w:eastAsiaTheme="minorEastAsia"/>
          <w:b/>
          <w:bCs/>
          <w:color w:val="auto"/>
          <w:sz w:val="22"/>
          <w:szCs w:val="22"/>
        </w:rPr>
        <w:t xml:space="preserve">consultation </w:t>
      </w:r>
      <w:r w:rsidR="00845D0F" w:rsidRPr="008E6B41">
        <w:rPr>
          <w:rFonts w:eastAsiaTheme="minorEastAsia"/>
          <w:b/>
          <w:bCs/>
          <w:color w:val="auto"/>
          <w:sz w:val="22"/>
          <w:szCs w:val="22"/>
        </w:rPr>
        <w:t>questions</w:t>
      </w:r>
      <w:r w:rsidR="6D7CE023" w:rsidRPr="008E6B41">
        <w:rPr>
          <w:rFonts w:eastAsiaTheme="minorEastAsia"/>
          <w:b/>
          <w:bCs/>
          <w:color w:val="auto"/>
          <w:sz w:val="22"/>
          <w:szCs w:val="22"/>
        </w:rPr>
        <w:t>.</w:t>
      </w:r>
    </w:p>
    <w:p w14:paraId="27668436" w14:textId="18D19AE4" w:rsidR="00910C77" w:rsidRPr="00AA089E" w:rsidRDefault="00E375C5" w:rsidP="00077C03">
      <w:pPr>
        <w:pStyle w:val="Odsekzoznamu"/>
        <w:numPr>
          <w:ilvl w:val="0"/>
          <w:numId w:val="4"/>
        </w:numPr>
        <w:spacing w:after="120" w:line="240" w:lineRule="auto"/>
        <w:contextualSpacing w:val="0"/>
        <w:jc w:val="both"/>
        <w:rPr>
          <w:lang w:val="en-US"/>
        </w:rPr>
      </w:pPr>
      <w:r w:rsidRPr="00AA089E">
        <w:rPr>
          <w:b/>
          <w:lang w:val="en-US"/>
        </w:rPr>
        <w:t>Compliance complexity</w:t>
      </w:r>
    </w:p>
    <w:p w14:paraId="143A53CA" w14:textId="77CFCAAA" w:rsidR="002D5CA2" w:rsidRDefault="00052EA2" w:rsidP="00077C03">
      <w:pPr>
        <w:pStyle w:val="Default"/>
        <w:spacing w:after="120"/>
        <w:jc w:val="both"/>
        <w:rPr>
          <w:color w:val="auto"/>
          <w:sz w:val="22"/>
          <w:szCs w:val="22"/>
        </w:rPr>
      </w:pPr>
      <w:r w:rsidRPr="00AA089E">
        <w:rPr>
          <w:color w:val="auto"/>
          <w:sz w:val="22"/>
          <w:szCs w:val="22"/>
        </w:rPr>
        <w:t xml:space="preserve">The Blueprint states that it is a “solid basis” for future agreement. We note that the original intention of Pillar Two was to utilize readily available accounting information, and limit the burden on taxpayers and tax authorities to create multiple sets of books and records. As the future agreement on </w:t>
      </w:r>
      <w:proofErr w:type="spellStart"/>
      <w:r w:rsidRPr="00AA089E">
        <w:rPr>
          <w:color w:val="auto"/>
          <w:sz w:val="22"/>
          <w:szCs w:val="22"/>
        </w:rPr>
        <w:t>GloBE</w:t>
      </w:r>
      <w:proofErr w:type="spellEnd"/>
      <w:r w:rsidRPr="00AA089E">
        <w:rPr>
          <w:color w:val="auto"/>
          <w:sz w:val="22"/>
          <w:szCs w:val="22"/>
        </w:rPr>
        <w:t xml:space="preserve"> is further negotiated, we encourage the </w:t>
      </w:r>
      <w:r w:rsidR="2EE9E2E3" w:rsidRPr="574D025B">
        <w:rPr>
          <w:color w:val="auto"/>
          <w:sz w:val="22"/>
          <w:szCs w:val="22"/>
        </w:rPr>
        <w:t>IF</w:t>
      </w:r>
      <w:r w:rsidRPr="00AA089E">
        <w:rPr>
          <w:color w:val="auto"/>
          <w:sz w:val="22"/>
          <w:szCs w:val="22"/>
        </w:rPr>
        <w:t xml:space="preserve"> to be mindful of the complexity that is generated from creating new tax basis records. In particular, the Blueprint references the use of consolidated GAAP or IFRS accounting information on a jurisdictional basis. However, many companies’ accounting systems are designed to focus on the accuracy of either entity results or consolidated results and are not designed to produce reliable accounting results by jurisdiction. While the Pillar Two Blueprint states that taxpayers can use entity level information even if it is not prepared in strict accordance with the parent’s financial accounting standard, that information can only be used if it is reasonable, reliable, and does not result in material permanent differences.  </w:t>
      </w:r>
    </w:p>
    <w:p w14:paraId="4C1FC3EF" w14:textId="799ED896" w:rsidR="00052EA2" w:rsidRDefault="00D7102E" w:rsidP="00077C03">
      <w:pPr>
        <w:pStyle w:val="Default"/>
        <w:spacing w:after="120"/>
        <w:jc w:val="both"/>
        <w:rPr>
          <w:color w:val="auto"/>
          <w:sz w:val="22"/>
          <w:szCs w:val="22"/>
        </w:rPr>
      </w:pPr>
      <w:r w:rsidRPr="002D5CA2">
        <w:rPr>
          <w:color w:val="auto"/>
          <w:sz w:val="22"/>
          <w:szCs w:val="22"/>
        </w:rPr>
        <w:t xml:space="preserve">There are significant differences between some GAAP’s that apply to insurers, </w:t>
      </w:r>
      <w:proofErr w:type="spellStart"/>
      <w:r w:rsidRPr="002D5CA2">
        <w:rPr>
          <w:color w:val="auto"/>
          <w:sz w:val="22"/>
          <w:szCs w:val="22"/>
        </w:rPr>
        <w:t>e.g</w:t>
      </w:r>
      <w:proofErr w:type="spellEnd"/>
      <w:r w:rsidRPr="002D5CA2">
        <w:rPr>
          <w:color w:val="auto"/>
          <w:sz w:val="22"/>
          <w:szCs w:val="22"/>
        </w:rPr>
        <w:t xml:space="preserve"> German GAAP is quite different to US GAAP and could give rise to material permanent differences</w:t>
      </w:r>
      <w:r w:rsidR="003B3923">
        <w:rPr>
          <w:color w:val="auto"/>
          <w:sz w:val="22"/>
          <w:szCs w:val="22"/>
        </w:rPr>
        <w:t>.</w:t>
      </w:r>
      <w:r w:rsidRPr="002D5CA2">
        <w:rPr>
          <w:color w:val="auto"/>
          <w:sz w:val="22"/>
          <w:szCs w:val="22"/>
        </w:rPr>
        <w:t xml:space="preserve"> </w:t>
      </w:r>
      <w:r w:rsidR="003B3923">
        <w:rPr>
          <w:color w:val="auto"/>
          <w:sz w:val="22"/>
          <w:szCs w:val="22"/>
        </w:rPr>
        <w:t>Gr</w:t>
      </w:r>
      <w:r w:rsidRPr="002D5CA2">
        <w:rPr>
          <w:color w:val="auto"/>
          <w:sz w:val="22"/>
          <w:szCs w:val="22"/>
        </w:rPr>
        <w:t>oups affected by such differences would be unable to rely on the use of entity level information and would hence be exposed to potentially material impacts on their ETR calculations. In other cases</w:t>
      </w:r>
      <w:r w:rsidR="00787CF7">
        <w:rPr>
          <w:color w:val="auto"/>
          <w:sz w:val="22"/>
          <w:szCs w:val="22"/>
        </w:rPr>
        <w:t>,</w:t>
      </w:r>
      <w:r w:rsidRPr="002D5CA2">
        <w:rPr>
          <w:color w:val="auto"/>
          <w:sz w:val="22"/>
          <w:szCs w:val="22"/>
        </w:rPr>
        <w:t xml:space="preserve"> it </w:t>
      </w:r>
      <w:r w:rsidR="00052EA2" w:rsidRPr="00AA089E">
        <w:rPr>
          <w:color w:val="auto"/>
          <w:sz w:val="22"/>
          <w:szCs w:val="22"/>
        </w:rPr>
        <w:t xml:space="preserve">is not clear how broadly those standards should be interpreted, and many taxpayers may not be able to rely on their entity level information to compute their </w:t>
      </w:r>
      <w:proofErr w:type="spellStart"/>
      <w:r w:rsidR="00052EA2" w:rsidRPr="00AA089E">
        <w:rPr>
          <w:color w:val="auto"/>
          <w:sz w:val="22"/>
          <w:szCs w:val="22"/>
        </w:rPr>
        <w:t>GloBE</w:t>
      </w:r>
      <w:proofErr w:type="spellEnd"/>
      <w:r w:rsidR="00052EA2" w:rsidRPr="00AA089E">
        <w:rPr>
          <w:color w:val="auto"/>
          <w:sz w:val="22"/>
          <w:szCs w:val="22"/>
        </w:rPr>
        <w:t xml:space="preserve"> tax base.  </w:t>
      </w:r>
    </w:p>
    <w:p w14:paraId="4C59A499" w14:textId="4A2F1E12" w:rsidR="004E6572" w:rsidRDefault="00052EA2" w:rsidP="00077C03">
      <w:pPr>
        <w:pStyle w:val="Default"/>
        <w:spacing w:after="120"/>
        <w:jc w:val="both"/>
        <w:rPr>
          <w:color w:val="auto"/>
          <w:sz w:val="22"/>
          <w:szCs w:val="22"/>
        </w:rPr>
      </w:pPr>
      <w:r w:rsidRPr="00AA089E">
        <w:rPr>
          <w:color w:val="auto"/>
          <w:sz w:val="22"/>
          <w:szCs w:val="22"/>
        </w:rPr>
        <w:t>In addition to the concerns raised around deferred tax accounting and carry</w:t>
      </w:r>
      <w:r w:rsidR="007710BB">
        <w:rPr>
          <w:color w:val="auto"/>
          <w:sz w:val="22"/>
          <w:szCs w:val="22"/>
        </w:rPr>
        <w:t>-</w:t>
      </w:r>
      <w:r w:rsidRPr="00AA089E">
        <w:rPr>
          <w:color w:val="auto"/>
          <w:sz w:val="22"/>
          <w:szCs w:val="22"/>
        </w:rPr>
        <w:t xml:space="preserve">forward mechanisms, we are concerned about inconsistent timing and </w:t>
      </w:r>
      <w:r w:rsidR="7423D040" w:rsidRPr="42D8BBDE">
        <w:rPr>
          <w:color w:val="auto"/>
          <w:sz w:val="22"/>
          <w:szCs w:val="22"/>
        </w:rPr>
        <w:t xml:space="preserve">the </w:t>
      </w:r>
      <w:r w:rsidRPr="00AA089E">
        <w:rPr>
          <w:color w:val="auto"/>
          <w:sz w:val="22"/>
          <w:szCs w:val="22"/>
        </w:rPr>
        <w:t xml:space="preserve">manner </w:t>
      </w:r>
      <w:r w:rsidR="00AC1669" w:rsidRPr="42D8BBDE">
        <w:rPr>
          <w:color w:val="auto"/>
          <w:sz w:val="22"/>
          <w:szCs w:val="22"/>
        </w:rPr>
        <w:t>in which</w:t>
      </w:r>
      <w:r w:rsidRPr="00AA089E">
        <w:rPr>
          <w:color w:val="auto"/>
          <w:sz w:val="22"/>
          <w:szCs w:val="22"/>
        </w:rPr>
        <w:t xml:space="preserve"> countries implement the </w:t>
      </w:r>
      <w:proofErr w:type="spellStart"/>
      <w:r w:rsidRPr="00AA089E">
        <w:rPr>
          <w:color w:val="auto"/>
          <w:sz w:val="22"/>
          <w:szCs w:val="22"/>
        </w:rPr>
        <w:t>GloBE</w:t>
      </w:r>
      <w:proofErr w:type="spellEnd"/>
      <w:r w:rsidRPr="00AA089E">
        <w:rPr>
          <w:color w:val="auto"/>
          <w:sz w:val="22"/>
          <w:szCs w:val="22"/>
        </w:rPr>
        <w:t xml:space="preserve"> proposals. The current </w:t>
      </w:r>
      <w:proofErr w:type="spellStart"/>
      <w:r w:rsidRPr="00AA089E">
        <w:rPr>
          <w:color w:val="auto"/>
          <w:sz w:val="22"/>
          <w:szCs w:val="22"/>
        </w:rPr>
        <w:t>GloBE</w:t>
      </w:r>
      <w:proofErr w:type="spellEnd"/>
      <w:r w:rsidRPr="00AA089E">
        <w:rPr>
          <w:color w:val="auto"/>
          <w:sz w:val="22"/>
          <w:szCs w:val="22"/>
        </w:rPr>
        <w:t xml:space="preserve"> proposals create a high degree of interaction among various taxing regimes. If jurisdictions enact the </w:t>
      </w:r>
      <w:proofErr w:type="spellStart"/>
      <w:r w:rsidRPr="00AA089E">
        <w:rPr>
          <w:color w:val="auto"/>
          <w:sz w:val="22"/>
          <w:szCs w:val="22"/>
        </w:rPr>
        <w:t>GloBE</w:t>
      </w:r>
      <w:proofErr w:type="spellEnd"/>
      <w:r w:rsidRPr="00AA089E">
        <w:rPr>
          <w:color w:val="auto"/>
          <w:sz w:val="22"/>
          <w:szCs w:val="22"/>
        </w:rPr>
        <w:t xml:space="preserve"> proposals without a high degree of consistency, there is likely to be double or multiple taxation of the same profits.  Even if jurisdictions implement consistently, </w:t>
      </w:r>
      <w:r w:rsidR="5254D645" w:rsidRPr="42D8BBDE">
        <w:rPr>
          <w:color w:val="auto"/>
          <w:sz w:val="22"/>
          <w:szCs w:val="22"/>
        </w:rPr>
        <w:t>but</w:t>
      </w:r>
      <w:r w:rsidRPr="00AA089E">
        <w:rPr>
          <w:color w:val="auto"/>
          <w:sz w:val="22"/>
          <w:szCs w:val="22"/>
        </w:rPr>
        <w:t xml:space="preserve"> enact the measures at different times, that will lead to tremendous compliance burdens for taxpayers and governments.  These same consistency and timing concerns were partially addressed in the BEPS project through the Multilateral Convention to Implement Tax Treaty Related Measures to Prevent Base Erosion and Profit Shifting.  A similar multilateral agreement could be used to implement the Pillar Two proposals and thereby reduce compliance burdens. </w:t>
      </w:r>
    </w:p>
    <w:p w14:paraId="7D1FC762" w14:textId="2AE40B6F" w:rsidR="00052EA2" w:rsidRDefault="004E6572" w:rsidP="00077C03">
      <w:pPr>
        <w:pStyle w:val="Default"/>
        <w:spacing w:after="120"/>
        <w:jc w:val="both"/>
        <w:rPr>
          <w:color w:val="auto"/>
          <w:sz w:val="22"/>
          <w:szCs w:val="22"/>
        </w:rPr>
      </w:pPr>
      <w:r w:rsidRPr="004E6572">
        <w:rPr>
          <w:color w:val="auto"/>
          <w:sz w:val="22"/>
          <w:szCs w:val="22"/>
        </w:rPr>
        <w:t xml:space="preserve">If the Inclusive Framework agrees to implement the </w:t>
      </w:r>
      <w:proofErr w:type="spellStart"/>
      <w:r w:rsidRPr="004E6572">
        <w:rPr>
          <w:color w:val="auto"/>
          <w:sz w:val="22"/>
          <w:szCs w:val="22"/>
        </w:rPr>
        <w:t>GloBE</w:t>
      </w:r>
      <w:proofErr w:type="spellEnd"/>
      <w:r w:rsidRPr="004E6572">
        <w:rPr>
          <w:color w:val="auto"/>
          <w:sz w:val="22"/>
          <w:szCs w:val="22"/>
        </w:rPr>
        <w:t xml:space="preserve"> proposals using a multilateral agreement similar to that used in BEPS 1.0, we urge the Inclusive Framework to make adoption of the agreement in its entirety mandatory, and adopt a uniform date  for when the agreement enters into force for all parties, so as to alleviate the compliance burden of having to comply with several different multilateral agreements entering into force at different times.</w:t>
      </w:r>
    </w:p>
    <w:p w14:paraId="3F323C90" w14:textId="65DAC638" w:rsidR="00991510" w:rsidRDefault="00991510" w:rsidP="00077C03">
      <w:pPr>
        <w:pStyle w:val="Odsekzoznamu"/>
        <w:numPr>
          <w:ilvl w:val="0"/>
          <w:numId w:val="4"/>
        </w:numPr>
        <w:spacing w:after="120" w:line="240" w:lineRule="auto"/>
        <w:contextualSpacing w:val="0"/>
        <w:jc w:val="both"/>
        <w:rPr>
          <w:b/>
          <w:lang w:val="en-US"/>
        </w:rPr>
      </w:pPr>
      <w:r>
        <w:rPr>
          <w:b/>
          <w:lang w:val="en-US"/>
        </w:rPr>
        <w:t>Covered taxes</w:t>
      </w:r>
    </w:p>
    <w:p w14:paraId="0E1E2399" w14:textId="320A9037" w:rsidR="00991510" w:rsidRPr="00090F94" w:rsidRDefault="00991510" w:rsidP="00077C03">
      <w:pPr>
        <w:pStyle w:val="Default"/>
        <w:spacing w:after="120"/>
        <w:jc w:val="both"/>
        <w:rPr>
          <w:b/>
          <w:bCs/>
          <w:i/>
          <w:iCs/>
          <w:color w:val="auto"/>
          <w:sz w:val="22"/>
          <w:szCs w:val="22"/>
        </w:rPr>
      </w:pPr>
      <w:r w:rsidRPr="00090F94">
        <w:rPr>
          <w:b/>
          <w:bCs/>
          <w:i/>
          <w:iCs/>
          <w:color w:val="auto"/>
          <w:sz w:val="22"/>
          <w:szCs w:val="22"/>
        </w:rPr>
        <w:t xml:space="preserve">Insurance Federal Excise Tax and </w:t>
      </w:r>
      <w:r w:rsidR="00527389" w:rsidRPr="00090F94">
        <w:rPr>
          <w:b/>
          <w:bCs/>
          <w:i/>
          <w:iCs/>
          <w:color w:val="auto"/>
          <w:sz w:val="22"/>
          <w:szCs w:val="22"/>
        </w:rPr>
        <w:t>certain p</w:t>
      </w:r>
      <w:r w:rsidRPr="00090F94">
        <w:rPr>
          <w:b/>
          <w:bCs/>
          <w:i/>
          <w:iCs/>
          <w:color w:val="auto"/>
          <w:sz w:val="22"/>
          <w:szCs w:val="22"/>
        </w:rPr>
        <w:t>remium</w:t>
      </w:r>
      <w:r w:rsidR="00BC1F38" w:rsidRPr="00090F94">
        <w:rPr>
          <w:b/>
          <w:bCs/>
          <w:i/>
          <w:iCs/>
          <w:color w:val="auto"/>
          <w:sz w:val="22"/>
          <w:szCs w:val="22"/>
        </w:rPr>
        <w:t xml:space="preserve"> and other</w:t>
      </w:r>
      <w:r w:rsidRPr="00090F94">
        <w:rPr>
          <w:b/>
          <w:bCs/>
          <w:i/>
          <w:iCs/>
          <w:color w:val="auto"/>
          <w:sz w:val="22"/>
          <w:szCs w:val="22"/>
        </w:rPr>
        <w:t xml:space="preserve"> </w:t>
      </w:r>
      <w:r w:rsidR="00527389" w:rsidRPr="00090F94">
        <w:rPr>
          <w:b/>
          <w:bCs/>
          <w:i/>
          <w:iCs/>
          <w:color w:val="auto"/>
          <w:sz w:val="22"/>
          <w:szCs w:val="22"/>
        </w:rPr>
        <w:t>t</w:t>
      </w:r>
      <w:r w:rsidRPr="00090F94">
        <w:rPr>
          <w:b/>
          <w:bCs/>
          <w:i/>
          <w:iCs/>
          <w:color w:val="auto"/>
          <w:sz w:val="22"/>
          <w:szCs w:val="22"/>
        </w:rPr>
        <w:t>ax</w:t>
      </w:r>
      <w:r w:rsidR="00527389" w:rsidRPr="00090F94">
        <w:rPr>
          <w:b/>
          <w:bCs/>
          <w:i/>
          <w:iCs/>
          <w:color w:val="auto"/>
          <w:sz w:val="22"/>
          <w:szCs w:val="22"/>
        </w:rPr>
        <w:t>es</w:t>
      </w:r>
      <w:r w:rsidRPr="00090F94">
        <w:rPr>
          <w:b/>
          <w:bCs/>
          <w:i/>
          <w:iCs/>
          <w:color w:val="auto"/>
          <w:sz w:val="22"/>
          <w:szCs w:val="22"/>
        </w:rPr>
        <w:t xml:space="preserve"> as Covered Taxes</w:t>
      </w:r>
    </w:p>
    <w:p w14:paraId="35484C85" w14:textId="18EC1FB3" w:rsidR="00991510" w:rsidRDefault="00991510" w:rsidP="00077C03">
      <w:pPr>
        <w:pStyle w:val="Default"/>
        <w:spacing w:after="120"/>
        <w:jc w:val="both"/>
        <w:rPr>
          <w:color w:val="auto"/>
          <w:sz w:val="22"/>
          <w:szCs w:val="22"/>
        </w:rPr>
      </w:pPr>
      <w:r w:rsidRPr="00991510">
        <w:rPr>
          <w:color w:val="auto"/>
          <w:sz w:val="22"/>
          <w:szCs w:val="22"/>
        </w:rPr>
        <w:t xml:space="preserve">Section 3 of the Pillar Two </w:t>
      </w:r>
      <w:r w:rsidR="00ED2683">
        <w:rPr>
          <w:color w:val="auto"/>
          <w:sz w:val="22"/>
          <w:szCs w:val="22"/>
        </w:rPr>
        <w:t>proposals</w:t>
      </w:r>
      <w:r w:rsidRPr="00991510">
        <w:rPr>
          <w:color w:val="auto"/>
          <w:sz w:val="22"/>
          <w:szCs w:val="22"/>
        </w:rPr>
        <w:t xml:space="preserve"> generally defines covered taxes as any tax on an entity’s income or profits , including taxes imposed in lieu of a generally applicable income tax. We are appreciative of the acknowledgement in Paragraph 139 that taxes on categories of gross payments such as insurance premiums should be covered taxes to the extent they are in lieu of a generally applicable income tax. </w:t>
      </w:r>
    </w:p>
    <w:p w14:paraId="2A9B6B59" w14:textId="60AD67DB" w:rsidR="00A75DC3" w:rsidRPr="00991510" w:rsidRDefault="00991510" w:rsidP="00077C03">
      <w:r w:rsidRPr="00991510">
        <w:t>On this basis, the federal excise tax, which is paid in lieu of income taxes, would qualify as a covered tax for Pillar Two, which we believe is the appropriate treatment.</w:t>
      </w:r>
      <w:r w:rsidR="0027755E">
        <w:t xml:space="preserve"> </w:t>
      </w:r>
      <w:r w:rsidR="004314CA">
        <w:t>Some US</w:t>
      </w:r>
      <w:r w:rsidRPr="00991510">
        <w:t xml:space="preserve"> states </w:t>
      </w:r>
      <w:r w:rsidR="004314CA">
        <w:t xml:space="preserve">and other territories such as </w:t>
      </w:r>
      <w:r w:rsidR="001F7E1F">
        <w:t>France</w:t>
      </w:r>
      <w:r w:rsidR="0075433B">
        <w:t xml:space="preserve"> (the corporate added value tax)</w:t>
      </w:r>
      <w:r w:rsidR="001F7E1F">
        <w:t xml:space="preserve"> and </w:t>
      </w:r>
      <w:r w:rsidR="004314CA">
        <w:t xml:space="preserve">Hong Kong </w:t>
      </w:r>
      <w:r w:rsidRPr="00991510">
        <w:t xml:space="preserve">impose premium </w:t>
      </w:r>
      <w:r w:rsidR="0075433B">
        <w:t xml:space="preserve">and similar </w:t>
      </w:r>
      <w:r w:rsidRPr="00991510">
        <w:t>taxes on insurance companies in lieu of state</w:t>
      </w:r>
      <w:r w:rsidR="0055579B">
        <w:t>/domestic</w:t>
      </w:r>
      <w:r w:rsidRPr="00991510">
        <w:t xml:space="preserve"> corporate income tax. Because the premium tax is </w:t>
      </w:r>
      <w:r w:rsidR="0074456F">
        <w:t xml:space="preserve">specifically </w:t>
      </w:r>
      <w:r w:rsidRPr="00991510">
        <w:t xml:space="preserve">in lieu of corporate income taxes, </w:t>
      </w:r>
      <w:r w:rsidR="0074456F">
        <w:t xml:space="preserve">the </w:t>
      </w:r>
      <w:r w:rsidRPr="00991510">
        <w:t>premium tax</w:t>
      </w:r>
      <w:r w:rsidR="00E51C49">
        <w:t>es</w:t>
      </w:r>
      <w:r w:rsidRPr="00991510">
        <w:t xml:space="preserve"> would also qualify as a covered tax under Pillar Two, which we believe is the appropriate treatment. </w:t>
      </w:r>
    </w:p>
    <w:p w14:paraId="41D1256A" w14:textId="344B135A" w:rsidR="00B66671" w:rsidRDefault="00B66671" w:rsidP="00077C03">
      <w:pPr>
        <w:pStyle w:val="Odsekzoznamu"/>
        <w:numPr>
          <w:ilvl w:val="0"/>
          <w:numId w:val="4"/>
        </w:numPr>
        <w:spacing w:after="120" w:line="240" w:lineRule="auto"/>
        <w:contextualSpacing w:val="0"/>
        <w:jc w:val="both"/>
        <w:rPr>
          <w:b/>
          <w:lang w:val="en-US"/>
        </w:rPr>
      </w:pPr>
      <w:r>
        <w:rPr>
          <w:b/>
          <w:lang w:val="en-US"/>
        </w:rPr>
        <w:t>Investment returns of life insurance policy holders</w:t>
      </w:r>
    </w:p>
    <w:p w14:paraId="296B45FA" w14:textId="77777777" w:rsidR="00DD413C" w:rsidRDefault="00DD413C" w:rsidP="00077C03">
      <w:pPr>
        <w:pStyle w:val="Default"/>
        <w:spacing w:after="120"/>
        <w:jc w:val="both"/>
        <w:rPr>
          <w:color w:val="auto"/>
          <w:sz w:val="22"/>
          <w:szCs w:val="22"/>
        </w:rPr>
      </w:pPr>
      <w:r w:rsidRPr="00AA089E">
        <w:rPr>
          <w:color w:val="auto"/>
          <w:sz w:val="22"/>
          <w:szCs w:val="22"/>
        </w:rPr>
        <w:t xml:space="preserve">The </w:t>
      </w:r>
      <w:proofErr w:type="spellStart"/>
      <w:r w:rsidRPr="00AA089E">
        <w:rPr>
          <w:color w:val="auto"/>
          <w:sz w:val="22"/>
          <w:szCs w:val="22"/>
        </w:rPr>
        <w:t>GloBE</w:t>
      </w:r>
      <w:proofErr w:type="spellEnd"/>
      <w:r w:rsidRPr="00AA089E">
        <w:rPr>
          <w:color w:val="auto"/>
          <w:sz w:val="22"/>
          <w:szCs w:val="22"/>
        </w:rPr>
        <w:t xml:space="preserve"> rules should deal with diverging revenue definitions under IFRS and national GAAP. Differing treatment exists for certain insurance products. There should be a common definition for purposes of the EUR 750 million revenue threshold which determines whether an MNE group is within scope. </w:t>
      </w:r>
    </w:p>
    <w:p w14:paraId="213BDE56" w14:textId="4A13A6EA" w:rsidR="00DD413C" w:rsidRDefault="00DD413C" w:rsidP="00077C03">
      <w:pPr>
        <w:pStyle w:val="Default"/>
        <w:spacing w:after="120"/>
        <w:jc w:val="both"/>
        <w:rPr>
          <w:color w:val="auto"/>
          <w:sz w:val="22"/>
          <w:szCs w:val="22"/>
        </w:rPr>
      </w:pPr>
      <w:r>
        <w:rPr>
          <w:color w:val="auto"/>
          <w:sz w:val="22"/>
          <w:szCs w:val="22"/>
        </w:rPr>
        <w:t xml:space="preserve">As </w:t>
      </w:r>
      <w:r w:rsidR="46FED66B" w:rsidRPr="58327ED4">
        <w:rPr>
          <w:color w:val="auto"/>
          <w:sz w:val="22"/>
          <w:szCs w:val="22"/>
        </w:rPr>
        <w:t>paragraph</w:t>
      </w:r>
      <w:r>
        <w:rPr>
          <w:color w:val="auto"/>
          <w:sz w:val="22"/>
          <w:szCs w:val="22"/>
        </w:rPr>
        <w:t xml:space="preserve"> 218 of the consultation notes, m</w:t>
      </w:r>
      <w:r w:rsidRPr="00AA089E">
        <w:rPr>
          <w:color w:val="auto"/>
          <w:sz w:val="22"/>
          <w:szCs w:val="22"/>
        </w:rPr>
        <w:t xml:space="preserve">any long-term insurance products include an element of savings and investment assets. </w:t>
      </w:r>
      <w:r>
        <w:rPr>
          <w:color w:val="auto"/>
          <w:sz w:val="22"/>
          <w:szCs w:val="22"/>
        </w:rPr>
        <w:t>For example, u</w:t>
      </w:r>
      <w:r w:rsidRPr="00AA089E">
        <w:rPr>
          <w:color w:val="auto"/>
          <w:sz w:val="22"/>
          <w:szCs w:val="22"/>
        </w:rPr>
        <w:t>nder German GAAP all such income is recognised as revenue although it would not be under IFRS. A revenue threshold for inclusion in the regime of EUR 750 million, could result in insurers being brought within scope as a result of German GAAP including policyholder related items within revenue that would not be included within the equivalent IFRS revenue.</w:t>
      </w:r>
    </w:p>
    <w:p w14:paraId="2CE42D6A" w14:textId="48AEFEB8" w:rsidR="00DD413C" w:rsidRDefault="00DD413C" w:rsidP="00077C03">
      <w:pPr>
        <w:pStyle w:val="Default"/>
        <w:spacing w:after="120"/>
        <w:jc w:val="both"/>
        <w:rPr>
          <w:color w:val="auto"/>
          <w:sz w:val="22"/>
          <w:szCs w:val="22"/>
        </w:rPr>
      </w:pPr>
      <w:r w:rsidRPr="00AA089E">
        <w:rPr>
          <w:color w:val="auto"/>
          <w:sz w:val="22"/>
          <w:szCs w:val="22"/>
        </w:rPr>
        <w:t xml:space="preserve">A similar issue arises where income arises from the investment assets held for the policyholders, such as portfolio dividends and interest income. These income streams should not be regarded as revenues for purposes of the </w:t>
      </w:r>
      <w:r>
        <w:rPr>
          <w:color w:val="auto"/>
          <w:sz w:val="22"/>
          <w:szCs w:val="22"/>
        </w:rPr>
        <w:t>EUR</w:t>
      </w:r>
      <w:r w:rsidRPr="00AA089E">
        <w:rPr>
          <w:color w:val="auto"/>
          <w:sz w:val="22"/>
          <w:szCs w:val="22"/>
        </w:rPr>
        <w:t xml:space="preserve"> 750 million threshold.</w:t>
      </w:r>
    </w:p>
    <w:p w14:paraId="66E2D90E" w14:textId="1E7746FE" w:rsidR="00B66671" w:rsidRDefault="0073513D" w:rsidP="00077C03">
      <w:pPr>
        <w:spacing w:after="120" w:line="240" w:lineRule="auto"/>
        <w:jc w:val="both"/>
        <w:rPr>
          <w:bCs/>
          <w:lang w:val="en-US"/>
        </w:rPr>
      </w:pPr>
      <w:r>
        <w:rPr>
          <w:bCs/>
          <w:lang w:val="en-US"/>
        </w:rPr>
        <w:t>P</w:t>
      </w:r>
      <w:r w:rsidR="00B66671">
        <w:rPr>
          <w:bCs/>
          <w:lang w:val="en-US"/>
        </w:rPr>
        <w:t>aragraph 218 in the Blueprint provid</w:t>
      </w:r>
      <w:r>
        <w:rPr>
          <w:bCs/>
          <w:lang w:val="en-US"/>
        </w:rPr>
        <w:t>es</w:t>
      </w:r>
      <w:r w:rsidR="00B66671">
        <w:rPr>
          <w:bCs/>
          <w:lang w:val="en-US"/>
        </w:rPr>
        <w:t xml:space="preserve"> a carve out for returns where assets are beneficially owned by policyholders. The intention of the policy is clear</w:t>
      </w:r>
      <w:r w:rsidR="00ED2683">
        <w:rPr>
          <w:bCs/>
          <w:lang w:val="en-US"/>
        </w:rPr>
        <w:t xml:space="preserve">; </w:t>
      </w:r>
      <w:r w:rsidR="00B66671">
        <w:rPr>
          <w:bCs/>
          <w:lang w:val="en-US"/>
        </w:rPr>
        <w:t xml:space="preserve">where asset returns are attributable to policyholders not shareholders they should not be within the scope of the rules. </w:t>
      </w:r>
    </w:p>
    <w:p w14:paraId="3AA0F425" w14:textId="6D94895F" w:rsidR="00F94CF0" w:rsidRDefault="00B66671" w:rsidP="00077C03">
      <w:pPr>
        <w:spacing w:after="120" w:line="240" w:lineRule="auto"/>
        <w:jc w:val="both"/>
        <w:rPr>
          <w:bCs/>
          <w:lang w:val="en-US"/>
        </w:rPr>
      </w:pPr>
      <w:r>
        <w:rPr>
          <w:bCs/>
          <w:lang w:val="en-US"/>
        </w:rPr>
        <w:t>Using the term “Beneficial” ownership is however restrictive language when looking at the commercial objective</w:t>
      </w:r>
      <w:r w:rsidR="00C37BB4">
        <w:rPr>
          <w:bCs/>
          <w:lang w:val="en-US"/>
        </w:rPr>
        <w:t xml:space="preserve"> and in the specific context of investment funds</w:t>
      </w:r>
      <w:r>
        <w:rPr>
          <w:bCs/>
          <w:lang w:val="en-US"/>
        </w:rPr>
        <w:t>. Assets held by an insurer are beneficially owned by the insurer not the policyholder, notwithstanding that commercially the economic benefits will flow to the</w:t>
      </w:r>
      <w:r w:rsidR="009316C2">
        <w:rPr>
          <w:bCs/>
          <w:lang w:val="en-US"/>
        </w:rPr>
        <w:t xml:space="preserve"> policyholder</w:t>
      </w:r>
      <w:r>
        <w:rPr>
          <w:bCs/>
          <w:lang w:val="en-US"/>
        </w:rPr>
        <w:t xml:space="preserve"> (except for example on an insurer insolvency event). As such, the wording </w:t>
      </w:r>
      <w:r w:rsidR="00970A13">
        <w:rPr>
          <w:bCs/>
          <w:lang w:val="en-US"/>
        </w:rPr>
        <w:t xml:space="preserve">should be amended </w:t>
      </w:r>
      <w:r>
        <w:rPr>
          <w:bCs/>
          <w:lang w:val="en-US"/>
        </w:rPr>
        <w:t>to be clear that where the economic risks and rewards of ownership of the investment asset are held by policyholders a permanent adjustment should be made to the insurer</w:t>
      </w:r>
      <w:r w:rsidR="004440C0">
        <w:rPr>
          <w:bCs/>
          <w:lang w:val="en-US"/>
        </w:rPr>
        <w:t>’</w:t>
      </w:r>
      <w:r>
        <w:rPr>
          <w:bCs/>
          <w:lang w:val="en-US"/>
        </w:rPr>
        <w:t xml:space="preserve">s </w:t>
      </w:r>
      <w:proofErr w:type="spellStart"/>
      <w:r>
        <w:rPr>
          <w:bCs/>
          <w:lang w:val="en-US"/>
        </w:rPr>
        <w:t>GloBE</w:t>
      </w:r>
      <w:proofErr w:type="spellEnd"/>
      <w:r>
        <w:rPr>
          <w:bCs/>
          <w:lang w:val="en-US"/>
        </w:rPr>
        <w:t xml:space="preserve"> tax base</w:t>
      </w:r>
      <w:r w:rsidR="004B7F44">
        <w:rPr>
          <w:bCs/>
          <w:lang w:val="en-US"/>
        </w:rPr>
        <w:t xml:space="preserve"> </w:t>
      </w:r>
      <w:r w:rsidR="004440C0">
        <w:rPr>
          <w:bCs/>
          <w:lang w:val="en-US"/>
        </w:rPr>
        <w:t>for the purposes of calculations in</w:t>
      </w:r>
      <w:r w:rsidR="004B7F44">
        <w:rPr>
          <w:bCs/>
          <w:lang w:val="en-US"/>
        </w:rPr>
        <w:t xml:space="preserve"> all jurisdiction</w:t>
      </w:r>
      <w:r w:rsidR="004440C0">
        <w:rPr>
          <w:bCs/>
          <w:lang w:val="en-US"/>
        </w:rPr>
        <w:t>s</w:t>
      </w:r>
      <w:r w:rsidR="004B7F44">
        <w:rPr>
          <w:bCs/>
          <w:lang w:val="en-US"/>
        </w:rPr>
        <w:t>, not just the jurisdiction in which the</w:t>
      </w:r>
      <w:r w:rsidR="00321276">
        <w:rPr>
          <w:bCs/>
          <w:lang w:val="en-US"/>
        </w:rPr>
        <w:t xml:space="preserve"> policyholder</w:t>
      </w:r>
      <w:r w:rsidR="004B7F44">
        <w:rPr>
          <w:bCs/>
          <w:lang w:val="en-US"/>
        </w:rPr>
        <w:t xml:space="preserve"> liability is ultimately booked</w:t>
      </w:r>
      <w:r w:rsidR="00F94CF0">
        <w:rPr>
          <w:bCs/>
          <w:lang w:val="en-US"/>
        </w:rPr>
        <w:t xml:space="preserve">. This is as </w:t>
      </w:r>
      <w:r w:rsidR="00321276">
        <w:rPr>
          <w:bCs/>
          <w:lang w:val="en-US"/>
        </w:rPr>
        <w:t>income may flow through multiple funds</w:t>
      </w:r>
      <w:r w:rsidR="004740A1">
        <w:rPr>
          <w:bCs/>
          <w:lang w:val="en-US"/>
        </w:rPr>
        <w:t xml:space="preserve"> in different jurisdictions (and hence be included in their </w:t>
      </w:r>
      <w:r w:rsidR="00A17923">
        <w:rPr>
          <w:bCs/>
          <w:lang w:val="en-US"/>
        </w:rPr>
        <w:t xml:space="preserve">tax base) </w:t>
      </w:r>
      <w:r w:rsidR="004740A1">
        <w:rPr>
          <w:bCs/>
          <w:lang w:val="en-US"/>
        </w:rPr>
        <w:t>while the liability to the policyholder would only be booked for accounting purposes within the insurance company</w:t>
      </w:r>
      <w:r>
        <w:rPr>
          <w:bCs/>
          <w:lang w:val="en-US"/>
        </w:rPr>
        <w:t>.</w:t>
      </w:r>
    </w:p>
    <w:p w14:paraId="566D609F" w14:textId="7666F98B" w:rsidR="00B66671" w:rsidRDefault="00B66671" w:rsidP="00077C03">
      <w:pPr>
        <w:spacing w:after="120" w:line="240" w:lineRule="auto"/>
        <w:jc w:val="both"/>
        <w:rPr>
          <w:bCs/>
          <w:lang w:val="en-US"/>
        </w:rPr>
      </w:pPr>
      <w:r>
        <w:rPr>
          <w:bCs/>
          <w:lang w:val="en-US"/>
        </w:rPr>
        <w:t xml:space="preserve">This </w:t>
      </w:r>
      <w:r w:rsidR="00A17923">
        <w:rPr>
          <w:bCs/>
          <w:lang w:val="en-US"/>
        </w:rPr>
        <w:t xml:space="preserve">clarification </w:t>
      </w:r>
      <w:r>
        <w:rPr>
          <w:bCs/>
          <w:lang w:val="en-US"/>
        </w:rPr>
        <w:t xml:space="preserve">would mitigate the impact of some investment fund definition issues that arise for insurers and we refer to in our answer to questions on Chapter 2. </w:t>
      </w:r>
      <w:r w:rsidR="00874ABB">
        <w:rPr>
          <w:bCs/>
          <w:lang w:val="en-US"/>
        </w:rPr>
        <w:t xml:space="preserve">(We note that where </w:t>
      </w:r>
      <w:r w:rsidR="00351CAA">
        <w:rPr>
          <w:bCs/>
          <w:lang w:val="en-US"/>
        </w:rPr>
        <w:t>both the income and increase in policyholder liability were reflected within the same jurisdiction then no adjustment would be required as they would net off anyway).</w:t>
      </w:r>
    </w:p>
    <w:p w14:paraId="314CF763" w14:textId="126DC9BA" w:rsidR="00E375C5" w:rsidRPr="003E361D" w:rsidRDefault="00E375C5" w:rsidP="00077C03">
      <w:pPr>
        <w:pStyle w:val="Odsekzoznamu"/>
        <w:numPr>
          <w:ilvl w:val="0"/>
          <w:numId w:val="4"/>
        </w:numPr>
        <w:spacing w:after="120" w:line="240" w:lineRule="auto"/>
        <w:contextualSpacing w:val="0"/>
        <w:jc w:val="both"/>
        <w:rPr>
          <w:b/>
          <w:lang w:val="en-US"/>
        </w:rPr>
      </w:pPr>
      <w:r w:rsidRPr="003E361D">
        <w:rPr>
          <w:b/>
          <w:lang w:val="en-US"/>
        </w:rPr>
        <w:t>Recognition of national accounting standards (paragraph 173 of the Blueprint)</w:t>
      </w:r>
    </w:p>
    <w:p w14:paraId="5E766F9B" w14:textId="4D4DED17" w:rsidR="00E375C5" w:rsidRDefault="00E375C5" w:rsidP="00077C03">
      <w:pPr>
        <w:pStyle w:val="Default"/>
        <w:spacing w:after="120"/>
        <w:jc w:val="both"/>
        <w:rPr>
          <w:color w:val="auto"/>
          <w:sz w:val="22"/>
          <w:szCs w:val="22"/>
        </w:rPr>
      </w:pPr>
      <w:r w:rsidRPr="00AA089E">
        <w:rPr>
          <w:color w:val="auto"/>
          <w:sz w:val="22"/>
          <w:szCs w:val="22"/>
        </w:rPr>
        <w:t xml:space="preserve">MNE </w:t>
      </w:r>
      <w:r w:rsidR="0093007C">
        <w:rPr>
          <w:color w:val="auto"/>
          <w:sz w:val="22"/>
          <w:szCs w:val="22"/>
        </w:rPr>
        <w:t xml:space="preserve">Groups </w:t>
      </w:r>
      <w:r w:rsidRPr="00AA089E">
        <w:rPr>
          <w:color w:val="auto"/>
          <w:sz w:val="22"/>
          <w:szCs w:val="22"/>
        </w:rPr>
        <w:t xml:space="preserve">with a consolidated </w:t>
      </w:r>
      <w:bookmarkStart w:id="0" w:name="_Hlk55474891"/>
      <w:r w:rsidRPr="00AA089E">
        <w:rPr>
          <w:color w:val="auto"/>
          <w:sz w:val="22"/>
          <w:szCs w:val="22"/>
        </w:rPr>
        <w:t xml:space="preserve">group revenue threshold </w:t>
      </w:r>
      <w:bookmarkEnd w:id="0"/>
      <w:r w:rsidRPr="00AA089E">
        <w:rPr>
          <w:color w:val="auto"/>
          <w:sz w:val="22"/>
          <w:szCs w:val="22"/>
        </w:rPr>
        <w:t xml:space="preserve">of at least EUR 750 million are in scope of the </w:t>
      </w:r>
      <w:proofErr w:type="spellStart"/>
      <w:r w:rsidRPr="00AA089E">
        <w:rPr>
          <w:color w:val="auto"/>
          <w:sz w:val="22"/>
          <w:szCs w:val="22"/>
        </w:rPr>
        <w:t>GloBE</w:t>
      </w:r>
      <w:proofErr w:type="spellEnd"/>
      <w:r w:rsidRPr="00AA089E">
        <w:rPr>
          <w:color w:val="auto"/>
          <w:sz w:val="22"/>
          <w:szCs w:val="22"/>
        </w:rPr>
        <w:t xml:space="preserve">-rules under Pillar </w:t>
      </w:r>
      <w:r w:rsidR="0093007C">
        <w:rPr>
          <w:color w:val="auto"/>
          <w:sz w:val="22"/>
          <w:szCs w:val="22"/>
        </w:rPr>
        <w:t>Two</w:t>
      </w:r>
      <w:r w:rsidRPr="00AA089E">
        <w:rPr>
          <w:color w:val="auto"/>
          <w:sz w:val="22"/>
          <w:szCs w:val="22"/>
        </w:rPr>
        <w:t xml:space="preserve">. Chapter 3.3.3 determines which accounting standards are accepted for the purpose of calculating the group revenue threshold. The blueprint explicitly mentions IFRS and the national GAAPs of Canada, Japan, China, India, Korea and the USA. Non-listed companies in many cases use other national GAAPs of their home country. If they exceed the EUR 750 million threshold, they are in scope of Pillar </w:t>
      </w:r>
      <w:r w:rsidR="0093007C">
        <w:rPr>
          <w:color w:val="auto"/>
          <w:sz w:val="22"/>
          <w:szCs w:val="22"/>
        </w:rPr>
        <w:t>Two</w:t>
      </w:r>
      <w:r w:rsidRPr="00AA089E">
        <w:rPr>
          <w:color w:val="auto"/>
          <w:sz w:val="22"/>
          <w:szCs w:val="22"/>
        </w:rPr>
        <w:t xml:space="preserve">. </w:t>
      </w:r>
    </w:p>
    <w:p w14:paraId="2E27CC40" w14:textId="15D4C46B" w:rsidR="00F94CF0" w:rsidRDefault="00E375C5" w:rsidP="00077C03">
      <w:pPr>
        <w:pStyle w:val="Default"/>
        <w:spacing w:after="120"/>
        <w:jc w:val="both"/>
        <w:rPr>
          <w:color w:val="auto"/>
          <w:sz w:val="22"/>
          <w:szCs w:val="22"/>
        </w:rPr>
      </w:pPr>
      <w:r w:rsidRPr="00AA089E">
        <w:rPr>
          <w:color w:val="auto"/>
          <w:sz w:val="22"/>
          <w:szCs w:val="22"/>
        </w:rPr>
        <w:t xml:space="preserve">We welcome the statement in the blueprint, that other national GAAPs should be accepted if the use of that standard would not result in material competitive distortions in the application of the </w:t>
      </w:r>
      <w:proofErr w:type="spellStart"/>
      <w:r w:rsidRPr="00AA089E">
        <w:rPr>
          <w:color w:val="auto"/>
          <w:sz w:val="22"/>
          <w:szCs w:val="22"/>
        </w:rPr>
        <w:t>GloBE</w:t>
      </w:r>
      <w:proofErr w:type="spellEnd"/>
      <w:r w:rsidRPr="00AA089E">
        <w:rPr>
          <w:color w:val="auto"/>
          <w:sz w:val="22"/>
          <w:szCs w:val="22"/>
        </w:rPr>
        <w:t xml:space="preserve"> rules (see paragraph 173 of the </w:t>
      </w:r>
      <w:r w:rsidR="004E49E9">
        <w:rPr>
          <w:color w:val="auto"/>
          <w:sz w:val="22"/>
          <w:szCs w:val="22"/>
        </w:rPr>
        <w:t>P</w:t>
      </w:r>
      <w:r w:rsidRPr="00AA089E">
        <w:rPr>
          <w:color w:val="auto"/>
          <w:sz w:val="22"/>
          <w:szCs w:val="22"/>
        </w:rPr>
        <w:t xml:space="preserve">illar </w:t>
      </w:r>
      <w:r w:rsidR="004E49E9">
        <w:rPr>
          <w:color w:val="auto"/>
          <w:sz w:val="22"/>
          <w:szCs w:val="22"/>
        </w:rPr>
        <w:t>Two</w:t>
      </w:r>
      <w:r w:rsidRPr="00AA089E">
        <w:rPr>
          <w:color w:val="auto"/>
          <w:sz w:val="22"/>
          <w:szCs w:val="22"/>
        </w:rPr>
        <w:t xml:space="preserve"> </w:t>
      </w:r>
      <w:r w:rsidR="0029454C">
        <w:rPr>
          <w:color w:val="auto"/>
          <w:sz w:val="22"/>
          <w:szCs w:val="22"/>
        </w:rPr>
        <w:t>proposals</w:t>
      </w:r>
      <w:r w:rsidRPr="00AA089E">
        <w:rPr>
          <w:color w:val="auto"/>
          <w:sz w:val="22"/>
          <w:szCs w:val="22"/>
        </w:rPr>
        <w:t xml:space="preserve">). </w:t>
      </w:r>
      <w:r w:rsidR="000A7501">
        <w:rPr>
          <w:color w:val="auto"/>
          <w:sz w:val="22"/>
          <w:szCs w:val="22"/>
        </w:rPr>
        <w:t>Ideally specifying eligible GAAPs explicitly would be helpful.</w:t>
      </w:r>
    </w:p>
    <w:p w14:paraId="20D495BE" w14:textId="1435BA3C" w:rsidR="00E375C5" w:rsidRDefault="00E375C5" w:rsidP="00077C03">
      <w:pPr>
        <w:pStyle w:val="Odsekzoznamu"/>
        <w:numPr>
          <w:ilvl w:val="0"/>
          <w:numId w:val="4"/>
        </w:numPr>
        <w:spacing w:after="120" w:line="240" w:lineRule="auto"/>
        <w:contextualSpacing w:val="0"/>
        <w:jc w:val="both"/>
        <w:rPr>
          <w:b/>
          <w:lang w:val="en-US"/>
        </w:rPr>
      </w:pPr>
      <w:r w:rsidRPr="003E361D">
        <w:rPr>
          <w:b/>
          <w:lang w:val="en-US"/>
        </w:rPr>
        <w:t>Recognition of an unused IIR-Tax-Credit (paragraph 309 of the Blueprint)</w:t>
      </w:r>
    </w:p>
    <w:p w14:paraId="795EBAFB" w14:textId="7ED77AEA" w:rsidR="00E375C5" w:rsidRPr="00AA089E" w:rsidRDefault="00E375C5" w:rsidP="00077C03">
      <w:pPr>
        <w:pStyle w:val="Default"/>
        <w:spacing w:after="120"/>
        <w:jc w:val="both"/>
        <w:rPr>
          <w:color w:val="auto"/>
          <w:sz w:val="22"/>
          <w:szCs w:val="22"/>
        </w:rPr>
      </w:pPr>
      <w:r w:rsidRPr="00AA089E">
        <w:rPr>
          <w:color w:val="auto"/>
          <w:sz w:val="22"/>
          <w:szCs w:val="22"/>
        </w:rPr>
        <w:t xml:space="preserve">We welcome the discussion within the Inclusive Framework </w:t>
      </w:r>
      <w:r w:rsidR="00BD390C">
        <w:rPr>
          <w:color w:val="auto"/>
          <w:sz w:val="22"/>
          <w:szCs w:val="22"/>
        </w:rPr>
        <w:t xml:space="preserve">on </w:t>
      </w:r>
      <w:r w:rsidRPr="00AA089E">
        <w:rPr>
          <w:color w:val="auto"/>
          <w:sz w:val="22"/>
          <w:szCs w:val="22"/>
        </w:rPr>
        <w:t xml:space="preserve">whether an unused IIR-tax-credit should be creditable against the national corporate income tax. If the IIR-tax-credit can only be used for the </w:t>
      </w:r>
      <w:proofErr w:type="spellStart"/>
      <w:r w:rsidRPr="00AA089E">
        <w:rPr>
          <w:color w:val="auto"/>
          <w:sz w:val="22"/>
          <w:szCs w:val="22"/>
        </w:rPr>
        <w:t>GloBE</w:t>
      </w:r>
      <w:proofErr w:type="spellEnd"/>
      <w:r w:rsidRPr="00AA089E">
        <w:rPr>
          <w:color w:val="auto"/>
          <w:sz w:val="22"/>
          <w:szCs w:val="22"/>
        </w:rPr>
        <w:t xml:space="preserve"> rules there would likely be cases where the tax credit expires lacking a top-up tax under Pillar </w:t>
      </w:r>
      <w:r w:rsidR="005C77AF">
        <w:rPr>
          <w:color w:val="auto"/>
          <w:sz w:val="22"/>
          <w:szCs w:val="22"/>
        </w:rPr>
        <w:t>Two</w:t>
      </w:r>
      <w:r w:rsidRPr="00AA089E">
        <w:rPr>
          <w:color w:val="auto"/>
          <w:sz w:val="22"/>
          <w:szCs w:val="22"/>
        </w:rPr>
        <w:t xml:space="preserve"> in succeeding years. The situation can arise after a raise of the tax rate in a formerly low taxing jurisdiction.</w:t>
      </w:r>
    </w:p>
    <w:p w14:paraId="0FCCEFFB" w14:textId="643E8683" w:rsidR="00845D0F" w:rsidRDefault="00845D0F" w:rsidP="00077C03">
      <w:pPr>
        <w:spacing w:after="120"/>
        <w:rPr>
          <w:rFonts w:cs="Arial"/>
          <w:color w:val="000000"/>
        </w:rPr>
      </w:pPr>
      <w:r>
        <w:br w:type="page"/>
      </w:r>
    </w:p>
    <w:p w14:paraId="45E35F61" w14:textId="0B7457AF" w:rsidR="00BD390C" w:rsidRPr="00090F94" w:rsidRDefault="00BD390C" w:rsidP="00077C03">
      <w:pPr>
        <w:pStyle w:val="Default"/>
        <w:numPr>
          <w:ilvl w:val="0"/>
          <w:numId w:val="3"/>
        </w:numPr>
        <w:spacing w:after="120"/>
        <w:ind w:left="360"/>
        <w:rPr>
          <w:rFonts w:eastAsiaTheme="minorEastAsia"/>
          <w:b/>
          <w:bCs/>
          <w:color w:val="auto"/>
          <w:sz w:val="22"/>
          <w:szCs w:val="22"/>
        </w:rPr>
      </w:pPr>
      <w:r w:rsidRPr="00090F94">
        <w:rPr>
          <w:rFonts w:eastAsiaTheme="minorEastAsia"/>
          <w:b/>
          <w:bCs/>
          <w:color w:val="auto"/>
          <w:sz w:val="22"/>
          <w:szCs w:val="22"/>
        </w:rPr>
        <w:t xml:space="preserve">Answers to  </w:t>
      </w:r>
      <w:r>
        <w:rPr>
          <w:rFonts w:eastAsiaTheme="minorEastAsia"/>
          <w:b/>
          <w:bCs/>
          <w:color w:val="auto"/>
          <w:sz w:val="22"/>
          <w:szCs w:val="22"/>
        </w:rPr>
        <w:t xml:space="preserve">consultation </w:t>
      </w:r>
      <w:r w:rsidRPr="00090F94">
        <w:rPr>
          <w:rFonts w:eastAsiaTheme="minorEastAsia"/>
          <w:b/>
          <w:bCs/>
          <w:color w:val="auto"/>
          <w:sz w:val="22"/>
          <w:szCs w:val="22"/>
        </w:rPr>
        <w:t>questions:</w:t>
      </w:r>
    </w:p>
    <w:p w14:paraId="0A98B923" w14:textId="7F38ECDA" w:rsidR="00856C29" w:rsidRPr="00F254FB" w:rsidRDefault="00856C29" w:rsidP="00077C03">
      <w:pPr>
        <w:pStyle w:val="Default"/>
        <w:spacing w:after="120"/>
        <w:rPr>
          <w:color w:val="2F5496" w:themeColor="accent1" w:themeShade="BF"/>
          <w:sz w:val="22"/>
          <w:szCs w:val="22"/>
        </w:rPr>
      </w:pPr>
      <w:r w:rsidRPr="00F254FB">
        <w:rPr>
          <w:b/>
          <w:bCs/>
          <w:color w:val="2F5496" w:themeColor="accent1" w:themeShade="BF"/>
          <w:sz w:val="22"/>
          <w:szCs w:val="22"/>
        </w:rPr>
        <w:t xml:space="preserve">I. Chapter 1: Introduction and Executive Summary </w:t>
      </w:r>
    </w:p>
    <w:p w14:paraId="1B0DFB3C" w14:textId="35B2D038" w:rsidR="00856C29" w:rsidRPr="00F254FB" w:rsidRDefault="00856C29" w:rsidP="00077C03">
      <w:pPr>
        <w:pStyle w:val="Default"/>
        <w:spacing w:after="120"/>
        <w:rPr>
          <w:color w:val="2F5496" w:themeColor="accent1" w:themeShade="BF"/>
          <w:sz w:val="22"/>
          <w:szCs w:val="22"/>
        </w:rPr>
      </w:pPr>
      <w:r w:rsidRPr="00F254FB">
        <w:rPr>
          <w:color w:val="2F5496" w:themeColor="accent1" w:themeShade="BF"/>
          <w:sz w:val="22"/>
          <w:szCs w:val="22"/>
        </w:rPr>
        <w:t xml:space="preserve">a. </w:t>
      </w:r>
      <w:r w:rsidRPr="00F254FB">
        <w:rPr>
          <w:b/>
          <w:bCs/>
          <w:color w:val="2F5496" w:themeColor="accent1" w:themeShade="BF"/>
          <w:sz w:val="22"/>
          <w:szCs w:val="22"/>
        </w:rPr>
        <w:t xml:space="preserve">GILTI co-existence. </w:t>
      </w:r>
      <w:r w:rsidRPr="00F254FB">
        <w:rPr>
          <w:color w:val="2F5496" w:themeColor="accent1" w:themeShade="BF"/>
          <w:sz w:val="22"/>
          <w:szCs w:val="22"/>
        </w:rPr>
        <w:t>[</w:t>
      </w:r>
      <w:r w:rsidRPr="00F254FB">
        <w:rPr>
          <w:i/>
          <w:iCs/>
          <w:color w:val="2F5496" w:themeColor="accent1" w:themeShade="BF"/>
          <w:sz w:val="22"/>
          <w:szCs w:val="22"/>
        </w:rPr>
        <w:t>Refers to paragraphs 25-28 of the Blueprint</w:t>
      </w:r>
      <w:r w:rsidRPr="00F254FB">
        <w:rPr>
          <w:color w:val="2F5496" w:themeColor="accent1" w:themeShade="BF"/>
          <w:sz w:val="22"/>
          <w:szCs w:val="22"/>
        </w:rPr>
        <w:t>]</w:t>
      </w:r>
    </w:p>
    <w:p w14:paraId="34E38A63" w14:textId="77777777" w:rsidR="00856C29" w:rsidRPr="00F254FB" w:rsidRDefault="00856C29" w:rsidP="00077C03">
      <w:pPr>
        <w:pStyle w:val="Default"/>
        <w:spacing w:after="120"/>
        <w:rPr>
          <w:color w:val="2F5496" w:themeColor="accent1" w:themeShade="BF"/>
          <w:sz w:val="22"/>
          <w:szCs w:val="22"/>
        </w:rPr>
      </w:pPr>
      <w:r w:rsidRPr="00F254FB">
        <w:rPr>
          <w:color w:val="2F5496" w:themeColor="accent1" w:themeShade="BF"/>
          <w:sz w:val="22"/>
          <w:szCs w:val="22"/>
        </w:rPr>
        <w:t xml:space="preserve">2. What are the interactions between GILTI and the </w:t>
      </w:r>
      <w:proofErr w:type="spellStart"/>
      <w:r w:rsidRPr="00F254FB">
        <w:rPr>
          <w:color w:val="2F5496" w:themeColor="accent1" w:themeShade="BF"/>
          <w:sz w:val="22"/>
          <w:szCs w:val="22"/>
        </w:rPr>
        <w:t>GloBE</w:t>
      </w:r>
      <w:proofErr w:type="spellEnd"/>
      <w:r w:rsidRPr="00F254FB">
        <w:rPr>
          <w:color w:val="2F5496" w:themeColor="accent1" w:themeShade="BF"/>
          <w:sz w:val="22"/>
          <w:szCs w:val="22"/>
        </w:rPr>
        <w:t xml:space="preserve"> rules that would need to be coordinated and how should they be coordinated? </w:t>
      </w:r>
    </w:p>
    <w:p w14:paraId="455624B0" w14:textId="69FA12C2" w:rsidR="0014772B" w:rsidRPr="00C622E6" w:rsidRDefault="0014772B" w:rsidP="001E414D">
      <w:pPr>
        <w:pStyle w:val="Default"/>
        <w:spacing w:after="120"/>
        <w:ind w:left="720"/>
        <w:jc w:val="both"/>
        <w:rPr>
          <w:color w:val="auto"/>
          <w:sz w:val="22"/>
          <w:szCs w:val="22"/>
        </w:rPr>
      </w:pPr>
      <w:r w:rsidRPr="00C622E6">
        <w:rPr>
          <w:color w:val="auto"/>
          <w:sz w:val="22"/>
          <w:szCs w:val="22"/>
        </w:rPr>
        <w:t xml:space="preserve">The implementation process of </w:t>
      </w:r>
      <w:proofErr w:type="spellStart"/>
      <w:r w:rsidRPr="00C622E6">
        <w:rPr>
          <w:color w:val="auto"/>
          <w:sz w:val="22"/>
          <w:szCs w:val="22"/>
        </w:rPr>
        <w:t>GloBE</w:t>
      </w:r>
      <w:proofErr w:type="spellEnd"/>
      <w:r w:rsidRPr="00C622E6">
        <w:rPr>
          <w:color w:val="auto"/>
          <w:sz w:val="22"/>
          <w:szCs w:val="22"/>
        </w:rPr>
        <w:t xml:space="preserve"> should include effective provisions to address any double taxation situation stemming from the application of both US GILT</w:t>
      </w:r>
      <w:r w:rsidR="007A050F">
        <w:rPr>
          <w:color w:val="auto"/>
          <w:sz w:val="22"/>
          <w:szCs w:val="22"/>
        </w:rPr>
        <w:t>I</w:t>
      </w:r>
      <w:r w:rsidRPr="00C622E6">
        <w:rPr>
          <w:color w:val="auto"/>
          <w:sz w:val="22"/>
          <w:szCs w:val="22"/>
        </w:rPr>
        <w:t xml:space="preserve"> </w:t>
      </w:r>
      <w:r w:rsidR="31E69053" w:rsidRPr="58327ED4">
        <w:rPr>
          <w:color w:val="auto"/>
          <w:sz w:val="22"/>
          <w:szCs w:val="22"/>
        </w:rPr>
        <w:t xml:space="preserve">and US BEAT </w:t>
      </w:r>
      <w:r w:rsidR="5DDBE47A" w:rsidRPr="31298A3A">
        <w:rPr>
          <w:color w:val="auto"/>
          <w:sz w:val="22"/>
          <w:szCs w:val="22"/>
        </w:rPr>
        <w:t>provisions</w:t>
      </w:r>
      <w:r w:rsidRPr="00C622E6">
        <w:rPr>
          <w:color w:val="auto"/>
          <w:sz w:val="22"/>
          <w:szCs w:val="22"/>
        </w:rPr>
        <w:t xml:space="preserve"> and </w:t>
      </w:r>
      <w:proofErr w:type="spellStart"/>
      <w:r w:rsidRPr="00C622E6">
        <w:rPr>
          <w:color w:val="auto"/>
          <w:sz w:val="22"/>
          <w:szCs w:val="22"/>
        </w:rPr>
        <w:t>GloBE</w:t>
      </w:r>
      <w:proofErr w:type="spellEnd"/>
      <w:r w:rsidRPr="00C622E6">
        <w:rPr>
          <w:color w:val="auto"/>
          <w:sz w:val="22"/>
          <w:szCs w:val="22"/>
        </w:rPr>
        <w:t xml:space="preserve"> rules among entities of a same MNE.</w:t>
      </w:r>
    </w:p>
    <w:p w14:paraId="077EB760" w14:textId="77777777" w:rsidR="00856C29" w:rsidRPr="00F254FB" w:rsidRDefault="00856C29" w:rsidP="00077C03">
      <w:pPr>
        <w:pStyle w:val="Default"/>
        <w:spacing w:after="120"/>
        <w:rPr>
          <w:color w:val="2F5496" w:themeColor="accent1" w:themeShade="BF"/>
          <w:sz w:val="22"/>
          <w:szCs w:val="22"/>
        </w:rPr>
      </w:pPr>
      <w:r w:rsidRPr="00F254FB">
        <w:rPr>
          <w:b/>
          <w:bCs/>
          <w:color w:val="2F5496" w:themeColor="accent1" w:themeShade="BF"/>
          <w:sz w:val="22"/>
          <w:szCs w:val="22"/>
        </w:rPr>
        <w:t xml:space="preserve">II. Chapter 2: Scope of the </w:t>
      </w:r>
      <w:proofErr w:type="spellStart"/>
      <w:r w:rsidRPr="00F254FB">
        <w:rPr>
          <w:b/>
          <w:bCs/>
          <w:color w:val="2F5496" w:themeColor="accent1" w:themeShade="BF"/>
          <w:sz w:val="22"/>
          <w:szCs w:val="22"/>
        </w:rPr>
        <w:t>GloBE</w:t>
      </w:r>
      <w:proofErr w:type="spellEnd"/>
      <w:r w:rsidRPr="00F254FB">
        <w:rPr>
          <w:b/>
          <w:bCs/>
          <w:color w:val="2F5496" w:themeColor="accent1" w:themeShade="BF"/>
          <w:sz w:val="22"/>
          <w:szCs w:val="22"/>
        </w:rPr>
        <w:t xml:space="preserve"> rules </w:t>
      </w:r>
    </w:p>
    <w:p w14:paraId="25F40384" w14:textId="4F065DE3" w:rsidR="00856C29" w:rsidRPr="00F254FB" w:rsidRDefault="00856C29" w:rsidP="00077C03">
      <w:pPr>
        <w:pStyle w:val="Default"/>
        <w:spacing w:after="120"/>
        <w:rPr>
          <w:color w:val="2F5496" w:themeColor="accent1" w:themeShade="BF"/>
          <w:sz w:val="22"/>
          <w:szCs w:val="22"/>
        </w:rPr>
      </w:pPr>
      <w:r w:rsidRPr="00F254FB">
        <w:rPr>
          <w:color w:val="2F5496" w:themeColor="accent1" w:themeShade="BF"/>
          <w:sz w:val="22"/>
          <w:szCs w:val="22"/>
        </w:rPr>
        <w:t xml:space="preserve">a. </w:t>
      </w:r>
      <w:r w:rsidRPr="00F254FB">
        <w:rPr>
          <w:b/>
          <w:bCs/>
          <w:color w:val="2F5496" w:themeColor="accent1" w:themeShade="BF"/>
          <w:sz w:val="22"/>
          <w:szCs w:val="22"/>
        </w:rPr>
        <w:t xml:space="preserve">The treatment of investment funds (as defined in Section 2.3.) under the </w:t>
      </w:r>
      <w:proofErr w:type="spellStart"/>
      <w:r w:rsidRPr="00F254FB">
        <w:rPr>
          <w:b/>
          <w:bCs/>
          <w:color w:val="2F5496" w:themeColor="accent1" w:themeShade="BF"/>
          <w:sz w:val="22"/>
          <w:szCs w:val="22"/>
        </w:rPr>
        <w:t>GloBE</w:t>
      </w:r>
      <w:proofErr w:type="spellEnd"/>
      <w:r w:rsidRPr="00F254FB">
        <w:rPr>
          <w:b/>
          <w:bCs/>
          <w:color w:val="2F5496" w:themeColor="accent1" w:themeShade="BF"/>
          <w:sz w:val="22"/>
          <w:szCs w:val="22"/>
        </w:rPr>
        <w:t xml:space="preserve"> rules. </w:t>
      </w:r>
      <w:r w:rsidRPr="00F254FB">
        <w:rPr>
          <w:color w:val="2F5496" w:themeColor="accent1" w:themeShade="BF"/>
          <w:sz w:val="22"/>
          <w:szCs w:val="22"/>
        </w:rPr>
        <w:t>[</w:t>
      </w:r>
      <w:r w:rsidRPr="00F254FB">
        <w:rPr>
          <w:i/>
          <w:iCs/>
          <w:color w:val="2F5496" w:themeColor="accent1" w:themeShade="BF"/>
          <w:sz w:val="22"/>
          <w:szCs w:val="22"/>
        </w:rPr>
        <w:t>Refers to paragraphs 76-83 of the Blueprint</w:t>
      </w:r>
      <w:r w:rsidRPr="00F254FB">
        <w:rPr>
          <w:color w:val="2F5496" w:themeColor="accent1" w:themeShade="BF"/>
          <w:sz w:val="22"/>
          <w:szCs w:val="22"/>
        </w:rPr>
        <w:t>]</w:t>
      </w:r>
    </w:p>
    <w:p w14:paraId="0E18E97D" w14:textId="5065E5BC" w:rsidR="00856C29" w:rsidRPr="00F254FB" w:rsidRDefault="00856C29" w:rsidP="00077C03">
      <w:pPr>
        <w:pStyle w:val="Default"/>
        <w:spacing w:after="120"/>
        <w:rPr>
          <w:color w:val="2F5496" w:themeColor="accent1" w:themeShade="BF"/>
          <w:sz w:val="22"/>
          <w:szCs w:val="22"/>
        </w:rPr>
      </w:pPr>
      <w:r w:rsidRPr="00F254FB">
        <w:rPr>
          <w:color w:val="2F5496" w:themeColor="accent1" w:themeShade="BF"/>
          <w:sz w:val="22"/>
          <w:szCs w:val="22"/>
        </w:rPr>
        <w:t>2. In the case of an investment fund under the control of an MNE Group, what additional rules would be needed to ensure the tax neutrality of the fund and ensure that:</w:t>
      </w:r>
    </w:p>
    <w:p w14:paraId="74859C11" w14:textId="54B7F84F" w:rsidR="00856C29" w:rsidRPr="00F254FB" w:rsidRDefault="00856C29" w:rsidP="00077C03">
      <w:pPr>
        <w:pStyle w:val="Default"/>
        <w:spacing w:after="120"/>
        <w:rPr>
          <w:color w:val="2F5496" w:themeColor="accent1" w:themeShade="BF"/>
          <w:sz w:val="22"/>
          <w:szCs w:val="22"/>
        </w:rPr>
      </w:pPr>
      <w:proofErr w:type="spellStart"/>
      <w:r w:rsidRPr="00F254FB">
        <w:rPr>
          <w:color w:val="2F5496" w:themeColor="accent1" w:themeShade="BF"/>
          <w:sz w:val="22"/>
          <w:szCs w:val="22"/>
        </w:rPr>
        <w:t>i</w:t>
      </w:r>
      <w:proofErr w:type="spellEnd"/>
      <w:r w:rsidRPr="00F254FB">
        <w:rPr>
          <w:color w:val="2F5496" w:themeColor="accent1" w:themeShade="BF"/>
          <w:sz w:val="22"/>
          <w:szCs w:val="22"/>
        </w:rPr>
        <w:t xml:space="preserve">. the MNE Group’s share of the fund’s income is not excluded from the </w:t>
      </w:r>
      <w:proofErr w:type="spellStart"/>
      <w:r w:rsidRPr="00F254FB">
        <w:rPr>
          <w:color w:val="2F5496" w:themeColor="accent1" w:themeShade="BF"/>
          <w:sz w:val="22"/>
          <w:szCs w:val="22"/>
        </w:rPr>
        <w:t>GloBE</w:t>
      </w:r>
      <w:proofErr w:type="spellEnd"/>
      <w:r w:rsidRPr="00F254FB">
        <w:rPr>
          <w:color w:val="2F5496" w:themeColor="accent1" w:themeShade="BF"/>
          <w:sz w:val="22"/>
          <w:szCs w:val="22"/>
        </w:rPr>
        <w:t xml:space="preserve"> tax base? and </w:t>
      </w:r>
    </w:p>
    <w:p w14:paraId="44C13814" w14:textId="764BF4D9" w:rsidR="00856C29" w:rsidRPr="00F254FB" w:rsidRDefault="00856C29" w:rsidP="00077C03">
      <w:pPr>
        <w:pStyle w:val="Default"/>
        <w:spacing w:after="120"/>
        <w:rPr>
          <w:color w:val="2F5496" w:themeColor="accent1" w:themeShade="BF"/>
          <w:sz w:val="22"/>
          <w:szCs w:val="22"/>
        </w:rPr>
      </w:pPr>
      <w:r w:rsidRPr="00F254FB">
        <w:rPr>
          <w:color w:val="2F5496" w:themeColor="accent1" w:themeShade="BF"/>
          <w:sz w:val="22"/>
          <w:szCs w:val="22"/>
        </w:rPr>
        <w:t xml:space="preserve">ii. related party payments to and from the fund cannot be used to circumvent the UTPR? </w:t>
      </w:r>
    </w:p>
    <w:p w14:paraId="61AC7FA9" w14:textId="6605F44D" w:rsidR="00A37CE1" w:rsidRDefault="00902452" w:rsidP="003A786B">
      <w:pPr>
        <w:pStyle w:val="Default"/>
        <w:spacing w:after="120"/>
        <w:ind w:left="720"/>
        <w:jc w:val="both"/>
        <w:rPr>
          <w:color w:val="auto"/>
          <w:sz w:val="22"/>
          <w:szCs w:val="22"/>
        </w:rPr>
      </w:pPr>
      <w:r w:rsidRPr="004F505F">
        <w:rPr>
          <w:color w:val="auto"/>
          <w:sz w:val="22"/>
          <w:szCs w:val="22"/>
        </w:rPr>
        <w:t>Many life insurers consolidate funds they invest in. These funds are used to pool investments from multiple policyholders investing through the insurer</w:t>
      </w:r>
      <w:r w:rsidR="00773C2D" w:rsidRPr="004F505F">
        <w:rPr>
          <w:color w:val="auto"/>
          <w:sz w:val="22"/>
          <w:szCs w:val="22"/>
        </w:rPr>
        <w:t xml:space="preserve">. </w:t>
      </w:r>
      <w:r w:rsidR="002626F6" w:rsidRPr="004F505F">
        <w:rPr>
          <w:color w:val="auto"/>
          <w:sz w:val="22"/>
          <w:szCs w:val="22"/>
        </w:rPr>
        <w:t xml:space="preserve">Typically, the funds will </w:t>
      </w:r>
      <w:r w:rsidR="00A37CE1" w:rsidRPr="004F505F">
        <w:rPr>
          <w:color w:val="auto"/>
          <w:sz w:val="22"/>
          <w:szCs w:val="22"/>
        </w:rPr>
        <w:t xml:space="preserve">directly </w:t>
      </w:r>
      <w:r w:rsidR="002626F6" w:rsidRPr="004F505F">
        <w:rPr>
          <w:color w:val="auto"/>
          <w:sz w:val="22"/>
          <w:szCs w:val="22"/>
        </w:rPr>
        <w:t xml:space="preserve">back policyholder liabilities, so in the group result there will be </w:t>
      </w:r>
      <w:r w:rsidR="00A37CE1" w:rsidRPr="004F505F">
        <w:rPr>
          <w:color w:val="auto"/>
          <w:sz w:val="22"/>
          <w:szCs w:val="22"/>
        </w:rPr>
        <w:t xml:space="preserve">a low shareholder profit related to this investment income. </w:t>
      </w:r>
      <w:r w:rsidR="00453FDF">
        <w:rPr>
          <w:color w:val="auto"/>
          <w:sz w:val="22"/>
          <w:szCs w:val="22"/>
        </w:rPr>
        <w:t>There may also be third party investors (individual or corporate) who also invest into the same fund, particularly where an insurer has provided seed capital.</w:t>
      </w:r>
    </w:p>
    <w:p w14:paraId="17722A01" w14:textId="697076EC" w:rsidR="00A37CE1" w:rsidRPr="004F505F" w:rsidRDefault="00A569EA" w:rsidP="00077C03">
      <w:pPr>
        <w:pStyle w:val="Default"/>
        <w:spacing w:after="120"/>
        <w:rPr>
          <w:color w:val="auto"/>
          <w:sz w:val="22"/>
          <w:szCs w:val="22"/>
        </w:rPr>
      </w:pPr>
      <w:r>
        <w:rPr>
          <w:noProof/>
          <w:color w:val="auto"/>
          <w:sz w:val="22"/>
          <w:szCs w:val="22"/>
        </w:rPr>
        <mc:AlternateContent>
          <mc:Choice Requires="wps">
            <w:drawing>
              <wp:inline distT="0" distB="0" distL="0" distR="0" wp14:anchorId="782D32B1" wp14:editId="305E8399">
                <wp:extent cx="5731510" cy="2640513"/>
                <wp:effectExtent l="0" t="0" r="21590" b="26670"/>
                <wp:docPr id="5" name="Rectangle 5"/>
                <wp:cNvGraphicFramePr/>
                <a:graphic xmlns:a="http://schemas.openxmlformats.org/drawingml/2006/main">
                  <a:graphicData uri="http://schemas.microsoft.com/office/word/2010/wordprocessingShape">
                    <wps:wsp>
                      <wps:cNvSpPr/>
                      <wps:spPr>
                        <a:xfrm>
                          <a:off x="0" y="0"/>
                          <a:ext cx="5731510" cy="264051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8"/>
                              <w:gridCol w:w="1622"/>
                              <w:gridCol w:w="1413"/>
                              <w:gridCol w:w="1625"/>
                            </w:tblGrid>
                            <w:tr w:rsidR="004465F8" w:rsidRPr="000B1640" w14:paraId="6B90F237" w14:textId="77777777" w:rsidTr="00077C03">
                              <w:tc>
                                <w:tcPr>
                                  <w:tcW w:w="4048" w:type="dxa"/>
                                </w:tcPr>
                                <w:p w14:paraId="7B16946E" w14:textId="69AE47F4" w:rsidR="00A569EA" w:rsidRPr="00077C03" w:rsidRDefault="00D36C78" w:rsidP="00A569EA">
                                  <w:pPr>
                                    <w:spacing w:after="120"/>
                                    <w:rPr>
                                      <w:rStyle w:val="Nzovknihy"/>
                                      <w:rFonts w:cs="Arial"/>
                                      <w:bCs w:val="0"/>
                                      <w:i w:val="0"/>
                                      <w:sz w:val="20"/>
                                      <w:szCs w:val="20"/>
                                    </w:rPr>
                                  </w:pPr>
                                  <w:r w:rsidRPr="00077C03">
                                    <w:rPr>
                                      <w:rStyle w:val="Nzovknihy"/>
                                      <w:rFonts w:cs="Arial"/>
                                      <w:bCs w:val="0"/>
                                      <w:i w:val="0"/>
                                      <w:sz w:val="20"/>
                                      <w:szCs w:val="20"/>
                                    </w:rPr>
                                    <w:t>Investment fund example</w:t>
                                  </w:r>
                                </w:p>
                              </w:tc>
                              <w:tc>
                                <w:tcPr>
                                  <w:tcW w:w="1622" w:type="dxa"/>
                                </w:tcPr>
                                <w:p w14:paraId="2C4932D4" w14:textId="77777777" w:rsidR="00A569EA" w:rsidRPr="00077C03" w:rsidRDefault="00A569EA" w:rsidP="00A569EA">
                                  <w:pPr>
                                    <w:spacing w:after="120"/>
                                    <w:jc w:val="right"/>
                                    <w:rPr>
                                      <w:rStyle w:val="Nzovknihy"/>
                                      <w:rFonts w:cs="Arial"/>
                                      <w:bCs w:val="0"/>
                                      <w:i w:val="0"/>
                                      <w:sz w:val="20"/>
                                      <w:szCs w:val="20"/>
                                    </w:rPr>
                                  </w:pPr>
                                  <w:r w:rsidRPr="00077C03">
                                    <w:rPr>
                                      <w:rStyle w:val="Nzovknihy"/>
                                      <w:rFonts w:cs="Arial"/>
                                      <w:bCs w:val="0"/>
                                      <w:i w:val="0"/>
                                      <w:sz w:val="20"/>
                                      <w:szCs w:val="20"/>
                                    </w:rPr>
                                    <w:t>Lux Fund</w:t>
                                  </w:r>
                                </w:p>
                              </w:tc>
                              <w:tc>
                                <w:tcPr>
                                  <w:tcW w:w="1413" w:type="dxa"/>
                                </w:tcPr>
                                <w:p w14:paraId="0F2FB407" w14:textId="20CC4F0F" w:rsidR="00A569EA" w:rsidRPr="00077C03" w:rsidRDefault="00A569EA" w:rsidP="00A569EA">
                                  <w:pPr>
                                    <w:spacing w:after="120"/>
                                    <w:jc w:val="right"/>
                                    <w:rPr>
                                      <w:rStyle w:val="Nzovknihy"/>
                                      <w:rFonts w:cs="Arial"/>
                                      <w:bCs w:val="0"/>
                                      <w:i w:val="0"/>
                                      <w:sz w:val="20"/>
                                      <w:szCs w:val="20"/>
                                    </w:rPr>
                                  </w:pPr>
                                  <w:r w:rsidRPr="00077C03">
                                    <w:rPr>
                                      <w:rStyle w:val="Nzovknihy"/>
                                      <w:rFonts w:cs="Arial"/>
                                      <w:bCs w:val="0"/>
                                      <w:i w:val="0"/>
                                      <w:sz w:val="20"/>
                                      <w:szCs w:val="20"/>
                                    </w:rPr>
                                    <w:t>UK Life Insurer</w:t>
                                  </w:r>
                                </w:p>
                              </w:tc>
                              <w:tc>
                                <w:tcPr>
                                  <w:tcW w:w="1625" w:type="dxa"/>
                                </w:tcPr>
                                <w:p w14:paraId="341A2F2F" w14:textId="77777777" w:rsidR="00A569EA" w:rsidRPr="00077C03" w:rsidRDefault="00A569EA" w:rsidP="00A569EA">
                                  <w:pPr>
                                    <w:spacing w:after="120"/>
                                    <w:jc w:val="right"/>
                                    <w:rPr>
                                      <w:rStyle w:val="Nzovknihy"/>
                                      <w:rFonts w:cs="Arial"/>
                                      <w:bCs w:val="0"/>
                                      <w:i w:val="0"/>
                                      <w:sz w:val="20"/>
                                      <w:szCs w:val="20"/>
                                    </w:rPr>
                                  </w:pPr>
                                  <w:r w:rsidRPr="00077C03">
                                    <w:rPr>
                                      <w:rStyle w:val="Nzovknihy"/>
                                      <w:rFonts w:cs="Arial"/>
                                      <w:bCs w:val="0"/>
                                      <w:i w:val="0"/>
                                      <w:sz w:val="20"/>
                                      <w:szCs w:val="20"/>
                                    </w:rPr>
                                    <w:t>Consolidated Group</w:t>
                                  </w:r>
                                </w:p>
                              </w:tc>
                            </w:tr>
                            <w:tr w:rsidR="004465F8" w:rsidRPr="000B1640" w14:paraId="5BEA1427" w14:textId="77777777" w:rsidTr="00077C03">
                              <w:tc>
                                <w:tcPr>
                                  <w:tcW w:w="4048" w:type="dxa"/>
                                </w:tcPr>
                                <w:p w14:paraId="32A92782" w14:textId="77777777" w:rsidR="00A569EA" w:rsidRPr="000B1640" w:rsidRDefault="00A569EA" w:rsidP="00A569EA">
                                  <w:pPr>
                                    <w:spacing w:after="120"/>
                                    <w:rPr>
                                      <w:rStyle w:val="Nzovknihy"/>
                                      <w:rFonts w:cs="Arial"/>
                                      <w:b w:val="0"/>
                                      <w:i w:val="0"/>
                                      <w:sz w:val="20"/>
                                      <w:szCs w:val="20"/>
                                    </w:rPr>
                                  </w:pPr>
                                  <w:r w:rsidRPr="000B1640">
                                    <w:rPr>
                                      <w:rStyle w:val="Nzovknihy"/>
                                      <w:rFonts w:cs="Arial"/>
                                      <w:b w:val="0"/>
                                      <w:i w:val="0"/>
                                      <w:sz w:val="20"/>
                                      <w:szCs w:val="20"/>
                                    </w:rPr>
                                    <w:t>Gross Income</w:t>
                                  </w:r>
                                </w:p>
                              </w:tc>
                              <w:tc>
                                <w:tcPr>
                                  <w:tcW w:w="1622" w:type="dxa"/>
                                </w:tcPr>
                                <w:p w14:paraId="1E5D8610" w14:textId="77777777" w:rsidR="00A569EA" w:rsidRPr="000B1640" w:rsidRDefault="00A569EA" w:rsidP="00A569EA">
                                  <w:pPr>
                                    <w:spacing w:after="120"/>
                                    <w:jc w:val="right"/>
                                    <w:rPr>
                                      <w:rStyle w:val="Nzovknihy"/>
                                      <w:rFonts w:cs="Arial"/>
                                      <w:b w:val="0"/>
                                      <w:i w:val="0"/>
                                      <w:sz w:val="20"/>
                                      <w:szCs w:val="20"/>
                                    </w:rPr>
                                  </w:pPr>
                                  <w:r w:rsidRPr="000B1640">
                                    <w:rPr>
                                      <w:rStyle w:val="Nzovknihy"/>
                                      <w:rFonts w:cs="Arial"/>
                                      <w:b w:val="0"/>
                                      <w:i w:val="0"/>
                                      <w:sz w:val="20"/>
                                      <w:szCs w:val="20"/>
                                    </w:rPr>
                                    <w:t>100</w:t>
                                  </w:r>
                                </w:p>
                              </w:tc>
                              <w:tc>
                                <w:tcPr>
                                  <w:tcW w:w="1413" w:type="dxa"/>
                                </w:tcPr>
                                <w:p w14:paraId="04ECD381" w14:textId="77777777" w:rsidR="00A569EA" w:rsidRPr="000B1640" w:rsidRDefault="00A569EA" w:rsidP="00A569EA">
                                  <w:pPr>
                                    <w:spacing w:after="120"/>
                                    <w:jc w:val="right"/>
                                    <w:rPr>
                                      <w:rStyle w:val="Nzovknihy"/>
                                      <w:rFonts w:cs="Arial"/>
                                      <w:b w:val="0"/>
                                      <w:i w:val="0"/>
                                      <w:sz w:val="20"/>
                                      <w:szCs w:val="20"/>
                                    </w:rPr>
                                  </w:pPr>
                                  <w:r w:rsidRPr="000B1640">
                                    <w:rPr>
                                      <w:rStyle w:val="Nzovknihy"/>
                                      <w:rFonts w:cs="Arial"/>
                                      <w:b w:val="0"/>
                                      <w:i w:val="0"/>
                                      <w:sz w:val="20"/>
                                      <w:szCs w:val="20"/>
                                    </w:rPr>
                                    <w:t>100</w:t>
                                  </w:r>
                                </w:p>
                              </w:tc>
                              <w:tc>
                                <w:tcPr>
                                  <w:tcW w:w="1625" w:type="dxa"/>
                                </w:tcPr>
                                <w:p w14:paraId="0C7ABE7A" w14:textId="77777777" w:rsidR="00A569EA" w:rsidRPr="000B1640" w:rsidRDefault="00A569EA" w:rsidP="00A569EA">
                                  <w:pPr>
                                    <w:spacing w:after="120"/>
                                    <w:jc w:val="right"/>
                                    <w:rPr>
                                      <w:rStyle w:val="Nzovknihy"/>
                                      <w:rFonts w:cs="Arial"/>
                                      <w:b w:val="0"/>
                                      <w:i w:val="0"/>
                                      <w:sz w:val="20"/>
                                      <w:szCs w:val="20"/>
                                    </w:rPr>
                                  </w:pPr>
                                  <w:r w:rsidRPr="000B1640">
                                    <w:rPr>
                                      <w:rStyle w:val="Nzovknihy"/>
                                      <w:rFonts w:cs="Arial"/>
                                      <w:b w:val="0"/>
                                      <w:i w:val="0"/>
                                      <w:sz w:val="20"/>
                                      <w:szCs w:val="20"/>
                                    </w:rPr>
                                    <w:t>100</w:t>
                                  </w:r>
                                </w:p>
                              </w:tc>
                            </w:tr>
                            <w:tr w:rsidR="004465F8" w:rsidRPr="000B1640" w14:paraId="1CD776F2" w14:textId="77777777" w:rsidTr="00077C03">
                              <w:tc>
                                <w:tcPr>
                                  <w:tcW w:w="4048" w:type="dxa"/>
                                </w:tcPr>
                                <w:p w14:paraId="3E140119" w14:textId="77777777" w:rsidR="00A569EA" w:rsidRPr="000B1640" w:rsidRDefault="00A569EA" w:rsidP="00A569EA">
                                  <w:pPr>
                                    <w:spacing w:after="120"/>
                                    <w:rPr>
                                      <w:rStyle w:val="Nzovknihy"/>
                                      <w:rFonts w:cs="Arial"/>
                                      <w:b w:val="0"/>
                                      <w:i w:val="0"/>
                                      <w:sz w:val="20"/>
                                      <w:szCs w:val="20"/>
                                    </w:rPr>
                                  </w:pPr>
                                  <w:r w:rsidRPr="000B1640">
                                    <w:rPr>
                                      <w:rStyle w:val="Nzovknihy"/>
                                      <w:rFonts w:cs="Arial"/>
                                      <w:b w:val="0"/>
                                      <w:i w:val="0"/>
                                      <w:sz w:val="20"/>
                                      <w:szCs w:val="20"/>
                                    </w:rPr>
                                    <w:t>Policyholder liability increase</w:t>
                                  </w:r>
                                </w:p>
                              </w:tc>
                              <w:tc>
                                <w:tcPr>
                                  <w:tcW w:w="1622" w:type="dxa"/>
                                </w:tcPr>
                                <w:p w14:paraId="207AE943" w14:textId="77777777" w:rsidR="00A569EA" w:rsidRPr="000B1640" w:rsidRDefault="00A569EA" w:rsidP="00A569EA">
                                  <w:pPr>
                                    <w:spacing w:after="120"/>
                                    <w:jc w:val="right"/>
                                    <w:rPr>
                                      <w:rStyle w:val="Nzovknihy"/>
                                      <w:rFonts w:cs="Arial"/>
                                      <w:b w:val="0"/>
                                      <w:i w:val="0"/>
                                      <w:sz w:val="20"/>
                                      <w:szCs w:val="20"/>
                                    </w:rPr>
                                  </w:pPr>
                                  <w:r w:rsidRPr="000B1640">
                                    <w:rPr>
                                      <w:rStyle w:val="Nzovknihy"/>
                                      <w:rFonts w:cs="Arial"/>
                                      <w:b w:val="0"/>
                                      <w:i w:val="0"/>
                                      <w:sz w:val="20"/>
                                      <w:szCs w:val="20"/>
                                    </w:rPr>
                                    <w:t>0</w:t>
                                  </w:r>
                                </w:p>
                              </w:tc>
                              <w:tc>
                                <w:tcPr>
                                  <w:tcW w:w="1413" w:type="dxa"/>
                                </w:tcPr>
                                <w:p w14:paraId="26536644" w14:textId="77777777" w:rsidR="00A569EA" w:rsidRPr="000B1640" w:rsidRDefault="00A569EA" w:rsidP="00A569EA">
                                  <w:pPr>
                                    <w:spacing w:after="120"/>
                                    <w:jc w:val="right"/>
                                    <w:rPr>
                                      <w:rStyle w:val="Nzovknihy"/>
                                      <w:rFonts w:cs="Arial"/>
                                      <w:b w:val="0"/>
                                      <w:i w:val="0"/>
                                      <w:sz w:val="20"/>
                                      <w:szCs w:val="20"/>
                                    </w:rPr>
                                  </w:pPr>
                                  <w:r w:rsidRPr="000B1640">
                                    <w:rPr>
                                      <w:rStyle w:val="Nzovknihy"/>
                                      <w:rFonts w:cs="Arial"/>
                                      <w:b w:val="0"/>
                                      <w:i w:val="0"/>
                                      <w:sz w:val="20"/>
                                      <w:szCs w:val="20"/>
                                    </w:rPr>
                                    <w:t xml:space="preserve">(95) </w:t>
                                  </w:r>
                                </w:p>
                              </w:tc>
                              <w:tc>
                                <w:tcPr>
                                  <w:tcW w:w="1625" w:type="dxa"/>
                                </w:tcPr>
                                <w:p w14:paraId="6886F7A5" w14:textId="77777777" w:rsidR="00A569EA" w:rsidRPr="000B1640" w:rsidRDefault="00A569EA" w:rsidP="00A569EA">
                                  <w:pPr>
                                    <w:spacing w:after="120"/>
                                    <w:jc w:val="right"/>
                                    <w:rPr>
                                      <w:rStyle w:val="Nzovknihy"/>
                                      <w:rFonts w:cs="Arial"/>
                                      <w:b w:val="0"/>
                                      <w:i w:val="0"/>
                                      <w:sz w:val="20"/>
                                      <w:szCs w:val="20"/>
                                    </w:rPr>
                                  </w:pPr>
                                  <w:r w:rsidRPr="000B1640">
                                    <w:rPr>
                                      <w:rStyle w:val="Nzovknihy"/>
                                      <w:rFonts w:cs="Arial"/>
                                      <w:b w:val="0"/>
                                      <w:i w:val="0"/>
                                      <w:sz w:val="20"/>
                                      <w:szCs w:val="20"/>
                                    </w:rPr>
                                    <w:t>(95)</w:t>
                                  </w:r>
                                </w:p>
                              </w:tc>
                            </w:tr>
                            <w:tr w:rsidR="004465F8" w:rsidRPr="000B1640" w14:paraId="1896F105" w14:textId="77777777" w:rsidTr="00077C03">
                              <w:tc>
                                <w:tcPr>
                                  <w:tcW w:w="4048" w:type="dxa"/>
                                </w:tcPr>
                                <w:p w14:paraId="10FADB03" w14:textId="77777777" w:rsidR="00A569EA" w:rsidRPr="000B1640" w:rsidRDefault="00A569EA" w:rsidP="00A569EA">
                                  <w:pPr>
                                    <w:spacing w:after="120"/>
                                    <w:rPr>
                                      <w:rStyle w:val="Nzovknihy"/>
                                      <w:rFonts w:cs="Arial"/>
                                      <w:b w:val="0"/>
                                      <w:i w:val="0"/>
                                      <w:sz w:val="20"/>
                                      <w:szCs w:val="20"/>
                                    </w:rPr>
                                  </w:pPr>
                                  <w:r w:rsidRPr="000B1640">
                                    <w:rPr>
                                      <w:rStyle w:val="Nzovknihy"/>
                                      <w:rFonts w:cs="Arial"/>
                                      <w:b w:val="0"/>
                                      <w:i w:val="0"/>
                                      <w:sz w:val="20"/>
                                      <w:szCs w:val="20"/>
                                    </w:rPr>
                                    <w:t>Profit Before Tax</w:t>
                                  </w:r>
                                </w:p>
                              </w:tc>
                              <w:tc>
                                <w:tcPr>
                                  <w:tcW w:w="1622" w:type="dxa"/>
                                </w:tcPr>
                                <w:p w14:paraId="02B0C54E" w14:textId="77777777" w:rsidR="00A569EA" w:rsidRPr="000B1640" w:rsidRDefault="00A569EA" w:rsidP="00A569EA">
                                  <w:pPr>
                                    <w:spacing w:after="120"/>
                                    <w:jc w:val="right"/>
                                    <w:rPr>
                                      <w:rStyle w:val="Nzovknihy"/>
                                      <w:rFonts w:cs="Arial"/>
                                      <w:b w:val="0"/>
                                      <w:i w:val="0"/>
                                      <w:sz w:val="20"/>
                                      <w:szCs w:val="20"/>
                                    </w:rPr>
                                  </w:pPr>
                                  <w:r w:rsidRPr="000B1640">
                                    <w:rPr>
                                      <w:rStyle w:val="Nzovknihy"/>
                                      <w:rFonts w:cs="Arial"/>
                                      <w:b w:val="0"/>
                                      <w:i w:val="0"/>
                                      <w:sz w:val="20"/>
                                      <w:szCs w:val="20"/>
                                    </w:rPr>
                                    <w:t>100</w:t>
                                  </w:r>
                                </w:p>
                              </w:tc>
                              <w:tc>
                                <w:tcPr>
                                  <w:tcW w:w="1413" w:type="dxa"/>
                                </w:tcPr>
                                <w:p w14:paraId="528DF230" w14:textId="77777777" w:rsidR="00A569EA" w:rsidRPr="000B1640" w:rsidRDefault="00A569EA" w:rsidP="00A569EA">
                                  <w:pPr>
                                    <w:spacing w:after="120"/>
                                    <w:jc w:val="right"/>
                                    <w:rPr>
                                      <w:rStyle w:val="Nzovknihy"/>
                                      <w:rFonts w:cs="Arial"/>
                                      <w:b w:val="0"/>
                                      <w:i w:val="0"/>
                                      <w:sz w:val="20"/>
                                      <w:szCs w:val="20"/>
                                    </w:rPr>
                                  </w:pPr>
                                  <w:r w:rsidRPr="000B1640">
                                    <w:rPr>
                                      <w:rStyle w:val="Nzovknihy"/>
                                      <w:rFonts w:cs="Arial"/>
                                      <w:b w:val="0"/>
                                      <w:i w:val="0"/>
                                      <w:sz w:val="20"/>
                                      <w:szCs w:val="20"/>
                                    </w:rPr>
                                    <w:t>5</w:t>
                                  </w:r>
                                </w:p>
                              </w:tc>
                              <w:tc>
                                <w:tcPr>
                                  <w:tcW w:w="1625" w:type="dxa"/>
                                </w:tcPr>
                                <w:p w14:paraId="2A9105C4" w14:textId="77777777" w:rsidR="00A569EA" w:rsidRPr="000B1640" w:rsidRDefault="00A569EA" w:rsidP="00A569EA">
                                  <w:pPr>
                                    <w:spacing w:after="120"/>
                                    <w:jc w:val="right"/>
                                    <w:rPr>
                                      <w:rStyle w:val="Nzovknihy"/>
                                      <w:rFonts w:cs="Arial"/>
                                      <w:b w:val="0"/>
                                      <w:i w:val="0"/>
                                      <w:sz w:val="20"/>
                                      <w:szCs w:val="20"/>
                                    </w:rPr>
                                  </w:pPr>
                                  <w:r w:rsidRPr="000B1640">
                                    <w:rPr>
                                      <w:rStyle w:val="Nzovknihy"/>
                                      <w:rFonts w:cs="Arial"/>
                                      <w:b w:val="0"/>
                                      <w:i w:val="0"/>
                                      <w:sz w:val="20"/>
                                      <w:szCs w:val="20"/>
                                    </w:rPr>
                                    <w:t>5</w:t>
                                  </w:r>
                                </w:p>
                              </w:tc>
                            </w:tr>
                            <w:tr w:rsidR="004465F8" w:rsidRPr="000B1640" w14:paraId="23E85433" w14:textId="77777777" w:rsidTr="00077C03">
                              <w:tc>
                                <w:tcPr>
                                  <w:tcW w:w="4048" w:type="dxa"/>
                                </w:tcPr>
                                <w:p w14:paraId="71A904DC" w14:textId="77777777" w:rsidR="00A569EA" w:rsidRPr="000B1640" w:rsidRDefault="00A569EA" w:rsidP="00A569EA">
                                  <w:pPr>
                                    <w:spacing w:after="120"/>
                                    <w:rPr>
                                      <w:rStyle w:val="Nzovknihy"/>
                                      <w:rFonts w:cs="Arial"/>
                                      <w:b w:val="0"/>
                                      <w:i w:val="0"/>
                                      <w:sz w:val="20"/>
                                      <w:szCs w:val="20"/>
                                    </w:rPr>
                                  </w:pPr>
                                  <w:r w:rsidRPr="000B1640">
                                    <w:rPr>
                                      <w:rStyle w:val="Nzovknihy"/>
                                      <w:rFonts w:cs="Arial"/>
                                      <w:b w:val="0"/>
                                      <w:i w:val="0"/>
                                      <w:sz w:val="20"/>
                                      <w:szCs w:val="20"/>
                                    </w:rPr>
                                    <w:t>Tax (0%/20%)</w:t>
                                  </w:r>
                                </w:p>
                              </w:tc>
                              <w:tc>
                                <w:tcPr>
                                  <w:tcW w:w="1622" w:type="dxa"/>
                                </w:tcPr>
                                <w:p w14:paraId="7C2C6707" w14:textId="77777777" w:rsidR="00A569EA" w:rsidRPr="000B1640" w:rsidRDefault="00A569EA" w:rsidP="00A569EA">
                                  <w:pPr>
                                    <w:spacing w:after="120"/>
                                    <w:jc w:val="right"/>
                                    <w:rPr>
                                      <w:rStyle w:val="Nzovknihy"/>
                                      <w:rFonts w:cs="Arial"/>
                                      <w:b w:val="0"/>
                                      <w:i w:val="0"/>
                                      <w:sz w:val="20"/>
                                      <w:szCs w:val="20"/>
                                    </w:rPr>
                                  </w:pPr>
                                  <w:r w:rsidRPr="000B1640">
                                    <w:rPr>
                                      <w:rStyle w:val="Nzovknihy"/>
                                      <w:rFonts w:cs="Arial"/>
                                      <w:b w:val="0"/>
                                      <w:i w:val="0"/>
                                      <w:sz w:val="20"/>
                                      <w:szCs w:val="20"/>
                                    </w:rPr>
                                    <w:t>0</w:t>
                                  </w:r>
                                </w:p>
                              </w:tc>
                              <w:tc>
                                <w:tcPr>
                                  <w:tcW w:w="1413" w:type="dxa"/>
                                </w:tcPr>
                                <w:p w14:paraId="4E79622A" w14:textId="77777777" w:rsidR="00A569EA" w:rsidRPr="000B1640" w:rsidRDefault="00A569EA" w:rsidP="00A569EA">
                                  <w:pPr>
                                    <w:spacing w:after="120"/>
                                    <w:jc w:val="right"/>
                                    <w:rPr>
                                      <w:rStyle w:val="Nzovknihy"/>
                                      <w:rFonts w:cs="Arial"/>
                                      <w:b w:val="0"/>
                                      <w:i w:val="0"/>
                                      <w:sz w:val="20"/>
                                      <w:szCs w:val="20"/>
                                    </w:rPr>
                                  </w:pPr>
                                  <w:r w:rsidRPr="000B1640">
                                    <w:rPr>
                                      <w:rStyle w:val="Nzovknihy"/>
                                      <w:rFonts w:cs="Arial"/>
                                      <w:b w:val="0"/>
                                      <w:i w:val="0"/>
                                      <w:sz w:val="20"/>
                                      <w:szCs w:val="20"/>
                                    </w:rPr>
                                    <w:t>(1)</w:t>
                                  </w:r>
                                </w:p>
                              </w:tc>
                              <w:tc>
                                <w:tcPr>
                                  <w:tcW w:w="1625" w:type="dxa"/>
                                </w:tcPr>
                                <w:p w14:paraId="21B7D162" w14:textId="77777777" w:rsidR="00A569EA" w:rsidRPr="000B1640" w:rsidRDefault="00A569EA" w:rsidP="00A569EA">
                                  <w:pPr>
                                    <w:spacing w:after="120"/>
                                    <w:jc w:val="right"/>
                                    <w:rPr>
                                      <w:rStyle w:val="Nzovknihy"/>
                                      <w:rFonts w:cs="Arial"/>
                                      <w:b w:val="0"/>
                                      <w:i w:val="0"/>
                                      <w:sz w:val="20"/>
                                      <w:szCs w:val="20"/>
                                    </w:rPr>
                                  </w:pPr>
                                  <w:r w:rsidRPr="000B1640">
                                    <w:rPr>
                                      <w:rStyle w:val="Nzovknihy"/>
                                      <w:rFonts w:cs="Arial"/>
                                      <w:b w:val="0"/>
                                      <w:i w:val="0"/>
                                      <w:sz w:val="20"/>
                                      <w:szCs w:val="20"/>
                                    </w:rPr>
                                    <w:t>(1)</w:t>
                                  </w:r>
                                </w:p>
                              </w:tc>
                            </w:tr>
                            <w:tr w:rsidR="004465F8" w:rsidRPr="000B1640" w14:paraId="45CD2760" w14:textId="77777777" w:rsidTr="00077C03">
                              <w:tc>
                                <w:tcPr>
                                  <w:tcW w:w="4048" w:type="dxa"/>
                                </w:tcPr>
                                <w:p w14:paraId="22F2F9D4" w14:textId="77777777" w:rsidR="00A569EA" w:rsidRPr="000B1640" w:rsidRDefault="00A569EA" w:rsidP="00A569EA">
                                  <w:pPr>
                                    <w:spacing w:after="120"/>
                                    <w:rPr>
                                      <w:rStyle w:val="Nzovknihy"/>
                                      <w:rFonts w:cs="Arial"/>
                                      <w:b w:val="0"/>
                                      <w:i w:val="0"/>
                                      <w:sz w:val="20"/>
                                      <w:szCs w:val="20"/>
                                    </w:rPr>
                                  </w:pPr>
                                  <w:r w:rsidRPr="000B1640">
                                    <w:rPr>
                                      <w:rStyle w:val="Nzovknihy"/>
                                      <w:rFonts w:cs="Arial"/>
                                      <w:b w:val="0"/>
                                      <w:i w:val="0"/>
                                      <w:sz w:val="20"/>
                                      <w:szCs w:val="20"/>
                                    </w:rPr>
                                    <w:t>Profit After Tax</w:t>
                                  </w:r>
                                </w:p>
                              </w:tc>
                              <w:tc>
                                <w:tcPr>
                                  <w:tcW w:w="1622" w:type="dxa"/>
                                </w:tcPr>
                                <w:p w14:paraId="5E66F090" w14:textId="77777777" w:rsidR="00A569EA" w:rsidRPr="000B1640" w:rsidRDefault="00A569EA" w:rsidP="00A569EA">
                                  <w:pPr>
                                    <w:spacing w:after="120"/>
                                    <w:jc w:val="right"/>
                                    <w:rPr>
                                      <w:rStyle w:val="Nzovknihy"/>
                                      <w:rFonts w:cs="Arial"/>
                                      <w:b w:val="0"/>
                                      <w:i w:val="0"/>
                                      <w:sz w:val="20"/>
                                      <w:szCs w:val="20"/>
                                    </w:rPr>
                                  </w:pPr>
                                  <w:r w:rsidRPr="000B1640">
                                    <w:rPr>
                                      <w:rStyle w:val="Nzovknihy"/>
                                      <w:rFonts w:cs="Arial"/>
                                      <w:b w:val="0"/>
                                      <w:i w:val="0"/>
                                      <w:sz w:val="20"/>
                                      <w:szCs w:val="20"/>
                                    </w:rPr>
                                    <w:t>100</w:t>
                                  </w:r>
                                </w:p>
                              </w:tc>
                              <w:tc>
                                <w:tcPr>
                                  <w:tcW w:w="1413" w:type="dxa"/>
                                </w:tcPr>
                                <w:p w14:paraId="2E27A725" w14:textId="77777777" w:rsidR="00A569EA" w:rsidRPr="000B1640" w:rsidRDefault="00A569EA" w:rsidP="00A569EA">
                                  <w:pPr>
                                    <w:spacing w:after="120"/>
                                    <w:jc w:val="right"/>
                                    <w:rPr>
                                      <w:rStyle w:val="Nzovknihy"/>
                                      <w:rFonts w:cs="Arial"/>
                                      <w:b w:val="0"/>
                                      <w:i w:val="0"/>
                                      <w:sz w:val="20"/>
                                      <w:szCs w:val="20"/>
                                    </w:rPr>
                                  </w:pPr>
                                  <w:r w:rsidRPr="000B1640">
                                    <w:rPr>
                                      <w:rStyle w:val="Nzovknihy"/>
                                      <w:rFonts w:cs="Arial"/>
                                      <w:b w:val="0"/>
                                      <w:i w:val="0"/>
                                      <w:sz w:val="20"/>
                                      <w:szCs w:val="20"/>
                                    </w:rPr>
                                    <w:t>4</w:t>
                                  </w:r>
                                </w:p>
                              </w:tc>
                              <w:tc>
                                <w:tcPr>
                                  <w:tcW w:w="1625" w:type="dxa"/>
                                </w:tcPr>
                                <w:p w14:paraId="42440052" w14:textId="77777777" w:rsidR="00A569EA" w:rsidRPr="000B1640" w:rsidRDefault="00A569EA" w:rsidP="00A569EA">
                                  <w:pPr>
                                    <w:spacing w:after="120"/>
                                    <w:jc w:val="right"/>
                                    <w:rPr>
                                      <w:rStyle w:val="Nzovknihy"/>
                                      <w:rFonts w:cs="Arial"/>
                                      <w:b w:val="0"/>
                                      <w:i w:val="0"/>
                                      <w:sz w:val="20"/>
                                      <w:szCs w:val="20"/>
                                    </w:rPr>
                                  </w:pPr>
                                  <w:r w:rsidRPr="000B1640">
                                    <w:rPr>
                                      <w:rStyle w:val="Nzovknihy"/>
                                      <w:rFonts w:cs="Arial"/>
                                      <w:b w:val="0"/>
                                      <w:i w:val="0"/>
                                      <w:sz w:val="20"/>
                                      <w:szCs w:val="20"/>
                                    </w:rPr>
                                    <w:t>4</w:t>
                                  </w:r>
                                </w:p>
                              </w:tc>
                            </w:tr>
                            <w:tr w:rsidR="004465F8" w:rsidRPr="000B1640" w14:paraId="5ED73E60" w14:textId="77777777" w:rsidTr="00077C03">
                              <w:tc>
                                <w:tcPr>
                                  <w:tcW w:w="4048" w:type="dxa"/>
                                </w:tcPr>
                                <w:p w14:paraId="6A6C62B1" w14:textId="77777777" w:rsidR="00A569EA" w:rsidRPr="000B1640" w:rsidRDefault="00A569EA" w:rsidP="00A569EA">
                                  <w:pPr>
                                    <w:spacing w:after="120"/>
                                    <w:rPr>
                                      <w:rStyle w:val="Nzovknihy"/>
                                      <w:rFonts w:cs="Arial"/>
                                      <w:b w:val="0"/>
                                      <w:i w:val="0"/>
                                      <w:sz w:val="20"/>
                                      <w:szCs w:val="20"/>
                                    </w:rPr>
                                  </w:pPr>
                                  <w:r w:rsidRPr="000B1640">
                                    <w:rPr>
                                      <w:rStyle w:val="Nzovknihy"/>
                                      <w:rFonts w:cs="Arial"/>
                                      <w:b w:val="0"/>
                                      <w:i w:val="0"/>
                                      <w:sz w:val="20"/>
                                      <w:szCs w:val="20"/>
                                    </w:rPr>
                                    <w:t>Distribution to investors (UK Life insurer)</w:t>
                                  </w:r>
                                </w:p>
                              </w:tc>
                              <w:tc>
                                <w:tcPr>
                                  <w:tcW w:w="1622" w:type="dxa"/>
                                </w:tcPr>
                                <w:p w14:paraId="5B1311D1" w14:textId="77777777" w:rsidR="00A569EA" w:rsidRPr="000B1640" w:rsidRDefault="00A569EA" w:rsidP="00A569EA">
                                  <w:pPr>
                                    <w:spacing w:after="120"/>
                                    <w:jc w:val="right"/>
                                    <w:rPr>
                                      <w:rStyle w:val="Nzovknihy"/>
                                      <w:rFonts w:cs="Arial"/>
                                      <w:b w:val="0"/>
                                      <w:i w:val="0"/>
                                      <w:sz w:val="20"/>
                                      <w:szCs w:val="20"/>
                                    </w:rPr>
                                  </w:pPr>
                                  <w:r w:rsidRPr="000B1640">
                                    <w:rPr>
                                      <w:rStyle w:val="Nzovknihy"/>
                                      <w:rFonts w:cs="Arial"/>
                                      <w:b w:val="0"/>
                                      <w:i w:val="0"/>
                                      <w:sz w:val="20"/>
                                      <w:szCs w:val="20"/>
                                    </w:rPr>
                                    <w:t>100</w:t>
                                  </w:r>
                                </w:p>
                              </w:tc>
                              <w:tc>
                                <w:tcPr>
                                  <w:tcW w:w="1413" w:type="dxa"/>
                                </w:tcPr>
                                <w:p w14:paraId="059F5FE3" w14:textId="77777777" w:rsidR="00A569EA" w:rsidRPr="000B1640" w:rsidRDefault="00A569EA" w:rsidP="00A569EA">
                                  <w:pPr>
                                    <w:spacing w:after="120"/>
                                    <w:jc w:val="right"/>
                                    <w:rPr>
                                      <w:rStyle w:val="Nzovknihy"/>
                                      <w:rFonts w:cs="Arial"/>
                                      <w:b w:val="0"/>
                                      <w:i w:val="0"/>
                                      <w:sz w:val="20"/>
                                      <w:szCs w:val="20"/>
                                    </w:rPr>
                                  </w:pPr>
                                </w:p>
                              </w:tc>
                              <w:tc>
                                <w:tcPr>
                                  <w:tcW w:w="1625" w:type="dxa"/>
                                </w:tcPr>
                                <w:p w14:paraId="4E2E3C97" w14:textId="77777777" w:rsidR="00A569EA" w:rsidRPr="000B1640" w:rsidRDefault="00A569EA" w:rsidP="00A569EA">
                                  <w:pPr>
                                    <w:spacing w:after="120"/>
                                    <w:jc w:val="right"/>
                                    <w:rPr>
                                      <w:rStyle w:val="Nzovknihy"/>
                                      <w:rFonts w:cs="Arial"/>
                                      <w:b w:val="0"/>
                                      <w:i w:val="0"/>
                                      <w:sz w:val="20"/>
                                      <w:szCs w:val="20"/>
                                    </w:rPr>
                                  </w:pPr>
                                </w:p>
                              </w:tc>
                            </w:tr>
                            <w:tr w:rsidR="004465F8" w:rsidRPr="000B1640" w14:paraId="20AA957A" w14:textId="77777777" w:rsidTr="00077C03">
                              <w:tc>
                                <w:tcPr>
                                  <w:tcW w:w="4048" w:type="dxa"/>
                                </w:tcPr>
                                <w:p w14:paraId="0280DAB2" w14:textId="77777777" w:rsidR="00A569EA" w:rsidRPr="000B1640" w:rsidRDefault="00A569EA" w:rsidP="00A569EA">
                                  <w:pPr>
                                    <w:spacing w:after="120"/>
                                    <w:rPr>
                                      <w:rStyle w:val="Nzovknihy"/>
                                      <w:rFonts w:cs="Arial"/>
                                      <w:b w:val="0"/>
                                      <w:i w:val="0"/>
                                      <w:sz w:val="20"/>
                                      <w:szCs w:val="20"/>
                                    </w:rPr>
                                  </w:pPr>
                                  <w:r w:rsidRPr="000B1640">
                                    <w:rPr>
                                      <w:rStyle w:val="Nzovknihy"/>
                                      <w:rFonts w:cs="Arial"/>
                                      <w:b w:val="0"/>
                                      <w:i w:val="0"/>
                                      <w:sz w:val="20"/>
                                      <w:szCs w:val="20"/>
                                    </w:rPr>
                                    <w:t>Income inclusion rule tax overlay (10%)</w:t>
                                  </w:r>
                                  <w:r>
                                    <w:rPr>
                                      <w:rStyle w:val="Nzovknihy"/>
                                      <w:rFonts w:cs="Arial"/>
                                      <w:b w:val="0"/>
                                      <w:i w:val="0"/>
                                      <w:sz w:val="20"/>
                                      <w:szCs w:val="20"/>
                                    </w:rPr>
                                    <w:t xml:space="preserve"> levied by UK authority</w:t>
                                  </w:r>
                                </w:p>
                              </w:tc>
                              <w:tc>
                                <w:tcPr>
                                  <w:tcW w:w="1622" w:type="dxa"/>
                                </w:tcPr>
                                <w:p w14:paraId="24528EC5" w14:textId="77777777" w:rsidR="00A569EA" w:rsidRPr="000B1640" w:rsidRDefault="00A569EA" w:rsidP="00A569EA">
                                  <w:pPr>
                                    <w:spacing w:after="120"/>
                                    <w:jc w:val="right"/>
                                    <w:rPr>
                                      <w:rStyle w:val="Nzovknihy"/>
                                      <w:rFonts w:cs="Arial"/>
                                      <w:b w:val="0"/>
                                      <w:i w:val="0"/>
                                      <w:sz w:val="20"/>
                                      <w:szCs w:val="20"/>
                                    </w:rPr>
                                  </w:pPr>
                                  <w:r w:rsidRPr="000B1640">
                                    <w:rPr>
                                      <w:rStyle w:val="Nzovknihy"/>
                                      <w:rFonts w:cs="Arial"/>
                                      <w:b w:val="0"/>
                                      <w:i w:val="0"/>
                                      <w:sz w:val="20"/>
                                      <w:szCs w:val="20"/>
                                    </w:rPr>
                                    <w:t>(10)</w:t>
                                  </w:r>
                                </w:p>
                              </w:tc>
                              <w:tc>
                                <w:tcPr>
                                  <w:tcW w:w="1413" w:type="dxa"/>
                                </w:tcPr>
                                <w:p w14:paraId="0E3BE693" w14:textId="77777777" w:rsidR="00A569EA" w:rsidRPr="000B1640" w:rsidRDefault="00A569EA" w:rsidP="00A569EA">
                                  <w:pPr>
                                    <w:spacing w:after="120"/>
                                    <w:jc w:val="right"/>
                                    <w:rPr>
                                      <w:rStyle w:val="Nzovknihy"/>
                                      <w:rFonts w:cs="Arial"/>
                                      <w:b w:val="0"/>
                                      <w:i w:val="0"/>
                                      <w:sz w:val="20"/>
                                      <w:szCs w:val="20"/>
                                    </w:rPr>
                                  </w:pPr>
                                </w:p>
                              </w:tc>
                              <w:tc>
                                <w:tcPr>
                                  <w:tcW w:w="1625" w:type="dxa"/>
                                </w:tcPr>
                                <w:p w14:paraId="2B095910" w14:textId="77777777" w:rsidR="00A569EA" w:rsidRPr="000B1640" w:rsidRDefault="00A569EA" w:rsidP="00A569EA">
                                  <w:pPr>
                                    <w:spacing w:after="120"/>
                                    <w:jc w:val="right"/>
                                    <w:rPr>
                                      <w:rStyle w:val="Nzovknihy"/>
                                      <w:rFonts w:cs="Arial"/>
                                      <w:b w:val="0"/>
                                      <w:i w:val="0"/>
                                      <w:sz w:val="20"/>
                                      <w:szCs w:val="20"/>
                                    </w:rPr>
                                  </w:pPr>
                                  <w:r w:rsidRPr="000B1640">
                                    <w:rPr>
                                      <w:rStyle w:val="Nzovknihy"/>
                                      <w:rFonts w:cs="Arial"/>
                                      <w:b w:val="0"/>
                                      <w:i w:val="0"/>
                                      <w:sz w:val="20"/>
                                      <w:szCs w:val="20"/>
                                    </w:rPr>
                                    <w:t>(10)</w:t>
                                  </w:r>
                                </w:p>
                              </w:tc>
                            </w:tr>
                            <w:tr w:rsidR="004465F8" w:rsidRPr="000B1640" w14:paraId="6D591794" w14:textId="77777777" w:rsidTr="00077C03">
                              <w:tc>
                                <w:tcPr>
                                  <w:tcW w:w="4048" w:type="dxa"/>
                                </w:tcPr>
                                <w:p w14:paraId="4B353AEB" w14:textId="77777777" w:rsidR="00A569EA" w:rsidRPr="000B1640" w:rsidRDefault="00A569EA" w:rsidP="00A569EA">
                                  <w:pPr>
                                    <w:spacing w:after="120"/>
                                    <w:rPr>
                                      <w:rStyle w:val="Nzovknihy"/>
                                      <w:rFonts w:cs="Arial"/>
                                      <w:b w:val="0"/>
                                      <w:i w:val="0"/>
                                      <w:sz w:val="20"/>
                                      <w:szCs w:val="20"/>
                                    </w:rPr>
                                  </w:pPr>
                                  <w:r w:rsidRPr="000B1640">
                                    <w:rPr>
                                      <w:rStyle w:val="Nzovknihy"/>
                                      <w:rFonts w:cs="Arial"/>
                                      <w:b w:val="0"/>
                                      <w:i w:val="0"/>
                                      <w:sz w:val="20"/>
                                      <w:szCs w:val="20"/>
                                    </w:rPr>
                                    <w:t>Total Tax</w:t>
                                  </w:r>
                                  <w:r>
                                    <w:rPr>
                                      <w:rStyle w:val="Nzovknihy"/>
                                      <w:rFonts w:cs="Arial"/>
                                      <w:b w:val="0"/>
                                      <w:i w:val="0"/>
                                      <w:sz w:val="20"/>
                                      <w:szCs w:val="20"/>
                                    </w:rPr>
                                    <w:t xml:space="preserve"> levied</w:t>
                                  </w:r>
                                </w:p>
                              </w:tc>
                              <w:tc>
                                <w:tcPr>
                                  <w:tcW w:w="1622" w:type="dxa"/>
                                </w:tcPr>
                                <w:p w14:paraId="54221BCB" w14:textId="77777777" w:rsidR="00A569EA" w:rsidRPr="000B1640" w:rsidRDefault="00A569EA" w:rsidP="00A569EA">
                                  <w:pPr>
                                    <w:spacing w:after="120"/>
                                    <w:jc w:val="right"/>
                                    <w:rPr>
                                      <w:rStyle w:val="Nzovknihy"/>
                                      <w:rFonts w:cs="Arial"/>
                                      <w:b w:val="0"/>
                                      <w:i w:val="0"/>
                                      <w:sz w:val="20"/>
                                      <w:szCs w:val="20"/>
                                    </w:rPr>
                                  </w:pPr>
                                  <w:r w:rsidRPr="000B1640">
                                    <w:rPr>
                                      <w:rStyle w:val="Nzovknihy"/>
                                      <w:rFonts w:cs="Arial"/>
                                      <w:b w:val="0"/>
                                      <w:i w:val="0"/>
                                      <w:sz w:val="20"/>
                                      <w:szCs w:val="20"/>
                                    </w:rPr>
                                    <w:t>(10)</w:t>
                                  </w:r>
                                </w:p>
                              </w:tc>
                              <w:tc>
                                <w:tcPr>
                                  <w:tcW w:w="1413" w:type="dxa"/>
                                </w:tcPr>
                                <w:p w14:paraId="3B910D18" w14:textId="77777777" w:rsidR="00A569EA" w:rsidRPr="000B1640" w:rsidRDefault="00A569EA" w:rsidP="00A569EA">
                                  <w:pPr>
                                    <w:spacing w:after="120"/>
                                    <w:jc w:val="right"/>
                                    <w:rPr>
                                      <w:rStyle w:val="Nzovknihy"/>
                                      <w:rFonts w:cs="Arial"/>
                                      <w:b w:val="0"/>
                                      <w:i w:val="0"/>
                                      <w:sz w:val="20"/>
                                      <w:szCs w:val="20"/>
                                    </w:rPr>
                                  </w:pPr>
                                  <w:r w:rsidRPr="000B1640">
                                    <w:rPr>
                                      <w:rStyle w:val="Nzovknihy"/>
                                      <w:rFonts w:cs="Arial"/>
                                      <w:b w:val="0"/>
                                      <w:i w:val="0"/>
                                      <w:sz w:val="20"/>
                                      <w:szCs w:val="20"/>
                                    </w:rPr>
                                    <w:t>(1)</w:t>
                                  </w:r>
                                </w:p>
                              </w:tc>
                              <w:tc>
                                <w:tcPr>
                                  <w:tcW w:w="1625" w:type="dxa"/>
                                </w:tcPr>
                                <w:p w14:paraId="46B01D19" w14:textId="77777777" w:rsidR="00A569EA" w:rsidRPr="000B1640" w:rsidRDefault="00A569EA" w:rsidP="00A569EA">
                                  <w:pPr>
                                    <w:spacing w:after="120"/>
                                    <w:jc w:val="right"/>
                                    <w:rPr>
                                      <w:rStyle w:val="Nzovknihy"/>
                                      <w:rFonts w:cs="Arial"/>
                                      <w:b w:val="0"/>
                                      <w:i w:val="0"/>
                                      <w:sz w:val="20"/>
                                      <w:szCs w:val="20"/>
                                    </w:rPr>
                                  </w:pPr>
                                  <w:r w:rsidRPr="000B1640">
                                    <w:rPr>
                                      <w:rStyle w:val="Nzovknihy"/>
                                      <w:rFonts w:cs="Arial"/>
                                      <w:b w:val="0"/>
                                      <w:i w:val="0"/>
                                      <w:sz w:val="20"/>
                                      <w:szCs w:val="20"/>
                                    </w:rPr>
                                    <w:t>(11)</w:t>
                                  </w:r>
                                </w:p>
                              </w:tc>
                            </w:tr>
                          </w:tbl>
                          <w:p w14:paraId="01E171DE" w14:textId="77777777" w:rsidR="00A569EA" w:rsidRDefault="00A569EA" w:rsidP="00077C0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82D32B1" id="Rectangle 5" o:spid="_x0000_s1028" style="width:451.3pt;height:207.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" fillcolor="#4472c4 [3204]" strokecolor="#1f3763 [1604]" strokeweight="1pt">
                <v:textbox>
                  <w:txbx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8"/>
                        <w:gridCol w:w="1622"/>
                        <w:gridCol w:w="1413"/>
                        <w:gridCol w:w="1625"/>
                      </w:tblGrid>
                      <w:tr w:rsidR="004465F8" w:rsidRPr="000B1640" w14:paraId="6B90F237" w14:textId="77777777" w:rsidTr="00077C03">
                        <w:tc>
                          <w:tcPr>
                            <w:tcW w:w="4048" w:type="dxa"/>
                          </w:tcPr>
                          <w:p w14:paraId="7B16946E" w14:textId="69AE47F4" w:rsidR="00A569EA" w:rsidRPr="00077C03" w:rsidRDefault="00D36C78" w:rsidP="00A569EA">
                            <w:pPr>
                              <w:spacing w:after="120"/>
                              <w:rPr>
                                <w:rStyle w:val="Nzovknihy"/>
                                <w:rFonts w:cs="Arial"/>
                                <w:bCs w:val="0"/>
                                <w:i w:val="0"/>
                                <w:sz w:val="20"/>
                                <w:szCs w:val="20"/>
                              </w:rPr>
                            </w:pPr>
                            <w:r w:rsidRPr="00077C03">
                              <w:rPr>
                                <w:rStyle w:val="Nzovknihy"/>
                                <w:rFonts w:cs="Arial"/>
                                <w:bCs w:val="0"/>
                                <w:i w:val="0"/>
                                <w:sz w:val="20"/>
                                <w:szCs w:val="20"/>
                              </w:rPr>
                              <w:t>Investment fund example</w:t>
                            </w:r>
                          </w:p>
                        </w:tc>
                        <w:tc>
                          <w:tcPr>
                            <w:tcW w:w="1622" w:type="dxa"/>
                          </w:tcPr>
                          <w:p w14:paraId="2C4932D4" w14:textId="77777777" w:rsidR="00A569EA" w:rsidRPr="00077C03" w:rsidRDefault="00A569EA" w:rsidP="00A569EA">
                            <w:pPr>
                              <w:spacing w:after="120"/>
                              <w:jc w:val="right"/>
                              <w:rPr>
                                <w:rStyle w:val="Nzovknihy"/>
                                <w:rFonts w:cs="Arial"/>
                                <w:bCs w:val="0"/>
                                <w:i w:val="0"/>
                                <w:sz w:val="20"/>
                                <w:szCs w:val="20"/>
                              </w:rPr>
                            </w:pPr>
                            <w:r w:rsidRPr="00077C03">
                              <w:rPr>
                                <w:rStyle w:val="Nzovknihy"/>
                                <w:rFonts w:cs="Arial"/>
                                <w:bCs w:val="0"/>
                                <w:i w:val="0"/>
                                <w:sz w:val="20"/>
                                <w:szCs w:val="20"/>
                              </w:rPr>
                              <w:t>Lux Fund</w:t>
                            </w:r>
                          </w:p>
                        </w:tc>
                        <w:tc>
                          <w:tcPr>
                            <w:tcW w:w="1413" w:type="dxa"/>
                          </w:tcPr>
                          <w:p w14:paraId="0F2FB407" w14:textId="20CC4F0F" w:rsidR="00A569EA" w:rsidRPr="00077C03" w:rsidRDefault="00A569EA" w:rsidP="00A569EA">
                            <w:pPr>
                              <w:spacing w:after="120"/>
                              <w:jc w:val="right"/>
                              <w:rPr>
                                <w:rStyle w:val="Nzovknihy"/>
                                <w:rFonts w:cs="Arial"/>
                                <w:bCs w:val="0"/>
                                <w:i w:val="0"/>
                                <w:sz w:val="20"/>
                                <w:szCs w:val="20"/>
                              </w:rPr>
                            </w:pPr>
                            <w:r w:rsidRPr="00077C03">
                              <w:rPr>
                                <w:rStyle w:val="Nzovknihy"/>
                                <w:rFonts w:cs="Arial"/>
                                <w:bCs w:val="0"/>
                                <w:i w:val="0"/>
                                <w:sz w:val="20"/>
                                <w:szCs w:val="20"/>
                              </w:rPr>
                              <w:t>UK Life Insurer</w:t>
                            </w:r>
                          </w:p>
                        </w:tc>
                        <w:tc>
                          <w:tcPr>
                            <w:tcW w:w="1625" w:type="dxa"/>
                          </w:tcPr>
                          <w:p w14:paraId="341A2F2F" w14:textId="77777777" w:rsidR="00A569EA" w:rsidRPr="00077C03" w:rsidRDefault="00A569EA" w:rsidP="00A569EA">
                            <w:pPr>
                              <w:spacing w:after="120"/>
                              <w:jc w:val="right"/>
                              <w:rPr>
                                <w:rStyle w:val="Nzovknihy"/>
                                <w:rFonts w:cs="Arial"/>
                                <w:bCs w:val="0"/>
                                <w:i w:val="0"/>
                                <w:sz w:val="20"/>
                                <w:szCs w:val="20"/>
                              </w:rPr>
                            </w:pPr>
                            <w:r w:rsidRPr="00077C03">
                              <w:rPr>
                                <w:rStyle w:val="Nzovknihy"/>
                                <w:rFonts w:cs="Arial"/>
                                <w:bCs w:val="0"/>
                                <w:i w:val="0"/>
                                <w:sz w:val="20"/>
                                <w:szCs w:val="20"/>
                              </w:rPr>
                              <w:t>Consolidated Group</w:t>
                            </w:r>
                          </w:p>
                        </w:tc>
                      </w:tr>
                      <w:tr w:rsidR="004465F8" w:rsidRPr="000B1640" w14:paraId="5BEA1427" w14:textId="77777777" w:rsidTr="00077C03">
                        <w:tc>
                          <w:tcPr>
                            <w:tcW w:w="4048" w:type="dxa"/>
                          </w:tcPr>
                          <w:p w14:paraId="32A92782" w14:textId="77777777" w:rsidR="00A569EA" w:rsidRPr="000B1640" w:rsidRDefault="00A569EA" w:rsidP="00A569EA">
                            <w:pPr>
                              <w:spacing w:after="120"/>
                              <w:rPr>
                                <w:rStyle w:val="Nzovknihy"/>
                                <w:rFonts w:cs="Arial"/>
                                <w:b w:val="0"/>
                                <w:i w:val="0"/>
                                <w:sz w:val="20"/>
                                <w:szCs w:val="20"/>
                              </w:rPr>
                            </w:pPr>
                            <w:r w:rsidRPr="000B1640">
                              <w:rPr>
                                <w:rStyle w:val="Nzovknihy"/>
                                <w:rFonts w:cs="Arial"/>
                                <w:b w:val="0"/>
                                <w:i w:val="0"/>
                                <w:sz w:val="20"/>
                                <w:szCs w:val="20"/>
                              </w:rPr>
                              <w:t>Gross Income</w:t>
                            </w:r>
                          </w:p>
                        </w:tc>
                        <w:tc>
                          <w:tcPr>
                            <w:tcW w:w="1622" w:type="dxa"/>
                          </w:tcPr>
                          <w:p w14:paraId="1E5D8610" w14:textId="77777777" w:rsidR="00A569EA" w:rsidRPr="000B1640" w:rsidRDefault="00A569EA" w:rsidP="00A569EA">
                            <w:pPr>
                              <w:spacing w:after="120"/>
                              <w:jc w:val="right"/>
                              <w:rPr>
                                <w:rStyle w:val="Nzovknihy"/>
                                <w:rFonts w:cs="Arial"/>
                                <w:b w:val="0"/>
                                <w:i w:val="0"/>
                                <w:sz w:val="20"/>
                                <w:szCs w:val="20"/>
                              </w:rPr>
                            </w:pPr>
                            <w:r w:rsidRPr="000B1640">
                              <w:rPr>
                                <w:rStyle w:val="Nzovknihy"/>
                                <w:rFonts w:cs="Arial"/>
                                <w:b w:val="0"/>
                                <w:i w:val="0"/>
                                <w:sz w:val="20"/>
                                <w:szCs w:val="20"/>
                              </w:rPr>
                              <w:t>100</w:t>
                            </w:r>
                          </w:p>
                        </w:tc>
                        <w:tc>
                          <w:tcPr>
                            <w:tcW w:w="1413" w:type="dxa"/>
                          </w:tcPr>
                          <w:p w14:paraId="04ECD381" w14:textId="77777777" w:rsidR="00A569EA" w:rsidRPr="000B1640" w:rsidRDefault="00A569EA" w:rsidP="00A569EA">
                            <w:pPr>
                              <w:spacing w:after="120"/>
                              <w:jc w:val="right"/>
                              <w:rPr>
                                <w:rStyle w:val="Nzovknihy"/>
                                <w:rFonts w:cs="Arial"/>
                                <w:b w:val="0"/>
                                <w:i w:val="0"/>
                                <w:sz w:val="20"/>
                                <w:szCs w:val="20"/>
                              </w:rPr>
                            </w:pPr>
                            <w:r w:rsidRPr="000B1640">
                              <w:rPr>
                                <w:rStyle w:val="Nzovknihy"/>
                                <w:rFonts w:cs="Arial"/>
                                <w:b w:val="0"/>
                                <w:i w:val="0"/>
                                <w:sz w:val="20"/>
                                <w:szCs w:val="20"/>
                              </w:rPr>
                              <w:t>100</w:t>
                            </w:r>
                          </w:p>
                        </w:tc>
                        <w:tc>
                          <w:tcPr>
                            <w:tcW w:w="1625" w:type="dxa"/>
                          </w:tcPr>
                          <w:p w14:paraId="0C7ABE7A" w14:textId="77777777" w:rsidR="00A569EA" w:rsidRPr="000B1640" w:rsidRDefault="00A569EA" w:rsidP="00A569EA">
                            <w:pPr>
                              <w:spacing w:after="120"/>
                              <w:jc w:val="right"/>
                              <w:rPr>
                                <w:rStyle w:val="Nzovknihy"/>
                                <w:rFonts w:cs="Arial"/>
                                <w:b w:val="0"/>
                                <w:i w:val="0"/>
                                <w:sz w:val="20"/>
                                <w:szCs w:val="20"/>
                              </w:rPr>
                            </w:pPr>
                            <w:r w:rsidRPr="000B1640">
                              <w:rPr>
                                <w:rStyle w:val="Nzovknihy"/>
                                <w:rFonts w:cs="Arial"/>
                                <w:b w:val="0"/>
                                <w:i w:val="0"/>
                                <w:sz w:val="20"/>
                                <w:szCs w:val="20"/>
                              </w:rPr>
                              <w:t>100</w:t>
                            </w:r>
                          </w:p>
                        </w:tc>
                      </w:tr>
                      <w:tr w:rsidR="004465F8" w:rsidRPr="000B1640" w14:paraId="1CD776F2" w14:textId="77777777" w:rsidTr="00077C03">
                        <w:tc>
                          <w:tcPr>
                            <w:tcW w:w="4048" w:type="dxa"/>
                          </w:tcPr>
                          <w:p w14:paraId="3E140119" w14:textId="77777777" w:rsidR="00A569EA" w:rsidRPr="000B1640" w:rsidRDefault="00A569EA" w:rsidP="00A569EA">
                            <w:pPr>
                              <w:spacing w:after="120"/>
                              <w:rPr>
                                <w:rStyle w:val="Nzovknihy"/>
                                <w:rFonts w:cs="Arial"/>
                                <w:b w:val="0"/>
                                <w:i w:val="0"/>
                                <w:sz w:val="20"/>
                                <w:szCs w:val="20"/>
                              </w:rPr>
                            </w:pPr>
                            <w:r w:rsidRPr="000B1640">
                              <w:rPr>
                                <w:rStyle w:val="Nzovknihy"/>
                                <w:rFonts w:cs="Arial"/>
                                <w:b w:val="0"/>
                                <w:i w:val="0"/>
                                <w:sz w:val="20"/>
                                <w:szCs w:val="20"/>
                              </w:rPr>
                              <w:t>Policyholder liability increase</w:t>
                            </w:r>
                          </w:p>
                        </w:tc>
                        <w:tc>
                          <w:tcPr>
                            <w:tcW w:w="1622" w:type="dxa"/>
                          </w:tcPr>
                          <w:p w14:paraId="207AE943" w14:textId="77777777" w:rsidR="00A569EA" w:rsidRPr="000B1640" w:rsidRDefault="00A569EA" w:rsidP="00A569EA">
                            <w:pPr>
                              <w:spacing w:after="120"/>
                              <w:jc w:val="right"/>
                              <w:rPr>
                                <w:rStyle w:val="Nzovknihy"/>
                                <w:rFonts w:cs="Arial"/>
                                <w:b w:val="0"/>
                                <w:i w:val="0"/>
                                <w:sz w:val="20"/>
                                <w:szCs w:val="20"/>
                              </w:rPr>
                            </w:pPr>
                            <w:r w:rsidRPr="000B1640">
                              <w:rPr>
                                <w:rStyle w:val="Nzovknihy"/>
                                <w:rFonts w:cs="Arial"/>
                                <w:b w:val="0"/>
                                <w:i w:val="0"/>
                                <w:sz w:val="20"/>
                                <w:szCs w:val="20"/>
                              </w:rPr>
                              <w:t>0</w:t>
                            </w:r>
                          </w:p>
                        </w:tc>
                        <w:tc>
                          <w:tcPr>
                            <w:tcW w:w="1413" w:type="dxa"/>
                          </w:tcPr>
                          <w:p w14:paraId="26536644" w14:textId="77777777" w:rsidR="00A569EA" w:rsidRPr="000B1640" w:rsidRDefault="00A569EA" w:rsidP="00A569EA">
                            <w:pPr>
                              <w:spacing w:after="120"/>
                              <w:jc w:val="right"/>
                              <w:rPr>
                                <w:rStyle w:val="Nzovknihy"/>
                                <w:rFonts w:cs="Arial"/>
                                <w:b w:val="0"/>
                                <w:i w:val="0"/>
                                <w:sz w:val="20"/>
                                <w:szCs w:val="20"/>
                              </w:rPr>
                            </w:pPr>
                            <w:r w:rsidRPr="000B1640">
                              <w:rPr>
                                <w:rStyle w:val="Nzovknihy"/>
                                <w:rFonts w:cs="Arial"/>
                                <w:b w:val="0"/>
                                <w:i w:val="0"/>
                                <w:sz w:val="20"/>
                                <w:szCs w:val="20"/>
                              </w:rPr>
                              <w:t xml:space="preserve">(95) </w:t>
                            </w:r>
                          </w:p>
                        </w:tc>
                        <w:tc>
                          <w:tcPr>
                            <w:tcW w:w="1625" w:type="dxa"/>
                          </w:tcPr>
                          <w:p w14:paraId="6886F7A5" w14:textId="77777777" w:rsidR="00A569EA" w:rsidRPr="000B1640" w:rsidRDefault="00A569EA" w:rsidP="00A569EA">
                            <w:pPr>
                              <w:spacing w:after="120"/>
                              <w:jc w:val="right"/>
                              <w:rPr>
                                <w:rStyle w:val="Nzovknihy"/>
                                <w:rFonts w:cs="Arial"/>
                                <w:b w:val="0"/>
                                <w:i w:val="0"/>
                                <w:sz w:val="20"/>
                                <w:szCs w:val="20"/>
                              </w:rPr>
                            </w:pPr>
                            <w:r w:rsidRPr="000B1640">
                              <w:rPr>
                                <w:rStyle w:val="Nzovknihy"/>
                                <w:rFonts w:cs="Arial"/>
                                <w:b w:val="0"/>
                                <w:i w:val="0"/>
                                <w:sz w:val="20"/>
                                <w:szCs w:val="20"/>
                              </w:rPr>
                              <w:t>(95)</w:t>
                            </w:r>
                          </w:p>
                        </w:tc>
                      </w:tr>
                      <w:tr w:rsidR="004465F8" w:rsidRPr="000B1640" w14:paraId="1896F105" w14:textId="77777777" w:rsidTr="00077C03">
                        <w:tc>
                          <w:tcPr>
                            <w:tcW w:w="4048" w:type="dxa"/>
                          </w:tcPr>
                          <w:p w14:paraId="10FADB03" w14:textId="77777777" w:rsidR="00A569EA" w:rsidRPr="000B1640" w:rsidRDefault="00A569EA" w:rsidP="00A569EA">
                            <w:pPr>
                              <w:spacing w:after="120"/>
                              <w:rPr>
                                <w:rStyle w:val="Nzovknihy"/>
                                <w:rFonts w:cs="Arial"/>
                                <w:b w:val="0"/>
                                <w:i w:val="0"/>
                                <w:sz w:val="20"/>
                                <w:szCs w:val="20"/>
                              </w:rPr>
                            </w:pPr>
                            <w:r w:rsidRPr="000B1640">
                              <w:rPr>
                                <w:rStyle w:val="Nzovknihy"/>
                                <w:rFonts w:cs="Arial"/>
                                <w:b w:val="0"/>
                                <w:i w:val="0"/>
                                <w:sz w:val="20"/>
                                <w:szCs w:val="20"/>
                              </w:rPr>
                              <w:t>Profit Before Tax</w:t>
                            </w:r>
                          </w:p>
                        </w:tc>
                        <w:tc>
                          <w:tcPr>
                            <w:tcW w:w="1622" w:type="dxa"/>
                          </w:tcPr>
                          <w:p w14:paraId="02B0C54E" w14:textId="77777777" w:rsidR="00A569EA" w:rsidRPr="000B1640" w:rsidRDefault="00A569EA" w:rsidP="00A569EA">
                            <w:pPr>
                              <w:spacing w:after="120"/>
                              <w:jc w:val="right"/>
                              <w:rPr>
                                <w:rStyle w:val="Nzovknihy"/>
                                <w:rFonts w:cs="Arial"/>
                                <w:b w:val="0"/>
                                <w:i w:val="0"/>
                                <w:sz w:val="20"/>
                                <w:szCs w:val="20"/>
                              </w:rPr>
                            </w:pPr>
                            <w:r w:rsidRPr="000B1640">
                              <w:rPr>
                                <w:rStyle w:val="Nzovknihy"/>
                                <w:rFonts w:cs="Arial"/>
                                <w:b w:val="0"/>
                                <w:i w:val="0"/>
                                <w:sz w:val="20"/>
                                <w:szCs w:val="20"/>
                              </w:rPr>
                              <w:t>100</w:t>
                            </w:r>
                          </w:p>
                        </w:tc>
                        <w:tc>
                          <w:tcPr>
                            <w:tcW w:w="1413" w:type="dxa"/>
                          </w:tcPr>
                          <w:p w14:paraId="528DF230" w14:textId="77777777" w:rsidR="00A569EA" w:rsidRPr="000B1640" w:rsidRDefault="00A569EA" w:rsidP="00A569EA">
                            <w:pPr>
                              <w:spacing w:after="120"/>
                              <w:jc w:val="right"/>
                              <w:rPr>
                                <w:rStyle w:val="Nzovknihy"/>
                                <w:rFonts w:cs="Arial"/>
                                <w:b w:val="0"/>
                                <w:i w:val="0"/>
                                <w:sz w:val="20"/>
                                <w:szCs w:val="20"/>
                              </w:rPr>
                            </w:pPr>
                            <w:r w:rsidRPr="000B1640">
                              <w:rPr>
                                <w:rStyle w:val="Nzovknihy"/>
                                <w:rFonts w:cs="Arial"/>
                                <w:b w:val="0"/>
                                <w:i w:val="0"/>
                                <w:sz w:val="20"/>
                                <w:szCs w:val="20"/>
                              </w:rPr>
                              <w:t>5</w:t>
                            </w:r>
                          </w:p>
                        </w:tc>
                        <w:tc>
                          <w:tcPr>
                            <w:tcW w:w="1625" w:type="dxa"/>
                          </w:tcPr>
                          <w:p w14:paraId="2A9105C4" w14:textId="77777777" w:rsidR="00A569EA" w:rsidRPr="000B1640" w:rsidRDefault="00A569EA" w:rsidP="00A569EA">
                            <w:pPr>
                              <w:spacing w:after="120"/>
                              <w:jc w:val="right"/>
                              <w:rPr>
                                <w:rStyle w:val="Nzovknihy"/>
                                <w:rFonts w:cs="Arial"/>
                                <w:b w:val="0"/>
                                <w:i w:val="0"/>
                                <w:sz w:val="20"/>
                                <w:szCs w:val="20"/>
                              </w:rPr>
                            </w:pPr>
                            <w:r w:rsidRPr="000B1640">
                              <w:rPr>
                                <w:rStyle w:val="Nzovknihy"/>
                                <w:rFonts w:cs="Arial"/>
                                <w:b w:val="0"/>
                                <w:i w:val="0"/>
                                <w:sz w:val="20"/>
                                <w:szCs w:val="20"/>
                              </w:rPr>
                              <w:t>5</w:t>
                            </w:r>
                          </w:p>
                        </w:tc>
                      </w:tr>
                      <w:tr w:rsidR="004465F8" w:rsidRPr="000B1640" w14:paraId="23E85433" w14:textId="77777777" w:rsidTr="00077C03">
                        <w:tc>
                          <w:tcPr>
                            <w:tcW w:w="4048" w:type="dxa"/>
                          </w:tcPr>
                          <w:p w14:paraId="71A904DC" w14:textId="77777777" w:rsidR="00A569EA" w:rsidRPr="000B1640" w:rsidRDefault="00A569EA" w:rsidP="00A569EA">
                            <w:pPr>
                              <w:spacing w:after="120"/>
                              <w:rPr>
                                <w:rStyle w:val="Nzovknihy"/>
                                <w:rFonts w:cs="Arial"/>
                                <w:b w:val="0"/>
                                <w:i w:val="0"/>
                                <w:sz w:val="20"/>
                                <w:szCs w:val="20"/>
                              </w:rPr>
                            </w:pPr>
                            <w:r w:rsidRPr="000B1640">
                              <w:rPr>
                                <w:rStyle w:val="Nzovknihy"/>
                                <w:rFonts w:cs="Arial"/>
                                <w:b w:val="0"/>
                                <w:i w:val="0"/>
                                <w:sz w:val="20"/>
                                <w:szCs w:val="20"/>
                              </w:rPr>
                              <w:t>Tax (0%/20%)</w:t>
                            </w:r>
                          </w:p>
                        </w:tc>
                        <w:tc>
                          <w:tcPr>
                            <w:tcW w:w="1622" w:type="dxa"/>
                          </w:tcPr>
                          <w:p w14:paraId="7C2C6707" w14:textId="77777777" w:rsidR="00A569EA" w:rsidRPr="000B1640" w:rsidRDefault="00A569EA" w:rsidP="00A569EA">
                            <w:pPr>
                              <w:spacing w:after="120"/>
                              <w:jc w:val="right"/>
                              <w:rPr>
                                <w:rStyle w:val="Nzovknihy"/>
                                <w:rFonts w:cs="Arial"/>
                                <w:b w:val="0"/>
                                <w:i w:val="0"/>
                                <w:sz w:val="20"/>
                                <w:szCs w:val="20"/>
                              </w:rPr>
                            </w:pPr>
                            <w:r w:rsidRPr="000B1640">
                              <w:rPr>
                                <w:rStyle w:val="Nzovknihy"/>
                                <w:rFonts w:cs="Arial"/>
                                <w:b w:val="0"/>
                                <w:i w:val="0"/>
                                <w:sz w:val="20"/>
                                <w:szCs w:val="20"/>
                              </w:rPr>
                              <w:t>0</w:t>
                            </w:r>
                          </w:p>
                        </w:tc>
                        <w:tc>
                          <w:tcPr>
                            <w:tcW w:w="1413" w:type="dxa"/>
                          </w:tcPr>
                          <w:p w14:paraId="4E79622A" w14:textId="77777777" w:rsidR="00A569EA" w:rsidRPr="000B1640" w:rsidRDefault="00A569EA" w:rsidP="00A569EA">
                            <w:pPr>
                              <w:spacing w:after="120"/>
                              <w:jc w:val="right"/>
                              <w:rPr>
                                <w:rStyle w:val="Nzovknihy"/>
                                <w:rFonts w:cs="Arial"/>
                                <w:b w:val="0"/>
                                <w:i w:val="0"/>
                                <w:sz w:val="20"/>
                                <w:szCs w:val="20"/>
                              </w:rPr>
                            </w:pPr>
                            <w:r w:rsidRPr="000B1640">
                              <w:rPr>
                                <w:rStyle w:val="Nzovknihy"/>
                                <w:rFonts w:cs="Arial"/>
                                <w:b w:val="0"/>
                                <w:i w:val="0"/>
                                <w:sz w:val="20"/>
                                <w:szCs w:val="20"/>
                              </w:rPr>
                              <w:t>(1)</w:t>
                            </w:r>
                          </w:p>
                        </w:tc>
                        <w:tc>
                          <w:tcPr>
                            <w:tcW w:w="1625" w:type="dxa"/>
                          </w:tcPr>
                          <w:p w14:paraId="21B7D162" w14:textId="77777777" w:rsidR="00A569EA" w:rsidRPr="000B1640" w:rsidRDefault="00A569EA" w:rsidP="00A569EA">
                            <w:pPr>
                              <w:spacing w:after="120"/>
                              <w:jc w:val="right"/>
                              <w:rPr>
                                <w:rStyle w:val="Nzovknihy"/>
                                <w:rFonts w:cs="Arial"/>
                                <w:b w:val="0"/>
                                <w:i w:val="0"/>
                                <w:sz w:val="20"/>
                                <w:szCs w:val="20"/>
                              </w:rPr>
                            </w:pPr>
                            <w:r w:rsidRPr="000B1640">
                              <w:rPr>
                                <w:rStyle w:val="Nzovknihy"/>
                                <w:rFonts w:cs="Arial"/>
                                <w:b w:val="0"/>
                                <w:i w:val="0"/>
                                <w:sz w:val="20"/>
                                <w:szCs w:val="20"/>
                              </w:rPr>
                              <w:t>(1)</w:t>
                            </w:r>
                          </w:p>
                        </w:tc>
                      </w:tr>
                      <w:tr w:rsidR="004465F8" w:rsidRPr="000B1640" w14:paraId="45CD2760" w14:textId="77777777" w:rsidTr="00077C03">
                        <w:tc>
                          <w:tcPr>
                            <w:tcW w:w="4048" w:type="dxa"/>
                          </w:tcPr>
                          <w:p w14:paraId="22F2F9D4" w14:textId="77777777" w:rsidR="00A569EA" w:rsidRPr="000B1640" w:rsidRDefault="00A569EA" w:rsidP="00A569EA">
                            <w:pPr>
                              <w:spacing w:after="120"/>
                              <w:rPr>
                                <w:rStyle w:val="Nzovknihy"/>
                                <w:rFonts w:cs="Arial"/>
                                <w:b w:val="0"/>
                                <w:i w:val="0"/>
                                <w:sz w:val="20"/>
                                <w:szCs w:val="20"/>
                              </w:rPr>
                            </w:pPr>
                            <w:r w:rsidRPr="000B1640">
                              <w:rPr>
                                <w:rStyle w:val="Nzovknihy"/>
                                <w:rFonts w:cs="Arial"/>
                                <w:b w:val="0"/>
                                <w:i w:val="0"/>
                                <w:sz w:val="20"/>
                                <w:szCs w:val="20"/>
                              </w:rPr>
                              <w:t>Profit After Tax</w:t>
                            </w:r>
                          </w:p>
                        </w:tc>
                        <w:tc>
                          <w:tcPr>
                            <w:tcW w:w="1622" w:type="dxa"/>
                          </w:tcPr>
                          <w:p w14:paraId="5E66F090" w14:textId="77777777" w:rsidR="00A569EA" w:rsidRPr="000B1640" w:rsidRDefault="00A569EA" w:rsidP="00A569EA">
                            <w:pPr>
                              <w:spacing w:after="120"/>
                              <w:jc w:val="right"/>
                              <w:rPr>
                                <w:rStyle w:val="Nzovknihy"/>
                                <w:rFonts w:cs="Arial"/>
                                <w:b w:val="0"/>
                                <w:i w:val="0"/>
                                <w:sz w:val="20"/>
                                <w:szCs w:val="20"/>
                              </w:rPr>
                            </w:pPr>
                            <w:r w:rsidRPr="000B1640">
                              <w:rPr>
                                <w:rStyle w:val="Nzovknihy"/>
                                <w:rFonts w:cs="Arial"/>
                                <w:b w:val="0"/>
                                <w:i w:val="0"/>
                                <w:sz w:val="20"/>
                                <w:szCs w:val="20"/>
                              </w:rPr>
                              <w:t>100</w:t>
                            </w:r>
                          </w:p>
                        </w:tc>
                        <w:tc>
                          <w:tcPr>
                            <w:tcW w:w="1413" w:type="dxa"/>
                          </w:tcPr>
                          <w:p w14:paraId="2E27A725" w14:textId="77777777" w:rsidR="00A569EA" w:rsidRPr="000B1640" w:rsidRDefault="00A569EA" w:rsidP="00A569EA">
                            <w:pPr>
                              <w:spacing w:after="120"/>
                              <w:jc w:val="right"/>
                              <w:rPr>
                                <w:rStyle w:val="Nzovknihy"/>
                                <w:rFonts w:cs="Arial"/>
                                <w:b w:val="0"/>
                                <w:i w:val="0"/>
                                <w:sz w:val="20"/>
                                <w:szCs w:val="20"/>
                              </w:rPr>
                            </w:pPr>
                            <w:r w:rsidRPr="000B1640">
                              <w:rPr>
                                <w:rStyle w:val="Nzovknihy"/>
                                <w:rFonts w:cs="Arial"/>
                                <w:b w:val="0"/>
                                <w:i w:val="0"/>
                                <w:sz w:val="20"/>
                                <w:szCs w:val="20"/>
                              </w:rPr>
                              <w:t>4</w:t>
                            </w:r>
                          </w:p>
                        </w:tc>
                        <w:tc>
                          <w:tcPr>
                            <w:tcW w:w="1625" w:type="dxa"/>
                          </w:tcPr>
                          <w:p w14:paraId="42440052" w14:textId="77777777" w:rsidR="00A569EA" w:rsidRPr="000B1640" w:rsidRDefault="00A569EA" w:rsidP="00A569EA">
                            <w:pPr>
                              <w:spacing w:after="120"/>
                              <w:jc w:val="right"/>
                              <w:rPr>
                                <w:rStyle w:val="Nzovknihy"/>
                                <w:rFonts w:cs="Arial"/>
                                <w:b w:val="0"/>
                                <w:i w:val="0"/>
                                <w:sz w:val="20"/>
                                <w:szCs w:val="20"/>
                              </w:rPr>
                            </w:pPr>
                            <w:r w:rsidRPr="000B1640">
                              <w:rPr>
                                <w:rStyle w:val="Nzovknihy"/>
                                <w:rFonts w:cs="Arial"/>
                                <w:b w:val="0"/>
                                <w:i w:val="0"/>
                                <w:sz w:val="20"/>
                                <w:szCs w:val="20"/>
                              </w:rPr>
                              <w:t>4</w:t>
                            </w:r>
                          </w:p>
                        </w:tc>
                      </w:tr>
                      <w:tr w:rsidR="004465F8" w:rsidRPr="000B1640" w14:paraId="5ED73E60" w14:textId="77777777" w:rsidTr="00077C03">
                        <w:tc>
                          <w:tcPr>
                            <w:tcW w:w="4048" w:type="dxa"/>
                          </w:tcPr>
                          <w:p w14:paraId="6A6C62B1" w14:textId="77777777" w:rsidR="00A569EA" w:rsidRPr="000B1640" w:rsidRDefault="00A569EA" w:rsidP="00A569EA">
                            <w:pPr>
                              <w:spacing w:after="120"/>
                              <w:rPr>
                                <w:rStyle w:val="Nzovknihy"/>
                                <w:rFonts w:cs="Arial"/>
                                <w:b w:val="0"/>
                                <w:i w:val="0"/>
                                <w:sz w:val="20"/>
                                <w:szCs w:val="20"/>
                              </w:rPr>
                            </w:pPr>
                            <w:r w:rsidRPr="000B1640">
                              <w:rPr>
                                <w:rStyle w:val="Nzovknihy"/>
                                <w:rFonts w:cs="Arial"/>
                                <w:b w:val="0"/>
                                <w:i w:val="0"/>
                                <w:sz w:val="20"/>
                                <w:szCs w:val="20"/>
                              </w:rPr>
                              <w:t>Distribution to investors (UK Life insurer)</w:t>
                            </w:r>
                          </w:p>
                        </w:tc>
                        <w:tc>
                          <w:tcPr>
                            <w:tcW w:w="1622" w:type="dxa"/>
                          </w:tcPr>
                          <w:p w14:paraId="5B1311D1" w14:textId="77777777" w:rsidR="00A569EA" w:rsidRPr="000B1640" w:rsidRDefault="00A569EA" w:rsidP="00A569EA">
                            <w:pPr>
                              <w:spacing w:after="120"/>
                              <w:jc w:val="right"/>
                              <w:rPr>
                                <w:rStyle w:val="Nzovknihy"/>
                                <w:rFonts w:cs="Arial"/>
                                <w:b w:val="0"/>
                                <w:i w:val="0"/>
                                <w:sz w:val="20"/>
                                <w:szCs w:val="20"/>
                              </w:rPr>
                            </w:pPr>
                            <w:r w:rsidRPr="000B1640">
                              <w:rPr>
                                <w:rStyle w:val="Nzovknihy"/>
                                <w:rFonts w:cs="Arial"/>
                                <w:b w:val="0"/>
                                <w:i w:val="0"/>
                                <w:sz w:val="20"/>
                                <w:szCs w:val="20"/>
                              </w:rPr>
                              <w:t>100</w:t>
                            </w:r>
                          </w:p>
                        </w:tc>
                        <w:tc>
                          <w:tcPr>
                            <w:tcW w:w="1413" w:type="dxa"/>
                          </w:tcPr>
                          <w:p w14:paraId="059F5FE3" w14:textId="77777777" w:rsidR="00A569EA" w:rsidRPr="000B1640" w:rsidRDefault="00A569EA" w:rsidP="00A569EA">
                            <w:pPr>
                              <w:spacing w:after="120"/>
                              <w:jc w:val="right"/>
                              <w:rPr>
                                <w:rStyle w:val="Nzovknihy"/>
                                <w:rFonts w:cs="Arial"/>
                                <w:b w:val="0"/>
                                <w:i w:val="0"/>
                                <w:sz w:val="20"/>
                                <w:szCs w:val="20"/>
                              </w:rPr>
                            </w:pPr>
                          </w:p>
                        </w:tc>
                        <w:tc>
                          <w:tcPr>
                            <w:tcW w:w="1625" w:type="dxa"/>
                          </w:tcPr>
                          <w:p w14:paraId="4E2E3C97" w14:textId="77777777" w:rsidR="00A569EA" w:rsidRPr="000B1640" w:rsidRDefault="00A569EA" w:rsidP="00A569EA">
                            <w:pPr>
                              <w:spacing w:after="120"/>
                              <w:jc w:val="right"/>
                              <w:rPr>
                                <w:rStyle w:val="Nzovknihy"/>
                                <w:rFonts w:cs="Arial"/>
                                <w:b w:val="0"/>
                                <w:i w:val="0"/>
                                <w:sz w:val="20"/>
                                <w:szCs w:val="20"/>
                              </w:rPr>
                            </w:pPr>
                          </w:p>
                        </w:tc>
                      </w:tr>
                      <w:tr w:rsidR="004465F8" w:rsidRPr="000B1640" w14:paraId="20AA957A" w14:textId="77777777" w:rsidTr="00077C03">
                        <w:tc>
                          <w:tcPr>
                            <w:tcW w:w="4048" w:type="dxa"/>
                          </w:tcPr>
                          <w:p w14:paraId="0280DAB2" w14:textId="77777777" w:rsidR="00A569EA" w:rsidRPr="000B1640" w:rsidRDefault="00A569EA" w:rsidP="00A569EA">
                            <w:pPr>
                              <w:spacing w:after="120"/>
                              <w:rPr>
                                <w:rStyle w:val="Nzovknihy"/>
                                <w:rFonts w:cs="Arial"/>
                                <w:b w:val="0"/>
                                <w:i w:val="0"/>
                                <w:sz w:val="20"/>
                                <w:szCs w:val="20"/>
                              </w:rPr>
                            </w:pPr>
                            <w:r w:rsidRPr="000B1640">
                              <w:rPr>
                                <w:rStyle w:val="Nzovknihy"/>
                                <w:rFonts w:cs="Arial"/>
                                <w:b w:val="0"/>
                                <w:i w:val="0"/>
                                <w:sz w:val="20"/>
                                <w:szCs w:val="20"/>
                              </w:rPr>
                              <w:t>Income inclusion rule tax overlay (10%)</w:t>
                            </w:r>
                            <w:r>
                              <w:rPr>
                                <w:rStyle w:val="Nzovknihy"/>
                                <w:rFonts w:cs="Arial"/>
                                <w:b w:val="0"/>
                                <w:i w:val="0"/>
                                <w:sz w:val="20"/>
                                <w:szCs w:val="20"/>
                              </w:rPr>
                              <w:t xml:space="preserve"> levied by UK authority</w:t>
                            </w:r>
                          </w:p>
                        </w:tc>
                        <w:tc>
                          <w:tcPr>
                            <w:tcW w:w="1622" w:type="dxa"/>
                          </w:tcPr>
                          <w:p w14:paraId="24528EC5" w14:textId="77777777" w:rsidR="00A569EA" w:rsidRPr="000B1640" w:rsidRDefault="00A569EA" w:rsidP="00A569EA">
                            <w:pPr>
                              <w:spacing w:after="120"/>
                              <w:jc w:val="right"/>
                              <w:rPr>
                                <w:rStyle w:val="Nzovknihy"/>
                                <w:rFonts w:cs="Arial"/>
                                <w:b w:val="0"/>
                                <w:i w:val="0"/>
                                <w:sz w:val="20"/>
                                <w:szCs w:val="20"/>
                              </w:rPr>
                            </w:pPr>
                            <w:r w:rsidRPr="000B1640">
                              <w:rPr>
                                <w:rStyle w:val="Nzovknihy"/>
                                <w:rFonts w:cs="Arial"/>
                                <w:b w:val="0"/>
                                <w:i w:val="0"/>
                                <w:sz w:val="20"/>
                                <w:szCs w:val="20"/>
                              </w:rPr>
                              <w:t>(10)</w:t>
                            </w:r>
                          </w:p>
                        </w:tc>
                        <w:tc>
                          <w:tcPr>
                            <w:tcW w:w="1413" w:type="dxa"/>
                          </w:tcPr>
                          <w:p w14:paraId="0E3BE693" w14:textId="77777777" w:rsidR="00A569EA" w:rsidRPr="000B1640" w:rsidRDefault="00A569EA" w:rsidP="00A569EA">
                            <w:pPr>
                              <w:spacing w:after="120"/>
                              <w:jc w:val="right"/>
                              <w:rPr>
                                <w:rStyle w:val="Nzovknihy"/>
                                <w:rFonts w:cs="Arial"/>
                                <w:b w:val="0"/>
                                <w:i w:val="0"/>
                                <w:sz w:val="20"/>
                                <w:szCs w:val="20"/>
                              </w:rPr>
                            </w:pPr>
                          </w:p>
                        </w:tc>
                        <w:tc>
                          <w:tcPr>
                            <w:tcW w:w="1625" w:type="dxa"/>
                          </w:tcPr>
                          <w:p w14:paraId="2B095910" w14:textId="77777777" w:rsidR="00A569EA" w:rsidRPr="000B1640" w:rsidRDefault="00A569EA" w:rsidP="00A569EA">
                            <w:pPr>
                              <w:spacing w:after="120"/>
                              <w:jc w:val="right"/>
                              <w:rPr>
                                <w:rStyle w:val="Nzovknihy"/>
                                <w:rFonts w:cs="Arial"/>
                                <w:b w:val="0"/>
                                <w:i w:val="0"/>
                                <w:sz w:val="20"/>
                                <w:szCs w:val="20"/>
                              </w:rPr>
                            </w:pPr>
                            <w:r w:rsidRPr="000B1640">
                              <w:rPr>
                                <w:rStyle w:val="Nzovknihy"/>
                                <w:rFonts w:cs="Arial"/>
                                <w:b w:val="0"/>
                                <w:i w:val="0"/>
                                <w:sz w:val="20"/>
                                <w:szCs w:val="20"/>
                              </w:rPr>
                              <w:t>(10)</w:t>
                            </w:r>
                          </w:p>
                        </w:tc>
                      </w:tr>
                      <w:tr w:rsidR="004465F8" w:rsidRPr="000B1640" w14:paraId="6D591794" w14:textId="77777777" w:rsidTr="00077C03">
                        <w:tc>
                          <w:tcPr>
                            <w:tcW w:w="4048" w:type="dxa"/>
                          </w:tcPr>
                          <w:p w14:paraId="4B353AEB" w14:textId="77777777" w:rsidR="00A569EA" w:rsidRPr="000B1640" w:rsidRDefault="00A569EA" w:rsidP="00A569EA">
                            <w:pPr>
                              <w:spacing w:after="120"/>
                              <w:rPr>
                                <w:rStyle w:val="Nzovknihy"/>
                                <w:rFonts w:cs="Arial"/>
                                <w:b w:val="0"/>
                                <w:i w:val="0"/>
                                <w:sz w:val="20"/>
                                <w:szCs w:val="20"/>
                              </w:rPr>
                            </w:pPr>
                            <w:r w:rsidRPr="000B1640">
                              <w:rPr>
                                <w:rStyle w:val="Nzovknihy"/>
                                <w:rFonts w:cs="Arial"/>
                                <w:b w:val="0"/>
                                <w:i w:val="0"/>
                                <w:sz w:val="20"/>
                                <w:szCs w:val="20"/>
                              </w:rPr>
                              <w:t>Total Tax</w:t>
                            </w:r>
                            <w:r>
                              <w:rPr>
                                <w:rStyle w:val="Nzovknihy"/>
                                <w:rFonts w:cs="Arial"/>
                                <w:b w:val="0"/>
                                <w:i w:val="0"/>
                                <w:sz w:val="20"/>
                                <w:szCs w:val="20"/>
                              </w:rPr>
                              <w:t xml:space="preserve"> levied</w:t>
                            </w:r>
                          </w:p>
                        </w:tc>
                        <w:tc>
                          <w:tcPr>
                            <w:tcW w:w="1622" w:type="dxa"/>
                          </w:tcPr>
                          <w:p w14:paraId="54221BCB" w14:textId="77777777" w:rsidR="00A569EA" w:rsidRPr="000B1640" w:rsidRDefault="00A569EA" w:rsidP="00A569EA">
                            <w:pPr>
                              <w:spacing w:after="120"/>
                              <w:jc w:val="right"/>
                              <w:rPr>
                                <w:rStyle w:val="Nzovknihy"/>
                                <w:rFonts w:cs="Arial"/>
                                <w:b w:val="0"/>
                                <w:i w:val="0"/>
                                <w:sz w:val="20"/>
                                <w:szCs w:val="20"/>
                              </w:rPr>
                            </w:pPr>
                            <w:r w:rsidRPr="000B1640">
                              <w:rPr>
                                <w:rStyle w:val="Nzovknihy"/>
                                <w:rFonts w:cs="Arial"/>
                                <w:b w:val="0"/>
                                <w:i w:val="0"/>
                                <w:sz w:val="20"/>
                                <w:szCs w:val="20"/>
                              </w:rPr>
                              <w:t>(10)</w:t>
                            </w:r>
                          </w:p>
                        </w:tc>
                        <w:tc>
                          <w:tcPr>
                            <w:tcW w:w="1413" w:type="dxa"/>
                          </w:tcPr>
                          <w:p w14:paraId="3B910D18" w14:textId="77777777" w:rsidR="00A569EA" w:rsidRPr="000B1640" w:rsidRDefault="00A569EA" w:rsidP="00A569EA">
                            <w:pPr>
                              <w:spacing w:after="120"/>
                              <w:jc w:val="right"/>
                              <w:rPr>
                                <w:rStyle w:val="Nzovknihy"/>
                                <w:rFonts w:cs="Arial"/>
                                <w:b w:val="0"/>
                                <w:i w:val="0"/>
                                <w:sz w:val="20"/>
                                <w:szCs w:val="20"/>
                              </w:rPr>
                            </w:pPr>
                            <w:r w:rsidRPr="000B1640">
                              <w:rPr>
                                <w:rStyle w:val="Nzovknihy"/>
                                <w:rFonts w:cs="Arial"/>
                                <w:b w:val="0"/>
                                <w:i w:val="0"/>
                                <w:sz w:val="20"/>
                                <w:szCs w:val="20"/>
                              </w:rPr>
                              <w:t>(1)</w:t>
                            </w:r>
                          </w:p>
                        </w:tc>
                        <w:tc>
                          <w:tcPr>
                            <w:tcW w:w="1625" w:type="dxa"/>
                          </w:tcPr>
                          <w:p w14:paraId="46B01D19" w14:textId="77777777" w:rsidR="00A569EA" w:rsidRPr="000B1640" w:rsidRDefault="00A569EA" w:rsidP="00A569EA">
                            <w:pPr>
                              <w:spacing w:after="120"/>
                              <w:jc w:val="right"/>
                              <w:rPr>
                                <w:rStyle w:val="Nzovknihy"/>
                                <w:rFonts w:cs="Arial"/>
                                <w:b w:val="0"/>
                                <w:i w:val="0"/>
                                <w:sz w:val="20"/>
                                <w:szCs w:val="20"/>
                              </w:rPr>
                            </w:pPr>
                            <w:r w:rsidRPr="000B1640">
                              <w:rPr>
                                <w:rStyle w:val="Nzovknihy"/>
                                <w:rFonts w:cs="Arial"/>
                                <w:b w:val="0"/>
                                <w:i w:val="0"/>
                                <w:sz w:val="20"/>
                                <w:szCs w:val="20"/>
                              </w:rPr>
                              <w:t>(11)</w:t>
                            </w:r>
                          </w:p>
                        </w:tc>
                      </w:tr>
                    </w:tbl>
                    <w:p w14:paraId="01E171DE" w14:textId="77777777" w:rsidR="00A569EA" w:rsidRDefault="00A569EA" w:rsidP="00077C03"/>
                  </w:txbxContent>
                </v:textbox>
                <w10:anchorlock/>
              </v:rect>
            </w:pict>
          </mc:Fallback>
        </mc:AlternateContent>
      </w:r>
    </w:p>
    <w:p w14:paraId="7515DC35" w14:textId="002560F1" w:rsidR="00A37CE1" w:rsidRPr="00577A2F" w:rsidRDefault="00FD0AFC" w:rsidP="00077C03">
      <w:pPr>
        <w:pStyle w:val="Default"/>
        <w:spacing w:after="120"/>
        <w:ind w:left="720"/>
        <w:jc w:val="both"/>
        <w:rPr>
          <w:color w:val="auto"/>
          <w:sz w:val="22"/>
          <w:szCs w:val="22"/>
        </w:rPr>
      </w:pPr>
      <w:r>
        <w:rPr>
          <w:color w:val="auto"/>
          <w:sz w:val="22"/>
          <w:szCs w:val="22"/>
        </w:rPr>
        <w:t xml:space="preserve">Applying Pillar </w:t>
      </w:r>
      <w:r w:rsidR="00290677">
        <w:rPr>
          <w:color w:val="auto"/>
          <w:sz w:val="22"/>
          <w:szCs w:val="22"/>
        </w:rPr>
        <w:t>Two</w:t>
      </w:r>
      <w:r>
        <w:rPr>
          <w:color w:val="auto"/>
          <w:sz w:val="22"/>
          <w:szCs w:val="22"/>
        </w:rPr>
        <w:t xml:space="preserve"> top-up tax</w:t>
      </w:r>
      <w:r w:rsidR="004F505F" w:rsidRPr="00577A2F">
        <w:rPr>
          <w:color w:val="auto"/>
          <w:sz w:val="22"/>
          <w:szCs w:val="22"/>
        </w:rPr>
        <w:t xml:space="preserve"> i</w:t>
      </w:r>
      <w:r>
        <w:rPr>
          <w:color w:val="auto"/>
          <w:sz w:val="22"/>
          <w:szCs w:val="22"/>
        </w:rPr>
        <w:t>n this situation</w:t>
      </w:r>
      <w:r w:rsidR="004F505F" w:rsidRPr="00577A2F">
        <w:rPr>
          <w:color w:val="auto"/>
          <w:sz w:val="22"/>
          <w:szCs w:val="22"/>
        </w:rPr>
        <w:t xml:space="preserve"> </w:t>
      </w:r>
      <w:r w:rsidR="00290677">
        <w:rPr>
          <w:color w:val="auto"/>
          <w:sz w:val="22"/>
          <w:szCs w:val="22"/>
        </w:rPr>
        <w:t xml:space="preserve">would </w:t>
      </w:r>
      <w:r w:rsidR="004F505F" w:rsidRPr="00577A2F">
        <w:rPr>
          <w:color w:val="auto"/>
          <w:sz w:val="22"/>
          <w:szCs w:val="22"/>
        </w:rPr>
        <w:t>clearly</w:t>
      </w:r>
      <w:r w:rsidR="00504A72">
        <w:rPr>
          <w:color w:val="auto"/>
          <w:sz w:val="22"/>
          <w:szCs w:val="22"/>
        </w:rPr>
        <w:t xml:space="preserve"> lead to</w:t>
      </w:r>
      <w:r w:rsidR="004F505F" w:rsidRPr="00577A2F">
        <w:rPr>
          <w:color w:val="auto"/>
          <w:sz w:val="22"/>
          <w:szCs w:val="22"/>
        </w:rPr>
        <w:t xml:space="preserve"> an inequitable result. </w:t>
      </w:r>
    </w:p>
    <w:p w14:paraId="5F0A624C" w14:textId="4A262C5C" w:rsidR="000D6F1A" w:rsidRDefault="00773C2D" w:rsidP="001E414D">
      <w:pPr>
        <w:pStyle w:val="Default"/>
        <w:spacing w:after="120"/>
        <w:ind w:left="720"/>
        <w:jc w:val="both"/>
        <w:rPr>
          <w:color w:val="auto"/>
          <w:sz w:val="22"/>
          <w:szCs w:val="22"/>
        </w:rPr>
      </w:pPr>
      <w:r w:rsidRPr="00577A2F">
        <w:rPr>
          <w:color w:val="auto"/>
          <w:sz w:val="22"/>
          <w:szCs w:val="22"/>
        </w:rPr>
        <w:t>All of these funds are commercially run</w:t>
      </w:r>
      <w:r w:rsidR="00E432CE" w:rsidRPr="00577A2F">
        <w:rPr>
          <w:color w:val="auto"/>
          <w:sz w:val="22"/>
          <w:szCs w:val="22"/>
        </w:rPr>
        <w:t xml:space="preserve"> </w:t>
      </w:r>
      <w:r w:rsidR="0A8E9148" w:rsidRPr="31298A3A">
        <w:rPr>
          <w:color w:val="auto"/>
          <w:sz w:val="22"/>
          <w:szCs w:val="22"/>
        </w:rPr>
        <w:t>and</w:t>
      </w:r>
      <w:r w:rsidR="00E432CE" w:rsidRPr="00577A2F">
        <w:rPr>
          <w:color w:val="auto"/>
          <w:sz w:val="22"/>
          <w:szCs w:val="22"/>
        </w:rPr>
        <w:t xml:space="preserve"> regulatory rules </w:t>
      </w:r>
      <w:r w:rsidR="0010799A" w:rsidRPr="00577A2F">
        <w:rPr>
          <w:color w:val="auto"/>
          <w:sz w:val="22"/>
          <w:szCs w:val="22"/>
        </w:rPr>
        <w:t>mean that</w:t>
      </w:r>
      <w:r w:rsidR="00E432CE" w:rsidRPr="00577A2F">
        <w:rPr>
          <w:color w:val="auto"/>
          <w:sz w:val="22"/>
          <w:szCs w:val="22"/>
        </w:rPr>
        <w:t xml:space="preserve"> asset classes </w:t>
      </w:r>
      <w:r w:rsidR="0010799A" w:rsidRPr="00577A2F">
        <w:rPr>
          <w:color w:val="auto"/>
          <w:sz w:val="22"/>
          <w:szCs w:val="22"/>
        </w:rPr>
        <w:t xml:space="preserve">life insurers </w:t>
      </w:r>
      <w:r w:rsidR="00E432CE" w:rsidRPr="00577A2F">
        <w:rPr>
          <w:color w:val="auto"/>
          <w:sz w:val="22"/>
          <w:szCs w:val="22"/>
        </w:rPr>
        <w:t>can invest into are strictly controlled</w:t>
      </w:r>
      <w:r w:rsidR="0010799A" w:rsidRPr="00577A2F">
        <w:rPr>
          <w:color w:val="auto"/>
          <w:sz w:val="22"/>
          <w:szCs w:val="22"/>
        </w:rPr>
        <w:t>.</w:t>
      </w:r>
    </w:p>
    <w:p w14:paraId="3B0154D5" w14:textId="7FB92789" w:rsidR="00902452" w:rsidRPr="00577A2F" w:rsidRDefault="0078510E" w:rsidP="001E414D">
      <w:pPr>
        <w:pStyle w:val="Default"/>
        <w:spacing w:after="120"/>
        <w:ind w:left="720"/>
        <w:jc w:val="both"/>
        <w:rPr>
          <w:color w:val="auto"/>
          <w:sz w:val="22"/>
          <w:szCs w:val="22"/>
        </w:rPr>
      </w:pPr>
      <w:r w:rsidRPr="00577A2F">
        <w:rPr>
          <w:color w:val="auto"/>
          <w:sz w:val="22"/>
          <w:szCs w:val="22"/>
        </w:rPr>
        <w:t>The consultation is concerned about these funds being used to circumvent the UTPR.</w:t>
      </w:r>
      <w:r w:rsidR="000D6F1A">
        <w:rPr>
          <w:color w:val="auto"/>
          <w:sz w:val="22"/>
          <w:szCs w:val="22"/>
        </w:rPr>
        <w:t xml:space="preserve"> </w:t>
      </w:r>
      <w:r w:rsidR="00D737F9" w:rsidRPr="00577A2F">
        <w:rPr>
          <w:color w:val="auto"/>
          <w:sz w:val="22"/>
          <w:szCs w:val="22"/>
        </w:rPr>
        <w:t>One way to mitigate this issue would be to</w:t>
      </w:r>
      <w:r w:rsidR="00004162" w:rsidRPr="00577A2F">
        <w:rPr>
          <w:color w:val="auto"/>
          <w:sz w:val="22"/>
          <w:szCs w:val="22"/>
        </w:rPr>
        <w:t xml:space="preserve"> </w:t>
      </w:r>
      <w:r w:rsidR="008513E6">
        <w:rPr>
          <w:color w:val="auto"/>
          <w:sz w:val="22"/>
          <w:szCs w:val="22"/>
        </w:rPr>
        <w:t xml:space="preserve">protect </w:t>
      </w:r>
      <w:r w:rsidR="10EA72F0" w:rsidRPr="31298A3A">
        <w:rPr>
          <w:color w:val="auto"/>
          <w:sz w:val="22"/>
          <w:szCs w:val="22"/>
        </w:rPr>
        <w:t>the</w:t>
      </w:r>
      <w:r w:rsidR="008513E6" w:rsidRPr="31298A3A">
        <w:rPr>
          <w:color w:val="auto"/>
          <w:sz w:val="22"/>
          <w:szCs w:val="22"/>
        </w:rPr>
        <w:t xml:space="preserve"> </w:t>
      </w:r>
      <w:r w:rsidR="008513E6">
        <w:rPr>
          <w:color w:val="auto"/>
          <w:sz w:val="22"/>
          <w:szCs w:val="22"/>
        </w:rPr>
        <w:t xml:space="preserve">tax neutrality </w:t>
      </w:r>
      <w:r w:rsidR="001A453D">
        <w:rPr>
          <w:color w:val="auto"/>
          <w:sz w:val="22"/>
          <w:szCs w:val="22"/>
        </w:rPr>
        <w:t xml:space="preserve">of the investment fund where income is taxed within a regulated insurer in a different jurisdiction by treating it as arising in that jurisdiction and excluding the income from the </w:t>
      </w:r>
      <w:proofErr w:type="spellStart"/>
      <w:r w:rsidR="001A453D">
        <w:rPr>
          <w:color w:val="auto"/>
          <w:sz w:val="22"/>
          <w:szCs w:val="22"/>
        </w:rPr>
        <w:t>GloBE</w:t>
      </w:r>
      <w:proofErr w:type="spellEnd"/>
      <w:r w:rsidR="001A453D">
        <w:rPr>
          <w:color w:val="auto"/>
          <w:sz w:val="22"/>
          <w:szCs w:val="22"/>
        </w:rPr>
        <w:t xml:space="preserve"> tax base calculation of the jurisdiction that the fund is resident in</w:t>
      </w:r>
      <w:r w:rsidR="001A453D" w:rsidRPr="00577A2F">
        <w:rPr>
          <w:color w:val="auto"/>
          <w:sz w:val="22"/>
          <w:szCs w:val="22"/>
        </w:rPr>
        <w:t xml:space="preserve"> </w:t>
      </w:r>
      <w:r w:rsidR="001A453D">
        <w:rPr>
          <w:color w:val="auto"/>
          <w:sz w:val="22"/>
          <w:szCs w:val="22"/>
        </w:rPr>
        <w:t xml:space="preserve">(i.e. in the above example, the income in Luxembourg would be disregarded). </w:t>
      </w:r>
      <w:r w:rsidR="00004162" w:rsidRPr="00577A2F">
        <w:rPr>
          <w:color w:val="auto"/>
          <w:sz w:val="22"/>
          <w:szCs w:val="22"/>
        </w:rPr>
        <w:t xml:space="preserve">where </w:t>
      </w:r>
      <w:r w:rsidR="00577A2F" w:rsidRPr="00577A2F">
        <w:rPr>
          <w:color w:val="auto"/>
          <w:sz w:val="22"/>
          <w:szCs w:val="22"/>
        </w:rPr>
        <w:t xml:space="preserve">consolidation </w:t>
      </w:r>
      <w:r w:rsidR="00E00375">
        <w:rPr>
          <w:color w:val="auto"/>
          <w:sz w:val="22"/>
          <w:szCs w:val="22"/>
        </w:rPr>
        <w:t xml:space="preserve">into the MNE group </w:t>
      </w:r>
      <w:r w:rsidR="00577A2F" w:rsidRPr="00577A2F">
        <w:rPr>
          <w:color w:val="auto"/>
          <w:sz w:val="22"/>
          <w:szCs w:val="22"/>
        </w:rPr>
        <w:t>occurred due to investment by</w:t>
      </w:r>
      <w:r w:rsidR="00004162" w:rsidRPr="00577A2F">
        <w:rPr>
          <w:color w:val="auto"/>
          <w:sz w:val="22"/>
          <w:szCs w:val="22"/>
        </w:rPr>
        <w:t xml:space="preserve"> a regulated insurer</w:t>
      </w:r>
      <w:r w:rsidR="008513E6">
        <w:rPr>
          <w:color w:val="auto"/>
          <w:sz w:val="22"/>
          <w:szCs w:val="22"/>
        </w:rPr>
        <w:t xml:space="preserve"> which was subject to an IIR regime.</w:t>
      </w:r>
      <w:r w:rsidR="00091173" w:rsidRPr="00577A2F">
        <w:rPr>
          <w:color w:val="auto"/>
          <w:sz w:val="22"/>
          <w:szCs w:val="22"/>
        </w:rPr>
        <w:t xml:space="preserve"> </w:t>
      </w:r>
    </w:p>
    <w:p w14:paraId="07074694" w14:textId="77777777" w:rsidR="00856C29" w:rsidRPr="00F254FB" w:rsidRDefault="00856C29" w:rsidP="00077C03">
      <w:pPr>
        <w:pStyle w:val="Default"/>
        <w:spacing w:after="120"/>
        <w:rPr>
          <w:color w:val="2F5496" w:themeColor="accent1" w:themeShade="BF"/>
          <w:sz w:val="22"/>
          <w:szCs w:val="22"/>
        </w:rPr>
      </w:pPr>
      <w:r w:rsidRPr="00F254FB">
        <w:rPr>
          <w:color w:val="2F5496" w:themeColor="accent1" w:themeShade="BF"/>
          <w:sz w:val="22"/>
          <w:szCs w:val="22"/>
        </w:rPr>
        <w:t xml:space="preserve">III. </w:t>
      </w:r>
      <w:r w:rsidRPr="00F254FB">
        <w:rPr>
          <w:b/>
          <w:bCs/>
          <w:color w:val="2F5496" w:themeColor="accent1" w:themeShade="BF"/>
          <w:sz w:val="22"/>
          <w:szCs w:val="22"/>
        </w:rPr>
        <w:t xml:space="preserve">Chapter 3: Calculating the ETR under the </w:t>
      </w:r>
      <w:proofErr w:type="spellStart"/>
      <w:r w:rsidRPr="00F254FB">
        <w:rPr>
          <w:b/>
          <w:bCs/>
          <w:color w:val="2F5496" w:themeColor="accent1" w:themeShade="BF"/>
          <w:sz w:val="22"/>
          <w:szCs w:val="22"/>
        </w:rPr>
        <w:t>GloBE</w:t>
      </w:r>
      <w:proofErr w:type="spellEnd"/>
      <w:r w:rsidRPr="00F254FB">
        <w:rPr>
          <w:b/>
          <w:bCs/>
          <w:color w:val="2F5496" w:themeColor="accent1" w:themeShade="BF"/>
          <w:sz w:val="22"/>
          <w:szCs w:val="22"/>
        </w:rPr>
        <w:t xml:space="preserve"> Rules </w:t>
      </w:r>
    </w:p>
    <w:p w14:paraId="16F13DEA" w14:textId="0C290AB4" w:rsidR="00856C29" w:rsidRPr="00F254FB" w:rsidRDefault="00856C29" w:rsidP="00077C03">
      <w:pPr>
        <w:pStyle w:val="Default"/>
        <w:spacing w:after="120"/>
        <w:rPr>
          <w:color w:val="2F5496" w:themeColor="accent1" w:themeShade="BF"/>
          <w:sz w:val="22"/>
          <w:szCs w:val="22"/>
        </w:rPr>
      </w:pPr>
      <w:r w:rsidRPr="00F254FB">
        <w:rPr>
          <w:color w:val="2F5496" w:themeColor="accent1" w:themeShade="BF"/>
          <w:sz w:val="22"/>
          <w:szCs w:val="22"/>
        </w:rPr>
        <w:t xml:space="preserve">a. </w:t>
      </w:r>
      <w:r w:rsidRPr="00F254FB">
        <w:rPr>
          <w:b/>
          <w:bCs/>
          <w:color w:val="2F5496" w:themeColor="accent1" w:themeShade="BF"/>
          <w:sz w:val="22"/>
          <w:szCs w:val="22"/>
        </w:rPr>
        <w:t>Treatment of dividends and gains from disposition of stock in a corporation</w:t>
      </w:r>
      <w:r w:rsidRPr="00F254FB">
        <w:rPr>
          <w:color w:val="2F5496" w:themeColor="accent1" w:themeShade="BF"/>
          <w:sz w:val="22"/>
          <w:szCs w:val="22"/>
        </w:rPr>
        <w:t>. [</w:t>
      </w:r>
      <w:r w:rsidRPr="00F254FB">
        <w:rPr>
          <w:i/>
          <w:iCs/>
          <w:color w:val="2F5496" w:themeColor="accent1" w:themeShade="BF"/>
          <w:sz w:val="22"/>
          <w:szCs w:val="22"/>
        </w:rPr>
        <w:t>Refers to paragraphs 181-191 of the Blueprint</w:t>
      </w:r>
      <w:r w:rsidRPr="00F254FB">
        <w:rPr>
          <w:color w:val="2F5496" w:themeColor="accent1" w:themeShade="BF"/>
          <w:sz w:val="22"/>
          <w:szCs w:val="22"/>
        </w:rPr>
        <w:t>]</w:t>
      </w:r>
    </w:p>
    <w:p w14:paraId="3D2B4F9E" w14:textId="43686F78" w:rsidR="00856C29" w:rsidRPr="00C573C6" w:rsidRDefault="00856C29" w:rsidP="00077C03">
      <w:pPr>
        <w:pStyle w:val="Default"/>
        <w:spacing w:after="120"/>
        <w:rPr>
          <w:sz w:val="22"/>
          <w:szCs w:val="22"/>
        </w:rPr>
      </w:pPr>
      <w:r w:rsidRPr="00F254FB">
        <w:rPr>
          <w:color w:val="2F5496" w:themeColor="accent1" w:themeShade="BF"/>
          <w:sz w:val="22"/>
          <w:szCs w:val="22"/>
        </w:rPr>
        <w:t xml:space="preserve">1. Do you have any views on the appropriate ownership threshold and the methodology of how to determine that threshold, both for the exclusion of portfolio dividends and the exclusion for gains and losses on the disposition of stock from the </w:t>
      </w:r>
      <w:proofErr w:type="spellStart"/>
      <w:r w:rsidRPr="00F254FB">
        <w:rPr>
          <w:color w:val="2F5496" w:themeColor="accent1" w:themeShade="BF"/>
          <w:sz w:val="22"/>
          <w:szCs w:val="22"/>
        </w:rPr>
        <w:t>GloBE</w:t>
      </w:r>
      <w:proofErr w:type="spellEnd"/>
      <w:r w:rsidRPr="00F254FB">
        <w:rPr>
          <w:color w:val="2F5496" w:themeColor="accent1" w:themeShade="BF"/>
          <w:sz w:val="22"/>
          <w:szCs w:val="22"/>
        </w:rPr>
        <w:t xml:space="preserve"> tax base</w:t>
      </w:r>
      <w:r w:rsidRPr="00C573C6">
        <w:rPr>
          <w:sz w:val="22"/>
          <w:szCs w:val="22"/>
        </w:rPr>
        <w:t xml:space="preserve">? </w:t>
      </w:r>
    </w:p>
    <w:p w14:paraId="2A35760E" w14:textId="78903DE1" w:rsidR="0090460D" w:rsidRDefault="004F6FAA" w:rsidP="00077C03">
      <w:pPr>
        <w:pStyle w:val="Default"/>
        <w:spacing w:after="120"/>
        <w:ind w:left="720"/>
        <w:jc w:val="both"/>
        <w:rPr>
          <w:sz w:val="22"/>
          <w:szCs w:val="22"/>
        </w:rPr>
      </w:pPr>
      <w:r>
        <w:rPr>
          <w:sz w:val="22"/>
          <w:szCs w:val="22"/>
        </w:rPr>
        <w:t xml:space="preserve">Insurance companies invest as an active part of their business. Many countries apply </w:t>
      </w:r>
      <w:r w:rsidR="000B303B">
        <w:rPr>
          <w:sz w:val="22"/>
          <w:szCs w:val="22"/>
        </w:rPr>
        <w:t xml:space="preserve">a dividend exemption rule to mitigate double taxation. </w:t>
      </w:r>
      <w:r w:rsidR="006D27B2">
        <w:rPr>
          <w:sz w:val="22"/>
          <w:szCs w:val="22"/>
        </w:rPr>
        <w:t xml:space="preserve">Where dividends are excluded from the tax basis </w:t>
      </w:r>
      <w:r w:rsidR="009279D2">
        <w:rPr>
          <w:sz w:val="22"/>
          <w:szCs w:val="22"/>
        </w:rPr>
        <w:t xml:space="preserve">of the relevant company, </w:t>
      </w:r>
      <w:r w:rsidR="006D27B2">
        <w:rPr>
          <w:sz w:val="22"/>
          <w:szCs w:val="22"/>
        </w:rPr>
        <w:t xml:space="preserve">they should </w:t>
      </w:r>
      <w:r w:rsidR="009279D2">
        <w:rPr>
          <w:sz w:val="22"/>
          <w:szCs w:val="22"/>
        </w:rPr>
        <w:t xml:space="preserve">therefore </w:t>
      </w:r>
      <w:r w:rsidR="006D27B2">
        <w:rPr>
          <w:sz w:val="22"/>
          <w:szCs w:val="22"/>
        </w:rPr>
        <w:t xml:space="preserve">also be excluded from the </w:t>
      </w:r>
      <w:proofErr w:type="spellStart"/>
      <w:r w:rsidR="006D27B2">
        <w:rPr>
          <w:sz w:val="22"/>
          <w:szCs w:val="22"/>
        </w:rPr>
        <w:t>GloBE</w:t>
      </w:r>
      <w:proofErr w:type="spellEnd"/>
      <w:r w:rsidR="009279D2">
        <w:rPr>
          <w:sz w:val="22"/>
          <w:szCs w:val="22"/>
        </w:rPr>
        <w:t xml:space="preserve"> denominator</w:t>
      </w:r>
      <w:r w:rsidR="0094230D">
        <w:rPr>
          <w:sz w:val="22"/>
          <w:szCs w:val="22"/>
        </w:rPr>
        <w:t xml:space="preserve"> (subject to a materiality threshold)</w:t>
      </w:r>
      <w:r w:rsidR="009279D2">
        <w:rPr>
          <w:sz w:val="22"/>
          <w:szCs w:val="22"/>
        </w:rPr>
        <w:t>. Should this approach not be adopted</w:t>
      </w:r>
      <w:r w:rsidR="00006CBA">
        <w:rPr>
          <w:sz w:val="22"/>
          <w:szCs w:val="22"/>
        </w:rPr>
        <w:t xml:space="preserve"> we have provided further comments below.</w:t>
      </w:r>
    </w:p>
    <w:p w14:paraId="5E2CA750" w14:textId="77777777" w:rsidR="009864C5" w:rsidRDefault="009864C5" w:rsidP="00077C03">
      <w:pPr>
        <w:pStyle w:val="Default"/>
        <w:spacing w:after="120"/>
        <w:ind w:left="720"/>
        <w:jc w:val="both"/>
        <w:rPr>
          <w:color w:val="auto"/>
          <w:sz w:val="22"/>
          <w:szCs w:val="22"/>
        </w:rPr>
      </w:pPr>
      <w:r w:rsidRPr="00F32AE8">
        <w:rPr>
          <w:color w:val="auto"/>
          <w:sz w:val="22"/>
          <w:szCs w:val="22"/>
        </w:rPr>
        <w:t>The threshold for the exclusion of dividends should be in line with the EU-Parent-Subsidiary Directive. Dividends should therefore be excluded from the income if the shareholder owns at least 10 % of the dividend paying company. The 10 % threshold is common among the EU member states and functions as a role-model for non-European countries too. As a result, the 10 % ownership-test is well practiced and could be integrated in the Pillar 2 rules relatively easily.</w:t>
      </w:r>
    </w:p>
    <w:p w14:paraId="2901F6AA" w14:textId="77777777" w:rsidR="009864C5" w:rsidRPr="00F32AE8" w:rsidRDefault="009864C5" w:rsidP="00077C03">
      <w:pPr>
        <w:pStyle w:val="Default"/>
        <w:spacing w:after="120"/>
        <w:ind w:left="720"/>
        <w:jc w:val="both"/>
        <w:rPr>
          <w:color w:val="auto"/>
          <w:sz w:val="22"/>
          <w:szCs w:val="22"/>
        </w:rPr>
      </w:pPr>
      <w:r w:rsidRPr="00F32AE8">
        <w:rPr>
          <w:color w:val="auto"/>
          <w:sz w:val="22"/>
          <w:szCs w:val="22"/>
        </w:rPr>
        <w:t>In order to achieve the goal of administrable rules and low compliance burdens, there should be no distinction between domestic and foreign participations for an ownership threshold test (see paragraph 185 of the OECD Pillar 2 Blueprint). Such a distinction could also violate the EU principle of free movement of capital.</w:t>
      </w:r>
    </w:p>
    <w:p w14:paraId="52E9C189" w14:textId="15E7AE44" w:rsidR="009864C5" w:rsidRPr="00F32AE8" w:rsidRDefault="009864C5" w:rsidP="00077C03">
      <w:pPr>
        <w:pStyle w:val="Default"/>
        <w:spacing w:after="120"/>
        <w:ind w:left="720"/>
        <w:jc w:val="both"/>
        <w:rPr>
          <w:color w:val="auto"/>
          <w:sz w:val="22"/>
          <w:szCs w:val="22"/>
        </w:rPr>
      </w:pPr>
      <w:r w:rsidRPr="00F32AE8">
        <w:rPr>
          <w:color w:val="auto"/>
          <w:sz w:val="22"/>
          <w:szCs w:val="22"/>
        </w:rPr>
        <w:t>If a shareholder meets the criteria for the exclusion of dividends it is discussed whether expenditures corresponding with these dividends should be added back to the tax base for purpose of Pillar 2 (see paragraph 185 of the OECD Pillar 2 Blueprint). Though from a systematic perspective such a corresponding rule might be comprehensible, from a practical perspective such a rule would be burdensome. Furthermore, we do not expect a noticeable effect on the tax base and the ETR. Therefore, there should be no addback of expenditures corresponding with exempted dividends.</w:t>
      </w:r>
    </w:p>
    <w:p w14:paraId="181A280D" w14:textId="6AFB8CF7" w:rsidR="009864C5" w:rsidRPr="00F32AE8" w:rsidRDefault="009864C5" w:rsidP="00077C03">
      <w:pPr>
        <w:pStyle w:val="Default"/>
        <w:spacing w:after="120"/>
        <w:ind w:left="720"/>
        <w:jc w:val="both"/>
        <w:rPr>
          <w:color w:val="auto"/>
          <w:sz w:val="22"/>
          <w:szCs w:val="22"/>
        </w:rPr>
      </w:pPr>
      <w:r w:rsidRPr="00F32AE8">
        <w:rPr>
          <w:color w:val="auto"/>
          <w:sz w:val="22"/>
          <w:szCs w:val="22"/>
        </w:rPr>
        <w:t>Alternatively, expenditures corresponding with exempted dividends could be measured as a fix percentage of the dividend amount, for example, in line with the Parent-Subsidiary Directive 5 % of the excluded dividend could be deemed as non-deductible expense.</w:t>
      </w:r>
    </w:p>
    <w:p w14:paraId="6F7731FE" w14:textId="007D41EC" w:rsidR="00856C29" w:rsidRPr="00F254FB" w:rsidRDefault="00856C29" w:rsidP="00077C03">
      <w:pPr>
        <w:pStyle w:val="Default"/>
        <w:spacing w:after="120"/>
        <w:rPr>
          <w:color w:val="2F5496" w:themeColor="accent1" w:themeShade="BF"/>
          <w:sz w:val="22"/>
          <w:szCs w:val="22"/>
        </w:rPr>
      </w:pPr>
      <w:r w:rsidRPr="00F254FB">
        <w:rPr>
          <w:color w:val="2F5496" w:themeColor="accent1" w:themeShade="BF"/>
          <w:sz w:val="22"/>
          <w:szCs w:val="22"/>
        </w:rPr>
        <w:t xml:space="preserve">d. </w:t>
      </w:r>
      <w:r w:rsidRPr="00F254FB">
        <w:rPr>
          <w:b/>
          <w:bCs/>
          <w:color w:val="2F5496" w:themeColor="accent1" w:themeShade="BF"/>
          <w:sz w:val="22"/>
          <w:szCs w:val="22"/>
        </w:rPr>
        <w:t xml:space="preserve">The treatment of tax transparent entities. </w:t>
      </w:r>
      <w:r w:rsidRPr="00F254FB">
        <w:rPr>
          <w:color w:val="2F5496" w:themeColor="accent1" w:themeShade="BF"/>
          <w:sz w:val="22"/>
          <w:szCs w:val="22"/>
        </w:rPr>
        <w:t>[</w:t>
      </w:r>
      <w:r w:rsidRPr="00F254FB">
        <w:rPr>
          <w:i/>
          <w:iCs/>
          <w:color w:val="2F5496" w:themeColor="accent1" w:themeShade="BF"/>
          <w:sz w:val="22"/>
          <w:szCs w:val="22"/>
        </w:rPr>
        <w:t>Refers to paragraphs 274-278 and 283 of the Blueprint</w:t>
      </w:r>
      <w:r w:rsidRPr="00F254FB">
        <w:rPr>
          <w:color w:val="2F5496" w:themeColor="accent1" w:themeShade="BF"/>
          <w:sz w:val="22"/>
          <w:szCs w:val="22"/>
        </w:rPr>
        <w:t xml:space="preserve">] 1. Are there further technical issues to consider in regard to the treatment of fully or partially tax transparent and (reverse) hybrid entities? </w:t>
      </w:r>
    </w:p>
    <w:p w14:paraId="3E5B6321" w14:textId="77777777" w:rsidR="0061155D" w:rsidRPr="00DF122F" w:rsidRDefault="0061155D" w:rsidP="00077C03">
      <w:pPr>
        <w:pStyle w:val="Default"/>
        <w:spacing w:after="120"/>
        <w:ind w:left="720"/>
        <w:rPr>
          <w:sz w:val="22"/>
          <w:szCs w:val="22"/>
        </w:rPr>
      </w:pPr>
      <w:r w:rsidRPr="00E466EB">
        <w:rPr>
          <w:color w:val="auto"/>
          <w:sz w:val="22"/>
          <w:szCs w:val="22"/>
          <w:lang w:val="en-US"/>
        </w:rPr>
        <w:t xml:space="preserve">For the computation of the ETR, covered taxes paid by a Constituent Entity with respect to dividends distributed by another Constituent Entity are assigned to the </w:t>
      </w:r>
      <w:r w:rsidRPr="00E466EB">
        <w:rPr>
          <w:sz w:val="22"/>
          <w:szCs w:val="22"/>
        </w:rPr>
        <w:t>jurisdiction of the Constituent Entity that paid the dividend. The same should apply to tax that is levied on deemed investment return on retained earnings of an investment fund where the</w:t>
      </w:r>
      <w:r w:rsidRPr="00DF122F">
        <w:rPr>
          <w:sz w:val="22"/>
          <w:szCs w:val="22"/>
        </w:rPr>
        <w:t xml:space="preserve"> fund is a Constituent Entity.</w:t>
      </w:r>
    </w:p>
    <w:p w14:paraId="439E146E" w14:textId="7325F8BA" w:rsidR="00856C29" w:rsidRPr="00F254FB" w:rsidRDefault="00856C29" w:rsidP="00077C03">
      <w:pPr>
        <w:pStyle w:val="Default"/>
        <w:spacing w:after="120"/>
        <w:rPr>
          <w:color w:val="2F5496" w:themeColor="accent1" w:themeShade="BF"/>
          <w:sz w:val="22"/>
          <w:szCs w:val="22"/>
        </w:rPr>
      </w:pPr>
      <w:r w:rsidRPr="00F254FB">
        <w:rPr>
          <w:color w:val="2F5496" w:themeColor="accent1" w:themeShade="BF"/>
          <w:sz w:val="22"/>
          <w:szCs w:val="22"/>
        </w:rPr>
        <w:t xml:space="preserve">e. </w:t>
      </w:r>
      <w:r w:rsidRPr="00F254FB">
        <w:rPr>
          <w:b/>
          <w:bCs/>
          <w:color w:val="2F5496" w:themeColor="accent1" w:themeShade="BF"/>
          <w:sz w:val="22"/>
          <w:szCs w:val="22"/>
        </w:rPr>
        <w:t xml:space="preserve">Allocation of “cross-jurisdictional” taxes (particularly, anti-avoidance rule). </w:t>
      </w:r>
      <w:r w:rsidRPr="00F254FB">
        <w:rPr>
          <w:color w:val="2F5496" w:themeColor="accent1" w:themeShade="BF"/>
          <w:sz w:val="22"/>
          <w:szCs w:val="22"/>
        </w:rPr>
        <w:t>[</w:t>
      </w:r>
      <w:r w:rsidRPr="00F254FB">
        <w:rPr>
          <w:i/>
          <w:iCs/>
          <w:color w:val="2F5496" w:themeColor="accent1" w:themeShade="BF"/>
          <w:sz w:val="22"/>
          <w:szCs w:val="22"/>
        </w:rPr>
        <w:t>Refers to paragraph 284 of the Blueprint</w:t>
      </w:r>
      <w:r w:rsidRPr="00F254FB">
        <w:rPr>
          <w:color w:val="2F5496" w:themeColor="accent1" w:themeShade="BF"/>
          <w:sz w:val="22"/>
          <w:szCs w:val="22"/>
        </w:rPr>
        <w:t>]</w:t>
      </w:r>
    </w:p>
    <w:p w14:paraId="58E63050" w14:textId="225CBAEF" w:rsidR="00856C29" w:rsidRPr="00F254FB" w:rsidRDefault="00856C29" w:rsidP="00077C03">
      <w:pPr>
        <w:pStyle w:val="Default"/>
        <w:spacing w:after="120"/>
        <w:rPr>
          <w:color w:val="2F5496" w:themeColor="accent1" w:themeShade="BF"/>
          <w:sz w:val="22"/>
          <w:szCs w:val="22"/>
        </w:rPr>
      </w:pPr>
      <w:r w:rsidRPr="00F254FB">
        <w:rPr>
          <w:color w:val="2F5496" w:themeColor="accent1" w:themeShade="BF"/>
          <w:sz w:val="22"/>
          <w:szCs w:val="22"/>
        </w:rPr>
        <w:t>1. Do you have any views on how to allocate the “cross-jurisdictional” taxes (e.g. CFC regime taxes and withholding taxes)? In your response please also consider the following:</w:t>
      </w:r>
    </w:p>
    <w:p w14:paraId="7F4465ED" w14:textId="77777777" w:rsidR="00856C29" w:rsidRPr="00F254FB" w:rsidRDefault="00856C29" w:rsidP="00077C03">
      <w:pPr>
        <w:pStyle w:val="Default"/>
        <w:spacing w:after="120"/>
        <w:rPr>
          <w:color w:val="2F5496" w:themeColor="accent1" w:themeShade="BF"/>
          <w:sz w:val="22"/>
          <w:szCs w:val="22"/>
        </w:rPr>
      </w:pPr>
      <w:r w:rsidRPr="00F254FB">
        <w:rPr>
          <w:color w:val="2F5496" w:themeColor="accent1" w:themeShade="BF"/>
          <w:sz w:val="22"/>
          <w:szCs w:val="22"/>
        </w:rPr>
        <w:t xml:space="preserve">ii. How can these issues be addressed in the design of a rule that minimises compliance and administration costs? </w:t>
      </w:r>
    </w:p>
    <w:p w14:paraId="4067B052" w14:textId="17864DF2" w:rsidR="00F05C0B" w:rsidRDefault="00F05C0B" w:rsidP="00077C03">
      <w:pPr>
        <w:pStyle w:val="Default"/>
        <w:spacing w:after="120"/>
        <w:ind w:left="720"/>
        <w:jc w:val="both"/>
        <w:rPr>
          <w:sz w:val="22"/>
          <w:szCs w:val="22"/>
        </w:rPr>
      </w:pPr>
      <w:r w:rsidRPr="00F05C0B">
        <w:rPr>
          <w:sz w:val="22"/>
          <w:szCs w:val="22"/>
        </w:rPr>
        <w:t>It would be helpful to explicitly recognise that there are tax consolidation groups and that both payments</w:t>
      </w:r>
      <w:r w:rsidR="008D0FC0">
        <w:rPr>
          <w:sz w:val="22"/>
          <w:szCs w:val="22"/>
        </w:rPr>
        <w:t xml:space="preserve"> to the tax authority</w:t>
      </w:r>
      <w:r w:rsidRPr="00F05C0B">
        <w:rPr>
          <w:sz w:val="22"/>
          <w:szCs w:val="22"/>
        </w:rPr>
        <w:t xml:space="preserve"> can be made by a single group entity and </w:t>
      </w:r>
      <w:r w:rsidR="008D0FC0">
        <w:rPr>
          <w:sz w:val="22"/>
          <w:szCs w:val="22"/>
        </w:rPr>
        <w:t xml:space="preserve">that </w:t>
      </w:r>
      <w:r w:rsidRPr="00F05C0B">
        <w:rPr>
          <w:sz w:val="22"/>
          <w:szCs w:val="22"/>
        </w:rPr>
        <w:t>payments can be made between group entities to utilise tax losses. Therefore</w:t>
      </w:r>
      <w:r w:rsidR="007608C4">
        <w:rPr>
          <w:sz w:val="22"/>
          <w:szCs w:val="22"/>
        </w:rPr>
        <w:t>,</w:t>
      </w:r>
      <w:r w:rsidRPr="00F05C0B">
        <w:rPr>
          <w:sz w:val="22"/>
          <w:szCs w:val="22"/>
        </w:rPr>
        <w:t xml:space="preserve"> CFC tax apportionments may reflect tax </w:t>
      </w:r>
      <w:r w:rsidR="008D0FC0">
        <w:rPr>
          <w:sz w:val="22"/>
          <w:szCs w:val="22"/>
        </w:rPr>
        <w:t xml:space="preserve">actually </w:t>
      </w:r>
      <w:r w:rsidRPr="00F05C0B">
        <w:rPr>
          <w:sz w:val="22"/>
          <w:szCs w:val="22"/>
        </w:rPr>
        <w:t>paid by a group entity that is not the parent of the relevant CFC subject to the CFC charge.</w:t>
      </w:r>
    </w:p>
    <w:p w14:paraId="44A0B12B" w14:textId="0AB0C00E" w:rsidR="005E063D" w:rsidRPr="005E063D" w:rsidRDefault="005E063D" w:rsidP="00077C03">
      <w:pPr>
        <w:pStyle w:val="Default"/>
        <w:spacing w:after="120"/>
        <w:ind w:left="720"/>
        <w:jc w:val="both"/>
        <w:rPr>
          <w:sz w:val="22"/>
          <w:szCs w:val="22"/>
        </w:rPr>
      </w:pPr>
      <w:r w:rsidRPr="005E063D">
        <w:rPr>
          <w:sz w:val="22"/>
          <w:szCs w:val="22"/>
        </w:rPr>
        <w:t>Whilst the jurisdictional level rules allow for aggregation of losses b</w:t>
      </w:r>
      <w:r>
        <w:rPr>
          <w:sz w:val="22"/>
          <w:szCs w:val="22"/>
        </w:rPr>
        <w:t>rought forward</w:t>
      </w:r>
      <w:r w:rsidRPr="005E063D">
        <w:rPr>
          <w:sz w:val="22"/>
          <w:szCs w:val="22"/>
        </w:rPr>
        <w:t xml:space="preserve">, the CFC inclusion </w:t>
      </w:r>
      <w:r w:rsidR="00F05C0B">
        <w:rPr>
          <w:sz w:val="22"/>
          <w:szCs w:val="22"/>
        </w:rPr>
        <w:t xml:space="preserve">can </w:t>
      </w:r>
      <w:r w:rsidRPr="005E063D">
        <w:rPr>
          <w:sz w:val="22"/>
          <w:szCs w:val="22"/>
        </w:rPr>
        <w:t xml:space="preserve">give a mismatch.  For example, if a </w:t>
      </w:r>
      <w:r w:rsidR="00E322A8">
        <w:rPr>
          <w:sz w:val="22"/>
          <w:szCs w:val="22"/>
        </w:rPr>
        <w:t>foreign</w:t>
      </w:r>
      <w:r w:rsidRPr="005E063D">
        <w:rPr>
          <w:sz w:val="22"/>
          <w:szCs w:val="22"/>
        </w:rPr>
        <w:t xml:space="preserve"> reinsurer is taxable in the US under subpart F, there </w:t>
      </w:r>
      <w:r w:rsidR="00A66007">
        <w:rPr>
          <w:sz w:val="22"/>
          <w:szCs w:val="22"/>
        </w:rPr>
        <w:t>may be</w:t>
      </w:r>
      <w:r w:rsidRPr="005E063D">
        <w:rPr>
          <w:sz w:val="22"/>
          <w:szCs w:val="22"/>
        </w:rPr>
        <w:t xml:space="preserve"> no covered tax for the CFC jurisdiction if </w:t>
      </w:r>
      <w:r w:rsidR="006F09CE">
        <w:rPr>
          <w:sz w:val="22"/>
          <w:szCs w:val="22"/>
        </w:rPr>
        <w:t xml:space="preserve">overall </w:t>
      </w:r>
      <w:r w:rsidRPr="005E063D">
        <w:rPr>
          <w:sz w:val="22"/>
          <w:szCs w:val="22"/>
        </w:rPr>
        <w:t xml:space="preserve">the parent has losses in the year, </w:t>
      </w:r>
      <w:r w:rsidR="003046BD">
        <w:rPr>
          <w:sz w:val="22"/>
          <w:szCs w:val="22"/>
        </w:rPr>
        <w:t>noting that</w:t>
      </w:r>
      <w:r w:rsidR="008C7323">
        <w:rPr>
          <w:sz w:val="22"/>
          <w:szCs w:val="22"/>
        </w:rPr>
        <w:t xml:space="preserve"> </w:t>
      </w:r>
      <w:r w:rsidR="006F09CE">
        <w:rPr>
          <w:sz w:val="22"/>
          <w:szCs w:val="22"/>
        </w:rPr>
        <w:t>th</w:t>
      </w:r>
      <w:r w:rsidR="00B86C82">
        <w:rPr>
          <w:sz w:val="22"/>
          <w:szCs w:val="22"/>
        </w:rPr>
        <w:t>e sub-part F inclusion</w:t>
      </w:r>
      <w:r w:rsidR="006F09CE">
        <w:rPr>
          <w:sz w:val="22"/>
          <w:szCs w:val="22"/>
        </w:rPr>
        <w:t xml:space="preserve"> will have reduced the tax losses carried forward in the US</w:t>
      </w:r>
      <w:r w:rsidRPr="005E063D">
        <w:rPr>
          <w:sz w:val="22"/>
          <w:szCs w:val="22"/>
        </w:rPr>
        <w:t xml:space="preserve">.  The rules should allow for the CFC to recognise offset in the </w:t>
      </w:r>
      <w:r w:rsidR="00DC77BE">
        <w:rPr>
          <w:sz w:val="22"/>
          <w:szCs w:val="22"/>
        </w:rPr>
        <w:t xml:space="preserve">jurisdictional </w:t>
      </w:r>
      <w:r w:rsidRPr="005E063D">
        <w:rPr>
          <w:sz w:val="22"/>
          <w:szCs w:val="22"/>
        </w:rPr>
        <w:t xml:space="preserve">ETR denominator </w:t>
      </w:r>
      <w:r w:rsidR="00127527">
        <w:rPr>
          <w:sz w:val="22"/>
          <w:szCs w:val="22"/>
        </w:rPr>
        <w:t>to reflect the utilisation of</w:t>
      </w:r>
      <w:r w:rsidRPr="005E063D">
        <w:rPr>
          <w:sz w:val="22"/>
          <w:szCs w:val="22"/>
        </w:rPr>
        <w:t xml:space="preserve"> losses of the </w:t>
      </w:r>
      <w:r w:rsidR="00BB6460">
        <w:rPr>
          <w:sz w:val="22"/>
          <w:szCs w:val="22"/>
        </w:rPr>
        <w:t xml:space="preserve">relevant </w:t>
      </w:r>
      <w:r w:rsidR="0046515B">
        <w:rPr>
          <w:sz w:val="22"/>
          <w:szCs w:val="22"/>
        </w:rPr>
        <w:t>entity in the parent jurisdiction.</w:t>
      </w:r>
    </w:p>
    <w:p w14:paraId="4FB2A646" w14:textId="77777777" w:rsidR="00856C29" w:rsidRPr="00F254FB" w:rsidRDefault="00856C29" w:rsidP="00077C03">
      <w:pPr>
        <w:pStyle w:val="Default"/>
        <w:spacing w:after="120"/>
        <w:rPr>
          <w:color w:val="2F5496" w:themeColor="accent1" w:themeShade="BF"/>
          <w:sz w:val="22"/>
          <w:szCs w:val="22"/>
        </w:rPr>
      </w:pPr>
      <w:r w:rsidRPr="00F254FB">
        <w:rPr>
          <w:color w:val="2F5496" w:themeColor="accent1" w:themeShade="BF"/>
          <w:sz w:val="22"/>
          <w:szCs w:val="22"/>
        </w:rPr>
        <w:t xml:space="preserve">IV. </w:t>
      </w:r>
      <w:r w:rsidRPr="00F254FB">
        <w:rPr>
          <w:b/>
          <w:bCs/>
          <w:color w:val="2F5496" w:themeColor="accent1" w:themeShade="BF"/>
          <w:sz w:val="22"/>
          <w:szCs w:val="22"/>
        </w:rPr>
        <w:t xml:space="preserve">Chapter 4: Carry-forwards and carve-out </w:t>
      </w:r>
    </w:p>
    <w:p w14:paraId="6B427134" w14:textId="6AFA7BD1" w:rsidR="00856C29" w:rsidRPr="00F254FB" w:rsidRDefault="00856C29" w:rsidP="00077C03">
      <w:pPr>
        <w:pStyle w:val="Default"/>
        <w:spacing w:after="120"/>
        <w:rPr>
          <w:color w:val="2F5496" w:themeColor="accent1" w:themeShade="BF"/>
          <w:sz w:val="22"/>
          <w:szCs w:val="22"/>
        </w:rPr>
      </w:pPr>
      <w:r w:rsidRPr="00F254FB">
        <w:rPr>
          <w:b/>
          <w:bCs/>
          <w:color w:val="2F5496" w:themeColor="accent1" w:themeShade="BF"/>
          <w:sz w:val="22"/>
          <w:szCs w:val="22"/>
        </w:rPr>
        <w:t>a. Treatment of pre-</w:t>
      </w:r>
      <w:proofErr w:type="spellStart"/>
      <w:r w:rsidRPr="00F254FB">
        <w:rPr>
          <w:b/>
          <w:bCs/>
          <w:color w:val="2F5496" w:themeColor="accent1" w:themeShade="BF"/>
          <w:sz w:val="22"/>
          <w:szCs w:val="22"/>
        </w:rPr>
        <w:t>GloBE</w:t>
      </w:r>
      <w:proofErr w:type="spellEnd"/>
      <w:r w:rsidRPr="00F254FB">
        <w:rPr>
          <w:b/>
          <w:bCs/>
          <w:color w:val="2F5496" w:themeColor="accent1" w:themeShade="BF"/>
          <w:sz w:val="22"/>
          <w:szCs w:val="22"/>
        </w:rPr>
        <w:t xml:space="preserve"> losses and excess taxes under the carry-forward approach. </w:t>
      </w:r>
      <w:r w:rsidRPr="00F254FB">
        <w:rPr>
          <w:color w:val="2F5496" w:themeColor="accent1" w:themeShade="BF"/>
          <w:sz w:val="22"/>
          <w:szCs w:val="22"/>
        </w:rPr>
        <w:t>[</w:t>
      </w:r>
      <w:r w:rsidRPr="00F254FB">
        <w:rPr>
          <w:i/>
          <w:iCs/>
          <w:color w:val="2F5496" w:themeColor="accent1" w:themeShade="BF"/>
          <w:sz w:val="22"/>
          <w:szCs w:val="22"/>
        </w:rPr>
        <w:t>Refers to paragraphs 315-318 of the Blueprint</w:t>
      </w:r>
      <w:r w:rsidRPr="00F254FB">
        <w:rPr>
          <w:color w:val="2F5496" w:themeColor="accent1" w:themeShade="BF"/>
          <w:sz w:val="22"/>
          <w:szCs w:val="22"/>
        </w:rPr>
        <w:t>]</w:t>
      </w:r>
    </w:p>
    <w:p w14:paraId="74C08412" w14:textId="77777777" w:rsidR="00856C29" w:rsidRPr="00F254FB" w:rsidRDefault="00856C29" w:rsidP="00077C03">
      <w:pPr>
        <w:pStyle w:val="Default"/>
        <w:spacing w:after="120"/>
        <w:rPr>
          <w:color w:val="2F5496" w:themeColor="accent1" w:themeShade="BF"/>
          <w:sz w:val="22"/>
          <w:szCs w:val="22"/>
        </w:rPr>
      </w:pPr>
      <w:r w:rsidRPr="00F254FB">
        <w:rPr>
          <w:color w:val="2F5496" w:themeColor="accent1" w:themeShade="BF"/>
          <w:sz w:val="22"/>
          <w:szCs w:val="22"/>
        </w:rPr>
        <w:t xml:space="preserve">4. Are there special considerations that apply to certain industries? </w:t>
      </w:r>
    </w:p>
    <w:p w14:paraId="2E650AED" w14:textId="77777777" w:rsidR="005E0C37" w:rsidRPr="003B0CA6" w:rsidRDefault="005E0C37" w:rsidP="00077C03">
      <w:pPr>
        <w:pStyle w:val="Default"/>
        <w:spacing w:after="120"/>
        <w:ind w:left="720"/>
        <w:jc w:val="both"/>
        <w:rPr>
          <w:color w:val="auto"/>
          <w:sz w:val="22"/>
          <w:szCs w:val="22"/>
        </w:rPr>
      </w:pPr>
      <w:r>
        <w:rPr>
          <w:color w:val="auto"/>
          <w:sz w:val="22"/>
          <w:szCs w:val="22"/>
        </w:rPr>
        <w:t>We have noted above comments on the long-term nature of insurance and the importance of not limiting measures to short time periods unduly disadvantaging industries which operate over the long-term.</w:t>
      </w:r>
    </w:p>
    <w:p w14:paraId="648FBFC5" w14:textId="0652C09D" w:rsidR="00856C29" w:rsidRPr="00F254FB" w:rsidRDefault="00856C29" w:rsidP="00077C03">
      <w:pPr>
        <w:pStyle w:val="Default"/>
        <w:spacing w:after="120"/>
        <w:rPr>
          <w:color w:val="2F5496" w:themeColor="accent1" w:themeShade="BF"/>
          <w:sz w:val="22"/>
          <w:szCs w:val="22"/>
        </w:rPr>
      </w:pPr>
      <w:r w:rsidRPr="00F254FB">
        <w:rPr>
          <w:b/>
          <w:bCs/>
          <w:color w:val="2F5496" w:themeColor="accent1" w:themeShade="BF"/>
          <w:sz w:val="22"/>
          <w:szCs w:val="22"/>
        </w:rPr>
        <w:t xml:space="preserve">b. Formulaic substance-based carve-out. </w:t>
      </w:r>
      <w:r w:rsidRPr="00F254FB">
        <w:rPr>
          <w:color w:val="2F5496" w:themeColor="accent1" w:themeShade="BF"/>
          <w:sz w:val="22"/>
          <w:szCs w:val="22"/>
        </w:rPr>
        <w:t>[</w:t>
      </w:r>
      <w:r w:rsidRPr="00F254FB">
        <w:rPr>
          <w:i/>
          <w:iCs/>
          <w:color w:val="2F5496" w:themeColor="accent1" w:themeShade="BF"/>
          <w:sz w:val="22"/>
          <w:szCs w:val="22"/>
        </w:rPr>
        <w:t>Refers to paragraph 332-370 of the Blueprint</w:t>
      </w:r>
      <w:r w:rsidRPr="00F254FB">
        <w:rPr>
          <w:color w:val="2F5496" w:themeColor="accent1" w:themeShade="BF"/>
          <w:sz w:val="22"/>
          <w:szCs w:val="22"/>
        </w:rPr>
        <w:t>]</w:t>
      </w:r>
    </w:p>
    <w:p w14:paraId="1897A2C6" w14:textId="2CE52A38" w:rsidR="00856C29" w:rsidRPr="00F254FB" w:rsidRDefault="00856C29" w:rsidP="00077C03">
      <w:pPr>
        <w:pStyle w:val="Default"/>
        <w:spacing w:after="120"/>
        <w:rPr>
          <w:color w:val="2F5496" w:themeColor="accent1" w:themeShade="BF"/>
          <w:sz w:val="22"/>
          <w:szCs w:val="22"/>
        </w:rPr>
      </w:pPr>
      <w:r w:rsidRPr="00F254FB">
        <w:rPr>
          <w:color w:val="2F5496" w:themeColor="accent1" w:themeShade="BF"/>
          <w:sz w:val="22"/>
          <w:szCs w:val="22"/>
        </w:rPr>
        <w:t xml:space="preserve">1. Do you have any comments on the overall design of the carve-out? </w:t>
      </w:r>
    </w:p>
    <w:p w14:paraId="41CF39FB" w14:textId="18E32FE7" w:rsidR="00D40F08" w:rsidRPr="00AA089E" w:rsidRDefault="00D40F08" w:rsidP="00077C03">
      <w:pPr>
        <w:pStyle w:val="Default"/>
        <w:spacing w:after="120"/>
        <w:ind w:left="720"/>
        <w:jc w:val="both"/>
        <w:rPr>
          <w:color w:val="auto"/>
          <w:sz w:val="22"/>
          <w:szCs w:val="22"/>
        </w:rPr>
      </w:pPr>
      <w:r w:rsidRPr="00AA089E">
        <w:rPr>
          <w:color w:val="auto"/>
          <w:sz w:val="22"/>
          <w:szCs w:val="22"/>
        </w:rPr>
        <w:t xml:space="preserve">The Pillar Two Blueprint proposes an adjustment to carve out from the Pillar Two tax base a fixed return based on a payroll component and a tangible asset component. This formulaic carve-out has the effect of allowing routine returns to be sheltered for both </w:t>
      </w:r>
      <w:proofErr w:type="spellStart"/>
      <w:r w:rsidRPr="00AA089E">
        <w:rPr>
          <w:color w:val="auto"/>
          <w:sz w:val="22"/>
          <w:szCs w:val="22"/>
        </w:rPr>
        <w:t>labor-intensive</w:t>
      </w:r>
      <w:proofErr w:type="spellEnd"/>
      <w:r w:rsidRPr="00AA089E">
        <w:rPr>
          <w:color w:val="auto"/>
          <w:sz w:val="22"/>
          <w:szCs w:val="22"/>
        </w:rPr>
        <w:t xml:space="preserve"> and </w:t>
      </w:r>
      <w:r w:rsidR="002B139C">
        <w:rPr>
          <w:color w:val="auto"/>
          <w:sz w:val="22"/>
          <w:szCs w:val="22"/>
        </w:rPr>
        <w:t>fixed/tangible asset</w:t>
      </w:r>
      <w:r w:rsidRPr="00AA089E">
        <w:rPr>
          <w:color w:val="auto"/>
          <w:sz w:val="22"/>
          <w:szCs w:val="22"/>
        </w:rPr>
        <w:t>-intensive businesses.</w:t>
      </w:r>
    </w:p>
    <w:p w14:paraId="29293B9D" w14:textId="2D3FD4A9" w:rsidR="00D40F08" w:rsidRPr="00AA089E" w:rsidRDefault="00D40F08" w:rsidP="00077C03">
      <w:pPr>
        <w:pStyle w:val="Default"/>
        <w:spacing w:after="120"/>
        <w:ind w:left="720"/>
        <w:jc w:val="both"/>
        <w:rPr>
          <w:color w:val="auto"/>
          <w:sz w:val="22"/>
          <w:szCs w:val="22"/>
        </w:rPr>
      </w:pPr>
      <w:r w:rsidRPr="00AA089E">
        <w:rPr>
          <w:color w:val="auto"/>
          <w:sz w:val="22"/>
          <w:szCs w:val="22"/>
        </w:rPr>
        <w:t xml:space="preserve">Financial services companies – particularly insurance companies – operate around the globe under the careful oversight of regulators, which require specific and quantifiable amounts of capital be held in specific entities to ensure the protection of policyholders. The allocation of capital follows that allocation of risk – as noted above, regulators require specific amounts of capital in specific entities to support that allocation of risk.  That is, there are objective measures of how much capital is required to be in the jurisdiction. Regulated financial services companies can decide where most efficiently to pool risks, but once the location of risk is determined it is difficult to move. </w:t>
      </w:r>
    </w:p>
    <w:p w14:paraId="2151FB8E" w14:textId="18188306" w:rsidR="00D40F08" w:rsidRPr="00AA089E" w:rsidRDefault="00D40F08" w:rsidP="00077C03">
      <w:pPr>
        <w:pStyle w:val="Default"/>
        <w:spacing w:after="120"/>
        <w:ind w:left="720"/>
        <w:jc w:val="both"/>
        <w:rPr>
          <w:color w:val="auto"/>
          <w:sz w:val="22"/>
          <w:szCs w:val="22"/>
        </w:rPr>
      </w:pPr>
      <w:r w:rsidRPr="00AA089E">
        <w:rPr>
          <w:color w:val="auto"/>
          <w:sz w:val="22"/>
          <w:szCs w:val="22"/>
        </w:rPr>
        <w:t xml:space="preserve">Similarly, a non-financial services company can decide where to locate a factory.  A non-financial services company may choose to locate a factory in a low-tax jurisdiction.  That decision does not and should not impact the application of the formulaic economic substance exemption. </w:t>
      </w:r>
      <w:r w:rsidR="00936CCC">
        <w:rPr>
          <w:color w:val="auto"/>
          <w:sz w:val="22"/>
          <w:szCs w:val="22"/>
        </w:rPr>
        <w:t xml:space="preserve">We also draw the distinction </w:t>
      </w:r>
      <w:r w:rsidR="007172F3">
        <w:rPr>
          <w:color w:val="auto"/>
          <w:sz w:val="22"/>
          <w:szCs w:val="22"/>
        </w:rPr>
        <w:t>between regulated insur</w:t>
      </w:r>
      <w:r w:rsidR="000A7501">
        <w:rPr>
          <w:color w:val="auto"/>
          <w:sz w:val="22"/>
          <w:szCs w:val="22"/>
        </w:rPr>
        <w:t>ance companies</w:t>
      </w:r>
      <w:r w:rsidR="007172F3">
        <w:rPr>
          <w:color w:val="auto"/>
          <w:sz w:val="22"/>
          <w:szCs w:val="22"/>
        </w:rPr>
        <w:t xml:space="preserve"> and </w:t>
      </w:r>
      <w:r w:rsidR="00936CCC">
        <w:rPr>
          <w:color w:val="auto"/>
          <w:sz w:val="22"/>
          <w:szCs w:val="22"/>
        </w:rPr>
        <w:t xml:space="preserve"> g</w:t>
      </w:r>
      <w:r w:rsidR="006A780A">
        <w:rPr>
          <w:color w:val="auto"/>
          <w:sz w:val="22"/>
          <w:szCs w:val="22"/>
        </w:rPr>
        <w:t xml:space="preserve">roup </w:t>
      </w:r>
      <w:r w:rsidR="00936CCC">
        <w:rPr>
          <w:color w:val="auto"/>
          <w:sz w:val="22"/>
          <w:szCs w:val="22"/>
        </w:rPr>
        <w:t>t</w:t>
      </w:r>
      <w:r w:rsidR="006A780A">
        <w:rPr>
          <w:color w:val="auto"/>
          <w:sz w:val="22"/>
          <w:szCs w:val="22"/>
        </w:rPr>
        <w:t xml:space="preserve">reasury companies </w:t>
      </w:r>
      <w:r w:rsidR="007172F3">
        <w:rPr>
          <w:color w:val="auto"/>
          <w:sz w:val="22"/>
          <w:szCs w:val="22"/>
        </w:rPr>
        <w:t>which</w:t>
      </w:r>
      <w:r w:rsidR="00936CCC">
        <w:rPr>
          <w:color w:val="auto"/>
          <w:sz w:val="22"/>
          <w:szCs w:val="22"/>
        </w:rPr>
        <w:t xml:space="preserve"> have far more fungible </w:t>
      </w:r>
      <w:r w:rsidR="007172F3">
        <w:rPr>
          <w:color w:val="auto"/>
          <w:sz w:val="22"/>
          <w:szCs w:val="22"/>
        </w:rPr>
        <w:t>capital</w:t>
      </w:r>
      <w:r w:rsidR="006A780A">
        <w:rPr>
          <w:color w:val="auto"/>
          <w:sz w:val="22"/>
          <w:szCs w:val="22"/>
        </w:rPr>
        <w:t>.</w:t>
      </w:r>
    </w:p>
    <w:p w14:paraId="7725702B" w14:textId="77777777" w:rsidR="00D40F08" w:rsidRPr="00AA089E" w:rsidRDefault="00D40F08" w:rsidP="00077C03">
      <w:pPr>
        <w:pStyle w:val="Default"/>
        <w:spacing w:after="120"/>
        <w:ind w:left="720"/>
        <w:jc w:val="both"/>
        <w:rPr>
          <w:color w:val="auto"/>
          <w:sz w:val="22"/>
          <w:szCs w:val="22"/>
        </w:rPr>
      </w:pPr>
      <w:r>
        <w:rPr>
          <w:color w:val="auto"/>
          <w:sz w:val="22"/>
          <w:szCs w:val="22"/>
        </w:rPr>
        <w:t>We</w:t>
      </w:r>
      <w:r w:rsidRPr="00AA089E">
        <w:rPr>
          <w:color w:val="auto"/>
          <w:sz w:val="22"/>
          <w:szCs w:val="22"/>
        </w:rPr>
        <w:t xml:space="preserve"> support an economic substance exemption for financial services companies that reflects the realities of their business model – and therefore is based on regulatory capital.  </w:t>
      </w:r>
    </w:p>
    <w:p w14:paraId="158D1C97" w14:textId="594C97CE" w:rsidR="00D40F08" w:rsidRPr="00AA089E" w:rsidRDefault="00D40F08" w:rsidP="00077C03">
      <w:pPr>
        <w:pStyle w:val="Default"/>
        <w:spacing w:after="120"/>
        <w:ind w:left="720"/>
        <w:jc w:val="both"/>
        <w:rPr>
          <w:color w:val="auto"/>
          <w:sz w:val="22"/>
          <w:szCs w:val="22"/>
        </w:rPr>
      </w:pPr>
      <w:r w:rsidRPr="00AA089E">
        <w:rPr>
          <w:color w:val="auto"/>
          <w:sz w:val="22"/>
          <w:szCs w:val="22"/>
        </w:rPr>
        <w:t xml:space="preserve">As provided above, the carve-out in the Blueprint is only appropriate for </w:t>
      </w:r>
      <w:proofErr w:type="spellStart"/>
      <w:r w:rsidRPr="00AA089E">
        <w:rPr>
          <w:color w:val="auto"/>
          <w:sz w:val="22"/>
          <w:szCs w:val="22"/>
        </w:rPr>
        <w:t>labor-intensive</w:t>
      </w:r>
      <w:proofErr w:type="spellEnd"/>
      <w:r w:rsidRPr="00AA089E">
        <w:rPr>
          <w:color w:val="auto"/>
          <w:sz w:val="22"/>
          <w:szCs w:val="22"/>
        </w:rPr>
        <w:t xml:space="preserve"> and tangible asset-intensive businesses, and therefore provides little benefit to the financial services industry. </w:t>
      </w:r>
    </w:p>
    <w:p w14:paraId="363A3CEE" w14:textId="52683887" w:rsidR="00856C29" w:rsidRPr="00F254FB" w:rsidRDefault="00856C29" w:rsidP="00077C03">
      <w:pPr>
        <w:pStyle w:val="Default"/>
        <w:spacing w:after="120"/>
        <w:rPr>
          <w:color w:val="2F5496" w:themeColor="accent1" w:themeShade="BF"/>
          <w:sz w:val="22"/>
          <w:szCs w:val="22"/>
        </w:rPr>
      </w:pPr>
      <w:r w:rsidRPr="00F254FB">
        <w:rPr>
          <w:b/>
          <w:bCs/>
          <w:color w:val="2F5496" w:themeColor="accent1" w:themeShade="BF"/>
          <w:sz w:val="22"/>
          <w:szCs w:val="22"/>
        </w:rPr>
        <w:t>c. Computation of the ETR and top</w:t>
      </w:r>
      <w:r w:rsidRPr="00F254FB">
        <w:rPr>
          <w:color w:val="2F5496" w:themeColor="accent1" w:themeShade="BF"/>
          <w:sz w:val="22"/>
          <w:szCs w:val="22"/>
        </w:rPr>
        <w:t>-</w:t>
      </w:r>
      <w:r w:rsidRPr="00F254FB">
        <w:rPr>
          <w:b/>
          <w:bCs/>
          <w:color w:val="2F5496" w:themeColor="accent1" w:themeShade="BF"/>
          <w:sz w:val="22"/>
          <w:szCs w:val="22"/>
        </w:rPr>
        <w:t xml:space="preserve">up tax. </w:t>
      </w:r>
      <w:r w:rsidRPr="00F254FB">
        <w:rPr>
          <w:color w:val="2F5496" w:themeColor="accent1" w:themeShade="BF"/>
          <w:sz w:val="22"/>
          <w:szCs w:val="22"/>
        </w:rPr>
        <w:t>[</w:t>
      </w:r>
      <w:r w:rsidRPr="00F254FB">
        <w:rPr>
          <w:i/>
          <w:iCs/>
          <w:color w:val="2F5496" w:themeColor="accent1" w:themeShade="BF"/>
          <w:sz w:val="22"/>
          <w:szCs w:val="22"/>
        </w:rPr>
        <w:t>Refers to paragraph 371-375 of the Blueprint</w:t>
      </w:r>
      <w:r w:rsidRPr="00F254FB">
        <w:rPr>
          <w:color w:val="2F5496" w:themeColor="accent1" w:themeShade="BF"/>
          <w:sz w:val="22"/>
          <w:szCs w:val="22"/>
        </w:rPr>
        <w:t xml:space="preserve">] </w:t>
      </w:r>
    </w:p>
    <w:p w14:paraId="64349196" w14:textId="1C685004" w:rsidR="00856C29" w:rsidRDefault="677E65C2" w:rsidP="00077C03">
      <w:pPr>
        <w:pStyle w:val="Default"/>
        <w:spacing w:after="120"/>
        <w:rPr>
          <w:color w:val="2F5496" w:themeColor="accent1" w:themeShade="BF"/>
          <w:sz w:val="22"/>
          <w:szCs w:val="22"/>
        </w:rPr>
      </w:pPr>
      <w:r w:rsidRPr="00F254FB">
        <w:rPr>
          <w:color w:val="2F5496" w:themeColor="accent1" w:themeShade="BF"/>
          <w:sz w:val="22"/>
          <w:szCs w:val="22"/>
        </w:rPr>
        <w:t>1.</w:t>
      </w:r>
      <w:r w:rsidR="00856C29" w:rsidRPr="00F254FB">
        <w:rPr>
          <w:color w:val="2F5496" w:themeColor="accent1" w:themeShade="BF"/>
          <w:sz w:val="22"/>
          <w:szCs w:val="22"/>
        </w:rPr>
        <w:t xml:space="preserve"> Do you have any comments on the proposed calculation of ETR and top-up tax? </w:t>
      </w:r>
    </w:p>
    <w:p w14:paraId="3A19BBAB" w14:textId="06AFA72E" w:rsidR="0021193A" w:rsidRPr="0021193A" w:rsidRDefault="0021193A" w:rsidP="00077C03">
      <w:pPr>
        <w:pStyle w:val="Default"/>
        <w:spacing w:after="120"/>
        <w:ind w:left="720"/>
        <w:jc w:val="both"/>
        <w:rPr>
          <w:color w:val="auto"/>
          <w:sz w:val="22"/>
          <w:szCs w:val="22"/>
        </w:rPr>
      </w:pPr>
      <w:r>
        <w:rPr>
          <w:color w:val="auto"/>
          <w:sz w:val="22"/>
          <w:szCs w:val="22"/>
        </w:rPr>
        <w:t>We have commented above on our concerns on the complexity of the calculations required.</w:t>
      </w:r>
    </w:p>
    <w:p w14:paraId="236EAF9A" w14:textId="77777777" w:rsidR="00856C29" w:rsidRPr="00F254FB" w:rsidRDefault="00856C29" w:rsidP="00077C03">
      <w:pPr>
        <w:pStyle w:val="Default"/>
        <w:spacing w:after="120"/>
        <w:rPr>
          <w:color w:val="2F5496" w:themeColor="accent1" w:themeShade="BF"/>
          <w:sz w:val="22"/>
          <w:szCs w:val="22"/>
        </w:rPr>
      </w:pPr>
      <w:r w:rsidRPr="00F254FB">
        <w:rPr>
          <w:color w:val="2F5496" w:themeColor="accent1" w:themeShade="BF"/>
          <w:sz w:val="22"/>
          <w:szCs w:val="22"/>
        </w:rPr>
        <w:t xml:space="preserve">V. </w:t>
      </w:r>
      <w:r w:rsidRPr="00F254FB">
        <w:rPr>
          <w:b/>
          <w:bCs/>
          <w:color w:val="2F5496" w:themeColor="accent1" w:themeShade="BF"/>
          <w:sz w:val="22"/>
          <w:szCs w:val="22"/>
        </w:rPr>
        <w:t>Chapter 5: Simplification options</w:t>
      </w:r>
      <w:r w:rsidRPr="00F254FB">
        <w:rPr>
          <w:color w:val="2F5496" w:themeColor="accent1" w:themeShade="BF"/>
          <w:sz w:val="22"/>
          <w:szCs w:val="22"/>
        </w:rPr>
        <w:t xml:space="preserve">. </w:t>
      </w:r>
    </w:p>
    <w:p w14:paraId="638046DD" w14:textId="1F16A21A" w:rsidR="00856C29" w:rsidRPr="00F254FB" w:rsidRDefault="00856C29" w:rsidP="00077C03">
      <w:pPr>
        <w:pStyle w:val="Default"/>
        <w:spacing w:after="120"/>
        <w:rPr>
          <w:color w:val="2F5496" w:themeColor="accent1" w:themeShade="BF"/>
          <w:sz w:val="22"/>
          <w:szCs w:val="22"/>
        </w:rPr>
      </w:pPr>
      <w:r w:rsidRPr="00F254FB">
        <w:rPr>
          <w:color w:val="2F5496" w:themeColor="accent1" w:themeShade="BF"/>
          <w:sz w:val="22"/>
          <w:szCs w:val="22"/>
        </w:rPr>
        <w:t xml:space="preserve">a. </w:t>
      </w:r>
      <w:r w:rsidRPr="00F254FB">
        <w:rPr>
          <w:b/>
          <w:bCs/>
          <w:color w:val="2F5496" w:themeColor="accent1" w:themeShade="BF"/>
          <w:sz w:val="22"/>
          <w:szCs w:val="22"/>
        </w:rPr>
        <w:t xml:space="preserve">General. </w:t>
      </w:r>
      <w:r w:rsidRPr="00F254FB">
        <w:rPr>
          <w:color w:val="2F5496" w:themeColor="accent1" w:themeShade="BF"/>
          <w:sz w:val="22"/>
          <w:szCs w:val="22"/>
        </w:rPr>
        <w:t>The Blueprint describes four potential simplification measures, including (</w:t>
      </w:r>
      <w:proofErr w:type="spellStart"/>
      <w:r w:rsidRPr="00F254FB">
        <w:rPr>
          <w:color w:val="2F5496" w:themeColor="accent1" w:themeShade="BF"/>
          <w:sz w:val="22"/>
          <w:szCs w:val="22"/>
        </w:rPr>
        <w:t>i</w:t>
      </w:r>
      <w:proofErr w:type="spellEnd"/>
      <w:r w:rsidRPr="00F254FB">
        <w:rPr>
          <w:color w:val="2F5496" w:themeColor="accent1" w:themeShade="BF"/>
          <w:sz w:val="22"/>
          <w:szCs w:val="22"/>
        </w:rPr>
        <w:t xml:space="preserve">) </w:t>
      </w:r>
      <w:proofErr w:type="spellStart"/>
      <w:r w:rsidRPr="00F254FB">
        <w:rPr>
          <w:color w:val="2F5496" w:themeColor="accent1" w:themeShade="BF"/>
          <w:sz w:val="22"/>
          <w:szCs w:val="22"/>
        </w:rPr>
        <w:t>CbC</w:t>
      </w:r>
      <w:proofErr w:type="spellEnd"/>
      <w:r w:rsidRPr="00F254FB">
        <w:rPr>
          <w:color w:val="2F5496" w:themeColor="accent1" w:themeShade="BF"/>
          <w:sz w:val="22"/>
          <w:szCs w:val="22"/>
        </w:rPr>
        <w:t xml:space="preserve"> Report ETR safe harbour, (ii) de minimis profit exclusion, (iii) single jurisdictional ETR calculation to cover several years, and (iv) tax administrative guidance.</w:t>
      </w:r>
    </w:p>
    <w:p w14:paraId="5F0CB87A" w14:textId="77777777" w:rsidR="00856C29" w:rsidRPr="00F254FB" w:rsidRDefault="00856C29" w:rsidP="00077C03">
      <w:pPr>
        <w:pStyle w:val="Default"/>
        <w:spacing w:after="120"/>
        <w:rPr>
          <w:color w:val="2F5496" w:themeColor="accent1" w:themeShade="BF"/>
          <w:sz w:val="22"/>
          <w:szCs w:val="22"/>
        </w:rPr>
      </w:pPr>
      <w:r w:rsidRPr="00F254FB">
        <w:rPr>
          <w:color w:val="2F5496" w:themeColor="accent1" w:themeShade="BF"/>
          <w:sz w:val="22"/>
          <w:szCs w:val="22"/>
        </w:rPr>
        <w:t xml:space="preserve">3. Can you identify any other overall simplification measures that could be explored by the Inclusive Framework or potential simplifications to the design or application of specific elements of the IIR or the UTPR that would not undermine their objective or effectiveness? </w:t>
      </w:r>
    </w:p>
    <w:p w14:paraId="09AE41DC" w14:textId="2462032D" w:rsidR="00CA09A9" w:rsidRPr="0075587E" w:rsidRDefault="00CA09A9" w:rsidP="00077C03">
      <w:pPr>
        <w:pStyle w:val="Default"/>
        <w:spacing w:after="120"/>
        <w:ind w:left="720"/>
        <w:jc w:val="both"/>
        <w:rPr>
          <w:color w:val="auto"/>
          <w:sz w:val="22"/>
          <w:szCs w:val="22"/>
        </w:rPr>
      </w:pPr>
      <w:r w:rsidRPr="0075587E">
        <w:rPr>
          <w:sz w:val="22"/>
          <w:szCs w:val="22"/>
        </w:rPr>
        <w:t>While we acknowledge the policy objectives underlying many of the design features of the </w:t>
      </w:r>
      <w:proofErr w:type="spellStart"/>
      <w:r w:rsidRPr="0075587E">
        <w:rPr>
          <w:sz w:val="22"/>
          <w:szCs w:val="22"/>
        </w:rPr>
        <w:t>GloBE</w:t>
      </w:r>
      <w:proofErr w:type="spellEnd"/>
      <w:r w:rsidRPr="0075587E">
        <w:rPr>
          <w:sz w:val="22"/>
          <w:szCs w:val="22"/>
        </w:rPr>
        <w:t xml:space="preserve"> rules, the provisions remain far-reaching and complex, presenting significant implementation </w:t>
      </w:r>
      <w:r w:rsidR="00D36C78">
        <w:rPr>
          <w:sz w:val="22"/>
          <w:szCs w:val="22"/>
        </w:rPr>
        <w:t xml:space="preserve">and ongoing compliance </w:t>
      </w:r>
      <w:r w:rsidRPr="0075587E">
        <w:rPr>
          <w:sz w:val="22"/>
          <w:szCs w:val="22"/>
        </w:rPr>
        <w:t>issues for MNEs.  Accordingly, we are supportive of the following:</w:t>
      </w:r>
    </w:p>
    <w:p w14:paraId="033927D5" w14:textId="77777777" w:rsidR="00CA09A9" w:rsidRPr="00077C03" w:rsidRDefault="00CA09A9" w:rsidP="00077C03">
      <w:pPr>
        <w:pStyle w:val="paragraph"/>
        <w:spacing w:before="0" w:beforeAutospacing="0" w:after="120" w:afterAutospacing="0"/>
        <w:ind w:left="720"/>
        <w:jc w:val="both"/>
        <w:textAlignment w:val="baseline"/>
        <w:rPr>
          <w:rFonts w:ascii="Arial" w:hAnsi="Arial" w:cs="Arial"/>
          <w:b/>
          <w:bCs/>
          <w:sz w:val="22"/>
          <w:szCs w:val="22"/>
        </w:rPr>
      </w:pPr>
      <w:r w:rsidRPr="00077C03">
        <w:rPr>
          <w:rStyle w:val="normaltextrun"/>
          <w:rFonts w:ascii="Arial" w:eastAsiaTheme="majorEastAsia" w:hAnsi="Arial" w:cs="Arial"/>
          <w:b/>
          <w:bCs/>
          <w:i/>
          <w:iCs/>
          <w:sz w:val="22"/>
          <w:szCs w:val="22"/>
        </w:rPr>
        <w:t>Consolidated revenue threshold</w:t>
      </w:r>
      <w:r w:rsidRPr="00077C03">
        <w:rPr>
          <w:rStyle w:val="eop"/>
          <w:rFonts w:ascii="Arial" w:eastAsiaTheme="majorEastAsia" w:hAnsi="Arial" w:cs="Arial"/>
          <w:b/>
          <w:bCs/>
          <w:sz w:val="22"/>
          <w:szCs w:val="22"/>
        </w:rPr>
        <w:t> </w:t>
      </w:r>
    </w:p>
    <w:p w14:paraId="6A7C3F82" w14:textId="238843E3" w:rsidR="00CA09A9" w:rsidRPr="0075587E" w:rsidRDefault="00CA09A9" w:rsidP="00077C03">
      <w:pPr>
        <w:pStyle w:val="Default"/>
        <w:spacing w:after="120"/>
        <w:ind w:left="720"/>
        <w:jc w:val="both"/>
        <w:rPr>
          <w:color w:val="auto"/>
          <w:sz w:val="22"/>
          <w:szCs w:val="22"/>
        </w:rPr>
      </w:pPr>
      <w:r w:rsidRPr="0075587E">
        <w:rPr>
          <w:sz w:val="22"/>
          <w:szCs w:val="22"/>
        </w:rPr>
        <w:t>We support a single consolidated revenue threshold of €750 million for purposes of applying </w:t>
      </w:r>
      <w:r w:rsidRPr="0075587E">
        <w:rPr>
          <w:color w:val="auto"/>
          <w:sz w:val="22"/>
          <w:szCs w:val="22"/>
        </w:rPr>
        <w:t>the </w:t>
      </w:r>
      <w:proofErr w:type="spellStart"/>
      <w:r w:rsidRPr="0075587E">
        <w:rPr>
          <w:color w:val="auto"/>
          <w:sz w:val="22"/>
          <w:szCs w:val="22"/>
        </w:rPr>
        <w:t>GloBE</w:t>
      </w:r>
      <w:proofErr w:type="spellEnd"/>
      <w:r w:rsidRPr="0075587E">
        <w:rPr>
          <w:color w:val="auto"/>
          <w:sz w:val="22"/>
          <w:szCs w:val="22"/>
        </w:rPr>
        <w:t> provisions.</w:t>
      </w:r>
    </w:p>
    <w:p w14:paraId="1ECC58AE" w14:textId="292CC63B" w:rsidR="00CA09A9" w:rsidRPr="007C1449" w:rsidRDefault="00CA09A9" w:rsidP="00077C03">
      <w:pPr>
        <w:pStyle w:val="Default"/>
        <w:spacing w:after="120"/>
        <w:ind w:left="720"/>
        <w:jc w:val="both"/>
        <w:rPr>
          <w:rStyle w:val="eop"/>
          <w:rFonts w:eastAsiaTheme="majorEastAsia" w:cstheme="minorBidi"/>
          <w:color w:val="auto"/>
          <w:sz w:val="22"/>
          <w:szCs w:val="22"/>
        </w:rPr>
      </w:pPr>
      <w:r w:rsidRPr="0075587E">
        <w:rPr>
          <w:color w:val="auto"/>
          <w:sz w:val="22"/>
          <w:szCs w:val="22"/>
        </w:rPr>
        <w:t>We are not supportive of jurisdictions introduc</w:t>
      </w:r>
      <w:r w:rsidR="00701371">
        <w:rPr>
          <w:color w:val="auto"/>
          <w:sz w:val="22"/>
          <w:szCs w:val="22"/>
        </w:rPr>
        <w:t>ing</w:t>
      </w:r>
      <w:r w:rsidRPr="0075587E">
        <w:rPr>
          <w:color w:val="auto"/>
          <w:sz w:val="22"/>
          <w:szCs w:val="22"/>
        </w:rPr>
        <w:t xml:space="preserve"> an IIR that applies to groups with consolidated revenue of less than €750</w:t>
      </w:r>
      <w:r w:rsidRPr="0075587E">
        <w:rPr>
          <w:sz w:val="22"/>
          <w:szCs w:val="22"/>
        </w:rPr>
        <w:t xml:space="preserve"> million.  Many MNEs will struggle to aggregate the necessary data and perform the relevant analysis to apply the </w:t>
      </w:r>
      <w:proofErr w:type="spellStart"/>
      <w:r w:rsidRPr="0075587E">
        <w:rPr>
          <w:sz w:val="22"/>
          <w:szCs w:val="22"/>
        </w:rPr>
        <w:t>GloBE</w:t>
      </w:r>
      <w:proofErr w:type="spellEnd"/>
      <w:r w:rsidRPr="0075587E">
        <w:rPr>
          <w:sz w:val="22"/>
          <w:szCs w:val="22"/>
        </w:rPr>
        <w:t> provisions, and we would anticipate that these challenges will be particularly acute for smaller groups.  While even larger MNEs have expressed concerns</w:t>
      </w:r>
      <w:r w:rsidRPr="0075587E">
        <w:rPr>
          <w:rStyle w:val="normaltextrun"/>
          <w:color w:val="auto"/>
          <w:sz w:val="22"/>
          <w:szCs w:val="22"/>
        </w:rPr>
        <w:t xml:space="preserve"> regarding the administrability of the </w:t>
      </w:r>
      <w:proofErr w:type="spellStart"/>
      <w:r w:rsidRPr="0075587E">
        <w:rPr>
          <w:rStyle w:val="normaltextrun"/>
          <w:color w:val="auto"/>
          <w:sz w:val="22"/>
          <w:szCs w:val="22"/>
        </w:rPr>
        <w:t>GloBE</w:t>
      </w:r>
      <w:proofErr w:type="spellEnd"/>
      <w:r w:rsidRPr="0075587E">
        <w:rPr>
          <w:rStyle w:val="normaltextrun"/>
          <w:color w:val="auto"/>
          <w:sz w:val="22"/>
          <w:szCs w:val="22"/>
        </w:rPr>
        <w:t> rules, these concerns are mitigated by efforts to ensure that these provisions represent a multilateral solution, consistently applied on a global basis.  The introduction of jurisdictional optionality regarding a lower IIR revenue threshold creates additional</w:t>
      </w:r>
      <w:r w:rsidRPr="007C1449">
        <w:rPr>
          <w:rStyle w:val="normaltextrun"/>
          <w:color w:val="auto"/>
          <w:sz w:val="22"/>
          <w:szCs w:val="22"/>
        </w:rPr>
        <w:t xml:space="preserve"> uncertainty and complexity, while making it more difficult to coordinate the global application of these provisions and setting a concerning precedent for potential departures from a multilateral approach.</w:t>
      </w:r>
      <w:r w:rsidRPr="007C1449">
        <w:rPr>
          <w:rStyle w:val="eop"/>
          <w:color w:val="auto"/>
          <w:sz w:val="22"/>
          <w:szCs w:val="22"/>
        </w:rPr>
        <w:t> </w:t>
      </w:r>
    </w:p>
    <w:p w14:paraId="5B8A1868" w14:textId="77777777" w:rsidR="00201973" w:rsidRPr="007C1449" w:rsidRDefault="00201973" w:rsidP="00077C03">
      <w:pPr>
        <w:pStyle w:val="paragraph"/>
        <w:spacing w:before="0" w:beforeAutospacing="0" w:after="120" w:afterAutospacing="0"/>
        <w:ind w:left="720"/>
        <w:textAlignment w:val="baseline"/>
        <w:rPr>
          <w:rFonts w:ascii="Arial" w:hAnsi="Arial" w:cs="Arial"/>
          <w:sz w:val="18"/>
          <w:szCs w:val="18"/>
        </w:rPr>
      </w:pPr>
      <w:r w:rsidRPr="007C1449">
        <w:rPr>
          <w:rStyle w:val="normaltextrun"/>
          <w:rFonts w:ascii="Arial" w:eastAsiaTheme="majorEastAsia" w:hAnsi="Arial" w:cs="Arial"/>
          <w:b/>
          <w:bCs/>
          <w:i/>
          <w:iCs/>
          <w:sz w:val="22"/>
          <w:szCs w:val="22"/>
        </w:rPr>
        <w:t>Approach to blending</w:t>
      </w:r>
      <w:r w:rsidRPr="007C1449">
        <w:rPr>
          <w:rStyle w:val="eop"/>
          <w:rFonts w:ascii="Arial" w:eastAsiaTheme="majorEastAsia" w:hAnsi="Arial" w:cs="Arial"/>
          <w:sz w:val="22"/>
          <w:szCs w:val="22"/>
        </w:rPr>
        <w:t> </w:t>
      </w:r>
    </w:p>
    <w:p w14:paraId="63C200C9" w14:textId="1FFB4EC2" w:rsidR="00980E23" w:rsidRPr="00CE43DA" w:rsidRDefault="00201973" w:rsidP="00EB2AFB">
      <w:pPr>
        <w:pStyle w:val="Default"/>
        <w:spacing w:after="120"/>
        <w:ind w:left="720"/>
        <w:jc w:val="both"/>
        <w:rPr>
          <w:sz w:val="22"/>
          <w:szCs w:val="22"/>
        </w:rPr>
      </w:pPr>
      <w:r w:rsidRPr="007C1449">
        <w:rPr>
          <w:rStyle w:val="normaltextrun"/>
          <w:color w:val="auto"/>
          <w:sz w:val="22"/>
          <w:szCs w:val="22"/>
        </w:rPr>
        <w:t xml:space="preserve">The focus on a jurisdictional blending approach </w:t>
      </w:r>
      <w:r w:rsidR="0B080EAE" w:rsidRPr="31298A3A">
        <w:rPr>
          <w:rStyle w:val="normaltextrun"/>
          <w:color w:val="auto"/>
          <w:sz w:val="22"/>
          <w:szCs w:val="22"/>
        </w:rPr>
        <w:t>is</w:t>
      </w:r>
      <w:r w:rsidRPr="007C1449">
        <w:rPr>
          <w:rStyle w:val="normaltextrun"/>
          <w:color w:val="auto"/>
          <w:sz w:val="22"/>
          <w:szCs w:val="22"/>
        </w:rPr>
        <w:t xml:space="preserve"> a significant contributing factor to the complexity and administrative burden associated with the proposed </w:t>
      </w:r>
      <w:proofErr w:type="spellStart"/>
      <w:r w:rsidRPr="007C1449">
        <w:rPr>
          <w:rStyle w:val="normaltextrun"/>
          <w:color w:val="auto"/>
          <w:sz w:val="22"/>
          <w:szCs w:val="22"/>
        </w:rPr>
        <w:t>GloBE</w:t>
      </w:r>
      <w:proofErr w:type="spellEnd"/>
      <w:r w:rsidRPr="007C1449">
        <w:rPr>
          <w:rStyle w:val="normaltextrun"/>
          <w:color w:val="auto"/>
          <w:sz w:val="22"/>
          <w:szCs w:val="22"/>
        </w:rPr>
        <w:t xml:space="preserve"> rules.  We feel that global </w:t>
      </w:r>
      <w:r w:rsidRPr="00CE43DA">
        <w:rPr>
          <w:rStyle w:val="normaltextrun"/>
          <w:color w:val="auto"/>
          <w:sz w:val="22"/>
          <w:szCs w:val="22"/>
        </w:rPr>
        <w:t>blending provides a more appropriate balance between the policy objectives of the </w:t>
      </w:r>
      <w:proofErr w:type="spellStart"/>
      <w:r w:rsidRPr="00CE43DA">
        <w:rPr>
          <w:rStyle w:val="normaltextrun"/>
          <w:color w:val="auto"/>
          <w:sz w:val="22"/>
          <w:szCs w:val="22"/>
        </w:rPr>
        <w:t>GloBE</w:t>
      </w:r>
      <w:proofErr w:type="spellEnd"/>
      <w:r w:rsidRPr="00CE43DA">
        <w:rPr>
          <w:rStyle w:val="normaltextrun"/>
          <w:color w:val="auto"/>
          <w:sz w:val="22"/>
          <w:szCs w:val="22"/>
        </w:rPr>
        <w:t xml:space="preserve"> provisions and overall administrability of such provisions and continue to support global blending as the preferable alternative to jurisdictional </w:t>
      </w:r>
      <w:r w:rsidRPr="00CE43DA">
        <w:rPr>
          <w:sz w:val="22"/>
          <w:szCs w:val="22"/>
        </w:rPr>
        <w:t>blending.  The deference and acknowledgement to GILTI support alignment with global blending as the international standard</w:t>
      </w:r>
      <w:r w:rsidR="00CE43DA" w:rsidRPr="00CE43DA">
        <w:rPr>
          <w:sz w:val="22"/>
          <w:szCs w:val="22"/>
        </w:rPr>
        <w:t xml:space="preserve">. </w:t>
      </w:r>
    </w:p>
    <w:p w14:paraId="6A4C0B54" w14:textId="38BABB90" w:rsidR="00CE43DA" w:rsidRDefault="00CE43DA" w:rsidP="00077C03">
      <w:pPr>
        <w:pStyle w:val="Default"/>
        <w:spacing w:after="120"/>
        <w:ind w:left="720"/>
        <w:jc w:val="both"/>
        <w:rPr>
          <w:sz w:val="22"/>
          <w:szCs w:val="22"/>
        </w:rPr>
      </w:pPr>
      <w:r w:rsidRPr="00CE43DA">
        <w:rPr>
          <w:sz w:val="22"/>
          <w:szCs w:val="22"/>
        </w:rPr>
        <w:t xml:space="preserve">We acknowledge the OECD preference for a jurisdictional basis, but advocate that using a global </w:t>
      </w:r>
      <w:r>
        <w:rPr>
          <w:sz w:val="22"/>
          <w:szCs w:val="22"/>
        </w:rPr>
        <w:t>calculation</w:t>
      </w:r>
      <w:r w:rsidRPr="00CE43DA">
        <w:rPr>
          <w:sz w:val="22"/>
          <w:szCs w:val="22"/>
        </w:rPr>
        <w:t xml:space="preserve"> as a </w:t>
      </w:r>
      <w:r>
        <w:rPr>
          <w:sz w:val="22"/>
          <w:szCs w:val="22"/>
        </w:rPr>
        <w:t xml:space="preserve">safe harbour (e.g. at a higher rate than the </w:t>
      </w:r>
      <w:proofErr w:type="spellStart"/>
      <w:r>
        <w:rPr>
          <w:sz w:val="22"/>
          <w:szCs w:val="22"/>
        </w:rPr>
        <w:t>GloBE</w:t>
      </w:r>
      <w:proofErr w:type="spellEnd"/>
      <w:r>
        <w:rPr>
          <w:sz w:val="22"/>
          <w:szCs w:val="22"/>
        </w:rPr>
        <w:t xml:space="preserve"> minimum) </w:t>
      </w:r>
      <w:r w:rsidRPr="00CE43DA">
        <w:rPr>
          <w:sz w:val="22"/>
          <w:szCs w:val="22"/>
        </w:rPr>
        <w:t>could provide a welcome simplification</w:t>
      </w:r>
      <w:r>
        <w:rPr>
          <w:sz w:val="22"/>
          <w:szCs w:val="22"/>
        </w:rPr>
        <w:t xml:space="preserve"> and remove the costly compliance complexity for many groups operating predominantly in high tax jurisdictions.</w:t>
      </w:r>
    </w:p>
    <w:p w14:paraId="0E0EAB40" w14:textId="57853B4B" w:rsidR="006A51D4" w:rsidRPr="00CE43DA" w:rsidRDefault="00397442" w:rsidP="00077C03">
      <w:pPr>
        <w:pStyle w:val="Default"/>
        <w:spacing w:after="120"/>
        <w:ind w:left="720"/>
        <w:jc w:val="both"/>
        <w:rPr>
          <w:sz w:val="22"/>
          <w:szCs w:val="22"/>
        </w:rPr>
      </w:pPr>
      <w:r>
        <w:rPr>
          <w:sz w:val="22"/>
          <w:szCs w:val="22"/>
        </w:rPr>
        <w:t>In addition, u</w:t>
      </w:r>
      <w:r w:rsidR="00B534AF">
        <w:rPr>
          <w:sz w:val="22"/>
          <w:szCs w:val="22"/>
        </w:rPr>
        <w:t>sing</w:t>
      </w:r>
      <w:r w:rsidR="006A51D4">
        <w:rPr>
          <w:sz w:val="22"/>
          <w:szCs w:val="22"/>
        </w:rPr>
        <w:t xml:space="preserve"> </w:t>
      </w:r>
      <w:r w:rsidR="00B534AF">
        <w:rPr>
          <w:sz w:val="22"/>
          <w:szCs w:val="22"/>
        </w:rPr>
        <w:t xml:space="preserve">consolidated </w:t>
      </w:r>
      <w:r w:rsidR="006A51D4">
        <w:rPr>
          <w:sz w:val="22"/>
          <w:szCs w:val="22"/>
        </w:rPr>
        <w:t xml:space="preserve">accounting materiality would </w:t>
      </w:r>
      <w:r>
        <w:rPr>
          <w:sz w:val="22"/>
          <w:szCs w:val="22"/>
        </w:rPr>
        <w:t xml:space="preserve">achieve consistency of accounting rules and remove the need to resort to entity level financial information for </w:t>
      </w:r>
      <w:r w:rsidR="006A51D4">
        <w:rPr>
          <w:sz w:val="22"/>
          <w:szCs w:val="22"/>
        </w:rPr>
        <w:t>unco</w:t>
      </w:r>
      <w:r w:rsidR="00C3496A">
        <w:rPr>
          <w:sz w:val="22"/>
          <w:szCs w:val="22"/>
        </w:rPr>
        <w:t>nsolidated subsidiaries</w:t>
      </w:r>
      <w:r w:rsidR="00191B2D">
        <w:rPr>
          <w:sz w:val="22"/>
          <w:szCs w:val="22"/>
        </w:rPr>
        <w:t xml:space="preserve"> with potentially different accounting standards.</w:t>
      </w:r>
      <w:r w:rsidR="00C3496A">
        <w:rPr>
          <w:sz w:val="22"/>
          <w:szCs w:val="22"/>
        </w:rPr>
        <w:t xml:space="preserve"> </w:t>
      </w:r>
    </w:p>
    <w:p w14:paraId="7E129004" w14:textId="02E729BA" w:rsidR="00856C29" w:rsidRPr="00F254FB" w:rsidRDefault="00856C29" w:rsidP="00077C03">
      <w:pPr>
        <w:pStyle w:val="Default"/>
        <w:spacing w:after="120"/>
        <w:rPr>
          <w:color w:val="2F5496" w:themeColor="accent1" w:themeShade="BF"/>
          <w:sz w:val="22"/>
          <w:szCs w:val="22"/>
        </w:rPr>
      </w:pPr>
      <w:r w:rsidRPr="00F254FB">
        <w:rPr>
          <w:color w:val="2F5496" w:themeColor="accent1" w:themeShade="BF"/>
          <w:sz w:val="22"/>
          <w:szCs w:val="22"/>
        </w:rPr>
        <w:t xml:space="preserve">b. </w:t>
      </w:r>
      <w:proofErr w:type="spellStart"/>
      <w:r w:rsidRPr="00F254FB">
        <w:rPr>
          <w:b/>
          <w:bCs/>
          <w:color w:val="2F5496" w:themeColor="accent1" w:themeShade="BF"/>
          <w:sz w:val="22"/>
          <w:szCs w:val="22"/>
        </w:rPr>
        <w:t>CbC</w:t>
      </w:r>
      <w:proofErr w:type="spellEnd"/>
      <w:r w:rsidRPr="00F254FB">
        <w:rPr>
          <w:b/>
          <w:bCs/>
          <w:color w:val="2F5496" w:themeColor="accent1" w:themeShade="BF"/>
          <w:sz w:val="22"/>
          <w:szCs w:val="22"/>
        </w:rPr>
        <w:t xml:space="preserve"> Report ETR Safe Harbour. </w:t>
      </w:r>
      <w:r w:rsidRPr="00F254FB">
        <w:rPr>
          <w:color w:val="2F5496" w:themeColor="accent1" w:themeShade="BF"/>
          <w:sz w:val="22"/>
          <w:szCs w:val="22"/>
        </w:rPr>
        <w:t>[</w:t>
      </w:r>
      <w:r w:rsidRPr="00F254FB">
        <w:rPr>
          <w:i/>
          <w:iCs/>
          <w:color w:val="2F5496" w:themeColor="accent1" w:themeShade="BF"/>
          <w:sz w:val="22"/>
          <w:szCs w:val="22"/>
        </w:rPr>
        <w:t>Refers to paragraphs 381-390 of the Blueprint</w:t>
      </w:r>
      <w:r w:rsidRPr="00F254FB">
        <w:rPr>
          <w:color w:val="2F5496" w:themeColor="accent1" w:themeShade="BF"/>
          <w:sz w:val="22"/>
          <w:szCs w:val="22"/>
        </w:rPr>
        <w:t>]</w:t>
      </w:r>
    </w:p>
    <w:p w14:paraId="0CFDC303" w14:textId="77777777" w:rsidR="00856C29" w:rsidRPr="00F254FB" w:rsidRDefault="00856C29" w:rsidP="00077C03">
      <w:pPr>
        <w:pStyle w:val="Default"/>
        <w:spacing w:after="120"/>
        <w:rPr>
          <w:color w:val="2F5496" w:themeColor="accent1" w:themeShade="BF"/>
          <w:sz w:val="22"/>
          <w:szCs w:val="22"/>
        </w:rPr>
      </w:pPr>
      <w:r w:rsidRPr="00F254FB">
        <w:rPr>
          <w:color w:val="2F5496" w:themeColor="accent1" w:themeShade="BF"/>
          <w:sz w:val="22"/>
          <w:szCs w:val="22"/>
        </w:rPr>
        <w:t xml:space="preserve">2. Do any of the required adjustments, as described in the Blueprint, create significant additional complexity? Do you have any suggestions on how to streamline these required adjustments? </w:t>
      </w:r>
    </w:p>
    <w:p w14:paraId="4F5D7E75" w14:textId="141A5417" w:rsidR="00DF5C49" w:rsidRPr="00090F94" w:rsidRDefault="000276A7" w:rsidP="00077C03">
      <w:pPr>
        <w:pStyle w:val="Default"/>
        <w:spacing w:after="120"/>
        <w:ind w:left="720"/>
        <w:jc w:val="both"/>
        <w:rPr>
          <w:sz w:val="22"/>
          <w:szCs w:val="22"/>
        </w:rPr>
      </w:pPr>
      <w:r w:rsidRPr="00090F94">
        <w:rPr>
          <w:sz w:val="22"/>
          <w:szCs w:val="22"/>
        </w:rPr>
        <w:t xml:space="preserve">Alignment of Pillar </w:t>
      </w:r>
      <w:r w:rsidR="006442F6" w:rsidRPr="00090F94">
        <w:rPr>
          <w:sz w:val="22"/>
          <w:szCs w:val="22"/>
        </w:rPr>
        <w:t>Two</w:t>
      </w:r>
      <w:r w:rsidRPr="00090F94">
        <w:rPr>
          <w:sz w:val="22"/>
          <w:szCs w:val="22"/>
        </w:rPr>
        <w:t xml:space="preserve"> filing and tax payments with </w:t>
      </w:r>
      <w:proofErr w:type="spellStart"/>
      <w:r w:rsidRPr="00090F94">
        <w:rPr>
          <w:sz w:val="22"/>
          <w:szCs w:val="22"/>
        </w:rPr>
        <w:t>CbC</w:t>
      </w:r>
      <w:proofErr w:type="spellEnd"/>
      <w:r w:rsidRPr="00090F94">
        <w:rPr>
          <w:sz w:val="22"/>
          <w:szCs w:val="22"/>
        </w:rPr>
        <w:t xml:space="preserve"> timescales will be required where the </w:t>
      </w:r>
      <w:proofErr w:type="spellStart"/>
      <w:r w:rsidRPr="00090F94">
        <w:rPr>
          <w:sz w:val="22"/>
          <w:szCs w:val="22"/>
        </w:rPr>
        <w:t>CbC</w:t>
      </w:r>
      <w:proofErr w:type="spellEnd"/>
      <w:r w:rsidRPr="00090F94">
        <w:rPr>
          <w:sz w:val="22"/>
          <w:szCs w:val="22"/>
        </w:rPr>
        <w:t xml:space="preserve"> report is used as </w:t>
      </w:r>
      <w:r w:rsidR="006442F6" w:rsidRPr="00090F94">
        <w:rPr>
          <w:sz w:val="22"/>
          <w:szCs w:val="22"/>
        </w:rPr>
        <w:t>an input into Pillar Two calculations.</w:t>
      </w:r>
    </w:p>
    <w:p w14:paraId="7E2F0607" w14:textId="77777777" w:rsidR="00856C29" w:rsidRPr="00F254FB" w:rsidRDefault="00856C29" w:rsidP="00077C03">
      <w:pPr>
        <w:pStyle w:val="Default"/>
        <w:spacing w:after="120"/>
        <w:rPr>
          <w:color w:val="2F5496" w:themeColor="accent1" w:themeShade="BF"/>
          <w:sz w:val="22"/>
          <w:szCs w:val="22"/>
        </w:rPr>
      </w:pPr>
      <w:r w:rsidRPr="00F254FB">
        <w:rPr>
          <w:color w:val="2F5496" w:themeColor="accent1" w:themeShade="BF"/>
          <w:sz w:val="22"/>
          <w:szCs w:val="22"/>
        </w:rPr>
        <w:t xml:space="preserve">3. Do you support the idea of using deferred tax accounting to provide a more accurate picture of the MNE’s expected tax liability in each jurisdiction without the burden of computing and tracking carry-forwards? Would doing so add material complexity? </w:t>
      </w:r>
    </w:p>
    <w:p w14:paraId="2C948990" w14:textId="7D75AF48" w:rsidR="00034A81" w:rsidRPr="00C622E6" w:rsidRDefault="00034A81" w:rsidP="00077C03">
      <w:pPr>
        <w:pStyle w:val="Default"/>
        <w:spacing w:after="120"/>
        <w:ind w:left="720"/>
        <w:jc w:val="both"/>
        <w:rPr>
          <w:sz w:val="22"/>
          <w:szCs w:val="22"/>
        </w:rPr>
      </w:pPr>
      <w:r w:rsidRPr="00C622E6">
        <w:rPr>
          <w:sz w:val="22"/>
          <w:szCs w:val="22"/>
        </w:rPr>
        <w:t xml:space="preserve">As explained above, we believe that </w:t>
      </w:r>
      <w:r w:rsidR="00EC3EB3" w:rsidRPr="00C622E6">
        <w:rPr>
          <w:sz w:val="22"/>
          <w:szCs w:val="22"/>
        </w:rPr>
        <w:t xml:space="preserve">a mechanism based upon </w:t>
      </w:r>
      <w:r w:rsidRPr="00C622E6">
        <w:rPr>
          <w:sz w:val="22"/>
          <w:szCs w:val="22"/>
        </w:rPr>
        <w:t xml:space="preserve">deferred tax accounting can address many of the deficiencies that arise in the current proposed </w:t>
      </w:r>
      <w:proofErr w:type="spellStart"/>
      <w:r w:rsidRPr="00C622E6">
        <w:rPr>
          <w:sz w:val="22"/>
          <w:szCs w:val="22"/>
        </w:rPr>
        <w:t>GloBE</w:t>
      </w:r>
      <w:proofErr w:type="spellEnd"/>
      <w:r w:rsidRPr="00C622E6">
        <w:rPr>
          <w:sz w:val="22"/>
          <w:szCs w:val="22"/>
        </w:rPr>
        <w:t xml:space="preserve"> rules. </w:t>
      </w:r>
      <w:r w:rsidR="00326817">
        <w:rPr>
          <w:sz w:val="22"/>
          <w:szCs w:val="22"/>
        </w:rPr>
        <w:t xml:space="preserve">A deferred tax approach is likely to be </w:t>
      </w:r>
      <w:r w:rsidR="00885185">
        <w:rPr>
          <w:sz w:val="22"/>
          <w:szCs w:val="22"/>
        </w:rPr>
        <w:t>less distortive and rely on information already calculated so administratively more simple to operate.</w:t>
      </w:r>
      <w:r w:rsidRPr="00C622E6">
        <w:rPr>
          <w:sz w:val="22"/>
          <w:szCs w:val="22"/>
        </w:rPr>
        <w:t xml:space="preserve">  To the extent deferred tax accounting is not adopted, then the systemic and material timing items unique to the insurance industry that are explained above need to be taken into account as adjustments in the </w:t>
      </w:r>
      <w:proofErr w:type="spellStart"/>
      <w:r w:rsidRPr="00C622E6">
        <w:rPr>
          <w:sz w:val="22"/>
          <w:szCs w:val="22"/>
        </w:rPr>
        <w:t>GloBE</w:t>
      </w:r>
      <w:proofErr w:type="spellEnd"/>
      <w:r w:rsidRPr="00C622E6">
        <w:rPr>
          <w:sz w:val="22"/>
          <w:szCs w:val="22"/>
        </w:rPr>
        <w:t xml:space="preserve"> rules.</w:t>
      </w:r>
    </w:p>
    <w:p w14:paraId="194D6435" w14:textId="007B865F" w:rsidR="00856C29" w:rsidRPr="00F254FB" w:rsidRDefault="00856C29" w:rsidP="00077C03">
      <w:pPr>
        <w:pStyle w:val="Default"/>
        <w:spacing w:after="120"/>
        <w:rPr>
          <w:color w:val="2F5496" w:themeColor="accent1" w:themeShade="BF"/>
          <w:sz w:val="22"/>
          <w:szCs w:val="22"/>
        </w:rPr>
      </w:pPr>
      <w:r w:rsidRPr="00F254FB">
        <w:rPr>
          <w:color w:val="2F5496" w:themeColor="accent1" w:themeShade="BF"/>
          <w:sz w:val="22"/>
          <w:szCs w:val="22"/>
        </w:rPr>
        <w:t xml:space="preserve">c. </w:t>
      </w:r>
      <w:r w:rsidRPr="00F254FB">
        <w:rPr>
          <w:b/>
          <w:bCs/>
          <w:color w:val="2F5496" w:themeColor="accent1" w:themeShade="BF"/>
          <w:sz w:val="22"/>
          <w:szCs w:val="22"/>
        </w:rPr>
        <w:t xml:space="preserve">De minimis profit exclusion. </w:t>
      </w:r>
      <w:r w:rsidRPr="00F254FB">
        <w:rPr>
          <w:color w:val="2F5496" w:themeColor="accent1" w:themeShade="BF"/>
          <w:sz w:val="22"/>
          <w:szCs w:val="22"/>
        </w:rPr>
        <w:t>[</w:t>
      </w:r>
      <w:r w:rsidRPr="00F254FB">
        <w:rPr>
          <w:i/>
          <w:iCs/>
          <w:color w:val="2F5496" w:themeColor="accent1" w:themeShade="BF"/>
          <w:sz w:val="22"/>
          <w:szCs w:val="22"/>
        </w:rPr>
        <w:t>Refers to paragraphs 391-398 of the Blueprint</w:t>
      </w:r>
      <w:r w:rsidRPr="00F254FB">
        <w:rPr>
          <w:color w:val="2F5496" w:themeColor="accent1" w:themeShade="BF"/>
          <w:sz w:val="22"/>
          <w:szCs w:val="22"/>
        </w:rPr>
        <w:t xml:space="preserve">] </w:t>
      </w:r>
    </w:p>
    <w:p w14:paraId="07B04EEB" w14:textId="77777777" w:rsidR="00856C29" w:rsidRPr="00F254FB" w:rsidRDefault="00856C29" w:rsidP="00077C03">
      <w:pPr>
        <w:pStyle w:val="Default"/>
        <w:spacing w:after="120"/>
        <w:rPr>
          <w:color w:val="2F5496" w:themeColor="accent1" w:themeShade="BF"/>
          <w:sz w:val="22"/>
          <w:szCs w:val="22"/>
        </w:rPr>
      </w:pPr>
      <w:r w:rsidRPr="00F254FB">
        <w:rPr>
          <w:color w:val="2F5496" w:themeColor="accent1" w:themeShade="BF"/>
          <w:sz w:val="22"/>
          <w:szCs w:val="22"/>
        </w:rPr>
        <w:t xml:space="preserve">2. Do you have suggestions as to how this determination could be streamlined, for example by using ‘Profit (Loss) before Income Tax’ as reported in the </w:t>
      </w:r>
      <w:proofErr w:type="spellStart"/>
      <w:r w:rsidRPr="00F254FB">
        <w:rPr>
          <w:color w:val="2F5496" w:themeColor="accent1" w:themeShade="BF"/>
          <w:sz w:val="22"/>
          <w:szCs w:val="22"/>
        </w:rPr>
        <w:t>CbC</w:t>
      </w:r>
      <w:proofErr w:type="spellEnd"/>
      <w:r w:rsidRPr="00F254FB">
        <w:rPr>
          <w:color w:val="2F5496" w:themeColor="accent1" w:themeShade="BF"/>
          <w:sz w:val="22"/>
          <w:szCs w:val="22"/>
        </w:rPr>
        <w:t xml:space="preserve"> report? </w:t>
      </w:r>
    </w:p>
    <w:p w14:paraId="5537A61B" w14:textId="467006B7" w:rsidR="3DA9E5FC" w:rsidRDefault="00CB02B8" w:rsidP="00077C03">
      <w:pPr>
        <w:pStyle w:val="Default"/>
        <w:spacing w:after="120"/>
        <w:ind w:left="720"/>
        <w:jc w:val="both"/>
        <w:rPr>
          <w:sz w:val="22"/>
          <w:szCs w:val="22"/>
        </w:rPr>
      </w:pPr>
      <w:r w:rsidRPr="00D84FBC">
        <w:rPr>
          <w:sz w:val="22"/>
          <w:szCs w:val="22"/>
        </w:rPr>
        <w:t xml:space="preserve">We believe that simplification is required as the compliance burden of the full application of Pillar </w:t>
      </w:r>
      <w:r w:rsidR="00D84E16">
        <w:rPr>
          <w:sz w:val="22"/>
          <w:szCs w:val="22"/>
        </w:rPr>
        <w:t>Two</w:t>
      </w:r>
      <w:r w:rsidRPr="00D84FBC">
        <w:rPr>
          <w:sz w:val="22"/>
          <w:szCs w:val="22"/>
        </w:rPr>
        <w:t xml:space="preserve"> will be very high, including for territories where no Top-Up will be levied.  The Pillar </w:t>
      </w:r>
      <w:r w:rsidR="00D84E16">
        <w:rPr>
          <w:sz w:val="22"/>
          <w:szCs w:val="22"/>
        </w:rPr>
        <w:t>Two</w:t>
      </w:r>
      <w:r w:rsidRPr="00D84FBC">
        <w:rPr>
          <w:sz w:val="22"/>
          <w:szCs w:val="22"/>
        </w:rPr>
        <w:t xml:space="preserve"> principles are explicitly based on </w:t>
      </w:r>
      <w:proofErr w:type="spellStart"/>
      <w:r w:rsidRPr="00D84FBC">
        <w:rPr>
          <w:sz w:val="22"/>
          <w:szCs w:val="22"/>
        </w:rPr>
        <w:t>CbC</w:t>
      </w:r>
      <w:proofErr w:type="spellEnd"/>
      <w:r w:rsidRPr="00D84FBC">
        <w:rPr>
          <w:sz w:val="22"/>
          <w:szCs w:val="22"/>
        </w:rPr>
        <w:t xml:space="preserve"> principles. We therefore support the use of existing </w:t>
      </w:r>
      <w:proofErr w:type="spellStart"/>
      <w:r w:rsidRPr="00D84FBC">
        <w:rPr>
          <w:sz w:val="22"/>
          <w:szCs w:val="22"/>
        </w:rPr>
        <w:t>CbC</w:t>
      </w:r>
      <w:proofErr w:type="spellEnd"/>
      <w:r w:rsidRPr="00D84FBC">
        <w:rPr>
          <w:sz w:val="22"/>
          <w:szCs w:val="22"/>
        </w:rPr>
        <w:t xml:space="preserve"> numbers as a gateway to exclude those territories where no Top-U</w:t>
      </w:r>
      <w:r>
        <w:rPr>
          <w:sz w:val="22"/>
          <w:szCs w:val="22"/>
        </w:rPr>
        <w:t>p</w:t>
      </w:r>
      <w:r w:rsidRPr="00D84FBC">
        <w:rPr>
          <w:sz w:val="22"/>
          <w:szCs w:val="22"/>
        </w:rPr>
        <w:t xml:space="preserve"> will be levied and allow the full Pillar </w:t>
      </w:r>
      <w:r w:rsidR="00D84E16">
        <w:rPr>
          <w:sz w:val="22"/>
          <w:szCs w:val="22"/>
        </w:rPr>
        <w:t>Two</w:t>
      </w:r>
      <w:r w:rsidRPr="00D84FBC">
        <w:rPr>
          <w:sz w:val="22"/>
          <w:szCs w:val="22"/>
        </w:rPr>
        <w:t xml:space="preserve"> measures to be targeted appropriately</w:t>
      </w:r>
      <w:r>
        <w:rPr>
          <w:sz w:val="22"/>
          <w:szCs w:val="22"/>
        </w:rPr>
        <w:t>.</w:t>
      </w:r>
    </w:p>
    <w:p w14:paraId="09806097" w14:textId="77777777" w:rsidR="00856C29" w:rsidRPr="00F254FB" w:rsidRDefault="00856C29" w:rsidP="00077C03">
      <w:pPr>
        <w:pStyle w:val="Default"/>
        <w:spacing w:after="120"/>
        <w:rPr>
          <w:color w:val="2F5496" w:themeColor="accent1" w:themeShade="BF"/>
          <w:sz w:val="22"/>
          <w:szCs w:val="22"/>
        </w:rPr>
      </w:pPr>
      <w:r w:rsidRPr="00F254FB">
        <w:rPr>
          <w:color w:val="2F5496" w:themeColor="accent1" w:themeShade="BF"/>
          <w:sz w:val="22"/>
          <w:szCs w:val="22"/>
        </w:rPr>
        <w:t xml:space="preserve">5. In order to be effective, how should the de minimis threshold be set? Should it be a percentage of group profit, a fixed monetary amount threshold, or a combination of the two? </w:t>
      </w:r>
    </w:p>
    <w:p w14:paraId="103B77D6" w14:textId="6231DA12" w:rsidR="006412F6" w:rsidRDefault="006412F6" w:rsidP="00077C03">
      <w:pPr>
        <w:pStyle w:val="Default"/>
        <w:spacing w:after="120"/>
        <w:ind w:left="720"/>
        <w:jc w:val="both"/>
        <w:rPr>
          <w:sz w:val="22"/>
          <w:szCs w:val="22"/>
        </w:rPr>
      </w:pPr>
      <w:r w:rsidRPr="008309C5">
        <w:rPr>
          <w:sz w:val="22"/>
          <w:szCs w:val="22"/>
        </w:rPr>
        <w:t xml:space="preserve">The de minimis profit exclusion rule should work as a relative threshold </w:t>
      </w:r>
      <w:r w:rsidR="0090557E">
        <w:rPr>
          <w:sz w:val="22"/>
          <w:szCs w:val="22"/>
        </w:rPr>
        <w:t>based on the global profit of the MNE. The 2.5% proposed rate in the Blueprint enables MNEs to exclude entities that would normally not be taken into account in the consolidated financial statements.</w:t>
      </w:r>
    </w:p>
    <w:p w14:paraId="61E00791" w14:textId="77777777" w:rsidR="00856C29" w:rsidRPr="00F254FB" w:rsidRDefault="00856C29" w:rsidP="00077C03">
      <w:pPr>
        <w:pStyle w:val="Default"/>
        <w:spacing w:after="120"/>
        <w:rPr>
          <w:color w:val="2F5496" w:themeColor="accent1" w:themeShade="BF"/>
          <w:sz w:val="22"/>
          <w:szCs w:val="22"/>
        </w:rPr>
      </w:pPr>
      <w:r w:rsidRPr="00F254FB">
        <w:rPr>
          <w:color w:val="2F5496" w:themeColor="accent1" w:themeShade="BF"/>
          <w:sz w:val="22"/>
          <w:szCs w:val="22"/>
        </w:rPr>
        <w:t xml:space="preserve">VI. </w:t>
      </w:r>
      <w:r w:rsidRPr="00F254FB">
        <w:rPr>
          <w:b/>
          <w:bCs/>
          <w:color w:val="2F5496" w:themeColor="accent1" w:themeShade="BF"/>
          <w:sz w:val="22"/>
          <w:szCs w:val="22"/>
        </w:rPr>
        <w:t xml:space="preserve">Chapter 6: Income Inclusion and Switch-over rules </w:t>
      </w:r>
    </w:p>
    <w:p w14:paraId="75E4FE10" w14:textId="77777777" w:rsidR="00856C29" w:rsidRPr="00F254FB" w:rsidRDefault="00856C29" w:rsidP="00077C03">
      <w:pPr>
        <w:pStyle w:val="Default"/>
        <w:spacing w:after="120"/>
        <w:rPr>
          <w:color w:val="2F5496" w:themeColor="accent1" w:themeShade="BF"/>
          <w:sz w:val="22"/>
          <w:szCs w:val="22"/>
        </w:rPr>
      </w:pPr>
      <w:r w:rsidRPr="00F254FB">
        <w:rPr>
          <w:color w:val="2F5496" w:themeColor="accent1" w:themeShade="BF"/>
          <w:sz w:val="22"/>
          <w:szCs w:val="22"/>
        </w:rPr>
        <w:t xml:space="preserve">c. </w:t>
      </w:r>
      <w:r w:rsidRPr="00F254FB">
        <w:rPr>
          <w:b/>
          <w:bCs/>
          <w:color w:val="2F5496" w:themeColor="accent1" w:themeShade="BF"/>
          <w:sz w:val="22"/>
          <w:szCs w:val="22"/>
        </w:rPr>
        <w:t xml:space="preserve">Split-ownership. </w:t>
      </w:r>
      <w:r w:rsidRPr="00F254FB">
        <w:rPr>
          <w:color w:val="2F5496" w:themeColor="accent1" w:themeShade="BF"/>
          <w:sz w:val="22"/>
          <w:szCs w:val="22"/>
        </w:rPr>
        <w:t>[</w:t>
      </w:r>
      <w:r w:rsidRPr="00F254FB">
        <w:rPr>
          <w:i/>
          <w:iCs/>
          <w:color w:val="2F5496" w:themeColor="accent1" w:themeShade="BF"/>
          <w:sz w:val="22"/>
          <w:szCs w:val="22"/>
        </w:rPr>
        <w:t>Refers to paragraphs 434-452 of the Blueprint</w:t>
      </w:r>
      <w:r w:rsidRPr="00F254FB">
        <w:rPr>
          <w:color w:val="2F5496" w:themeColor="accent1" w:themeShade="BF"/>
          <w:sz w:val="22"/>
          <w:szCs w:val="22"/>
        </w:rPr>
        <w:t xml:space="preserve">] </w:t>
      </w:r>
    </w:p>
    <w:p w14:paraId="78B5A7FC" w14:textId="77777777" w:rsidR="00856C29" w:rsidRPr="00F254FB" w:rsidRDefault="00856C29" w:rsidP="00077C03">
      <w:pPr>
        <w:pStyle w:val="Default"/>
        <w:spacing w:after="120"/>
        <w:rPr>
          <w:color w:val="2F5496" w:themeColor="accent1" w:themeShade="BF"/>
          <w:sz w:val="22"/>
          <w:szCs w:val="22"/>
        </w:rPr>
      </w:pPr>
      <w:r w:rsidRPr="00F254FB">
        <w:rPr>
          <w:color w:val="2F5496" w:themeColor="accent1" w:themeShade="BF"/>
          <w:sz w:val="22"/>
          <w:szCs w:val="22"/>
        </w:rPr>
        <w:t xml:space="preserve">1. Do you have comments on the design of the proposed split-ownership rules? </w:t>
      </w:r>
    </w:p>
    <w:p w14:paraId="07D73690" w14:textId="35B61660" w:rsidR="0067545E" w:rsidRPr="00F254FB" w:rsidRDefault="0067545E" w:rsidP="00077C03">
      <w:pPr>
        <w:pStyle w:val="Default"/>
        <w:spacing w:after="120"/>
        <w:ind w:left="720"/>
        <w:jc w:val="both"/>
        <w:rPr>
          <w:color w:val="auto"/>
          <w:sz w:val="22"/>
          <w:szCs w:val="22"/>
        </w:rPr>
      </w:pPr>
      <w:r w:rsidRPr="00F254FB">
        <w:rPr>
          <w:color w:val="auto"/>
          <w:sz w:val="22"/>
          <w:szCs w:val="22"/>
        </w:rPr>
        <w:t xml:space="preserve">In case of split ownership, we understand that under the </w:t>
      </w:r>
      <w:proofErr w:type="spellStart"/>
      <w:r w:rsidRPr="00F254FB">
        <w:rPr>
          <w:color w:val="auto"/>
          <w:sz w:val="22"/>
          <w:szCs w:val="22"/>
        </w:rPr>
        <w:t>GloBE</w:t>
      </w:r>
      <w:proofErr w:type="spellEnd"/>
      <w:r w:rsidRPr="00F254FB">
        <w:rPr>
          <w:color w:val="auto"/>
          <w:sz w:val="22"/>
          <w:szCs w:val="22"/>
        </w:rPr>
        <w:t xml:space="preserve"> rules MNEs may be subject to multiple IIR liabilities, concerning the UPE and partially-owned intermediate parents. This would only increase the administrative and compliance costs of implementing Pillar </w:t>
      </w:r>
      <w:r w:rsidR="00C40B29">
        <w:rPr>
          <w:color w:val="auto"/>
          <w:sz w:val="22"/>
          <w:szCs w:val="22"/>
        </w:rPr>
        <w:t>Two</w:t>
      </w:r>
      <w:r w:rsidR="00477A25" w:rsidRPr="00477A25">
        <w:rPr>
          <w:color w:val="auto"/>
          <w:sz w:val="22"/>
          <w:szCs w:val="22"/>
        </w:rPr>
        <w:t xml:space="preserve"> </w:t>
      </w:r>
      <w:r w:rsidR="00477A25">
        <w:rPr>
          <w:color w:val="auto"/>
          <w:sz w:val="22"/>
          <w:szCs w:val="22"/>
        </w:rPr>
        <w:t xml:space="preserve">It would therefore be far easier if any IIR liability provided for under </w:t>
      </w:r>
      <w:proofErr w:type="spellStart"/>
      <w:r w:rsidR="00477A25">
        <w:rPr>
          <w:color w:val="auto"/>
          <w:sz w:val="22"/>
          <w:szCs w:val="22"/>
        </w:rPr>
        <w:t>GloBE</w:t>
      </w:r>
      <w:proofErr w:type="spellEnd"/>
      <w:r w:rsidR="00477A25">
        <w:rPr>
          <w:color w:val="auto"/>
          <w:sz w:val="22"/>
          <w:szCs w:val="22"/>
        </w:rPr>
        <w:t xml:space="preserve"> rules were dealt with by the UPE only.</w:t>
      </w:r>
    </w:p>
    <w:p w14:paraId="7B84B311" w14:textId="5A1D8D6C" w:rsidR="3DA9E5FC" w:rsidRPr="00F254FB" w:rsidRDefault="00856C29" w:rsidP="00077C03">
      <w:pPr>
        <w:pStyle w:val="Default"/>
        <w:spacing w:after="120"/>
        <w:rPr>
          <w:color w:val="2F5496" w:themeColor="accent1" w:themeShade="BF"/>
          <w:sz w:val="22"/>
          <w:szCs w:val="22"/>
        </w:rPr>
      </w:pPr>
      <w:r w:rsidRPr="00F254FB">
        <w:rPr>
          <w:color w:val="2F5496" w:themeColor="accent1" w:themeShade="BF"/>
          <w:sz w:val="22"/>
          <w:szCs w:val="22"/>
        </w:rPr>
        <w:t xml:space="preserve">VII. </w:t>
      </w:r>
      <w:r w:rsidRPr="00F254FB">
        <w:rPr>
          <w:b/>
          <w:bCs/>
          <w:color w:val="2F5496" w:themeColor="accent1" w:themeShade="BF"/>
          <w:sz w:val="22"/>
          <w:szCs w:val="22"/>
        </w:rPr>
        <w:t xml:space="preserve">Chapter 7: Undertaxed payments rule </w:t>
      </w:r>
    </w:p>
    <w:p w14:paraId="0BE42C89" w14:textId="3A4231CA" w:rsidR="00856C29" w:rsidRPr="00F254FB" w:rsidRDefault="00856C29" w:rsidP="00077C03">
      <w:pPr>
        <w:pStyle w:val="Default"/>
        <w:spacing w:after="120"/>
        <w:rPr>
          <w:color w:val="2F5496" w:themeColor="accent1" w:themeShade="BF"/>
          <w:sz w:val="22"/>
          <w:szCs w:val="22"/>
        </w:rPr>
      </w:pPr>
      <w:r w:rsidRPr="00F254FB">
        <w:rPr>
          <w:color w:val="2F5496" w:themeColor="accent1" w:themeShade="BF"/>
          <w:sz w:val="22"/>
          <w:szCs w:val="22"/>
        </w:rPr>
        <w:t xml:space="preserve">b. </w:t>
      </w:r>
      <w:r w:rsidRPr="00F254FB">
        <w:rPr>
          <w:b/>
          <w:bCs/>
          <w:color w:val="2F5496" w:themeColor="accent1" w:themeShade="BF"/>
          <w:sz w:val="22"/>
          <w:szCs w:val="22"/>
        </w:rPr>
        <w:t xml:space="preserve">Compliance and administration. </w:t>
      </w:r>
      <w:r w:rsidRPr="00F254FB">
        <w:rPr>
          <w:color w:val="2F5496" w:themeColor="accent1" w:themeShade="BF"/>
          <w:sz w:val="22"/>
          <w:szCs w:val="22"/>
        </w:rPr>
        <w:t>[</w:t>
      </w:r>
      <w:r w:rsidRPr="00F254FB">
        <w:rPr>
          <w:i/>
          <w:iCs/>
          <w:color w:val="2F5496" w:themeColor="accent1" w:themeShade="BF"/>
          <w:sz w:val="22"/>
          <w:szCs w:val="22"/>
        </w:rPr>
        <w:t>Refers to paragraphs 526-537 of the Blueprint</w:t>
      </w:r>
      <w:r w:rsidRPr="00F254FB">
        <w:rPr>
          <w:color w:val="2F5496" w:themeColor="accent1" w:themeShade="BF"/>
          <w:sz w:val="22"/>
          <w:szCs w:val="22"/>
        </w:rPr>
        <w:t>]</w:t>
      </w:r>
    </w:p>
    <w:p w14:paraId="22E3CBC1" w14:textId="3EBBD73B" w:rsidR="00856C29" w:rsidRPr="00F254FB" w:rsidRDefault="00856C29" w:rsidP="00077C03">
      <w:pPr>
        <w:pStyle w:val="Default"/>
        <w:spacing w:after="120"/>
        <w:rPr>
          <w:color w:val="2F5496" w:themeColor="accent1" w:themeShade="BF"/>
          <w:sz w:val="22"/>
          <w:szCs w:val="22"/>
        </w:rPr>
      </w:pPr>
      <w:r w:rsidRPr="00F254FB">
        <w:rPr>
          <w:color w:val="2F5496" w:themeColor="accent1" w:themeShade="BF"/>
          <w:sz w:val="22"/>
          <w:szCs w:val="22"/>
        </w:rPr>
        <w:t xml:space="preserve">of the rule or the deactivation of the rule in situations where the IIR applies? </w:t>
      </w:r>
    </w:p>
    <w:p w14:paraId="180C699B" w14:textId="24D6368B" w:rsidR="00856C29" w:rsidRDefault="00856C29" w:rsidP="00077C03">
      <w:pPr>
        <w:pStyle w:val="Default"/>
        <w:spacing w:after="120"/>
        <w:rPr>
          <w:color w:val="2F5496" w:themeColor="accent1" w:themeShade="BF"/>
          <w:sz w:val="22"/>
          <w:szCs w:val="22"/>
        </w:rPr>
      </w:pPr>
      <w:r w:rsidRPr="00F254FB">
        <w:rPr>
          <w:color w:val="2F5496" w:themeColor="accent1" w:themeShade="BF"/>
          <w:sz w:val="22"/>
          <w:szCs w:val="22"/>
        </w:rPr>
        <w:t xml:space="preserve">2. Are there ways in which these can be improved to further streamline the compliance burden on MNEs? </w:t>
      </w:r>
    </w:p>
    <w:p w14:paraId="3992EB4A" w14:textId="7B05AB47" w:rsidR="008C0FF2" w:rsidRPr="00090F94" w:rsidRDefault="008C0FF2" w:rsidP="00077C03">
      <w:pPr>
        <w:pStyle w:val="Default"/>
        <w:spacing w:after="120"/>
        <w:ind w:left="720"/>
        <w:jc w:val="both"/>
        <w:rPr>
          <w:color w:val="auto"/>
          <w:sz w:val="22"/>
          <w:szCs w:val="22"/>
        </w:rPr>
      </w:pPr>
      <w:r w:rsidRPr="00090F94">
        <w:rPr>
          <w:color w:val="auto"/>
          <w:sz w:val="22"/>
          <w:szCs w:val="22"/>
        </w:rPr>
        <w:t>We refer to our comments on timing differences above.</w:t>
      </w:r>
    </w:p>
    <w:p w14:paraId="6098B5D0" w14:textId="77777777" w:rsidR="00856C29" w:rsidRPr="00F254FB" w:rsidRDefault="00856C29" w:rsidP="00077C03">
      <w:pPr>
        <w:pStyle w:val="Default"/>
        <w:spacing w:after="120"/>
        <w:rPr>
          <w:color w:val="2F5496" w:themeColor="accent1" w:themeShade="BF"/>
          <w:sz w:val="22"/>
          <w:szCs w:val="22"/>
        </w:rPr>
      </w:pPr>
      <w:r w:rsidRPr="00F254FB">
        <w:rPr>
          <w:color w:val="2F5496" w:themeColor="accent1" w:themeShade="BF"/>
          <w:sz w:val="22"/>
          <w:szCs w:val="22"/>
        </w:rPr>
        <w:t xml:space="preserve">IX. </w:t>
      </w:r>
      <w:r w:rsidRPr="00F254FB">
        <w:rPr>
          <w:b/>
          <w:bCs/>
          <w:color w:val="2F5496" w:themeColor="accent1" w:themeShade="BF"/>
          <w:sz w:val="22"/>
          <w:szCs w:val="22"/>
        </w:rPr>
        <w:t xml:space="preserve">Chapter 9: Subject to tax rule </w:t>
      </w:r>
    </w:p>
    <w:p w14:paraId="5D83CEB8" w14:textId="77777777" w:rsidR="00856C29" w:rsidRPr="00C573C6" w:rsidRDefault="00856C29" w:rsidP="00077C03">
      <w:pPr>
        <w:pStyle w:val="Default"/>
        <w:spacing w:after="120"/>
        <w:rPr>
          <w:sz w:val="22"/>
          <w:szCs w:val="22"/>
        </w:rPr>
      </w:pPr>
      <w:r w:rsidRPr="00F254FB">
        <w:rPr>
          <w:color w:val="2F5496" w:themeColor="accent1" w:themeShade="BF"/>
          <w:sz w:val="22"/>
          <w:szCs w:val="22"/>
        </w:rPr>
        <w:t xml:space="preserve">a. </w:t>
      </w:r>
      <w:r w:rsidRPr="00F254FB">
        <w:rPr>
          <w:b/>
          <w:bCs/>
          <w:color w:val="2F5496" w:themeColor="accent1" w:themeShade="BF"/>
          <w:sz w:val="22"/>
          <w:szCs w:val="22"/>
        </w:rPr>
        <w:t xml:space="preserve">Covered payments and low-return exclusion. </w:t>
      </w:r>
      <w:r w:rsidRPr="00F254FB">
        <w:rPr>
          <w:color w:val="2F5496" w:themeColor="accent1" w:themeShade="BF"/>
          <w:sz w:val="22"/>
          <w:szCs w:val="22"/>
        </w:rPr>
        <w:t>[</w:t>
      </w:r>
      <w:r w:rsidRPr="00F254FB">
        <w:rPr>
          <w:i/>
          <w:iCs/>
          <w:color w:val="2F5496" w:themeColor="accent1" w:themeShade="BF"/>
          <w:sz w:val="22"/>
          <w:szCs w:val="22"/>
        </w:rPr>
        <w:t>Refers to paragraphs 588-616 of the Blueprint</w:t>
      </w:r>
      <w:r w:rsidRPr="00F254FB">
        <w:rPr>
          <w:color w:val="2F5496" w:themeColor="accent1" w:themeShade="BF"/>
          <w:sz w:val="22"/>
          <w:szCs w:val="22"/>
        </w:rPr>
        <w:t xml:space="preserve">] 1. Do you consider that the categories of covered payments and the exclusion for low-return payments ensures that the STTR focuses on the transactions that present significant BEPS risks? </w:t>
      </w:r>
    </w:p>
    <w:p w14:paraId="429035FA" w14:textId="6A38352A" w:rsidR="00856C29" w:rsidRPr="00F254FB" w:rsidRDefault="00F254FB" w:rsidP="00077C03">
      <w:pPr>
        <w:pStyle w:val="Default"/>
        <w:spacing w:after="120"/>
        <w:ind w:left="720"/>
        <w:rPr>
          <w:color w:val="auto"/>
          <w:sz w:val="22"/>
          <w:szCs w:val="22"/>
        </w:rPr>
      </w:pPr>
      <w:r>
        <w:rPr>
          <w:color w:val="auto"/>
          <w:sz w:val="22"/>
          <w:szCs w:val="22"/>
        </w:rPr>
        <w:t>Please see our detailed comments on the subject to tax rule</w:t>
      </w:r>
      <w:r w:rsidR="006F3004">
        <w:rPr>
          <w:color w:val="auto"/>
          <w:sz w:val="22"/>
          <w:szCs w:val="22"/>
        </w:rPr>
        <w:t xml:space="preserve"> above</w:t>
      </w:r>
      <w:r>
        <w:rPr>
          <w:color w:val="auto"/>
          <w:sz w:val="22"/>
          <w:szCs w:val="22"/>
        </w:rPr>
        <w:t>.</w:t>
      </w:r>
    </w:p>
    <w:p w14:paraId="2FDA3E94" w14:textId="77777777" w:rsidR="00856C29" w:rsidRPr="00F254FB" w:rsidRDefault="00856C29" w:rsidP="00077C03">
      <w:pPr>
        <w:pStyle w:val="Default"/>
        <w:spacing w:after="120"/>
        <w:rPr>
          <w:color w:val="2F5496" w:themeColor="accent1" w:themeShade="BF"/>
          <w:sz w:val="22"/>
          <w:szCs w:val="22"/>
        </w:rPr>
      </w:pPr>
      <w:r w:rsidRPr="00F254FB">
        <w:rPr>
          <w:color w:val="2F5496" w:themeColor="accent1" w:themeShade="BF"/>
          <w:sz w:val="22"/>
          <w:szCs w:val="22"/>
        </w:rPr>
        <w:t xml:space="preserve">X. </w:t>
      </w:r>
      <w:r w:rsidRPr="00F254FB">
        <w:rPr>
          <w:b/>
          <w:bCs/>
          <w:color w:val="2F5496" w:themeColor="accent1" w:themeShade="BF"/>
          <w:sz w:val="22"/>
          <w:szCs w:val="22"/>
        </w:rPr>
        <w:t xml:space="preserve">Chapter 10: Implementation and rule co-ordination </w:t>
      </w:r>
    </w:p>
    <w:p w14:paraId="25995A8E" w14:textId="120061E9" w:rsidR="00856C29" w:rsidRPr="00F254FB" w:rsidRDefault="00856C29" w:rsidP="00077C03">
      <w:pPr>
        <w:pStyle w:val="Default"/>
        <w:spacing w:after="120"/>
        <w:rPr>
          <w:color w:val="2F5496" w:themeColor="accent1" w:themeShade="BF"/>
          <w:sz w:val="22"/>
          <w:szCs w:val="22"/>
        </w:rPr>
      </w:pPr>
      <w:r w:rsidRPr="00F254FB">
        <w:rPr>
          <w:color w:val="2F5496" w:themeColor="accent1" w:themeShade="BF"/>
          <w:sz w:val="22"/>
          <w:szCs w:val="22"/>
        </w:rPr>
        <w:t xml:space="preserve">a. </w:t>
      </w:r>
      <w:r w:rsidRPr="00F254FB">
        <w:rPr>
          <w:b/>
          <w:bCs/>
          <w:color w:val="2F5496" w:themeColor="accent1" w:themeShade="BF"/>
          <w:sz w:val="22"/>
          <w:szCs w:val="22"/>
        </w:rPr>
        <w:t xml:space="preserve">Effective co-ordination of the </w:t>
      </w:r>
      <w:proofErr w:type="spellStart"/>
      <w:r w:rsidRPr="00F254FB">
        <w:rPr>
          <w:b/>
          <w:bCs/>
          <w:color w:val="2F5496" w:themeColor="accent1" w:themeShade="BF"/>
          <w:sz w:val="22"/>
          <w:szCs w:val="22"/>
        </w:rPr>
        <w:t>GloBE</w:t>
      </w:r>
      <w:proofErr w:type="spellEnd"/>
      <w:r w:rsidRPr="00F254FB">
        <w:rPr>
          <w:b/>
          <w:bCs/>
          <w:color w:val="2F5496" w:themeColor="accent1" w:themeShade="BF"/>
          <w:sz w:val="22"/>
          <w:szCs w:val="22"/>
        </w:rPr>
        <w:t xml:space="preserve"> rules. </w:t>
      </w:r>
      <w:r w:rsidRPr="00F254FB">
        <w:rPr>
          <w:color w:val="2F5496" w:themeColor="accent1" w:themeShade="BF"/>
          <w:sz w:val="22"/>
          <w:szCs w:val="22"/>
        </w:rPr>
        <w:t>[</w:t>
      </w:r>
      <w:r w:rsidRPr="00F254FB">
        <w:rPr>
          <w:i/>
          <w:iCs/>
          <w:color w:val="2F5496" w:themeColor="accent1" w:themeShade="BF"/>
          <w:sz w:val="22"/>
          <w:szCs w:val="22"/>
        </w:rPr>
        <w:t>Refers to paragraphs 697-708 of the Blueprint</w:t>
      </w:r>
      <w:r w:rsidRPr="00F254FB">
        <w:rPr>
          <w:color w:val="2F5496" w:themeColor="accent1" w:themeShade="BF"/>
          <w:sz w:val="22"/>
          <w:szCs w:val="22"/>
        </w:rPr>
        <w:t>]</w:t>
      </w:r>
    </w:p>
    <w:p w14:paraId="629F8D3A" w14:textId="431D8CDB" w:rsidR="00856C29" w:rsidRPr="00F254FB" w:rsidRDefault="00856C29" w:rsidP="00077C03">
      <w:pPr>
        <w:pStyle w:val="Default"/>
        <w:spacing w:after="120"/>
        <w:rPr>
          <w:color w:val="2F5496" w:themeColor="accent1" w:themeShade="BF"/>
          <w:sz w:val="22"/>
          <w:szCs w:val="22"/>
        </w:rPr>
      </w:pPr>
      <w:r w:rsidRPr="00F254FB">
        <w:rPr>
          <w:color w:val="2F5496" w:themeColor="accent1" w:themeShade="BF"/>
          <w:sz w:val="22"/>
          <w:szCs w:val="22"/>
        </w:rPr>
        <w:t xml:space="preserve">1. Are there any co-ordination mechanisms or other features of the </w:t>
      </w:r>
      <w:proofErr w:type="spellStart"/>
      <w:r w:rsidRPr="00F254FB">
        <w:rPr>
          <w:color w:val="2F5496" w:themeColor="accent1" w:themeShade="BF"/>
          <w:sz w:val="22"/>
          <w:szCs w:val="22"/>
        </w:rPr>
        <w:t>GloBE</w:t>
      </w:r>
      <w:proofErr w:type="spellEnd"/>
      <w:r w:rsidRPr="00F254FB">
        <w:rPr>
          <w:color w:val="2F5496" w:themeColor="accent1" w:themeShade="BF"/>
          <w:sz w:val="22"/>
          <w:szCs w:val="22"/>
        </w:rPr>
        <w:t xml:space="preserve"> that you would suggest exploring in order to provide for more tax certainty in applying the Pillar Two rules? </w:t>
      </w:r>
    </w:p>
    <w:p w14:paraId="050B3DB3" w14:textId="34A3B60B" w:rsidR="00C33DD5" w:rsidRPr="00F254FB" w:rsidRDefault="00C33DD5" w:rsidP="00077C03">
      <w:pPr>
        <w:pStyle w:val="Default"/>
        <w:spacing w:after="120"/>
        <w:ind w:left="720"/>
        <w:jc w:val="both"/>
        <w:rPr>
          <w:color w:val="auto"/>
          <w:sz w:val="22"/>
          <w:szCs w:val="22"/>
        </w:rPr>
      </w:pPr>
      <w:r w:rsidRPr="00F254FB">
        <w:rPr>
          <w:color w:val="auto"/>
          <w:sz w:val="22"/>
          <w:szCs w:val="22"/>
        </w:rPr>
        <w:t xml:space="preserve">Due to the complex rules under Pillar </w:t>
      </w:r>
      <w:r w:rsidR="00C40B29">
        <w:rPr>
          <w:color w:val="auto"/>
          <w:sz w:val="22"/>
          <w:szCs w:val="22"/>
        </w:rPr>
        <w:t>Two</w:t>
      </w:r>
      <w:r w:rsidRPr="00F254FB">
        <w:rPr>
          <w:color w:val="auto"/>
          <w:sz w:val="22"/>
          <w:szCs w:val="22"/>
        </w:rPr>
        <w:t xml:space="preserve"> there will be an inevitable increase in compliance burden for companies as well as tax authorities. To offset at least part of the additional compliance burden, the introduction of the rules should be accompanied with a cut back of existing anti-abuse rules with similar policy objectives. The envisioned rules already secure an effective minimum taxation of the (global) income of companies which are in scope of Pillar </w:t>
      </w:r>
      <w:r w:rsidR="00C40B29">
        <w:rPr>
          <w:color w:val="auto"/>
          <w:sz w:val="22"/>
          <w:szCs w:val="22"/>
        </w:rPr>
        <w:t>Two</w:t>
      </w:r>
      <w:r w:rsidRPr="00F254FB">
        <w:rPr>
          <w:color w:val="auto"/>
          <w:sz w:val="22"/>
          <w:szCs w:val="22"/>
        </w:rPr>
        <w:t xml:space="preserve">. Due to the applicable minimum taxation as well as the increased compliance burden it should be considered to exempt in-scope companies from comparable national anti-abuse rules. Otherwise the simultaneous application of national anti-abuse rules </w:t>
      </w:r>
      <w:r w:rsidR="00A86123">
        <w:rPr>
          <w:color w:val="auto"/>
          <w:sz w:val="22"/>
          <w:szCs w:val="22"/>
        </w:rPr>
        <w:t xml:space="preserve">(e.g. CFC, </w:t>
      </w:r>
      <w:r w:rsidR="00D232D4">
        <w:rPr>
          <w:color w:val="auto"/>
          <w:sz w:val="22"/>
          <w:szCs w:val="22"/>
        </w:rPr>
        <w:t xml:space="preserve">UK diverted profits tax, US BEAT) </w:t>
      </w:r>
      <w:r w:rsidRPr="00F254FB">
        <w:rPr>
          <w:color w:val="auto"/>
          <w:sz w:val="22"/>
          <w:szCs w:val="22"/>
        </w:rPr>
        <w:t xml:space="preserve">and the </w:t>
      </w:r>
      <w:proofErr w:type="spellStart"/>
      <w:r w:rsidRPr="00F254FB">
        <w:rPr>
          <w:color w:val="auto"/>
          <w:sz w:val="22"/>
          <w:szCs w:val="22"/>
        </w:rPr>
        <w:t>GloBE</w:t>
      </w:r>
      <w:proofErr w:type="spellEnd"/>
      <w:r w:rsidRPr="00F254FB">
        <w:rPr>
          <w:color w:val="auto"/>
          <w:sz w:val="22"/>
          <w:szCs w:val="22"/>
        </w:rPr>
        <w:t xml:space="preserve"> rules/STTR may result in double taxation as well as unnecessary bureaucratic expenditures.  </w:t>
      </w:r>
    </w:p>
    <w:p w14:paraId="16EB191F" w14:textId="77777777" w:rsidR="00856C29" w:rsidRPr="00F254FB" w:rsidRDefault="00856C29" w:rsidP="00077C03">
      <w:pPr>
        <w:pStyle w:val="Default"/>
        <w:spacing w:after="120"/>
        <w:rPr>
          <w:color w:val="2F5496" w:themeColor="accent1" w:themeShade="BF"/>
          <w:sz w:val="22"/>
          <w:szCs w:val="22"/>
        </w:rPr>
      </w:pPr>
      <w:r w:rsidRPr="00F254FB">
        <w:rPr>
          <w:color w:val="2F5496" w:themeColor="accent1" w:themeShade="BF"/>
          <w:sz w:val="22"/>
          <w:szCs w:val="22"/>
        </w:rPr>
        <w:t xml:space="preserve">b. </w:t>
      </w:r>
      <w:r w:rsidRPr="00F254FB">
        <w:rPr>
          <w:b/>
          <w:bCs/>
          <w:color w:val="2F5496" w:themeColor="accent1" w:themeShade="BF"/>
          <w:sz w:val="22"/>
          <w:szCs w:val="22"/>
        </w:rPr>
        <w:t xml:space="preserve">Dispute prevention and resolution. </w:t>
      </w:r>
      <w:r w:rsidRPr="00F254FB">
        <w:rPr>
          <w:color w:val="2F5496" w:themeColor="accent1" w:themeShade="BF"/>
          <w:sz w:val="22"/>
          <w:szCs w:val="22"/>
        </w:rPr>
        <w:t>[</w:t>
      </w:r>
      <w:r w:rsidRPr="00F254FB">
        <w:rPr>
          <w:i/>
          <w:iCs/>
          <w:color w:val="2F5496" w:themeColor="accent1" w:themeShade="BF"/>
          <w:sz w:val="22"/>
          <w:szCs w:val="22"/>
        </w:rPr>
        <w:t>Refers to paragraphs 709-715 of the Blueprint</w:t>
      </w:r>
      <w:r w:rsidRPr="00F254FB">
        <w:rPr>
          <w:color w:val="2F5496" w:themeColor="accent1" w:themeShade="BF"/>
          <w:sz w:val="22"/>
          <w:szCs w:val="22"/>
        </w:rPr>
        <w:t xml:space="preserve">] </w:t>
      </w:r>
    </w:p>
    <w:p w14:paraId="5D50898B" w14:textId="542F869D" w:rsidR="00856C29" w:rsidRPr="00090F94" w:rsidRDefault="00856C29" w:rsidP="00077C03">
      <w:pPr>
        <w:pStyle w:val="Default"/>
        <w:spacing w:after="120"/>
        <w:rPr>
          <w:color w:val="2F5496" w:themeColor="accent1" w:themeShade="BF"/>
          <w:sz w:val="22"/>
          <w:szCs w:val="22"/>
        </w:rPr>
      </w:pPr>
      <w:r w:rsidRPr="00F254FB">
        <w:rPr>
          <w:color w:val="2F5496" w:themeColor="accent1" w:themeShade="BF"/>
        </w:rPr>
        <w:t>1</w:t>
      </w:r>
      <w:r w:rsidRPr="00090F94">
        <w:rPr>
          <w:color w:val="2F5496" w:themeColor="accent1" w:themeShade="BF"/>
          <w:sz w:val="22"/>
          <w:szCs w:val="22"/>
        </w:rPr>
        <w:t>. In addition to the design features and proposed approach to implementation of the IIR and UTPR, what additional options do you think should be considered to minimise the scope for double taxation and dispute?</w:t>
      </w:r>
    </w:p>
    <w:p w14:paraId="2BE02826" w14:textId="0C591E89" w:rsidR="0081488D" w:rsidRPr="006F60EA" w:rsidRDefault="00F75ECC" w:rsidP="00077C03">
      <w:pPr>
        <w:pStyle w:val="Default"/>
        <w:spacing w:after="120"/>
        <w:ind w:left="720"/>
        <w:jc w:val="both"/>
        <w:rPr>
          <w:bCs/>
          <w:iCs/>
        </w:rPr>
      </w:pPr>
      <w:r>
        <w:rPr>
          <w:bCs/>
          <w:iCs/>
          <w:sz w:val="22"/>
          <w:szCs w:val="22"/>
        </w:rPr>
        <w:t>We</w:t>
      </w:r>
      <w:r w:rsidR="0081488D" w:rsidRPr="006F60EA">
        <w:rPr>
          <w:bCs/>
          <w:iCs/>
          <w:sz w:val="22"/>
          <w:szCs w:val="22"/>
        </w:rPr>
        <w:t xml:space="preserve"> support the development of a multilateral convention introducing provisions for dispute prevention and resolution as regards the implementation of </w:t>
      </w:r>
      <w:proofErr w:type="spellStart"/>
      <w:r w:rsidR="0081488D" w:rsidRPr="006F60EA">
        <w:rPr>
          <w:bCs/>
          <w:iCs/>
          <w:sz w:val="22"/>
          <w:szCs w:val="22"/>
        </w:rPr>
        <w:t>GloBE</w:t>
      </w:r>
      <w:proofErr w:type="spellEnd"/>
      <w:r w:rsidR="0081488D" w:rsidRPr="006F60EA">
        <w:rPr>
          <w:bCs/>
          <w:iCs/>
          <w:sz w:val="22"/>
          <w:szCs w:val="22"/>
        </w:rPr>
        <w:t xml:space="preserve"> rules, as well as provisions for the exchange of information between tax administrations.</w:t>
      </w:r>
    </w:p>
    <w:sectPr w:rsidR="0081488D" w:rsidRPr="006F60EA">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F4A293" w14:textId="77777777" w:rsidR="0082224C" w:rsidRDefault="0082224C" w:rsidP="00991510">
      <w:pPr>
        <w:spacing w:after="0" w:line="240" w:lineRule="auto"/>
      </w:pPr>
      <w:r>
        <w:separator/>
      </w:r>
    </w:p>
  </w:endnote>
  <w:endnote w:type="continuationSeparator" w:id="0">
    <w:p w14:paraId="626A58F5" w14:textId="77777777" w:rsidR="0082224C" w:rsidRDefault="0082224C" w:rsidP="00991510">
      <w:pPr>
        <w:spacing w:after="0" w:line="240" w:lineRule="auto"/>
      </w:pPr>
      <w:r>
        <w:continuationSeparator/>
      </w:r>
    </w:p>
  </w:endnote>
  <w:endnote w:type="continuationNotice" w:id="1">
    <w:p w14:paraId="4CDC8067" w14:textId="77777777" w:rsidR="0082224C" w:rsidRDefault="008222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2980785"/>
      <w:docPartObj>
        <w:docPartGallery w:val="Page Numbers (Bottom of Page)"/>
        <w:docPartUnique/>
      </w:docPartObj>
    </w:sdtPr>
    <w:sdtEndPr>
      <w:rPr>
        <w:noProof/>
      </w:rPr>
    </w:sdtEndPr>
    <w:sdtContent>
      <w:p w14:paraId="57CD38DD" w14:textId="0BAE3A88" w:rsidR="0029300B" w:rsidRDefault="0029300B">
        <w:pPr>
          <w:pStyle w:val="Pta"/>
          <w:jc w:val="right"/>
        </w:pPr>
        <w:r>
          <w:fldChar w:fldCharType="begin"/>
        </w:r>
        <w:r>
          <w:instrText xml:space="preserve"> PAGE   \* MERGEFORMAT </w:instrText>
        </w:r>
        <w:r>
          <w:fldChar w:fldCharType="separate"/>
        </w:r>
        <w:r>
          <w:rPr>
            <w:noProof/>
          </w:rPr>
          <w:t>2</w:t>
        </w:r>
        <w:r>
          <w:rPr>
            <w:noProof/>
          </w:rPr>
          <w:fldChar w:fldCharType="end"/>
        </w:r>
      </w:p>
    </w:sdtContent>
  </w:sdt>
  <w:p w14:paraId="6D4694D3" w14:textId="77777777" w:rsidR="0029300B" w:rsidRDefault="002930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3B07B7" w14:textId="77777777" w:rsidR="0082224C" w:rsidRDefault="0082224C" w:rsidP="00991510">
      <w:pPr>
        <w:spacing w:after="0" w:line="240" w:lineRule="auto"/>
      </w:pPr>
      <w:r>
        <w:separator/>
      </w:r>
    </w:p>
  </w:footnote>
  <w:footnote w:type="continuationSeparator" w:id="0">
    <w:p w14:paraId="752B28B3" w14:textId="77777777" w:rsidR="0082224C" w:rsidRDefault="0082224C" w:rsidP="00991510">
      <w:pPr>
        <w:spacing w:after="0" w:line="240" w:lineRule="auto"/>
      </w:pPr>
      <w:r>
        <w:continuationSeparator/>
      </w:r>
    </w:p>
  </w:footnote>
  <w:footnote w:type="continuationNotice" w:id="1">
    <w:p w14:paraId="1574D651" w14:textId="77777777" w:rsidR="0082224C" w:rsidRDefault="0082224C">
      <w:pPr>
        <w:spacing w:after="0" w:line="240" w:lineRule="auto"/>
      </w:pPr>
    </w:p>
  </w:footnote>
  <w:footnote w:id="2">
    <w:p w14:paraId="32C3F147" w14:textId="60AE79D5" w:rsidR="0029300B" w:rsidRPr="00090F94" w:rsidRDefault="0029300B" w:rsidP="00632AEF">
      <w:pPr>
        <w:pStyle w:val="Textpoznmkypodiarou"/>
      </w:pPr>
      <w:r>
        <w:rPr>
          <w:rStyle w:val="Odkaznapoznmkupodiarou"/>
        </w:rPr>
        <w:footnoteRef/>
      </w:r>
      <w:r>
        <w:t xml:space="preserve"> The unique position of the insurance industry is acknowledged in the Report on the Pillar One Blueprint at para 133 which sta</w:t>
      </w:r>
      <w:r w:rsidR="00306218">
        <w:t>te</w:t>
      </w:r>
      <w:r>
        <w:t>s “Insurers measure income and costs differently than other industries so traditional profit measurements might inaccurately result in excess profits that do not in reality exist. Most industries incur costs such as labour, raw materials, etc. at an early stage in the business cycle, with the corresponding revenues generated later in the process. The opposite is true of insurance: insurers collect premiums upfront but incur unpredictable costs later – sometimes much later – when they pay claims. The effect of these types of losses on the insurance industry is unique. The insurance industry’s role is to assume risk over many years, with an uncertain realisation and timing of the insured event. This exposes the industry to volatile profits and losses. Premium rates change over the cycle depending on the availability of capital. During a soft market (when capital is plentiful), competition reduces premium rates. But as the market hardens (when capital becomes scarce, typically after a major catastrophe), premiums rise. This creates a multi-year business cycle unique to the insurance industry. Current year profits are often based on insurance reserve estimates that reflect losses that may (or may not) occur and are based on complex actuarial modelling techniques. The ebb and flow of the insurance cycle makes the determination of normal returns for the industry difficult."</w:t>
      </w:r>
    </w:p>
  </w:footnote>
  <w:footnote w:id="3">
    <w:p w14:paraId="0CF1E5AB" w14:textId="77777777" w:rsidR="005B64C8" w:rsidRDefault="005B64C8" w:rsidP="005B64C8">
      <w:pPr>
        <w:pStyle w:val="Textpoznmkypodiarou"/>
      </w:pPr>
      <w:r>
        <w:rPr>
          <w:rStyle w:val="Odkaznapoznmkupodiarou"/>
        </w:rPr>
        <w:footnoteRef/>
      </w:r>
      <w:r>
        <w:t xml:space="preserve"> Discussion Draft of the Report on the Attribution of Profits to a Permanent Establishment, Part IV (Insurance), paragraph 14 (2005).</w:t>
      </w:r>
    </w:p>
  </w:footnote>
  <w:footnote w:id="4">
    <w:p w14:paraId="68C4628A" w14:textId="03A7947A" w:rsidR="00204F6B" w:rsidRPr="00090F94" w:rsidRDefault="00204F6B">
      <w:pPr>
        <w:pStyle w:val="Textpoznmkypodiarou"/>
        <w:rPr>
          <w:lang w:val="en-GB"/>
        </w:rPr>
      </w:pPr>
      <w:r>
        <w:rPr>
          <w:rStyle w:val="Odkaznapoznmkupodiarou"/>
        </w:rPr>
        <w:footnoteRef/>
      </w:r>
      <w:r>
        <w:t xml:space="preserve"> </w:t>
      </w:r>
      <w:r w:rsidR="00F033AF">
        <w:t xml:space="preserve">OECD </w:t>
      </w:r>
      <w:r>
        <w:t xml:space="preserve">Transfer Pricing Guidance on Financial Transactions </w:t>
      </w:r>
      <w:r w:rsidR="00F033AF">
        <w:t>paragraph 199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5132972"/>
      <w:docPartObj>
        <w:docPartGallery w:val="Watermarks"/>
        <w:docPartUnique/>
      </w:docPartObj>
    </w:sdtPr>
    <w:sdtEndPr/>
    <w:sdtContent>
      <w:p w14:paraId="5B338DFE" w14:textId="15C69AC5" w:rsidR="0029300B" w:rsidRDefault="004D42C0">
        <w:pPr>
          <w:pStyle w:val="Hlavika"/>
        </w:pPr>
        <w:r>
          <w:rPr>
            <w:noProof/>
          </w:rPr>
          <w:pict w14:anchorId="1BC8F2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336A"/>
    <w:multiLevelType w:val="multilevel"/>
    <w:tmpl w:val="4154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1" w15:restartNumberingAfterBreak="0">
    <w:nsid w:val="0D453ECA"/>
    <w:multiLevelType w:val="hybridMultilevel"/>
    <w:tmpl w:val="36B636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CE36FF"/>
    <w:multiLevelType w:val="hybridMultilevel"/>
    <w:tmpl w:val="2416DB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1B90A0C"/>
    <w:multiLevelType w:val="hybridMultilevel"/>
    <w:tmpl w:val="E85227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D138BE"/>
    <w:multiLevelType w:val="hybridMultilevel"/>
    <w:tmpl w:val="168AF6F6"/>
    <w:lvl w:ilvl="0" w:tplc="4E36F784">
      <w:start w:val="1"/>
      <w:numFmt w:val="bullet"/>
      <w:lvlText w:val=""/>
      <w:lvlJc w:val="left"/>
      <w:pPr>
        <w:tabs>
          <w:tab w:val="num" w:pos="720"/>
        </w:tabs>
        <w:ind w:left="720" w:hanging="360"/>
      </w:pPr>
      <w:rPr>
        <w:rFonts w:ascii="Symbol" w:hAnsi="Symbol" w:hint="default"/>
        <w:sz w:val="20"/>
      </w:rPr>
    </w:lvl>
    <w:lvl w:ilvl="1" w:tplc="1402F9EA" w:tentative="1">
      <w:start w:val="1"/>
      <w:numFmt w:val="bullet"/>
      <w:lvlText w:val=""/>
      <w:lvlJc w:val="left"/>
      <w:pPr>
        <w:tabs>
          <w:tab w:val="num" w:pos="1440"/>
        </w:tabs>
        <w:ind w:left="1440" w:hanging="360"/>
      </w:pPr>
      <w:rPr>
        <w:rFonts w:ascii="Symbol" w:hAnsi="Symbol" w:hint="default"/>
        <w:sz w:val="20"/>
      </w:rPr>
    </w:lvl>
    <w:lvl w:ilvl="2" w:tplc="3CB6A33C" w:tentative="1">
      <w:start w:val="1"/>
      <w:numFmt w:val="bullet"/>
      <w:lvlText w:val=""/>
      <w:lvlJc w:val="left"/>
      <w:pPr>
        <w:tabs>
          <w:tab w:val="num" w:pos="2160"/>
        </w:tabs>
        <w:ind w:left="2160" w:hanging="360"/>
      </w:pPr>
      <w:rPr>
        <w:rFonts w:ascii="Symbol" w:hAnsi="Symbol" w:hint="default"/>
        <w:sz w:val="20"/>
      </w:rPr>
    </w:lvl>
    <w:lvl w:ilvl="3" w:tplc="D10AED1E" w:tentative="1">
      <w:start w:val="1"/>
      <w:numFmt w:val="bullet"/>
      <w:lvlText w:val=""/>
      <w:lvlJc w:val="left"/>
      <w:pPr>
        <w:tabs>
          <w:tab w:val="num" w:pos="2880"/>
        </w:tabs>
        <w:ind w:left="2880" w:hanging="360"/>
      </w:pPr>
      <w:rPr>
        <w:rFonts w:ascii="Symbol" w:hAnsi="Symbol" w:hint="default"/>
        <w:sz w:val="20"/>
      </w:rPr>
    </w:lvl>
    <w:lvl w:ilvl="4" w:tplc="398AABD2" w:tentative="1">
      <w:start w:val="1"/>
      <w:numFmt w:val="bullet"/>
      <w:lvlText w:val=""/>
      <w:lvlJc w:val="left"/>
      <w:pPr>
        <w:tabs>
          <w:tab w:val="num" w:pos="3600"/>
        </w:tabs>
        <w:ind w:left="3600" w:hanging="360"/>
      </w:pPr>
      <w:rPr>
        <w:rFonts w:ascii="Symbol" w:hAnsi="Symbol" w:hint="default"/>
        <w:sz w:val="20"/>
      </w:rPr>
    </w:lvl>
    <w:lvl w:ilvl="5" w:tplc="067C0764" w:tentative="1">
      <w:start w:val="1"/>
      <w:numFmt w:val="bullet"/>
      <w:lvlText w:val=""/>
      <w:lvlJc w:val="left"/>
      <w:pPr>
        <w:tabs>
          <w:tab w:val="num" w:pos="4320"/>
        </w:tabs>
        <w:ind w:left="4320" w:hanging="360"/>
      </w:pPr>
      <w:rPr>
        <w:rFonts w:ascii="Symbol" w:hAnsi="Symbol" w:hint="default"/>
        <w:sz w:val="20"/>
      </w:rPr>
    </w:lvl>
    <w:lvl w:ilvl="6" w:tplc="D7CAF8B4" w:tentative="1">
      <w:start w:val="1"/>
      <w:numFmt w:val="bullet"/>
      <w:lvlText w:val=""/>
      <w:lvlJc w:val="left"/>
      <w:pPr>
        <w:tabs>
          <w:tab w:val="num" w:pos="5040"/>
        </w:tabs>
        <w:ind w:left="5040" w:hanging="360"/>
      </w:pPr>
      <w:rPr>
        <w:rFonts w:ascii="Symbol" w:hAnsi="Symbol" w:hint="default"/>
        <w:sz w:val="20"/>
      </w:rPr>
    </w:lvl>
    <w:lvl w:ilvl="7" w:tplc="AFD28036" w:tentative="1">
      <w:start w:val="1"/>
      <w:numFmt w:val="bullet"/>
      <w:lvlText w:val=""/>
      <w:lvlJc w:val="left"/>
      <w:pPr>
        <w:tabs>
          <w:tab w:val="num" w:pos="5760"/>
        </w:tabs>
        <w:ind w:left="5760" w:hanging="360"/>
      </w:pPr>
      <w:rPr>
        <w:rFonts w:ascii="Symbol" w:hAnsi="Symbol" w:hint="default"/>
        <w:sz w:val="20"/>
      </w:rPr>
    </w:lvl>
    <w:lvl w:ilvl="8" w:tplc="07E8B18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3A1147"/>
    <w:multiLevelType w:val="hybridMultilevel"/>
    <w:tmpl w:val="E5D2511A"/>
    <w:lvl w:ilvl="0" w:tplc="FC1081E0">
      <w:start w:val="1"/>
      <w:numFmt w:val="bullet"/>
      <w:lvlText w:val=""/>
      <w:lvlJc w:val="left"/>
      <w:pPr>
        <w:tabs>
          <w:tab w:val="num" w:pos="720"/>
        </w:tabs>
        <w:ind w:left="720" w:hanging="360"/>
      </w:pPr>
      <w:rPr>
        <w:rFonts w:ascii="Symbol" w:hAnsi="Symbol" w:hint="default"/>
        <w:sz w:val="20"/>
      </w:rPr>
    </w:lvl>
    <w:lvl w:ilvl="1" w:tplc="D07A5DFE" w:tentative="1">
      <w:start w:val="1"/>
      <w:numFmt w:val="bullet"/>
      <w:lvlText w:val=""/>
      <w:lvlJc w:val="left"/>
      <w:pPr>
        <w:tabs>
          <w:tab w:val="num" w:pos="1440"/>
        </w:tabs>
        <w:ind w:left="1440" w:hanging="360"/>
      </w:pPr>
      <w:rPr>
        <w:rFonts w:ascii="Symbol" w:hAnsi="Symbol" w:hint="default"/>
        <w:sz w:val="20"/>
      </w:rPr>
    </w:lvl>
    <w:lvl w:ilvl="2" w:tplc="4A3C34B2" w:tentative="1">
      <w:start w:val="1"/>
      <w:numFmt w:val="bullet"/>
      <w:lvlText w:val=""/>
      <w:lvlJc w:val="left"/>
      <w:pPr>
        <w:tabs>
          <w:tab w:val="num" w:pos="2160"/>
        </w:tabs>
        <w:ind w:left="2160" w:hanging="360"/>
      </w:pPr>
      <w:rPr>
        <w:rFonts w:ascii="Symbol" w:hAnsi="Symbol" w:hint="default"/>
        <w:sz w:val="20"/>
      </w:rPr>
    </w:lvl>
    <w:lvl w:ilvl="3" w:tplc="01F0B330" w:tentative="1">
      <w:start w:val="1"/>
      <w:numFmt w:val="bullet"/>
      <w:lvlText w:val=""/>
      <w:lvlJc w:val="left"/>
      <w:pPr>
        <w:tabs>
          <w:tab w:val="num" w:pos="2880"/>
        </w:tabs>
        <w:ind w:left="2880" w:hanging="360"/>
      </w:pPr>
      <w:rPr>
        <w:rFonts w:ascii="Symbol" w:hAnsi="Symbol" w:hint="default"/>
        <w:sz w:val="20"/>
      </w:rPr>
    </w:lvl>
    <w:lvl w:ilvl="4" w:tplc="CEC0572E" w:tentative="1">
      <w:start w:val="1"/>
      <w:numFmt w:val="bullet"/>
      <w:lvlText w:val=""/>
      <w:lvlJc w:val="left"/>
      <w:pPr>
        <w:tabs>
          <w:tab w:val="num" w:pos="3600"/>
        </w:tabs>
        <w:ind w:left="3600" w:hanging="360"/>
      </w:pPr>
      <w:rPr>
        <w:rFonts w:ascii="Symbol" w:hAnsi="Symbol" w:hint="default"/>
        <w:sz w:val="20"/>
      </w:rPr>
    </w:lvl>
    <w:lvl w:ilvl="5" w:tplc="0486E59A" w:tentative="1">
      <w:start w:val="1"/>
      <w:numFmt w:val="bullet"/>
      <w:lvlText w:val=""/>
      <w:lvlJc w:val="left"/>
      <w:pPr>
        <w:tabs>
          <w:tab w:val="num" w:pos="4320"/>
        </w:tabs>
        <w:ind w:left="4320" w:hanging="360"/>
      </w:pPr>
      <w:rPr>
        <w:rFonts w:ascii="Symbol" w:hAnsi="Symbol" w:hint="default"/>
        <w:sz w:val="20"/>
      </w:rPr>
    </w:lvl>
    <w:lvl w:ilvl="6" w:tplc="EB2CBC86" w:tentative="1">
      <w:start w:val="1"/>
      <w:numFmt w:val="bullet"/>
      <w:lvlText w:val=""/>
      <w:lvlJc w:val="left"/>
      <w:pPr>
        <w:tabs>
          <w:tab w:val="num" w:pos="5040"/>
        </w:tabs>
        <w:ind w:left="5040" w:hanging="360"/>
      </w:pPr>
      <w:rPr>
        <w:rFonts w:ascii="Symbol" w:hAnsi="Symbol" w:hint="default"/>
        <w:sz w:val="20"/>
      </w:rPr>
    </w:lvl>
    <w:lvl w:ilvl="7" w:tplc="D9400972" w:tentative="1">
      <w:start w:val="1"/>
      <w:numFmt w:val="bullet"/>
      <w:lvlText w:val=""/>
      <w:lvlJc w:val="left"/>
      <w:pPr>
        <w:tabs>
          <w:tab w:val="num" w:pos="5760"/>
        </w:tabs>
        <w:ind w:left="5760" w:hanging="360"/>
      </w:pPr>
      <w:rPr>
        <w:rFonts w:ascii="Symbol" w:hAnsi="Symbol" w:hint="default"/>
        <w:sz w:val="20"/>
      </w:rPr>
    </w:lvl>
    <w:lvl w:ilvl="8" w:tplc="B8D4274C"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194A87"/>
    <w:multiLevelType w:val="hybridMultilevel"/>
    <w:tmpl w:val="BCB4C774"/>
    <w:lvl w:ilvl="0" w:tplc="F9C49EAE">
      <w:start w:val="1"/>
      <w:numFmt w:val="bullet"/>
      <w:lvlText w:val=""/>
      <w:lvlJc w:val="left"/>
      <w:pPr>
        <w:tabs>
          <w:tab w:val="num" w:pos="720"/>
        </w:tabs>
        <w:ind w:left="720" w:hanging="360"/>
      </w:pPr>
      <w:rPr>
        <w:rFonts w:ascii="Symbol" w:hAnsi="Symbol" w:hint="default"/>
        <w:sz w:val="20"/>
      </w:rPr>
    </w:lvl>
    <w:lvl w:ilvl="1" w:tplc="E9E46166" w:tentative="1">
      <w:start w:val="1"/>
      <w:numFmt w:val="bullet"/>
      <w:lvlText w:val=""/>
      <w:lvlJc w:val="left"/>
      <w:pPr>
        <w:tabs>
          <w:tab w:val="num" w:pos="1440"/>
        </w:tabs>
        <w:ind w:left="1440" w:hanging="360"/>
      </w:pPr>
      <w:rPr>
        <w:rFonts w:ascii="Symbol" w:hAnsi="Symbol" w:hint="default"/>
        <w:sz w:val="20"/>
      </w:rPr>
    </w:lvl>
    <w:lvl w:ilvl="2" w:tplc="E5C0BABC" w:tentative="1">
      <w:start w:val="1"/>
      <w:numFmt w:val="bullet"/>
      <w:lvlText w:val=""/>
      <w:lvlJc w:val="left"/>
      <w:pPr>
        <w:tabs>
          <w:tab w:val="num" w:pos="2160"/>
        </w:tabs>
        <w:ind w:left="2160" w:hanging="360"/>
      </w:pPr>
      <w:rPr>
        <w:rFonts w:ascii="Symbol" w:hAnsi="Symbol" w:hint="default"/>
        <w:sz w:val="20"/>
      </w:rPr>
    </w:lvl>
    <w:lvl w:ilvl="3" w:tplc="5226CB1A" w:tentative="1">
      <w:start w:val="1"/>
      <w:numFmt w:val="bullet"/>
      <w:lvlText w:val=""/>
      <w:lvlJc w:val="left"/>
      <w:pPr>
        <w:tabs>
          <w:tab w:val="num" w:pos="2880"/>
        </w:tabs>
        <w:ind w:left="2880" w:hanging="360"/>
      </w:pPr>
      <w:rPr>
        <w:rFonts w:ascii="Symbol" w:hAnsi="Symbol" w:hint="default"/>
        <w:sz w:val="20"/>
      </w:rPr>
    </w:lvl>
    <w:lvl w:ilvl="4" w:tplc="5576F6E6" w:tentative="1">
      <w:start w:val="1"/>
      <w:numFmt w:val="bullet"/>
      <w:lvlText w:val=""/>
      <w:lvlJc w:val="left"/>
      <w:pPr>
        <w:tabs>
          <w:tab w:val="num" w:pos="3600"/>
        </w:tabs>
        <w:ind w:left="3600" w:hanging="360"/>
      </w:pPr>
      <w:rPr>
        <w:rFonts w:ascii="Symbol" w:hAnsi="Symbol" w:hint="default"/>
        <w:sz w:val="20"/>
      </w:rPr>
    </w:lvl>
    <w:lvl w:ilvl="5" w:tplc="8C5E5CB4" w:tentative="1">
      <w:start w:val="1"/>
      <w:numFmt w:val="bullet"/>
      <w:lvlText w:val=""/>
      <w:lvlJc w:val="left"/>
      <w:pPr>
        <w:tabs>
          <w:tab w:val="num" w:pos="4320"/>
        </w:tabs>
        <w:ind w:left="4320" w:hanging="360"/>
      </w:pPr>
      <w:rPr>
        <w:rFonts w:ascii="Symbol" w:hAnsi="Symbol" w:hint="default"/>
        <w:sz w:val="20"/>
      </w:rPr>
    </w:lvl>
    <w:lvl w:ilvl="6" w:tplc="CE24EF0E" w:tentative="1">
      <w:start w:val="1"/>
      <w:numFmt w:val="bullet"/>
      <w:lvlText w:val=""/>
      <w:lvlJc w:val="left"/>
      <w:pPr>
        <w:tabs>
          <w:tab w:val="num" w:pos="5040"/>
        </w:tabs>
        <w:ind w:left="5040" w:hanging="360"/>
      </w:pPr>
      <w:rPr>
        <w:rFonts w:ascii="Symbol" w:hAnsi="Symbol" w:hint="default"/>
        <w:sz w:val="20"/>
      </w:rPr>
    </w:lvl>
    <w:lvl w:ilvl="7" w:tplc="8444C7BC" w:tentative="1">
      <w:start w:val="1"/>
      <w:numFmt w:val="bullet"/>
      <w:lvlText w:val=""/>
      <w:lvlJc w:val="left"/>
      <w:pPr>
        <w:tabs>
          <w:tab w:val="num" w:pos="5760"/>
        </w:tabs>
        <w:ind w:left="5760" w:hanging="360"/>
      </w:pPr>
      <w:rPr>
        <w:rFonts w:ascii="Symbol" w:hAnsi="Symbol" w:hint="default"/>
        <w:sz w:val="20"/>
      </w:rPr>
    </w:lvl>
    <w:lvl w:ilvl="8" w:tplc="F1D6497E"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1D73C5"/>
    <w:multiLevelType w:val="hybridMultilevel"/>
    <w:tmpl w:val="5B763614"/>
    <w:lvl w:ilvl="0" w:tplc="3ED29006">
      <w:start w:val="1"/>
      <w:numFmt w:val="bullet"/>
      <w:lvlText w:val="o"/>
      <w:lvlJc w:val="left"/>
      <w:pPr>
        <w:tabs>
          <w:tab w:val="num" w:pos="720"/>
        </w:tabs>
        <w:ind w:left="720" w:hanging="360"/>
      </w:pPr>
      <w:rPr>
        <w:rFonts w:ascii="Courier New" w:hAnsi="Courier New" w:hint="default"/>
        <w:sz w:val="20"/>
      </w:rPr>
    </w:lvl>
    <w:lvl w:ilvl="1" w:tplc="E2660A0C" w:tentative="1">
      <w:start w:val="1"/>
      <w:numFmt w:val="bullet"/>
      <w:lvlText w:val="o"/>
      <w:lvlJc w:val="left"/>
      <w:pPr>
        <w:tabs>
          <w:tab w:val="num" w:pos="1440"/>
        </w:tabs>
        <w:ind w:left="1440" w:hanging="360"/>
      </w:pPr>
      <w:rPr>
        <w:rFonts w:ascii="Courier New" w:hAnsi="Courier New" w:hint="default"/>
        <w:sz w:val="20"/>
      </w:rPr>
    </w:lvl>
    <w:lvl w:ilvl="2" w:tplc="AE0EE63A" w:tentative="1">
      <w:start w:val="1"/>
      <w:numFmt w:val="bullet"/>
      <w:lvlText w:val="o"/>
      <w:lvlJc w:val="left"/>
      <w:pPr>
        <w:tabs>
          <w:tab w:val="num" w:pos="2160"/>
        </w:tabs>
        <w:ind w:left="2160" w:hanging="360"/>
      </w:pPr>
      <w:rPr>
        <w:rFonts w:ascii="Courier New" w:hAnsi="Courier New" w:hint="default"/>
        <w:sz w:val="20"/>
      </w:rPr>
    </w:lvl>
    <w:lvl w:ilvl="3" w:tplc="BACCAD58" w:tentative="1">
      <w:start w:val="1"/>
      <w:numFmt w:val="bullet"/>
      <w:lvlText w:val="o"/>
      <w:lvlJc w:val="left"/>
      <w:pPr>
        <w:tabs>
          <w:tab w:val="num" w:pos="2880"/>
        </w:tabs>
        <w:ind w:left="2880" w:hanging="360"/>
      </w:pPr>
      <w:rPr>
        <w:rFonts w:ascii="Courier New" w:hAnsi="Courier New" w:hint="default"/>
        <w:sz w:val="20"/>
      </w:rPr>
    </w:lvl>
    <w:lvl w:ilvl="4" w:tplc="AC361D74" w:tentative="1">
      <w:start w:val="1"/>
      <w:numFmt w:val="bullet"/>
      <w:lvlText w:val="o"/>
      <w:lvlJc w:val="left"/>
      <w:pPr>
        <w:tabs>
          <w:tab w:val="num" w:pos="3600"/>
        </w:tabs>
        <w:ind w:left="3600" w:hanging="360"/>
      </w:pPr>
      <w:rPr>
        <w:rFonts w:ascii="Courier New" w:hAnsi="Courier New" w:hint="default"/>
        <w:sz w:val="20"/>
      </w:rPr>
    </w:lvl>
    <w:lvl w:ilvl="5" w:tplc="43BCE8E2" w:tentative="1">
      <w:start w:val="1"/>
      <w:numFmt w:val="bullet"/>
      <w:lvlText w:val="o"/>
      <w:lvlJc w:val="left"/>
      <w:pPr>
        <w:tabs>
          <w:tab w:val="num" w:pos="4320"/>
        </w:tabs>
        <w:ind w:left="4320" w:hanging="360"/>
      </w:pPr>
      <w:rPr>
        <w:rFonts w:ascii="Courier New" w:hAnsi="Courier New" w:hint="default"/>
        <w:sz w:val="20"/>
      </w:rPr>
    </w:lvl>
    <w:lvl w:ilvl="6" w:tplc="EDFA37C4" w:tentative="1">
      <w:start w:val="1"/>
      <w:numFmt w:val="bullet"/>
      <w:lvlText w:val="o"/>
      <w:lvlJc w:val="left"/>
      <w:pPr>
        <w:tabs>
          <w:tab w:val="num" w:pos="5040"/>
        </w:tabs>
        <w:ind w:left="5040" w:hanging="360"/>
      </w:pPr>
      <w:rPr>
        <w:rFonts w:ascii="Courier New" w:hAnsi="Courier New" w:hint="default"/>
        <w:sz w:val="20"/>
      </w:rPr>
    </w:lvl>
    <w:lvl w:ilvl="7" w:tplc="E32C9544" w:tentative="1">
      <w:start w:val="1"/>
      <w:numFmt w:val="bullet"/>
      <w:lvlText w:val="o"/>
      <w:lvlJc w:val="left"/>
      <w:pPr>
        <w:tabs>
          <w:tab w:val="num" w:pos="5760"/>
        </w:tabs>
        <w:ind w:left="5760" w:hanging="360"/>
      </w:pPr>
      <w:rPr>
        <w:rFonts w:ascii="Courier New" w:hAnsi="Courier New" w:hint="default"/>
        <w:sz w:val="20"/>
      </w:rPr>
    </w:lvl>
    <w:lvl w:ilvl="8" w:tplc="E214B474"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1125A6D"/>
    <w:multiLevelType w:val="multilevel"/>
    <w:tmpl w:val="B5CCC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5B5393"/>
    <w:multiLevelType w:val="hybridMultilevel"/>
    <w:tmpl w:val="B03801D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224606F2"/>
    <w:multiLevelType w:val="hybridMultilevel"/>
    <w:tmpl w:val="63D69BBA"/>
    <w:lvl w:ilvl="0" w:tplc="DEBC68D6">
      <w:start w:val="1"/>
      <w:numFmt w:val="bullet"/>
      <w:lvlText w:val=""/>
      <w:lvlJc w:val="left"/>
      <w:pPr>
        <w:tabs>
          <w:tab w:val="num" w:pos="720"/>
        </w:tabs>
        <w:ind w:left="720" w:hanging="360"/>
      </w:pPr>
      <w:rPr>
        <w:rFonts w:ascii="Symbol" w:hAnsi="Symbol" w:hint="default"/>
        <w:sz w:val="20"/>
      </w:rPr>
    </w:lvl>
    <w:lvl w:ilvl="1" w:tplc="45D21C6C" w:tentative="1">
      <w:start w:val="1"/>
      <w:numFmt w:val="bullet"/>
      <w:lvlText w:val=""/>
      <w:lvlJc w:val="left"/>
      <w:pPr>
        <w:tabs>
          <w:tab w:val="num" w:pos="1440"/>
        </w:tabs>
        <w:ind w:left="1440" w:hanging="360"/>
      </w:pPr>
      <w:rPr>
        <w:rFonts w:ascii="Symbol" w:hAnsi="Symbol" w:hint="default"/>
        <w:sz w:val="20"/>
      </w:rPr>
    </w:lvl>
    <w:lvl w:ilvl="2" w:tplc="C0C6F028" w:tentative="1">
      <w:start w:val="1"/>
      <w:numFmt w:val="bullet"/>
      <w:lvlText w:val=""/>
      <w:lvlJc w:val="left"/>
      <w:pPr>
        <w:tabs>
          <w:tab w:val="num" w:pos="2160"/>
        </w:tabs>
        <w:ind w:left="2160" w:hanging="360"/>
      </w:pPr>
      <w:rPr>
        <w:rFonts w:ascii="Symbol" w:hAnsi="Symbol" w:hint="default"/>
        <w:sz w:val="20"/>
      </w:rPr>
    </w:lvl>
    <w:lvl w:ilvl="3" w:tplc="CD18C910" w:tentative="1">
      <w:start w:val="1"/>
      <w:numFmt w:val="bullet"/>
      <w:lvlText w:val=""/>
      <w:lvlJc w:val="left"/>
      <w:pPr>
        <w:tabs>
          <w:tab w:val="num" w:pos="2880"/>
        </w:tabs>
        <w:ind w:left="2880" w:hanging="360"/>
      </w:pPr>
      <w:rPr>
        <w:rFonts w:ascii="Symbol" w:hAnsi="Symbol" w:hint="default"/>
        <w:sz w:val="20"/>
      </w:rPr>
    </w:lvl>
    <w:lvl w:ilvl="4" w:tplc="E7AA2B24" w:tentative="1">
      <w:start w:val="1"/>
      <w:numFmt w:val="bullet"/>
      <w:lvlText w:val=""/>
      <w:lvlJc w:val="left"/>
      <w:pPr>
        <w:tabs>
          <w:tab w:val="num" w:pos="3600"/>
        </w:tabs>
        <w:ind w:left="3600" w:hanging="360"/>
      </w:pPr>
      <w:rPr>
        <w:rFonts w:ascii="Symbol" w:hAnsi="Symbol" w:hint="default"/>
        <w:sz w:val="20"/>
      </w:rPr>
    </w:lvl>
    <w:lvl w:ilvl="5" w:tplc="57388456" w:tentative="1">
      <w:start w:val="1"/>
      <w:numFmt w:val="bullet"/>
      <w:lvlText w:val=""/>
      <w:lvlJc w:val="left"/>
      <w:pPr>
        <w:tabs>
          <w:tab w:val="num" w:pos="4320"/>
        </w:tabs>
        <w:ind w:left="4320" w:hanging="360"/>
      </w:pPr>
      <w:rPr>
        <w:rFonts w:ascii="Symbol" w:hAnsi="Symbol" w:hint="default"/>
        <w:sz w:val="20"/>
      </w:rPr>
    </w:lvl>
    <w:lvl w:ilvl="6" w:tplc="3894DBAA" w:tentative="1">
      <w:start w:val="1"/>
      <w:numFmt w:val="bullet"/>
      <w:lvlText w:val=""/>
      <w:lvlJc w:val="left"/>
      <w:pPr>
        <w:tabs>
          <w:tab w:val="num" w:pos="5040"/>
        </w:tabs>
        <w:ind w:left="5040" w:hanging="360"/>
      </w:pPr>
      <w:rPr>
        <w:rFonts w:ascii="Symbol" w:hAnsi="Symbol" w:hint="default"/>
        <w:sz w:val="20"/>
      </w:rPr>
    </w:lvl>
    <w:lvl w:ilvl="7" w:tplc="9DF099DE" w:tentative="1">
      <w:start w:val="1"/>
      <w:numFmt w:val="bullet"/>
      <w:lvlText w:val=""/>
      <w:lvlJc w:val="left"/>
      <w:pPr>
        <w:tabs>
          <w:tab w:val="num" w:pos="5760"/>
        </w:tabs>
        <w:ind w:left="5760" w:hanging="360"/>
      </w:pPr>
      <w:rPr>
        <w:rFonts w:ascii="Symbol" w:hAnsi="Symbol" w:hint="default"/>
        <w:sz w:val="20"/>
      </w:rPr>
    </w:lvl>
    <w:lvl w:ilvl="8" w:tplc="4A0E7F0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C0754F"/>
    <w:multiLevelType w:val="hybridMultilevel"/>
    <w:tmpl w:val="563CA382"/>
    <w:lvl w:ilvl="0" w:tplc="5034494A">
      <w:start w:val="1"/>
      <w:numFmt w:val="bullet"/>
      <w:lvlText w:val=""/>
      <w:lvlJc w:val="left"/>
      <w:pPr>
        <w:tabs>
          <w:tab w:val="num" w:pos="720"/>
        </w:tabs>
        <w:ind w:left="720" w:hanging="360"/>
      </w:pPr>
      <w:rPr>
        <w:rFonts w:ascii="Symbol" w:hAnsi="Symbol" w:hint="default"/>
        <w:sz w:val="20"/>
      </w:rPr>
    </w:lvl>
    <w:lvl w:ilvl="1" w:tplc="102EEFE8" w:tentative="1">
      <w:start w:val="1"/>
      <w:numFmt w:val="bullet"/>
      <w:lvlText w:val=""/>
      <w:lvlJc w:val="left"/>
      <w:pPr>
        <w:tabs>
          <w:tab w:val="num" w:pos="1440"/>
        </w:tabs>
        <w:ind w:left="1440" w:hanging="360"/>
      </w:pPr>
      <w:rPr>
        <w:rFonts w:ascii="Symbol" w:hAnsi="Symbol" w:hint="default"/>
        <w:sz w:val="20"/>
      </w:rPr>
    </w:lvl>
    <w:lvl w:ilvl="2" w:tplc="34E82FB4" w:tentative="1">
      <w:start w:val="1"/>
      <w:numFmt w:val="bullet"/>
      <w:lvlText w:val=""/>
      <w:lvlJc w:val="left"/>
      <w:pPr>
        <w:tabs>
          <w:tab w:val="num" w:pos="2160"/>
        </w:tabs>
        <w:ind w:left="2160" w:hanging="360"/>
      </w:pPr>
      <w:rPr>
        <w:rFonts w:ascii="Symbol" w:hAnsi="Symbol" w:hint="default"/>
        <w:sz w:val="20"/>
      </w:rPr>
    </w:lvl>
    <w:lvl w:ilvl="3" w:tplc="8538365C" w:tentative="1">
      <w:start w:val="1"/>
      <w:numFmt w:val="bullet"/>
      <w:lvlText w:val=""/>
      <w:lvlJc w:val="left"/>
      <w:pPr>
        <w:tabs>
          <w:tab w:val="num" w:pos="2880"/>
        </w:tabs>
        <w:ind w:left="2880" w:hanging="360"/>
      </w:pPr>
      <w:rPr>
        <w:rFonts w:ascii="Symbol" w:hAnsi="Symbol" w:hint="default"/>
        <w:sz w:val="20"/>
      </w:rPr>
    </w:lvl>
    <w:lvl w:ilvl="4" w:tplc="C9C077AA" w:tentative="1">
      <w:start w:val="1"/>
      <w:numFmt w:val="bullet"/>
      <w:lvlText w:val=""/>
      <w:lvlJc w:val="left"/>
      <w:pPr>
        <w:tabs>
          <w:tab w:val="num" w:pos="3600"/>
        </w:tabs>
        <w:ind w:left="3600" w:hanging="360"/>
      </w:pPr>
      <w:rPr>
        <w:rFonts w:ascii="Symbol" w:hAnsi="Symbol" w:hint="default"/>
        <w:sz w:val="20"/>
      </w:rPr>
    </w:lvl>
    <w:lvl w:ilvl="5" w:tplc="475871F0" w:tentative="1">
      <w:start w:val="1"/>
      <w:numFmt w:val="bullet"/>
      <w:lvlText w:val=""/>
      <w:lvlJc w:val="left"/>
      <w:pPr>
        <w:tabs>
          <w:tab w:val="num" w:pos="4320"/>
        </w:tabs>
        <w:ind w:left="4320" w:hanging="360"/>
      </w:pPr>
      <w:rPr>
        <w:rFonts w:ascii="Symbol" w:hAnsi="Symbol" w:hint="default"/>
        <w:sz w:val="20"/>
      </w:rPr>
    </w:lvl>
    <w:lvl w:ilvl="6" w:tplc="6FB00D4A" w:tentative="1">
      <w:start w:val="1"/>
      <w:numFmt w:val="bullet"/>
      <w:lvlText w:val=""/>
      <w:lvlJc w:val="left"/>
      <w:pPr>
        <w:tabs>
          <w:tab w:val="num" w:pos="5040"/>
        </w:tabs>
        <w:ind w:left="5040" w:hanging="360"/>
      </w:pPr>
      <w:rPr>
        <w:rFonts w:ascii="Symbol" w:hAnsi="Symbol" w:hint="default"/>
        <w:sz w:val="20"/>
      </w:rPr>
    </w:lvl>
    <w:lvl w:ilvl="7" w:tplc="18BC3328" w:tentative="1">
      <w:start w:val="1"/>
      <w:numFmt w:val="bullet"/>
      <w:lvlText w:val=""/>
      <w:lvlJc w:val="left"/>
      <w:pPr>
        <w:tabs>
          <w:tab w:val="num" w:pos="5760"/>
        </w:tabs>
        <w:ind w:left="5760" w:hanging="360"/>
      </w:pPr>
      <w:rPr>
        <w:rFonts w:ascii="Symbol" w:hAnsi="Symbol" w:hint="default"/>
        <w:sz w:val="20"/>
      </w:rPr>
    </w:lvl>
    <w:lvl w:ilvl="8" w:tplc="0B94939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436D55"/>
    <w:multiLevelType w:val="multilevel"/>
    <w:tmpl w:val="3A12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6C3B96"/>
    <w:multiLevelType w:val="multilevel"/>
    <w:tmpl w:val="5B9CC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312A7F"/>
    <w:multiLevelType w:val="hybridMultilevel"/>
    <w:tmpl w:val="22E87D4C"/>
    <w:lvl w:ilvl="0" w:tplc="22A8CB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0E3508"/>
    <w:multiLevelType w:val="hybridMultilevel"/>
    <w:tmpl w:val="E0580B10"/>
    <w:lvl w:ilvl="0" w:tplc="08090015">
      <w:start w:val="1"/>
      <w:numFmt w:val="upperLetter"/>
      <w:lvlText w:val="%1."/>
      <w:lvlJc w:val="left"/>
      <w:pPr>
        <w:ind w:left="720" w:hanging="72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6" w15:restartNumberingAfterBreak="0">
    <w:nsid w:val="35B46BAA"/>
    <w:multiLevelType w:val="hybridMultilevel"/>
    <w:tmpl w:val="486E1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2028F5"/>
    <w:multiLevelType w:val="hybridMultilevel"/>
    <w:tmpl w:val="E0580B10"/>
    <w:lvl w:ilvl="0" w:tplc="08090015">
      <w:start w:val="1"/>
      <w:numFmt w:val="upperLetter"/>
      <w:lvlText w:val="%1."/>
      <w:lvlJc w:val="left"/>
      <w:pPr>
        <w:ind w:left="720" w:hanging="72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8" w15:restartNumberingAfterBreak="0">
    <w:nsid w:val="3F816B37"/>
    <w:multiLevelType w:val="multilevel"/>
    <w:tmpl w:val="E90C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DE4239"/>
    <w:multiLevelType w:val="hybridMultilevel"/>
    <w:tmpl w:val="6E5C5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DF5925"/>
    <w:multiLevelType w:val="hybridMultilevel"/>
    <w:tmpl w:val="FE9A00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9506C7"/>
    <w:multiLevelType w:val="hybridMultilevel"/>
    <w:tmpl w:val="7340FD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102BA5"/>
    <w:multiLevelType w:val="hybridMultilevel"/>
    <w:tmpl w:val="274C08D4"/>
    <w:lvl w:ilvl="0" w:tplc="426A42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AA6FC0"/>
    <w:multiLevelType w:val="hybridMultilevel"/>
    <w:tmpl w:val="C41C0D3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5CCE2647"/>
    <w:multiLevelType w:val="hybridMultilevel"/>
    <w:tmpl w:val="4532E7F6"/>
    <w:lvl w:ilvl="0" w:tplc="4C4A1666">
      <w:start w:val="1"/>
      <w:numFmt w:val="decimal"/>
      <w:lvlText w:val="%1."/>
      <w:lvlJc w:val="left"/>
      <w:pPr>
        <w:ind w:left="720" w:hanging="360"/>
      </w:pPr>
    </w:lvl>
    <w:lvl w:ilvl="1" w:tplc="C63202DA">
      <w:start w:val="1"/>
      <w:numFmt w:val="lowerLetter"/>
      <w:lvlText w:val="%2."/>
      <w:lvlJc w:val="left"/>
      <w:pPr>
        <w:ind w:left="1440" w:hanging="360"/>
      </w:pPr>
    </w:lvl>
    <w:lvl w:ilvl="2" w:tplc="AD505726">
      <w:start w:val="1"/>
      <w:numFmt w:val="lowerRoman"/>
      <w:lvlText w:val="%3."/>
      <w:lvlJc w:val="right"/>
      <w:pPr>
        <w:ind w:left="2160" w:hanging="180"/>
      </w:pPr>
    </w:lvl>
    <w:lvl w:ilvl="3" w:tplc="B5367BE0">
      <w:start w:val="1"/>
      <w:numFmt w:val="decimal"/>
      <w:lvlText w:val="%4."/>
      <w:lvlJc w:val="left"/>
      <w:pPr>
        <w:ind w:left="2880" w:hanging="360"/>
      </w:pPr>
    </w:lvl>
    <w:lvl w:ilvl="4" w:tplc="C1267440">
      <w:start w:val="1"/>
      <w:numFmt w:val="lowerLetter"/>
      <w:lvlText w:val="%5."/>
      <w:lvlJc w:val="left"/>
      <w:pPr>
        <w:ind w:left="3600" w:hanging="360"/>
      </w:pPr>
    </w:lvl>
    <w:lvl w:ilvl="5" w:tplc="54B03644">
      <w:start w:val="1"/>
      <w:numFmt w:val="lowerRoman"/>
      <w:lvlText w:val="%6."/>
      <w:lvlJc w:val="right"/>
      <w:pPr>
        <w:ind w:left="4320" w:hanging="180"/>
      </w:pPr>
    </w:lvl>
    <w:lvl w:ilvl="6" w:tplc="4D7CF0C6">
      <w:start w:val="1"/>
      <w:numFmt w:val="decimal"/>
      <w:lvlText w:val="%7."/>
      <w:lvlJc w:val="left"/>
      <w:pPr>
        <w:ind w:left="5040" w:hanging="360"/>
      </w:pPr>
    </w:lvl>
    <w:lvl w:ilvl="7" w:tplc="7F508796">
      <w:start w:val="1"/>
      <w:numFmt w:val="lowerLetter"/>
      <w:lvlText w:val="%8."/>
      <w:lvlJc w:val="left"/>
      <w:pPr>
        <w:ind w:left="5760" w:hanging="360"/>
      </w:pPr>
    </w:lvl>
    <w:lvl w:ilvl="8" w:tplc="F75650D0">
      <w:start w:val="1"/>
      <w:numFmt w:val="lowerRoman"/>
      <w:lvlText w:val="%9."/>
      <w:lvlJc w:val="right"/>
      <w:pPr>
        <w:ind w:left="6480" w:hanging="180"/>
      </w:pPr>
    </w:lvl>
  </w:abstractNum>
  <w:abstractNum w:abstractNumId="25" w15:restartNumberingAfterBreak="0">
    <w:nsid w:val="5EE24818"/>
    <w:multiLevelType w:val="hybridMultilevel"/>
    <w:tmpl w:val="221AA9FE"/>
    <w:lvl w:ilvl="0" w:tplc="6688D3FE">
      <w:start w:val="1"/>
      <w:numFmt w:val="bullet"/>
      <w:lvlText w:val="o"/>
      <w:lvlJc w:val="left"/>
      <w:pPr>
        <w:tabs>
          <w:tab w:val="num" w:pos="720"/>
        </w:tabs>
        <w:ind w:left="720" w:hanging="360"/>
      </w:pPr>
      <w:rPr>
        <w:rFonts w:ascii="Courier New" w:hAnsi="Courier New" w:hint="default"/>
        <w:sz w:val="20"/>
      </w:rPr>
    </w:lvl>
    <w:lvl w:ilvl="1" w:tplc="5B1C9B7E" w:tentative="1">
      <w:start w:val="1"/>
      <w:numFmt w:val="bullet"/>
      <w:lvlText w:val="o"/>
      <w:lvlJc w:val="left"/>
      <w:pPr>
        <w:tabs>
          <w:tab w:val="num" w:pos="1440"/>
        </w:tabs>
        <w:ind w:left="1440" w:hanging="360"/>
      </w:pPr>
      <w:rPr>
        <w:rFonts w:ascii="Courier New" w:hAnsi="Courier New" w:hint="default"/>
        <w:sz w:val="20"/>
      </w:rPr>
    </w:lvl>
    <w:lvl w:ilvl="2" w:tplc="BAB648B8" w:tentative="1">
      <w:start w:val="1"/>
      <w:numFmt w:val="bullet"/>
      <w:lvlText w:val="o"/>
      <w:lvlJc w:val="left"/>
      <w:pPr>
        <w:tabs>
          <w:tab w:val="num" w:pos="2160"/>
        </w:tabs>
        <w:ind w:left="2160" w:hanging="360"/>
      </w:pPr>
      <w:rPr>
        <w:rFonts w:ascii="Courier New" w:hAnsi="Courier New" w:hint="default"/>
        <w:sz w:val="20"/>
      </w:rPr>
    </w:lvl>
    <w:lvl w:ilvl="3" w:tplc="3EE43BD0" w:tentative="1">
      <w:start w:val="1"/>
      <w:numFmt w:val="bullet"/>
      <w:lvlText w:val="o"/>
      <w:lvlJc w:val="left"/>
      <w:pPr>
        <w:tabs>
          <w:tab w:val="num" w:pos="2880"/>
        </w:tabs>
        <w:ind w:left="2880" w:hanging="360"/>
      </w:pPr>
      <w:rPr>
        <w:rFonts w:ascii="Courier New" w:hAnsi="Courier New" w:hint="default"/>
        <w:sz w:val="20"/>
      </w:rPr>
    </w:lvl>
    <w:lvl w:ilvl="4" w:tplc="FC9E03F0" w:tentative="1">
      <w:start w:val="1"/>
      <w:numFmt w:val="bullet"/>
      <w:lvlText w:val="o"/>
      <w:lvlJc w:val="left"/>
      <w:pPr>
        <w:tabs>
          <w:tab w:val="num" w:pos="3600"/>
        </w:tabs>
        <w:ind w:left="3600" w:hanging="360"/>
      </w:pPr>
      <w:rPr>
        <w:rFonts w:ascii="Courier New" w:hAnsi="Courier New" w:hint="default"/>
        <w:sz w:val="20"/>
      </w:rPr>
    </w:lvl>
    <w:lvl w:ilvl="5" w:tplc="79EA6224" w:tentative="1">
      <w:start w:val="1"/>
      <w:numFmt w:val="bullet"/>
      <w:lvlText w:val="o"/>
      <w:lvlJc w:val="left"/>
      <w:pPr>
        <w:tabs>
          <w:tab w:val="num" w:pos="4320"/>
        </w:tabs>
        <w:ind w:left="4320" w:hanging="360"/>
      </w:pPr>
      <w:rPr>
        <w:rFonts w:ascii="Courier New" w:hAnsi="Courier New" w:hint="default"/>
        <w:sz w:val="20"/>
      </w:rPr>
    </w:lvl>
    <w:lvl w:ilvl="6" w:tplc="83D8719A" w:tentative="1">
      <w:start w:val="1"/>
      <w:numFmt w:val="bullet"/>
      <w:lvlText w:val="o"/>
      <w:lvlJc w:val="left"/>
      <w:pPr>
        <w:tabs>
          <w:tab w:val="num" w:pos="5040"/>
        </w:tabs>
        <w:ind w:left="5040" w:hanging="360"/>
      </w:pPr>
      <w:rPr>
        <w:rFonts w:ascii="Courier New" w:hAnsi="Courier New" w:hint="default"/>
        <w:sz w:val="20"/>
      </w:rPr>
    </w:lvl>
    <w:lvl w:ilvl="7" w:tplc="99724406" w:tentative="1">
      <w:start w:val="1"/>
      <w:numFmt w:val="bullet"/>
      <w:lvlText w:val="o"/>
      <w:lvlJc w:val="left"/>
      <w:pPr>
        <w:tabs>
          <w:tab w:val="num" w:pos="5760"/>
        </w:tabs>
        <w:ind w:left="5760" w:hanging="360"/>
      </w:pPr>
      <w:rPr>
        <w:rFonts w:ascii="Courier New" w:hAnsi="Courier New" w:hint="default"/>
        <w:sz w:val="20"/>
      </w:rPr>
    </w:lvl>
    <w:lvl w:ilvl="8" w:tplc="0AFA9EB6"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62F51D55"/>
    <w:multiLevelType w:val="hybridMultilevel"/>
    <w:tmpl w:val="ECFE85AE"/>
    <w:lvl w:ilvl="0" w:tplc="382EC3B6">
      <w:start w:val="1"/>
      <w:numFmt w:val="lowerRoman"/>
      <w:lvlText w:val="%1."/>
      <w:lvlJc w:val="right"/>
      <w:pPr>
        <w:tabs>
          <w:tab w:val="num" w:pos="720"/>
        </w:tabs>
        <w:ind w:left="720" w:hanging="360"/>
      </w:pPr>
    </w:lvl>
    <w:lvl w:ilvl="1" w:tplc="BFF24EF8" w:tentative="1">
      <w:start w:val="1"/>
      <w:numFmt w:val="lowerRoman"/>
      <w:lvlText w:val="%2."/>
      <w:lvlJc w:val="right"/>
      <w:pPr>
        <w:tabs>
          <w:tab w:val="num" w:pos="1440"/>
        </w:tabs>
        <w:ind w:left="1440" w:hanging="360"/>
      </w:pPr>
    </w:lvl>
    <w:lvl w:ilvl="2" w:tplc="02BAE4A6" w:tentative="1">
      <w:start w:val="1"/>
      <w:numFmt w:val="lowerRoman"/>
      <w:lvlText w:val="%3."/>
      <w:lvlJc w:val="right"/>
      <w:pPr>
        <w:tabs>
          <w:tab w:val="num" w:pos="2160"/>
        </w:tabs>
        <w:ind w:left="2160" w:hanging="360"/>
      </w:pPr>
    </w:lvl>
    <w:lvl w:ilvl="3" w:tplc="6A327E6E" w:tentative="1">
      <w:start w:val="1"/>
      <w:numFmt w:val="lowerRoman"/>
      <w:lvlText w:val="%4."/>
      <w:lvlJc w:val="right"/>
      <w:pPr>
        <w:tabs>
          <w:tab w:val="num" w:pos="2880"/>
        </w:tabs>
        <w:ind w:left="2880" w:hanging="360"/>
      </w:pPr>
    </w:lvl>
    <w:lvl w:ilvl="4" w:tplc="C8ECC402" w:tentative="1">
      <w:start w:val="1"/>
      <w:numFmt w:val="lowerRoman"/>
      <w:lvlText w:val="%5."/>
      <w:lvlJc w:val="right"/>
      <w:pPr>
        <w:tabs>
          <w:tab w:val="num" w:pos="3600"/>
        </w:tabs>
        <w:ind w:left="3600" w:hanging="360"/>
      </w:pPr>
    </w:lvl>
    <w:lvl w:ilvl="5" w:tplc="0CFC6EAE" w:tentative="1">
      <w:start w:val="1"/>
      <w:numFmt w:val="lowerRoman"/>
      <w:lvlText w:val="%6."/>
      <w:lvlJc w:val="right"/>
      <w:pPr>
        <w:tabs>
          <w:tab w:val="num" w:pos="4320"/>
        </w:tabs>
        <w:ind w:left="4320" w:hanging="360"/>
      </w:pPr>
    </w:lvl>
    <w:lvl w:ilvl="6" w:tplc="9768F6D2" w:tentative="1">
      <w:start w:val="1"/>
      <w:numFmt w:val="lowerRoman"/>
      <w:lvlText w:val="%7."/>
      <w:lvlJc w:val="right"/>
      <w:pPr>
        <w:tabs>
          <w:tab w:val="num" w:pos="5040"/>
        </w:tabs>
        <w:ind w:left="5040" w:hanging="360"/>
      </w:pPr>
    </w:lvl>
    <w:lvl w:ilvl="7" w:tplc="8864CF4E" w:tentative="1">
      <w:start w:val="1"/>
      <w:numFmt w:val="lowerRoman"/>
      <w:lvlText w:val="%8."/>
      <w:lvlJc w:val="right"/>
      <w:pPr>
        <w:tabs>
          <w:tab w:val="num" w:pos="5760"/>
        </w:tabs>
        <w:ind w:left="5760" w:hanging="360"/>
      </w:pPr>
    </w:lvl>
    <w:lvl w:ilvl="8" w:tplc="7D384344" w:tentative="1">
      <w:start w:val="1"/>
      <w:numFmt w:val="lowerRoman"/>
      <w:lvlText w:val="%9."/>
      <w:lvlJc w:val="right"/>
      <w:pPr>
        <w:tabs>
          <w:tab w:val="num" w:pos="6480"/>
        </w:tabs>
        <w:ind w:left="6480" w:hanging="360"/>
      </w:pPr>
    </w:lvl>
  </w:abstractNum>
  <w:abstractNum w:abstractNumId="27" w15:restartNumberingAfterBreak="0">
    <w:nsid w:val="63395CD3"/>
    <w:multiLevelType w:val="hybridMultilevel"/>
    <w:tmpl w:val="908EFE40"/>
    <w:lvl w:ilvl="0" w:tplc="C76AB01C">
      <w:start w:val="1"/>
      <w:numFmt w:val="bullet"/>
      <w:lvlText w:val=""/>
      <w:lvlJc w:val="left"/>
      <w:pPr>
        <w:tabs>
          <w:tab w:val="num" w:pos="720"/>
        </w:tabs>
        <w:ind w:left="720" w:hanging="360"/>
      </w:pPr>
      <w:rPr>
        <w:rFonts w:ascii="Symbol" w:hAnsi="Symbol" w:hint="default"/>
        <w:sz w:val="20"/>
      </w:rPr>
    </w:lvl>
    <w:lvl w:ilvl="1" w:tplc="C40A2C48" w:tentative="1">
      <w:start w:val="1"/>
      <w:numFmt w:val="bullet"/>
      <w:lvlText w:val=""/>
      <w:lvlJc w:val="left"/>
      <w:pPr>
        <w:tabs>
          <w:tab w:val="num" w:pos="1440"/>
        </w:tabs>
        <w:ind w:left="1440" w:hanging="360"/>
      </w:pPr>
      <w:rPr>
        <w:rFonts w:ascii="Symbol" w:hAnsi="Symbol" w:hint="default"/>
        <w:sz w:val="20"/>
      </w:rPr>
    </w:lvl>
    <w:lvl w:ilvl="2" w:tplc="21926A16" w:tentative="1">
      <w:start w:val="1"/>
      <w:numFmt w:val="bullet"/>
      <w:lvlText w:val=""/>
      <w:lvlJc w:val="left"/>
      <w:pPr>
        <w:tabs>
          <w:tab w:val="num" w:pos="2160"/>
        </w:tabs>
        <w:ind w:left="2160" w:hanging="360"/>
      </w:pPr>
      <w:rPr>
        <w:rFonts w:ascii="Symbol" w:hAnsi="Symbol" w:hint="default"/>
        <w:sz w:val="20"/>
      </w:rPr>
    </w:lvl>
    <w:lvl w:ilvl="3" w:tplc="4372D378" w:tentative="1">
      <w:start w:val="1"/>
      <w:numFmt w:val="bullet"/>
      <w:lvlText w:val=""/>
      <w:lvlJc w:val="left"/>
      <w:pPr>
        <w:tabs>
          <w:tab w:val="num" w:pos="2880"/>
        </w:tabs>
        <w:ind w:left="2880" w:hanging="360"/>
      </w:pPr>
      <w:rPr>
        <w:rFonts w:ascii="Symbol" w:hAnsi="Symbol" w:hint="default"/>
        <w:sz w:val="20"/>
      </w:rPr>
    </w:lvl>
    <w:lvl w:ilvl="4" w:tplc="5878521C" w:tentative="1">
      <w:start w:val="1"/>
      <w:numFmt w:val="bullet"/>
      <w:lvlText w:val=""/>
      <w:lvlJc w:val="left"/>
      <w:pPr>
        <w:tabs>
          <w:tab w:val="num" w:pos="3600"/>
        </w:tabs>
        <w:ind w:left="3600" w:hanging="360"/>
      </w:pPr>
      <w:rPr>
        <w:rFonts w:ascii="Symbol" w:hAnsi="Symbol" w:hint="default"/>
        <w:sz w:val="20"/>
      </w:rPr>
    </w:lvl>
    <w:lvl w:ilvl="5" w:tplc="82D80FE6" w:tentative="1">
      <w:start w:val="1"/>
      <w:numFmt w:val="bullet"/>
      <w:lvlText w:val=""/>
      <w:lvlJc w:val="left"/>
      <w:pPr>
        <w:tabs>
          <w:tab w:val="num" w:pos="4320"/>
        </w:tabs>
        <w:ind w:left="4320" w:hanging="360"/>
      </w:pPr>
      <w:rPr>
        <w:rFonts w:ascii="Symbol" w:hAnsi="Symbol" w:hint="default"/>
        <w:sz w:val="20"/>
      </w:rPr>
    </w:lvl>
    <w:lvl w:ilvl="6" w:tplc="56A0BB02" w:tentative="1">
      <w:start w:val="1"/>
      <w:numFmt w:val="bullet"/>
      <w:lvlText w:val=""/>
      <w:lvlJc w:val="left"/>
      <w:pPr>
        <w:tabs>
          <w:tab w:val="num" w:pos="5040"/>
        </w:tabs>
        <w:ind w:left="5040" w:hanging="360"/>
      </w:pPr>
      <w:rPr>
        <w:rFonts w:ascii="Symbol" w:hAnsi="Symbol" w:hint="default"/>
        <w:sz w:val="20"/>
      </w:rPr>
    </w:lvl>
    <w:lvl w:ilvl="7" w:tplc="CEA417F8" w:tentative="1">
      <w:start w:val="1"/>
      <w:numFmt w:val="bullet"/>
      <w:lvlText w:val=""/>
      <w:lvlJc w:val="left"/>
      <w:pPr>
        <w:tabs>
          <w:tab w:val="num" w:pos="5760"/>
        </w:tabs>
        <w:ind w:left="5760" w:hanging="360"/>
      </w:pPr>
      <w:rPr>
        <w:rFonts w:ascii="Symbol" w:hAnsi="Symbol" w:hint="default"/>
        <w:sz w:val="20"/>
      </w:rPr>
    </w:lvl>
    <w:lvl w:ilvl="8" w:tplc="D4B26E1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6151F0"/>
    <w:multiLevelType w:val="hybridMultilevel"/>
    <w:tmpl w:val="623642CA"/>
    <w:lvl w:ilvl="0" w:tplc="2FCC1022">
      <w:start w:val="1"/>
      <w:numFmt w:val="bullet"/>
      <w:lvlText w:val=""/>
      <w:lvlJc w:val="left"/>
      <w:pPr>
        <w:tabs>
          <w:tab w:val="num" w:pos="720"/>
        </w:tabs>
        <w:ind w:left="720" w:hanging="360"/>
      </w:pPr>
      <w:rPr>
        <w:rFonts w:ascii="Symbol" w:hAnsi="Symbol" w:hint="default"/>
        <w:sz w:val="20"/>
      </w:rPr>
    </w:lvl>
    <w:lvl w:ilvl="1" w:tplc="2B501004" w:tentative="1">
      <w:start w:val="1"/>
      <w:numFmt w:val="bullet"/>
      <w:lvlText w:val=""/>
      <w:lvlJc w:val="left"/>
      <w:pPr>
        <w:tabs>
          <w:tab w:val="num" w:pos="1440"/>
        </w:tabs>
        <w:ind w:left="1440" w:hanging="360"/>
      </w:pPr>
      <w:rPr>
        <w:rFonts w:ascii="Symbol" w:hAnsi="Symbol" w:hint="default"/>
        <w:sz w:val="20"/>
      </w:rPr>
    </w:lvl>
    <w:lvl w:ilvl="2" w:tplc="D7CA1E1A" w:tentative="1">
      <w:start w:val="1"/>
      <w:numFmt w:val="bullet"/>
      <w:lvlText w:val=""/>
      <w:lvlJc w:val="left"/>
      <w:pPr>
        <w:tabs>
          <w:tab w:val="num" w:pos="2160"/>
        </w:tabs>
        <w:ind w:left="2160" w:hanging="360"/>
      </w:pPr>
      <w:rPr>
        <w:rFonts w:ascii="Symbol" w:hAnsi="Symbol" w:hint="default"/>
        <w:sz w:val="20"/>
      </w:rPr>
    </w:lvl>
    <w:lvl w:ilvl="3" w:tplc="55C2796A" w:tentative="1">
      <w:start w:val="1"/>
      <w:numFmt w:val="bullet"/>
      <w:lvlText w:val=""/>
      <w:lvlJc w:val="left"/>
      <w:pPr>
        <w:tabs>
          <w:tab w:val="num" w:pos="2880"/>
        </w:tabs>
        <w:ind w:left="2880" w:hanging="360"/>
      </w:pPr>
      <w:rPr>
        <w:rFonts w:ascii="Symbol" w:hAnsi="Symbol" w:hint="default"/>
        <w:sz w:val="20"/>
      </w:rPr>
    </w:lvl>
    <w:lvl w:ilvl="4" w:tplc="725CB82C" w:tentative="1">
      <w:start w:val="1"/>
      <w:numFmt w:val="bullet"/>
      <w:lvlText w:val=""/>
      <w:lvlJc w:val="left"/>
      <w:pPr>
        <w:tabs>
          <w:tab w:val="num" w:pos="3600"/>
        </w:tabs>
        <w:ind w:left="3600" w:hanging="360"/>
      </w:pPr>
      <w:rPr>
        <w:rFonts w:ascii="Symbol" w:hAnsi="Symbol" w:hint="default"/>
        <w:sz w:val="20"/>
      </w:rPr>
    </w:lvl>
    <w:lvl w:ilvl="5" w:tplc="FEEAF81A" w:tentative="1">
      <w:start w:val="1"/>
      <w:numFmt w:val="bullet"/>
      <w:lvlText w:val=""/>
      <w:lvlJc w:val="left"/>
      <w:pPr>
        <w:tabs>
          <w:tab w:val="num" w:pos="4320"/>
        </w:tabs>
        <w:ind w:left="4320" w:hanging="360"/>
      </w:pPr>
      <w:rPr>
        <w:rFonts w:ascii="Symbol" w:hAnsi="Symbol" w:hint="default"/>
        <w:sz w:val="20"/>
      </w:rPr>
    </w:lvl>
    <w:lvl w:ilvl="6" w:tplc="8AF0B074" w:tentative="1">
      <w:start w:val="1"/>
      <w:numFmt w:val="bullet"/>
      <w:lvlText w:val=""/>
      <w:lvlJc w:val="left"/>
      <w:pPr>
        <w:tabs>
          <w:tab w:val="num" w:pos="5040"/>
        </w:tabs>
        <w:ind w:left="5040" w:hanging="360"/>
      </w:pPr>
      <w:rPr>
        <w:rFonts w:ascii="Symbol" w:hAnsi="Symbol" w:hint="default"/>
        <w:sz w:val="20"/>
      </w:rPr>
    </w:lvl>
    <w:lvl w:ilvl="7" w:tplc="F6FE1122" w:tentative="1">
      <w:start w:val="1"/>
      <w:numFmt w:val="bullet"/>
      <w:lvlText w:val=""/>
      <w:lvlJc w:val="left"/>
      <w:pPr>
        <w:tabs>
          <w:tab w:val="num" w:pos="5760"/>
        </w:tabs>
        <w:ind w:left="5760" w:hanging="360"/>
      </w:pPr>
      <w:rPr>
        <w:rFonts w:ascii="Symbol" w:hAnsi="Symbol" w:hint="default"/>
        <w:sz w:val="20"/>
      </w:rPr>
    </w:lvl>
    <w:lvl w:ilvl="8" w:tplc="A81252BA"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77F4F1F"/>
    <w:multiLevelType w:val="hybridMultilevel"/>
    <w:tmpl w:val="5C5CCAF8"/>
    <w:lvl w:ilvl="0" w:tplc="C174382E">
      <w:start w:val="1"/>
      <w:numFmt w:val="bullet"/>
      <w:lvlText w:val="o"/>
      <w:lvlJc w:val="left"/>
      <w:pPr>
        <w:tabs>
          <w:tab w:val="num" w:pos="720"/>
        </w:tabs>
        <w:ind w:left="720" w:hanging="360"/>
      </w:pPr>
      <w:rPr>
        <w:rFonts w:ascii="Courier New" w:hAnsi="Courier New" w:hint="default"/>
        <w:sz w:val="20"/>
      </w:rPr>
    </w:lvl>
    <w:lvl w:ilvl="1" w:tplc="BF4A034A" w:tentative="1">
      <w:start w:val="1"/>
      <w:numFmt w:val="bullet"/>
      <w:lvlText w:val="o"/>
      <w:lvlJc w:val="left"/>
      <w:pPr>
        <w:tabs>
          <w:tab w:val="num" w:pos="1440"/>
        </w:tabs>
        <w:ind w:left="1440" w:hanging="360"/>
      </w:pPr>
      <w:rPr>
        <w:rFonts w:ascii="Courier New" w:hAnsi="Courier New" w:hint="default"/>
        <w:sz w:val="20"/>
      </w:rPr>
    </w:lvl>
    <w:lvl w:ilvl="2" w:tplc="AE72E34C" w:tentative="1">
      <w:start w:val="1"/>
      <w:numFmt w:val="bullet"/>
      <w:lvlText w:val="o"/>
      <w:lvlJc w:val="left"/>
      <w:pPr>
        <w:tabs>
          <w:tab w:val="num" w:pos="2160"/>
        </w:tabs>
        <w:ind w:left="2160" w:hanging="360"/>
      </w:pPr>
      <w:rPr>
        <w:rFonts w:ascii="Courier New" w:hAnsi="Courier New" w:hint="default"/>
        <w:sz w:val="20"/>
      </w:rPr>
    </w:lvl>
    <w:lvl w:ilvl="3" w:tplc="9342F718" w:tentative="1">
      <w:start w:val="1"/>
      <w:numFmt w:val="bullet"/>
      <w:lvlText w:val="o"/>
      <w:lvlJc w:val="left"/>
      <w:pPr>
        <w:tabs>
          <w:tab w:val="num" w:pos="2880"/>
        </w:tabs>
        <w:ind w:left="2880" w:hanging="360"/>
      </w:pPr>
      <w:rPr>
        <w:rFonts w:ascii="Courier New" w:hAnsi="Courier New" w:hint="default"/>
        <w:sz w:val="20"/>
      </w:rPr>
    </w:lvl>
    <w:lvl w:ilvl="4" w:tplc="1F823652" w:tentative="1">
      <w:start w:val="1"/>
      <w:numFmt w:val="bullet"/>
      <w:lvlText w:val="o"/>
      <w:lvlJc w:val="left"/>
      <w:pPr>
        <w:tabs>
          <w:tab w:val="num" w:pos="3600"/>
        </w:tabs>
        <w:ind w:left="3600" w:hanging="360"/>
      </w:pPr>
      <w:rPr>
        <w:rFonts w:ascii="Courier New" w:hAnsi="Courier New" w:hint="default"/>
        <w:sz w:val="20"/>
      </w:rPr>
    </w:lvl>
    <w:lvl w:ilvl="5" w:tplc="78B0817E" w:tentative="1">
      <w:start w:val="1"/>
      <w:numFmt w:val="bullet"/>
      <w:lvlText w:val="o"/>
      <w:lvlJc w:val="left"/>
      <w:pPr>
        <w:tabs>
          <w:tab w:val="num" w:pos="4320"/>
        </w:tabs>
        <w:ind w:left="4320" w:hanging="360"/>
      </w:pPr>
      <w:rPr>
        <w:rFonts w:ascii="Courier New" w:hAnsi="Courier New" w:hint="default"/>
        <w:sz w:val="20"/>
      </w:rPr>
    </w:lvl>
    <w:lvl w:ilvl="6" w:tplc="358A649E" w:tentative="1">
      <w:start w:val="1"/>
      <w:numFmt w:val="bullet"/>
      <w:lvlText w:val="o"/>
      <w:lvlJc w:val="left"/>
      <w:pPr>
        <w:tabs>
          <w:tab w:val="num" w:pos="5040"/>
        </w:tabs>
        <w:ind w:left="5040" w:hanging="360"/>
      </w:pPr>
      <w:rPr>
        <w:rFonts w:ascii="Courier New" w:hAnsi="Courier New" w:hint="default"/>
        <w:sz w:val="20"/>
      </w:rPr>
    </w:lvl>
    <w:lvl w:ilvl="7" w:tplc="5DC271A2" w:tentative="1">
      <w:start w:val="1"/>
      <w:numFmt w:val="bullet"/>
      <w:lvlText w:val="o"/>
      <w:lvlJc w:val="left"/>
      <w:pPr>
        <w:tabs>
          <w:tab w:val="num" w:pos="5760"/>
        </w:tabs>
        <w:ind w:left="5760" w:hanging="360"/>
      </w:pPr>
      <w:rPr>
        <w:rFonts w:ascii="Courier New" w:hAnsi="Courier New" w:hint="default"/>
        <w:sz w:val="20"/>
      </w:rPr>
    </w:lvl>
    <w:lvl w:ilvl="8" w:tplc="F3A8136E"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68793427"/>
    <w:multiLevelType w:val="hybridMultilevel"/>
    <w:tmpl w:val="E0580B10"/>
    <w:lvl w:ilvl="0" w:tplc="08090015">
      <w:start w:val="1"/>
      <w:numFmt w:val="upperLetter"/>
      <w:lvlText w:val="%1."/>
      <w:lvlJc w:val="left"/>
      <w:pPr>
        <w:ind w:left="720" w:hanging="72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31" w15:restartNumberingAfterBreak="0">
    <w:nsid w:val="68915DA7"/>
    <w:multiLevelType w:val="hybridMultilevel"/>
    <w:tmpl w:val="4F60726C"/>
    <w:lvl w:ilvl="0" w:tplc="2B42FF98">
      <w:start w:val="2"/>
      <w:numFmt w:val="lowerRoman"/>
      <w:lvlText w:val="%1."/>
      <w:lvlJc w:val="right"/>
      <w:pPr>
        <w:tabs>
          <w:tab w:val="num" w:pos="720"/>
        </w:tabs>
        <w:ind w:left="720" w:hanging="360"/>
      </w:pPr>
    </w:lvl>
    <w:lvl w:ilvl="1" w:tplc="FE5C9ECA" w:tentative="1">
      <w:start w:val="1"/>
      <w:numFmt w:val="lowerRoman"/>
      <w:lvlText w:val="%2."/>
      <w:lvlJc w:val="right"/>
      <w:pPr>
        <w:tabs>
          <w:tab w:val="num" w:pos="1440"/>
        </w:tabs>
        <w:ind w:left="1440" w:hanging="360"/>
      </w:pPr>
    </w:lvl>
    <w:lvl w:ilvl="2" w:tplc="286C2A50" w:tentative="1">
      <w:start w:val="1"/>
      <w:numFmt w:val="lowerRoman"/>
      <w:lvlText w:val="%3."/>
      <w:lvlJc w:val="right"/>
      <w:pPr>
        <w:tabs>
          <w:tab w:val="num" w:pos="2160"/>
        </w:tabs>
        <w:ind w:left="2160" w:hanging="360"/>
      </w:pPr>
    </w:lvl>
    <w:lvl w:ilvl="3" w:tplc="AB2410E0" w:tentative="1">
      <w:start w:val="1"/>
      <w:numFmt w:val="lowerRoman"/>
      <w:lvlText w:val="%4."/>
      <w:lvlJc w:val="right"/>
      <w:pPr>
        <w:tabs>
          <w:tab w:val="num" w:pos="2880"/>
        </w:tabs>
        <w:ind w:left="2880" w:hanging="360"/>
      </w:pPr>
    </w:lvl>
    <w:lvl w:ilvl="4" w:tplc="E506B6A2" w:tentative="1">
      <w:start w:val="1"/>
      <w:numFmt w:val="lowerRoman"/>
      <w:lvlText w:val="%5."/>
      <w:lvlJc w:val="right"/>
      <w:pPr>
        <w:tabs>
          <w:tab w:val="num" w:pos="3600"/>
        </w:tabs>
        <w:ind w:left="3600" w:hanging="360"/>
      </w:pPr>
    </w:lvl>
    <w:lvl w:ilvl="5" w:tplc="E8B04CBA" w:tentative="1">
      <w:start w:val="1"/>
      <w:numFmt w:val="lowerRoman"/>
      <w:lvlText w:val="%6."/>
      <w:lvlJc w:val="right"/>
      <w:pPr>
        <w:tabs>
          <w:tab w:val="num" w:pos="4320"/>
        </w:tabs>
        <w:ind w:left="4320" w:hanging="360"/>
      </w:pPr>
    </w:lvl>
    <w:lvl w:ilvl="6" w:tplc="FC0A9B04" w:tentative="1">
      <w:start w:val="1"/>
      <w:numFmt w:val="lowerRoman"/>
      <w:lvlText w:val="%7."/>
      <w:lvlJc w:val="right"/>
      <w:pPr>
        <w:tabs>
          <w:tab w:val="num" w:pos="5040"/>
        </w:tabs>
        <w:ind w:left="5040" w:hanging="360"/>
      </w:pPr>
    </w:lvl>
    <w:lvl w:ilvl="7" w:tplc="6024CEAE" w:tentative="1">
      <w:start w:val="1"/>
      <w:numFmt w:val="lowerRoman"/>
      <w:lvlText w:val="%8."/>
      <w:lvlJc w:val="right"/>
      <w:pPr>
        <w:tabs>
          <w:tab w:val="num" w:pos="5760"/>
        </w:tabs>
        <w:ind w:left="5760" w:hanging="360"/>
      </w:pPr>
    </w:lvl>
    <w:lvl w:ilvl="8" w:tplc="92AC3CA8" w:tentative="1">
      <w:start w:val="1"/>
      <w:numFmt w:val="lowerRoman"/>
      <w:lvlText w:val="%9."/>
      <w:lvlJc w:val="right"/>
      <w:pPr>
        <w:tabs>
          <w:tab w:val="num" w:pos="6480"/>
        </w:tabs>
        <w:ind w:left="6480" w:hanging="360"/>
      </w:pPr>
    </w:lvl>
  </w:abstractNum>
  <w:abstractNum w:abstractNumId="32" w15:restartNumberingAfterBreak="0">
    <w:nsid w:val="6AA45C28"/>
    <w:multiLevelType w:val="hybridMultilevel"/>
    <w:tmpl w:val="FFFFFFFF"/>
    <w:lvl w:ilvl="0" w:tplc="5316F432">
      <w:start w:val="1"/>
      <w:numFmt w:val="decimal"/>
      <w:lvlText w:val="%1."/>
      <w:lvlJc w:val="left"/>
      <w:pPr>
        <w:ind w:left="720" w:hanging="360"/>
      </w:pPr>
    </w:lvl>
    <w:lvl w:ilvl="1" w:tplc="E13C4094">
      <w:start w:val="1"/>
      <w:numFmt w:val="lowerLetter"/>
      <w:lvlText w:val="%2."/>
      <w:lvlJc w:val="left"/>
      <w:pPr>
        <w:ind w:left="1440" w:hanging="360"/>
      </w:pPr>
    </w:lvl>
    <w:lvl w:ilvl="2" w:tplc="E0EECBA8">
      <w:start w:val="1"/>
      <w:numFmt w:val="lowerRoman"/>
      <w:lvlText w:val="%3."/>
      <w:lvlJc w:val="right"/>
      <w:pPr>
        <w:ind w:left="2160" w:hanging="180"/>
      </w:pPr>
    </w:lvl>
    <w:lvl w:ilvl="3" w:tplc="9D36BE36">
      <w:start w:val="1"/>
      <w:numFmt w:val="decimal"/>
      <w:lvlText w:val="%4."/>
      <w:lvlJc w:val="left"/>
      <w:pPr>
        <w:ind w:left="2880" w:hanging="360"/>
      </w:pPr>
    </w:lvl>
    <w:lvl w:ilvl="4" w:tplc="9CF03F60">
      <w:start w:val="1"/>
      <w:numFmt w:val="lowerLetter"/>
      <w:lvlText w:val="%5."/>
      <w:lvlJc w:val="left"/>
      <w:pPr>
        <w:ind w:left="3600" w:hanging="360"/>
      </w:pPr>
    </w:lvl>
    <w:lvl w:ilvl="5" w:tplc="CB9E1E6E">
      <w:start w:val="1"/>
      <w:numFmt w:val="lowerRoman"/>
      <w:lvlText w:val="%6."/>
      <w:lvlJc w:val="right"/>
      <w:pPr>
        <w:ind w:left="4320" w:hanging="180"/>
      </w:pPr>
    </w:lvl>
    <w:lvl w:ilvl="6" w:tplc="C09E0BF8">
      <w:start w:val="1"/>
      <w:numFmt w:val="decimal"/>
      <w:lvlText w:val="%7."/>
      <w:lvlJc w:val="left"/>
      <w:pPr>
        <w:ind w:left="5040" w:hanging="360"/>
      </w:pPr>
    </w:lvl>
    <w:lvl w:ilvl="7" w:tplc="A204F45E">
      <w:start w:val="1"/>
      <w:numFmt w:val="lowerLetter"/>
      <w:lvlText w:val="%8."/>
      <w:lvlJc w:val="left"/>
      <w:pPr>
        <w:ind w:left="5760" w:hanging="360"/>
      </w:pPr>
    </w:lvl>
    <w:lvl w:ilvl="8" w:tplc="62B4F24C">
      <w:start w:val="1"/>
      <w:numFmt w:val="lowerRoman"/>
      <w:lvlText w:val="%9."/>
      <w:lvlJc w:val="right"/>
      <w:pPr>
        <w:ind w:left="6480" w:hanging="180"/>
      </w:pPr>
    </w:lvl>
  </w:abstractNum>
  <w:abstractNum w:abstractNumId="33" w15:restartNumberingAfterBreak="0">
    <w:nsid w:val="70C7474F"/>
    <w:multiLevelType w:val="hybridMultilevel"/>
    <w:tmpl w:val="221AA9FE"/>
    <w:lvl w:ilvl="0" w:tplc="88327386">
      <w:start w:val="1"/>
      <w:numFmt w:val="bullet"/>
      <w:lvlText w:val="o"/>
      <w:lvlJc w:val="left"/>
      <w:pPr>
        <w:tabs>
          <w:tab w:val="num" w:pos="720"/>
        </w:tabs>
        <w:ind w:left="720" w:hanging="360"/>
      </w:pPr>
      <w:rPr>
        <w:rFonts w:ascii="Courier New" w:hAnsi="Courier New" w:hint="default"/>
        <w:sz w:val="20"/>
      </w:rPr>
    </w:lvl>
    <w:lvl w:ilvl="1" w:tplc="7E1EAD8E" w:tentative="1">
      <w:start w:val="1"/>
      <w:numFmt w:val="bullet"/>
      <w:lvlText w:val="o"/>
      <w:lvlJc w:val="left"/>
      <w:pPr>
        <w:tabs>
          <w:tab w:val="num" w:pos="1440"/>
        </w:tabs>
        <w:ind w:left="1440" w:hanging="360"/>
      </w:pPr>
      <w:rPr>
        <w:rFonts w:ascii="Courier New" w:hAnsi="Courier New" w:hint="default"/>
        <w:sz w:val="20"/>
      </w:rPr>
    </w:lvl>
    <w:lvl w:ilvl="2" w:tplc="BE22B3F6" w:tentative="1">
      <w:start w:val="1"/>
      <w:numFmt w:val="bullet"/>
      <w:lvlText w:val="o"/>
      <w:lvlJc w:val="left"/>
      <w:pPr>
        <w:tabs>
          <w:tab w:val="num" w:pos="2160"/>
        </w:tabs>
        <w:ind w:left="2160" w:hanging="360"/>
      </w:pPr>
      <w:rPr>
        <w:rFonts w:ascii="Courier New" w:hAnsi="Courier New" w:hint="default"/>
        <w:sz w:val="20"/>
      </w:rPr>
    </w:lvl>
    <w:lvl w:ilvl="3" w:tplc="922AEB70" w:tentative="1">
      <w:start w:val="1"/>
      <w:numFmt w:val="bullet"/>
      <w:lvlText w:val="o"/>
      <w:lvlJc w:val="left"/>
      <w:pPr>
        <w:tabs>
          <w:tab w:val="num" w:pos="2880"/>
        </w:tabs>
        <w:ind w:left="2880" w:hanging="360"/>
      </w:pPr>
      <w:rPr>
        <w:rFonts w:ascii="Courier New" w:hAnsi="Courier New" w:hint="default"/>
        <w:sz w:val="20"/>
      </w:rPr>
    </w:lvl>
    <w:lvl w:ilvl="4" w:tplc="BBEE48BE" w:tentative="1">
      <w:start w:val="1"/>
      <w:numFmt w:val="bullet"/>
      <w:lvlText w:val="o"/>
      <w:lvlJc w:val="left"/>
      <w:pPr>
        <w:tabs>
          <w:tab w:val="num" w:pos="3600"/>
        </w:tabs>
        <w:ind w:left="3600" w:hanging="360"/>
      </w:pPr>
      <w:rPr>
        <w:rFonts w:ascii="Courier New" w:hAnsi="Courier New" w:hint="default"/>
        <w:sz w:val="20"/>
      </w:rPr>
    </w:lvl>
    <w:lvl w:ilvl="5" w:tplc="2EDACEFC" w:tentative="1">
      <w:start w:val="1"/>
      <w:numFmt w:val="bullet"/>
      <w:lvlText w:val="o"/>
      <w:lvlJc w:val="left"/>
      <w:pPr>
        <w:tabs>
          <w:tab w:val="num" w:pos="4320"/>
        </w:tabs>
        <w:ind w:left="4320" w:hanging="360"/>
      </w:pPr>
      <w:rPr>
        <w:rFonts w:ascii="Courier New" w:hAnsi="Courier New" w:hint="default"/>
        <w:sz w:val="20"/>
      </w:rPr>
    </w:lvl>
    <w:lvl w:ilvl="6" w:tplc="587CE110" w:tentative="1">
      <w:start w:val="1"/>
      <w:numFmt w:val="bullet"/>
      <w:lvlText w:val="o"/>
      <w:lvlJc w:val="left"/>
      <w:pPr>
        <w:tabs>
          <w:tab w:val="num" w:pos="5040"/>
        </w:tabs>
        <w:ind w:left="5040" w:hanging="360"/>
      </w:pPr>
      <w:rPr>
        <w:rFonts w:ascii="Courier New" w:hAnsi="Courier New" w:hint="default"/>
        <w:sz w:val="20"/>
      </w:rPr>
    </w:lvl>
    <w:lvl w:ilvl="7" w:tplc="CC824DEE" w:tentative="1">
      <w:start w:val="1"/>
      <w:numFmt w:val="bullet"/>
      <w:lvlText w:val="o"/>
      <w:lvlJc w:val="left"/>
      <w:pPr>
        <w:tabs>
          <w:tab w:val="num" w:pos="5760"/>
        </w:tabs>
        <w:ind w:left="5760" w:hanging="360"/>
      </w:pPr>
      <w:rPr>
        <w:rFonts w:ascii="Courier New" w:hAnsi="Courier New" w:hint="default"/>
        <w:sz w:val="20"/>
      </w:rPr>
    </w:lvl>
    <w:lvl w:ilvl="8" w:tplc="27B806CC"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73C6357C"/>
    <w:multiLevelType w:val="hybridMultilevel"/>
    <w:tmpl w:val="563CA382"/>
    <w:lvl w:ilvl="0" w:tplc="A2E23A0E">
      <w:start w:val="1"/>
      <w:numFmt w:val="bullet"/>
      <w:lvlText w:val=""/>
      <w:lvlJc w:val="left"/>
      <w:pPr>
        <w:tabs>
          <w:tab w:val="num" w:pos="360"/>
        </w:tabs>
        <w:ind w:left="360" w:hanging="360"/>
      </w:pPr>
      <w:rPr>
        <w:rFonts w:ascii="Symbol" w:hAnsi="Symbol" w:hint="default"/>
        <w:sz w:val="20"/>
      </w:rPr>
    </w:lvl>
    <w:lvl w:ilvl="1" w:tplc="B4CEDC26" w:tentative="1">
      <w:start w:val="1"/>
      <w:numFmt w:val="bullet"/>
      <w:lvlText w:val=""/>
      <w:lvlJc w:val="left"/>
      <w:pPr>
        <w:tabs>
          <w:tab w:val="num" w:pos="1080"/>
        </w:tabs>
        <w:ind w:left="1080" w:hanging="360"/>
      </w:pPr>
      <w:rPr>
        <w:rFonts w:ascii="Symbol" w:hAnsi="Symbol" w:hint="default"/>
        <w:sz w:val="20"/>
      </w:rPr>
    </w:lvl>
    <w:lvl w:ilvl="2" w:tplc="1B1C650A" w:tentative="1">
      <w:start w:val="1"/>
      <w:numFmt w:val="bullet"/>
      <w:lvlText w:val=""/>
      <w:lvlJc w:val="left"/>
      <w:pPr>
        <w:tabs>
          <w:tab w:val="num" w:pos="1800"/>
        </w:tabs>
        <w:ind w:left="1800" w:hanging="360"/>
      </w:pPr>
      <w:rPr>
        <w:rFonts w:ascii="Symbol" w:hAnsi="Symbol" w:hint="default"/>
        <w:sz w:val="20"/>
      </w:rPr>
    </w:lvl>
    <w:lvl w:ilvl="3" w:tplc="8C229528" w:tentative="1">
      <w:start w:val="1"/>
      <w:numFmt w:val="bullet"/>
      <w:lvlText w:val=""/>
      <w:lvlJc w:val="left"/>
      <w:pPr>
        <w:tabs>
          <w:tab w:val="num" w:pos="2520"/>
        </w:tabs>
        <w:ind w:left="2520" w:hanging="360"/>
      </w:pPr>
      <w:rPr>
        <w:rFonts w:ascii="Symbol" w:hAnsi="Symbol" w:hint="default"/>
        <w:sz w:val="20"/>
      </w:rPr>
    </w:lvl>
    <w:lvl w:ilvl="4" w:tplc="A22E67A4" w:tentative="1">
      <w:start w:val="1"/>
      <w:numFmt w:val="bullet"/>
      <w:lvlText w:val=""/>
      <w:lvlJc w:val="left"/>
      <w:pPr>
        <w:tabs>
          <w:tab w:val="num" w:pos="3240"/>
        </w:tabs>
        <w:ind w:left="3240" w:hanging="360"/>
      </w:pPr>
      <w:rPr>
        <w:rFonts w:ascii="Symbol" w:hAnsi="Symbol" w:hint="default"/>
        <w:sz w:val="20"/>
      </w:rPr>
    </w:lvl>
    <w:lvl w:ilvl="5" w:tplc="62E8D8F2" w:tentative="1">
      <w:start w:val="1"/>
      <w:numFmt w:val="bullet"/>
      <w:lvlText w:val=""/>
      <w:lvlJc w:val="left"/>
      <w:pPr>
        <w:tabs>
          <w:tab w:val="num" w:pos="3960"/>
        </w:tabs>
        <w:ind w:left="3960" w:hanging="360"/>
      </w:pPr>
      <w:rPr>
        <w:rFonts w:ascii="Symbol" w:hAnsi="Symbol" w:hint="default"/>
        <w:sz w:val="20"/>
      </w:rPr>
    </w:lvl>
    <w:lvl w:ilvl="6" w:tplc="3D4A8FA6" w:tentative="1">
      <w:start w:val="1"/>
      <w:numFmt w:val="bullet"/>
      <w:lvlText w:val=""/>
      <w:lvlJc w:val="left"/>
      <w:pPr>
        <w:tabs>
          <w:tab w:val="num" w:pos="4680"/>
        </w:tabs>
        <w:ind w:left="4680" w:hanging="360"/>
      </w:pPr>
      <w:rPr>
        <w:rFonts w:ascii="Symbol" w:hAnsi="Symbol" w:hint="default"/>
        <w:sz w:val="20"/>
      </w:rPr>
    </w:lvl>
    <w:lvl w:ilvl="7" w:tplc="784EB5F0" w:tentative="1">
      <w:start w:val="1"/>
      <w:numFmt w:val="bullet"/>
      <w:lvlText w:val=""/>
      <w:lvlJc w:val="left"/>
      <w:pPr>
        <w:tabs>
          <w:tab w:val="num" w:pos="5400"/>
        </w:tabs>
        <w:ind w:left="5400" w:hanging="360"/>
      </w:pPr>
      <w:rPr>
        <w:rFonts w:ascii="Symbol" w:hAnsi="Symbol" w:hint="default"/>
        <w:sz w:val="20"/>
      </w:rPr>
    </w:lvl>
    <w:lvl w:ilvl="8" w:tplc="39EA311C" w:tentative="1">
      <w:start w:val="1"/>
      <w:numFmt w:val="bullet"/>
      <w:lvlText w:val=""/>
      <w:lvlJc w:val="left"/>
      <w:pPr>
        <w:tabs>
          <w:tab w:val="num" w:pos="6120"/>
        </w:tabs>
        <w:ind w:left="6120" w:hanging="360"/>
      </w:pPr>
      <w:rPr>
        <w:rFonts w:ascii="Symbol" w:hAnsi="Symbol" w:hint="default"/>
        <w:sz w:val="20"/>
      </w:rPr>
    </w:lvl>
  </w:abstractNum>
  <w:abstractNum w:abstractNumId="35" w15:restartNumberingAfterBreak="0">
    <w:nsid w:val="7A6A0819"/>
    <w:multiLevelType w:val="hybridMultilevel"/>
    <w:tmpl w:val="AFACE278"/>
    <w:lvl w:ilvl="0" w:tplc="EC900144">
      <w:start w:val="1"/>
      <w:numFmt w:val="bullet"/>
      <w:lvlText w:val=""/>
      <w:lvlJc w:val="left"/>
      <w:pPr>
        <w:tabs>
          <w:tab w:val="num" w:pos="720"/>
        </w:tabs>
        <w:ind w:left="720" w:hanging="360"/>
      </w:pPr>
      <w:rPr>
        <w:rFonts w:ascii="Symbol" w:hAnsi="Symbol" w:hint="default"/>
        <w:sz w:val="20"/>
      </w:rPr>
    </w:lvl>
    <w:lvl w:ilvl="1" w:tplc="C4A8D5DA" w:tentative="1">
      <w:start w:val="1"/>
      <w:numFmt w:val="bullet"/>
      <w:lvlText w:val=""/>
      <w:lvlJc w:val="left"/>
      <w:pPr>
        <w:tabs>
          <w:tab w:val="num" w:pos="1440"/>
        </w:tabs>
        <w:ind w:left="1440" w:hanging="360"/>
      </w:pPr>
      <w:rPr>
        <w:rFonts w:ascii="Symbol" w:hAnsi="Symbol" w:hint="default"/>
        <w:sz w:val="20"/>
      </w:rPr>
    </w:lvl>
    <w:lvl w:ilvl="2" w:tplc="9442362E" w:tentative="1">
      <w:start w:val="1"/>
      <w:numFmt w:val="bullet"/>
      <w:lvlText w:val=""/>
      <w:lvlJc w:val="left"/>
      <w:pPr>
        <w:tabs>
          <w:tab w:val="num" w:pos="2160"/>
        </w:tabs>
        <w:ind w:left="2160" w:hanging="360"/>
      </w:pPr>
      <w:rPr>
        <w:rFonts w:ascii="Symbol" w:hAnsi="Symbol" w:hint="default"/>
        <w:sz w:val="20"/>
      </w:rPr>
    </w:lvl>
    <w:lvl w:ilvl="3" w:tplc="F9388B52" w:tentative="1">
      <w:start w:val="1"/>
      <w:numFmt w:val="bullet"/>
      <w:lvlText w:val=""/>
      <w:lvlJc w:val="left"/>
      <w:pPr>
        <w:tabs>
          <w:tab w:val="num" w:pos="2880"/>
        </w:tabs>
        <w:ind w:left="2880" w:hanging="360"/>
      </w:pPr>
      <w:rPr>
        <w:rFonts w:ascii="Symbol" w:hAnsi="Symbol" w:hint="default"/>
        <w:sz w:val="20"/>
      </w:rPr>
    </w:lvl>
    <w:lvl w:ilvl="4" w:tplc="3FC6136C" w:tentative="1">
      <w:start w:val="1"/>
      <w:numFmt w:val="bullet"/>
      <w:lvlText w:val=""/>
      <w:lvlJc w:val="left"/>
      <w:pPr>
        <w:tabs>
          <w:tab w:val="num" w:pos="3600"/>
        </w:tabs>
        <w:ind w:left="3600" w:hanging="360"/>
      </w:pPr>
      <w:rPr>
        <w:rFonts w:ascii="Symbol" w:hAnsi="Symbol" w:hint="default"/>
        <w:sz w:val="20"/>
      </w:rPr>
    </w:lvl>
    <w:lvl w:ilvl="5" w:tplc="5C50EB36" w:tentative="1">
      <w:start w:val="1"/>
      <w:numFmt w:val="bullet"/>
      <w:lvlText w:val=""/>
      <w:lvlJc w:val="left"/>
      <w:pPr>
        <w:tabs>
          <w:tab w:val="num" w:pos="4320"/>
        </w:tabs>
        <w:ind w:left="4320" w:hanging="360"/>
      </w:pPr>
      <w:rPr>
        <w:rFonts w:ascii="Symbol" w:hAnsi="Symbol" w:hint="default"/>
        <w:sz w:val="20"/>
      </w:rPr>
    </w:lvl>
    <w:lvl w:ilvl="6" w:tplc="32543B30" w:tentative="1">
      <w:start w:val="1"/>
      <w:numFmt w:val="bullet"/>
      <w:lvlText w:val=""/>
      <w:lvlJc w:val="left"/>
      <w:pPr>
        <w:tabs>
          <w:tab w:val="num" w:pos="5040"/>
        </w:tabs>
        <w:ind w:left="5040" w:hanging="360"/>
      </w:pPr>
      <w:rPr>
        <w:rFonts w:ascii="Symbol" w:hAnsi="Symbol" w:hint="default"/>
        <w:sz w:val="20"/>
      </w:rPr>
    </w:lvl>
    <w:lvl w:ilvl="7" w:tplc="F1480FB2" w:tentative="1">
      <w:start w:val="1"/>
      <w:numFmt w:val="bullet"/>
      <w:lvlText w:val=""/>
      <w:lvlJc w:val="left"/>
      <w:pPr>
        <w:tabs>
          <w:tab w:val="num" w:pos="5760"/>
        </w:tabs>
        <w:ind w:left="5760" w:hanging="360"/>
      </w:pPr>
      <w:rPr>
        <w:rFonts w:ascii="Symbol" w:hAnsi="Symbol" w:hint="default"/>
        <w:sz w:val="20"/>
      </w:rPr>
    </w:lvl>
    <w:lvl w:ilvl="8" w:tplc="A04C1734"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ED348AD"/>
    <w:multiLevelType w:val="hybridMultilevel"/>
    <w:tmpl w:val="C54EE1BE"/>
    <w:lvl w:ilvl="0" w:tplc="FB220F68">
      <w:start w:val="1"/>
      <w:numFmt w:val="decimal"/>
      <w:lvlText w:val="%1."/>
      <w:lvlJc w:val="left"/>
      <w:pPr>
        <w:ind w:left="720" w:hanging="360"/>
      </w:pPr>
    </w:lvl>
    <w:lvl w:ilvl="1" w:tplc="50F41CB6">
      <w:start w:val="1"/>
      <w:numFmt w:val="lowerLetter"/>
      <w:lvlText w:val="%2."/>
      <w:lvlJc w:val="left"/>
      <w:pPr>
        <w:ind w:left="1440" w:hanging="360"/>
      </w:pPr>
    </w:lvl>
    <w:lvl w:ilvl="2" w:tplc="F9A85614">
      <w:start w:val="1"/>
      <w:numFmt w:val="lowerRoman"/>
      <w:lvlText w:val="%3."/>
      <w:lvlJc w:val="right"/>
      <w:pPr>
        <w:ind w:left="2160" w:hanging="180"/>
      </w:pPr>
    </w:lvl>
    <w:lvl w:ilvl="3" w:tplc="C06A5DAE">
      <w:start w:val="1"/>
      <w:numFmt w:val="decimal"/>
      <w:lvlText w:val="%4."/>
      <w:lvlJc w:val="left"/>
      <w:pPr>
        <w:ind w:left="2880" w:hanging="360"/>
      </w:pPr>
    </w:lvl>
    <w:lvl w:ilvl="4" w:tplc="7A266216">
      <w:start w:val="1"/>
      <w:numFmt w:val="lowerLetter"/>
      <w:lvlText w:val="%5."/>
      <w:lvlJc w:val="left"/>
      <w:pPr>
        <w:ind w:left="3600" w:hanging="360"/>
      </w:pPr>
    </w:lvl>
    <w:lvl w:ilvl="5" w:tplc="5608C4F8">
      <w:start w:val="1"/>
      <w:numFmt w:val="lowerRoman"/>
      <w:lvlText w:val="%6."/>
      <w:lvlJc w:val="right"/>
      <w:pPr>
        <w:ind w:left="4320" w:hanging="180"/>
      </w:pPr>
    </w:lvl>
    <w:lvl w:ilvl="6" w:tplc="DDA6CA4C">
      <w:start w:val="1"/>
      <w:numFmt w:val="decimal"/>
      <w:lvlText w:val="%7."/>
      <w:lvlJc w:val="left"/>
      <w:pPr>
        <w:ind w:left="5040" w:hanging="360"/>
      </w:pPr>
    </w:lvl>
    <w:lvl w:ilvl="7" w:tplc="53F43576">
      <w:start w:val="1"/>
      <w:numFmt w:val="lowerLetter"/>
      <w:lvlText w:val="%8."/>
      <w:lvlJc w:val="left"/>
      <w:pPr>
        <w:ind w:left="5760" w:hanging="360"/>
      </w:pPr>
    </w:lvl>
    <w:lvl w:ilvl="8" w:tplc="434E5F42">
      <w:start w:val="1"/>
      <w:numFmt w:val="lowerRoman"/>
      <w:lvlText w:val="%9."/>
      <w:lvlJc w:val="right"/>
      <w:pPr>
        <w:ind w:left="6480" w:hanging="180"/>
      </w:pPr>
    </w:lvl>
  </w:abstractNum>
  <w:abstractNum w:abstractNumId="37" w15:restartNumberingAfterBreak="0">
    <w:nsid w:val="7ED63F15"/>
    <w:multiLevelType w:val="hybridMultilevel"/>
    <w:tmpl w:val="75245734"/>
    <w:lvl w:ilvl="0" w:tplc="68D2D186">
      <w:start w:val="1"/>
      <w:numFmt w:val="bullet"/>
      <w:lvlText w:val=""/>
      <w:lvlJc w:val="left"/>
      <w:pPr>
        <w:tabs>
          <w:tab w:val="num" w:pos="720"/>
        </w:tabs>
        <w:ind w:left="720" w:hanging="360"/>
      </w:pPr>
      <w:rPr>
        <w:rFonts w:ascii="Symbol" w:hAnsi="Symbol" w:hint="default"/>
        <w:sz w:val="20"/>
      </w:rPr>
    </w:lvl>
    <w:lvl w:ilvl="1" w:tplc="84923D02" w:tentative="1">
      <w:start w:val="1"/>
      <w:numFmt w:val="bullet"/>
      <w:lvlText w:val=""/>
      <w:lvlJc w:val="left"/>
      <w:pPr>
        <w:tabs>
          <w:tab w:val="num" w:pos="1440"/>
        </w:tabs>
        <w:ind w:left="1440" w:hanging="360"/>
      </w:pPr>
      <w:rPr>
        <w:rFonts w:ascii="Symbol" w:hAnsi="Symbol" w:hint="default"/>
        <w:sz w:val="20"/>
      </w:rPr>
    </w:lvl>
    <w:lvl w:ilvl="2" w:tplc="E9D07528" w:tentative="1">
      <w:start w:val="1"/>
      <w:numFmt w:val="bullet"/>
      <w:lvlText w:val=""/>
      <w:lvlJc w:val="left"/>
      <w:pPr>
        <w:tabs>
          <w:tab w:val="num" w:pos="2160"/>
        </w:tabs>
        <w:ind w:left="2160" w:hanging="360"/>
      </w:pPr>
      <w:rPr>
        <w:rFonts w:ascii="Symbol" w:hAnsi="Symbol" w:hint="default"/>
        <w:sz w:val="20"/>
      </w:rPr>
    </w:lvl>
    <w:lvl w:ilvl="3" w:tplc="FEEC36DE" w:tentative="1">
      <w:start w:val="1"/>
      <w:numFmt w:val="bullet"/>
      <w:lvlText w:val=""/>
      <w:lvlJc w:val="left"/>
      <w:pPr>
        <w:tabs>
          <w:tab w:val="num" w:pos="2880"/>
        </w:tabs>
        <w:ind w:left="2880" w:hanging="360"/>
      </w:pPr>
      <w:rPr>
        <w:rFonts w:ascii="Symbol" w:hAnsi="Symbol" w:hint="default"/>
        <w:sz w:val="20"/>
      </w:rPr>
    </w:lvl>
    <w:lvl w:ilvl="4" w:tplc="3BE2C040" w:tentative="1">
      <w:start w:val="1"/>
      <w:numFmt w:val="bullet"/>
      <w:lvlText w:val=""/>
      <w:lvlJc w:val="left"/>
      <w:pPr>
        <w:tabs>
          <w:tab w:val="num" w:pos="3600"/>
        </w:tabs>
        <w:ind w:left="3600" w:hanging="360"/>
      </w:pPr>
      <w:rPr>
        <w:rFonts w:ascii="Symbol" w:hAnsi="Symbol" w:hint="default"/>
        <w:sz w:val="20"/>
      </w:rPr>
    </w:lvl>
    <w:lvl w:ilvl="5" w:tplc="FBB4EAB8" w:tentative="1">
      <w:start w:val="1"/>
      <w:numFmt w:val="bullet"/>
      <w:lvlText w:val=""/>
      <w:lvlJc w:val="left"/>
      <w:pPr>
        <w:tabs>
          <w:tab w:val="num" w:pos="4320"/>
        </w:tabs>
        <w:ind w:left="4320" w:hanging="360"/>
      </w:pPr>
      <w:rPr>
        <w:rFonts w:ascii="Symbol" w:hAnsi="Symbol" w:hint="default"/>
        <w:sz w:val="20"/>
      </w:rPr>
    </w:lvl>
    <w:lvl w:ilvl="6" w:tplc="3FE6B47A" w:tentative="1">
      <w:start w:val="1"/>
      <w:numFmt w:val="bullet"/>
      <w:lvlText w:val=""/>
      <w:lvlJc w:val="left"/>
      <w:pPr>
        <w:tabs>
          <w:tab w:val="num" w:pos="5040"/>
        </w:tabs>
        <w:ind w:left="5040" w:hanging="360"/>
      </w:pPr>
      <w:rPr>
        <w:rFonts w:ascii="Symbol" w:hAnsi="Symbol" w:hint="default"/>
        <w:sz w:val="20"/>
      </w:rPr>
    </w:lvl>
    <w:lvl w:ilvl="7" w:tplc="3B3603D4" w:tentative="1">
      <w:start w:val="1"/>
      <w:numFmt w:val="bullet"/>
      <w:lvlText w:val=""/>
      <w:lvlJc w:val="left"/>
      <w:pPr>
        <w:tabs>
          <w:tab w:val="num" w:pos="5760"/>
        </w:tabs>
        <w:ind w:left="5760" w:hanging="360"/>
      </w:pPr>
      <w:rPr>
        <w:rFonts w:ascii="Symbol" w:hAnsi="Symbol" w:hint="default"/>
        <w:sz w:val="20"/>
      </w:rPr>
    </w:lvl>
    <w:lvl w:ilvl="8" w:tplc="47ECB686" w:tentative="1">
      <w:start w:val="1"/>
      <w:numFmt w:val="bullet"/>
      <w:lvlText w:val=""/>
      <w:lvlJc w:val="left"/>
      <w:pPr>
        <w:tabs>
          <w:tab w:val="num" w:pos="6480"/>
        </w:tabs>
        <w:ind w:left="6480" w:hanging="360"/>
      </w:pPr>
      <w:rPr>
        <w:rFonts w:ascii="Symbol" w:hAnsi="Symbol" w:hint="default"/>
        <w:sz w:val="20"/>
      </w:rPr>
    </w:lvl>
  </w:abstractNum>
  <w:num w:numId="1">
    <w:abstractNumId w:val="36"/>
  </w:num>
  <w:num w:numId="2">
    <w:abstractNumId w:val="32"/>
  </w:num>
  <w:num w:numId="3">
    <w:abstractNumId w:val="24"/>
  </w:num>
  <w:num w:numId="4">
    <w:abstractNumId w:val="3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5"/>
  </w:num>
  <w:num w:numId="8">
    <w:abstractNumId w:val="13"/>
  </w:num>
  <w:num w:numId="9">
    <w:abstractNumId w:val="10"/>
  </w:num>
  <w:num w:numId="10">
    <w:abstractNumId w:val="27"/>
  </w:num>
  <w:num w:numId="11">
    <w:abstractNumId w:val="7"/>
  </w:num>
  <w:num w:numId="12">
    <w:abstractNumId w:val="0"/>
  </w:num>
  <w:num w:numId="13">
    <w:abstractNumId w:val="12"/>
  </w:num>
  <w:num w:numId="14">
    <w:abstractNumId w:val="11"/>
  </w:num>
  <w:num w:numId="15">
    <w:abstractNumId w:val="6"/>
  </w:num>
  <w:num w:numId="16">
    <w:abstractNumId w:val="25"/>
  </w:num>
  <w:num w:numId="17">
    <w:abstractNumId w:val="29"/>
  </w:num>
  <w:num w:numId="18">
    <w:abstractNumId w:val="18"/>
  </w:num>
  <w:num w:numId="19">
    <w:abstractNumId w:val="37"/>
  </w:num>
  <w:num w:numId="20">
    <w:abstractNumId w:val="28"/>
  </w:num>
  <w:num w:numId="21">
    <w:abstractNumId w:val="4"/>
  </w:num>
  <w:num w:numId="22">
    <w:abstractNumId w:val="8"/>
  </w:num>
  <w:num w:numId="23">
    <w:abstractNumId w:val="26"/>
  </w:num>
  <w:num w:numId="24">
    <w:abstractNumId w:val="31"/>
  </w:num>
  <w:num w:numId="25">
    <w:abstractNumId w:val="21"/>
  </w:num>
  <w:num w:numId="26">
    <w:abstractNumId w:val="30"/>
  </w:num>
  <w:num w:numId="27">
    <w:abstractNumId w:val="3"/>
  </w:num>
  <w:num w:numId="28">
    <w:abstractNumId w:val="34"/>
  </w:num>
  <w:num w:numId="29">
    <w:abstractNumId w:val="33"/>
  </w:num>
  <w:num w:numId="30">
    <w:abstractNumId w:val="15"/>
  </w:num>
  <w:num w:numId="31">
    <w:abstractNumId w:val="17"/>
  </w:num>
  <w:num w:numId="32">
    <w:abstractNumId w:val="1"/>
  </w:num>
  <w:num w:numId="33">
    <w:abstractNumId w:val="14"/>
  </w:num>
  <w:num w:numId="34">
    <w:abstractNumId w:val="22"/>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19"/>
  </w:num>
  <w:num w:numId="38">
    <w:abstractNumId w:val="16"/>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C29"/>
    <w:rsid w:val="000016FF"/>
    <w:rsid w:val="000019EF"/>
    <w:rsid w:val="00003F9A"/>
    <w:rsid w:val="00004162"/>
    <w:rsid w:val="00006CBA"/>
    <w:rsid w:val="000116F5"/>
    <w:rsid w:val="000138C9"/>
    <w:rsid w:val="00013BBC"/>
    <w:rsid w:val="00014C07"/>
    <w:rsid w:val="00015078"/>
    <w:rsid w:val="00015391"/>
    <w:rsid w:val="00017C6F"/>
    <w:rsid w:val="00017ECD"/>
    <w:rsid w:val="00022D59"/>
    <w:rsid w:val="00023635"/>
    <w:rsid w:val="00024782"/>
    <w:rsid w:val="00026AF6"/>
    <w:rsid w:val="000276A7"/>
    <w:rsid w:val="000342CB"/>
    <w:rsid w:val="00034A81"/>
    <w:rsid w:val="00037A41"/>
    <w:rsid w:val="00042C4C"/>
    <w:rsid w:val="0004663D"/>
    <w:rsid w:val="0004712A"/>
    <w:rsid w:val="00047189"/>
    <w:rsid w:val="00047AF0"/>
    <w:rsid w:val="00052EA2"/>
    <w:rsid w:val="00054BAE"/>
    <w:rsid w:val="000573A2"/>
    <w:rsid w:val="000602F5"/>
    <w:rsid w:val="00060DBA"/>
    <w:rsid w:val="00065B6E"/>
    <w:rsid w:val="0006642F"/>
    <w:rsid w:val="0006659D"/>
    <w:rsid w:val="00077C03"/>
    <w:rsid w:val="00081038"/>
    <w:rsid w:val="00081F2A"/>
    <w:rsid w:val="0008583A"/>
    <w:rsid w:val="00090F94"/>
    <w:rsid w:val="00091173"/>
    <w:rsid w:val="00091249"/>
    <w:rsid w:val="0009617F"/>
    <w:rsid w:val="000A075A"/>
    <w:rsid w:val="000A3601"/>
    <w:rsid w:val="000A3A0B"/>
    <w:rsid w:val="000A405D"/>
    <w:rsid w:val="000A4D83"/>
    <w:rsid w:val="000A7501"/>
    <w:rsid w:val="000B1927"/>
    <w:rsid w:val="000B303B"/>
    <w:rsid w:val="000B4B25"/>
    <w:rsid w:val="000C27AE"/>
    <w:rsid w:val="000C319F"/>
    <w:rsid w:val="000C3479"/>
    <w:rsid w:val="000D2126"/>
    <w:rsid w:val="000D568C"/>
    <w:rsid w:val="000D5FAC"/>
    <w:rsid w:val="000D69F8"/>
    <w:rsid w:val="000D6CE8"/>
    <w:rsid w:val="000D6F1A"/>
    <w:rsid w:val="000E2FD2"/>
    <w:rsid w:val="000E5984"/>
    <w:rsid w:val="000F0BA1"/>
    <w:rsid w:val="000F1BCE"/>
    <w:rsid w:val="000F2A6D"/>
    <w:rsid w:val="000F5EF4"/>
    <w:rsid w:val="00105506"/>
    <w:rsid w:val="00105B6E"/>
    <w:rsid w:val="00105CB7"/>
    <w:rsid w:val="00106657"/>
    <w:rsid w:val="0010799A"/>
    <w:rsid w:val="00107E69"/>
    <w:rsid w:val="00112FAC"/>
    <w:rsid w:val="001131DA"/>
    <w:rsid w:val="00115FC3"/>
    <w:rsid w:val="001211B2"/>
    <w:rsid w:val="001267F8"/>
    <w:rsid w:val="00126B19"/>
    <w:rsid w:val="00127527"/>
    <w:rsid w:val="00130533"/>
    <w:rsid w:val="00136354"/>
    <w:rsid w:val="00136C9D"/>
    <w:rsid w:val="00143C83"/>
    <w:rsid w:val="0014772B"/>
    <w:rsid w:val="00151CA7"/>
    <w:rsid w:val="0015216F"/>
    <w:rsid w:val="00152F07"/>
    <w:rsid w:val="00157342"/>
    <w:rsid w:val="00167B43"/>
    <w:rsid w:val="001702AA"/>
    <w:rsid w:val="00170CCE"/>
    <w:rsid w:val="0017194F"/>
    <w:rsid w:val="0017209B"/>
    <w:rsid w:val="00180113"/>
    <w:rsid w:val="00182080"/>
    <w:rsid w:val="00185092"/>
    <w:rsid w:val="001874BE"/>
    <w:rsid w:val="001878A9"/>
    <w:rsid w:val="001901F8"/>
    <w:rsid w:val="00190F7C"/>
    <w:rsid w:val="00191B2D"/>
    <w:rsid w:val="00192A9E"/>
    <w:rsid w:val="001934BA"/>
    <w:rsid w:val="00193DD6"/>
    <w:rsid w:val="001A1822"/>
    <w:rsid w:val="001A22E6"/>
    <w:rsid w:val="001A453D"/>
    <w:rsid w:val="001B02DC"/>
    <w:rsid w:val="001B1925"/>
    <w:rsid w:val="001B1A6D"/>
    <w:rsid w:val="001B3766"/>
    <w:rsid w:val="001B4F77"/>
    <w:rsid w:val="001B528E"/>
    <w:rsid w:val="001B6A02"/>
    <w:rsid w:val="001C19F8"/>
    <w:rsid w:val="001C4375"/>
    <w:rsid w:val="001C45E5"/>
    <w:rsid w:val="001D28F7"/>
    <w:rsid w:val="001D7BAE"/>
    <w:rsid w:val="001E414D"/>
    <w:rsid w:val="001E527D"/>
    <w:rsid w:val="001F7E1F"/>
    <w:rsid w:val="00201973"/>
    <w:rsid w:val="00203DDF"/>
    <w:rsid w:val="00204F6B"/>
    <w:rsid w:val="00205EE6"/>
    <w:rsid w:val="0021193A"/>
    <w:rsid w:val="00226AF0"/>
    <w:rsid w:val="002329E0"/>
    <w:rsid w:val="00234730"/>
    <w:rsid w:val="00237A59"/>
    <w:rsid w:val="0024285E"/>
    <w:rsid w:val="00243C0D"/>
    <w:rsid w:val="002611B2"/>
    <w:rsid w:val="00262596"/>
    <w:rsid w:val="002626F6"/>
    <w:rsid w:val="002658CF"/>
    <w:rsid w:val="002663F1"/>
    <w:rsid w:val="00273730"/>
    <w:rsid w:val="002741CA"/>
    <w:rsid w:val="00274705"/>
    <w:rsid w:val="002763A0"/>
    <w:rsid w:val="0027755E"/>
    <w:rsid w:val="00281FB7"/>
    <w:rsid w:val="00290677"/>
    <w:rsid w:val="0029300B"/>
    <w:rsid w:val="0029454C"/>
    <w:rsid w:val="0029647C"/>
    <w:rsid w:val="002A0F60"/>
    <w:rsid w:val="002A3F15"/>
    <w:rsid w:val="002A596D"/>
    <w:rsid w:val="002A65EC"/>
    <w:rsid w:val="002A79A5"/>
    <w:rsid w:val="002B139C"/>
    <w:rsid w:val="002B4635"/>
    <w:rsid w:val="002C20DD"/>
    <w:rsid w:val="002C4853"/>
    <w:rsid w:val="002C5B25"/>
    <w:rsid w:val="002D5CA2"/>
    <w:rsid w:val="002E02D1"/>
    <w:rsid w:val="002E04D0"/>
    <w:rsid w:val="002E2CFA"/>
    <w:rsid w:val="002E5817"/>
    <w:rsid w:val="002E7DD8"/>
    <w:rsid w:val="002F3A10"/>
    <w:rsid w:val="00300406"/>
    <w:rsid w:val="00302A9C"/>
    <w:rsid w:val="00302DAE"/>
    <w:rsid w:val="003046BD"/>
    <w:rsid w:val="00306218"/>
    <w:rsid w:val="00307812"/>
    <w:rsid w:val="003109FF"/>
    <w:rsid w:val="00313444"/>
    <w:rsid w:val="00317590"/>
    <w:rsid w:val="00321276"/>
    <w:rsid w:val="00322EEE"/>
    <w:rsid w:val="003251F0"/>
    <w:rsid w:val="00326817"/>
    <w:rsid w:val="00326BB9"/>
    <w:rsid w:val="00326F2E"/>
    <w:rsid w:val="00330741"/>
    <w:rsid w:val="00335DC4"/>
    <w:rsid w:val="003377D4"/>
    <w:rsid w:val="0034109A"/>
    <w:rsid w:val="00343B44"/>
    <w:rsid w:val="003465D7"/>
    <w:rsid w:val="00347449"/>
    <w:rsid w:val="00351CAA"/>
    <w:rsid w:val="0035289D"/>
    <w:rsid w:val="0035347B"/>
    <w:rsid w:val="00365B0D"/>
    <w:rsid w:val="003666BE"/>
    <w:rsid w:val="0036712D"/>
    <w:rsid w:val="0037139B"/>
    <w:rsid w:val="00372230"/>
    <w:rsid w:val="00377B3F"/>
    <w:rsid w:val="003810EE"/>
    <w:rsid w:val="00383825"/>
    <w:rsid w:val="00385B19"/>
    <w:rsid w:val="00392B32"/>
    <w:rsid w:val="00392D31"/>
    <w:rsid w:val="00397442"/>
    <w:rsid w:val="003A2026"/>
    <w:rsid w:val="003A4151"/>
    <w:rsid w:val="003A695D"/>
    <w:rsid w:val="003A6EDF"/>
    <w:rsid w:val="003A6F19"/>
    <w:rsid w:val="003A786B"/>
    <w:rsid w:val="003A7D1C"/>
    <w:rsid w:val="003B0CA6"/>
    <w:rsid w:val="003B2738"/>
    <w:rsid w:val="003B2765"/>
    <w:rsid w:val="003B312E"/>
    <w:rsid w:val="003B3269"/>
    <w:rsid w:val="003B3675"/>
    <w:rsid w:val="003B3923"/>
    <w:rsid w:val="003B6BC3"/>
    <w:rsid w:val="003C02F3"/>
    <w:rsid w:val="003C2397"/>
    <w:rsid w:val="003C4834"/>
    <w:rsid w:val="003D010A"/>
    <w:rsid w:val="003D426B"/>
    <w:rsid w:val="003D4F80"/>
    <w:rsid w:val="003D66A0"/>
    <w:rsid w:val="003E0A3A"/>
    <w:rsid w:val="003E2500"/>
    <w:rsid w:val="003E361D"/>
    <w:rsid w:val="003E36B7"/>
    <w:rsid w:val="003E45EA"/>
    <w:rsid w:val="003E66FF"/>
    <w:rsid w:val="003E7E3D"/>
    <w:rsid w:val="003F048C"/>
    <w:rsid w:val="003F0534"/>
    <w:rsid w:val="003F6534"/>
    <w:rsid w:val="00400DA1"/>
    <w:rsid w:val="00400EC0"/>
    <w:rsid w:val="0040120E"/>
    <w:rsid w:val="0040513A"/>
    <w:rsid w:val="004152AA"/>
    <w:rsid w:val="00415BAD"/>
    <w:rsid w:val="00415C0C"/>
    <w:rsid w:val="00417499"/>
    <w:rsid w:val="00421863"/>
    <w:rsid w:val="00430116"/>
    <w:rsid w:val="004314CA"/>
    <w:rsid w:val="004350FD"/>
    <w:rsid w:val="004366EE"/>
    <w:rsid w:val="00440C1F"/>
    <w:rsid w:val="004414CC"/>
    <w:rsid w:val="004427CD"/>
    <w:rsid w:val="004440C0"/>
    <w:rsid w:val="00445354"/>
    <w:rsid w:val="004465F8"/>
    <w:rsid w:val="00451932"/>
    <w:rsid w:val="00451C79"/>
    <w:rsid w:val="00453FDF"/>
    <w:rsid w:val="0046515B"/>
    <w:rsid w:val="00465AA8"/>
    <w:rsid w:val="004677AA"/>
    <w:rsid w:val="00470B83"/>
    <w:rsid w:val="00471E42"/>
    <w:rsid w:val="00472564"/>
    <w:rsid w:val="00472F08"/>
    <w:rsid w:val="00473E41"/>
    <w:rsid w:val="004740A1"/>
    <w:rsid w:val="004763E3"/>
    <w:rsid w:val="00476E5A"/>
    <w:rsid w:val="004777A7"/>
    <w:rsid w:val="00477A25"/>
    <w:rsid w:val="00477A39"/>
    <w:rsid w:val="004931DF"/>
    <w:rsid w:val="004934B9"/>
    <w:rsid w:val="00497392"/>
    <w:rsid w:val="004975BF"/>
    <w:rsid w:val="00497AAA"/>
    <w:rsid w:val="004A19CE"/>
    <w:rsid w:val="004A2A24"/>
    <w:rsid w:val="004B3039"/>
    <w:rsid w:val="004B4144"/>
    <w:rsid w:val="004B4267"/>
    <w:rsid w:val="004B46BA"/>
    <w:rsid w:val="004B6CE0"/>
    <w:rsid w:val="004B6D63"/>
    <w:rsid w:val="004B7B76"/>
    <w:rsid w:val="004B7F44"/>
    <w:rsid w:val="004C0C70"/>
    <w:rsid w:val="004C1814"/>
    <w:rsid w:val="004C3B07"/>
    <w:rsid w:val="004C62A0"/>
    <w:rsid w:val="004D0542"/>
    <w:rsid w:val="004D0EB8"/>
    <w:rsid w:val="004D3342"/>
    <w:rsid w:val="004D33C8"/>
    <w:rsid w:val="004D42C0"/>
    <w:rsid w:val="004E18AD"/>
    <w:rsid w:val="004E49E9"/>
    <w:rsid w:val="004E532E"/>
    <w:rsid w:val="004E5FEF"/>
    <w:rsid w:val="004E6572"/>
    <w:rsid w:val="004F37FD"/>
    <w:rsid w:val="004F505F"/>
    <w:rsid w:val="004F6FAA"/>
    <w:rsid w:val="00500C7E"/>
    <w:rsid w:val="005011CF"/>
    <w:rsid w:val="00501528"/>
    <w:rsid w:val="00504A72"/>
    <w:rsid w:val="00505822"/>
    <w:rsid w:val="00507469"/>
    <w:rsid w:val="0050799E"/>
    <w:rsid w:val="00511412"/>
    <w:rsid w:val="005127F7"/>
    <w:rsid w:val="00512A90"/>
    <w:rsid w:val="005216F7"/>
    <w:rsid w:val="00524B04"/>
    <w:rsid w:val="0052552F"/>
    <w:rsid w:val="00525BE7"/>
    <w:rsid w:val="00527389"/>
    <w:rsid w:val="005357B0"/>
    <w:rsid w:val="00540AC4"/>
    <w:rsid w:val="005443F1"/>
    <w:rsid w:val="00545EC3"/>
    <w:rsid w:val="00552C02"/>
    <w:rsid w:val="00553A6F"/>
    <w:rsid w:val="0055579B"/>
    <w:rsid w:val="00556384"/>
    <w:rsid w:val="005571CE"/>
    <w:rsid w:val="00565F28"/>
    <w:rsid w:val="005667B3"/>
    <w:rsid w:val="00566D9D"/>
    <w:rsid w:val="00577A2F"/>
    <w:rsid w:val="00577BE7"/>
    <w:rsid w:val="005819F2"/>
    <w:rsid w:val="00586951"/>
    <w:rsid w:val="00591E50"/>
    <w:rsid w:val="005977C2"/>
    <w:rsid w:val="005A7316"/>
    <w:rsid w:val="005B1199"/>
    <w:rsid w:val="005B2B1E"/>
    <w:rsid w:val="005B2F3A"/>
    <w:rsid w:val="005B64C8"/>
    <w:rsid w:val="005B6B3A"/>
    <w:rsid w:val="005C2299"/>
    <w:rsid w:val="005C7560"/>
    <w:rsid w:val="005C77AF"/>
    <w:rsid w:val="005C7F15"/>
    <w:rsid w:val="005D0647"/>
    <w:rsid w:val="005D1AFA"/>
    <w:rsid w:val="005D4BD2"/>
    <w:rsid w:val="005D5E55"/>
    <w:rsid w:val="005D6E74"/>
    <w:rsid w:val="005E063D"/>
    <w:rsid w:val="005E0C37"/>
    <w:rsid w:val="005E20F0"/>
    <w:rsid w:val="005E631F"/>
    <w:rsid w:val="005E7635"/>
    <w:rsid w:val="005F25F5"/>
    <w:rsid w:val="005F30C7"/>
    <w:rsid w:val="0060252B"/>
    <w:rsid w:val="00603FE4"/>
    <w:rsid w:val="006053D4"/>
    <w:rsid w:val="00610235"/>
    <w:rsid w:val="0061155D"/>
    <w:rsid w:val="006116AD"/>
    <w:rsid w:val="006118BC"/>
    <w:rsid w:val="0061435C"/>
    <w:rsid w:val="00620CAC"/>
    <w:rsid w:val="006215D4"/>
    <w:rsid w:val="00632AEF"/>
    <w:rsid w:val="00635864"/>
    <w:rsid w:val="00640125"/>
    <w:rsid w:val="00640664"/>
    <w:rsid w:val="00640F06"/>
    <w:rsid w:val="006412F6"/>
    <w:rsid w:val="006442F6"/>
    <w:rsid w:val="006448CE"/>
    <w:rsid w:val="006467E7"/>
    <w:rsid w:val="006500E4"/>
    <w:rsid w:val="00650790"/>
    <w:rsid w:val="0065156C"/>
    <w:rsid w:val="0065339F"/>
    <w:rsid w:val="00656893"/>
    <w:rsid w:val="00661DF4"/>
    <w:rsid w:val="00665AC0"/>
    <w:rsid w:val="00667793"/>
    <w:rsid w:val="00667E30"/>
    <w:rsid w:val="00672431"/>
    <w:rsid w:val="00672EA7"/>
    <w:rsid w:val="0067545E"/>
    <w:rsid w:val="006808F0"/>
    <w:rsid w:val="00687756"/>
    <w:rsid w:val="00692B69"/>
    <w:rsid w:val="00695D5A"/>
    <w:rsid w:val="006975D1"/>
    <w:rsid w:val="006978A3"/>
    <w:rsid w:val="006A1748"/>
    <w:rsid w:val="006A51D4"/>
    <w:rsid w:val="006A59E3"/>
    <w:rsid w:val="006A780A"/>
    <w:rsid w:val="006B3A8F"/>
    <w:rsid w:val="006B3DF7"/>
    <w:rsid w:val="006B408F"/>
    <w:rsid w:val="006B4FC7"/>
    <w:rsid w:val="006C34DD"/>
    <w:rsid w:val="006C65FD"/>
    <w:rsid w:val="006D0070"/>
    <w:rsid w:val="006D1360"/>
    <w:rsid w:val="006D27B2"/>
    <w:rsid w:val="006D2A24"/>
    <w:rsid w:val="006D377E"/>
    <w:rsid w:val="006D655A"/>
    <w:rsid w:val="006E3757"/>
    <w:rsid w:val="006E5E4F"/>
    <w:rsid w:val="006E6B78"/>
    <w:rsid w:val="006E6BCF"/>
    <w:rsid w:val="006F09CE"/>
    <w:rsid w:val="006F1ED6"/>
    <w:rsid w:val="006F3004"/>
    <w:rsid w:val="006F60EA"/>
    <w:rsid w:val="006F6E85"/>
    <w:rsid w:val="007010A0"/>
    <w:rsid w:val="0070118C"/>
    <w:rsid w:val="00701361"/>
    <w:rsid w:val="00701371"/>
    <w:rsid w:val="00702845"/>
    <w:rsid w:val="0070795E"/>
    <w:rsid w:val="00711388"/>
    <w:rsid w:val="00711C98"/>
    <w:rsid w:val="007126B8"/>
    <w:rsid w:val="007147DA"/>
    <w:rsid w:val="007172F3"/>
    <w:rsid w:val="007209D3"/>
    <w:rsid w:val="00722AFC"/>
    <w:rsid w:val="00725C60"/>
    <w:rsid w:val="00726F8E"/>
    <w:rsid w:val="00730640"/>
    <w:rsid w:val="007328B2"/>
    <w:rsid w:val="0073513D"/>
    <w:rsid w:val="00740018"/>
    <w:rsid w:val="0074456F"/>
    <w:rsid w:val="007539CB"/>
    <w:rsid w:val="0075433B"/>
    <w:rsid w:val="0075587E"/>
    <w:rsid w:val="0076066B"/>
    <w:rsid w:val="007608C4"/>
    <w:rsid w:val="00761F7D"/>
    <w:rsid w:val="007679FD"/>
    <w:rsid w:val="007710BB"/>
    <w:rsid w:val="00773C2D"/>
    <w:rsid w:val="00776934"/>
    <w:rsid w:val="00783763"/>
    <w:rsid w:val="0078510E"/>
    <w:rsid w:val="007872BC"/>
    <w:rsid w:val="007879FA"/>
    <w:rsid w:val="00787CF7"/>
    <w:rsid w:val="007A050F"/>
    <w:rsid w:val="007A6D3F"/>
    <w:rsid w:val="007A6D92"/>
    <w:rsid w:val="007B675D"/>
    <w:rsid w:val="007B7FB7"/>
    <w:rsid w:val="007C1449"/>
    <w:rsid w:val="007C19AC"/>
    <w:rsid w:val="007D7D36"/>
    <w:rsid w:val="007E4C2D"/>
    <w:rsid w:val="007E7166"/>
    <w:rsid w:val="007F023D"/>
    <w:rsid w:val="007F1029"/>
    <w:rsid w:val="007F6B7C"/>
    <w:rsid w:val="00800C60"/>
    <w:rsid w:val="00804191"/>
    <w:rsid w:val="00804E29"/>
    <w:rsid w:val="0081488D"/>
    <w:rsid w:val="00815F90"/>
    <w:rsid w:val="0082224C"/>
    <w:rsid w:val="008229EE"/>
    <w:rsid w:val="00824147"/>
    <w:rsid w:val="008309C5"/>
    <w:rsid w:val="00835CCB"/>
    <w:rsid w:val="0083650C"/>
    <w:rsid w:val="00836D9B"/>
    <w:rsid w:val="008403F0"/>
    <w:rsid w:val="00840FCD"/>
    <w:rsid w:val="00842602"/>
    <w:rsid w:val="00844601"/>
    <w:rsid w:val="00845D0F"/>
    <w:rsid w:val="0084750C"/>
    <w:rsid w:val="00850E76"/>
    <w:rsid w:val="008511EC"/>
    <w:rsid w:val="008513E6"/>
    <w:rsid w:val="0085311A"/>
    <w:rsid w:val="00856C29"/>
    <w:rsid w:val="008642AD"/>
    <w:rsid w:val="00865759"/>
    <w:rsid w:val="00866423"/>
    <w:rsid w:val="0086704E"/>
    <w:rsid w:val="0087193D"/>
    <w:rsid w:val="008726E2"/>
    <w:rsid w:val="00874ABB"/>
    <w:rsid w:val="00875998"/>
    <w:rsid w:val="008762DB"/>
    <w:rsid w:val="00882158"/>
    <w:rsid w:val="00885185"/>
    <w:rsid w:val="00886CBA"/>
    <w:rsid w:val="008877D5"/>
    <w:rsid w:val="008902B5"/>
    <w:rsid w:val="008928DC"/>
    <w:rsid w:val="0089296A"/>
    <w:rsid w:val="00892A58"/>
    <w:rsid w:val="00892EF0"/>
    <w:rsid w:val="008947DD"/>
    <w:rsid w:val="00896647"/>
    <w:rsid w:val="00896FC1"/>
    <w:rsid w:val="008974FC"/>
    <w:rsid w:val="008976B0"/>
    <w:rsid w:val="008A5B3A"/>
    <w:rsid w:val="008B0E83"/>
    <w:rsid w:val="008B1AA5"/>
    <w:rsid w:val="008B700E"/>
    <w:rsid w:val="008C0554"/>
    <w:rsid w:val="008C0FF2"/>
    <w:rsid w:val="008C1E12"/>
    <w:rsid w:val="008C30EA"/>
    <w:rsid w:val="008C7323"/>
    <w:rsid w:val="008C7EC2"/>
    <w:rsid w:val="008D0FC0"/>
    <w:rsid w:val="008D11A3"/>
    <w:rsid w:val="008D4A94"/>
    <w:rsid w:val="008E0205"/>
    <w:rsid w:val="008E1ED4"/>
    <w:rsid w:val="008E38A5"/>
    <w:rsid w:val="008E4845"/>
    <w:rsid w:val="008E4DAD"/>
    <w:rsid w:val="008E6B41"/>
    <w:rsid w:val="008F40F0"/>
    <w:rsid w:val="008F7BBE"/>
    <w:rsid w:val="00900B5B"/>
    <w:rsid w:val="00902452"/>
    <w:rsid w:val="009031B6"/>
    <w:rsid w:val="0090460D"/>
    <w:rsid w:val="00905289"/>
    <w:rsid w:val="0090557E"/>
    <w:rsid w:val="0090647E"/>
    <w:rsid w:val="00910C77"/>
    <w:rsid w:val="0091173B"/>
    <w:rsid w:val="00911DC6"/>
    <w:rsid w:val="0091766F"/>
    <w:rsid w:val="009177AE"/>
    <w:rsid w:val="009177B5"/>
    <w:rsid w:val="00926F1E"/>
    <w:rsid w:val="009279D2"/>
    <w:rsid w:val="00927F01"/>
    <w:rsid w:val="00927F6E"/>
    <w:rsid w:val="0093007C"/>
    <w:rsid w:val="0093024C"/>
    <w:rsid w:val="009316C2"/>
    <w:rsid w:val="009329FB"/>
    <w:rsid w:val="0093457E"/>
    <w:rsid w:val="00935B28"/>
    <w:rsid w:val="00936CCC"/>
    <w:rsid w:val="0094230D"/>
    <w:rsid w:val="00942AC0"/>
    <w:rsid w:val="009456EA"/>
    <w:rsid w:val="00947C27"/>
    <w:rsid w:val="0095601A"/>
    <w:rsid w:val="00956684"/>
    <w:rsid w:val="00956B70"/>
    <w:rsid w:val="00957CAA"/>
    <w:rsid w:val="009608BA"/>
    <w:rsid w:val="00964475"/>
    <w:rsid w:val="00964DC8"/>
    <w:rsid w:val="00970A13"/>
    <w:rsid w:val="00974B8D"/>
    <w:rsid w:val="00976C77"/>
    <w:rsid w:val="00977243"/>
    <w:rsid w:val="00980E23"/>
    <w:rsid w:val="009823AB"/>
    <w:rsid w:val="00983584"/>
    <w:rsid w:val="009864C5"/>
    <w:rsid w:val="00987EAB"/>
    <w:rsid w:val="00990A01"/>
    <w:rsid w:val="00991510"/>
    <w:rsid w:val="009967A2"/>
    <w:rsid w:val="00996ABA"/>
    <w:rsid w:val="009A05AB"/>
    <w:rsid w:val="009A11EF"/>
    <w:rsid w:val="009A14A3"/>
    <w:rsid w:val="009A1BB1"/>
    <w:rsid w:val="009A3844"/>
    <w:rsid w:val="009B06DD"/>
    <w:rsid w:val="009B1B4F"/>
    <w:rsid w:val="009B2343"/>
    <w:rsid w:val="009B7B11"/>
    <w:rsid w:val="009B7F62"/>
    <w:rsid w:val="009C2208"/>
    <w:rsid w:val="009C2E1F"/>
    <w:rsid w:val="009D5F65"/>
    <w:rsid w:val="009D6787"/>
    <w:rsid w:val="009E276F"/>
    <w:rsid w:val="009E5ECE"/>
    <w:rsid w:val="009E774C"/>
    <w:rsid w:val="009E779D"/>
    <w:rsid w:val="009E7B44"/>
    <w:rsid w:val="009F0C56"/>
    <w:rsid w:val="009F579A"/>
    <w:rsid w:val="009F7159"/>
    <w:rsid w:val="00A02FEF"/>
    <w:rsid w:val="00A049EC"/>
    <w:rsid w:val="00A05A75"/>
    <w:rsid w:val="00A12D21"/>
    <w:rsid w:val="00A13858"/>
    <w:rsid w:val="00A160C9"/>
    <w:rsid w:val="00A17923"/>
    <w:rsid w:val="00A20D47"/>
    <w:rsid w:val="00A31060"/>
    <w:rsid w:val="00A32E2D"/>
    <w:rsid w:val="00A357B3"/>
    <w:rsid w:val="00A360C0"/>
    <w:rsid w:val="00A3698A"/>
    <w:rsid w:val="00A37CE1"/>
    <w:rsid w:val="00A403B7"/>
    <w:rsid w:val="00A42395"/>
    <w:rsid w:val="00A42E01"/>
    <w:rsid w:val="00A44FD2"/>
    <w:rsid w:val="00A50B99"/>
    <w:rsid w:val="00A52C2A"/>
    <w:rsid w:val="00A53A02"/>
    <w:rsid w:val="00A53F6E"/>
    <w:rsid w:val="00A54E9C"/>
    <w:rsid w:val="00A54EF1"/>
    <w:rsid w:val="00A569EA"/>
    <w:rsid w:val="00A6078F"/>
    <w:rsid w:val="00A610F9"/>
    <w:rsid w:val="00A66007"/>
    <w:rsid w:val="00A6677B"/>
    <w:rsid w:val="00A66D36"/>
    <w:rsid w:val="00A75BAA"/>
    <w:rsid w:val="00A75DC3"/>
    <w:rsid w:val="00A83526"/>
    <w:rsid w:val="00A838F8"/>
    <w:rsid w:val="00A86123"/>
    <w:rsid w:val="00A870B7"/>
    <w:rsid w:val="00A92617"/>
    <w:rsid w:val="00A933CC"/>
    <w:rsid w:val="00AA089E"/>
    <w:rsid w:val="00AA1D9E"/>
    <w:rsid w:val="00AA2857"/>
    <w:rsid w:val="00AA4120"/>
    <w:rsid w:val="00AA61F7"/>
    <w:rsid w:val="00AA75E4"/>
    <w:rsid w:val="00AB0286"/>
    <w:rsid w:val="00AB0C94"/>
    <w:rsid w:val="00AB54EF"/>
    <w:rsid w:val="00AB62F6"/>
    <w:rsid w:val="00AC1669"/>
    <w:rsid w:val="00AC38F0"/>
    <w:rsid w:val="00AC406E"/>
    <w:rsid w:val="00AC50CE"/>
    <w:rsid w:val="00AD0396"/>
    <w:rsid w:val="00AD2220"/>
    <w:rsid w:val="00AD4490"/>
    <w:rsid w:val="00AD4D08"/>
    <w:rsid w:val="00AD5326"/>
    <w:rsid w:val="00AD6540"/>
    <w:rsid w:val="00AE29D1"/>
    <w:rsid w:val="00AE2A17"/>
    <w:rsid w:val="00AF235F"/>
    <w:rsid w:val="00AF2D69"/>
    <w:rsid w:val="00AF7DD0"/>
    <w:rsid w:val="00B00500"/>
    <w:rsid w:val="00B03AB0"/>
    <w:rsid w:val="00B05926"/>
    <w:rsid w:val="00B0725C"/>
    <w:rsid w:val="00B144D3"/>
    <w:rsid w:val="00B227FE"/>
    <w:rsid w:val="00B23C66"/>
    <w:rsid w:val="00B27DC2"/>
    <w:rsid w:val="00B320D1"/>
    <w:rsid w:val="00B347F0"/>
    <w:rsid w:val="00B3547B"/>
    <w:rsid w:val="00B4264D"/>
    <w:rsid w:val="00B4422B"/>
    <w:rsid w:val="00B474EE"/>
    <w:rsid w:val="00B50D7A"/>
    <w:rsid w:val="00B534AF"/>
    <w:rsid w:val="00B539D0"/>
    <w:rsid w:val="00B54BF7"/>
    <w:rsid w:val="00B57E24"/>
    <w:rsid w:val="00B63332"/>
    <w:rsid w:val="00B6353B"/>
    <w:rsid w:val="00B661F8"/>
    <w:rsid w:val="00B66671"/>
    <w:rsid w:val="00B66F2C"/>
    <w:rsid w:val="00B678DE"/>
    <w:rsid w:val="00B75F7A"/>
    <w:rsid w:val="00B761D6"/>
    <w:rsid w:val="00B76A00"/>
    <w:rsid w:val="00B77651"/>
    <w:rsid w:val="00B83618"/>
    <w:rsid w:val="00B86C82"/>
    <w:rsid w:val="00B87298"/>
    <w:rsid w:val="00B94E17"/>
    <w:rsid w:val="00BA63B4"/>
    <w:rsid w:val="00BA680D"/>
    <w:rsid w:val="00BB0FFF"/>
    <w:rsid w:val="00BB2FF2"/>
    <w:rsid w:val="00BB363E"/>
    <w:rsid w:val="00BB62ED"/>
    <w:rsid w:val="00BB6460"/>
    <w:rsid w:val="00BC1F38"/>
    <w:rsid w:val="00BC271F"/>
    <w:rsid w:val="00BD0CBC"/>
    <w:rsid w:val="00BD2853"/>
    <w:rsid w:val="00BD32FF"/>
    <w:rsid w:val="00BD390C"/>
    <w:rsid w:val="00BD4D61"/>
    <w:rsid w:val="00BD575E"/>
    <w:rsid w:val="00BE561A"/>
    <w:rsid w:val="00BE5D79"/>
    <w:rsid w:val="00BE6186"/>
    <w:rsid w:val="00BE7999"/>
    <w:rsid w:val="00BE7BBE"/>
    <w:rsid w:val="00BF1245"/>
    <w:rsid w:val="00C017D8"/>
    <w:rsid w:val="00C01883"/>
    <w:rsid w:val="00C127B6"/>
    <w:rsid w:val="00C13B39"/>
    <w:rsid w:val="00C21FB5"/>
    <w:rsid w:val="00C22EA8"/>
    <w:rsid w:val="00C23B3C"/>
    <w:rsid w:val="00C252B4"/>
    <w:rsid w:val="00C27234"/>
    <w:rsid w:val="00C27342"/>
    <w:rsid w:val="00C3058F"/>
    <w:rsid w:val="00C33DD5"/>
    <w:rsid w:val="00C33FF9"/>
    <w:rsid w:val="00C3496A"/>
    <w:rsid w:val="00C349CA"/>
    <w:rsid w:val="00C36985"/>
    <w:rsid w:val="00C37A5B"/>
    <w:rsid w:val="00C37B2B"/>
    <w:rsid w:val="00C37BB4"/>
    <w:rsid w:val="00C40B29"/>
    <w:rsid w:val="00C41FF4"/>
    <w:rsid w:val="00C43125"/>
    <w:rsid w:val="00C4319C"/>
    <w:rsid w:val="00C43618"/>
    <w:rsid w:val="00C43D7A"/>
    <w:rsid w:val="00C45346"/>
    <w:rsid w:val="00C52992"/>
    <w:rsid w:val="00C54AD9"/>
    <w:rsid w:val="00C55A43"/>
    <w:rsid w:val="00C56BD0"/>
    <w:rsid w:val="00C573C6"/>
    <w:rsid w:val="00C60E88"/>
    <w:rsid w:val="00C622E6"/>
    <w:rsid w:val="00C6329C"/>
    <w:rsid w:val="00C67F68"/>
    <w:rsid w:val="00C71A7C"/>
    <w:rsid w:val="00C71B96"/>
    <w:rsid w:val="00C7425E"/>
    <w:rsid w:val="00C7680B"/>
    <w:rsid w:val="00C8331C"/>
    <w:rsid w:val="00C91646"/>
    <w:rsid w:val="00C94010"/>
    <w:rsid w:val="00C95236"/>
    <w:rsid w:val="00C95D3A"/>
    <w:rsid w:val="00CA09A9"/>
    <w:rsid w:val="00CA2878"/>
    <w:rsid w:val="00CA6136"/>
    <w:rsid w:val="00CA694D"/>
    <w:rsid w:val="00CB02B8"/>
    <w:rsid w:val="00CB5ED5"/>
    <w:rsid w:val="00CB634E"/>
    <w:rsid w:val="00CB6CC0"/>
    <w:rsid w:val="00CC163B"/>
    <w:rsid w:val="00CC2B9F"/>
    <w:rsid w:val="00CC7E23"/>
    <w:rsid w:val="00CD232A"/>
    <w:rsid w:val="00CD36BD"/>
    <w:rsid w:val="00CD3FD7"/>
    <w:rsid w:val="00CD44EC"/>
    <w:rsid w:val="00CD4EBB"/>
    <w:rsid w:val="00CD6063"/>
    <w:rsid w:val="00CD6AA3"/>
    <w:rsid w:val="00CE1CA0"/>
    <w:rsid w:val="00CE43DA"/>
    <w:rsid w:val="00CE6952"/>
    <w:rsid w:val="00CF4692"/>
    <w:rsid w:val="00CF5D7A"/>
    <w:rsid w:val="00D031C6"/>
    <w:rsid w:val="00D05A61"/>
    <w:rsid w:val="00D154D5"/>
    <w:rsid w:val="00D16688"/>
    <w:rsid w:val="00D232D4"/>
    <w:rsid w:val="00D235C4"/>
    <w:rsid w:val="00D261D0"/>
    <w:rsid w:val="00D267F2"/>
    <w:rsid w:val="00D277D8"/>
    <w:rsid w:val="00D30FDD"/>
    <w:rsid w:val="00D34373"/>
    <w:rsid w:val="00D36C78"/>
    <w:rsid w:val="00D3771D"/>
    <w:rsid w:val="00D40EEE"/>
    <w:rsid w:val="00D40F08"/>
    <w:rsid w:val="00D42F41"/>
    <w:rsid w:val="00D44FB7"/>
    <w:rsid w:val="00D45BC8"/>
    <w:rsid w:val="00D556AE"/>
    <w:rsid w:val="00D6125E"/>
    <w:rsid w:val="00D618AB"/>
    <w:rsid w:val="00D61CDF"/>
    <w:rsid w:val="00D61F1B"/>
    <w:rsid w:val="00D62644"/>
    <w:rsid w:val="00D63A8C"/>
    <w:rsid w:val="00D6592F"/>
    <w:rsid w:val="00D70151"/>
    <w:rsid w:val="00D7102E"/>
    <w:rsid w:val="00D737F9"/>
    <w:rsid w:val="00D743EB"/>
    <w:rsid w:val="00D77759"/>
    <w:rsid w:val="00D84E16"/>
    <w:rsid w:val="00D87BC5"/>
    <w:rsid w:val="00D9381C"/>
    <w:rsid w:val="00D938CA"/>
    <w:rsid w:val="00DA3BB7"/>
    <w:rsid w:val="00DA5287"/>
    <w:rsid w:val="00DA57E4"/>
    <w:rsid w:val="00DA6E43"/>
    <w:rsid w:val="00DA7093"/>
    <w:rsid w:val="00DB18F1"/>
    <w:rsid w:val="00DB47B5"/>
    <w:rsid w:val="00DB59FA"/>
    <w:rsid w:val="00DC09C3"/>
    <w:rsid w:val="00DC2A6C"/>
    <w:rsid w:val="00DC68EB"/>
    <w:rsid w:val="00DC77BE"/>
    <w:rsid w:val="00DD157C"/>
    <w:rsid w:val="00DD3731"/>
    <w:rsid w:val="00DD413C"/>
    <w:rsid w:val="00DD7C2A"/>
    <w:rsid w:val="00DE16CE"/>
    <w:rsid w:val="00DE3086"/>
    <w:rsid w:val="00DE3415"/>
    <w:rsid w:val="00DE618A"/>
    <w:rsid w:val="00DF107F"/>
    <w:rsid w:val="00DF122F"/>
    <w:rsid w:val="00DF21D3"/>
    <w:rsid w:val="00DF3D35"/>
    <w:rsid w:val="00DF43B7"/>
    <w:rsid w:val="00DF5C49"/>
    <w:rsid w:val="00E00375"/>
    <w:rsid w:val="00E04436"/>
    <w:rsid w:val="00E04692"/>
    <w:rsid w:val="00E064D6"/>
    <w:rsid w:val="00E16A21"/>
    <w:rsid w:val="00E20CF9"/>
    <w:rsid w:val="00E21D17"/>
    <w:rsid w:val="00E226FA"/>
    <w:rsid w:val="00E23941"/>
    <w:rsid w:val="00E24A6A"/>
    <w:rsid w:val="00E30F5E"/>
    <w:rsid w:val="00E322A8"/>
    <w:rsid w:val="00E33D34"/>
    <w:rsid w:val="00E36C1C"/>
    <w:rsid w:val="00E375C5"/>
    <w:rsid w:val="00E432CE"/>
    <w:rsid w:val="00E43871"/>
    <w:rsid w:val="00E462B0"/>
    <w:rsid w:val="00E466EB"/>
    <w:rsid w:val="00E518EA"/>
    <w:rsid w:val="00E51C49"/>
    <w:rsid w:val="00E55797"/>
    <w:rsid w:val="00E60C81"/>
    <w:rsid w:val="00E71C05"/>
    <w:rsid w:val="00E73164"/>
    <w:rsid w:val="00E75D17"/>
    <w:rsid w:val="00E80745"/>
    <w:rsid w:val="00E83C25"/>
    <w:rsid w:val="00E94D52"/>
    <w:rsid w:val="00E95B57"/>
    <w:rsid w:val="00EA38E6"/>
    <w:rsid w:val="00EA44BC"/>
    <w:rsid w:val="00EA547D"/>
    <w:rsid w:val="00EB013E"/>
    <w:rsid w:val="00EB0346"/>
    <w:rsid w:val="00EB2AFB"/>
    <w:rsid w:val="00EB3456"/>
    <w:rsid w:val="00EB525C"/>
    <w:rsid w:val="00EB5C93"/>
    <w:rsid w:val="00EC1722"/>
    <w:rsid w:val="00EC3EB3"/>
    <w:rsid w:val="00EC5035"/>
    <w:rsid w:val="00ED0931"/>
    <w:rsid w:val="00ED2683"/>
    <w:rsid w:val="00ED6EBD"/>
    <w:rsid w:val="00EE01B1"/>
    <w:rsid w:val="00EE4425"/>
    <w:rsid w:val="00EF01AF"/>
    <w:rsid w:val="00EF118E"/>
    <w:rsid w:val="00EF5823"/>
    <w:rsid w:val="00EF6882"/>
    <w:rsid w:val="00F02E4E"/>
    <w:rsid w:val="00F033AF"/>
    <w:rsid w:val="00F04E65"/>
    <w:rsid w:val="00F05C0B"/>
    <w:rsid w:val="00F060D3"/>
    <w:rsid w:val="00F062E5"/>
    <w:rsid w:val="00F1211F"/>
    <w:rsid w:val="00F13225"/>
    <w:rsid w:val="00F13F33"/>
    <w:rsid w:val="00F14345"/>
    <w:rsid w:val="00F16E55"/>
    <w:rsid w:val="00F20F69"/>
    <w:rsid w:val="00F24971"/>
    <w:rsid w:val="00F254FB"/>
    <w:rsid w:val="00F26FB3"/>
    <w:rsid w:val="00F31965"/>
    <w:rsid w:val="00F32706"/>
    <w:rsid w:val="00F32AE8"/>
    <w:rsid w:val="00F3668B"/>
    <w:rsid w:val="00F37A9D"/>
    <w:rsid w:val="00F40DED"/>
    <w:rsid w:val="00F448CA"/>
    <w:rsid w:val="00F46C60"/>
    <w:rsid w:val="00F47D11"/>
    <w:rsid w:val="00F53A78"/>
    <w:rsid w:val="00F60844"/>
    <w:rsid w:val="00F6440D"/>
    <w:rsid w:val="00F663DD"/>
    <w:rsid w:val="00F75BA8"/>
    <w:rsid w:val="00F75ECC"/>
    <w:rsid w:val="00F82E13"/>
    <w:rsid w:val="00F855A0"/>
    <w:rsid w:val="00F86AD4"/>
    <w:rsid w:val="00F871B7"/>
    <w:rsid w:val="00F8769A"/>
    <w:rsid w:val="00F87D74"/>
    <w:rsid w:val="00F90614"/>
    <w:rsid w:val="00F915A3"/>
    <w:rsid w:val="00F94B3F"/>
    <w:rsid w:val="00F94CF0"/>
    <w:rsid w:val="00F959FD"/>
    <w:rsid w:val="00FA1A24"/>
    <w:rsid w:val="00FA1BE0"/>
    <w:rsid w:val="00FA41C6"/>
    <w:rsid w:val="00FA60BE"/>
    <w:rsid w:val="00FB12F0"/>
    <w:rsid w:val="00FB3057"/>
    <w:rsid w:val="00FB309F"/>
    <w:rsid w:val="00FB411A"/>
    <w:rsid w:val="00FB5A5F"/>
    <w:rsid w:val="00FB60A4"/>
    <w:rsid w:val="00FB70D8"/>
    <w:rsid w:val="00FB7863"/>
    <w:rsid w:val="00FC0512"/>
    <w:rsid w:val="00FC341A"/>
    <w:rsid w:val="00FC496C"/>
    <w:rsid w:val="00FC6BFF"/>
    <w:rsid w:val="00FD0208"/>
    <w:rsid w:val="00FD0AFC"/>
    <w:rsid w:val="00FD3777"/>
    <w:rsid w:val="00FD50A7"/>
    <w:rsid w:val="00FD615B"/>
    <w:rsid w:val="00FD65A7"/>
    <w:rsid w:val="00FE6978"/>
    <w:rsid w:val="00FF13EB"/>
    <w:rsid w:val="00FF1CF0"/>
    <w:rsid w:val="00FF2CC7"/>
    <w:rsid w:val="00FF4998"/>
    <w:rsid w:val="02310B7B"/>
    <w:rsid w:val="0366727D"/>
    <w:rsid w:val="05239938"/>
    <w:rsid w:val="068C0F1A"/>
    <w:rsid w:val="0709B954"/>
    <w:rsid w:val="078E3FC5"/>
    <w:rsid w:val="07D9CED5"/>
    <w:rsid w:val="091BA26E"/>
    <w:rsid w:val="09C64A2A"/>
    <w:rsid w:val="0A32A45D"/>
    <w:rsid w:val="0A835ED3"/>
    <w:rsid w:val="0A8E9148"/>
    <w:rsid w:val="0B080EAE"/>
    <w:rsid w:val="0B7BF682"/>
    <w:rsid w:val="0B8A1FDF"/>
    <w:rsid w:val="0CCACBC6"/>
    <w:rsid w:val="0D20AF2F"/>
    <w:rsid w:val="0E3F31A0"/>
    <w:rsid w:val="0EDADE66"/>
    <w:rsid w:val="0FA6A69D"/>
    <w:rsid w:val="106BFEBA"/>
    <w:rsid w:val="10C29622"/>
    <w:rsid w:val="10EA72F0"/>
    <w:rsid w:val="12933287"/>
    <w:rsid w:val="12C284B4"/>
    <w:rsid w:val="148C0858"/>
    <w:rsid w:val="149F81CB"/>
    <w:rsid w:val="151FC74E"/>
    <w:rsid w:val="1690F80D"/>
    <w:rsid w:val="16D320E2"/>
    <w:rsid w:val="176496A4"/>
    <w:rsid w:val="197AA66C"/>
    <w:rsid w:val="1A0C5E1B"/>
    <w:rsid w:val="1AF8502B"/>
    <w:rsid w:val="1B5CF670"/>
    <w:rsid w:val="1B7551EF"/>
    <w:rsid w:val="1BEB4AF7"/>
    <w:rsid w:val="1C31BBF7"/>
    <w:rsid w:val="1C3AFF7D"/>
    <w:rsid w:val="1C503E9D"/>
    <w:rsid w:val="1D2B6613"/>
    <w:rsid w:val="1D69FCD0"/>
    <w:rsid w:val="1EBB5872"/>
    <w:rsid w:val="1ECFBA77"/>
    <w:rsid w:val="1ED6DE50"/>
    <w:rsid w:val="2072F47F"/>
    <w:rsid w:val="20AB2C65"/>
    <w:rsid w:val="20BD3FF4"/>
    <w:rsid w:val="20CEACEA"/>
    <w:rsid w:val="2167095C"/>
    <w:rsid w:val="231AF102"/>
    <w:rsid w:val="2390EA0A"/>
    <w:rsid w:val="23CF05BF"/>
    <w:rsid w:val="248E6A8A"/>
    <w:rsid w:val="249F0DE9"/>
    <w:rsid w:val="27B743D9"/>
    <w:rsid w:val="283E6F78"/>
    <w:rsid w:val="28E3D669"/>
    <w:rsid w:val="29F9542B"/>
    <w:rsid w:val="2A74A9D4"/>
    <w:rsid w:val="2A7FA6CA"/>
    <w:rsid w:val="2DAEE60B"/>
    <w:rsid w:val="2E7E71A4"/>
    <w:rsid w:val="2EE9E2E3"/>
    <w:rsid w:val="2EF9039C"/>
    <w:rsid w:val="3091F7F2"/>
    <w:rsid w:val="31298A3A"/>
    <w:rsid w:val="31E69053"/>
    <w:rsid w:val="335B3BAB"/>
    <w:rsid w:val="351A4C03"/>
    <w:rsid w:val="35C351AE"/>
    <w:rsid w:val="36C5D3C8"/>
    <w:rsid w:val="382EACCE"/>
    <w:rsid w:val="3899B711"/>
    <w:rsid w:val="39226FC1"/>
    <w:rsid w:val="395E709F"/>
    <w:rsid w:val="397E03F2"/>
    <w:rsid w:val="39ECCC9C"/>
    <w:rsid w:val="3ACF7AF9"/>
    <w:rsid w:val="3B00A963"/>
    <w:rsid w:val="3BFA87AC"/>
    <w:rsid w:val="3DA9E5FC"/>
    <w:rsid w:val="3F91B145"/>
    <w:rsid w:val="4011E09D"/>
    <w:rsid w:val="4052E710"/>
    <w:rsid w:val="41259420"/>
    <w:rsid w:val="413EBC7D"/>
    <w:rsid w:val="42D8BBDE"/>
    <w:rsid w:val="42DA8CDE"/>
    <w:rsid w:val="43394F1F"/>
    <w:rsid w:val="44652268"/>
    <w:rsid w:val="44863C36"/>
    <w:rsid w:val="455022F4"/>
    <w:rsid w:val="4550F7D5"/>
    <w:rsid w:val="46FED66B"/>
    <w:rsid w:val="485C27F5"/>
    <w:rsid w:val="4864D140"/>
    <w:rsid w:val="4A2468F8"/>
    <w:rsid w:val="4A8B70EE"/>
    <w:rsid w:val="4AF2AF33"/>
    <w:rsid w:val="4AF9B7EF"/>
    <w:rsid w:val="4B1B06DD"/>
    <w:rsid w:val="4C1028BA"/>
    <w:rsid w:val="4C58257C"/>
    <w:rsid w:val="4D87363C"/>
    <w:rsid w:val="4DD25449"/>
    <w:rsid w:val="4E63B67E"/>
    <w:rsid w:val="502F8C4B"/>
    <w:rsid w:val="5254D645"/>
    <w:rsid w:val="538B4912"/>
    <w:rsid w:val="54B6514B"/>
    <w:rsid w:val="54D8A486"/>
    <w:rsid w:val="570AD986"/>
    <w:rsid w:val="574D025B"/>
    <w:rsid w:val="57B2E6F4"/>
    <w:rsid w:val="58327ED4"/>
    <w:rsid w:val="5832A6BC"/>
    <w:rsid w:val="585AF462"/>
    <w:rsid w:val="58BA43BB"/>
    <w:rsid w:val="58C9E8E3"/>
    <w:rsid w:val="596A7A00"/>
    <w:rsid w:val="597F40AC"/>
    <w:rsid w:val="5991CAC8"/>
    <w:rsid w:val="59ECD467"/>
    <w:rsid w:val="5A2A4C68"/>
    <w:rsid w:val="5AA98143"/>
    <w:rsid w:val="5AD94CDF"/>
    <w:rsid w:val="5B3CBD6D"/>
    <w:rsid w:val="5D69F24B"/>
    <w:rsid w:val="5DC36789"/>
    <w:rsid w:val="5DDBE47A"/>
    <w:rsid w:val="5E4D54FA"/>
    <w:rsid w:val="5F99052D"/>
    <w:rsid w:val="6054CB70"/>
    <w:rsid w:val="611569C3"/>
    <w:rsid w:val="625CD664"/>
    <w:rsid w:val="634DEE1C"/>
    <w:rsid w:val="64914D6F"/>
    <w:rsid w:val="65C3B662"/>
    <w:rsid w:val="66A9A2C6"/>
    <w:rsid w:val="66BCDF1F"/>
    <w:rsid w:val="677E65C2"/>
    <w:rsid w:val="67EC4C18"/>
    <w:rsid w:val="68502728"/>
    <w:rsid w:val="686CDD97"/>
    <w:rsid w:val="68F10FB9"/>
    <w:rsid w:val="68FB5724"/>
    <w:rsid w:val="693A77EB"/>
    <w:rsid w:val="69C94121"/>
    <w:rsid w:val="6B02339D"/>
    <w:rsid w:val="6B31997E"/>
    <w:rsid w:val="6C067298"/>
    <w:rsid w:val="6CE18491"/>
    <w:rsid w:val="6D7CE023"/>
    <w:rsid w:val="6ECADD67"/>
    <w:rsid w:val="6F02FC03"/>
    <w:rsid w:val="6F43702F"/>
    <w:rsid w:val="6F507243"/>
    <w:rsid w:val="70505B7F"/>
    <w:rsid w:val="71A27A2C"/>
    <w:rsid w:val="729E423F"/>
    <w:rsid w:val="7423D040"/>
    <w:rsid w:val="7443B9AA"/>
    <w:rsid w:val="74D8493B"/>
    <w:rsid w:val="75054770"/>
    <w:rsid w:val="75AE6FEC"/>
    <w:rsid w:val="75F5F059"/>
    <w:rsid w:val="760A453A"/>
    <w:rsid w:val="7632A20E"/>
    <w:rsid w:val="7676DCD6"/>
    <w:rsid w:val="767D6075"/>
    <w:rsid w:val="76BF9D03"/>
    <w:rsid w:val="7807FD2A"/>
    <w:rsid w:val="786C10C3"/>
    <w:rsid w:val="799F20C2"/>
    <w:rsid w:val="7A903276"/>
    <w:rsid w:val="7D3D646E"/>
    <w:rsid w:val="7E3FF6C1"/>
    <w:rsid w:val="7E930159"/>
    <w:rsid w:val="7EDE1F66"/>
    <w:rsid w:val="7F19E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7DD369D"/>
  <w15:chartTrackingRefBased/>
  <w15:docId w15:val="{21719B5C-6D50-4088-8AB6-866AC0590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E16CE"/>
    <w:rPr>
      <w:rFonts w:ascii="Arial" w:hAnsi="Arial"/>
    </w:rPr>
  </w:style>
  <w:style w:type="paragraph" w:styleId="Nadpis1">
    <w:name w:val="heading 1"/>
    <w:basedOn w:val="Normlny"/>
    <w:next w:val="Normlny"/>
    <w:link w:val="Nadpis1Char"/>
    <w:uiPriority w:val="9"/>
    <w:qFormat/>
    <w:rsid w:val="00AE29D1"/>
    <w:pPr>
      <w:keepNext/>
      <w:keepLines/>
      <w:spacing w:before="240" w:after="0"/>
      <w:outlineLvl w:val="0"/>
    </w:pPr>
    <w:rPr>
      <w:rFonts w:eastAsiaTheme="majorEastAsia"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AE29D1"/>
    <w:pPr>
      <w:keepNext/>
      <w:keepLines/>
      <w:spacing w:before="40" w:after="0"/>
      <w:outlineLvl w:val="1"/>
    </w:pPr>
    <w:rPr>
      <w:rFonts w:eastAsiaTheme="majorEastAsia"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AE29D1"/>
    <w:pPr>
      <w:keepNext/>
      <w:keepLines/>
      <w:spacing w:before="40" w:after="0"/>
      <w:outlineLvl w:val="2"/>
    </w:pPr>
    <w:rPr>
      <w:rFonts w:eastAsiaTheme="majorEastAsia" w:cstheme="majorBidi"/>
      <w:color w:val="1F3763" w:themeColor="accent1" w:themeShade="7F"/>
      <w:sz w:val="24"/>
      <w:szCs w:val="24"/>
    </w:rPr>
  </w:style>
  <w:style w:type="paragraph" w:styleId="Nadpis4">
    <w:name w:val="heading 4"/>
    <w:basedOn w:val="Normlny"/>
    <w:next w:val="Normlny"/>
    <w:link w:val="Nadpis4Char"/>
    <w:uiPriority w:val="9"/>
    <w:unhideWhenUsed/>
    <w:qFormat/>
    <w:rsid w:val="00AE29D1"/>
    <w:pPr>
      <w:keepNext/>
      <w:keepLines/>
      <w:spacing w:before="40" w:after="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unhideWhenUsed/>
    <w:qFormat/>
    <w:rsid w:val="00AE29D1"/>
    <w:pPr>
      <w:keepNext/>
      <w:keepLines/>
      <w:spacing w:before="40" w:after="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unhideWhenUsed/>
    <w:qFormat/>
    <w:rsid w:val="00AE29D1"/>
    <w:pPr>
      <w:keepNext/>
      <w:keepLines/>
      <w:spacing w:before="40" w:after="0"/>
      <w:outlineLvl w:val="5"/>
    </w:pPr>
    <w:rPr>
      <w:rFonts w:eastAsiaTheme="majorEastAsia" w:cstheme="majorBidi"/>
      <w:color w:val="1F3763" w:themeColor="accent1" w:themeShade="7F"/>
    </w:rPr>
  </w:style>
  <w:style w:type="paragraph" w:styleId="Nadpis7">
    <w:name w:val="heading 7"/>
    <w:basedOn w:val="Normlny"/>
    <w:next w:val="Normlny"/>
    <w:link w:val="Nadpis7Char"/>
    <w:uiPriority w:val="9"/>
    <w:unhideWhenUsed/>
    <w:qFormat/>
    <w:rsid w:val="00234730"/>
    <w:pPr>
      <w:keepNext/>
      <w:keepLines/>
      <w:spacing w:before="40" w:after="0"/>
      <w:outlineLvl w:val="6"/>
    </w:pPr>
    <w:rPr>
      <w:rFonts w:eastAsiaTheme="majorEastAsia" w:cstheme="majorBidi"/>
      <w:i/>
      <w:iCs/>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4B6D63"/>
    <w:pPr>
      <w:spacing w:after="0" w:line="240" w:lineRule="auto"/>
    </w:pPr>
    <w:rPr>
      <w:rFonts w:ascii="Arial" w:hAnsi="Arial"/>
    </w:rPr>
  </w:style>
  <w:style w:type="character" w:customStyle="1" w:styleId="Nadpis2Char">
    <w:name w:val="Nadpis 2 Char"/>
    <w:basedOn w:val="Predvolenpsmoodseku"/>
    <w:link w:val="Nadpis2"/>
    <w:uiPriority w:val="9"/>
    <w:rsid w:val="00AE29D1"/>
    <w:rPr>
      <w:rFonts w:ascii="Arial" w:eastAsiaTheme="majorEastAsia" w:hAnsi="Arial" w:cstheme="majorBidi"/>
      <w:color w:val="2F5496" w:themeColor="accent1" w:themeShade="BF"/>
      <w:sz w:val="26"/>
      <w:szCs w:val="26"/>
    </w:rPr>
  </w:style>
  <w:style w:type="character" w:customStyle="1" w:styleId="Nadpis3Char">
    <w:name w:val="Nadpis 3 Char"/>
    <w:basedOn w:val="Predvolenpsmoodseku"/>
    <w:link w:val="Nadpis3"/>
    <w:uiPriority w:val="9"/>
    <w:rsid w:val="00AE29D1"/>
    <w:rPr>
      <w:rFonts w:ascii="Arial" w:eastAsiaTheme="majorEastAsia" w:hAnsi="Arial" w:cstheme="majorBidi"/>
      <w:color w:val="1F3763" w:themeColor="accent1" w:themeShade="7F"/>
      <w:sz w:val="24"/>
      <w:szCs w:val="24"/>
    </w:rPr>
  </w:style>
  <w:style w:type="character" w:customStyle="1" w:styleId="Nadpis1Char">
    <w:name w:val="Nadpis 1 Char"/>
    <w:basedOn w:val="Predvolenpsmoodseku"/>
    <w:link w:val="Nadpis1"/>
    <w:uiPriority w:val="9"/>
    <w:rsid w:val="00AE29D1"/>
    <w:rPr>
      <w:rFonts w:ascii="Arial" w:eastAsiaTheme="majorEastAsia" w:hAnsi="Arial" w:cstheme="majorBidi"/>
      <w:color w:val="2F5496" w:themeColor="accent1" w:themeShade="BF"/>
      <w:sz w:val="32"/>
      <w:szCs w:val="32"/>
    </w:rPr>
  </w:style>
  <w:style w:type="character" w:customStyle="1" w:styleId="Nadpis4Char">
    <w:name w:val="Nadpis 4 Char"/>
    <w:basedOn w:val="Predvolenpsmoodseku"/>
    <w:link w:val="Nadpis4"/>
    <w:uiPriority w:val="9"/>
    <w:rsid w:val="00AE29D1"/>
    <w:rPr>
      <w:rFonts w:ascii="Arial" w:eastAsiaTheme="majorEastAsia" w:hAnsi="Arial" w:cstheme="majorBidi"/>
      <w:i/>
      <w:iCs/>
      <w:color w:val="2F5496" w:themeColor="accent1" w:themeShade="BF"/>
    </w:rPr>
  </w:style>
  <w:style w:type="character" w:customStyle="1" w:styleId="Nadpis5Char">
    <w:name w:val="Nadpis 5 Char"/>
    <w:basedOn w:val="Predvolenpsmoodseku"/>
    <w:link w:val="Nadpis5"/>
    <w:uiPriority w:val="9"/>
    <w:rsid w:val="00AE29D1"/>
    <w:rPr>
      <w:rFonts w:ascii="Arial" w:eastAsiaTheme="majorEastAsia" w:hAnsi="Arial" w:cstheme="majorBidi"/>
      <w:color w:val="2F5496" w:themeColor="accent1" w:themeShade="BF"/>
    </w:rPr>
  </w:style>
  <w:style w:type="character" w:customStyle="1" w:styleId="Nadpis6Char">
    <w:name w:val="Nadpis 6 Char"/>
    <w:basedOn w:val="Predvolenpsmoodseku"/>
    <w:link w:val="Nadpis6"/>
    <w:uiPriority w:val="9"/>
    <w:rsid w:val="00AE29D1"/>
    <w:rPr>
      <w:rFonts w:ascii="Arial" w:eastAsiaTheme="majorEastAsia" w:hAnsi="Arial" w:cstheme="majorBidi"/>
      <w:color w:val="1F3763" w:themeColor="accent1" w:themeShade="7F"/>
    </w:rPr>
  </w:style>
  <w:style w:type="character" w:customStyle="1" w:styleId="Nadpis7Char">
    <w:name w:val="Nadpis 7 Char"/>
    <w:basedOn w:val="Predvolenpsmoodseku"/>
    <w:link w:val="Nadpis7"/>
    <w:uiPriority w:val="9"/>
    <w:rsid w:val="00234730"/>
    <w:rPr>
      <w:rFonts w:ascii="Arial" w:eastAsiaTheme="majorEastAsia" w:hAnsi="Arial" w:cstheme="majorBidi"/>
      <w:i/>
      <w:iCs/>
      <w:color w:val="1F3763" w:themeColor="accent1" w:themeShade="7F"/>
    </w:rPr>
  </w:style>
  <w:style w:type="paragraph" w:styleId="Nzov">
    <w:name w:val="Title"/>
    <w:basedOn w:val="Normlny"/>
    <w:next w:val="Normlny"/>
    <w:link w:val="NzovChar"/>
    <w:uiPriority w:val="10"/>
    <w:qFormat/>
    <w:rsid w:val="00234730"/>
    <w:pPr>
      <w:spacing w:after="0" w:line="240" w:lineRule="auto"/>
      <w:contextualSpacing/>
    </w:pPr>
    <w:rPr>
      <w:rFonts w:eastAsiaTheme="majorEastAsia" w:cstheme="majorBidi"/>
      <w:spacing w:val="-10"/>
      <w:kern w:val="28"/>
      <w:sz w:val="56"/>
      <w:szCs w:val="56"/>
    </w:rPr>
  </w:style>
  <w:style w:type="character" w:customStyle="1" w:styleId="NzovChar">
    <w:name w:val="Názov Char"/>
    <w:basedOn w:val="Predvolenpsmoodseku"/>
    <w:link w:val="Nzov"/>
    <w:uiPriority w:val="10"/>
    <w:rsid w:val="00234730"/>
    <w:rPr>
      <w:rFonts w:ascii="Arial" w:eastAsiaTheme="majorEastAsia" w:hAnsi="Arial" w:cstheme="majorBidi"/>
      <w:spacing w:val="-10"/>
      <w:kern w:val="28"/>
      <w:sz w:val="56"/>
      <w:szCs w:val="56"/>
    </w:rPr>
  </w:style>
  <w:style w:type="paragraph" w:styleId="Podtitul">
    <w:name w:val="Subtitle"/>
    <w:basedOn w:val="Normlny"/>
    <w:next w:val="Normlny"/>
    <w:link w:val="PodtitulChar"/>
    <w:uiPriority w:val="11"/>
    <w:qFormat/>
    <w:rsid w:val="00234730"/>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234730"/>
    <w:rPr>
      <w:rFonts w:ascii="Arial" w:eastAsiaTheme="minorEastAsia" w:hAnsi="Arial"/>
      <w:color w:val="5A5A5A" w:themeColor="text1" w:themeTint="A5"/>
      <w:spacing w:val="15"/>
    </w:rPr>
  </w:style>
  <w:style w:type="character" w:styleId="Jemnzvraznenie">
    <w:name w:val="Subtle Emphasis"/>
    <w:basedOn w:val="Predvolenpsmoodseku"/>
    <w:uiPriority w:val="19"/>
    <w:qFormat/>
    <w:rsid w:val="00234730"/>
    <w:rPr>
      <w:i/>
      <w:iCs/>
      <w:color w:val="404040" w:themeColor="text1" w:themeTint="BF"/>
    </w:rPr>
  </w:style>
  <w:style w:type="character" w:styleId="Zvraznenie">
    <w:name w:val="Emphasis"/>
    <w:basedOn w:val="Predvolenpsmoodseku"/>
    <w:uiPriority w:val="20"/>
    <w:qFormat/>
    <w:rsid w:val="00234730"/>
    <w:rPr>
      <w:i/>
      <w:iCs/>
    </w:rPr>
  </w:style>
  <w:style w:type="character" w:styleId="Intenzvnezvraznenie">
    <w:name w:val="Intense Emphasis"/>
    <w:basedOn w:val="Predvolenpsmoodseku"/>
    <w:uiPriority w:val="21"/>
    <w:qFormat/>
    <w:rsid w:val="00234730"/>
    <w:rPr>
      <w:i/>
      <w:iCs/>
      <w:color w:val="4472C4" w:themeColor="accent1"/>
    </w:rPr>
  </w:style>
  <w:style w:type="character" w:styleId="Vrazn">
    <w:name w:val="Strong"/>
    <w:basedOn w:val="Predvolenpsmoodseku"/>
    <w:uiPriority w:val="22"/>
    <w:qFormat/>
    <w:rsid w:val="00234730"/>
    <w:rPr>
      <w:b/>
      <w:bCs/>
    </w:rPr>
  </w:style>
  <w:style w:type="paragraph" w:styleId="Citcia">
    <w:name w:val="Quote"/>
    <w:basedOn w:val="Normlny"/>
    <w:next w:val="Normlny"/>
    <w:link w:val="CitciaChar"/>
    <w:uiPriority w:val="29"/>
    <w:qFormat/>
    <w:rsid w:val="00234730"/>
    <w:pPr>
      <w:spacing w:before="200"/>
      <w:ind w:left="864" w:right="864"/>
      <w:jc w:val="center"/>
    </w:pPr>
    <w:rPr>
      <w:i/>
      <w:iCs/>
      <w:color w:val="404040" w:themeColor="text1" w:themeTint="BF"/>
    </w:rPr>
  </w:style>
  <w:style w:type="character" w:customStyle="1" w:styleId="CitciaChar">
    <w:name w:val="Citácia Char"/>
    <w:basedOn w:val="Predvolenpsmoodseku"/>
    <w:link w:val="Citcia"/>
    <w:uiPriority w:val="29"/>
    <w:rsid w:val="00234730"/>
    <w:rPr>
      <w:rFonts w:ascii="Arial" w:hAnsi="Arial"/>
      <w:i/>
      <w:iCs/>
      <w:color w:val="404040" w:themeColor="text1" w:themeTint="BF"/>
    </w:rPr>
  </w:style>
  <w:style w:type="paragraph" w:styleId="Zvraznencitcia">
    <w:name w:val="Intense Quote"/>
    <w:basedOn w:val="Normlny"/>
    <w:next w:val="Normlny"/>
    <w:link w:val="ZvraznencitciaChar"/>
    <w:uiPriority w:val="30"/>
    <w:qFormat/>
    <w:rsid w:val="0023473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ZvraznencitciaChar">
    <w:name w:val="Zvýraznená citácia Char"/>
    <w:basedOn w:val="Predvolenpsmoodseku"/>
    <w:link w:val="Zvraznencitcia"/>
    <w:uiPriority w:val="30"/>
    <w:rsid w:val="00234730"/>
    <w:rPr>
      <w:rFonts w:ascii="Arial" w:hAnsi="Arial"/>
      <w:i/>
      <w:iCs/>
      <w:color w:val="4472C4" w:themeColor="accent1"/>
    </w:rPr>
  </w:style>
  <w:style w:type="character" w:styleId="Jemnodkaz">
    <w:name w:val="Subtle Reference"/>
    <w:basedOn w:val="Predvolenpsmoodseku"/>
    <w:uiPriority w:val="31"/>
    <w:qFormat/>
    <w:rsid w:val="00234730"/>
    <w:rPr>
      <w:smallCaps/>
      <w:color w:val="5A5A5A" w:themeColor="text1" w:themeTint="A5"/>
    </w:rPr>
  </w:style>
  <w:style w:type="character" w:styleId="Zvraznenodkaz">
    <w:name w:val="Intense Reference"/>
    <w:basedOn w:val="Predvolenpsmoodseku"/>
    <w:uiPriority w:val="32"/>
    <w:qFormat/>
    <w:rsid w:val="00234730"/>
    <w:rPr>
      <w:b/>
      <w:bCs/>
      <w:smallCaps/>
      <w:color w:val="4472C4" w:themeColor="accent1"/>
      <w:spacing w:val="5"/>
    </w:rPr>
  </w:style>
  <w:style w:type="character" w:styleId="Nzovknihy">
    <w:name w:val="Book Title"/>
    <w:basedOn w:val="Predvolenpsmoodseku"/>
    <w:uiPriority w:val="33"/>
    <w:qFormat/>
    <w:rsid w:val="00234730"/>
    <w:rPr>
      <w:b/>
      <w:bCs/>
      <w:i/>
      <w:iCs/>
      <w:spacing w:val="5"/>
    </w:rPr>
  </w:style>
  <w:style w:type="paragraph" w:styleId="Odsekzoznamu">
    <w:name w:val="List Paragraph"/>
    <w:basedOn w:val="Normlny"/>
    <w:uiPriority w:val="34"/>
    <w:qFormat/>
    <w:rsid w:val="00234730"/>
    <w:pPr>
      <w:ind w:left="720"/>
      <w:contextualSpacing/>
    </w:pPr>
  </w:style>
  <w:style w:type="paragraph" w:customStyle="1" w:styleId="Default">
    <w:name w:val="Default"/>
    <w:rsid w:val="00856C29"/>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y"/>
    <w:link w:val="TextbublinyChar"/>
    <w:uiPriority w:val="99"/>
    <w:semiHidden/>
    <w:unhideWhenUsed/>
    <w:rsid w:val="004414C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14CC"/>
    <w:rPr>
      <w:rFonts w:ascii="Segoe UI" w:hAnsi="Segoe UI" w:cs="Segoe UI"/>
      <w:sz w:val="18"/>
      <w:szCs w:val="18"/>
    </w:rPr>
  </w:style>
  <w:style w:type="character" w:styleId="Odkaznakomentr">
    <w:name w:val="annotation reference"/>
    <w:basedOn w:val="Predvolenpsmoodseku"/>
    <w:uiPriority w:val="99"/>
    <w:semiHidden/>
    <w:unhideWhenUsed/>
    <w:rsid w:val="009864C5"/>
    <w:rPr>
      <w:sz w:val="16"/>
      <w:szCs w:val="16"/>
    </w:rPr>
  </w:style>
  <w:style w:type="paragraph" w:styleId="Textkomentra">
    <w:name w:val="annotation text"/>
    <w:basedOn w:val="Normlny"/>
    <w:link w:val="TextkomentraChar"/>
    <w:uiPriority w:val="99"/>
    <w:semiHidden/>
    <w:unhideWhenUsed/>
    <w:rsid w:val="009864C5"/>
    <w:pPr>
      <w:spacing w:after="0" w:line="240" w:lineRule="auto"/>
      <w:jc w:val="both"/>
    </w:pPr>
    <w:rPr>
      <w:rFonts w:ascii="Verdana" w:eastAsia="Times New Roman" w:hAnsi="Verdana" w:cs="Times New Roman"/>
      <w:sz w:val="20"/>
      <w:szCs w:val="20"/>
    </w:rPr>
  </w:style>
  <w:style w:type="character" w:customStyle="1" w:styleId="TextkomentraChar">
    <w:name w:val="Text komentára Char"/>
    <w:basedOn w:val="Predvolenpsmoodseku"/>
    <w:link w:val="Textkomentra"/>
    <w:uiPriority w:val="99"/>
    <w:semiHidden/>
    <w:rsid w:val="009864C5"/>
    <w:rPr>
      <w:rFonts w:ascii="Verdana" w:eastAsia="Times New Roman" w:hAnsi="Verdana" w:cs="Times New Roman"/>
      <w:sz w:val="20"/>
      <w:szCs w:val="20"/>
    </w:rPr>
  </w:style>
  <w:style w:type="paragraph" w:customStyle="1" w:styleId="paragraph">
    <w:name w:val="paragraph"/>
    <w:basedOn w:val="Normlny"/>
    <w:rsid w:val="00F143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Predvolenpsmoodseku"/>
    <w:rsid w:val="00F14345"/>
  </w:style>
  <w:style w:type="character" w:customStyle="1" w:styleId="eop">
    <w:name w:val="eop"/>
    <w:basedOn w:val="Predvolenpsmoodseku"/>
    <w:rsid w:val="00F14345"/>
  </w:style>
  <w:style w:type="character" w:customStyle="1" w:styleId="scxw186534136">
    <w:name w:val="scxw186534136"/>
    <w:basedOn w:val="Predvolenpsmoodseku"/>
    <w:rsid w:val="00F14345"/>
  </w:style>
  <w:style w:type="character" w:customStyle="1" w:styleId="scxw217378191">
    <w:name w:val="scxw217378191"/>
    <w:basedOn w:val="Predvolenpsmoodseku"/>
    <w:rsid w:val="00EB525C"/>
  </w:style>
  <w:style w:type="character" w:customStyle="1" w:styleId="superscript">
    <w:name w:val="superscript"/>
    <w:basedOn w:val="Predvolenpsmoodseku"/>
    <w:rsid w:val="00974B8D"/>
  </w:style>
  <w:style w:type="table" w:styleId="Mriekatabuky">
    <w:name w:val="Table Grid"/>
    <w:basedOn w:val="Normlnatabuka"/>
    <w:uiPriority w:val="39"/>
    <w:rsid w:val="00F75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991510"/>
    <w:pPr>
      <w:spacing w:after="0" w:line="240" w:lineRule="auto"/>
    </w:pPr>
    <w:rPr>
      <w:rFonts w:asciiTheme="minorHAnsi" w:hAnsiTheme="minorHAnsi"/>
      <w:sz w:val="20"/>
      <w:szCs w:val="20"/>
      <w:lang w:val="en-US"/>
    </w:rPr>
  </w:style>
  <w:style w:type="character" w:customStyle="1" w:styleId="TextpoznmkypodiarouChar">
    <w:name w:val="Text poznámky pod čiarou Char"/>
    <w:basedOn w:val="Predvolenpsmoodseku"/>
    <w:link w:val="Textpoznmkypodiarou"/>
    <w:uiPriority w:val="99"/>
    <w:semiHidden/>
    <w:rsid w:val="00991510"/>
    <w:rPr>
      <w:sz w:val="20"/>
      <w:szCs w:val="20"/>
      <w:lang w:val="en-US"/>
    </w:rPr>
  </w:style>
  <w:style w:type="character" w:styleId="Odkaznapoznmkupodiarou">
    <w:name w:val="footnote reference"/>
    <w:basedOn w:val="Predvolenpsmoodseku"/>
    <w:uiPriority w:val="99"/>
    <w:semiHidden/>
    <w:unhideWhenUsed/>
    <w:rsid w:val="00991510"/>
    <w:rPr>
      <w:vertAlign w:val="superscript"/>
    </w:rPr>
  </w:style>
  <w:style w:type="paragraph" w:styleId="Hlavika">
    <w:name w:val="header"/>
    <w:basedOn w:val="Normlny"/>
    <w:link w:val="HlavikaChar"/>
    <w:uiPriority w:val="99"/>
    <w:unhideWhenUsed/>
    <w:rsid w:val="0065339F"/>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65339F"/>
    <w:rPr>
      <w:rFonts w:ascii="Arial" w:hAnsi="Arial"/>
    </w:rPr>
  </w:style>
  <w:style w:type="paragraph" w:styleId="Pta">
    <w:name w:val="footer"/>
    <w:basedOn w:val="Normlny"/>
    <w:link w:val="PtaChar"/>
    <w:uiPriority w:val="99"/>
    <w:unhideWhenUsed/>
    <w:rsid w:val="0065339F"/>
    <w:pPr>
      <w:tabs>
        <w:tab w:val="center" w:pos="4513"/>
        <w:tab w:val="right" w:pos="9026"/>
      </w:tabs>
      <w:spacing w:after="0" w:line="240" w:lineRule="auto"/>
    </w:pPr>
  </w:style>
  <w:style w:type="character" w:customStyle="1" w:styleId="PtaChar">
    <w:name w:val="Päta Char"/>
    <w:basedOn w:val="Predvolenpsmoodseku"/>
    <w:link w:val="Pta"/>
    <w:uiPriority w:val="99"/>
    <w:rsid w:val="0065339F"/>
    <w:rPr>
      <w:rFonts w:ascii="Arial" w:hAnsi="Arial"/>
    </w:rPr>
  </w:style>
  <w:style w:type="paragraph" w:styleId="Predmetkomentra">
    <w:name w:val="annotation subject"/>
    <w:basedOn w:val="Textkomentra"/>
    <w:next w:val="Textkomentra"/>
    <w:link w:val="PredmetkomentraChar"/>
    <w:uiPriority w:val="99"/>
    <w:semiHidden/>
    <w:unhideWhenUsed/>
    <w:rsid w:val="001A453D"/>
    <w:pPr>
      <w:spacing w:after="160"/>
      <w:jc w:val="left"/>
    </w:pPr>
    <w:rPr>
      <w:rFonts w:ascii="Arial" w:eastAsiaTheme="minorHAnsi" w:hAnsi="Arial" w:cstheme="minorBidi"/>
      <w:b/>
      <w:bCs/>
    </w:rPr>
  </w:style>
  <w:style w:type="character" w:customStyle="1" w:styleId="PredmetkomentraChar">
    <w:name w:val="Predmet komentára Char"/>
    <w:basedOn w:val="TextkomentraChar"/>
    <w:link w:val="Predmetkomentra"/>
    <w:uiPriority w:val="99"/>
    <w:semiHidden/>
    <w:rsid w:val="001A453D"/>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98829">
      <w:bodyDiv w:val="1"/>
      <w:marLeft w:val="0"/>
      <w:marRight w:val="0"/>
      <w:marTop w:val="0"/>
      <w:marBottom w:val="0"/>
      <w:divBdr>
        <w:top w:val="none" w:sz="0" w:space="0" w:color="auto"/>
        <w:left w:val="none" w:sz="0" w:space="0" w:color="auto"/>
        <w:bottom w:val="none" w:sz="0" w:space="0" w:color="auto"/>
        <w:right w:val="none" w:sz="0" w:space="0" w:color="auto"/>
      </w:divBdr>
      <w:divsChild>
        <w:div w:id="12655108">
          <w:marLeft w:val="0"/>
          <w:marRight w:val="0"/>
          <w:marTop w:val="0"/>
          <w:marBottom w:val="0"/>
          <w:divBdr>
            <w:top w:val="none" w:sz="0" w:space="0" w:color="auto"/>
            <w:left w:val="none" w:sz="0" w:space="0" w:color="auto"/>
            <w:bottom w:val="none" w:sz="0" w:space="0" w:color="auto"/>
            <w:right w:val="none" w:sz="0" w:space="0" w:color="auto"/>
          </w:divBdr>
        </w:div>
        <w:div w:id="122119238">
          <w:marLeft w:val="0"/>
          <w:marRight w:val="0"/>
          <w:marTop w:val="0"/>
          <w:marBottom w:val="0"/>
          <w:divBdr>
            <w:top w:val="none" w:sz="0" w:space="0" w:color="auto"/>
            <w:left w:val="none" w:sz="0" w:space="0" w:color="auto"/>
            <w:bottom w:val="none" w:sz="0" w:space="0" w:color="auto"/>
            <w:right w:val="none" w:sz="0" w:space="0" w:color="auto"/>
          </w:divBdr>
        </w:div>
        <w:div w:id="548807062">
          <w:marLeft w:val="0"/>
          <w:marRight w:val="0"/>
          <w:marTop w:val="0"/>
          <w:marBottom w:val="0"/>
          <w:divBdr>
            <w:top w:val="none" w:sz="0" w:space="0" w:color="auto"/>
            <w:left w:val="none" w:sz="0" w:space="0" w:color="auto"/>
            <w:bottom w:val="none" w:sz="0" w:space="0" w:color="auto"/>
            <w:right w:val="none" w:sz="0" w:space="0" w:color="auto"/>
          </w:divBdr>
        </w:div>
      </w:divsChild>
    </w:div>
    <w:div w:id="226653197">
      <w:bodyDiv w:val="1"/>
      <w:marLeft w:val="0"/>
      <w:marRight w:val="0"/>
      <w:marTop w:val="0"/>
      <w:marBottom w:val="0"/>
      <w:divBdr>
        <w:top w:val="none" w:sz="0" w:space="0" w:color="auto"/>
        <w:left w:val="none" w:sz="0" w:space="0" w:color="auto"/>
        <w:bottom w:val="none" w:sz="0" w:space="0" w:color="auto"/>
        <w:right w:val="none" w:sz="0" w:space="0" w:color="auto"/>
      </w:divBdr>
    </w:div>
    <w:div w:id="228465968">
      <w:bodyDiv w:val="1"/>
      <w:marLeft w:val="0"/>
      <w:marRight w:val="0"/>
      <w:marTop w:val="0"/>
      <w:marBottom w:val="0"/>
      <w:divBdr>
        <w:top w:val="none" w:sz="0" w:space="0" w:color="auto"/>
        <w:left w:val="none" w:sz="0" w:space="0" w:color="auto"/>
        <w:bottom w:val="none" w:sz="0" w:space="0" w:color="auto"/>
        <w:right w:val="none" w:sz="0" w:space="0" w:color="auto"/>
      </w:divBdr>
    </w:div>
    <w:div w:id="247468596">
      <w:bodyDiv w:val="1"/>
      <w:marLeft w:val="0"/>
      <w:marRight w:val="0"/>
      <w:marTop w:val="0"/>
      <w:marBottom w:val="0"/>
      <w:divBdr>
        <w:top w:val="none" w:sz="0" w:space="0" w:color="auto"/>
        <w:left w:val="none" w:sz="0" w:space="0" w:color="auto"/>
        <w:bottom w:val="none" w:sz="0" w:space="0" w:color="auto"/>
        <w:right w:val="none" w:sz="0" w:space="0" w:color="auto"/>
      </w:divBdr>
    </w:div>
    <w:div w:id="257638086">
      <w:bodyDiv w:val="1"/>
      <w:marLeft w:val="0"/>
      <w:marRight w:val="0"/>
      <w:marTop w:val="0"/>
      <w:marBottom w:val="0"/>
      <w:divBdr>
        <w:top w:val="none" w:sz="0" w:space="0" w:color="auto"/>
        <w:left w:val="none" w:sz="0" w:space="0" w:color="auto"/>
        <w:bottom w:val="none" w:sz="0" w:space="0" w:color="auto"/>
        <w:right w:val="none" w:sz="0" w:space="0" w:color="auto"/>
      </w:divBdr>
    </w:div>
    <w:div w:id="399329745">
      <w:bodyDiv w:val="1"/>
      <w:marLeft w:val="0"/>
      <w:marRight w:val="0"/>
      <w:marTop w:val="0"/>
      <w:marBottom w:val="0"/>
      <w:divBdr>
        <w:top w:val="none" w:sz="0" w:space="0" w:color="auto"/>
        <w:left w:val="none" w:sz="0" w:space="0" w:color="auto"/>
        <w:bottom w:val="none" w:sz="0" w:space="0" w:color="auto"/>
        <w:right w:val="none" w:sz="0" w:space="0" w:color="auto"/>
      </w:divBdr>
    </w:div>
    <w:div w:id="400181483">
      <w:bodyDiv w:val="1"/>
      <w:marLeft w:val="0"/>
      <w:marRight w:val="0"/>
      <w:marTop w:val="0"/>
      <w:marBottom w:val="0"/>
      <w:divBdr>
        <w:top w:val="none" w:sz="0" w:space="0" w:color="auto"/>
        <w:left w:val="none" w:sz="0" w:space="0" w:color="auto"/>
        <w:bottom w:val="none" w:sz="0" w:space="0" w:color="auto"/>
        <w:right w:val="none" w:sz="0" w:space="0" w:color="auto"/>
      </w:divBdr>
      <w:divsChild>
        <w:div w:id="39600634">
          <w:marLeft w:val="0"/>
          <w:marRight w:val="0"/>
          <w:marTop w:val="0"/>
          <w:marBottom w:val="0"/>
          <w:divBdr>
            <w:top w:val="none" w:sz="0" w:space="0" w:color="auto"/>
            <w:left w:val="none" w:sz="0" w:space="0" w:color="auto"/>
            <w:bottom w:val="none" w:sz="0" w:space="0" w:color="auto"/>
            <w:right w:val="none" w:sz="0" w:space="0" w:color="auto"/>
          </w:divBdr>
        </w:div>
        <w:div w:id="413865986">
          <w:marLeft w:val="0"/>
          <w:marRight w:val="0"/>
          <w:marTop w:val="0"/>
          <w:marBottom w:val="0"/>
          <w:divBdr>
            <w:top w:val="none" w:sz="0" w:space="0" w:color="auto"/>
            <w:left w:val="none" w:sz="0" w:space="0" w:color="auto"/>
            <w:bottom w:val="none" w:sz="0" w:space="0" w:color="auto"/>
            <w:right w:val="none" w:sz="0" w:space="0" w:color="auto"/>
          </w:divBdr>
        </w:div>
        <w:div w:id="616638828">
          <w:marLeft w:val="0"/>
          <w:marRight w:val="0"/>
          <w:marTop w:val="0"/>
          <w:marBottom w:val="0"/>
          <w:divBdr>
            <w:top w:val="none" w:sz="0" w:space="0" w:color="auto"/>
            <w:left w:val="none" w:sz="0" w:space="0" w:color="auto"/>
            <w:bottom w:val="none" w:sz="0" w:space="0" w:color="auto"/>
            <w:right w:val="none" w:sz="0" w:space="0" w:color="auto"/>
          </w:divBdr>
        </w:div>
        <w:div w:id="1174491001">
          <w:marLeft w:val="0"/>
          <w:marRight w:val="0"/>
          <w:marTop w:val="0"/>
          <w:marBottom w:val="0"/>
          <w:divBdr>
            <w:top w:val="none" w:sz="0" w:space="0" w:color="auto"/>
            <w:left w:val="none" w:sz="0" w:space="0" w:color="auto"/>
            <w:bottom w:val="none" w:sz="0" w:space="0" w:color="auto"/>
            <w:right w:val="none" w:sz="0" w:space="0" w:color="auto"/>
          </w:divBdr>
        </w:div>
        <w:div w:id="1556309372">
          <w:marLeft w:val="0"/>
          <w:marRight w:val="0"/>
          <w:marTop w:val="0"/>
          <w:marBottom w:val="0"/>
          <w:divBdr>
            <w:top w:val="none" w:sz="0" w:space="0" w:color="auto"/>
            <w:left w:val="none" w:sz="0" w:space="0" w:color="auto"/>
            <w:bottom w:val="none" w:sz="0" w:space="0" w:color="auto"/>
            <w:right w:val="none" w:sz="0" w:space="0" w:color="auto"/>
          </w:divBdr>
        </w:div>
        <w:div w:id="1704666671">
          <w:marLeft w:val="0"/>
          <w:marRight w:val="0"/>
          <w:marTop w:val="0"/>
          <w:marBottom w:val="0"/>
          <w:divBdr>
            <w:top w:val="none" w:sz="0" w:space="0" w:color="auto"/>
            <w:left w:val="none" w:sz="0" w:space="0" w:color="auto"/>
            <w:bottom w:val="none" w:sz="0" w:space="0" w:color="auto"/>
            <w:right w:val="none" w:sz="0" w:space="0" w:color="auto"/>
          </w:divBdr>
        </w:div>
        <w:div w:id="1967738869">
          <w:marLeft w:val="0"/>
          <w:marRight w:val="0"/>
          <w:marTop w:val="0"/>
          <w:marBottom w:val="0"/>
          <w:divBdr>
            <w:top w:val="none" w:sz="0" w:space="0" w:color="auto"/>
            <w:left w:val="none" w:sz="0" w:space="0" w:color="auto"/>
            <w:bottom w:val="none" w:sz="0" w:space="0" w:color="auto"/>
            <w:right w:val="none" w:sz="0" w:space="0" w:color="auto"/>
          </w:divBdr>
        </w:div>
        <w:div w:id="2095198373">
          <w:marLeft w:val="0"/>
          <w:marRight w:val="0"/>
          <w:marTop w:val="0"/>
          <w:marBottom w:val="0"/>
          <w:divBdr>
            <w:top w:val="none" w:sz="0" w:space="0" w:color="auto"/>
            <w:left w:val="none" w:sz="0" w:space="0" w:color="auto"/>
            <w:bottom w:val="none" w:sz="0" w:space="0" w:color="auto"/>
            <w:right w:val="none" w:sz="0" w:space="0" w:color="auto"/>
          </w:divBdr>
        </w:div>
      </w:divsChild>
    </w:div>
    <w:div w:id="415127353">
      <w:bodyDiv w:val="1"/>
      <w:marLeft w:val="0"/>
      <w:marRight w:val="0"/>
      <w:marTop w:val="0"/>
      <w:marBottom w:val="0"/>
      <w:divBdr>
        <w:top w:val="none" w:sz="0" w:space="0" w:color="auto"/>
        <w:left w:val="none" w:sz="0" w:space="0" w:color="auto"/>
        <w:bottom w:val="none" w:sz="0" w:space="0" w:color="auto"/>
        <w:right w:val="none" w:sz="0" w:space="0" w:color="auto"/>
      </w:divBdr>
      <w:divsChild>
        <w:div w:id="17052378">
          <w:marLeft w:val="0"/>
          <w:marRight w:val="0"/>
          <w:marTop w:val="0"/>
          <w:marBottom w:val="0"/>
          <w:divBdr>
            <w:top w:val="none" w:sz="0" w:space="0" w:color="auto"/>
            <w:left w:val="none" w:sz="0" w:space="0" w:color="auto"/>
            <w:bottom w:val="none" w:sz="0" w:space="0" w:color="auto"/>
            <w:right w:val="none" w:sz="0" w:space="0" w:color="auto"/>
          </w:divBdr>
        </w:div>
        <w:div w:id="36245336">
          <w:marLeft w:val="0"/>
          <w:marRight w:val="0"/>
          <w:marTop w:val="0"/>
          <w:marBottom w:val="0"/>
          <w:divBdr>
            <w:top w:val="none" w:sz="0" w:space="0" w:color="auto"/>
            <w:left w:val="none" w:sz="0" w:space="0" w:color="auto"/>
            <w:bottom w:val="none" w:sz="0" w:space="0" w:color="auto"/>
            <w:right w:val="none" w:sz="0" w:space="0" w:color="auto"/>
          </w:divBdr>
          <w:divsChild>
            <w:div w:id="187452650">
              <w:marLeft w:val="0"/>
              <w:marRight w:val="0"/>
              <w:marTop w:val="0"/>
              <w:marBottom w:val="0"/>
              <w:divBdr>
                <w:top w:val="none" w:sz="0" w:space="0" w:color="auto"/>
                <w:left w:val="none" w:sz="0" w:space="0" w:color="auto"/>
                <w:bottom w:val="none" w:sz="0" w:space="0" w:color="auto"/>
                <w:right w:val="none" w:sz="0" w:space="0" w:color="auto"/>
              </w:divBdr>
            </w:div>
            <w:div w:id="663632707">
              <w:marLeft w:val="0"/>
              <w:marRight w:val="0"/>
              <w:marTop w:val="0"/>
              <w:marBottom w:val="0"/>
              <w:divBdr>
                <w:top w:val="none" w:sz="0" w:space="0" w:color="auto"/>
                <w:left w:val="none" w:sz="0" w:space="0" w:color="auto"/>
                <w:bottom w:val="none" w:sz="0" w:space="0" w:color="auto"/>
                <w:right w:val="none" w:sz="0" w:space="0" w:color="auto"/>
              </w:divBdr>
            </w:div>
            <w:div w:id="1243220253">
              <w:marLeft w:val="0"/>
              <w:marRight w:val="0"/>
              <w:marTop w:val="0"/>
              <w:marBottom w:val="0"/>
              <w:divBdr>
                <w:top w:val="none" w:sz="0" w:space="0" w:color="auto"/>
                <w:left w:val="none" w:sz="0" w:space="0" w:color="auto"/>
                <w:bottom w:val="none" w:sz="0" w:space="0" w:color="auto"/>
                <w:right w:val="none" w:sz="0" w:space="0" w:color="auto"/>
              </w:divBdr>
            </w:div>
            <w:div w:id="1266813533">
              <w:marLeft w:val="0"/>
              <w:marRight w:val="0"/>
              <w:marTop w:val="0"/>
              <w:marBottom w:val="0"/>
              <w:divBdr>
                <w:top w:val="none" w:sz="0" w:space="0" w:color="auto"/>
                <w:left w:val="none" w:sz="0" w:space="0" w:color="auto"/>
                <w:bottom w:val="none" w:sz="0" w:space="0" w:color="auto"/>
                <w:right w:val="none" w:sz="0" w:space="0" w:color="auto"/>
              </w:divBdr>
            </w:div>
            <w:div w:id="1577939417">
              <w:marLeft w:val="0"/>
              <w:marRight w:val="0"/>
              <w:marTop w:val="0"/>
              <w:marBottom w:val="0"/>
              <w:divBdr>
                <w:top w:val="none" w:sz="0" w:space="0" w:color="auto"/>
                <w:left w:val="none" w:sz="0" w:space="0" w:color="auto"/>
                <w:bottom w:val="none" w:sz="0" w:space="0" w:color="auto"/>
                <w:right w:val="none" w:sz="0" w:space="0" w:color="auto"/>
              </w:divBdr>
            </w:div>
          </w:divsChild>
        </w:div>
        <w:div w:id="92866434">
          <w:marLeft w:val="0"/>
          <w:marRight w:val="0"/>
          <w:marTop w:val="0"/>
          <w:marBottom w:val="0"/>
          <w:divBdr>
            <w:top w:val="none" w:sz="0" w:space="0" w:color="auto"/>
            <w:left w:val="none" w:sz="0" w:space="0" w:color="auto"/>
            <w:bottom w:val="none" w:sz="0" w:space="0" w:color="auto"/>
            <w:right w:val="none" w:sz="0" w:space="0" w:color="auto"/>
          </w:divBdr>
        </w:div>
        <w:div w:id="136190945">
          <w:marLeft w:val="0"/>
          <w:marRight w:val="0"/>
          <w:marTop w:val="0"/>
          <w:marBottom w:val="0"/>
          <w:divBdr>
            <w:top w:val="none" w:sz="0" w:space="0" w:color="auto"/>
            <w:left w:val="none" w:sz="0" w:space="0" w:color="auto"/>
            <w:bottom w:val="none" w:sz="0" w:space="0" w:color="auto"/>
            <w:right w:val="none" w:sz="0" w:space="0" w:color="auto"/>
          </w:divBdr>
        </w:div>
        <w:div w:id="165753711">
          <w:marLeft w:val="0"/>
          <w:marRight w:val="0"/>
          <w:marTop w:val="0"/>
          <w:marBottom w:val="0"/>
          <w:divBdr>
            <w:top w:val="none" w:sz="0" w:space="0" w:color="auto"/>
            <w:left w:val="none" w:sz="0" w:space="0" w:color="auto"/>
            <w:bottom w:val="none" w:sz="0" w:space="0" w:color="auto"/>
            <w:right w:val="none" w:sz="0" w:space="0" w:color="auto"/>
          </w:divBdr>
        </w:div>
        <w:div w:id="183439889">
          <w:marLeft w:val="0"/>
          <w:marRight w:val="0"/>
          <w:marTop w:val="0"/>
          <w:marBottom w:val="0"/>
          <w:divBdr>
            <w:top w:val="none" w:sz="0" w:space="0" w:color="auto"/>
            <w:left w:val="none" w:sz="0" w:space="0" w:color="auto"/>
            <w:bottom w:val="none" w:sz="0" w:space="0" w:color="auto"/>
            <w:right w:val="none" w:sz="0" w:space="0" w:color="auto"/>
          </w:divBdr>
        </w:div>
        <w:div w:id="189609910">
          <w:marLeft w:val="0"/>
          <w:marRight w:val="0"/>
          <w:marTop w:val="0"/>
          <w:marBottom w:val="0"/>
          <w:divBdr>
            <w:top w:val="none" w:sz="0" w:space="0" w:color="auto"/>
            <w:left w:val="none" w:sz="0" w:space="0" w:color="auto"/>
            <w:bottom w:val="none" w:sz="0" w:space="0" w:color="auto"/>
            <w:right w:val="none" w:sz="0" w:space="0" w:color="auto"/>
          </w:divBdr>
        </w:div>
        <w:div w:id="201675989">
          <w:marLeft w:val="0"/>
          <w:marRight w:val="0"/>
          <w:marTop w:val="0"/>
          <w:marBottom w:val="0"/>
          <w:divBdr>
            <w:top w:val="none" w:sz="0" w:space="0" w:color="auto"/>
            <w:left w:val="none" w:sz="0" w:space="0" w:color="auto"/>
            <w:bottom w:val="none" w:sz="0" w:space="0" w:color="auto"/>
            <w:right w:val="none" w:sz="0" w:space="0" w:color="auto"/>
          </w:divBdr>
          <w:divsChild>
            <w:div w:id="472216800">
              <w:marLeft w:val="0"/>
              <w:marRight w:val="0"/>
              <w:marTop w:val="0"/>
              <w:marBottom w:val="0"/>
              <w:divBdr>
                <w:top w:val="none" w:sz="0" w:space="0" w:color="auto"/>
                <w:left w:val="none" w:sz="0" w:space="0" w:color="auto"/>
                <w:bottom w:val="none" w:sz="0" w:space="0" w:color="auto"/>
                <w:right w:val="none" w:sz="0" w:space="0" w:color="auto"/>
              </w:divBdr>
            </w:div>
            <w:div w:id="700128511">
              <w:marLeft w:val="0"/>
              <w:marRight w:val="0"/>
              <w:marTop w:val="0"/>
              <w:marBottom w:val="0"/>
              <w:divBdr>
                <w:top w:val="none" w:sz="0" w:space="0" w:color="auto"/>
                <w:left w:val="none" w:sz="0" w:space="0" w:color="auto"/>
                <w:bottom w:val="none" w:sz="0" w:space="0" w:color="auto"/>
                <w:right w:val="none" w:sz="0" w:space="0" w:color="auto"/>
              </w:divBdr>
            </w:div>
            <w:div w:id="853416906">
              <w:marLeft w:val="0"/>
              <w:marRight w:val="0"/>
              <w:marTop w:val="0"/>
              <w:marBottom w:val="0"/>
              <w:divBdr>
                <w:top w:val="none" w:sz="0" w:space="0" w:color="auto"/>
                <w:left w:val="none" w:sz="0" w:space="0" w:color="auto"/>
                <w:bottom w:val="none" w:sz="0" w:space="0" w:color="auto"/>
                <w:right w:val="none" w:sz="0" w:space="0" w:color="auto"/>
              </w:divBdr>
            </w:div>
            <w:div w:id="1449547563">
              <w:marLeft w:val="0"/>
              <w:marRight w:val="0"/>
              <w:marTop w:val="0"/>
              <w:marBottom w:val="0"/>
              <w:divBdr>
                <w:top w:val="none" w:sz="0" w:space="0" w:color="auto"/>
                <w:left w:val="none" w:sz="0" w:space="0" w:color="auto"/>
                <w:bottom w:val="none" w:sz="0" w:space="0" w:color="auto"/>
                <w:right w:val="none" w:sz="0" w:space="0" w:color="auto"/>
              </w:divBdr>
            </w:div>
            <w:div w:id="1853179892">
              <w:marLeft w:val="0"/>
              <w:marRight w:val="0"/>
              <w:marTop w:val="0"/>
              <w:marBottom w:val="0"/>
              <w:divBdr>
                <w:top w:val="none" w:sz="0" w:space="0" w:color="auto"/>
                <w:left w:val="none" w:sz="0" w:space="0" w:color="auto"/>
                <w:bottom w:val="none" w:sz="0" w:space="0" w:color="auto"/>
                <w:right w:val="none" w:sz="0" w:space="0" w:color="auto"/>
              </w:divBdr>
            </w:div>
          </w:divsChild>
        </w:div>
        <w:div w:id="230779164">
          <w:marLeft w:val="0"/>
          <w:marRight w:val="0"/>
          <w:marTop w:val="0"/>
          <w:marBottom w:val="0"/>
          <w:divBdr>
            <w:top w:val="none" w:sz="0" w:space="0" w:color="auto"/>
            <w:left w:val="none" w:sz="0" w:space="0" w:color="auto"/>
            <w:bottom w:val="none" w:sz="0" w:space="0" w:color="auto"/>
            <w:right w:val="none" w:sz="0" w:space="0" w:color="auto"/>
          </w:divBdr>
        </w:div>
        <w:div w:id="231543786">
          <w:marLeft w:val="0"/>
          <w:marRight w:val="0"/>
          <w:marTop w:val="0"/>
          <w:marBottom w:val="0"/>
          <w:divBdr>
            <w:top w:val="none" w:sz="0" w:space="0" w:color="auto"/>
            <w:left w:val="none" w:sz="0" w:space="0" w:color="auto"/>
            <w:bottom w:val="none" w:sz="0" w:space="0" w:color="auto"/>
            <w:right w:val="none" w:sz="0" w:space="0" w:color="auto"/>
          </w:divBdr>
        </w:div>
        <w:div w:id="250700841">
          <w:marLeft w:val="0"/>
          <w:marRight w:val="0"/>
          <w:marTop w:val="0"/>
          <w:marBottom w:val="0"/>
          <w:divBdr>
            <w:top w:val="none" w:sz="0" w:space="0" w:color="auto"/>
            <w:left w:val="none" w:sz="0" w:space="0" w:color="auto"/>
            <w:bottom w:val="none" w:sz="0" w:space="0" w:color="auto"/>
            <w:right w:val="none" w:sz="0" w:space="0" w:color="auto"/>
          </w:divBdr>
          <w:divsChild>
            <w:div w:id="1213687556">
              <w:marLeft w:val="0"/>
              <w:marRight w:val="0"/>
              <w:marTop w:val="0"/>
              <w:marBottom w:val="0"/>
              <w:divBdr>
                <w:top w:val="none" w:sz="0" w:space="0" w:color="auto"/>
                <w:left w:val="none" w:sz="0" w:space="0" w:color="auto"/>
                <w:bottom w:val="none" w:sz="0" w:space="0" w:color="auto"/>
                <w:right w:val="none" w:sz="0" w:space="0" w:color="auto"/>
              </w:divBdr>
            </w:div>
            <w:div w:id="1741515889">
              <w:marLeft w:val="0"/>
              <w:marRight w:val="0"/>
              <w:marTop w:val="0"/>
              <w:marBottom w:val="0"/>
              <w:divBdr>
                <w:top w:val="none" w:sz="0" w:space="0" w:color="auto"/>
                <w:left w:val="none" w:sz="0" w:space="0" w:color="auto"/>
                <w:bottom w:val="none" w:sz="0" w:space="0" w:color="auto"/>
                <w:right w:val="none" w:sz="0" w:space="0" w:color="auto"/>
              </w:divBdr>
            </w:div>
            <w:div w:id="1861702662">
              <w:marLeft w:val="0"/>
              <w:marRight w:val="0"/>
              <w:marTop w:val="0"/>
              <w:marBottom w:val="0"/>
              <w:divBdr>
                <w:top w:val="none" w:sz="0" w:space="0" w:color="auto"/>
                <w:left w:val="none" w:sz="0" w:space="0" w:color="auto"/>
                <w:bottom w:val="none" w:sz="0" w:space="0" w:color="auto"/>
                <w:right w:val="none" w:sz="0" w:space="0" w:color="auto"/>
              </w:divBdr>
            </w:div>
          </w:divsChild>
        </w:div>
        <w:div w:id="294606364">
          <w:marLeft w:val="0"/>
          <w:marRight w:val="0"/>
          <w:marTop w:val="0"/>
          <w:marBottom w:val="0"/>
          <w:divBdr>
            <w:top w:val="none" w:sz="0" w:space="0" w:color="auto"/>
            <w:left w:val="none" w:sz="0" w:space="0" w:color="auto"/>
            <w:bottom w:val="none" w:sz="0" w:space="0" w:color="auto"/>
            <w:right w:val="none" w:sz="0" w:space="0" w:color="auto"/>
          </w:divBdr>
        </w:div>
        <w:div w:id="319580744">
          <w:marLeft w:val="0"/>
          <w:marRight w:val="0"/>
          <w:marTop w:val="0"/>
          <w:marBottom w:val="0"/>
          <w:divBdr>
            <w:top w:val="none" w:sz="0" w:space="0" w:color="auto"/>
            <w:left w:val="none" w:sz="0" w:space="0" w:color="auto"/>
            <w:bottom w:val="none" w:sz="0" w:space="0" w:color="auto"/>
            <w:right w:val="none" w:sz="0" w:space="0" w:color="auto"/>
          </w:divBdr>
        </w:div>
        <w:div w:id="360473060">
          <w:marLeft w:val="0"/>
          <w:marRight w:val="0"/>
          <w:marTop w:val="0"/>
          <w:marBottom w:val="0"/>
          <w:divBdr>
            <w:top w:val="none" w:sz="0" w:space="0" w:color="auto"/>
            <w:left w:val="none" w:sz="0" w:space="0" w:color="auto"/>
            <w:bottom w:val="none" w:sz="0" w:space="0" w:color="auto"/>
            <w:right w:val="none" w:sz="0" w:space="0" w:color="auto"/>
          </w:divBdr>
        </w:div>
        <w:div w:id="364912559">
          <w:marLeft w:val="0"/>
          <w:marRight w:val="0"/>
          <w:marTop w:val="0"/>
          <w:marBottom w:val="0"/>
          <w:divBdr>
            <w:top w:val="none" w:sz="0" w:space="0" w:color="auto"/>
            <w:left w:val="none" w:sz="0" w:space="0" w:color="auto"/>
            <w:bottom w:val="none" w:sz="0" w:space="0" w:color="auto"/>
            <w:right w:val="none" w:sz="0" w:space="0" w:color="auto"/>
          </w:divBdr>
          <w:divsChild>
            <w:div w:id="22950331">
              <w:marLeft w:val="0"/>
              <w:marRight w:val="0"/>
              <w:marTop w:val="0"/>
              <w:marBottom w:val="0"/>
              <w:divBdr>
                <w:top w:val="none" w:sz="0" w:space="0" w:color="auto"/>
                <w:left w:val="none" w:sz="0" w:space="0" w:color="auto"/>
                <w:bottom w:val="none" w:sz="0" w:space="0" w:color="auto"/>
                <w:right w:val="none" w:sz="0" w:space="0" w:color="auto"/>
              </w:divBdr>
            </w:div>
            <w:div w:id="1486119988">
              <w:marLeft w:val="0"/>
              <w:marRight w:val="0"/>
              <w:marTop w:val="0"/>
              <w:marBottom w:val="0"/>
              <w:divBdr>
                <w:top w:val="none" w:sz="0" w:space="0" w:color="auto"/>
                <w:left w:val="none" w:sz="0" w:space="0" w:color="auto"/>
                <w:bottom w:val="none" w:sz="0" w:space="0" w:color="auto"/>
                <w:right w:val="none" w:sz="0" w:space="0" w:color="auto"/>
              </w:divBdr>
            </w:div>
            <w:div w:id="1619793335">
              <w:marLeft w:val="0"/>
              <w:marRight w:val="0"/>
              <w:marTop w:val="0"/>
              <w:marBottom w:val="0"/>
              <w:divBdr>
                <w:top w:val="none" w:sz="0" w:space="0" w:color="auto"/>
                <w:left w:val="none" w:sz="0" w:space="0" w:color="auto"/>
                <w:bottom w:val="none" w:sz="0" w:space="0" w:color="auto"/>
                <w:right w:val="none" w:sz="0" w:space="0" w:color="auto"/>
              </w:divBdr>
            </w:div>
            <w:div w:id="1692876236">
              <w:marLeft w:val="0"/>
              <w:marRight w:val="0"/>
              <w:marTop w:val="0"/>
              <w:marBottom w:val="0"/>
              <w:divBdr>
                <w:top w:val="none" w:sz="0" w:space="0" w:color="auto"/>
                <w:left w:val="none" w:sz="0" w:space="0" w:color="auto"/>
                <w:bottom w:val="none" w:sz="0" w:space="0" w:color="auto"/>
                <w:right w:val="none" w:sz="0" w:space="0" w:color="auto"/>
              </w:divBdr>
            </w:div>
          </w:divsChild>
        </w:div>
        <w:div w:id="487594544">
          <w:marLeft w:val="0"/>
          <w:marRight w:val="0"/>
          <w:marTop w:val="0"/>
          <w:marBottom w:val="0"/>
          <w:divBdr>
            <w:top w:val="none" w:sz="0" w:space="0" w:color="auto"/>
            <w:left w:val="none" w:sz="0" w:space="0" w:color="auto"/>
            <w:bottom w:val="none" w:sz="0" w:space="0" w:color="auto"/>
            <w:right w:val="none" w:sz="0" w:space="0" w:color="auto"/>
          </w:divBdr>
        </w:div>
        <w:div w:id="737096646">
          <w:marLeft w:val="0"/>
          <w:marRight w:val="0"/>
          <w:marTop w:val="0"/>
          <w:marBottom w:val="0"/>
          <w:divBdr>
            <w:top w:val="none" w:sz="0" w:space="0" w:color="auto"/>
            <w:left w:val="none" w:sz="0" w:space="0" w:color="auto"/>
            <w:bottom w:val="none" w:sz="0" w:space="0" w:color="auto"/>
            <w:right w:val="none" w:sz="0" w:space="0" w:color="auto"/>
          </w:divBdr>
          <w:divsChild>
            <w:div w:id="488136074">
              <w:marLeft w:val="0"/>
              <w:marRight w:val="0"/>
              <w:marTop w:val="0"/>
              <w:marBottom w:val="0"/>
              <w:divBdr>
                <w:top w:val="none" w:sz="0" w:space="0" w:color="auto"/>
                <w:left w:val="none" w:sz="0" w:space="0" w:color="auto"/>
                <w:bottom w:val="none" w:sz="0" w:space="0" w:color="auto"/>
                <w:right w:val="none" w:sz="0" w:space="0" w:color="auto"/>
              </w:divBdr>
            </w:div>
            <w:div w:id="591007552">
              <w:marLeft w:val="0"/>
              <w:marRight w:val="0"/>
              <w:marTop w:val="0"/>
              <w:marBottom w:val="0"/>
              <w:divBdr>
                <w:top w:val="none" w:sz="0" w:space="0" w:color="auto"/>
                <w:left w:val="none" w:sz="0" w:space="0" w:color="auto"/>
                <w:bottom w:val="none" w:sz="0" w:space="0" w:color="auto"/>
                <w:right w:val="none" w:sz="0" w:space="0" w:color="auto"/>
              </w:divBdr>
            </w:div>
            <w:div w:id="593131669">
              <w:marLeft w:val="0"/>
              <w:marRight w:val="0"/>
              <w:marTop w:val="0"/>
              <w:marBottom w:val="0"/>
              <w:divBdr>
                <w:top w:val="none" w:sz="0" w:space="0" w:color="auto"/>
                <w:left w:val="none" w:sz="0" w:space="0" w:color="auto"/>
                <w:bottom w:val="none" w:sz="0" w:space="0" w:color="auto"/>
                <w:right w:val="none" w:sz="0" w:space="0" w:color="auto"/>
              </w:divBdr>
            </w:div>
            <w:div w:id="1343629686">
              <w:marLeft w:val="0"/>
              <w:marRight w:val="0"/>
              <w:marTop w:val="0"/>
              <w:marBottom w:val="0"/>
              <w:divBdr>
                <w:top w:val="none" w:sz="0" w:space="0" w:color="auto"/>
                <w:left w:val="none" w:sz="0" w:space="0" w:color="auto"/>
                <w:bottom w:val="none" w:sz="0" w:space="0" w:color="auto"/>
                <w:right w:val="none" w:sz="0" w:space="0" w:color="auto"/>
              </w:divBdr>
            </w:div>
            <w:div w:id="1476872245">
              <w:marLeft w:val="0"/>
              <w:marRight w:val="0"/>
              <w:marTop w:val="0"/>
              <w:marBottom w:val="0"/>
              <w:divBdr>
                <w:top w:val="none" w:sz="0" w:space="0" w:color="auto"/>
                <w:left w:val="none" w:sz="0" w:space="0" w:color="auto"/>
                <w:bottom w:val="none" w:sz="0" w:space="0" w:color="auto"/>
                <w:right w:val="none" w:sz="0" w:space="0" w:color="auto"/>
              </w:divBdr>
            </w:div>
          </w:divsChild>
        </w:div>
        <w:div w:id="808402454">
          <w:marLeft w:val="0"/>
          <w:marRight w:val="0"/>
          <w:marTop w:val="0"/>
          <w:marBottom w:val="0"/>
          <w:divBdr>
            <w:top w:val="none" w:sz="0" w:space="0" w:color="auto"/>
            <w:left w:val="none" w:sz="0" w:space="0" w:color="auto"/>
            <w:bottom w:val="none" w:sz="0" w:space="0" w:color="auto"/>
            <w:right w:val="none" w:sz="0" w:space="0" w:color="auto"/>
          </w:divBdr>
        </w:div>
        <w:div w:id="822703146">
          <w:marLeft w:val="0"/>
          <w:marRight w:val="0"/>
          <w:marTop w:val="0"/>
          <w:marBottom w:val="0"/>
          <w:divBdr>
            <w:top w:val="none" w:sz="0" w:space="0" w:color="auto"/>
            <w:left w:val="none" w:sz="0" w:space="0" w:color="auto"/>
            <w:bottom w:val="none" w:sz="0" w:space="0" w:color="auto"/>
            <w:right w:val="none" w:sz="0" w:space="0" w:color="auto"/>
          </w:divBdr>
        </w:div>
        <w:div w:id="831261974">
          <w:marLeft w:val="0"/>
          <w:marRight w:val="0"/>
          <w:marTop w:val="0"/>
          <w:marBottom w:val="0"/>
          <w:divBdr>
            <w:top w:val="none" w:sz="0" w:space="0" w:color="auto"/>
            <w:left w:val="none" w:sz="0" w:space="0" w:color="auto"/>
            <w:bottom w:val="none" w:sz="0" w:space="0" w:color="auto"/>
            <w:right w:val="none" w:sz="0" w:space="0" w:color="auto"/>
          </w:divBdr>
        </w:div>
        <w:div w:id="848298359">
          <w:marLeft w:val="0"/>
          <w:marRight w:val="0"/>
          <w:marTop w:val="0"/>
          <w:marBottom w:val="0"/>
          <w:divBdr>
            <w:top w:val="none" w:sz="0" w:space="0" w:color="auto"/>
            <w:left w:val="none" w:sz="0" w:space="0" w:color="auto"/>
            <w:bottom w:val="none" w:sz="0" w:space="0" w:color="auto"/>
            <w:right w:val="none" w:sz="0" w:space="0" w:color="auto"/>
          </w:divBdr>
        </w:div>
        <w:div w:id="868371518">
          <w:marLeft w:val="0"/>
          <w:marRight w:val="0"/>
          <w:marTop w:val="0"/>
          <w:marBottom w:val="0"/>
          <w:divBdr>
            <w:top w:val="none" w:sz="0" w:space="0" w:color="auto"/>
            <w:left w:val="none" w:sz="0" w:space="0" w:color="auto"/>
            <w:bottom w:val="none" w:sz="0" w:space="0" w:color="auto"/>
            <w:right w:val="none" w:sz="0" w:space="0" w:color="auto"/>
          </w:divBdr>
          <w:divsChild>
            <w:div w:id="18629775">
              <w:marLeft w:val="0"/>
              <w:marRight w:val="0"/>
              <w:marTop w:val="0"/>
              <w:marBottom w:val="0"/>
              <w:divBdr>
                <w:top w:val="none" w:sz="0" w:space="0" w:color="auto"/>
                <w:left w:val="none" w:sz="0" w:space="0" w:color="auto"/>
                <w:bottom w:val="none" w:sz="0" w:space="0" w:color="auto"/>
                <w:right w:val="none" w:sz="0" w:space="0" w:color="auto"/>
              </w:divBdr>
            </w:div>
            <w:div w:id="958032506">
              <w:marLeft w:val="0"/>
              <w:marRight w:val="0"/>
              <w:marTop w:val="0"/>
              <w:marBottom w:val="0"/>
              <w:divBdr>
                <w:top w:val="none" w:sz="0" w:space="0" w:color="auto"/>
                <w:left w:val="none" w:sz="0" w:space="0" w:color="auto"/>
                <w:bottom w:val="none" w:sz="0" w:space="0" w:color="auto"/>
                <w:right w:val="none" w:sz="0" w:space="0" w:color="auto"/>
              </w:divBdr>
            </w:div>
            <w:div w:id="1118522778">
              <w:marLeft w:val="0"/>
              <w:marRight w:val="0"/>
              <w:marTop w:val="0"/>
              <w:marBottom w:val="0"/>
              <w:divBdr>
                <w:top w:val="none" w:sz="0" w:space="0" w:color="auto"/>
                <w:left w:val="none" w:sz="0" w:space="0" w:color="auto"/>
                <w:bottom w:val="none" w:sz="0" w:space="0" w:color="auto"/>
                <w:right w:val="none" w:sz="0" w:space="0" w:color="auto"/>
              </w:divBdr>
            </w:div>
            <w:div w:id="1893226108">
              <w:marLeft w:val="0"/>
              <w:marRight w:val="0"/>
              <w:marTop w:val="0"/>
              <w:marBottom w:val="0"/>
              <w:divBdr>
                <w:top w:val="none" w:sz="0" w:space="0" w:color="auto"/>
                <w:left w:val="none" w:sz="0" w:space="0" w:color="auto"/>
                <w:bottom w:val="none" w:sz="0" w:space="0" w:color="auto"/>
                <w:right w:val="none" w:sz="0" w:space="0" w:color="auto"/>
              </w:divBdr>
            </w:div>
          </w:divsChild>
        </w:div>
        <w:div w:id="914050706">
          <w:marLeft w:val="0"/>
          <w:marRight w:val="0"/>
          <w:marTop w:val="0"/>
          <w:marBottom w:val="0"/>
          <w:divBdr>
            <w:top w:val="none" w:sz="0" w:space="0" w:color="auto"/>
            <w:left w:val="none" w:sz="0" w:space="0" w:color="auto"/>
            <w:bottom w:val="none" w:sz="0" w:space="0" w:color="auto"/>
            <w:right w:val="none" w:sz="0" w:space="0" w:color="auto"/>
          </w:divBdr>
        </w:div>
        <w:div w:id="956984000">
          <w:marLeft w:val="0"/>
          <w:marRight w:val="0"/>
          <w:marTop w:val="0"/>
          <w:marBottom w:val="0"/>
          <w:divBdr>
            <w:top w:val="none" w:sz="0" w:space="0" w:color="auto"/>
            <w:left w:val="none" w:sz="0" w:space="0" w:color="auto"/>
            <w:bottom w:val="none" w:sz="0" w:space="0" w:color="auto"/>
            <w:right w:val="none" w:sz="0" w:space="0" w:color="auto"/>
          </w:divBdr>
        </w:div>
        <w:div w:id="982001673">
          <w:marLeft w:val="0"/>
          <w:marRight w:val="0"/>
          <w:marTop w:val="0"/>
          <w:marBottom w:val="0"/>
          <w:divBdr>
            <w:top w:val="none" w:sz="0" w:space="0" w:color="auto"/>
            <w:left w:val="none" w:sz="0" w:space="0" w:color="auto"/>
            <w:bottom w:val="none" w:sz="0" w:space="0" w:color="auto"/>
            <w:right w:val="none" w:sz="0" w:space="0" w:color="auto"/>
          </w:divBdr>
          <w:divsChild>
            <w:div w:id="200016338">
              <w:marLeft w:val="0"/>
              <w:marRight w:val="0"/>
              <w:marTop w:val="0"/>
              <w:marBottom w:val="0"/>
              <w:divBdr>
                <w:top w:val="none" w:sz="0" w:space="0" w:color="auto"/>
                <w:left w:val="none" w:sz="0" w:space="0" w:color="auto"/>
                <w:bottom w:val="none" w:sz="0" w:space="0" w:color="auto"/>
                <w:right w:val="none" w:sz="0" w:space="0" w:color="auto"/>
              </w:divBdr>
            </w:div>
            <w:div w:id="721252552">
              <w:marLeft w:val="0"/>
              <w:marRight w:val="0"/>
              <w:marTop w:val="0"/>
              <w:marBottom w:val="0"/>
              <w:divBdr>
                <w:top w:val="none" w:sz="0" w:space="0" w:color="auto"/>
                <w:left w:val="none" w:sz="0" w:space="0" w:color="auto"/>
                <w:bottom w:val="none" w:sz="0" w:space="0" w:color="auto"/>
                <w:right w:val="none" w:sz="0" w:space="0" w:color="auto"/>
              </w:divBdr>
            </w:div>
            <w:div w:id="1501038500">
              <w:marLeft w:val="0"/>
              <w:marRight w:val="0"/>
              <w:marTop w:val="0"/>
              <w:marBottom w:val="0"/>
              <w:divBdr>
                <w:top w:val="none" w:sz="0" w:space="0" w:color="auto"/>
                <w:left w:val="none" w:sz="0" w:space="0" w:color="auto"/>
                <w:bottom w:val="none" w:sz="0" w:space="0" w:color="auto"/>
                <w:right w:val="none" w:sz="0" w:space="0" w:color="auto"/>
              </w:divBdr>
            </w:div>
            <w:div w:id="1626083114">
              <w:marLeft w:val="0"/>
              <w:marRight w:val="0"/>
              <w:marTop w:val="0"/>
              <w:marBottom w:val="0"/>
              <w:divBdr>
                <w:top w:val="none" w:sz="0" w:space="0" w:color="auto"/>
                <w:left w:val="none" w:sz="0" w:space="0" w:color="auto"/>
                <w:bottom w:val="none" w:sz="0" w:space="0" w:color="auto"/>
                <w:right w:val="none" w:sz="0" w:space="0" w:color="auto"/>
              </w:divBdr>
            </w:div>
            <w:div w:id="1921450314">
              <w:marLeft w:val="0"/>
              <w:marRight w:val="0"/>
              <w:marTop w:val="0"/>
              <w:marBottom w:val="0"/>
              <w:divBdr>
                <w:top w:val="none" w:sz="0" w:space="0" w:color="auto"/>
                <w:left w:val="none" w:sz="0" w:space="0" w:color="auto"/>
                <w:bottom w:val="none" w:sz="0" w:space="0" w:color="auto"/>
                <w:right w:val="none" w:sz="0" w:space="0" w:color="auto"/>
              </w:divBdr>
            </w:div>
          </w:divsChild>
        </w:div>
        <w:div w:id="991714549">
          <w:marLeft w:val="0"/>
          <w:marRight w:val="0"/>
          <w:marTop w:val="0"/>
          <w:marBottom w:val="0"/>
          <w:divBdr>
            <w:top w:val="none" w:sz="0" w:space="0" w:color="auto"/>
            <w:left w:val="none" w:sz="0" w:space="0" w:color="auto"/>
            <w:bottom w:val="none" w:sz="0" w:space="0" w:color="auto"/>
            <w:right w:val="none" w:sz="0" w:space="0" w:color="auto"/>
          </w:divBdr>
        </w:div>
        <w:div w:id="1025400407">
          <w:marLeft w:val="0"/>
          <w:marRight w:val="0"/>
          <w:marTop w:val="0"/>
          <w:marBottom w:val="0"/>
          <w:divBdr>
            <w:top w:val="none" w:sz="0" w:space="0" w:color="auto"/>
            <w:left w:val="none" w:sz="0" w:space="0" w:color="auto"/>
            <w:bottom w:val="none" w:sz="0" w:space="0" w:color="auto"/>
            <w:right w:val="none" w:sz="0" w:space="0" w:color="auto"/>
          </w:divBdr>
          <w:divsChild>
            <w:div w:id="277759615">
              <w:marLeft w:val="0"/>
              <w:marRight w:val="0"/>
              <w:marTop w:val="0"/>
              <w:marBottom w:val="0"/>
              <w:divBdr>
                <w:top w:val="none" w:sz="0" w:space="0" w:color="auto"/>
                <w:left w:val="none" w:sz="0" w:space="0" w:color="auto"/>
                <w:bottom w:val="none" w:sz="0" w:space="0" w:color="auto"/>
                <w:right w:val="none" w:sz="0" w:space="0" w:color="auto"/>
              </w:divBdr>
            </w:div>
            <w:div w:id="581305600">
              <w:marLeft w:val="0"/>
              <w:marRight w:val="0"/>
              <w:marTop w:val="0"/>
              <w:marBottom w:val="0"/>
              <w:divBdr>
                <w:top w:val="none" w:sz="0" w:space="0" w:color="auto"/>
                <w:left w:val="none" w:sz="0" w:space="0" w:color="auto"/>
                <w:bottom w:val="none" w:sz="0" w:space="0" w:color="auto"/>
                <w:right w:val="none" w:sz="0" w:space="0" w:color="auto"/>
              </w:divBdr>
            </w:div>
            <w:div w:id="1373456505">
              <w:marLeft w:val="0"/>
              <w:marRight w:val="0"/>
              <w:marTop w:val="0"/>
              <w:marBottom w:val="0"/>
              <w:divBdr>
                <w:top w:val="none" w:sz="0" w:space="0" w:color="auto"/>
                <w:left w:val="none" w:sz="0" w:space="0" w:color="auto"/>
                <w:bottom w:val="none" w:sz="0" w:space="0" w:color="auto"/>
                <w:right w:val="none" w:sz="0" w:space="0" w:color="auto"/>
              </w:divBdr>
            </w:div>
            <w:div w:id="1430345067">
              <w:marLeft w:val="0"/>
              <w:marRight w:val="0"/>
              <w:marTop w:val="0"/>
              <w:marBottom w:val="0"/>
              <w:divBdr>
                <w:top w:val="none" w:sz="0" w:space="0" w:color="auto"/>
                <w:left w:val="none" w:sz="0" w:space="0" w:color="auto"/>
                <w:bottom w:val="none" w:sz="0" w:space="0" w:color="auto"/>
                <w:right w:val="none" w:sz="0" w:space="0" w:color="auto"/>
              </w:divBdr>
            </w:div>
            <w:div w:id="1664892086">
              <w:marLeft w:val="0"/>
              <w:marRight w:val="0"/>
              <w:marTop w:val="0"/>
              <w:marBottom w:val="0"/>
              <w:divBdr>
                <w:top w:val="none" w:sz="0" w:space="0" w:color="auto"/>
                <w:left w:val="none" w:sz="0" w:space="0" w:color="auto"/>
                <w:bottom w:val="none" w:sz="0" w:space="0" w:color="auto"/>
                <w:right w:val="none" w:sz="0" w:space="0" w:color="auto"/>
              </w:divBdr>
            </w:div>
          </w:divsChild>
        </w:div>
        <w:div w:id="1192232747">
          <w:marLeft w:val="0"/>
          <w:marRight w:val="0"/>
          <w:marTop w:val="0"/>
          <w:marBottom w:val="0"/>
          <w:divBdr>
            <w:top w:val="none" w:sz="0" w:space="0" w:color="auto"/>
            <w:left w:val="none" w:sz="0" w:space="0" w:color="auto"/>
            <w:bottom w:val="none" w:sz="0" w:space="0" w:color="auto"/>
            <w:right w:val="none" w:sz="0" w:space="0" w:color="auto"/>
          </w:divBdr>
        </w:div>
        <w:div w:id="1195996025">
          <w:marLeft w:val="0"/>
          <w:marRight w:val="0"/>
          <w:marTop w:val="0"/>
          <w:marBottom w:val="0"/>
          <w:divBdr>
            <w:top w:val="none" w:sz="0" w:space="0" w:color="auto"/>
            <w:left w:val="none" w:sz="0" w:space="0" w:color="auto"/>
            <w:bottom w:val="none" w:sz="0" w:space="0" w:color="auto"/>
            <w:right w:val="none" w:sz="0" w:space="0" w:color="auto"/>
          </w:divBdr>
        </w:div>
        <w:div w:id="1202981890">
          <w:marLeft w:val="0"/>
          <w:marRight w:val="0"/>
          <w:marTop w:val="0"/>
          <w:marBottom w:val="0"/>
          <w:divBdr>
            <w:top w:val="none" w:sz="0" w:space="0" w:color="auto"/>
            <w:left w:val="none" w:sz="0" w:space="0" w:color="auto"/>
            <w:bottom w:val="none" w:sz="0" w:space="0" w:color="auto"/>
            <w:right w:val="none" w:sz="0" w:space="0" w:color="auto"/>
          </w:divBdr>
        </w:div>
        <w:div w:id="1383865041">
          <w:marLeft w:val="0"/>
          <w:marRight w:val="0"/>
          <w:marTop w:val="0"/>
          <w:marBottom w:val="0"/>
          <w:divBdr>
            <w:top w:val="none" w:sz="0" w:space="0" w:color="auto"/>
            <w:left w:val="none" w:sz="0" w:space="0" w:color="auto"/>
            <w:bottom w:val="none" w:sz="0" w:space="0" w:color="auto"/>
            <w:right w:val="none" w:sz="0" w:space="0" w:color="auto"/>
          </w:divBdr>
        </w:div>
        <w:div w:id="1471358459">
          <w:marLeft w:val="0"/>
          <w:marRight w:val="0"/>
          <w:marTop w:val="0"/>
          <w:marBottom w:val="0"/>
          <w:divBdr>
            <w:top w:val="none" w:sz="0" w:space="0" w:color="auto"/>
            <w:left w:val="none" w:sz="0" w:space="0" w:color="auto"/>
            <w:bottom w:val="none" w:sz="0" w:space="0" w:color="auto"/>
            <w:right w:val="none" w:sz="0" w:space="0" w:color="auto"/>
          </w:divBdr>
        </w:div>
        <w:div w:id="1473478250">
          <w:marLeft w:val="0"/>
          <w:marRight w:val="0"/>
          <w:marTop w:val="0"/>
          <w:marBottom w:val="0"/>
          <w:divBdr>
            <w:top w:val="none" w:sz="0" w:space="0" w:color="auto"/>
            <w:left w:val="none" w:sz="0" w:space="0" w:color="auto"/>
            <w:bottom w:val="none" w:sz="0" w:space="0" w:color="auto"/>
            <w:right w:val="none" w:sz="0" w:space="0" w:color="auto"/>
          </w:divBdr>
          <w:divsChild>
            <w:div w:id="324209033">
              <w:marLeft w:val="0"/>
              <w:marRight w:val="0"/>
              <w:marTop w:val="0"/>
              <w:marBottom w:val="0"/>
              <w:divBdr>
                <w:top w:val="none" w:sz="0" w:space="0" w:color="auto"/>
                <w:left w:val="none" w:sz="0" w:space="0" w:color="auto"/>
                <w:bottom w:val="none" w:sz="0" w:space="0" w:color="auto"/>
                <w:right w:val="none" w:sz="0" w:space="0" w:color="auto"/>
              </w:divBdr>
            </w:div>
            <w:div w:id="406080009">
              <w:marLeft w:val="0"/>
              <w:marRight w:val="0"/>
              <w:marTop w:val="0"/>
              <w:marBottom w:val="0"/>
              <w:divBdr>
                <w:top w:val="none" w:sz="0" w:space="0" w:color="auto"/>
                <w:left w:val="none" w:sz="0" w:space="0" w:color="auto"/>
                <w:bottom w:val="none" w:sz="0" w:space="0" w:color="auto"/>
                <w:right w:val="none" w:sz="0" w:space="0" w:color="auto"/>
              </w:divBdr>
            </w:div>
          </w:divsChild>
        </w:div>
        <w:div w:id="1555458983">
          <w:marLeft w:val="0"/>
          <w:marRight w:val="0"/>
          <w:marTop w:val="0"/>
          <w:marBottom w:val="0"/>
          <w:divBdr>
            <w:top w:val="none" w:sz="0" w:space="0" w:color="auto"/>
            <w:left w:val="none" w:sz="0" w:space="0" w:color="auto"/>
            <w:bottom w:val="none" w:sz="0" w:space="0" w:color="auto"/>
            <w:right w:val="none" w:sz="0" w:space="0" w:color="auto"/>
          </w:divBdr>
        </w:div>
        <w:div w:id="1598249777">
          <w:marLeft w:val="0"/>
          <w:marRight w:val="0"/>
          <w:marTop w:val="0"/>
          <w:marBottom w:val="0"/>
          <w:divBdr>
            <w:top w:val="none" w:sz="0" w:space="0" w:color="auto"/>
            <w:left w:val="none" w:sz="0" w:space="0" w:color="auto"/>
            <w:bottom w:val="none" w:sz="0" w:space="0" w:color="auto"/>
            <w:right w:val="none" w:sz="0" w:space="0" w:color="auto"/>
          </w:divBdr>
        </w:div>
        <w:div w:id="1604846823">
          <w:marLeft w:val="0"/>
          <w:marRight w:val="0"/>
          <w:marTop w:val="0"/>
          <w:marBottom w:val="0"/>
          <w:divBdr>
            <w:top w:val="none" w:sz="0" w:space="0" w:color="auto"/>
            <w:left w:val="none" w:sz="0" w:space="0" w:color="auto"/>
            <w:bottom w:val="none" w:sz="0" w:space="0" w:color="auto"/>
            <w:right w:val="none" w:sz="0" w:space="0" w:color="auto"/>
          </w:divBdr>
          <w:divsChild>
            <w:div w:id="8217079">
              <w:marLeft w:val="0"/>
              <w:marRight w:val="0"/>
              <w:marTop w:val="0"/>
              <w:marBottom w:val="0"/>
              <w:divBdr>
                <w:top w:val="none" w:sz="0" w:space="0" w:color="auto"/>
                <w:left w:val="none" w:sz="0" w:space="0" w:color="auto"/>
                <w:bottom w:val="none" w:sz="0" w:space="0" w:color="auto"/>
                <w:right w:val="none" w:sz="0" w:space="0" w:color="auto"/>
              </w:divBdr>
            </w:div>
            <w:div w:id="204030265">
              <w:marLeft w:val="0"/>
              <w:marRight w:val="0"/>
              <w:marTop w:val="0"/>
              <w:marBottom w:val="0"/>
              <w:divBdr>
                <w:top w:val="none" w:sz="0" w:space="0" w:color="auto"/>
                <w:left w:val="none" w:sz="0" w:space="0" w:color="auto"/>
                <w:bottom w:val="none" w:sz="0" w:space="0" w:color="auto"/>
                <w:right w:val="none" w:sz="0" w:space="0" w:color="auto"/>
              </w:divBdr>
            </w:div>
            <w:div w:id="1165440397">
              <w:marLeft w:val="0"/>
              <w:marRight w:val="0"/>
              <w:marTop w:val="0"/>
              <w:marBottom w:val="0"/>
              <w:divBdr>
                <w:top w:val="none" w:sz="0" w:space="0" w:color="auto"/>
                <w:left w:val="none" w:sz="0" w:space="0" w:color="auto"/>
                <w:bottom w:val="none" w:sz="0" w:space="0" w:color="auto"/>
                <w:right w:val="none" w:sz="0" w:space="0" w:color="auto"/>
              </w:divBdr>
            </w:div>
            <w:div w:id="1553662236">
              <w:marLeft w:val="0"/>
              <w:marRight w:val="0"/>
              <w:marTop w:val="0"/>
              <w:marBottom w:val="0"/>
              <w:divBdr>
                <w:top w:val="none" w:sz="0" w:space="0" w:color="auto"/>
                <w:left w:val="none" w:sz="0" w:space="0" w:color="auto"/>
                <w:bottom w:val="none" w:sz="0" w:space="0" w:color="auto"/>
                <w:right w:val="none" w:sz="0" w:space="0" w:color="auto"/>
              </w:divBdr>
            </w:div>
          </w:divsChild>
        </w:div>
        <w:div w:id="1635066519">
          <w:marLeft w:val="0"/>
          <w:marRight w:val="0"/>
          <w:marTop w:val="0"/>
          <w:marBottom w:val="0"/>
          <w:divBdr>
            <w:top w:val="none" w:sz="0" w:space="0" w:color="auto"/>
            <w:left w:val="none" w:sz="0" w:space="0" w:color="auto"/>
            <w:bottom w:val="none" w:sz="0" w:space="0" w:color="auto"/>
            <w:right w:val="none" w:sz="0" w:space="0" w:color="auto"/>
          </w:divBdr>
          <w:divsChild>
            <w:div w:id="321278671">
              <w:marLeft w:val="0"/>
              <w:marRight w:val="0"/>
              <w:marTop w:val="0"/>
              <w:marBottom w:val="0"/>
              <w:divBdr>
                <w:top w:val="none" w:sz="0" w:space="0" w:color="auto"/>
                <w:left w:val="none" w:sz="0" w:space="0" w:color="auto"/>
                <w:bottom w:val="none" w:sz="0" w:space="0" w:color="auto"/>
                <w:right w:val="none" w:sz="0" w:space="0" w:color="auto"/>
              </w:divBdr>
            </w:div>
            <w:div w:id="847451477">
              <w:marLeft w:val="0"/>
              <w:marRight w:val="0"/>
              <w:marTop w:val="0"/>
              <w:marBottom w:val="0"/>
              <w:divBdr>
                <w:top w:val="none" w:sz="0" w:space="0" w:color="auto"/>
                <w:left w:val="none" w:sz="0" w:space="0" w:color="auto"/>
                <w:bottom w:val="none" w:sz="0" w:space="0" w:color="auto"/>
                <w:right w:val="none" w:sz="0" w:space="0" w:color="auto"/>
              </w:divBdr>
            </w:div>
            <w:div w:id="953829844">
              <w:marLeft w:val="0"/>
              <w:marRight w:val="0"/>
              <w:marTop w:val="0"/>
              <w:marBottom w:val="0"/>
              <w:divBdr>
                <w:top w:val="none" w:sz="0" w:space="0" w:color="auto"/>
                <w:left w:val="none" w:sz="0" w:space="0" w:color="auto"/>
                <w:bottom w:val="none" w:sz="0" w:space="0" w:color="auto"/>
                <w:right w:val="none" w:sz="0" w:space="0" w:color="auto"/>
              </w:divBdr>
            </w:div>
            <w:div w:id="1354650371">
              <w:marLeft w:val="0"/>
              <w:marRight w:val="0"/>
              <w:marTop w:val="0"/>
              <w:marBottom w:val="0"/>
              <w:divBdr>
                <w:top w:val="none" w:sz="0" w:space="0" w:color="auto"/>
                <w:left w:val="none" w:sz="0" w:space="0" w:color="auto"/>
                <w:bottom w:val="none" w:sz="0" w:space="0" w:color="auto"/>
                <w:right w:val="none" w:sz="0" w:space="0" w:color="auto"/>
              </w:divBdr>
            </w:div>
            <w:div w:id="1587182171">
              <w:marLeft w:val="0"/>
              <w:marRight w:val="0"/>
              <w:marTop w:val="0"/>
              <w:marBottom w:val="0"/>
              <w:divBdr>
                <w:top w:val="none" w:sz="0" w:space="0" w:color="auto"/>
                <w:left w:val="none" w:sz="0" w:space="0" w:color="auto"/>
                <w:bottom w:val="none" w:sz="0" w:space="0" w:color="auto"/>
                <w:right w:val="none" w:sz="0" w:space="0" w:color="auto"/>
              </w:divBdr>
            </w:div>
          </w:divsChild>
        </w:div>
        <w:div w:id="1734308304">
          <w:marLeft w:val="0"/>
          <w:marRight w:val="0"/>
          <w:marTop w:val="0"/>
          <w:marBottom w:val="0"/>
          <w:divBdr>
            <w:top w:val="none" w:sz="0" w:space="0" w:color="auto"/>
            <w:left w:val="none" w:sz="0" w:space="0" w:color="auto"/>
            <w:bottom w:val="none" w:sz="0" w:space="0" w:color="auto"/>
            <w:right w:val="none" w:sz="0" w:space="0" w:color="auto"/>
          </w:divBdr>
          <w:divsChild>
            <w:div w:id="475026010">
              <w:marLeft w:val="0"/>
              <w:marRight w:val="0"/>
              <w:marTop w:val="0"/>
              <w:marBottom w:val="0"/>
              <w:divBdr>
                <w:top w:val="none" w:sz="0" w:space="0" w:color="auto"/>
                <w:left w:val="none" w:sz="0" w:space="0" w:color="auto"/>
                <w:bottom w:val="none" w:sz="0" w:space="0" w:color="auto"/>
                <w:right w:val="none" w:sz="0" w:space="0" w:color="auto"/>
              </w:divBdr>
            </w:div>
            <w:div w:id="730810464">
              <w:marLeft w:val="0"/>
              <w:marRight w:val="0"/>
              <w:marTop w:val="0"/>
              <w:marBottom w:val="0"/>
              <w:divBdr>
                <w:top w:val="none" w:sz="0" w:space="0" w:color="auto"/>
                <w:left w:val="none" w:sz="0" w:space="0" w:color="auto"/>
                <w:bottom w:val="none" w:sz="0" w:space="0" w:color="auto"/>
                <w:right w:val="none" w:sz="0" w:space="0" w:color="auto"/>
              </w:divBdr>
            </w:div>
            <w:div w:id="1036079119">
              <w:marLeft w:val="0"/>
              <w:marRight w:val="0"/>
              <w:marTop w:val="0"/>
              <w:marBottom w:val="0"/>
              <w:divBdr>
                <w:top w:val="none" w:sz="0" w:space="0" w:color="auto"/>
                <w:left w:val="none" w:sz="0" w:space="0" w:color="auto"/>
                <w:bottom w:val="none" w:sz="0" w:space="0" w:color="auto"/>
                <w:right w:val="none" w:sz="0" w:space="0" w:color="auto"/>
              </w:divBdr>
            </w:div>
            <w:div w:id="1475872766">
              <w:marLeft w:val="0"/>
              <w:marRight w:val="0"/>
              <w:marTop w:val="0"/>
              <w:marBottom w:val="0"/>
              <w:divBdr>
                <w:top w:val="none" w:sz="0" w:space="0" w:color="auto"/>
                <w:left w:val="none" w:sz="0" w:space="0" w:color="auto"/>
                <w:bottom w:val="none" w:sz="0" w:space="0" w:color="auto"/>
                <w:right w:val="none" w:sz="0" w:space="0" w:color="auto"/>
              </w:divBdr>
            </w:div>
            <w:div w:id="2020620661">
              <w:marLeft w:val="0"/>
              <w:marRight w:val="0"/>
              <w:marTop w:val="0"/>
              <w:marBottom w:val="0"/>
              <w:divBdr>
                <w:top w:val="none" w:sz="0" w:space="0" w:color="auto"/>
                <w:left w:val="none" w:sz="0" w:space="0" w:color="auto"/>
                <w:bottom w:val="none" w:sz="0" w:space="0" w:color="auto"/>
                <w:right w:val="none" w:sz="0" w:space="0" w:color="auto"/>
              </w:divBdr>
            </w:div>
          </w:divsChild>
        </w:div>
        <w:div w:id="1900706739">
          <w:marLeft w:val="0"/>
          <w:marRight w:val="0"/>
          <w:marTop w:val="0"/>
          <w:marBottom w:val="0"/>
          <w:divBdr>
            <w:top w:val="none" w:sz="0" w:space="0" w:color="auto"/>
            <w:left w:val="none" w:sz="0" w:space="0" w:color="auto"/>
            <w:bottom w:val="none" w:sz="0" w:space="0" w:color="auto"/>
            <w:right w:val="none" w:sz="0" w:space="0" w:color="auto"/>
          </w:divBdr>
        </w:div>
        <w:div w:id="1922719047">
          <w:marLeft w:val="0"/>
          <w:marRight w:val="0"/>
          <w:marTop w:val="0"/>
          <w:marBottom w:val="0"/>
          <w:divBdr>
            <w:top w:val="none" w:sz="0" w:space="0" w:color="auto"/>
            <w:left w:val="none" w:sz="0" w:space="0" w:color="auto"/>
            <w:bottom w:val="none" w:sz="0" w:space="0" w:color="auto"/>
            <w:right w:val="none" w:sz="0" w:space="0" w:color="auto"/>
          </w:divBdr>
        </w:div>
        <w:div w:id="1929580571">
          <w:marLeft w:val="0"/>
          <w:marRight w:val="0"/>
          <w:marTop w:val="0"/>
          <w:marBottom w:val="0"/>
          <w:divBdr>
            <w:top w:val="none" w:sz="0" w:space="0" w:color="auto"/>
            <w:left w:val="none" w:sz="0" w:space="0" w:color="auto"/>
            <w:bottom w:val="none" w:sz="0" w:space="0" w:color="auto"/>
            <w:right w:val="none" w:sz="0" w:space="0" w:color="auto"/>
          </w:divBdr>
        </w:div>
        <w:div w:id="1979802905">
          <w:marLeft w:val="0"/>
          <w:marRight w:val="0"/>
          <w:marTop w:val="0"/>
          <w:marBottom w:val="0"/>
          <w:divBdr>
            <w:top w:val="none" w:sz="0" w:space="0" w:color="auto"/>
            <w:left w:val="none" w:sz="0" w:space="0" w:color="auto"/>
            <w:bottom w:val="none" w:sz="0" w:space="0" w:color="auto"/>
            <w:right w:val="none" w:sz="0" w:space="0" w:color="auto"/>
          </w:divBdr>
        </w:div>
        <w:div w:id="2045475967">
          <w:marLeft w:val="0"/>
          <w:marRight w:val="0"/>
          <w:marTop w:val="0"/>
          <w:marBottom w:val="0"/>
          <w:divBdr>
            <w:top w:val="none" w:sz="0" w:space="0" w:color="auto"/>
            <w:left w:val="none" w:sz="0" w:space="0" w:color="auto"/>
            <w:bottom w:val="none" w:sz="0" w:space="0" w:color="auto"/>
            <w:right w:val="none" w:sz="0" w:space="0" w:color="auto"/>
          </w:divBdr>
        </w:div>
        <w:div w:id="2048333199">
          <w:marLeft w:val="0"/>
          <w:marRight w:val="0"/>
          <w:marTop w:val="0"/>
          <w:marBottom w:val="0"/>
          <w:divBdr>
            <w:top w:val="none" w:sz="0" w:space="0" w:color="auto"/>
            <w:left w:val="none" w:sz="0" w:space="0" w:color="auto"/>
            <w:bottom w:val="none" w:sz="0" w:space="0" w:color="auto"/>
            <w:right w:val="none" w:sz="0" w:space="0" w:color="auto"/>
          </w:divBdr>
        </w:div>
        <w:div w:id="2141266202">
          <w:marLeft w:val="0"/>
          <w:marRight w:val="0"/>
          <w:marTop w:val="0"/>
          <w:marBottom w:val="0"/>
          <w:divBdr>
            <w:top w:val="none" w:sz="0" w:space="0" w:color="auto"/>
            <w:left w:val="none" w:sz="0" w:space="0" w:color="auto"/>
            <w:bottom w:val="none" w:sz="0" w:space="0" w:color="auto"/>
            <w:right w:val="none" w:sz="0" w:space="0" w:color="auto"/>
          </w:divBdr>
        </w:div>
      </w:divsChild>
    </w:div>
    <w:div w:id="431319340">
      <w:bodyDiv w:val="1"/>
      <w:marLeft w:val="0"/>
      <w:marRight w:val="0"/>
      <w:marTop w:val="0"/>
      <w:marBottom w:val="0"/>
      <w:divBdr>
        <w:top w:val="none" w:sz="0" w:space="0" w:color="auto"/>
        <w:left w:val="none" w:sz="0" w:space="0" w:color="auto"/>
        <w:bottom w:val="none" w:sz="0" w:space="0" w:color="auto"/>
        <w:right w:val="none" w:sz="0" w:space="0" w:color="auto"/>
      </w:divBdr>
    </w:div>
    <w:div w:id="520052444">
      <w:bodyDiv w:val="1"/>
      <w:marLeft w:val="0"/>
      <w:marRight w:val="0"/>
      <w:marTop w:val="0"/>
      <w:marBottom w:val="0"/>
      <w:divBdr>
        <w:top w:val="none" w:sz="0" w:space="0" w:color="auto"/>
        <w:left w:val="none" w:sz="0" w:space="0" w:color="auto"/>
        <w:bottom w:val="none" w:sz="0" w:space="0" w:color="auto"/>
        <w:right w:val="none" w:sz="0" w:space="0" w:color="auto"/>
      </w:divBdr>
    </w:div>
    <w:div w:id="543520438">
      <w:bodyDiv w:val="1"/>
      <w:marLeft w:val="0"/>
      <w:marRight w:val="0"/>
      <w:marTop w:val="0"/>
      <w:marBottom w:val="0"/>
      <w:divBdr>
        <w:top w:val="none" w:sz="0" w:space="0" w:color="auto"/>
        <w:left w:val="none" w:sz="0" w:space="0" w:color="auto"/>
        <w:bottom w:val="none" w:sz="0" w:space="0" w:color="auto"/>
        <w:right w:val="none" w:sz="0" w:space="0" w:color="auto"/>
      </w:divBdr>
    </w:div>
    <w:div w:id="752311772">
      <w:bodyDiv w:val="1"/>
      <w:marLeft w:val="0"/>
      <w:marRight w:val="0"/>
      <w:marTop w:val="0"/>
      <w:marBottom w:val="0"/>
      <w:divBdr>
        <w:top w:val="none" w:sz="0" w:space="0" w:color="auto"/>
        <w:left w:val="none" w:sz="0" w:space="0" w:color="auto"/>
        <w:bottom w:val="none" w:sz="0" w:space="0" w:color="auto"/>
        <w:right w:val="none" w:sz="0" w:space="0" w:color="auto"/>
      </w:divBdr>
      <w:divsChild>
        <w:div w:id="564217426">
          <w:marLeft w:val="0"/>
          <w:marRight w:val="0"/>
          <w:marTop w:val="0"/>
          <w:marBottom w:val="0"/>
          <w:divBdr>
            <w:top w:val="none" w:sz="0" w:space="0" w:color="auto"/>
            <w:left w:val="none" w:sz="0" w:space="0" w:color="auto"/>
            <w:bottom w:val="none" w:sz="0" w:space="0" w:color="auto"/>
            <w:right w:val="none" w:sz="0" w:space="0" w:color="auto"/>
          </w:divBdr>
        </w:div>
        <w:div w:id="820578432">
          <w:marLeft w:val="0"/>
          <w:marRight w:val="0"/>
          <w:marTop w:val="0"/>
          <w:marBottom w:val="0"/>
          <w:divBdr>
            <w:top w:val="none" w:sz="0" w:space="0" w:color="auto"/>
            <w:left w:val="none" w:sz="0" w:space="0" w:color="auto"/>
            <w:bottom w:val="none" w:sz="0" w:space="0" w:color="auto"/>
            <w:right w:val="none" w:sz="0" w:space="0" w:color="auto"/>
          </w:divBdr>
        </w:div>
        <w:div w:id="1032728794">
          <w:marLeft w:val="0"/>
          <w:marRight w:val="0"/>
          <w:marTop w:val="0"/>
          <w:marBottom w:val="0"/>
          <w:divBdr>
            <w:top w:val="none" w:sz="0" w:space="0" w:color="auto"/>
            <w:left w:val="none" w:sz="0" w:space="0" w:color="auto"/>
            <w:bottom w:val="none" w:sz="0" w:space="0" w:color="auto"/>
            <w:right w:val="none" w:sz="0" w:space="0" w:color="auto"/>
          </w:divBdr>
        </w:div>
        <w:div w:id="1062867845">
          <w:marLeft w:val="0"/>
          <w:marRight w:val="0"/>
          <w:marTop w:val="0"/>
          <w:marBottom w:val="0"/>
          <w:divBdr>
            <w:top w:val="none" w:sz="0" w:space="0" w:color="auto"/>
            <w:left w:val="none" w:sz="0" w:space="0" w:color="auto"/>
            <w:bottom w:val="none" w:sz="0" w:space="0" w:color="auto"/>
            <w:right w:val="none" w:sz="0" w:space="0" w:color="auto"/>
          </w:divBdr>
        </w:div>
        <w:div w:id="1221478491">
          <w:marLeft w:val="0"/>
          <w:marRight w:val="0"/>
          <w:marTop w:val="0"/>
          <w:marBottom w:val="0"/>
          <w:divBdr>
            <w:top w:val="none" w:sz="0" w:space="0" w:color="auto"/>
            <w:left w:val="none" w:sz="0" w:space="0" w:color="auto"/>
            <w:bottom w:val="none" w:sz="0" w:space="0" w:color="auto"/>
            <w:right w:val="none" w:sz="0" w:space="0" w:color="auto"/>
          </w:divBdr>
        </w:div>
        <w:div w:id="1609506896">
          <w:marLeft w:val="0"/>
          <w:marRight w:val="0"/>
          <w:marTop w:val="0"/>
          <w:marBottom w:val="0"/>
          <w:divBdr>
            <w:top w:val="none" w:sz="0" w:space="0" w:color="auto"/>
            <w:left w:val="none" w:sz="0" w:space="0" w:color="auto"/>
            <w:bottom w:val="none" w:sz="0" w:space="0" w:color="auto"/>
            <w:right w:val="none" w:sz="0" w:space="0" w:color="auto"/>
          </w:divBdr>
        </w:div>
        <w:div w:id="1774592403">
          <w:marLeft w:val="0"/>
          <w:marRight w:val="0"/>
          <w:marTop w:val="0"/>
          <w:marBottom w:val="0"/>
          <w:divBdr>
            <w:top w:val="none" w:sz="0" w:space="0" w:color="auto"/>
            <w:left w:val="none" w:sz="0" w:space="0" w:color="auto"/>
            <w:bottom w:val="none" w:sz="0" w:space="0" w:color="auto"/>
            <w:right w:val="none" w:sz="0" w:space="0" w:color="auto"/>
          </w:divBdr>
        </w:div>
      </w:divsChild>
    </w:div>
    <w:div w:id="766386226">
      <w:bodyDiv w:val="1"/>
      <w:marLeft w:val="0"/>
      <w:marRight w:val="0"/>
      <w:marTop w:val="0"/>
      <w:marBottom w:val="0"/>
      <w:divBdr>
        <w:top w:val="none" w:sz="0" w:space="0" w:color="auto"/>
        <w:left w:val="none" w:sz="0" w:space="0" w:color="auto"/>
        <w:bottom w:val="none" w:sz="0" w:space="0" w:color="auto"/>
        <w:right w:val="none" w:sz="0" w:space="0" w:color="auto"/>
      </w:divBdr>
      <w:divsChild>
        <w:div w:id="168912524">
          <w:marLeft w:val="0"/>
          <w:marRight w:val="0"/>
          <w:marTop w:val="0"/>
          <w:marBottom w:val="0"/>
          <w:divBdr>
            <w:top w:val="none" w:sz="0" w:space="0" w:color="auto"/>
            <w:left w:val="none" w:sz="0" w:space="0" w:color="auto"/>
            <w:bottom w:val="none" w:sz="0" w:space="0" w:color="auto"/>
            <w:right w:val="none" w:sz="0" w:space="0" w:color="auto"/>
          </w:divBdr>
        </w:div>
        <w:div w:id="400058632">
          <w:marLeft w:val="0"/>
          <w:marRight w:val="0"/>
          <w:marTop w:val="0"/>
          <w:marBottom w:val="0"/>
          <w:divBdr>
            <w:top w:val="none" w:sz="0" w:space="0" w:color="auto"/>
            <w:left w:val="none" w:sz="0" w:space="0" w:color="auto"/>
            <w:bottom w:val="none" w:sz="0" w:space="0" w:color="auto"/>
            <w:right w:val="none" w:sz="0" w:space="0" w:color="auto"/>
          </w:divBdr>
        </w:div>
        <w:div w:id="482043207">
          <w:marLeft w:val="0"/>
          <w:marRight w:val="0"/>
          <w:marTop w:val="0"/>
          <w:marBottom w:val="0"/>
          <w:divBdr>
            <w:top w:val="none" w:sz="0" w:space="0" w:color="auto"/>
            <w:left w:val="none" w:sz="0" w:space="0" w:color="auto"/>
            <w:bottom w:val="none" w:sz="0" w:space="0" w:color="auto"/>
            <w:right w:val="none" w:sz="0" w:space="0" w:color="auto"/>
          </w:divBdr>
        </w:div>
        <w:div w:id="576015200">
          <w:marLeft w:val="0"/>
          <w:marRight w:val="0"/>
          <w:marTop w:val="0"/>
          <w:marBottom w:val="0"/>
          <w:divBdr>
            <w:top w:val="none" w:sz="0" w:space="0" w:color="auto"/>
            <w:left w:val="none" w:sz="0" w:space="0" w:color="auto"/>
            <w:bottom w:val="none" w:sz="0" w:space="0" w:color="auto"/>
            <w:right w:val="none" w:sz="0" w:space="0" w:color="auto"/>
          </w:divBdr>
        </w:div>
        <w:div w:id="1106118921">
          <w:marLeft w:val="0"/>
          <w:marRight w:val="0"/>
          <w:marTop w:val="0"/>
          <w:marBottom w:val="0"/>
          <w:divBdr>
            <w:top w:val="none" w:sz="0" w:space="0" w:color="auto"/>
            <w:left w:val="none" w:sz="0" w:space="0" w:color="auto"/>
            <w:bottom w:val="none" w:sz="0" w:space="0" w:color="auto"/>
            <w:right w:val="none" w:sz="0" w:space="0" w:color="auto"/>
          </w:divBdr>
        </w:div>
        <w:div w:id="1111129317">
          <w:marLeft w:val="0"/>
          <w:marRight w:val="0"/>
          <w:marTop w:val="0"/>
          <w:marBottom w:val="0"/>
          <w:divBdr>
            <w:top w:val="none" w:sz="0" w:space="0" w:color="auto"/>
            <w:left w:val="none" w:sz="0" w:space="0" w:color="auto"/>
            <w:bottom w:val="none" w:sz="0" w:space="0" w:color="auto"/>
            <w:right w:val="none" w:sz="0" w:space="0" w:color="auto"/>
          </w:divBdr>
        </w:div>
        <w:div w:id="1159226746">
          <w:marLeft w:val="0"/>
          <w:marRight w:val="0"/>
          <w:marTop w:val="0"/>
          <w:marBottom w:val="0"/>
          <w:divBdr>
            <w:top w:val="none" w:sz="0" w:space="0" w:color="auto"/>
            <w:left w:val="none" w:sz="0" w:space="0" w:color="auto"/>
            <w:bottom w:val="none" w:sz="0" w:space="0" w:color="auto"/>
            <w:right w:val="none" w:sz="0" w:space="0" w:color="auto"/>
          </w:divBdr>
          <w:divsChild>
            <w:div w:id="153497422">
              <w:marLeft w:val="0"/>
              <w:marRight w:val="0"/>
              <w:marTop w:val="0"/>
              <w:marBottom w:val="0"/>
              <w:divBdr>
                <w:top w:val="none" w:sz="0" w:space="0" w:color="auto"/>
                <w:left w:val="none" w:sz="0" w:space="0" w:color="auto"/>
                <w:bottom w:val="none" w:sz="0" w:space="0" w:color="auto"/>
                <w:right w:val="none" w:sz="0" w:space="0" w:color="auto"/>
              </w:divBdr>
            </w:div>
            <w:div w:id="1007832124">
              <w:marLeft w:val="0"/>
              <w:marRight w:val="0"/>
              <w:marTop w:val="0"/>
              <w:marBottom w:val="0"/>
              <w:divBdr>
                <w:top w:val="none" w:sz="0" w:space="0" w:color="auto"/>
                <w:left w:val="none" w:sz="0" w:space="0" w:color="auto"/>
                <w:bottom w:val="none" w:sz="0" w:space="0" w:color="auto"/>
                <w:right w:val="none" w:sz="0" w:space="0" w:color="auto"/>
              </w:divBdr>
            </w:div>
            <w:div w:id="1657372097">
              <w:marLeft w:val="0"/>
              <w:marRight w:val="0"/>
              <w:marTop w:val="0"/>
              <w:marBottom w:val="0"/>
              <w:divBdr>
                <w:top w:val="none" w:sz="0" w:space="0" w:color="auto"/>
                <w:left w:val="none" w:sz="0" w:space="0" w:color="auto"/>
                <w:bottom w:val="none" w:sz="0" w:space="0" w:color="auto"/>
                <w:right w:val="none" w:sz="0" w:space="0" w:color="auto"/>
              </w:divBdr>
            </w:div>
            <w:div w:id="1790784494">
              <w:marLeft w:val="0"/>
              <w:marRight w:val="0"/>
              <w:marTop w:val="0"/>
              <w:marBottom w:val="0"/>
              <w:divBdr>
                <w:top w:val="none" w:sz="0" w:space="0" w:color="auto"/>
                <w:left w:val="none" w:sz="0" w:space="0" w:color="auto"/>
                <w:bottom w:val="none" w:sz="0" w:space="0" w:color="auto"/>
                <w:right w:val="none" w:sz="0" w:space="0" w:color="auto"/>
              </w:divBdr>
            </w:div>
            <w:div w:id="1889561600">
              <w:marLeft w:val="0"/>
              <w:marRight w:val="0"/>
              <w:marTop w:val="0"/>
              <w:marBottom w:val="0"/>
              <w:divBdr>
                <w:top w:val="none" w:sz="0" w:space="0" w:color="auto"/>
                <w:left w:val="none" w:sz="0" w:space="0" w:color="auto"/>
                <w:bottom w:val="none" w:sz="0" w:space="0" w:color="auto"/>
                <w:right w:val="none" w:sz="0" w:space="0" w:color="auto"/>
              </w:divBdr>
            </w:div>
          </w:divsChild>
        </w:div>
        <w:div w:id="1616712333">
          <w:marLeft w:val="0"/>
          <w:marRight w:val="0"/>
          <w:marTop w:val="0"/>
          <w:marBottom w:val="0"/>
          <w:divBdr>
            <w:top w:val="none" w:sz="0" w:space="0" w:color="auto"/>
            <w:left w:val="none" w:sz="0" w:space="0" w:color="auto"/>
            <w:bottom w:val="none" w:sz="0" w:space="0" w:color="auto"/>
            <w:right w:val="none" w:sz="0" w:space="0" w:color="auto"/>
          </w:divBdr>
          <w:divsChild>
            <w:div w:id="246423242">
              <w:marLeft w:val="0"/>
              <w:marRight w:val="0"/>
              <w:marTop w:val="0"/>
              <w:marBottom w:val="0"/>
              <w:divBdr>
                <w:top w:val="none" w:sz="0" w:space="0" w:color="auto"/>
                <w:left w:val="none" w:sz="0" w:space="0" w:color="auto"/>
                <w:bottom w:val="none" w:sz="0" w:space="0" w:color="auto"/>
                <w:right w:val="none" w:sz="0" w:space="0" w:color="auto"/>
              </w:divBdr>
            </w:div>
            <w:div w:id="501093843">
              <w:marLeft w:val="0"/>
              <w:marRight w:val="0"/>
              <w:marTop w:val="0"/>
              <w:marBottom w:val="0"/>
              <w:divBdr>
                <w:top w:val="none" w:sz="0" w:space="0" w:color="auto"/>
                <w:left w:val="none" w:sz="0" w:space="0" w:color="auto"/>
                <w:bottom w:val="none" w:sz="0" w:space="0" w:color="auto"/>
                <w:right w:val="none" w:sz="0" w:space="0" w:color="auto"/>
              </w:divBdr>
            </w:div>
            <w:div w:id="1303969995">
              <w:marLeft w:val="0"/>
              <w:marRight w:val="0"/>
              <w:marTop w:val="0"/>
              <w:marBottom w:val="0"/>
              <w:divBdr>
                <w:top w:val="none" w:sz="0" w:space="0" w:color="auto"/>
                <w:left w:val="none" w:sz="0" w:space="0" w:color="auto"/>
                <w:bottom w:val="none" w:sz="0" w:space="0" w:color="auto"/>
                <w:right w:val="none" w:sz="0" w:space="0" w:color="auto"/>
              </w:divBdr>
            </w:div>
          </w:divsChild>
        </w:div>
        <w:div w:id="1720284372">
          <w:marLeft w:val="0"/>
          <w:marRight w:val="0"/>
          <w:marTop w:val="0"/>
          <w:marBottom w:val="0"/>
          <w:divBdr>
            <w:top w:val="none" w:sz="0" w:space="0" w:color="auto"/>
            <w:left w:val="none" w:sz="0" w:space="0" w:color="auto"/>
            <w:bottom w:val="none" w:sz="0" w:space="0" w:color="auto"/>
            <w:right w:val="none" w:sz="0" w:space="0" w:color="auto"/>
          </w:divBdr>
        </w:div>
        <w:div w:id="2008052033">
          <w:marLeft w:val="0"/>
          <w:marRight w:val="0"/>
          <w:marTop w:val="0"/>
          <w:marBottom w:val="0"/>
          <w:divBdr>
            <w:top w:val="none" w:sz="0" w:space="0" w:color="auto"/>
            <w:left w:val="none" w:sz="0" w:space="0" w:color="auto"/>
            <w:bottom w:val="none" w:sz="0" w:space="0" w:color="auto"/>
            <w:right w:val="none" w:sz="0" w:space="0" w:color="auto"/>
          </w:divBdr>
        </w:div>
        <w:div w:id="2097752173">
          <w:marLeft w:val="0"/>
          <w:marRight w:val="0"/>
          <w:marTop w:val="0"/>
          <w:marBottom w:val="0"/>
          <w:divBdr>
            <w:top w:val="none" w:sz="0" w:space="0" w:color="auto"/>
            <w:left w:val="none" w:sz="0" w:space="0" w:color="auto"/>
            <w:bottom w:val="none" w:sz="0" w:space="0" w:color="auto"/>
            <w:right w:val="none" w:sz="0" w:space="0" w:color="auto"/>
          </w:divBdr>
        </w:div>
      </w:divsChild>
    </w:div>
    <w:div w:id="915942214">
      <w:bodyDiv w:val="1"/>
      <w:marLeft w:val="0"/>
      <w:marRight w:val="0"/>
      <w:marTop w:val="0"/>
      <w:marBottom w:val="0"/>
      <w:divBdr>
        <w:top w:val="none" w:sz="0" w:space="0" w:color="auto"/>
        <w:left w:val="none" w:sz="0" w:space="0" w:color="auto"/>
        <w:bottom w:val="none" w:sz="0" w:space="0" w:color="auto"/>
        <w:right w:val="none" w:sz="0" w:space="0" w:color="auto"/>
      </w:divBdr>
    </w:div>
    <w:div w:id="1354071239">
      <w:bodyDiv w:val="1"/>
      <w:marLeft w:val="0"/>
      <w:marRight w:val="0"/>
      <w:marTop w:val="0"/>
      <w:marBottom w:val="0"/>
      <w:divBdr>
        <w:top w:val="none" w:sz="0" w:space="0" w:color="auto"/>
        <w:left w:val="none" w:sz="0" w:space="0" w:color="auto"/>
        <w:bottom w:val="none" w:sz="0" w:space="0" w:color="auto"/>
        <w:right w:val="none" w:sz="0" w:space="0" w:color="auto"/>
      </w:divBdr>
    </w:div>
    <w:div w:id="1595092965">
      <w:bodyDiv w:val="1"/>
      <w:marLeft w:val="0"/>
      <w:marRight w:val="0"/>
      <w:marTop w:val="0"/>
      <w:marBottom w:val="0"/>
      <w:divBdr>
        <w:top w:val="none" w:sz="0" w:space="0" w:color="auto"/>
        <w:left w:val="none" w:sz="0" w:space="0" w:color="auto"/>
        <w:bottom w:val="none" w:sz="0" w:space="0" w:color="auto"/>
        <w:right w:val="none" w:sz="0" w:space="0" w:color="auto"/>
      </w:divBdr>
      <w:divsChild>
        <w:div w:id="310250643">
          <w:marLeft w:val="0"/>
          <w:marRight w:val="0"/>
          <w:marTop w:val="0"/>
          <w:marBottom w:val="0"/>
          <w:divBdr>
            <w:top w:val="none" w:sz="0" w:space="0" w:color="auto"/>
            <w:left w:val="none" w:sz="0" w:space="0" w:color="auto"/>
            <w:bottom w:val="none" w:sz="0" w:space="0" w:color="auto"/>
            <w:right w:val="none" w:sz="0" w:space="0" w:color="auto"/>
          </w:divBdr>
        </w:div>
        <w:div w:id="315644568">
          <w:marLeft w:val="0"/>
          <w:marRight w:val="0"/>
          <w:marTop w:val="0"/>
          <w:marBottom w:val="0"/>
          <w:divBdr>
            <w:top w:val="none" w:sz="0" w:space="0" w:color="auto"/>
            <w:left w:val="none" w:sz="0" w:space="0" w:color="auto"/>
            <w:bottom w:val="none" w:sz="0" w:space="0" w:color="auto"/>
            <w:right w:val="none" w:sz="0" w:space="0" w:color="auto"/>
          </w:divBdr>
        </w:div>
        <w:div w:id="1011446478">
          <w:marLeft w:val="0"/>
          <w:marRight w:val="0"/>
          <w:marTop w:val="0"/>
          <w:marBottom w:val="0"/>
          <w:divBdr>
            <w:top w:val="none" w:sz="0" w:space="0" w:color="auto"/>
            <w:left w:val="none" w:sz="0" w:space="0" w:color="auto"/>
            <w:bottom w:val="none" w:sz="0" w:space="0" w:color="auto"/>
            <w:right w:val="none" w:sz="0" w:space="0" w:color="auto"/>
          </w:divBdr>
        </w:div>
        <w:div w:id="1011567684">
          <w:marLeft w:val="0"/>
          <w:marRight w:val="0"/>
          <w:marTop w:val="0"/>
          <w:marBottom w:val="0"/>
          <w:divBdr>
            <w:top w:val="none" w:sz="0" w:space="0" w:color="auto"/>
            <w:left w:val="none" w:sz="0" w:space="0" w:color="auto"/>
            <w:bottom w:val="none" w:sz="0" w:space="0" w:color="auto"/>
            <w:right w:val="none" w:sz="0" w:space="0" w:color="auto"/>
          </w:divBdr>
        </w:div>
        <w:div w:id="1708408506">
          <w:marLeft w:val="0"/>
          <w:marRight w:val="0"/>
          <w:marTop w:val="0"/>
          <w:marBottom w:val="0"/>
          <w:divBdr>
            <w:top w:val="none" w:sz="0" w:space="0" w:color="auto"/>
            <w:left w:val="none" w:sz="0" w:space="0" w:color="auto"/>
            <w:bottom w:val="none" w:sz="0" w:space="0" w:color="auto"/>
            <w:right w:val="none" w:sz="0" w:space="0" w:color="auto"/>
          </w:divBdr>
        </w:div>
        <w:div w:id="1825395529">
          <w:marLeft w:val="0"/>
          <w:marRight w:val="0"/>
          <w:marTop w:val="0"/>
          <w:marBottom w:val="0"/>
          <w:divBdr>
            <w:top w:val="none" w:sz="0" w:space="0" w:color="auto"/>
            <w:left w:val="none" w:sz="0" w:space="0" w:color="auto"/>
            <w:bottom w:val="none" w:sz="0" w:space="0" w:color="auto"/>
            <w:right w:val="none" w:sz="0" w:space="0" w:color="auto"/>
          </w:divBdr>
        </w:div>
        <w:div w:id="1892767528">
          <w:marLeft w:val="0"/>
          <w:marRight w:val="0"/>
          <w:marTop w:val="0"/>
          <w:marBottom w:val="0"/>
          <w:divBdr>
            <w:top w:val="none" w:sz="0" w:space="0" w:color="auto"/>
            <w:left w:val="none" w:sz="0" w:space="0" w:color="auto"/>
            <w:bottom w:val="none" w:sz="0" w:space="0" w:color="auto"/>
            <w:right w:val="none" w:sz="0" w:space="0" w:color="auto"/>
          </w:divBdr>
        </w:div>
      </w:divsChild>
    </w:div>
    <w:div w:id="1613366891">
      <w:bodyDiv w:val="1"/>
      <w:marLeft w:val="0"/>
      <w:marRight w:val="0"/>
      <w:marTop w:val="0"/>
      <w:marBottom w:val="0"/>
      <w:divBdr>
        <w:top w:val="none" w:sz="0" w:space="0" w:color="auto"/>
        <w:left w:val="none" w:sz="0" w:space="0" w:color="auto"/>
        <w:bottom w:val="none" w:sz="0" w:space="0" w:color="auto"/>
        <w:right w:val="none" w:sz="0" w:space="0" w:color="auto"/>
      </w:divBdr>
      <w:divsChild>
        <w:div w:id="104472905">
          <w:marLeft w:val="0"/>
          <w:marRight w:val="0"/>
          <w:marTop w:val="0"/>
          <w:marBottom w:val="0"/>
          <w:divBdr>
            <w:top w:val="none" w:sz="0" w:space="0" w:color="auto"/>
            <w:left w:val="none" w:sz="0" w:space="0" w:color="auto"/>
            <w:bottom w:val="none" w:sz="0" w:space="0" w:color="auto"/>
            <w:right w:val="none" w:sz="0" w:space="0" w:color="auto"/>
          </w:divBdr>
        </w:div>
        <w:div w:id="121655107">
          <w:marLeft w:val="0"/>
          <w:marRight w:val="0"/>
          <w:marTop w:val="0"/>
          <w:marBottom w:val="0"/>
          <w:divBdr>
            <w:top w:val="none" w:sz="0" w:space="0" w:color="auto"/>
            <w:left w:val="none" w:sz="0" w:space="0" w:color="auto"/>
            <w:bottom w:val="none" w:sz="0" w:space="0" w:color="auto"/>
            <w:right w:val="none" w:sz="0" w:space="0" w:color="auto"/>
          </w:divBdr>
        </w:div>
        <w:div w:id="630552316">
          <w:marLeft w:val="0"/>
          <w:marRight w:val="0"/>
          <w:marTop w:val="0"/>
          <w:marBottom w:val="0"/>
          <w:divBdr>
            <w:top w:val="none" w:sz="0" w:space="0" w:color="auto"/>
            <w:left w:val="none" w:sz="0" w:space="0" w:color="auto"/>
            <w:bottom w:val="none" w:sz="0" w:space="0" w:color="auto"/>
            <w:right w:val="none" w:sz="0" w:space="0" w:color="auto"/>
          </w:divBdr>
        </w:div>
        <w:div w:id="1059326459">
          <w:marLeft w:val="0"/>
          <w:marRight w:val="0"/>
          <w:marTop w:val="0"/>
          <w:marBottom w:val="0"/>
          <w:divBdr>
            <w:top w:val="none" w:sz="0" w:space="0" w:color="auto"/>
            <w:left w:val="none" w:sz="0" w:space="0" w:color="auto"/>
            <w:bottom w:val="none" w:sz="0" w:space="0" w:color="auto"/>
            <w:right w:val="none" w:sz="0" w:space="0" w:color="auto"/>
          </w:divBdr>
        </w:div>
        <w:div w:id="1445074519">
          <w:marLeft w:val="0"/>
          <w:marRight w:val="0"/>
          <w:marTop w:val="0"/>
          <w:marBottom w:val="0"/>
          <w:divBdr>
            <w:top w:val="none" w:sz="0" w:space="0" w:color="auto"/>
            <w:left w:val="none" w:sz="0" w:space="0" w:color="auto"/>
            <w:bottom w:val="none" w:sz="0" w:space="0" w:color="auto"/>
            <w:right w:val="none" w:sz="0" w:space="0" w:color="auto"/>
          </w:divBdr>
        </w:div>
        <w:div w:id="1963001363">
          <w:marLeft w:val="0"/>
          <w:marRight w:val="0"/>
          <w:marTop w:val="0"/>
          <w:marBottom w:val="0"/>
          <w:divBdr>
            <w:top w:val="none" w:sz="0" w:space="0" w:color="auto"/>
            <w:left w:val="none" w:sz="0" w:space="0" w:color="auto"/>
            <w:bottom w:val="none" w:sz="0" w:space="0" w:color="auto"/>
            <w:right w:val="none" w:sz="0" w:space="0" w:color="auto"/>
          </w:divBdr>
        </w:div>
      </w:divsChild>
    </w:div>
    <w:div w:id="1691681584">
      <w:bodyDiv w:val="1"/>
      <w:marLeft w:val="0"/>
      <w:marRight w:val="0"/>
      <w:marTop w:val="0"/>
      <w:marBottom w:val="0"/>
      <w:divBdr>
        <w:top w:val="none" w:sz="0" w:space="0" w:color="auto"/>
        <w:left w:val="none" w:sz="0" w:space="0" w:color="auto"/>
        <w:bottom w:val="none" w:sz="0" w:space="0" w:color="auto"/>
        <w:right w:val="none" w:sz="0" w:space="0" w:color="auto"/>
      </w:divBdr>
      <w:divsChild>
        <w:div w:id="7736">
          <w:marLeft w:val="0"/>
          <w:marRight w:val="0"/>
          <w:marTop w:val="0"/>
          <w:marBottom w:val="0"/>
          <w:divBdr>
            <w:top w:val="none" w:sz="0" w:space="0" w:color="auto"/>
            <w:left w:val="none" w:sz="0" w:space="0" w:color="auto"/>
            <w:bottom w:val="none" w:sz="0" w:space="0" w:color="auto"/>
            <w:right w:val="none" w:sz="0" w:space="0" w:color="auto"/>
          </w:divBdr>
          <w:divsChild>
            <w:div w:id="604847348">
              <w:marLeft w:val="0"/>
              <w:marRight w:val="0"/>
              <w:marTop w:val="0"/>
              <w:marBottom w:val="0"/>
              <w:divBdr>
                <w:top w:val="none" w:sz="0" w:space="0" w:color="auto"/>
                <w:left w:val="none" w:sz="0" w:space="0" w:color="auto"/>
                <w:bottom w:val="none" w:sz="0" w:space="0" w:color="auto"/>
                <w:right w:val="none" w:sz="0" w:space="0" w:color="auto"/>
              </w:divBdr>
            </w:div>
            <w:div w:id="1077172557">
              <w:marLeft w:val="0"/>
              <w:marRight w:val="0"/>
              <w:marTop w:val="0"/>
              <w:marBottom w:val="0"/>
              <w:divBdr>
                <w:top w:val="none" w:sz="0" w:space="0" w:color="auto"/>
                <w:left w:val="none" w:sz="0" w:space="0" w:color="auto"/>
                <w:bottom w:val="none" w:sz="0" w:space="0" w:color="auto"/>
                <w:right w:val="none" w:sz="0" w:space="0" w:color="auto"/>
              </w:divBdr>
            </w:div>
            <w:div w:id="1175801092">
              <w:marLeft w:val="0"/>
              <w:marRight w:val="0"/>
              <w:marTop w:val="0"/>
              <w:marBottom w:val="0"/>
              <w:divBdr>
                <w:top w:val="none" w:sz="0" w:space="0" w:color="auto"/>
                <w:left w:val="none" w:sz="0" w:space="0" w:color="auto"/>
                <w:bottom w:val="none" w:sz="0" w:space="0" w:color="auto"/>
                <w:right w:val="none" w:sz="0" w:space="0" w:color="auto"/>
              </w:divBdr>
            </w:div>
            <w:div w:id="1608005614">
              <w:marLeft w:val="0"/>
              <w:marRight w:val="0"/>
              <w:marTop w:val="0"/>
              <w:marBottom w:val="0"/>
              <w:divBdr>
                <w:top w:val="none" w:sz="0" w:space="0" w:color="auto"/>
                <w:left w:val="none" w:sz="0" w:space="0" w:color="auto"/>
                <w:bottom w:val="none" w:sz="0" w:space="0" w:color="auto"/>
                <w:right w:val="none" w:sz="0" w:space="0" w:color="auto"/>
              </w:divBdr>
            </w:div>
            <w:div w:id="1798062103">
              <w:marLeft w:val="0"/>
              <w:marRight w:val="0"/>
              <w:marTop w:val="0"/>
              <w:marBottom w:val="0"/>
              <w:divBdr>
                <w:top w:val="none" w:sz="0" w:space="0" w:color="auto"/>
                <w:left w:val="none" w:sz="0" w:space="0" w:color="auto"/>
                <w:bottom w:val="none" w:sz="0" w:space="0" w:color="auto"/>
                <w:right w:val="none" w:sz="0" w:space="0" w:color="auto"/>
              </w:divBdr>
            </w:div>
          </w:divsChild>
        </w:div>
        <w:div w:id="77753600">
          <w:marLeft w:val="0"/>
          <w:marRight w:val="0"/>
          <w:marTop w:val="0"/>
          <w:marBottom w:val="0"/>
          <w:divBdr>
            <w:top w:val="none" w:sz="0" w:space="0" w:color="auto"/>
            <w:left w:val="none" w:sz="0" w:space="0" w:color="auto"/>
            <w:bottom w:val="none" w:sz="0" w:space="0" w:color="auto"/>
            <w:right w:val="none" w:sz="0" w:space="0" w:color="auto"/>
          </w:divBdr>
        </w:div>
        <w:div w:id="95292068">
          <w:marLeft w:val="0"/>
          <w:marRight w:val="0"/>
          <w:marTop w:val="0"/>
          <w:marBottom w:val="0"/>
          <w:divBdr>
            <w:top w:val="none" w:sz="0" w:space="0" w:color="auto"/>
            <w:left w:val="none" w:sz="0" w:space="0" w:color="auto"/>
            <w:bottom w:val="none" w:sz="0" w:space="0" w:color="auto"/>
            <w:right w:val="none" w:sz="0" w:space="0" w:color="auto"/>
          </w:divBdr>
        </w:div>
        <w:div w:id="127557741">
          <w:marLeft w:val="0"/>
          <w:marRight w:val="0"/>
          <w:marTop w:val="0"/>
          <w:marBottom w:val="0"/>
          <w:divBdr>
            <w:top w:val="none" w:sz="0" w:space="0" w:color="auto"/>
            <w:left w:val="none" w:sz="0" w:space="0" w:color="auto"/>
            <w:bottom w:val="none" w:sz="0" w:space="0" w:color="auto"/>
            <w:right w:val="none" w:sz="0" w:space="0" w:color="auto"/>
          </w:divBdr>
          <w:divsChild>
            <w:div w:id="72550671">
              <w:marLeft w:val="0"/>
              <w:marRight w:val="0"/>
              <w:marTop w:val="0"/>
              <w:marBottom w:val="0"/>
              <w:divBdr>
                <w:top w:val="none" w:sz="0" w:space="0" w:color="auto"/>
                <w:left w:val="none" w:sz="0" w:space="0" w:color="auto"/>
                <w:bottom w:val="none" w:sz="0" w:space="0" w:color="auto"/>
                <w:right w:val="none" w:sz="0" w:space="0" w:color="auto"/>
              </w:divBdr>
            </w:div>
            <w:div w:id="193035426">
              <w:marLeft w:val="0"/>
              <w:marRight w:val="0"/>
              <w:marTop w:val="0"/>
              <w:marBottom w:val="0"/>
              <w:divBdr>
                <w:top w:val="none" w:sz="0" w:space="0" w:color="auto"/>
                <w:left w:val="none" w:sz="0" w:space="0" w:color="auto"/>
                <w:bottom w:val="none" w:sz="0" w:space="0" w:color="auto"/>
                <w:right w:val="none" w:sz="0" w:space="0" w:color="auto"/>
              </w:divBdr>
            </w:div>
            <w:div w:id="246112812">
              <w:marLeft w:val="0"/>
              <w:marRight w:val="0"/>
              <w:marTop w:val="0"/>
              <w:marBottom w:val="0"/>
              <w:divBdr>
                <w:top w:val="none" w:sz="0" w:space="0" w:color="auto"/>
                <w:left w:val="none" w:sz="0" w:space="0" w:color="auto"/>
                <w:bottom w:val="none" w:sz="0" w:space="0" w:color="auto"/>
                <w:right w:val="none" w:sz="0" w:space="0" w:color="auto"/>
              </w:divBdr>
            </w:div>
            <w:div w:id="1179733598">
              <w:marLeft w:val="0"/>
              <w:marRight w:val="0"/>
              <w:marTop w:val="0"/>
              <w:marBottom w:val="0"/>
              <w:divBdr>
                <w:top w:val="none" w:sz="0" w:space="0" w:color="auto"/>
                <w:left w:val="none" w:sz="0" w:space="0" w:color="auto"/>
                <w:bottom w:val="none" w:sz="0" w:space="0" w:color="auto"/>
                <w:right w:val="none" w:sz="0" w:space="0" w:color="auto"/>
              </w:divBdr>
            </w:div>
            <w:div w:id="1905294489">
              <w:marLeft w:val="0"/>
              <w:marRight w:val="0"/>
              <w:marTop w:val="0"/>
              <w:marBottom w:val="0"/>
              <w:divBdr>
                <w:top w:val="none" w:sz="0" w:space="0" w:color="auto"/>
                <w:left w:val="none" w:sz="0" w:space="0" w:color="auto"/>
                <w:bottom w:val="none" w:sz="0" w:space="0" w:color="auto"/>
                <w:right w:val="none" w:sz="0" w:space="0" w:color="auto"/>
              </w:divBdr>
            </w:div>
          </w:divsChild>
        </w:div>
        <w:div w:id="133447306">
          <w:marLeft w:val="0"/>
          <w:marRight w:val="0"/>
          <w:marTop w:val="0"/>
          <w:marBottom w:val="0"/>
          <w:divBdr>
            <w:top w:val="none" w:sz="0" w:space="0" w:color="auto"/>
            <w:left w:val="none" w:sz="0" w:space="0" w:color="auto"/>
            <w:bottom w:val="none" w:sz="0" w:space="0" w:color="auto"/>
            <w:right w:val="none" w:sz="0" w:space="0" w:color="auto"/>
          </w:divBdr>
          <w:divsChild>
            <w:div w:id="112867495">
              <w:marLeft w:val="0"/>
              <w:marRight w:val="0"/>
              <w:marTop w:val="0"/>
              <w:marBottom w:val="0"/>
              <w:divBdr>
                <w:top w:val="none" w:sz="0" w:space="0" w:color="auto"/>
                <w:left w:val="none" w:sz="0" w:space="0" w:color="auto"/>
                <w:bottom w:val="none" w:sz="0" w:space="0" w:color="auto"/>
                <w:right w:val="none" w:sz="0" w:space="0" w:color="auto"/>
              </w:divBdr>
            </w:div>
            <w:div w:id="872688493">
              <w:marLeft w:val="0"/>
              <w:marRight w:val="0"/>
              <w:marTop w:val="0"/>
              <w:marBottom w:val="0"/>
              <w:divBdr>
                <w:top w:val="none" w:sz="0" w:space="0" w:color="auto"/>
                <w:left w:val="none" w:sz="0" w:space="0" w:color="auto"/>
                <w:bottom w:val="none" w:sz="0" w:space="0" w:color="auto"/>
                <w:right w:val="none" w:sz="0" w:space="0" w:color="auto"/>
              </w:divBdr>
            </w:div>
            <w:div w:id="1108311669">
              <w:marLeft w:val="0"/>
              <w:marRight w:val="0"/>
              <w:marTop w:val="0"/>
              <w:marBottom w:val="0"/>
              <w:divBdr>
                <w:top w:val="none" w:sz="0" w:space="0" w:color="auto"/>
                <w:left w:val="none" w:sz="0" w:space="0" w:color="auto"/>
                <w:bottom w:val="none" w:sz="0" w:space="0" w:color="auto"/>
                <w:right w:val="none" w:sz="0" w:space="0" w:color="auto"/>
              </w:divBdr>
            </w:div>
            <w:div w:id="1373311062">
              <w:marLeft w:val="0"/>
              <w:marRight w:val="0"/>
              <w:marTop w:val="0"/>
              <w:marBottom w:val="0"/>
              <w:divBdr>
                <w:top w:val="none" w:sz="0" w:space="0" w:color="auto"/>
                <w:left w:val="none" w:sz="0" w:space="0" w:color="auto"/>
                <w:bottom w:val="none" w:sz="0" w:space="0" w:color="auto"/>
                <w:right w:val="none" w:sz="0" w:space="0" w:color="auto"/>
              </w:divBdr>
            </w:div>
          </w:divsChild>
        </w:div>
        <w:div w:id="143205035">
          <w:marLeft w:val="0"/>
          <w:marRight w:val="0"/>
          <w:marTop w:val="0"/>
          <w:marBottom w:val="0"/>
          <w:divBdr>
            <w:top w:val="none" w:sz="0" w:space="0" w:color="auto"/>
            <w:left w:val="none" w:sz="0" w:space="0" w:color="auto"/>
            <w:bottom w:val="none" w:sz="0" w:space="0" w:color="auto"/>
            <w:right w:val="none" w:sz="0" w:space="0" w:color="auto"/>
          </w:divBdr>
          <w:divsChild>
            <w:div w:id="111175150">
              <w:marLeft w:val="0"/>
              <w:marRight w:val="0"/>
              <w:marTop w:val="0"/>
              <w:marBottom w:val="0"/>
              <w:divBdr>
                <w:top w:val="none" w:sz="0" w:space="0" w:color="auto"/>
                <w:left w:val="none" w:sz="0" w:space="0" w:color="auto"/>
                <w:bottom w:val="none" w:sz="0" w:space="0" w:color="auto"/>
                <w:right w:val="none" w:sz="0" w:space="0" w:color="auto"/>
              </w:divBdr>
            </w:div>
            <w:div w:id="1160729903">
              <w:marLeft w:val="0"/>
              <w:marRight w:val="0"/>
              <w:marTop w:val="0"/>
              <w:marBottom w:val="0"/>
              <w:divBdr>
                <w:top w:val="none" w:sz="0" w:space="0" w:color="auto"/>
                <w:left w:val="none" w:sz="0" w:space="0" w:color="auto"/>
                <w:bottom w:val="none" w:sz="0" w:space="0" w:color="auto"/>
                <w:right w:val="none" w:sz="0" w:space="0" w:color="auto"/>
              </w:divBdr>
            </w:div>
            <w:div w:id="1975939644">
              <w:marLeft w:val="0"/>
              <w:marRight w:val="0"/>
              <w:marTop w:val="0"/>
              <w:marBottom w:val="0"/>
              <w:divBdr>
                <w:top w:val="none" w:sz="0" w:space="0" w:color="auto"/>
                <w:left w:val="none" w:sz="0" w:space="0" w:color="auto"/>
                <w:bottom w:val="none" w:sz="0" w:space="0" w:color="auto"/>
                <w:right w:val="none" w:sz="0" w:space="0" w:color="auto"/>
              </w:divBdr>
            </w:div>
            <w:div w:id="2118941289">
              <w:marLeft w:val="0"/>
              <w:marRight w:val="0"/>
              <w:marTop w:val="0"/>
              <w:marBottom w:val="0"/>
              <w:divBdr>
                <w:top w:val="none" w:sz="0" w:space="0" w:color="auto"/>
                <w:left w:val="none" w:sz="0" w:space="0" w:color="auto"/>
                <w:bottom w:val="none" w:sz="0" w:space="0" w:color="auto"/>
                <w:right w:val="none" w:sz="0" w:space="0" w:color="auto"/>
              </w:divBdr>
            </w:div>
          </w:divsChild>
        </w:div>
        <w:div w:id="188031786">
          <w:marLeft w:val="0"/>
          <w:marRight w:val="0"/>
          <w:marTop w:val="0"/>
          <w:marBottom w:val="0"/>
          <w:divBdr>
            <w:top w:val="none" w:sz="0" w:space="0" w:color="auto"/>
            <w:left w:val="none" w:sz="0" w:space="0" w:color="auto"/>
            <w:bottom w:val="none" w:sz="0" w:space="0" w:color="auto"/>
            <w:right w:val="none" w:sz="0" w:space="0" w:color="auto"/>
          </w:divBdr>
        </w:div>
        <w:div w:id="311563843">
          <w:marLeft w:val="0"/>
          <w:marRight w:val="0"/>
          <w:marTop w:val="0"/>
          <w:marBottom w:val="0"/>
          <w:divBdr>
            <w:top w:val="none" w:sz="0" w:space="0" w:color="auto"/>
            <w:left w:val="none" w:sz="0" w:space="0" w:color="auto"/>
            <w:bottom w:val="none" w:sz="0" w:space="0" w:color="auto"/>
            <w:right w:val="none" w:sz="0" w:space="0" w:color="auto"/>
          </w:divBdr>
        </w:div>
        <w:div w:id="368842144">
          <w:marLeft w:val="0"/>
          <w:marRight w:val="0"/>
          <w:marTop w:val="0"/>
          <w:marBottom w:val="0"/>
          <w:divBdr>
            <w:top w:val="none" w:sz="0" w:space="0" w:color="auto"/>
            <w:left w:val="none" w:sz="0" w:space="0" w:color="auto"/>
            <w:bottom w:val="none" w:sz="0" w:space="0" w:color="auto"/>
            <w:right w:val="none" w:sz="0" w:space="0" w:color="auto"/>
          </w:divBdr>
        </w:div>
        <w:div w:id="386537291">
          <w:marLeft w:val="0"/>
          <w:marRight w:val="0"/>
          <w:marTop w:val="0"/>
          <w:marBottom w:val="0"/>
          <w:divBdr>
            <w:top w:val="none" w:sz="0" w:space="0" w:color="auto"/>
            <w:left w:val="none" w:sz="0" w:space="0" w:color="auto"/>
            <w:bottom w:val="none" w:sz="0" w:space="0" w:color="auto"/>
            <w:right w:val="none" w:sz="0" w:space="0" w:color="auto"/>
          </w:divBdr>
        </w:div>
        <w:div w:id="399406559">
          <w:marLeft w:val="0"/>
          <w:marRight w:val="0"/>
          <w:marTop w:val="0"/>
          <w:marBottom w:val="0"/>
          <w:divBdr>
            <w:top w:val="none" w:sz="0" w:space="0" w:color="auto"/>
            <w:left w:val="none" w:sz="0" w:space="0" w:color="auto"/>
            <w:bottom w:val="none" w:sz="0" w:space="0" w:color="auto"/>
            <w:right w:val="none" w:sz="0" w:space="0" w:color="auto"/>
          </w:divBdr>
        </w:div>
        <w:div w:id="408618529">
          <w:marLeft w:val="0"/>
          <w:marRight w:val="0"/>
          <w:marTop w:val="0"/>
          <w:marBottom w:val="0"/>
          <w:divBdr>
            <w:top w:val="none" w:sz="0" w:space="0" w:color="auto"/>
            <w:left w:val="none" w:sz="0" w:space="0" w:color="auto"/>
            <w:bottom w:val="none" w:sz="0" w:space="0" w:color="auto"/>
            <w:right w:val="none" w:sz="0" w:space="0" w:color="auto"/>
          </w:divBdr>
        </w:div>
        <w:div w:id="464469739">
          <w:marLeft w:val="0"/>
          <w:marRight w:val="0"/>
          <w:marTop w:val="0"/>
          <w:marBottom w:val="0"/>
          <w:divBdr>
            <w:top w:val="none" w:sz="0" w:space="0" w:color="auto"/>
            <w:left w:val="none" w:sz="0" w:space="0" w:color="auto"/>
            <w:bottom w:val="none" w:sz="0" w:space="0" w:color="auto"/>
            <w:right w:val="none" w:sz="0" w:space="0" w:color="auto"/>
          </w:divBdr>
        </w:div>
        <w:div w:id="509486201">
          <w:marLeft w:val="0"/>
          <w:marRight w:val="0"/>
          <w:marTop w:val="0"/>
          <w:marBottom w:val="0"/>
          <w:divBdr>
            <w:top w:val="none" w:sz="0" w:space="0" w:color="auto"/>
            <w:left w:val="none" w:sz="0" w:space="0" w:color="auto"/>
            <w:bottom w:val="none" w:sz="0" w:space="0" w:color="auto"/>
            <w:right w:val="none" w:sz="0" w:space="0" w:color="auto"/>
          </w:divBdr>
        </w:div>
        <w:div w:id="518278878">
          <w:marLeft w:val="0"/>
          <w:marRight w:val="0"/>
          <w:marTop w:val="0"/>
          <w:marBottom w:val="0"/>
          <w:divBdr>
            <w:top w:val="none" w:sz="0" w:space="0" w:color="auto"/>
            <w:left w:val="none" w:sz="0" w:space="0" w:color="auto"/>
            <w:bottom w:val="none" w:sz="0" w:space="0" w:color="auto"/>
            <w:right w:val="none" w:sz="0" w:space="0" w:color="auto"/>
          </w:divBdr>
        </w:div>
        <w:div w:id="550073918">
          <w:marLeft w:val="0"/>
          <w:marRight w:val="0"/>
          <w:marTop w:val="0"/>
          <w:marBottom w:val="0"/>
          <w:divBdr>
            <w:top w:val="none" w:sz="0" w:space="0" w:color="auto"/>
            <w:left w:val="none" w:sz="0" w:space="0" w:color="auto"/>
            <w:bottom w:val="none" w:sz="0" w:space="0" w:color="auto"/>
            <w:right w:val="none" w:sz="0" w:space="0" w:color="auto"/>
          </w:divBdr>
        </w:div>
        <w:div w:id="670789948">
          <w:marLeft w:val="0"/>
          <w:marRight w:val="0"/>
          <w:marTop w:val="0"/>
          <w:marBottom w:val="0"/>
          <w:divBdr>
            <w:top w:val="none" w:sz="0" w:space="0" w:color="auto"/>
            <w:left w:val="none" w:sz="0" w:space="0" w:color="auto"/>
            <w:bottom w:val="none" w:sz="0" w:space="0" w:color="auto"/>
            <w:right w:val="none" w:sz="0" w:space="0" w:color="auto"/>
          </w:divBdr>
        </w:div>
        <w:div w:id="725186004">
          <w:marLeft w:val="0"/>
          <w:marRight w:val="0"/>
          <w:marTop w:val="0"/>
          <w:marBottom w:val="0"/>
          <w:divBdr>
            <w:top w:val="none" w:sz="0" w:space="0" w:color="auto"/>
            <w:left w:val="none" w:sz="0" w:space="0" w:color="auto"/>
            <w:bottom w:val="none" w:sz="0" w:space="0" w:color="auto"/>
            <w:right w:val="none" w:sz="0" w:space="0" w:color="auto"/>
          </w:divBdr>
          <w:divsChild>
            <w:div w:id="148139017">
              <w:marLeft w:val="0"/>
              <w:marRight w:val="0"/>
              <w:marTop w:val="0"/>
              <w:marBottom w:val="0"/>
              <w:divBdr>
                <w:top w:val="none" w:sz="0" w:space="0" w:color="auto"/>
                <w:left w:val="none" w:sz="0" w:space="0" w:color="auto"/>
                <w:bottom w:val="none" w:sz="0" w:space="0" w:color="auto"/>
                <w:right w:val="none" w:sz="0" w:space="0" w:color="auto"/>
              </w:divBdr>
            </w:div>
            <w:div w:id="537355809">
              <w:marLeft w:val="0"/>
              <w:marRight w:val="0"/>
              <w:marTop w:val="0"/>
              <w:marBottom w:val="0"/>
              <w:divBdr>
                <w:top w:val="none" w:sz="0" w:space="0" w:color="auto"/>
                <w:left w:val="none" w:sz="0" w:space="0" w:color="auto"/>
                <w:bottom w:val="none" w:sz="0" w:space="0" w:color="auto"/>
                <w:right w:val="none" w:sz="0" w:space="0" w:color="auto"/>
              </w:divBdr>
            </w:div>
            <w:div w:id="765229512">
              <w:marLeft w:val="0"/>
              <w:marRight w:val="0"/>
              <w:marTop w:val="0"/>
              <w:marBottom w:val="0"/>
              <w:divBdr>
                <w:top w:val="none" w:sz="0" w:space="0" w:color="auto"/>
                <w:left w:val="none" w:sz="0" w:space="0" w:color="auto"/>
                <w:bottom w:val="none" w:sz="0" w:space="0" w:color="auto"/>
                <w:right w:val="none" w:sz="0" w:space="0" w:color="auto"/>
              </w:divBdr>
            </w:div>
            <w:div w:id="1175266271">
              <w:marLeft w:val="0"/>
              <w:marRight w:val="0"/>
              <w:marTop w:val="0"/>
              <w:marBottom w:val="0"/>
              <w:divBdr>
                <w:top w:val="none" w:sz="0" w:space="0" w:color="auto"/>
                <w:left w:val="none" w:sz="0" w:space="0" w:color="auto"/>
                <w:bottom w:val="none" w:sz="0" w:space="0" w:color="auto"/>
                <w:right w:val="none" w:sz="0" w:space="0" w:color="auto"/>
              </w:divBdr>
            </w:div>
            <w:div w:id="1866477538">
              <w:marLeft w:val="0"/>
              <w:marRight w:val="0"/>
              <w:marTop w:val="0"/>
              <w:marBottom w:val="0"/>
              <w:divBdr>
                <w:top w:val="none" w:sz="0" w:space="0" w:color="auto"/>
                <w:left w:val="none" w:sz="0" w:space="0" w:color="auto"/>
                <w:bottom w:val="none" w:sz="0" w:space="0" w:color="auto"/>
                <w:right w:val="none" w:sz="0" w:space="0" w:color="auto"/>
              </w:divBdr>
            </w:div>
          </w:divsChild>
        </w:div>
        <w:div w:id="735082726">
          <w:marLeft w:val="0"/>
          <w:marRight w:val="0"/>
          <w:marTop w:val="0"/>
          <w:marBottom w:val="0"/>
          <w:divBdr>
            <w:top w:val="none" w:sz="0" w:space="0" w:color="auto"/>
            <w:left w:val="none" w:sz="0" w:space="0" w:color="auto"/>
            <w:bottom w:val="none" w:sz="0" w:space="0" w:color="auto"/>
            <w:right w:val="none" w:sz="0" w:space="0" w:color="auto"/>
          </w:divBdr>
        </w:div>
        <w:div w:id="739206441">
          <w:marLeft w:val="0"/>
          <w:marRight w:val="0"/>
          <w:marTop w:val="0"/>
          <w:marBottom w:val="0"/>
          <w:divBdr>
            <w:top w:val="none" w:sz="0" w:space="0" w:color="auto"/>
            <w:left w:val="none" w:sz="0" w:space="0" w:color="auto"/>
            <w:bottom w:val="none" w:sz="0" w:space="0" w:color="auto"/>
            <w:right w:val="none" w:sz="0" w:space="0" w:color="auto"/>
          </w:divBdr>
        </w:div>
        <w:div w:id="843277370">
          <w:marLeft w:val="0"/>
          <w:marRight w:val="0"/>
          <w:marTop w:val="0"/>
          <w:marBottom w:val="0"/>
          <w:divBdr>
            <w:top w:val="none" w:sz="0" w:space="0" w:color="auto"/>
            <w:left w:val="none" w:sz="0" w:space="0" w:color="auto"/>
            <w:bottom w:val="none" w:sz="0" w:space="0" w:color="auto"/>
            <w:right w:val="none" w:sz="0" w:space="0" w:color="auto"/>
          </w:divBdr>
        </w:div>
        <w:div w:id="883981697">
          <w:marLeft w:val="0"/>
          <w:marRight w:val="0"/>
          <w:marTop w:val="0"/>
          <w:marBottom w:val="0"/>
          <w:divBdr>
            <w:top w:val="none" w:sz="0" w:space="0" w:color="auto"/>
            <w:left w:val="none" w:sz="0" w:space="0" w:color="auto"/>
            <w:bottom w:val="none" w:sz="0" w:space="0" w:color="auto"/>
            <w:right w:val="none" w:sz="0" w:space="0" w:color="auto"/>
          </w:divBdr>
        </w:div>
        <w:div w:id="930427405">
          <w:marLeft w:val="0"/>
          <w:marRight w:val="0"/>
          <w:marTop w:val="0"/>
          <w:marBottom w:val="0"/>
          <w:divBdr>
            <w:top w:val="none" w:sz="0" w:space="0" w:color="auto"/>
            <w:left w:val="none" w:sz="0" w:space="0" w:color="auto"/>
            <w:bottom w:val="none" w:sz="0" w:space="0" w:color="auto"/>
            <w:right w:val="none" w:sz="0" w:space="0" w:color="auto"/>
          </w:divBdr>
        </w:div>
        <w:div w:id="937566381">
          <w:marLeft w:val="0"/>
          <w:marRight w:val="0"/>
          <w:marTop w:val="0"/>
          <w:marBottom w:val="0"/>
          <w:divBdr>
            <w:top w:val="none" w:sz="0" w:space="0" w:color="auto"/>
            <w:left w:val="none" w:sz="0" w:space="0" w:color="auto"/>
            <w:bottom w:val="none" w:sz="0" w:space="0" w:color="auto"/>
            <w:right w:val="none" w:sz="0" w:space="0" w:color="auto"/>
          </w:divBdr>
        </w:div>
        <w:div w:id="944193923">
          <w:marLeft w:val="0"/>
          <w:marRight w:val="0"/>
          <w:marTop w:val="0"/>
          <w:marBottom w:val="0"/>
          <w:divBdr>
            <w:top w:val="none" w:sz="0" w:space="0" w:color="auto"/>
            <w:left w:val="none" w:sz="0" w:space="0" w:color="auto"/>
            <w:bottom w:val="none" w:sz="0" w:space="0" w:color="auto"/>
            <w:right w:val="none" w:sz="0" w:space="0" w:color="auto"/>
          </w:divBdr>
        </w:div>
        <w:div w:id="970788136">
          <w:marLeft w:val="0"/>
          <w:marRight w:val="0"/>
          <w:marTop w:val="0"/>
          <w:marBottom w:val="0"/>
          <w:divBdr>
            <w:top w:val="none" w:sz="0" w:space="0" w:color="auto"/>
            <w:left w:val="none" w:sz="0" w:space="0" w:color="auto"/>
            <w:bottom w:val="none" w:sz="0" w:space="0" w:color="auto"/>
            <w:right w:val="none" w:sz="0" w:space="0" w:color="auto"/>
          </w:divBdr>
          <w:divsChild>
            <w:div w:id="110172440">
              <w:marLeft w:val="0"/>
              <w:marRight w:val="0"/>
              <w:marTop w:val="0"/>
              <w:marBottom w:val="0"/>
              <w:divBdr>
                <w:top w:val="none" w:sz="0" w:space="0" w:color="auto"/>
                <w:left w:val="none" w:sz="0" w:space="0" w:color="auto"/>
                <w:bottom w:val="none" w:sz="0" w:space="0" w:color="auto"/>
                <w:right w:val="none" w:sz="0" w:space="0" w:color="auto"/>
              </w:divBdr>
            </w:div>
            <w:div w:id="920680795">
              <w:marLeft w:val="0"/>
              <w:marRight w:val="0"/>
              <w:marTop w:val="0"/>
              <w:marBottom w:val="0"/>
              <w:divBdr>
                <w:top w:val="none" w:sz="0" w:space="0" w:color="auto"/>
                <w:left w:val="none" w:sz="0" w:space="0" w:color="auto"/>
                <w:bottom w:val="none" w:sz="0" w:space="0" w:color="auto"/>
                <w:right w:val="none" w:sz="0" w:space="0" w:color="auto"/>
              </w:divBdr>
            </w:div>
            <w:div w:id="980882949">
              <w:marLeft w:val="0"/>
              <w:marRight w:val="0"/>
              <w:marTop w:val="0"/>
              <w:marBottom w:val="0"/>
              <w:divBdr>
                <w:top w:val="none" w:sz="0" w:space="0" w:color="auto"/>
                <w:left w:val="none" w:sz="0" w:space="0" w:color="auto"/>
                <w:bottom w:val="none" w:sz="0" w:space="0" w:color="auto"/>
                <w:right w:val="none" w:sz="0" w:space="0" w:color="auto"/>
              </w:divBdr>
            </w:div>
            <w:div w:id="1443718649">
              <w:marLeft w:val="0"/>
              <w:marRight w:val="0"/>
              <w:marTop w:val="0"/>
              <w:marBottom w:val="0"/>
              <w:divBdr>
                <w:top w:val="none" w:sz="0" w:space="0" w:color="auto"/>
                <w:left w:val="none" w:sz="0" w:space="0" w:color="auto"/>
                <w:bottom w:val="none" w:sz="0" w:space="0" w:color="auto"/>
                <w:right w:val="none" w:sz="0" w:space="0" w:color="auto"/>
              </w:divBdr>
            </w:div>
          </w:divsChild>
        </w:div>
        <w:div w:id="981426061">
          <w:marLeft w:val="0"/>
          <w:marRight w:val="0"/>
          <w:marTop w:val="0"/>
          <w:marBottom w:val="0"/>
          <w:divBdr>
            <w:top w:val="none" w:sz="0" w:space="0" w:color="auto"/>
            <w:left w:val="none" w:sz="0" w:space="0" w:color="auto"/>
            <w:bottom w:val="none" w:sz="0" w:space="0" w:color="auto"/>
            <w:right w:val="none" w:sz="0" w:space="0" w:color="auto"/>
          </w:divBdr>
        </w:div>
        <w:div w:id="1037244959">
          <w:marLeft w:val="0"/>
          <w:marRight w:val="0"/>
          <w:marTop w:val="0"/>
          <w:marBottom w:val="0"/>
          <w:divBdr>
            <w:top w:val="none" w:sz="0" w:space="0" w:color="auto"/>
            <w:left w:val="none" w:sz="0" w:space="0" w:color="auto"/>
            <w:bottom w:val="none" w:sz="0" w:space="0" w:color="auto"/>
            <w:right w:val="none" w:sz="0" w:space="0" w:color="auto"/>
          </w:divBdr>
        </w:div>
        <w:div w:id="1098407332">
          <w:marLeft w:val="0"/>
          <w:marRight w:val="0"/>
          <w:marTop w:val="0"/>
          <w:marBottom w:val="0"/>
          <w:divBdr>
            <w:top w:val="none" w:sz="0" w:space="0" w:color="auto"/>
            <w:left w:val="none" w:sz="0" w:space="0" w:color="auto"/>
            <w:bottom w:val="none" w:sz="0" w:space="0" w:color="auto"/>
            <w:right w:val="none" w:sz="0" w:space="0" w:color="auto"/>
          </w:divBdr>
        </w:div>
        <w:div w:id="1256094990">
          <w:marLeft w:val="0"/>
          <w:marRight w:val="0"/>
          <w:marTop w:val="0"/>
          <w:marBottom w:val="0"/>
          <w:divBdr>
            <w:top w:val="none" w:sz="0" w:space="0" w:color="auto"/>
            <w:left w:val="none" w:sz="0" w:space="0" w:color="auto"/>
            <w:bottom w:val="none" w:sz="0" w:space="0" w:color="auto"/>
            <w:right w:val="none" w:sz="0" w:space="0" w:color="auto"/>
          </w:divBdr>
        </w:div>
        <w:div w:id="1348756014">
          <w:marLeft w:val="0"/>
          <w:marRight w:val="0"/>
          <w:marTop w:val="0"/>
          <w:marBottom w:val="0"/>
          <w:divBdr>
            <w:top w:val="none" w:sz="0" w:space="0" w:color="auto"/>
            <w:left w:val="none" w:sz="0" w:space="0" w:color="auto"/>
            <w:bottom w:val="none" w:sz="0" w:space="0" w:color="auto"/>
            <w:right w:val="none" w:sz="0" w:space="0" w:color="auto"/>
          </w:divBdr>
        </w:div>
        <w:div w:id="1485388575">
          <w:marLeft w:val="0"/>
          <w:marRight w:val="0"/>
          <w:marTop w:val="0"/>
          <w:marBottom w:val="0"/>
          <w:divBdr>
            <w:top w:val="none" w:sz="0" w:space="0" w:color="auto"/>
            <w:left w:val="none" w:sz="0" w:space="0" w:color="auto"/>
            <w:bottom w:val="none" w:sz="0" w:space="0" w:color="auto"/>
            <w:right w:val="none" w:sz="0" w:space="0" w:color="auto"/>
          </w:divBdr>
        </w:div>
        <w:div w:id="1513958767">
          <w:marLeft w:val="0"/>
          <w:marRight w:val="0"/>
          <w:marTop w:val="0"/>
          <w:marBottom w:val="0"/>
          <w:divBdr>
            <w:top w:val="none" w:sz="0" w:space="0" w:color="auto"/>
            <w:left w:val="none" w:sz="0" w:space="0" w:color="auto"/>
            <w:bottom w:val="none" w:sz="0" w:space="0" w:color="auto"/>
            <w:right w:val="none" w:sz="0" w:space="0" w:color="auto"/>
          </w:divBdr>
          <w:divsChild>
            <w:div w:id="217791524">
              <w:marLeft w:val="0"/>
              <w:marRight w:val="0"/>
              <w:marTop w:val="0"/>
              <w:marBottom w:val="0"/>
              <w:divBdr>
                <w:top w:val="none" w:sz="0" w:space="0" w:color="auto"/>
                <w:left w:val="none" w:sz="0" w:space="0" w:color="auto"/>
                <w:bottom w:val="none" w:sz="0" w:space="0" w:color="auto"/>
                <w:right w:val="none" w:sz="0" w:space="0" w:color="auto"/>
              </w:divBdr>
            </w:div>
            <w:div w:id="295841037">
              <w:marLeft w:val="0"/>
              <w:marRight w:val="0"/>
              <w:marTop w:val="0"/>
              <w:marBottom w:val="0"/>
              <w:divBdr>
                <w:top w:val="none" w:sz="0" w:space="0" w:color="auto"/>
                <w:left w:val="none" w:sz="0" w:space="0" w:color="auto"/>
                <w:bottom w:val="none" w:sz="0" w:space="0" w:color="auto"/>
                <w:right w:val="none" w:sz="0" w:space="0" w:color="auto"/>
              </w:divBdr>
            </w:div>
            <w:div w:id="1296832716">
              <w:marLeft w:val="0"/>
              <w:marRight w:val="0"/>
              <w:marTop w:val="0"/>
              <w:marBottom w:val="0"/>
              <w:divBdr>
                <w:top w:val="none" w:sz="0" w:space="0" w:color="auto"/>
                <w:left w:val="none" w:sz="0" w:space="0" w:color="auto"/>
                <w:bottom w:val="none" w:sz="0" w:space="0" w:color="auto"/>
                <w:right w:val="none" w:sz="0" w:space="0" w:color="auto"/>
              </w:divBdr>
            </w:div>
            <w:div w:id="1318144344">
              <w:marLeft w:val="0"/>
              <w:marRight w:val="0"/>
              <w:marTop w:val="0"/>
              <w:marBottom w:val="0"/>
              <w:divBdr>
                <w:top w:val="none" w:sz="0" w:space="0" w:color="auto"/>
                <w:left w:val="none" w:sz="0" w:space="0" w:color="auto"/>
                <w:bottom w:val="none" w:sz="0" w:space="0" w:color="auto"/>
                <w:right w:val="none" w:sz="0" w:space="0" w:color="auto"/>
              </w:divBdr>
            </w:div>
            <w:div w:id="1476485529">
              <w:marLeft w:val="0"/>
              <w:marRight w:val="0"/>
              <w:marTop w:val="0"/>
              <w:marBottom w:val="0"/>
              <w:divBdr>
                <w:top w:val="none" w:sz="0" w:space="0" w:color="auto"/>
                <w:left w:val="none" w:sz="0" w:space="0" w:color="auto"/>
                <w:bottom w:val="none" w:sz="0" w:space="0" w:color="auto"/>
                <w:right w:val="none" w:sz="0" w:space="0" w:color="auto"/>
              </w:divBdr>
            </w:div>
          </w:divsChild>
        </w:div>
        <w:div w:id="1533154738">
          <w:marLeft w:val="0"/>
          <w:marRight w:val="0"/>
          <w:marTop w:val="0"/>
          <w:marBottom w:val="0"/>
          <w:divBdr>
            <w:top w:val="none" w:sz="0" w:space="0" w:color="auto"/>
            <w:left w:val="none" w:sz="0" w:space="0" w:color="auto"/>
            <w:bottom w:val="none" w:sz="0" w:space="0" w:color="auto"/>
            <w:right w:val="none" w:sz="0" w:space="0" w:color="auto"/>
          </w:divBdr>
          <w:divsChild>
            <w:div w:id="294331719">
              <w:marLeft w:val="0"/>
              <w:marRight w:val="0"/>
              <w:marTop w:val="0"/>
              <w:marBottom w:val="0"/>
              <w:divBdr>
                <w:top w:val="none" w:sz="0" w:space="0" w:color="auto"/>
                <w:left w:val="none" w:sz="0" w:space="0" w:color="auto"/>
                <w:bottom w:val="none" w:sz="0" w:space="0" w:color="auto"/>
                <w:right w:val="none" w:sz="0" w:space="0" w:color="auto"/>
              </w:divBdr>
            </w:div>
            <w:div w:id="538397477">
              <w:marLeft w:val="0"/>
              <w:marRight w:val="0"/>
              <w:marTop w:val="0"/>
              <w:marBottom w:val="0"/>
              <w:divBdr>
                <w:top w:val="none" w:sz="0" w:space="0" w:color="auto"/>
                <w:left w:val="none" w:sz="0" w:space="0" w:color="auto"/>
                <w:bottom w:val="none" w:sz="0" w:space="0" w:color="auto"/>
                <w:right w:val="none" w:sz="0" w:space="0" w:color="auto"/>
              </w:divBdr>
            </w:div>
            <w:div w:id="610667615">
              <w:marLeft w:val="0"/>
              <w:marRight w:val="0"/>
              <w:marTop w:val="0"/>
              <w:marBottom w:val="0"/>
              <w:divBdr>
                <w:top w:val="none" w:sz="0" w:space="0" w:color="auto"/>
                <w:left w:val="none" w:sz="0" w:space="0" w:color="auto"/>
                <w:bottom w:val="none" w:sz="0" w:space="0" w:color="auto"/>
                <w:right w:val="none" w:sz="0" w:space="0" w:color="auto"/>
              </w:divBdr>
            </w:div>
            <w:div w:id="1366518747">
              <w:marLeft w:val="0"/>
              <w:marRight w:val="0"/>
              <w:marTop w:val="0"/>
              <w:marBottom w:val="0"/>
              <w:divBdr>
                <w:top w:val="none" w:sz="0" w:space="0" w:color="auto"/>
                <w:left w:val="none" w:sz="0" w:space="0" w:color="auto"/>
                <w:bottom w:val="none" w:sz="0" w:space="0" w:color="auto"/>
                <w:right w:val="none" w:sz="0" w:space="0" w:color="auto"/>
              </w:divBdr>
            </w:div>
            <w:div w:id="1563443835">
              <w:marLeft w:val="0"/>
              <w:marRight w:val="0"/>
              <w:marTop w:val="0"/>
              <w:marBottom w:val="0"/>
              <w:divBdr>
                <w:top w:val="none" w:sz="0" w:space="0" w:color="auto"/>
                <w:left w:val="none" w:sz="0" w:space="0" w:color="auto"/>
                <w:bottom w:val="none" w:sz="0" w:space="0" w:color="auto"/>
                <w:right w:val="none" w:sz="0" w:space="0" w:color="auto"/>
              </w:divBdr>
            </w:div>
          </w:divsChild>
        </w:div>
        <w:div w:id="1581017080">
          <w:marLeft w:val="0"/>
          <w:marRight w:val="0"/>
          <w:marTop w:val="0"/>
          <w:marBottom w:val="0"/>
          <w:divBdr>
            <w:top w:val="none" w:sz="0" w:space="0" w:color="auto"/>
            <w:left w:val="none" w:sz="0" w:space="0" w:color="auto"/>
            <w:bottom w:val="none" w:sz="0" w:space="0" w:color="auto"/>
            <w:right w:val="none" w:sz="0" w:space="0" w:color="auto"/>
          </w:divBdr>
        </w:div>
        <w:div w:id="1677077131">
          <w:marLeft w:val="0"/>
          <w:marRight w:val="0"/>
          <w:marTop w:val="0"/>
          <w:marBottom w:val="0"/>
          <w:divBdr>
            <w:top w:val="none" w:sz="0" w:space="0" w:color="auto"/>
            <w:left w:val="none" w:sz="0" w:space="0" w:color="auto"/>
            <w:bottom w:val="none" w:sz="0" w:space="0" w:color="auto"/>
            <w:right w:val="none" w:sz="0" w:space="0" w:color="auto"/>
          </w:divBdr>
        </w:div>
        <w:div w:id="1689091570">
          <w:marLeft w:val="0"/>
          <w:marRight w:val="0"/>
          <w:marTop w:val="0"/>
          <w:marBottom w:val="0"/>
          <w:divBdr>
            <w:top w:val="none" w:sz="0" w:space="0" w:color="auto"/>
            <w:left w:val="none" w:sz="0" w:space="0" w:color="auto"/>
            <w:bottom w:val="none" w:sz="0" w:space="0" w:color="auto"/>
            <w:right w:val="none" w:sz="0" w:space="0" w:color="auto"/>
          </w:divBdr>
          <w:divsChild>
            <w:div w:id="12541933">
              <w:marLeft w:val="0"/>
              <w:marRight w:val="0"/>
              <w:marTop w:val="0"/>
              <w:marBottom w:val="0"/>
              <w:divBdr>
                <w:top w:val="none" w:sz="0" w:space="0" w:color="auto"/>
                <w:left w:val="none" w:sz="0" w:space="0" w:color="auto"/>
                <w:bottom w:val="none" w:sz="0" w:space="0" w:color="auto"/>
                <w:right w:val="none" w:sz="0" w:space="0" w:color="auto"/>
              </w:divBdr>
            </w:div>
            <w:div w:id="991301058">
              <w:marLeft w:val="0"/>
              <w:marRight w:val="0"/>
              <w:marTop w:val="0"/>
              <w:marBottom w:val="0"/>
              <w:divBdr>
                <w:top w:val="none" w:sz="0" w:space="0" w:color="auto"/>
                <w:left w:val="none" w:sz="0" w:space="0" w:color="auto"/>
                <w:bottom w:val="none" w:sz="0" w:space="0" w:color="auto"/>
                <w:right w:val="none" w:sz="0" w:space="0" w:color="auto"/>
              </w:divBdr>
            </w:div>
          </w:divsChild>
        </w:div>
        <w:div w:id="1700357411">
          <w:marLeft w:val="0"/>
          <w:marRight w:val="0"/>
          <w:marTop w:val="0"/>
          <w:marBottom w:val="0"/>
          <w:divBdr>
            <w:top w:val="none" w:sz="0" w:space="0" w:color="auto"/>
            <w:left w:val="none" w:sz="0" w:space="0" w:color="auto"/>
            <w:bottom w:val="none" w:sz="0" w:space="0" w:color="auto"/>
            <w:right w:val="none" w:sz="0" w:space="0" w:color="auto"/>
          </w:divBdr>
        </w:div>
        <w:div w:id="1770855461">
          <w:marLeft w:val="0"/>
          <w:marRight w:val="0"/>
          <w:marTop w:val="0"/>
          <w:marBottom w:val="0"/>
          <w:divBdr>
            <w:top w:val="none" w:sz="0" w:space="0" w:color="auto"/>
            <w:left w:val="none" w:sz="0" w:space="0" w:color="auto"/>
            <w:bottom w:val="none" w:sz="0" w:space="0" w:color="auto"/>
            <w:right w:val="none" w:sz="0" w:space="0" w:color="auto"/>
          </w:divBdr>
          <w:divsChild>
            <w:div w:id="565340884">
              <w:marLeft w:val="0"/>
              <w:marRight w:val="0"/>
              <w:marTop w:val="0"/>
              <w:marBottom w:val="0"/>
              <w:divBdr>
                <w:top w:val="none" w:sz="0" w:space="0" w:color="auto"/>
                <w:left w:val="none" w:sz="0" w:space="0" w:color="auto"/>
                <w:bottom w:val="none" w:sz="0" w:space="0" w:color="auto"/>
                <w:right w:val="none" w:sz="0" w:space="0" w:color="auto"/>
              </w:divBdr>
            </w:div>
            <w:div w:id="705253998">
              <w:marLeft w:val="0"/>
              <w:marRight w:val="0"/>
              <w:marTop w:val="0"/>
              <w:marBottom w:val="0"/>
              <w:divBdr>
                <w:top w:val="none" w:sz="0" w:space="0" w:color="auto"/>
                <w:left w:val="none" w:sz="0" w:space="0" w:color="auto"/>
                <w:bottom w:val="none" w:sz="0" w:space="0" w:color="auto"/>
                <w:right w:val="none" w:sz="0" w:space="0" w:color="auto"/>
              </w:divBdr>
            </w:div>
            <w:div w:id="1527406132">
              <w:marLeft w:val="0"/>
              <w:marRight w:val="0"/>
              <w:marTop w:val="0"/>
              <w:marBottom w:val="0"/>
              <w:divBdr>
                <w:top w:val="none" w:sz="0" w:space="0" w:color="auto"/>
                <w:left w:val="none" w:sz="0" w:space="0" w:color="auto"/>
                <w:bottom w:val="none" w:sz="0" w:space="0" w:color="auto"/>
                <w:right w:val="none" w:sz="0" w:space="0" w:color="auto"/>
              </w:divBdr>
            </w:div>
          </w:divsChild>
        </w:div>
        <w:div w:id="1849561690">
          <w:marLeft w:val="0"/>
          <w:marRight w:val="0"/>
          <w:marTop w:val="0"/>
          <w:marBottom w:val="0"/>
          <w:divBdr>
            <w:top w:val="none" w:sz="0" w:space="0" w:color="auto"/>
            <w:left w:val="none" w:sz="0" w:space="0" w:color="auto"/>
            <w:bottom w:val="none" w:sz="0" w:space="0" w:color="auto"/>
            <w:right w:val="none" w:sz="0" w:space="0" w:color="auto"/>
          </w:divBdr>
          <w:divsChild>
            <w:div w:id="884026063">
              <w:marLeft w:val="0"/>
              <w:marRight w:val="0"/>
              <w:marTop w:val="0"/>
              <w:marBottom w:val="0"/>
              <w:divBdr>
                <w:top w:val="none" w:sz="0" w:space="0" w:color="auto"/>
                <w:left w:val="none" w:sz="0" w:space="0" w:color="auto"/>
                <w:bottom w:val="none" w:sz="0" w:space="0" w:color="auto"/>
                <w:right w:val="none" w:sz="0" w:space="0" w:color="auto"/>
              </w:divBdr>
            </w:div>
            <w:div w:id="990327060">
              <w:marLeft w:val="0"/>
              <w:marRight w:val="0"/>
              <w:marTop w:val="0"/>
              <w:marBottom w:val="0"/>
              <w:divBdr>
                <w:top w:val="none" w:sz="0" w:space="0" w:color="auto"/>
                <w:left w:val="none" w:sz="0" w:space="0" w:color="auto"/>
                <w:bottom w:val="none" w:sz="0" w:space="0" w:color="auto"/>
                <w:right w:val="none" w:sz="0" w:space="0" w:color="auto"/>
              </w:divBdr>
            </w:div>
            <w:div w:id="1109204842">
              <w:marLeft w:val="0"/>
              <w:marRight w:val="0"/>
              <w:marTop w:val="0"/>
              <w:marBottom w:val="0"/>
              <w:divBdr>
                <w:top w:val="none" w:sz="0" w:space="0" w:color="auto"/>
                <w:left w:val="none" w:sz="0" w:space="0" w:color="auto"/>
                <w:bottom w:val="none" w:sz="0" w:space="0" w:color="auto"/>
                <w:right w:val="none" w:sz="0" w:space="0" w:color="auto"/>
              </w:divBdr>
            </w:div>
            <w:div w:id="1663894841">
              <w:marLeft w:val="0"/>
              <w:marRight w:val="0"/>
              <w:marTop w:val="0"/>
              <w:marBottom w:val="0"/>
              <w:divBdr>
                <w:top w:val="none" w:sz="0" w:space="0" w:color="auto"/>
                <w:left w:val="none" w:sz="0" w:space="0" w:color="auto"/>
                <w:bottom w:val="none" w:sz="0" w:space="0" w:color="auto"/>
                <w:right w:val="none" w:sz="0" w:space="0" w:color="auto"/>
              </w:divBdr>
            </w:div>
            <w:div w:id="1783457494">
              <w:marLeft w:val="0"/>
              <w:marRight w:val="0"/>
              <w:marTop w:val="0"/>
              <w:marBottom w:val="0"/>
              <w:divBdr>
                <w:top w:val="none" w:sz="0" w:space="0" w:color="auto"/>
                <w:left w:val="none" w:sz="0" w:space="0" w:color="auto"/>
                <w:bottom w:val="none" w:sz="0" w:space="0" w:color="auto"/>
                <w:right w:val="none" w:sz="0" w:space="0" w:color="auto"/>
              </w:divBdr>
            </w:div>
          </w:divsChild>
        </w:div>
        <w:div w:id="1900095471">
          <w:marLeft w:val="0"/>
          <w:marRight w:val="0"/>
          <w:marTop w:val="0"/>
          <w:marBottom w:val="0"/>
          <w:divBdr>
            <w:top w:val="none" w:sz="0" w:space="0" w:color="auto"/>
            <w:left w:val="none" w:sz="0" w:space="0" w:color="auto"/>
            <w:bottom w:val="none" w:sz="0" w:space="0" w:color="auto"/>
            <w:right w:val="none" w:sz="0" w:space="0" w:color="auto"/>
          </w:divBdr>
        </w:div>
        <w:div w:id="1916012919">
          <w:marLeft w:val="0"/>
          <w:marRight w:val="0"/>
          <w:marTop w:val="0"/>
          <w:marBottom w:val="0"/>
          <w:divBdr>
            <w:top w:val="none" w:sz="0" w:space="0" w:color="auto"/>
            <w:left w:val="none" w:sz="0" w:space="0" w:color="auto"/>
            <w:bottom w:val="none" w:sz="0" w:space="0" w:color="auto"/>
            <w:right w:val="none" w:sz="0" w:space="0" w:color="auto"/>
          </w:divBdr>
        </w:div>
        <w:div w:id="2006929313">
          <w:marLeft w:val="0"/>
          <w:marRight w:val="0"/>
          <w:marTop w:val="0"/>
          <w:marBottom w:val="0"/>
          <w:divBdr>
            <w:top w:val="none" w:sz="0" w:space="0" w:color="auto"/>
            <w:left w:val="none" w:sz="0" w:space="0" w:color="auto"/>
            <w:bottom w:val="none" w:sz="0" w:space="0" w:color="auto"/>
            <w:right w:val="none" w:sz="0" w:space="0" w:color="auto"/>
          </w:divBdr>
          <w:divsChild>
            <w:div w:id="741097844">
              <w:marLeft w:val="0"/>
              <w:marRight w:val="0"/>
              <w:marTop w:val="0"/>
              <w:marBottom w:val="0"/>
              <w:divBdr>
                <w:top w:val="none" w:sz="0" w:space="0" w:color="auto"/>
                <w:left w:val="none" w:sz="0" w:space="0" w:color="auto"/>
                <w:bottom w:val="none" w:sz="0" w:space="0" w:color="auto"/>
                <w:right w:val="none" w:sz="0" w:space="0" w:color="auto"/>
              </w:divBdr>
            </w:div>
            <w:div w:id="786394849">
              <w:marLeft w:val="0"/>
              <w:marRight w:val="0"/>
              <w:marTop w:val="0"/>
              <w:marBottom w:val="0"/>
              <w:divBdr>
                <w:top w:val="none" w:sz="0" w:space="0" w:color="auto"/>
                <w:left w:val="none" w:sz="0" w:space="0" w:color="auto"/>
                <w:bottom w:val="none" w:sz="0" w:space="0" w:color="auto"/>
                <w:right w:val="none" w:sz="0" w:space="0" w:color="auto"/>
              </w:divBdr>
            </w:div>
            <w:div w:id="951784140">
              <w:marLeft w:val="0"/>
              <w:marRight w:val="0"/>
              <w:marTop w:val="0"/>
              <w:marBottom w:val="0"/>
              <w:divBdr>
                <w:top w:val="none" w:sz="0" w:space="0" w:color="auto"/>
                <w:left w:val="none" w:sz="0" w:space="0" w:color="auto"/>
                <w:bottom w:val="none" w:sz="0" w:space="0" w:color="auto"/>
                <w:right w:val="none" w:sz="0" w:space="0" w:color="auto"/>
              </w:divBdr>
            </w:div>
            <w:div w:id="1113479988">
              <w:marLeft w:val="0"/>
              <w:marRight w:val="0"/>
              <w:marTop w:val="0"/>
              <w:marBottom w:val="0"/>
              <w:divBdr>
                <w:top w:val="none" w:sz="0" w:space="0" w:color="auto"/>
                <w:left w:val="none" w:sz="0" w:space="0" w:color="auto"/>
                <w:bottom w:val="none" w:sz="0" w:space="0" w:color="auto"/>
                <w:right w:val="none" w:sz="0" w:space="0" w:color="auto"/>
              </w:divBdr>
            </w:div>
            <w:div w:id="1599942494">
              <w:marLeft w:val="0"/>
              <w:marRight w:val="0"/>
              <w:marTop w:val="0"/>
              <w:marBottom w:val="0"/>
              <w:divBdr>
                <w:top w:val="none" w:sz="0" w:space="0" w:color="auto"/>
                <w:left w:val="none" w:sz="0" w:space="0" w:color="auto"/>
                <w:bottom w:val="none" w:sz="0" w:space="0" w:color="auto"/>
                <w:right w:val="none" w:sz="0" w:space="0" w:color="auto"/>
              </w:divBdr>
            </w:div>
          </w:divsChild>
        </w:div>
        <w:div w:id="2014919496">
          <w:marLeft w:val="0"/>
          <w:marRight w:val="0"/>
          <w:marTop w:val="0"/>
          <w:marBottom w:val="0"/>
          <w:divBdr>
            <w:top w:val="none" w:sz="0" w:space="0" w:color="auto"/>
            <w:left w:val="none" w:sz="0" w:space="0" w:color="auto"/>
            <w:bottom w:val="none" w:sz="0" w:space="0" w:color="auto"/>
            <w:right w:val="none" w:sz="0" w:space="0" w:color="auto"/>
          </w:divBdr>
        </w:div>
        <w:div w:id="2131044938">
          <w:marLeft w:val="0"/>
          <w:marRight w:val="0"/>
          <w:marTop w:val="0"/>
          <w:marBottom w:val="0"/>
          <w:divBdr>
            <w:top w:val="none" w:sz="0" w:space="0" w:color="auto"/>
            <w:left w:val="none" w:sz="0" w:space="0" w:color="auto"/>
            <w:bottom w:val="none" w:sz="0" w:space="0" w:color="auto"/>
            <w:right w:val="none" w:sz="0" w:space="0" w:color="auto"/>
          </w:divBdr>
        </w:div>
      </w:divsChild>
    </w:div>
    <w:div w:id="1747652019">
      <w:bodyDiv w:val="1"/>
      <w:marLeft w:val="0"/>
      <w:marRight w:val="0"/>
      <w:marTop w:val="0"/>
      <w:marBottom w:val="0"/>
      <w:divBdr>
        <w:top w:val="none" w:sz="0" w:space="0" w:color="auto"/>
        <w:left w:val="none" w:sz="0" w:space="0" w:color="auto"/>
        <w:bottom w:val="none" w:sz="0" w:space="0" w:color="auto"/>
        <w:right w:val="none" w:sz="0" w:space="0" w:color="auto"/>
      </w:divBdr>
    </w:div>
    <w:div w:id="1894385740">
      <w:bodyDiv w:val="1"/>
      <w:marLeft w:val="0"/>
      <w:marRight w:val="0"/>
      <w:marTop w:val="0"/>
      <w:marBottom w:val="0"/>
      <w:divBdr>
        <w:top w:val="none" w:sz="0" w:space="0" w:color="auto"/>
        <w:left w:val="none" w:sz="0" w:space="0" w:color="auto"/>
        <w:bottom w:val="none" w:sz="0" w:space="0" w:color="auto"/>
        <w:right w:val="none" w:sz="0" w:space="0" w:color="auto"/>
      </w:divBdr>
      <w:divsChild>
        <w:div w:id="190191493">
          <w:marLeft w:val="0"/>
          <w:marRight w:val="0"/>
          <w:marTop w:val="0"/>
          <w:marBottom w:val="0"/>
          <w:divBdr>
            <w:top w:val="none" w:sz="0" w:space="0" w:color="auto"/>
            <w:left w:val="none" w:sz="0" w:space="0" w:color="auto"/>
            <w:bottom w:val="none" w:sz="0" w:space="0" w:color="auto"/>
            <w:right w:val="none" w:sz="0" w:space="0" w:color="auto"/>
          </w:divBdr>
        </w:div>
        <w:div w:id="455298867">
          <w:marLeft w:val="0"/>
          <w:marRight w:val="0"/>
          <w:marTop w:val="0"/>
          <w:marBottom w:val="0"/>
          <w:divBdr>
            <w:top w:val="none" w:sz="0" w:space="0" w:color="auto"/>
            <w:left w:val="none" w:sz="0" w:space="0" w:color="auto"/>
            <w:bottom w:val="none" w:sz="0" w:space="0" w:color="auto"/>
            <w:right w:val="none" w:sz="0" w:space="0" w:color="auto"/>
          </w:divBdr>
        </w:div>
        <w:div w:id="649409359">
          <w:marLeft w:val="0"/>
          <w:marRight w:val="0"/>
          <w:marTop w:val="0"/>
          <w:marBottom w:val="0"/>
          <w:divBdr>
            <w:top w:val="none" w:sz="0" w:space="0" w:color="auto"/>
            <w:left w:val="none" w:sz="0" w:space="0" w:color="auto"/>
            <w:bottom w:val="none" w:sz="0" w:space="0" w:color="auto"/>
            <w:right w:val="none" w:sz="0" w:space="0" w:color="auto"/>
          </w:divBdr>
        </w:div>
        <w:div w:id="685910675">
          <w:marLeft w:val="0"/>
          <w:marRight w:val="0"/>
          <w:marTop w:val="0"/>
          <w:marBottom w:val="0"/>
          <w:divBdr>
            <w:top w:val="none" w:sz="0" w:space="0" w:color="auto"/>
            <w:left w:val="none" w:sz="0" w:space="0" w:color="auto"/>
            <w:bottom w:val="none" w:sz="0" w:space="0" w:color="auto"/>
            <w:right w:val="none" w:sz="0" w:space="0" w:color="auto"/>
          </w:divBdr>
        </w:div>
        <w:div w:id="803546426">
          <w:marLeft w:val="0"/>
          <w:marRight w:val="0"/>
          <w:marTop w:val="0"/>
          <w:marBottom w:val="0"/>
          <w:divBdr>
            <w:top w:val="none" w:sz="0" w:space="0" w:color="auto"/>
            <w:left w:val="none" w:sz="0" w:space="0" w:color="auto"/>
            <w:bottom w:val="none" w:sz="0" w:space="0" w:color="auto"/>
            <w:right w:val="none" w:sz="0" w:space="0" w:color="auto"/>
          </w:divBdr>
        </w:div>
        <w:div w:id="863589882">
          <w:marLeft w:val="0"/>
          <w:marRight w:val="0"/>
          <w:marTop w:val="0"/>
          <w:marBottom w:val="0"/>
          <w:divBdr>
            <w:top w:val="none" w:sz="0" w:space="0" w:color="auto"/>
            <w:left w:val="none" w:sz="0" w:space="0" w:color="auto"/>
            <w:bottom w:val="none" w:sz="0" w:space="0" w:color="auto"/>
            <w:right w:val="none" w:sz="0" w:space="0" w:color="auto"/>
          </w:divBdr>
        </w:div>
        <w:div w:id="917641377">
          <w:marLeft w:val="0"/>
          <w:marRight w:val="0"/>
          <w:marTop w:val="0"/>
          <w:marBottom w:val="0"/>
          <w:divBdr>
            <w:top w:val="none" w:sz="0" w:space="0" w:color="auto"/>
            <w:left w:val="none" w:sz="0" w:space="0" w:color="auto"/>
            <w:bottom w:val="none" w:sz="0" w:space="0" w:color="auto"/>
            <w:right w:val="none" w:sz="0" w:space="0" w:color="auto"/>
          </w:divBdr>
        </w:div>
        <w:div w:id="1046685461">
          <w:marLeft w:val="0"/>
          <w:marRight w:val="0"/>
          <w:marTop w:val="0"/>
          <w:marBottom w:val="0"/>
          <w:divBdr>
            <w:top w:val="none" w:sz="0" w:space="0" w:color="auto"/>
            <w:left w:val="none" w:sz="0" w:space="0" w:color="auto"/>
            <w:bottom w:val="none" w:sz="0" w:space="0" w:color="auto"/>
            <w:right w:val="none" w:sz="0" w:space="0" w:color="auto"/>
          </w:divBdr>
        </w:div>
        <w:div w:id="1548681601">
          <w:marLeft w:val="0"/>
          <w:marRight w:val="0"/>
          <w:marTop w:val="0"/>
          <w:marBottom w:val="0"/>
          <w:divBdr>
            <w:top w:val="none" w:sz="0" w:space="0" w:color="auto"/>
            <w:left w:val="none" w:sz="0" w:space="0" w:color="auto"/>
            <w:bottom w:val="none" w:sz="0" w:space="0" w:color="auto"/>
            <w:right w:val="none" w:sz="0" w:space="0" w:color="auto"/>
          </w:divBdr>
        </w:div>
        <w:div w:id="1619021352">
          <w:marLeft w:val="0"/>
          <w:marRight w:val="0"/>
          <w:marTop w:val="0"/>
          <w:marBottom w:val="0"/>
          <w:divBdr>
            <w:top w:val="none" w:sz="0" w:space="0" w:color="auto"/>
            <w:left w:val="none" w:sz="0" w:space="0" w:color="auto"/>
            <w:bottom w:val="none" w:sz="0" w:space="0" w:color="auto"/>
            <w:right w:val="none" w:sz="0" w:space="0" w:color="auto"/>
          </w:divBdr>
        </w:div>
        <w:div w:id="1657220040">
          <w:marLeft w:val="0"/>
          <w:marRight w:val="0"/>
          <w:marTop w:val="0"/>
          <w:marBottom w:val="0"/>
          <w:divBdr>
            <w:top w:val="none" w:sz="0" w:space="0" w:color="auto"/>
            <w:left w:val="none" w:sz="0" w:space="0" w:color="auto"/>
            <w:bottom w:val="none" w:sz="0" w:space="0" w:color="auto"/>
            <w:right w:val="none" w:sz="0" w:space="0" w:color="auto"/>
          </w:divBdr>
        </w:div>
        <w:div w:id="1657607902">
          <w:marLeft w:val="0"/>
          <w:marRight w:val="0"/>
          <w:marTop w:val="0"/>
          <w:marBottom w:val="0"/>
          <w:divBdr>
            <w:top w:val="none" w:sz="0" w:space="0" w:color="auto"/>
            <w:left w:val="none" w:sz="0" w:space="0" w:color="auto"/>
            <w:bottom w:val="none" w:sz="0" w:space="0" w:color="auto"/>
            <w:right w:val="none" w:sz="0" w:space="0" w:color="auto"/>
          </w:divBdr>
        </w:div>
        <w:div w:id="1760246639">
          <w:marLeft w:val="0"/>
          <w:marRight w:val="0"/>
          <w:marTop w:val="0"/>
          <w:marBottom w:val="0"/>
          <w:divBdr>
            <w:top w:val="none" w:sz="0" w:space="0" w:color="auto"/>
            <w:left w:val="none" w:sz="0" w:space="0" w:color="auto"/>
            <w:bottom w:val="none" w:sz="0" w:space="0" w:color="auto"/>
            <w:right w:val="none" w:sz="0" w:space="0" w:color="auto"/>
          </w:divBdr>
        </w:div>
        <w:div w:id="1872065378">
          <w:marLeft w:val="0"/>
          <w:marRight w:val="0"/>
          <w:marTop w:val="0"/>
          <w:marBottom w:val="0"/>
          <w:divBdr>
            <w:top w:val="none" w:sz="0" w:space="0" w:color="auto"/>
            <w:left w:val="none" w:sz="0" w:space="0" w:color="auto"/>
            <w:bottom w:val="none" w:sz="0" w:space="0" w:color="auto"/>
            <w:right w:val="none" w:sz="0" w:space="0" w:color="auto"/>
          </w:divBdr>
        </w:div>
        <w:div w:id="1898857063">
          <w:marLeft w:val="0"/>
          <w:marRight w:val="0"/>
          <w:marTop w:val="0"/>
          <w:marBottom w:val="0"/>
          <w:divBdr>
            <w:top w:val="none" w:sz="0" w:space="0" w:color="auto"/>
            <w:left w:val="none" w:sz="0" w:space="0" w:color="auto"/>
            <w:bottom w:val="none" w:sz="0" w:space="0" w:color="auto"/>
            <w:right w:val="none" w:sz="0" w:space="0" w:color="auto"/>
          </w:divBdr>
        </w:div>
        <w:div w:id="2040425939">
          <w:marLeft w:val="0"/>
          <w:marRight w:val="0"/>
          <w:marTop w:val="0"/>
          <w:marBottom w:val="0"/>
          <w:divBdr>
            <w:top w:val="none" w:sz="0" w:space="0" w:color="auto"/>
            <w:left w:val="none" w:sz="0" w:space="0" w:color="auto"/>
            <w:bottom w:val="none" w:sz="0" w:space="0" w:color="auto"/>
            <w:right w:val="none" w:sz="0" w:space="0" w:color="auto"/>
          </w:divBdr>
        </w:div>
        <w:div w:id="2095930969">
          <w:marLeft w:val="0"/>
          <w:marRight w:val="0"/>
          <w:marTop w:val="0"/>
          <w:marBottom w:val="0"/>
          <w:divBdr>
            <w:top w:val="none" w:sz="0" w:space="0" w:color="auto"/>
            <w:left w:val="none" w:sz="0" w:space="0" w:color="auto"/>
            <w:bottom w:val="none" w:sz="0" w:space="0" w:color="auto"/>
            <w:right w:val="none" w:sz="0" w:space="0" w:color="auto"/>
          </w:divBdr>
        </w:div>
        <w:div w:id="2132049861">
          <w:marLeft w:val="0"/>
          <w:marRight w:val="0"/>
          <w:marTop w:val="0"/>
          <w:marBottom w:val="0"/>
          <w:divBdr>
            <w:top w:val="none" w:sz="0" w:space="0" w:color="auto"/>
            <w:left w:val="none" w:sz="0" w:space="0" w:color="auto"/>
            <w:bottom w:val="none" w:sz="0" w:space="0" w:color="auto"/>
            <w:right w:val="none" w:sz="0" w:space="0" w:color="auto"/>
          </w:divBdr>
        </w:div>
      </w:divsChild>
    </w:div>
    <w:div w:id="1913395005">
      <w:bodyDiv w:val="1"/>
      <w:marLeft w:val="0"/>
      <w:marRight w:val="0"/>
      <w:marTop w:val="0"/>
      <w:marBottom w:val="0"/>
      <w:divBdr>
        <w:top w:val="none" w:sz="0" w:space="0" w:color="auto"/>
        <w:left w:val="none" w:sz="0" w:space="0" w:color="auto"/>
        <w:bottom w:val="none" w:sz="0" w:space="0" w:color="auto"/>
        <w:right w:val="none" w:sz="0" w:space="0" w:color="auto"/>
      </w:divBdr>
    </w:div>
    <w:div w:id="1914584752">
      <w:bodyDiv w:val="1"/>
      <w:marLeft w:val="0"/>
      <w:marRight w:val="0"/>
      <w:marTop w:val="0"/>
      <w:marBottom w:val="0"/>
      <w:divBdr>
        <w:top w:val="none" w:sz="0" w:space="0" w:color="auto"/>
        <w:left w:val="none" w:sz="0" w:space="0" w:color="auto"/>
        <w:bottom w:val="none" w:sz="0" w:space="0" w:color="auto"/>
        <w:right w:val="none" w:sz="0" w:space="0" w:color="auto"/>
      </w:divBdr>
    </w:div>
    <w:div w:id="2002349187">
      <w:bodyDiv w:val="1"/>
      <w:marLeft w:val="0"/>
      <w:marRight w:val="0"/>
      <w:marTop w:val="0"/>
      <w:marBottom w:val="0"/>
      <w:divBdr>
        <w:top w:val="none" w:sz="0" w:space="0" w:color="auto"/>
        <w:left w:val="none" w:sz="0" w:space="0" w:color="auto"/>
        <w:bottom w:val="none" w:sz="0" w:space="0" w:color="auto"/>
        <w:right w:val="none" w:sz="0" w:space="0" w:color="auto"/>
      </w:divBdr>
      <w:divsChild>
        <w:div w:id="236132542">
          <w:marLeft w:val="0"/>
          <w:marRight w:val="0"/>
          <w:marTop w:val="0"/>
          <w:marBottom w:val="0"/>
          <w:divBdr>
            <w:top w:val="none" w:sz="0" w:space="0" w:color="auto"/>
            <w:left w:val="none" w:sz="0" w:space="0" w:color="auto"/>
            <w:bottom w:val="none" w:sz="0" w:space="0" w:color="auto"/>
            <w:right w:val="none" w:sz="0" w:space="0" w:color="auto"/>
          </w:divBdr>
        </w:div>
        <w:div w:id="828250343">
          <w:marLeft w:val="0"/>
          <w:marRight w:val="0"/>
          <w:marTop w:val="0"/>
          <w:marBottom w:val="0"/>
          <w:divBdr>
            <w:top w:val="none" w:sz="0" w:space="0" w:color="auto"/>
            <w:left w:val="none" w:sz="0" w:space="0" w:color="auto"/>
            <w:bottom w:val="none" w:sz="0" w:space="0" w:color="auto"/>
            <w:right w:val="none" w:sz="0" w:space="0" w:color="auto"/>
          </w:divBdr>
        </w:div>
        <w:div w:id="1457797898">
          <w:marLeft w:val="0"/>
          <w:marRight w:val="0"/>
          <w:marTop w:val="0"/>
          <w:marBottom w:val="0"/>
          <w:divBdr>
            <w:top w:val="none" w:sz="0" w:space="0" w:color="auto"/>
            <w:left w:val="none" w:sz="0" w:space="0" w:color="auto"/>
            <w:bottom w:val="none" w:sz="0" w:space="0" w:color="auto"/>
            <w:right w:val="none" w:sz="0" w:space="0" w:color="auto"/>
          </w:divBdr>
        </w:div>
      </w:divsChild>
    </w:div>
    <w:div w:id="2111200945">
      <w:bodyDiv w:val="1"/>
      <w:marLeft w:val="0"/>
      <w:marRight w:val="0"/>
      <w:marTop w:val="0"/>
      <w:marBottom w:val="0"/>
      <w:divBdr>
        <w:top w:val="none" w:sz="0" w:space="0" w:color="auto"/>
        <w:left w:val="none" w:sz="0" w:space="0" w:color="auto"/>
        <w:bottom w:val="none" w:sz="0" w:space="0" w:color="auto"/>
        <w:right w:val="none" w:sz="0" w:space="0" w:color="auto"/>
      </w:divBdr>
      <w:divsChild>
        <w:div w:id="458184842">
          <w:marLeft w:val="0"/>
          <w:marRight w:val="0"/>
          <w:marTop w:val="0"/>
          <w:marBottom w:val="0"/>
          <w:divBdr>
            <w:top w:val="none" w:sz="0" w:space="0" w:color="auto"/>
            <w:left w:val="none" w:sz="0" w:space="0" w:color="auto"/>
            <w:bottom w:val="none" w:sz="0" w:space="0" w:color="auto"/>
            <w:right w:val="none" w:sz="0" w:space="0" w:color="auto"/>
          </w:divBdr>
        </w:div>
        <w:div w:id="792595563">
          <w:marLeft w:val="0"/>
          <w:marRight w:val="0"/>
          <w:marTop w:val="0"/>
          <w:marBottom w:val="0"/>
          <w:divBdr>
            <w:top w:val="none" w:sz="0" w:space="0" w:color="auto"/>
            <w:left w:val="none" w:sz="0" w:space="0" w:color="auto"/>
            <w:bottom w:val="none" w:sz="0" w:space="0" w:color="auto"/>
            <w:right w:val="none" w:sz="0" w:space="0" w:color="auto"/>
          </w:divBdr>
        </w:div>
        <w:div w:id="1191336624">
          <w:marLeft w:val="0"/>
          <w:marRight w:val="0"/>
          <w:marTop w:val="0"/>
          <w:marBottom w:val="0"/>
          <w:divBdr>
            <w:top w:val="none" w:sz="0" w:space="0" w:color="auto"/>
            <w:left w:val="none" w:sz="0" w:space="0" w:color="auto"/>
            <w:bottom w:val="none" w:sz="0" w:space="0" w:color="auto"/>
            <w:right w:val="none" w:sz="0" w:space="0" w:color="auto"/>
          </w:divBdr>
        </w:div>
        <w:div w:id="1199126698">
          <w:marLeft w:val="0"/>
          <w:marRight w:val="0"/>
          <w:marTop w:val="0"/>
          <w:marBottom w:val="0"/>
          <w:divBdr>
            <w:top w:val="none" w:sz="0" w:space="0" w:color="auto"/>
            <w:left w:val="none" w:sz="0" w:space="0" w:color="auto"/>
            <w:bottom w:val="none" w:sz="0" w:space="0" w:color="auto"/>
            <w:right w:val="none" w:sz="0" w:space="0" w:color="auto"/>
          </w:divBdr>
        </w:div>
        <w:div w:id="1469132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C74EB1AC2F3C4C8EE2282DD4F72A0B" ma:contentTypeVersion="" ma:contentTypeDescription="Create a new document." ma:contentTypeScope="" ma:versionID="99281cc912a659b7c4fb53a0866fb8fe">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63D6A-96B6-4CA9-AA56-8868D239F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24EBFBA-0974-4738-B49A-9E4624BA6DFF}">
  <ds:schemaRefs>
    <ds:schemaRef ds:uri="http://schemas.microsoft.com/sharepoint/v3/contenttype/forms"/>
  </ds:schemaRefs>
</ds:datastoreItem>
</file>

<file path=customXml/itemProps3.xml><?xml version="1.0" encoding="utf-8"?>
<ds:datastoreItem xmlns:ds="http://schemas.openxmlformats.org/officeDocument/2006/customXml" ds:itemID="{9CD8D6BB-F89A-40A0-8732-9B44688F19C4}">
  <ds:schemaRefs>
    <ds:schemaRef ds:uri="http://schemas.microsoft.com/office/infopath/2007/PartnerControls"/>
    <ds:schemaRef ds:uri="http://purl.org/dc/terms/"/>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E628E9A4-C7E4-42C1-A41F-0C77DA18E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7962</Words>
  <Characters>45390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GFIA response to Pillar 2 consultation 27112020</dc:title>
  <dc:subject/>
  <dc:creator>Gallon, Daniel</dc:creator>
  <cp:keywords/>
  <dc:description/>
  <cp:lastModifiedBy>Bachníček Jozef</cp:lastModifiedBy>
  <cp:revision>2</cp:revision>
  <dcterms:created xsi:type="dcterms:W3CDTF">2020-11-30T14:51:00Z</dcterms:created>
  <dcterms:modified xsi:type="dcterms:W3CDTF">2020-11-30T14:51:00Z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0x010100B1C74EB1AC2F3C4C8EE2282DD4F72A0B</vt:lpwstr>
  </property>
  <property fmtid="{D5CDD505-2E9C-101B-9397-08002B2CF9AE}" pid="3" name="Can be edited">
    <vt:bool>true</vt:bool>
  </property>
  <property fmtid="{D5CDD505-2E9C-101B-9397-08002B2CF9AE}" pid="4" name="isAnnex">
    <vt:lpwstr>False</vt:lpwstr>
  </property>
  <property fmtid="{D5CDD505-2E9C-101B-9397-08002B2CF9AE}" pid="5" name="Validated">
    <vt:bool>false</vt:bool>
  </property>
  <property fmtid="{D5CDD505-2E9C-101B-9397-08002B2CF9AE}" pid="6" name="Deadline">
    <vt:filetime>2020-12-03T22:55:00Z</vt:filetime>
  </property>
  <property fmtid="{D5CDD505-2E9C-101B-9397-08002B2CF9AE}" pid="7" name="Display validated documents library button">
    <vt:bool>true</vt:bool>
  </property>
  <property fmtid="{D5CDD505-2E9C-101B-9397-08002B2CF9AE}" pid="8" name="AllowComments">
    <vt:bool>false</vt:bool>
  </property>
  <property fmtid="{D5CDD505-2E9C-101B-9397-08002B2CF9AE}" pid="9" name="Uploads">
    <vt:bool>true</vt:bool>
  </property>
</Properties>
</file>