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9F3E6" w14:textId="77777777" w:rsidR="007E3A35" w:rsidRPr="001A2846" w:rsidRDefault="007E3A35" w:rsidP="00C259BD">
      <w:pPr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680D6473" w14:textId="77777777" w:rsidR="000F682F" w:rsidRPr="001A2846" w:rsidRDefault="000F682F" w:rsidP="00C259BD">
      <w:pPr>
        <w:rPr>
          <w:rFonts w:asciiTheme="minorHAnsi" w:eastAsiaTheme="minorHAnsi" w:hAnsiTheme="minorHAnsi" w:cstheme="minorHAnsi"/>
          <w:color w:val="000000"/>
          <w:sz w:val="20"/>
          <w:szCs w:val="20"/>
        </w:rPr>
      </w:pPr>
    </w:p>
    <w:p w14:paraId="04B9690F" w14:textId="09522F95" w:rsidR="00C21360" w:rsidRDefault="00C21360" w:rsidP="00C259BD">
      <w:pPr>
        <w:widowControl w:val="0"/>
        <w:pBdr>
          <w:top w:val="nil"/>
          <w:left w:val="nil"/>
          <w:bottom w:val="nil"/>
          <w:right w:val="nil"/>
          <w:between w:val="nil"/>
        </w:pBdr>
        <w:ind w:right="5506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C16088">
        <w:rPr>
          <w:rFonts w:asciiTheme="minorHAnsi" w:eastAsiaTheme="minorHAnsi" w:hAnsiTheme="minorHAnsi" w:cstheme="minorHAnsi"/>
          <w:color w:val="000000"/>
          <w:sz w:val="20"/>
          <w:szCs w:val="20"/>
        </w:rPr>
        <w:t>International Accounting</w:t>
      </w:r>
      <w:r w:rsidR="00C16088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Pr="00C16088">
        <w:rPr>
          <w:rFonts w:asciiTheme="minorHAnsi" w:eastAsiaTheme="minorHAnsi" w:hAnsiTheme="minorHAnsi" w:cstheme="minorHAnsi"/>
          <w:color w:val="000000"/>
          <w:sz w:val="20"/>
          <w:szCs w:val="20"/>
        </w:rPr>
        <w:t>Standards Board</w:t>
      </w:r>
    </w:p>
    <w:p w14:paraId="30F80FBE" w14:textId="1FCE2AAA" w:rsidR="00C16088" w:rsidRPr="00C16088" w:rsidRDefault="00C16088" w:rsidP="00C259BD">
      <w:pPr>
        <w:widowControl w:val="0"/>
        <w:pBdr>
          <w:top w:val="nil"/>
          <w:left w:val="nil"/>
          <w:bottom w:val="nil"/>
          <w:right w:val="nil"/>
          <w:between w:val="nil"/>
        </w:pBdr>
        <w:ind w:right="5506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Attn. Mr. </w:t>
      </w:r>
      <w:r w:rsidR="000822A6">
        <w:rPr>
          <w:rFonts w:asciiTheme="minorHAnsi" w:eastAsiaTheme="minorHAnsi" w:hAnsiTheme="minorHAnsi" w:cstheme="minorHAnsi"/>
          <w:color w:val="000000"/>
          <w:sz w:val="20"/>
          <w:szCs w:val="20"/>
        </w:rPr>
        <w:t>A. Barckow</w:t>
      </w:r>
    </w:p>
    <w:p w14:paraId="58001860" w14:textId="77777777" w:rsidR="00C21360" w:rsidRPr="00C16088" w:rsidRDefault="00C21360" w:rsidP="00C259BD">
      <w:pPr>
        <w:widowControl w:val="0"/>
        <w:pBdr>
          <w:top w:val="nil"/>
          <w:left w:val="nil"/>
          <w:bottom w:val="nil"/>
          <w:right w:val="nil"/>
          <w:between w:val="nil"/>
        </w:pBdr>
        <w:ind w:right="6222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C16088">
        <w:rPr>
          <w:rFonts w:asciiTheme="minorHAnsi" w:eastAsiaTheme="minorHAnsi" w:hAnsiTheme="minorHAnsi" w:cstheme="minorHAnsi"/>
          <w:color w:val="000000"/>
          <w:sz w:val="20"/>
          <w:szCs w:val="20"/>
        </w:rPr>
        <w:t>7 Westferry Circus</w:t>
      </w:r>
    </w:p>
    <w:p w14:paraId="16B3EFFF" w14:textId="77777777" w:rsidR="00C21360" w:rsidRPr="00C16088" w:rsidRDefault="00C21360" w:rsidP="00C259BD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C16088">
        <w:rPr>
          <w:rFonts w:asciiTheme="minorHAnsi" w:eastAsiaTheme="minorHAnsi" w:hAnsiTheme="minorHAnsi" w:cstheme="minorHAnsi"/>
          <w:color w:val="000000"/>
          <w:sz w:val="20"/>
          <w:szCs w:val="20"/>
        </w:rPr>
        <w:t>London, E14 4HD</w:t>
      </w:r>
    </w:p>
    <w:p w14:paraId="100ACA4E" w14:textId="77777777" w:rsidR="00C21360" w:rsidRPr="00C16088" w:rsidRDefault="00C21360" w:rsidP="00C259BD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C16088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United Kingdom </w:t>
      </w:r>
    </w:p>
    <w:p w14:paraId="059988A2" w14:textId="412C5574" w:rsidR="005861E7" w:rsidRPr="00C16088" w:rsidRDefault="001859B2" w:rsidP="00C259BD">
      <w:pPr>
        <w:rPr>
          <w:rFonts w:asciiTheme="minorHAnsi" w:hAnsiTheme="minorHAnsi" w:cstheme="minorHAnsi"/>
          <w:sz w:val="20"/>
          <w:szCs w:val="20"/>
          <w:lang w:val="en-GB"/>
        </w:rPr>
      </w:pPr>
      <w:r w:rsidRPr="00C16088">
        <w:rPr>
          <w:rFonts w:asciiTheme="minorHAnsi" w:eastAsiaTheme="minorHAnsi" w:hAnsiTheme="minorHAnsi" w:cstheme="minorHAnsi"/>
          <w:color w:val="000000"/>
          <w:sz w:val="20"/>
          <w:szCs w:val="20"/>
        </w:rPr>
        <w:br/>
      </w:r>
      <w:r w:rsidRPr="00C16088">
        <w:rPr>
          <w:rFonts w:asciiTheme="minorHAnsi" w:eastAsiaTheme="minorHAnsi" w:hAnsiTheme="minorHAnsi" w:cstheme="minorHAnsi"/>
          <w:color w:val="000000"/>
          <w:sz w:val="20"/>
          <w:szCs w:val="20"/>
        </w:rPr>
        <w:br/>
      </w:r>
      <w:proofErr w:type="gramStart"/>
      <w:r w:rsidR="000822A6">
        <w:rPr>
          <w:rFonts w:asciiTheme="minorHAnsi" w:eastAsiaTheme="minorHAnsi" w:hAnsiTheme="minorHAnsi" w:cstheme="minorHAnsi"/>
          <w:color w:val="000000"/>
          <w:sz w:val="20"/>
          <w:szCs w:val="20"/>
        </w:rPr>
        <w:t>[ ]</w:t>
      </w:r>
      <w:proofErr w:type="gramEnd"/>
      <w:r w:rsidR="00A77ACD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="000822A6">
        <w:rPr>
          <w:rFonts w:asciiTheme="minorHAnsi" w:eastAsiaTheme="minorHAnsi" w:hAnsiTheme="minorHAnsi" w:cstheme="minorHAnsi"/>
          <w:color w:val="000000"/>
          <w:sz w:val="20"/>
          <w:szCs w:val="20"/>
        </w:rPr>
        <w:t>September</w:t>
      </w:r>
      <w:r w:rsidR="00A15BFB" w:rsidRPr="00C16088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="00C21360" w:rsidRPr="00C16088">
        <w:rPr>
          <w:rFonts w:asciiTheme="minorHAnsi" w:eastAsiaTheme="minorHAnsi" w:hAnsiTheme="minorHAnsi" w:cstheme="minorHAnsi"/>
          <w:color w:val="000000"/>
          <w:sz w:val="20"/>
          <w:szCs w:val="20"/>
        </w:rPr>
        <w:t>20</w:t>
      </w:r>
      <w:r w:rsidR="00A15BFB" w:rsidRPr="00C16088">
        <w:rPr>
          <w:rFonts w:asciiTheme="minorHAnsi" w:eastAsiaTheme="minorHAnsi" w:hAnsiTheme="minorHAnsi" w:cstheme="minorHAnsi"/>
          <w:color w:val="000000"/>
          <w:sz w:val="20"/>
          <w:szCs w:val="20"/>
        </w:rPr>
        <w:t>2</w:t>
      </w:r>
      <w:r w:rsidR="00513157">
        <w:rPr>
          <w:rFonts w:asciiTheme="minorHAnsi" w:eastAsiaTheme="minorHAnsi" w:hAnsiTheme="minorHAnsi" w:cstheme="minorHAnsi"/>
          <w:color w:val="000000"/>
          <w:sz w:val="20"/>
          <w:szCs w:val="20"/>
        </w:rPr>
        <w:t>1</w:t>
      </w:r>
    </w:p>
    <w:p w14:paraId="29F734F1" w14:textId="34E08CB6" w:rsidR="005861E7" w:rsidRPr="00C16088" w:rsidRDefault="005861E7" w:rsidP="00C259BD">
      <w:pPr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0BB6CAC2" w14:textId="34BB2403" w:rsidR="005861E7" w:rsidRPr="00C16088" w:rsidRDefault="005861E7" w:rsidP="00C259BD">
      <w:pPr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0A614E80" w14:textId="6E4460A3" w:rsidR="00A4418F" w:rsidRPr="00C16088" w:rsidRDefault="00A4418F" w:rsidP="00C259BD">
      <w:pPr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C16088">
        <w:rPr>
          <w:rFonts w:asciiTheme="minorHAnsi" w:hAnsiTheme="minorHAnsi" w:cstheme="minorHAnsi"/>
          <w:sz w:val="20"/>
          <w:szCs w:val="20"/>
          <w:lang w:val="en-GB"/>
        </w:rPr>
        <w:t xml:space="preserve">Dear Mr. </w:t>
      </w:r>
      <w:r w:rsidR="000822A6">
        <w:rPr>
          <w:rFonts w:asciiTheme="minorHAnsi" w:hAnsiTheme="minorHAnsi" w:cstheme="minorHAnsi"/>
          <w:sz w:val="20"/>
          <w:szCs w:val="20"/>
          <w:lang w:val="en-GB"/>
        </w:rPr>
        <w:t>Barckow,</w:t>
      </w:r>
    </w:p>
    <w:p w14:paraId="2C198FD0" w14:textId="77777777" w:rsidR="00A4418F" w:rsidRPr="00C16088" w:rsidRDefault="00A4418F" w:rsidP="00C259BD">
      <w:pPr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795A3CC0" w14:textId="284B34B1" w:rsidR="00A36C74" w:rsidRPr="00B97230" w:rsidRDefault="000822A6" w:rsidP="00C259BD">
      <w:pPr>
        <w:widowControl w:val="0"/>
        <w:pBdr>
          <w:top w:val="nil"/>
          <w:left w:val="nil"/>
          <w:bottom w:val="nil"/>
          <w:right w:val="nil"/>
          <w:between w:val="nil"/>
        </w:pBdr>
        <w:ind w:right="117"/>
        <w:rPr>
          <w:rFonts w:asciiTheme="minorHAnsi" w:eastAsia="Georgia" w:hAnsiTheme="minorHAnsi" w:cstheme="minorHAnsi"/>
          <w:color w:val="000000"/>
          <w:sz w:val="20"/>
          <w:szCs w:val="20"/>
          <w:lang w:val="en-GB"/>
        </w:rPr>
      </w:pPr>
      <w:r>
        <w:rPr>
          <w:rFonts w:asciiTheme="minorHAnsi" w:eastAsiaTheme="minorHAnsi" w:hAnsiTheme="minorHAnsi" w:cstheme="minorHAnsi"/>
          <w:b/>
          <w:color w:val="000000"/>
          <w:sz w:val="20"/>
          <w:szCs w:val="20"/>
        </w:rPr>
        <w:t xml:space="preserve">Exposure Draft </w:t>
      </w:r>
      <w:r w:rsidR="00EE4E07">
        <w:rPr>
          <w:rFonts w:asciiTheme="minorHAnsi" w:eastAsiaTheme="minorHAnsi" w:hAnsiTheme="minorHAnsi" w:cstheme="minorHAnsi"/>
          <w:b/>
          <w:color w:val="000000"/>
          <w:sz w:val="20"/>
          <w:szCs w:val="20"/>
        </w:rPr>
        <w:t>ED/2021/8 Initial Application of IFRS 17 and IFRS 9 – Comparative Information, Proposed Amendments to IFRS 17</w:t>
      </w:r>
      <w:r>
        <w:rPr>
          <w:rFonts w:asciiTheme="minorHAnsi" w:eastAsiaTheme="minorHAnsi" w:hAnsiTheme="minorHAnsi" w:cstheme="minorHAnsi"/>
          <w:b/>
          <w:color w:val="000000"/>
          <w:sz w:val="20"/>
          <w:szCs w:val="20"/>
        </w:rPr>
        <w:t xml:space="preserve"> (“Exposure Draft”)</w:t>
      </w:r>
      <w:r w:rsidR="001859B2" w:rsidRPr="00C16088">
        <w:rPr>
          <w:rFonts w:asciiTheme="minorHAnsi" w:eastAsiaTheme="minorHAnsi" w:hAnsiTheme="minorHAnsi" w:cstheme="minorHAnsi"/>
          <w:color w:val="000000"/>
          <w:sz w:val="20"/>
          <w:szCs w:val="20"/>
        </w:rPr>
        <w:br/>
      </w:r>
      <w:r w:rsidR="001859B2" w:rsidRPr="00F90895">
        <w:rPr>
          <w:rFonts w:asciiTheme="minorHAnsi" w:eastAsiaTheme="minorHAnsi" w:hAnsiTheme="minorHAnsi" w:cstheme="minorHAnsi"/>
          <w:color w:val="000000"/>
          <w:sz w:val="20"/>
          <w:szCs w:val="20"/>
        </w:rPr>
        <w:br/>
      </w:r>
      <w:r w:rsidR="00F90895" w:rsidRPr="00C60A50">
        <w:rPr>
          <w:rFonts w:asciiTheme="minorHAnsi" w:eastAsia="Georgia" w:hAnsiTheme="minorHAnsi" w:cstheme="minorHAnsi"/>
          <w:color w:val="000000"/>
          <w:sz w:val="20"/>
          <w:szCs w:val="20"/>
          <w:lang w:val="en-GB"/>
        </w:rPr>
        <w:t>This letter has been drafted by the European Insurance CFO Forum (“CFO Forum”), a body representing the views of 23 of Europe’s largest insurance companies</w:t>
      </w:r>
      <w:r w:rsidR="00B97230">
        <w:rPr>
          <w:rFonts w:asciiTheme="minorHAnsi" w:eastAsia="Georgia" w:hAnsiTheme="minorHAnsi" w:cstheme="minorHAnsi"/>
          <w:color w:val="000000"/>
          <w:sz w:val="20"/>
          <w:szCs w:val="20"/>
          <w:lang w:val="en-GB"/>
        </w:rPr>
        <w:t>,</w:t>
      </w:r>
      <w:r w:rsidR="00360BD7" w:rsidRPr="00C60A50">
        <w:rPr>
          <w:rFonts w:asciiTheme="minorHAnsi" w:eastAsia="Georgia" w:hAnsiTheme="minorHAnsi" w:cstheme="minorHAnsi"/>
          <w:color w:val="000000"/>
          <w:sz w:val="20"/>
          <w:szCs w:val="20"/>
          <w:lang w:val="en-GB"/>
        </w:rPr>
        <w:t xml:space="preserve"> </w:t>
      </w:r>
      <w:r w:rsidR="00360BD7" w:rsidRPr="00B97230">
        <w:rPr>
          <w:rFonts w:asciiTheme="minorHAnsi" w:eastAsia="Georgia" w:hAnsiTheme="minorHAnsi" w:cstheme="minorHAnsi"/>
          <w:color w:val="000000"/>
          <w:sz w:val="20"/>
          <w:szCs w:val="20"/>
          <w:lang w:val="en-GB"/>
        </w:rPr>
        <w:t>and Insurance Europe, representing 95% of the premium income of the European insurance market. Accordingly, it represents the consensus view of the European insurance industry.</w:t>
      </w:r>
    </w:p>
    <w:p w14:paraId="55933D0A" w14:textId="77777777" w:rsidR="00A36C74" w:rsidRPr="000822A6" w:rsidRDefault="00A36C74" w:rsidP="00C259BD">
      <w:pPr>
        <w:widowControl w:val="0"/>
        <w:pBdr>
          <w:top w:val="nil"/>
          <w:left w:val="nil"/>
          <w:bottom w:val="nil"/>
          <w:right w:val="nil"/>
          <w:between w:val="nil"/>
        </w:pBdr>
        <w:ind w:right="117"/>
        <w:rPr>
          <w:rFonts w:asciiTheme="minorHAnsi" w:eastAsia="Georgia" w:hAnsiTheme="minorHAnsi" w:cstheme="minorHAnsi"/>
          <w:color w:val="000000"/>
          <w:sz w:val="20"/>
          <w:szCs w:val="20"/>
          <w:highlight w:val="yellow"/>
          <w:lang w:val="en-GB"/>
        </w:rPr>
      </w:pPr>
    </w:p>
    <w:p w14:paraId="48BF5C31" w14:textId="67D64074" w:rsidR="00513157" w:rsidRPr="00784748" w:rsidRDefault="00513157" w:rsidP="00C259BD">
      <w:pPr>
        <w:widowControl w:val="0"/>
        <w:pBdr>
          <w:top w:val="nil"/>
          <w:left w:val="nil"/>
          <w:bottom w:val="nil"/>
          <w:right w:val="nil"/>
          <w:between w:val="nil"/>
        </w:pBdr>
        <w:ind w:right="117"/>
        <w:rPr>
          <w:rFonts w:asciiTheme="minorHAnsi" w:eastAsia="Georgia" w:hAnsiTheme="minorHAnsi" w:cstheme="minorHAnsi"/>
          <w:color w:val="000000"/>
          <w:sz w:val="20"/>
          <w:szCs w:val="20"/>
          <w:lang w:val="en-GB"/>
        </w:rPr>
      </w:pPr>
      <w:r w:rsidRPr="00784748">
        <w:rPr>
          <w:rFonts w:asciiTheme="minorHAnsi" w:eastAsiaTheme="minorHAnsi" w:hAnsiTheme="minorHAnsi" w:cstheme="minorHAnsi"/>
          <w:color w:val="000000"/>
          <w:sz w:val="20"/>
          <w:szCs w:val="20"/>
        </w:rPr>
        <w:t>We welcome</w:t>
      </w:r>
      <w:r w:rsidR="008D26B8" w:rsidRPr="00784748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="00B97230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and appreciate </w:t>
      </w:r>
      <w:r w:rsidR="008D26B8" w:rsidRPr="00784748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the efforts made by the IASB to address the concerns raised by the European insurance industry regarding the presentation of meaningful comparative information on </w:t>
      </w:r>
      <w:r w:rsidR="00403BF0">
        <w:rPr>
          <w:rFonts w:asciiTheme="minorHAnsi" w:eastAsiaTheme="minorHAnsi" w:hAnsiTheme="minorHAnsi" w:cstheme="minorHAnsi"/>
          <w:color w:val="000000"/>
          <w:sz w:val="20"/>
          <w:szCs w:val="20"/>
        </w:rPr>
        <w:t>initial application of IFRS 17 and IFRS 9</w:t>
      </w:r>
      <w:r w:rsidRPr="00784748">
        <w:rPr>
          <w:rFonts w:asciiTheme="minorHAnsi" w:eastAsiaTheme="minorHAnsi" w:hAnsiTheme="minorHAnsi" w:cstheme="minorHAnsi"/>
          <w:color w:val="000000"/>
          <w:sz w:val="20"/>
          <w:szCs w:val="20"/>
        </w:rPr>
        <w:t>.</w:t>
      </w:r>
    </w:p>
    <w:p w14:paraId="185B4FE4" w14:textId="132B64C1" w:rsidR="00513157" w:rsidRPr="000822A6" w:rsidRDefault="00513157" w:rsidP="00C259BD">
      <w:pPr>
        <w:rPr>
          <w:rFonts w:asciiTheme="minorHAnsi" w:eastAsiaTheme="minorHAnsi" w:hAnsiTheme="minorHAnsi" w:cstheme="minorHAnsi"/>
          <w:color w:val="000000"/>
          <w:sz w:val="20"/>
          <w:szCs w:val="20"/>
          <w:highlight w:val="yellow"/>
        </w:rPr>
      </w:pPr>
    </w:p>
    <w:p w14:paraId="02C50D98" w14:textId="6BD1F8C3" w:rsidR="000517A4" w:rsidRPr="00784748" w:rsidRDefault="00784748" w:rsidP="00C259BD">
      <w:pPr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</w:rPr>
      </w:pPr>
      <w:r w:rsidRPr="00784748"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</w:rPr>
        <w:t>Concerns addressed by the Exposure Draft</w:t>
      </w:r>
    </w:p>
    <w:p w14:paraId="46B24ADF" w14:textId="45DAAAC3" w:rsidR="00784748" w:rsidRDefault="00F13710" w:rsidP="00BC095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744320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Our letters to the IASB, dated </w:t>
      </w:r>
      <w:r w:rsidR="00355130" w:rsidRPr="00744320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6 May 2021 and 21 May 2021, expressed our concern </w:t>
      </w:r>
      <w:r w:rsidR="005A6FC8" w:rsidRPr="00744320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that the </w:t>
      </w:r>
      <w:r w:rsidR="00B97230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current </w:t>
      </w:r>
      <w:r w:rsidR="005A6FC8" w:rsidRPr="00744320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requirements of IFRS 9 </w:t>
      </w:r>
      <w:r w:rsidR="00B97230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would </w:t>
      </w:r>
      <w:r w:rsidR="005A6FC8" w:rsidRPr="00744320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result in non-comparable accounting treatments between the current and comparative periods where an entity chooses to restate comparatives </w:t>
      </w:r>
      <w:r w:rsidR="00744320">
        <w:rPr>
          <w:rFonts w:asciiTheme="minorHAnsi" w:eastAsiaTheme="minorHAnsi" w:hAnsiTheme="minorHAnsi" w:cstheme="minorHAnsi"/>
          <w:color w:val="000000"/>
          <w:sz w:val="20"/>
          <w:szCs w:val="20"/>
        </w:rPr>
        <w:t>on adoption of</w:t>
      </w:r>
      <w:r w:rsidR="005A6FC8" w:rsidRPr="00744320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IFRS 9, as the only financial instruments that can be restated in the comparative period are those still held at the date of transition. The</w:t>
      </w:r>
      <w:r w:rsidR="005A6FC8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Exposure Draft addresses </w:t>
      </w:r>
      <w:r w:rsidR="00B97230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our </w:t>
      </w:r>
      <w:r w:rsidR="00A86E27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main </w:t>
      </w:r>
      <w:r w:rsidR="00B97230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classification </w:t>
      </w:r>
      <w:r w:rsidR="005A6FC8">
        <w:rPr>
          <w:rFonts w:asciiTheme="minorHAnsi" w:eastAsiaTheme="minorHAnsi" w:hAnsiTheme="minorHAnsi" w:cstheme="minorHAnsi"/>
          <w:color w:val="000000"/>
          <w:sz w:val="20"/>
          <w:szCs w:val="20"/>
        </w:rPr>
        <w:t>concerns in th</w:t>
      </w:r>
      <w:r w:rsidR="00403BF0">
        <w:rPr>
          <w:rFonts w:asciiTheme="minorHAnsi" w:eastAsiaTheme="minorHAnsi" w:hAnsiTheme="minorHAnsi" w:cstheme="minorHAnsi"/>
          <w:color w:val="000000"/>
          <w:sz w:val="20"/>
          <w:szCs w:val="20"/>
        </w:rPr>
        <w:t>is</w:t>
      </w:r>
      <w:r w:rsidR="005A6FC8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area by </w:t>
      </w:r>
      <w:r w:rsidR="00403BF0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permitting </w:t>
      </w:r>
      <w:r w:rsidR="005A6FC8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an entity to apply a classification overlay </w:t>
      </w:r>
      <w:r w:rsidR="005D1FEB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in the comparative period </w:t>
      </w:r>
      <w:r w:rsidR="005A6FC8">
        <w:rPr>
          <w:rFonts w:asciiTheme="minorHAnsi" w:eastAsiaTheme="minorHAnsi" w:hAnsiTheme="minorHAnsi" w:cstheme="minorHAnsi"/>
          <w:color w:val="000000"/>
          <w:sz w:val="20"/>
          <w:szCs w:val="20"/>
        </w:rPr>
        <w:t>to all</w:t>
      </w:r>
      <w:r w:rsidR="00B505C5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="00B505C5" w:rsidRPr="00BC095D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financial assets that are held in respect of an activity that is </w:t>
      </w:r>
      <w:r w:rsidR="006B0076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not </w:t>
      </w:r>
      <w:r w:rsidR="00B505C5" w:rsidRPr="00BC095D">
        <w:rPr>
          <w:rFonts w:asciiTheme="minorHAnsi" w:eastAsiaTheme="minorHAnsi" w:hAnsiTheme="minorHAnsi" w:cstheme="minorHAnsi"/>
          <w:color w:val="000000"/>
          <w:sz w:val="20"/>
          <w:szCs w:val="20"/>
        </w:rPr>
        <w:t>unconnected with contracts within the scope of IFRS 17</w:t>
      </w:r>
      <w:r w:rsidR="005A6FC8">
        <w:rPr>
          <w:rFonts w:asciiTheme="minorHAnsi" w:eastAsiaTheme="minorHAnsi" w:hAnsiTheme="minorHAnsi" w:cstheme="minorHAnsi"/>
          <w:color w:val="000000"/>
          <w:sz w:val="20"/>
          <w:szCs w:val="20"/>
        </w:rPr>
        <w:t>.</w:t>
      </w:r>
    </w:p>
    <w:p w14:paraId="63D3A59C" w14:textId="49854210" w:rsidR="005D1FEB" w:rsidRDefault="005D1FEB" w:rsidP="00C259BD">
      <w:pPr>
        <w:rPr>
          <w:rFonts w:asciiTheme="minorHAnsi" w:eastAsiaTheme="minorHAnsi" w:hAnsiTheme="minorHAnsi" w:cstheme="minorHAnsi"/>
          <w:color w:val="000000"/>
          <w:sz w:val="20"/>
          <w:szCs w:val="20"/>
        </w:rPr>
      </w:pPr>
    </w:p>
    <w:p w14:paraId="0A02AD7A" w14:textId="54B1DB60" w:rsidR="00743814" w:rsidRDefault="005D1FEB" w:rsidP="00C259BD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CC528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Entities </w:t>
      </w:r>
      <w:r w:rsidRPr="001A29A0">
        <w:rPr>
          <w:rFonts w:asciiTheme="minorHAnsi" w:hAnsiTheme="minorHAnsi" w:cstheme="minorHAnsi"/>
          <w:color w:val="000000"/>
          <w:sz w:val="20"/>
          <w:szCs w:val="20"/>
        </w:rPr>
        <w:t xml:space="preserve">choosing to restate comparative information under IFRS 9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will be able to classify </w:t>
      </w:r>
      <w:r w:rsidR="00B505C5">
        <w:rPr>
          <w:rFonts w:asciiTheme="minorHAnsi" w:hAnsiTheme="minorHAnsi" w:cstheme="minorHAnsi"/>
          <w:color w:val="000000"/>
          <w:sz w:val="20"/>
          <w:szCs w:val="20"/>
        </w:rPr>
        <w:t xml:space="preserve">those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financial instruments in the same way in the comparative period as they intend to </w:t>
      </w:r>
      <w:r w:rsidR="00F64FAF">
        <w:rPr>
          <w:rFonts w:asciiTheme="minorHAnsi" w:hAnsiTheme="minorHAnsi" w:cstheme="minorHAnsi"/>
          <w:color w:val="000000"/>
          <w:sz w:val="20"/>
          <w:szCs w:val="20"/>
        </w:rPr>
        <w:t>following</w:t>
      </w:r>
      <w:r w:rsidR="00744320">
        <w:rPr>
          <w:rFonts w:asciiTheme="minorHAnsi" w:hAnsiTheme="minorHAnsi" w:cstheme="minorHAnsi"/>
          <w:color w:val="000000"/>
          <w:sz w:val="20"/>
          <w:szCs w:val="20"/>
        </w:rPr>
        <w:t xml:space="preserve"> adoption of IFRS 9 and IFRS 17</w:t>
      </w:r>
      <w:r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403BF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743814">
        <w:rPr>
          <w:rFonts w:asciiTheme="minorHAnsi" w:hAnsiTheme="minorHAnsi" w:cstheme="minorHAnsi"/>
          <w:color w:val="000000"/>
          <w:sz w:val="20"/>
          <w:szCs w:val="20"/>
        </w:rPr>
        <w:t xml:space="preserve">In addition, the option in paragraph C28C of the Exposure Draft to apply the impairment requirements of IFRS 9 allows an entity to restate impairment for all financial assets in the comparative period, </w:t>
      </w:r>
      <w:r w:rsidR="00B505C5">
        <w:rPr>
          <w:rFonts w:asciiTheme="minorHAnsi" w:hAnsiTheme="minorHAnsi" w:cstheme="minorHAnsi"/>
          <w:color w:val="000000"/>
          <w:sz w:val="20"/>
          <w:szCs w:val="20"/>
        </w:rPr>
        <w:t xml:space="preserve">including those that </w:t>
      </w:r>
      <w:r w:rsidR="00A86E27">
        <w:rPr>
          <w:rFonts w:asciiTheme="minorHAnsi" w:hAnsiTheme="minorHAnsi" w:cstheme="minorHAnsi"/>
          <w:color w:val="000000"/>
          <w:sz w:val="20"/>
          <w:szCs w:val="20"/>
        </w:rPr>
        <w:t>are</w:t>
      </w:r>
      <w:r w:rsidR="00B505C5">
        <w:rPr>
          <w:rFonts w:asciiTheme="minorHAnsi" w:hAnsiTheme="minorHAnsi" w:cstheme="minorHAnsi"/>
          <w:color w:val="000000"/>
          <w:sz w:val="20"/>
          <w:szCs w:val="20"/>
        </w:rPr>
        <w:t xml:space="preserve"> derecogni</w:t>
      </w:r>
      <w:r w:rsidR="00541D23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="00B505C5">
        <w:rPr>
          <w:rFonts w:asciiTheme="minorHAnsi" w:hAnsiTheme="minorHAnsi" w:cstheme="minorHAnsi"/>
          <w:color w:val="000000"/>
          <w:sz w:val="20"/>
          <w:szCs w:val="20"/>
        </w:rPr>
        <w:t xml:space="preserve">ed during this comparative period, </w:t>
      </w:r>
      <w:r w:rsidR="00743814">
        <w:rPr>
          <w:rFonts w:asciiTheme="minorHAnsi" w:hAnsiTheme="minorHAnsi" w:cstheme="minorHAnsi"/>
          <w:color w:val="000000"/>
          <w:sz w:val="20"/>
          <w:szCs w:val="20"/>
        </w:rPr>
        <w:t xml:space="preserve">thereby improving consistency of measurement of financial assets between the two reporting periods. </w:t>
      </w:r>
      <w:r w:rsidR="0075767E">
        <w:rPr>
          <w:rFonts w:asciiTheme="minorHAnsi" w:hAnsiTheme="minorHAnsi" w:cstheme="minorHAnsi"/>
          <w:color w:val="000000"/>
          <w:sz w:val="20"/>
          <w:szCs w:val="20"/>
        </w:rPr>
        <w:t>Therefore,</w:t>
      </w:r>
      <w:r w:rsidR="00403BF0">
        <w:rPr>
          <w:rFonts w:asciiTheme="minorHAnsi" w:hAnsiTheme="minorHAnsi" w:cstheme="minorHAnsi"/>
          <w:color w:val="000000"/>
          <w:sz w:val="20"/>
          <w:szCs w:val="20"/>
        </w:rPr>
        <w:t xml:space="preserve"> when comparatives are restated, these two proposed amendments will improve the quality of reporting to the users of the financial statements.</w:t>
      </w:r>
    </w:p>
    <w:p w14:paraId="75D23B2D" w14:textId="77777777" w:rsidR="00743814" w:rsidRDefault="00743814" w:rsidP="00C259BD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08938EC2" w14:textId="383FA803" w:rsidR="00BC095D" w:rsidRDefault="005D1FEB" w:rsidP="00C259BD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The overlay will also reduce the </w:t>
      </w:r>
      <w:r w:rsidR="00B505C5">
        <w:rPr>
          <w:rFonts w:asciiTheme="minorHAnsi" w:hAnsiTheme="minorHAnsi" w:cstheme="minorHAnsi"/>
          <w:color w:val="000000"/>
          <w:sz w:val="20"/>
          <w:szCs w:val="20"/>
        </w:rPr>
        <w:t xml:space="preserve">significant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operational impact of derecognition of financial assets during 2022, as it will no longer be necessary to </w:t>
      </w:r>
      <w:r w:rsidRPr="001A29A0">
        <w:rPr>
          <w:rFonts w:asciiTheme="minorHAnsi" w:hAnsiTheme="minorHAnsi" w:cstheme="minorHAnsi"/>
          <w:color w:val="000000"/>
          <w:sz w:val="20"/>
          <w:szCs w:val="20"/>
        </w:rPr>
        <w:t xml:space="preserve">adjust the </w:t>
      </w:r>
      <w:r w:rsidR="00F64FAF">
        <w:rPr>
          <w:rFonts w:asciiTheme="minorHAnsi" w:hAnsiTheme="minorHAnsi" w:cstheme="minorHAnsi"/>
          <w:color w:val="000000"/>
          <w:sz w:val="20"/>
          <w:szCs w:val="20"/>
        </w:rPr>
        <w:t xml:space="preserve">restated </w:t>
      </w:r>
      <w:r w:rsidRPr="001A29A0">
        <w:rPr>
          <w:rFonts w:asciiTheme="minorHAnsi" w:hAnsiTheme="minorHAnsi" w:cstheme="minorHAnsi"/>
          <w:color w:val="000000"/>
          <w:sz w:val="20"/>
          <w:szCs w:val="20"/>
        </w:rPr>
        <w:t xml:space="preserve">2022 opening position several times after each interim reporting date in 2022 as assets are derecognised throughout the year.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This will enhance the trust markets can place on transition information disclosed by insurers during 2022, as </w:t>
      </w:r>
      <w:r w:rsidR="00744320">
        <w:rPr>
          <w:rFonts w:asciiTheme="minorHAnsi" w:hAnsiTheme="minorHAnsi" w:cstheme="minorHAnsi"/>
          <w:color w:val="000000"/>
          <w:sz w:val="20"/>
          <w:szCs w:val="20"/>
        </w:rPr>
        <w:t xml:space="preserve">all financial assets related to insurance liabilities will be </w:t>
      </w:r>
      <w:r w:rsidR="00F64FAF">
        <w:rPr>
          <w:rFonts w:asciiTheme="minorHAnsi" w:hAnsiTheme="minorHAnsi" w:cstheme="minorHAnsi"/>
          <w:color w:val="000000"/>
          <w:sz w:val="20"/>
          <w:szCs w:val="20"/>
        </w:rPr>
        <w:t xml:space="preserve">classified </w:t>
      </w:r>
      <w:r w:rsidR="001A3CE5">
        <w:rPr>
          <w:rFonts w:asciiTheme="minorHAnsi" w:hAnsiTheme="minorHAnsi" w:cstheme="minorHAnsi"/>
          <w:color w:val="000000"/>
          <w:sz w:val="20"/>
          <w:szCs w:val="20"/>
        </w:rPr>
        <w:t>consistent</w:t>
      </w:r>
      <w:r w:rsidR="00F64FAF">
        <w:rPr>
          <w:rFonts w:asciiTheme="minorHAnsi" w:hAnsiTheme="minorHAnsi" w:cstheme="minorHAnsi"/>
          <w:color w:val="000000"/>
          <w:sz w:val="20"/>
          <w:szCs w:val="20"/>
        </w:rPr>
        <w:t>ly</w:t>
      </w:r>
      <w:r w:rsidR="00744320">
        <w:rPr>
          <w:rFonts w:asciiTheme="minorHAnsi" w:hAnsiTheme="minorHAnsi" w:cstheme="minorHAnsi"/>
          <w:color w:val="000000"/>
          <w:sz w:val="20"/>
          <w:szCs w:val="20"/>
        </w:rPr>
        <w:t xml:space="preserve"> in such transition information and w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ill be </w:t>
      </w:r>
      <w:r w:rsidR="001A3CE5">
        <w:rPr>
          <w:rFonts w:asciiTheme="minorHAnsi" w:hAnsiTheme="minorHAnsi" w:cstheme="minorHAnsi"/>
          <w:color w:val="000000"/>
          <w:sz w:val="20"/>
          <w:szCs w:val="20"/>
        </w:rPr>
        <w:t>aligned</w:t>
      </w:r>
      <w:r w:rsidR="00744320">
        <w:rPr>
          <w:rFonts w:asciiTheme="minorHAnsi" w:hAnsiTheme="minorHAnsi" w:cstheme="minorHAnsi"/>
          <w:color w:val="000000"/>
          <w:sz w:val="20"/>
          <w:szCs w:val="20"/>
        </w:rPr>
        <w:t xml:space="preserve"> with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the valuation of insurance liabilities under IFRS 17.</w:t>
      </w:r>
    </w:p>
    <w:p w14:paraId="29F50498" w14:textId="177361F2" w:rsidR="0075767E" w:rsidRDefault="0075767E" w:rsidP="00BC095D">
      <w:pPr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</w:rPr>
      </w:pPr>
    </w:p>
    <w:p w14:paraId="2743C720" w14:textId="1051B763" w:rsidR="00784748" w:rsidRPr="00784748" w:rsidRDefault="00784748" w:rsidP="00784748">
      <w:pPr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</w:rPr>
      </w:pPr>
      <w:r w:rsidRPr="00784748"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</w:rPr>
        <w:t>Remaining concerns that are not addressed by the Exposure Draft</w:t>
      </w:r>
    </w:p>
    <w:p w14:paraId="5DFAD5DF" w14:textId="2DADB342" w:rsidR="00902323" w:rsidRDefault="00902323" w:rsidP="00BC095D">
      <w:pPr>
        <w:widowControl w:val="0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While we </w:t>
      </w:r>
      <w:r w:rsidR="00403BF0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fully 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support the amendments to IFRS 17 proposed by the IASB in the Exposure Draft, </w:t>
      </w:r>
      <w:r w:rsidR="001A3CE5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we </w:t>
      </w:r>
      <w:r w:rsidR="00403BF0">
        <w:rPr>
          <w:rFonts w:asciiTheme="minorHAnsi" w:eastAsiaTheme="minorHAnsi" w:hAnsiTheme="minorHAnsi" w:cstheme="minorHAnsi"/>
          <w:color w:val="000000"/>
          <w:sz w:val="20"/>
          <w:szCs w:val="20"/>
        </w:rPr>
        <w:t>believe the amendments could be further enhanced to address concerns related to</w:t>
      </w:r>
      <w:r w:rsidR="001A3CE5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the scope of financial assets eligible for the </w:t>
      </w:r>
      <w:r w:rsidR="001A3CE5">
        <w:rPr>
          <w:rFonts w:asciiTheme="minorHAnsi" w:eastAsiaTheme="minorHAnsi" w:hAnsiTheme="minorHAnsi" w:cstheme="minorHAnsi"/>
          <w:color w:val="000000"/>
          <w:sz w:val="20"/>
          <w:szCs w:val="20"/>
        </w:rPr>
        <w:lastRenderedPageBreak/>
        <w:t>classification overlay and the impact of the overlay on disclosure requirements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.</w:t>
      </w:r>
    </w:p>
    <w:p w14:paraId="097742CC" w14:textId="3F4A32C6" w:rsidR="00171915" w:rsidRDefault="00171915" w:rsidP="00C259BD">
      <w:pPr>
        <w:rPr>
          <w:rFonts w:asciiTheme="minorHAnsi" w:eastAsiaTheme="minorHAnsi" w:hAnsiTheme="minorHAnsi" w:cstheme="minorHAnsi"/>
          <w:color w:val="000000"/>
          <w:sz w:val="20"/>
          <w:szCs w:val="20"/>
        </w:rPr>
      </w:pPr>
    </w:p>
    <w:p w14:paraId="234115FA" w14:textId="5BAD9C77" w:rsidR="003A7579" w:rsidRDefault="00743814" w:rsidP="00C259BD">
      <w:pPr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Paragraph C28E states that:</w:t>
      </w:r>
      <w:r w:rsidR="003A7579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“An entity shall not apply paragraphs C28B-</w:t>
      </w:r>
      <w:r w:rsidRPr="003A7579">
        <w:rPr>
          <w:rFonts w:asciiTheme="minorHAnsi" w:eastAsiaTheme="minorHAnsi" w:hAnsiTheme="minorHAnsi" w:cstheme="minorHAnsi"/>
          <w:color w:val="000000"/>
          <w:sz w:val="20"/>
          <w:szCs w:val="20"/>
        </w:rPr>
        <w:t>C28C to</w:t>
      </w:r>
      <w:r w:rsidR="003A7579" w:rsidRPr="003A7579">
        <w:rPr>
          <w:rFonts w:asciiTheme="minorHAnsi" w:eastAsiaTheme="minorHAnsi" w:hAnsiTheme="minorHAnsi" w:cstheme="minorHAnsi"/>
          <w:color w:val="000000"/>
          <w:sz w:val="20"/>
          <w:szCs w:val="20"/>
        </w:rPr>
        <w:t>…</w:t>
      </w:r>
      <w:r w:rsidR="00100EAE" w:rsidRPr="003A7579">
        <w:rPr>
          <w:rFonts w:asciiTheme="minorHAnsi" w:hAnsiTheme="minorHAnsi" w:cstheme="minorHAnsi"/>
          <w:color w:val="000000"/>
          <w:sz w:val="20"/>
          <w:szCs w:val="20"/>
        </w:rPr>
        <w:t>A financial asset that is held in respect of an activity that is unconnected with contracts within the scope of IFRS 17.”</w:t>
      </w:r>
      <w:r w:rsidR="00C83983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100EAE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However, the Exposure draft does not provide a clear definition of “an activity that is unconnected with contracts within the scope of IFRS 17,” other than providing the example of “banking activities” in paragraph BC19. </w:t>
      </w:r>
      <w:r w:rsidR="00B57655">
        <w:rPr>
          <w:rFonts w:asciiTheme="minorHAnsi" w:eastAsiaTheme="minorHAnsi" w:hAnsiTheme="minorHAnsi" w:cstheme="minorHAnsi"/>
          <w:color w:val="000000"/>
          <w:sz w:val="20"/>
          <w:szCs w:val="20"/>
        </w:rPr>
        <w:t>This requirement is open to interpretation and may result in inconsistent application by insurers.</w:t>
      </w:r>
      <w:r w:rsidR="00100EAE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="0090232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For example, </w:t>
      </w:r>
      <w:r w:rsidR="00BC095D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it is not clear if surplus assets (required for an insurer to remain in operation) are in scope or not.  Another example would be </w:t>
      </w:r>
      <w:r w:rsidR="0090232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if an insurer uses a single portfolio of financial </w:t>
      </w:r>
      <w:r w:rsidR="00100EAE">
        <w:rPr>
          <w:rFonts w:asciiTheme="minorHAnsi" w:eastAsiaTheme="minorHAnsi" w:hAnsiTheme="minorHAnsi" w:cstheme="minorHAnsi"/>
          <w:color w:val="000000"/>
          <w:sz w:val="20"/>
          <w:szCs w:val="20"/>
        </w:rPr>
        <w:t>asse</w:t>
      </w:r>
      <w:r w:rsidR="0090232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ts to </w:t>
      </w:r>
      <w:r w:rsidR="00A73F20">
        <w:rPr>
          <w:rFonts w:asciiTheme="minorHAnsi" w:eastAsiaTheme="minorHAnsi" w:hAnsiTheme="minorHAnsi" w:cstheme="minorHAnsi"/>
          <w:color w:val="000000"/>
          <w:sz w:val="20"/>
          <w:szCs w:val="20"/>
        </w:rPr>
        <w:t>generate</w:t>
      </w:r>
      <w:r w:rsidR="0090232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cash flows for portfolios of </w:t>
      </w:r>
      <w:r w:rsidR="00A86E27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IFRS 17 </w:t>
      </w:r>
      <w:r w:rsidR="0090232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insurance </w:t>
      </w:r>
      <w:r w:rsidR="00A86E27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contracts </w:t>
      </w:r>
      <w:r w:rsidR="0090232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and </w:t>
      </w:r>
      <w:r w:rsidR="00A86E27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IFRS 9 </w:t>
      </w:r>
      <w:r w:rsidR="0090232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investment contracts, it is unclear as to whether </w:t>
      </w:r>
      <w:r w:rsidR="00F64FAF">
        <w:rPr>
          <w:rFonts w:asciiTheme="minorHAnsi" w:eastAsiaTheme="minorHAnsi" w:hAnsiTheme="minorHAnsi" w:cstheme="minorHAnsi"/>
          <w:color w:val="000000"/>
          <w:sz w:val="20"/>
          <w:szCs w:val="20"/>
        </w:rPr>
        <w:t>a proportion</w:t>
      </w:r>
      <w:r w:rsidR="0090232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of the portfolio of financial </w:t>
      </w:r>
      <w:r w:rsidR="00F64FAF">
        <w:rPr>
          <w:rFonts w:asciiTheme="minorHAnsi" w:eastAsiaTheme="minorHAnsi" w:hAnsiTheme="minorHAnsi" w:cstheme="minorHAnsi"/>
          <w:color w:val="000000"/>
          <w:sz w:val="20"/>
          <w:szCs w:val="20"/>
        </w:rPr>
        <w:t>asse</w:t>
      </w:r>
      <w:r w:rsidR="0090232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ts would be </w:t>
      </w:r>
      <w:r w:rsidR="00A73F20">
        <w:rPr>
          <w:rFonts w:asciiTheme="minorHAnsi" w:eastAsiaTheme="minorHAnsi" w:hAnsiTheme="minorHAnsi" w:cstheme="minorHAnsi"/>
          <w:color w:val="000000"/>
          <w:sz w:val="20"/>
          <w:szCs w:val="20"/>
        </w:rPr>
        <w:t>considered</w:t>
      </w:r>
      <w:r w:rsidR="00100EAE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="00A73F20">
        <w:rPr>
          <w:rFonts w:asciiTheme="minorHAnsi" w:eastAsiaTheme="minorHAnsi" w:hAnsiTheme="minorHAnsi" w:cstheme="minorHAnsi"/>
          <w:color w:val="000000"/>
          <w:sz w:val="20"/>
          <w:szCs w:val="20"/>
        </w:rPr>
        <w:t>“</w:t>
      </w:r>
      <w:r w:rsidR="00100EAE" w:rsidRPr="00100EAE">
        <w:rPr>
          <w:rFonts w:asciiTheme="minorHAnsi" w:eastAsiaTheme="minorHAnsi" w:hAnsiTheme="minorHAnsi" w:cstheme="minorHAnsi"/>
          <w:color w:val="000000"/>
          <w:sz w:val="20"/>
          <w:szCs w:val="20"/>
        </w:rPr>
        <w:t>held in respect of an activity that is unconnected with contracts within the scope of IFRS 17.</w:t>
      </w:r>
      <w:r w:rsidR="00100EAE">
        <w:rPr>
          <w:rFonts w:asciiTheme="minorHAnsi" w:eastAsiaTheme="minorHAnsi" w:hAnsiTheme="minorHAnsi" w:cstheme="minorHAnsi"/>
          <w:color w:val="000000"/>
          <w:sz w:val="20"/>
          <w:szCs w:val="20"/>
        </w:rPr>
        <w:t>”</w:t>
      </w:r>
      <w:r w:rsidR="0090232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="00FF387F">
        <w:rPr>
          <w:rFonts w:asciiTheme="minorHAnsi" w:eastAsiaTheme="minorHAnsi" w:hAnsiTheme="minorHAnsi" w:cstheme="minorHAnsi"/>
          <w:color w:val="000000"/>
          <w:sz w:val="20"/>
          <w:szCs w:val="20"/>
        </w:rPr>
        <w:t>We believe t</w:t>
      </w:r>
      <w:r w:rsidR="0090232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he </w:t>
      </w:r>
      <w:r w:rsidR="00FF387F">
        <w:rPr>
          <w:rFonts w:asciiTheme="minorHAnsi" w:eastAsiaTheme="minorHAnsi" w:hAnsiTheme="minorHAnsi" w:cstheme="minorHAnsi"/>
          <w:color w:val="000000"/>
          <w:sz w:val="20"/>
          <w:szCs w:val="20"/>
        </w:rPr>
        <w:t>scope of the classification overlay should be</w:t>
      </w:r>
      <w:r w:rsidR="00C8398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more closely</w:t>
      </w:r>
      <w:r w:rsidR="00FF387F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aligned with</w:t>
      </w:r>
      <w:r w:rsidR="0090232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the </w:t>
      </w:r>
      <w:r w:rsidR="003A7579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existing </w:t>
      </w:r>
      <w:r w:rsidR="00B651BB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criteria used in IFRS 4 to assess </w:t>
      </w:r>
      <w:r w:rsidR="00A73F20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whether </w:t>
      </w:r>
      <w:r w:rsidR="00B651BB">
        <w:rPr>
          <w:rFonts w:asciiTheme="minorHAnsi" w:eastAsiaTheme="minorHAnsi" w:hAnsiTheme="minorHAnsi" w:cstheme="minorHAnsi"/>
          <w:color w:val="000000"/>
          <w:sz w:val="20"/>
          <w:szCs w:val="20"/>
        </w:rPr>
        <w:t>an entity</w:t>
      </w:r>
      <w:r w:rsidR="00A73F20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is</w:t>
      </w:r>
      <w:r w:rsidR="00B651BB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eligib</w:t>
      </w:r>
      <w:r w:rsidR="00A73F20">
        <w:rPr>
          <w:rFonts w:asciiTheme="minorHAnsi" w:eastAsiaTheme="minorHAnsi" w:hAnsiTheme="minorHAnsi" w:cstheme="minorHAnsi"/>
          <w:color w:val="000000"/>
          <w:sz w:val="20"/>
          <w:szCs w:val="20"/>
        </w:rPr>
        <w:t>le</w:t>
      </w:r>
      <w:r w:rsidR="00B651BB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to defer IFRS 9</w:t>
      </w:r>
      <w:r w:rsidR="003A7579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because:</w:t>
      </w:r>
    </w:p>
    <w:p w14:paraId="36D33027" w14:textId="77777777" w:rsidR="001022F5" w:rsidRDefault="001022F5" w:rsidP="00C259BD">
      <w:pPr>
        <w:rPr>
          <w:rFonts w:asciiTheme="minorHAnsi" w:eastAsiaTheme="minorHAnsi" w:hAnsiTheme="minorHAnsi" w:cstheme="minorHAnsi"/>
          <w:color w:val="000000"/>
          <w:sz w:val="20"/>
          <w:szCs w:val="20"/>
        </w:rPr>
      </w:pPr>
    </w:p>
    <w:p w14:paraId="5BDD205E" w14:textId="29F292AD" w:rsidR="00AE75A1" w:rsidRPr="00BC095D" w:rsidRDefault="003A7579" w:rsidP="00BC095D">
      <w:pPr>
        <w:pStyle w:val="Odsekzoznamu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szCs w:val="20"/>
        </w:rPr>
      </w:pPr>
      <w:r w:rsidRPr="00A9588A">
        <w:rPr>
          <w:rFonts w:asciiTheme="minorHAnsi" w:hAnsiTheme="minorHAnsi" w:cstheme="minorHAnsi"/>
          <w:color w:val="000000"/>
          <w:szCs w:val="20"/>
        </w:rPr>
        <w:t>Th</w:t>
      </w:r>
      <w:r w:rsidR="006B0076">
        <w:rPr>
          <w:rFonts w:asciiTheme="minorHAnsi" w:hAnsiTheme="minorHAnsi" w:cstheme="minorHAnsi"/>
          <w:color w:val="000000"/>
          <w:szCs w:val="20"/>
        </w:rPr>
        <w:t>e</w:t>
      </w:r>
      <w:r w:rsidRPr="00A9588A">
        <w:rPr>
          <w:rFonts w:asciiTheme="minorHAnsi" w:hAnsiTheme="minorHAnsi" w:cstheme="minorHAnsi"/>
          <w:color w:val="000000"/>
          <w:szCs w:val="20"/>
        </w:rPr>
        <w:t>s</w:t>
      </w:r>
      <w:r w:rsidR="006B0076">
        <w:rPr>
          <w:rFonts w:asciiTheme="minorHAnsi" w:hAnsiTheme="minorHAnsi" w:cstheme="minorHAnsi"/>
          <w:color w:val="000000"/>
          <w:szCs w:val="20"/>
        </w:rPr>
        <w:t>e</w:t>
      </w:r>
      <w:r w:rsidRPr="00A9588A">
        <w:rPr>
          <w:rFonts w:asciiTheme="minorHAnsi" w:hAnsiTheme="minorHAnsi" w:cstheme="minorHAnsi"/>
          <w:color w:val="000000"/>
          <w:szCs w:val="20"/>
        </w:rPr>
        <w:t xml:space="preserve"> existing </w:t>
      </w:r>
      <w:r w:rsidR="00A9588A" w:rsidRPr="00A9588A">
        <w:rPr>
          <w:rFonts w:asciiTheme="minorHAnsi" w:hAnsiTheme="minorHAnsi" w:cstheme="minorHAnsi"/>
          <w:color w:val="000000"/>
          <w:szCs w:val="20"/>
        </w:rPr>
        <w:t xml:space="preserve">IFRS 9 deferral criteria in IFRS 4 </w:t>
      </w:r>
      <w:r w:rsidR="006B0076">
        <w:rPr>
          <w:rFonts w:asciiTheme="minorHAnsi" w:hAnsiTheme="minorHAnsi" w:cstheme="minorHAnsi"/>
          <w:color w:val="000000"/>
          <w:szCs w:val="20"/>
        </w:rPr>
        <w:t>are</w:t>
      </w:r>
      <w:r w:rsidRPr="00A9588A">
        <w:rPr>
          <w:rFonts w:asciiTheme="minorHAnsi" w:hAnsiTheme="minorHAnsi" w:cstheme="minorHAnsi"/>
          <w:color w:val="000000"/>
          <w:szCs w:val="20"/>
        </w:rPr>
        <w:t xml:space="preserve"> clearly defined and widely accepted and understood by both preparers and users of the financial statements.</w:t>
      </w:r>
      <w:r w:rsidR="00A9588A" w:rsidRPr="00A9588A">
        <w:rPr>
          <w:rFonts w:asciiTheme="minorHAnsi" w:hAnsiTheme="minorHAnsi" w:cstheme="minorHAnsi"/>
          <w:color w:val="000000"/>
          <w:szCs w:val="20"/>
        </w:rPr>
        <w:t xml:space="preserve"> </w:t>
      </w:r>
      <w:r w:rsidR="00A9588A" w:rsidRPr="00BC095D">
        <w:rPr>
          <w:rFonts w:asciiTheme="minorHAnsi" w:hAnsiTheme="minorHAnsi" w:cstheme="minorHAnsi"/>
          <w:color w:val="000000"/>
          <w:szCs w:val="20"/>
        </w:rPr>
        <w:t xml:space="preserve">As such, having the same, consistent group of assets for both the IFRS 9 deferral and the classification overlay would </w:t>
      </w:r>
      <w:r w:rsidR="00BC095D">
        <w:rPr>
          <w:rFonts w:asciiTheme="minorHAnsi" w:hAnsiTheme="minorHAnsi" w:cstheme="minorHAnsi"/>
          <w:color w:val="000000"/>
          <w:szCs w:val="20"/>
        </w:rPr>
        <w:t xml:space="preserve">address the questions raised in the above examples and </w:t>
      </w:r>
      <w:r w:rsidR="00A9588A" w:rsidRPr="00BC095D">
        <w:rPr>
          <w:rFonts w:asciiTheme="minorHAnsi" w:hAnsiTheme="minorHAnsi" w:cstheme="minorHAnsi"/>
          <w:color w:val="000000"/>
          <w:szCs w:val="20"/>
        </w:rPr>
        <w:t xml:space="preserve">avoid potential confusion </w:t>
      </w:r>
      <w:r w:rsidR="006B0076">
        <w:rPr>
          <w:rFonts w:asciiTheme="minorHAnsi" w:hAnsiTheme="minorHAnsi" w:cstheme="minorHAnsi"/>
          <w:color w:val="000000"/>
          <w:szCs w:val="20"/>
        </w:rPr>
        <w:t>for</w:t>
      </w:r>
      <w:r w:rsidR="00A9588A" w:rsidRPr="00BC095D">
        <w:rPr>
          <w:rFonts w:asciiTheme="minorHAnsi" w:hAnsiTheme="minorHAnsi" w:cstheme="minorHAnsi"/>
          <w:color w:val="000000"/>
          <w:szCs w:val="20"/>
        </w:rPr>
        <w:t xml:space="preserve"> users of the financial statements.</w:t>
      </w:r>
      <w:r w:rsidR="00AE75A1" w:rsidRPr="00BC095D">
        <w:rPr>
          <w:rFonts w:asciiTheme="minorHAnsi" w:hAnsiTheme="minorHAnsi" w:cstheme="minorHAnsi"/>
          <w:color w:val="000000"/>
          <w:szCs w:val="20"/>
        </w:rPr>
        <w:t xml:space="preserve"> Furthermore, </w:t>
      </w:r>
      <w:r w:rsidR="00AE75A1">
        <w:rPr>
          <w:rFonts w:asciiTheme="minorHAnsi" w:hAnsiTheme="minorHAnsi" w:cstheme="minorHAnsi"/>
          <w:color w:val="000000"/>
          <w:szCs w:val="20"/>
        </w:rPr>
        <w:t>it would be</w:t>
      </w:r>
      <w:r w:rsidR="00AE75A1" w:rsidRPr="00BC095D">
        <w:rPr>
          <w:rFonts w:asciiTheme="minorHAnsi" w:hAnsiTheme="minorHAnsi" w:cstheme="minorHAnsi"/>
          <w:color w:val="000000"/>
          <w:szCs w:val="20"/>
        </w:rPr>
        <w:t xml:space="preserve"> only available to entities whose activities are predominately connected with insurance and </w:t>
      </w:r>
      <w:r w:rsidR="006B0076">
        <w:rPr>
          <w:rFonts w:asciiTheme="minorHAnsi" w:hAnsiTheme="minorHAnsi" w:cstheme="minorHAnsi"/>
          <w:color w:val="000000"/>
          <w:szCs w:val="20"/>
        </w:rPr>
        <w:t>who</w:t>
      </w:r>
      <w:r w:rsidR="00AE75A1" w:rsidRPr="00BC095D">
        <w:rPr>
          <w:rFonts w:asciiTheme="minorHAnsi" w:hAnsiTheme="minorHAnsi" w:cstheme="minorHAnsi"/>
          <w:color w:val="000000"/>
          <w:szCs w:val="20"/>
        </w:rPr>
        <w:t xml:space="preserve"> have not applied IFRS 9 previously.</w:t>
      </w:r>
    </w:p>
    <w:p w14:paraId="126D56B9" w14:textId="2492416A" w:rsidR="00A9588A" w:rsidRPr="00BC095D" w:rsidRDefault="003A7579" w:rsidP="00BC095D">
      <w:pPr>
        <w:pStyle w:val="Odsekzoznamu"/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 w:cstheme="minorHAnsi"/>
          <w:color w:val="000000"/>
          <w:szCs w:val="20"/>
        </w:rPr>
        <w:t>T</w:t>
      </w:r>
      <w:r w:rsidR="00936C22" w:rsidRPr="003A7579">
        <w:rPr>
          <w:rFonts w:asciiTheme="minorHAnsi" w:hAnsiTheme="minorHAnsi" w:cstheme="minorHAnsi"/>
          <w:color w:val="000000"/>
          <w:szCs w:val="20"/>
        </w:rPr>
        <w:t xml:space="preserve">he </w:t>
      </w:r>
      <w:r>
        <w:rPr>
          <w:rFonts w:asciiTheme="minorHAnsi" w:hAnsiTheme="minorHAnsi" w:cstheme="minorHAnsi"/>
          <w:color w:val="000000"/>
          <w:szCs w:val="20"/>
        </w:rPr>
        <w:t xml:space="preserve">Exposure Draft’s </w:t>
      </w:r>
      <w:r w:rsidR="00936C22" w:rsidRPr="003A7579">
        <w:rPr>
          <w:rFonts w:asciiTheme="minorHAnsi" w:hAnsiTheme="minorHAnsi" w:cstheme="minorHAnsi"/>
          <w:color w:val="000000"/>
          <w:szCs w:val="20"/>
        </w:rPr>
        <w:t xml:space="preserve">classification overlay and </w:t>
      </w:r>
      <w:r w:rsidR="0075767E">
        <w:rPr>
          <w:rFonts w:asciiTheme="minorHAnsi" w:hAnsiTheme="minorHAnsi" w:cstheme="minorHAnsi"/>
          <w:color w:val="000000"/>
          <w:szCs w:val="20"/>
        </w:rPr>
        <w:t xml:space="preserve">the </w:t>
      </w:r>
      <w:r>
        <w:rPr>
          <w:rFonts w:asciiTheme="minorHAnsi" w:hAnsiTheme="minorHAnsi" w:cstheme="minorHAnsi"/>
          <w:color w:val="000000"/>
          <w:szCs w:val="20"/>
        </w:rPr>
        <w:t xml:space="preserve">existing </w:t>
      </w:r>
      <w:r w:rsidR="00936C22" w:rsidRPr="003A7579">
        <w:rPr>
          <w:rFonts w:asciiTheme="minorHAnsi" w:hAnsiTheme="minorHAnsi" w:cstheme="minorHAnsi"/>
          <w:color w:val="000000"/>
          <w:szCs w:val="20"/>
        </w:rPr>
        <w:t xml:space="preserve">deferral </w:t>
      </w:r>
      <w:r>
        <w:rPr>
          <w:rFonts w:asciiTheme="minorHAnsi" w:hAnsiTheme="minorHAnsi" w:cstheme="minorHAnsi"/>
          <w:color w:val="000000"/>
          <w:szCs w:val="20"/>
        </w:rPr>
        <w:t xml:space="preserve">in IFRS 4 </w:t>
      </w:r>
      <w:r w:rsidR="00936C22" w:rsidRPr="003A7579">
        <w:rPr>
          <w:rFonts w:asciiTheme="minorHAnsi" w:hAnsiTheme="minorHAnsi" w:cstheme="minorHAnsi"/>
          <w:color w:val="000000"/>
          <w:szCs w:val="20"/>
        </w:rPr>
        <w:t>have the same objective</w:t>
      </w:r>
      <w:r>
        <w:rPr>
          <w:rFonts w:asciiTheme="minorHAnsi" w:hAnsiTheme="minorHAnsi" w:cstheme="minorHAnsi"/>
          <w:color w:val="000000"/>
          <w:szCs w:val="20"/>
        </w:rPr>
        <w:t>,</w:t>
      </w:r>
      <w:r w:rsidR="00936C22" w:rsidRPr="003A7579">
        <w:rPr>
          <w:rFonts w:asciiTheme="minorHAnsi" w:hAnsiTheme="minorHAnsi" w:cstheme="minorHAnsi"/>
          <w:color w:val="000000"/>
          <w:szCs w:val="20"/>
        </w:rPr>
        <w:t xml:space="preserve"> which is to </w:t>
      </w:r>
      <w:r w:rsidR="00B57655" w:rsidRPr="003A7579">
        <w:rPr>
          <w:rFonts w:asciiTheme="minorHAnsi" w:hAnsiTheme="minorHAnsi" w:cstheme="minorHAnsi"/>
          <w:color w:val="000000"/>
          <w:szCs w:val="20"/>
        </w:rPr>
        <w:t xml:space="preserve">accurately </w:t>
      </w:r>
      <w:r w:rsidR="008B30BD" w:rsidRPr="003A7579">
        <w:rPr>
          <w:rFonts w:asciiTheme="minorHAnsi" w:hAnsiTheme="minorHAnsi" w:cstheme="minorHAnsi"/>
          <w:color w:val="000000"/>
          <w:szCs w:val="20"/>
        </w:rPr>
        <w:t>represent the interrelated nature of</w:t>
      </w:r>
      <w:r w:rsidR="00936C22" w:rsidRPr="003A7579">
        <w:rPr>
          <w:rFonts w:asciiTheme="minorHAnsi" w:hAnsiTheme="minorHAnsi" w:cstheme="minorHAnsi"/>
          <w:color w:val="000000"/>
          <w:szCs w:val="20"/>
        </w:rPr>
        <w:t xml:space="preserve"> IFRS 9 and IFRS 17. The new eligibility criteria for the overlay approach set out in </w:t>
      </w:r>
      <w:r w:rsidRPr="003A7579">
        <w:rPr>
          <w:rFonts w:asciiTheme="minorHAnsi" w:hAnsiTheme="minorHAnsi" w:cstheme="minorHAnsi"/>
          <w:color w:val="000000"/>
          <w:szCs w:val="20"/>
        </w:rPr>
        <w:t xml:space="preserve">the Exposure Draft </w:t>
      </w:r>
      <w:r>
        <w:rPr>
          <w:rFonts w:asciiTheme="minorHAnsi" w:hAnsiTheme="minorHAnsi" w:cstheme="minorHAnsi"/>
          <w:color w:val="000000"/>
          <w:szCs w:val="20"/>
        </w:rPr>
        <w:t xml:space="preserve">could </w:t>
      </w:r>
      <w:r w:rsidR="00B57655" w:rsidRPr="003A7579">
        <w:rPr>
          <w:rFonts w:asciiTheme="minorHAnsi" w:hAnsiTheme="minorHAnsi" w:cstheme="minorHAnsi"/>
          <w:color w:val="000000"/>
          <w:szCs w:val="20"/>
        </w:rPr>
        <w:t xml:space="preserve">counteract this objective and </w:t>
      </w:r>
      <w:r w:rsidR="008B30BD" w:rsidRPr="003A7579">
        <w:rPr>
          <w:rFonts w:asciiTheme="minorHAnsi" w:hAnsiTheme="minorHAnsi" w:cstheme="minorHAnsi"/>
          <w:color w:val="000000"/>
          <w:szCs w:val="20"/>
        </w:rPr>
        <w:t>some accounting mismatches between financial assets and insurance liabilities may remain in the comparative period</w:t>
      </w:r>
      <w:r w:rsidR="00B57655" w:rsidRPr="003A7579">
        <w:rPr>
          <w:rFonts w:asciiTheme="minorHAnsi" w:hAnsiTheme="minorHAnsi" w:cstheme="minorHAnsi"/>
          <w:color w:val="000000"/>
          <w:szCs w:val="20"/>
        </w:rPr>
        <w:t>.</w:t>
      </w:r>
      <w:r w:rsidR="00936C22" w:rsidRPr="003A7579">
        <w:rPr>
          <w:rFonts w:asciiTheme="minorHAnsi" w:hAnsiTheme="minorHAnsi" w:cstheme="minorHAnsi"/>
          <w:color w:val="000000"/>
          <w:szCs w:val="20"/>
        </w:rPr>
        <w:t xml:space="preserve"> </w:t>
      </w:r>
    </w:p>
    <w:p w14:paraId="19E44CD6" w14:textId="77777777" w:rsidR="00BC095D" w:rsidRPr="00BC095D" w:rsidRDefault="00BC095D" w:rsidP="00BC095D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75EC3E7C" w14:textId="48F43A9B" w:rsidR="00A9588A" w:rsidRDefault="00A9588A" w:rsidP="00784748">
      <w:pPr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BC095D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As such, we propose that </w:t>
      </w:r>
      <w:r w:rsidR="006B0076" w:rsidRPr="00BC095D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the </w:t>
      </w:r>
      <w:r w:rsidR="003A2E37" w:rsidRPr="00BC095D">
        <w:rPr>
          <w:rFonts w:asciiTheme="minorHAnsi" w:eastAsiaTheme="minorHAnsi" w:hAnsiTheme="minorHAnsi" w:cstheme="minorHAnsi"/>
          <w:color w:val="000000"/>
          <w:sz w:val="20"/>
          <w:szCs w:val="20"/>
        </w:rPr>
        <w:t>classification</w:t>
      </w:r>
      <w:r w:rsidR="003A2E37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overlay </w:t>
      </w:r>
      <w:r w:rsidR="00BC095D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scope </w:t>
      </w:r>
      <w:r w:rsidR="003A2E37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criteria 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be replaced with the</w:t>
      </w:r>
      <w:r w:rsidR="003A2E37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criteria 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u</w:t>
      </w:r>
      <w:r w:rsidR="006B0076">
        <w:rPr>
          <w:rFonts w:asciiTheme="minorHAnsi" w:eastAsiaTheme="minorHAnsi" w:hAnsiTheme="minorHAnsi" w:cstheme="minorHAnsi"/>
          <w:color w:val="000000"/>
          <w:sz w:val="20"/>
          <w:szCs w:val="20"/>
        </w:rPr>
        <w:t>s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ed in the existing IFRS 9 deferral set out in paragraphs 20</w:t>
      </w:r>
      <w:r w:rsidR="00403BF0">
        <w:rPr>
          <w:rFonts w:asciiTheme="minorHAnsi" w:eastAsiaTheme="minorHAnsi" w:hAnsiTheme="minorHAnsi" w:cstheme="minorHAnsi"/>
          <w:color w:val="000000"/>
          <w:sz w:val="20"/>
          <w:szCs w:val="20"/>
        </w:rPr>
        <w:t>A</w:t>
      </w:r>
      <w:r w:rsidR="003A2E37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to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20E </w:t>
      </w:r>
      <w:r w:rsidR="006B0076">
        <w:rPr>
          <w:rFonts w:asciiTheme="minorHAnsi" w:eastAsiaTheme="minorHAnsi" w:hAnsiTheme="minorHAnsi" w:cstheme="minorHAnsi"/>
          <w:color w:val="000000"/>
          <w:sz w:val="20"/>
          <w:szCs w:val="20"/>
        </w:rPr>
        <w:t>of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IFRS 4.</w:t>
      </w:r>
      <w:r w:rsidR="00AA0BA2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The criteria in paragraphs C28E(a) and BC19 of the Exposure Draft would create an additional operational burden, as the existing IFRS 9 transition requirements </w:t>
      </w:r>
      <w:r w:rsidR="0075767E">
        <w:rPr>
          <w:rFonts w:asciiTheme="minorHAnsi" w:eastAsiaTheme="minorHAnsi" w:hAnsiTheme="minorHAnsi" w:cstheme="minorHAnsi"/>
          <w:color w:val="000000"/>
          <w:sz w:val="20"/>
          <w:szCs w:val="20"/>
        </w:rPr>
        <w:t>would</w:t>
      </w:r>
      <w:r w:rsidR="001022F5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have to</w:t>
      </w:r>
      <w:r w:rsidR="00AA0BA2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be </w:t>
      </w:r>
      <w:r w:rsidR="001022F5">
        <w:rPr>
          <w:rFonts w:asciiTheme="minorHAnsi" w:eastAsiaTheme="minorHAnsi" w:hAnsiTheme="minorHAnsi" w:cstheme="minorHAnsi"/>
          <w:color w:val="000000"/>
          <w:sz w:val="20"/>
          <w:szCs w:val="20"/>
        </w:rPr>
        <w:t>retained</w:t>
      </w:r>
      <w:r w:rsidR="00AA0BA2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for assets held by insurance groups</w:t>
      </w:r>
      <w:r w:rsidR="0075767E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that meet the IFRS 9 deferral criteria but not the classification overlay criteria. This counteracts</w:t>
      </w:r>
      <w:r w:rsidR="001022F5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the intended operational benefits </w:t>
      </w:r>
      <w:r w:rsidR="0075767E">
        <w:rPr>
          <w:rFonts w:asciiTheme="minorHAnsi" w:eastAsiaTheme="minorHAnsi" w:hAnsiTheme="minorHAnsi" w:cstheme="minorHAnsi"/>
          <w:color w:val="000000"/>
          <w:sz w:val="20"/>
          <w:szCs w:val="20"/>
        </w:rPr>
        <w:t>that are noted as part of the purpose of the classification overlay in paragraph BC8 of the Exposure Draft.</w:t>
      </w:r>
    </w:p>
    <w:p w14:paraId="135869A0" w14:textId="77777777" w:rsidR="00A9588A" w:rsidRDefault="00A9588A" w:rsidP="00784748">
      <w:pPr>
        <w:rPr>
          <w:rFonts w:asciiTheme="minorHAnsi" w:eastAsiaTheme="minorHAnsi" w:hAnsiTheme="minorHAnsi" w:cstheme="minorHAnsi"/>
          <w:color w:val="000000"/>
          <w:sz w:val="20"/>
          <w:szCs w:val="20"/>
        </w:rPr>
      </w:pPr>
    </w:p>
    <w:p w14:paraId="50A85B2A" w14:textId="43FAAF25" w:rsidR="00F13710" w:rsidRDefault="00116495" w:rsidP="00784748">
      <w:pPr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T</w:t>
      </w:r>
      <w:r w:rsidR="00F37E61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he Exposure Draft </w:t>
      </w:r>
      <w:r w:rsidR="002F404F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does not comment on </w:t>
      </w:r>
      <w:r w:rsidR="00F37E61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disclosure </w:t>
      </w:r>
      <w:r w:rsidR="00B7676E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implications </w:t>
      </w:r>
      <w:r w:rsidR="005D1FEB">
        <w:rPr>
          <w:rFonts w:asciiTheme="minorHAnsi" w:eastAsiaTheme="minorHAnsi" w:hAnsiTheme="minorHAnsi" w:cstheme="minorHAnsi"/>
          <w:color w:val="000000"/>
          <w:sz w:val="20"/>
          <w:szCs w:val="20"/>
        </w:rPr>
        <w:t>arising from the classification overlay</w:t>
      </w:r>
      <w:r w:rsidR="00F37E61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. </w:t>
      </w:r>
      <w:r w:rsidR="00B7676E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It is not clear if IFRS 9 transition disclosures would be required at both the effective date of 1 January 2023 as well as at the transition date which under the classification overlay approach would be 1 January 2022. Requiring disclosures at both dates may confuse the users of the financial statements as to why </w:t>
      </w:r>
      <w:r w:rsidR="003D1008">
        <w:rPr>
          <w:rFonts w:asciiTheme="minorHAnsi" w:eastAsiaTheme="minorHAnsi" w:hAnsiTheme="minorHAnsi" w:cstheme="minorHAnsi"/>
          <w:color w:val="000000"/>
          <w:sz w:val="20"/>
          <w:szCs w:val="20"/>
        </w:rPr>
        <w:t>IFRS 9 transitional disclosures are provided for two different years</w:t>
      </w:r>
      <w:r w:rsidR="00B7676E">
        <w:rPr>
          <w:rFonts w:asciiTheme="minorHAnsi" w:eastAsiaTheme="minorHAnsi" w:hAnsiTheme="minorHAnsi" w:cstheme="minorHAnsi"/>
          <w:color w:val="000000"/>
          <w:sz w:val="20"/>
          <w:szCs w:val="20"/>
        </w:rPr>
        <w:t>.  Furthermore, two sets of transitional disclosures would create a</w:t>
      </w:r>
      <w:r w:rsidR="00E51918">
        <w:rPr>
          <w:rFonts w:asciiTheme="minorHAnsi" w:eastAsiaTheme="minorHAnsi" w:hAnsiTheme="minorHAnsi" w:cstheme="minorHAnsi"/>
          <w:color w:val="000000"/>
          <w:sz w:val="20"/>
          <w:szCs w:val="20"/>
        </w:rPr>
        <w:t>n</w:t>
      </w:r>
      <w:r w:rsidR="00B7676E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operational burden for no added benefit.</w:t>
      </w:r>
      <w:r w:rsidR="00E51918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="00F37E61" w:rsidRPr="00F535F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The amendment to IFRS 17 should clarify </w:t>
      </w:r>
      <w:r w:rsidR="003A2E37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that </w:t>
      </w:r>
      <w:r w:rsidR="00F535F3" w:rsidRPr="00F535F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IFRS 9 </w:t>
      </w:r>
      <w:r w:rsidR="00F37E61" w:rsidRPr="00F535F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transitional disclosures </w:t>
      </w:r>
      <w:r w:rsidR="003A2E37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are only required as </w:t>
      </w:r>
      <w:r w:rsidR="00F37E61" w:rsidRPr="00F535F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at </w:t>
      </w:r>
      <w:r w:rsidR="00C8398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either </w:t>
      </w:r>
      <w:r w:rsidR="00F37E61" w:rsidRPr="00F535F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1 January 2023 </w:t>
      </w:r>
      <w:r w:rsidR="00C8398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or 2022 but not </w:t>
      </w:r>
      <w:r w:rsidR="00E51918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at </w:t>
      </w:r>
      <w:r w:rsidR="00C83983">
        <w:rPr>
          <w:rFonts w:asciiTheme="minorHAnsi" w:eastAsiaTheme="minorHAnsi" w:hAnsiTheme="minorHAnsi" w:cstheme="minorHAnsi"/>
          <w:color w:val="000000"/>
          <w:sz w:val="20"/>
          <w:szCs w:val="20"/>
        </w:rPr>
        <w:t>both</w:t>
      </w:r>
      <w:r w:rsidR="00E51918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dates</w:t>
      </w:r>
      <w:r w:rsidR="00F535F3" w:rsidRPr="00F535F3">
        <w:rPr>
          <w:rFonts w:asciiTheme="minorHAnsi" w:eastAsiaTheme="minorHAnsi" w:hAnsiTheme="minorHAnsi" w:cstheme="minorHAnsi"/>
          <w:color w:val="000000"/>
          <w:sz w:val="20"/>
          <w:szCs w:val="20"/>
        </w:rPr>
        <w:t>.</w:t>
      </w:r>
    </w:p>
    <w:p w14:paraId="623C0E3B" w14:textId="77777777" w:rsidR="00742750" w:rsidRPr="000822A6" w:rsidRDefault="00742750" w:rsidP="00C259BD">
      <w:pPr>
        <w:rPr>
          <w:rFonts w:asciiTheme="minorHAnsi" w:eastAsiaTheme="minorHAnsi" w:hAnsiTheme="minorHAnsi" w:cstheme="minorHAnsi"/>
          <w:color w:val="000000"/>
          <w:sz w:val="20"/>
          <w:szCs w:val="20"/>
          <w:highlight w:val="yellow"/>
        </w:rPr>
      </w:pPr>
    </w:p>
    <w:p w14:paraId="0B4D9BDE" w14:textId="11FD0A53" w:rsidR="003A73AB" w:rsidRDefault="003A2E37" w:rsidP="00C259B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If </w:t>
      </w:r>
      <w:r w:rsidR="00C83983">
        <w:rPr>
          <w:rFonts w:asciiTheme="minorHAnsi" w:eastAsiaTheme="minorHAnsi" w:hAnsiTheme="minorHAnsi" w:cstheme="minorHAnsi"/>
          <w:color w:val="000000"/>
          <w:sz w:val="20"/>
          <w:szCs w:val="20"/>
        </w:rPr>
        <w:t>you would like any further information on any of these matters or wish to discuss them further with us, we would be pleased to assist.</w:t>
      </w:r>
    </w:p>
    <w:p w14:paraId="3B613EF5" w14:textId="77777777" w:rsidR="003A73AB" w:rsidRDefault="003A73AB" w:rsidP="00C259BD">
      <w:pPr>
        <w:rPr>
          <w:rFonts w:asciiTheme="minorHAnsi" w:eastAsiaTheme="minorHAnsi" w:hAnsiTheme="minorHAnsi" w:cstheme="minorHAnsi"/>
          <w:color w:val="000000"/>
          <w:sz w:val="20"/>
          <w:szCs w:val="20"/>
        </w:rPr>
      </w:pPr>
    </w:p>
    <w:p w14:paraId="2D35923A" w14:textId="5B770315" w:rsidR="00A77ACD" w:rsidRDefault="00360BD7" w:rsidP="00360BD7">
      <w:pPr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0000EC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Yours 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sincerely</w:t>
      </w:r>
      <w:r w:rsidRPr="00C16088">
        <w:rPr>
          <w:rFonts w:asciiTheme="minorHAnsi" w:eastAsiaTheme="minorHAnsi" w:hAnsiTheme="minorHAnsi" w:cstheme="minorHAnsi"/>
          <w:color w:val="000000"/>
          <w:sz w:val="20"/>
          <w:szCs w:val="20"/>
        </w:rPr>
        <w:br/>
      </w:r>
    </w:p>
    <w:p w14:paraId="7FBE223A" w14:textId="77777777" w:rsidR="00350166" w:rsidRDefault="00350166" w:rsidP="00360BD7">
      <w:pPr>
        <w:rPr>
          <w:rFonts w:asciiTheme="minorHAnsi" w:eastAsiaTheme="minorHAnsi" w:hAnsiTheme="minorHAnsi" w:cstheme="minorHAnsi"/>
          <w:color w:val="000000"/>
          <w:sz w:val="20"/>
          <w:szCs w:val="20"/>
        </w:rPr>
      </w:pPr>
    </w:p>
    <w:p w14:paraId="5820BBC9" w14:textId="0F2A3A37" w:rsidR="00A77ACD" w:rsidRDefault="00A77ACD" w:rsidP="00360BD7">
      <w:pPr>
        <w:rPr>
          <w:rFonts w:asciiTheme="minorHAnsi" w:eastAsiaTheme="minorHAnsi" w:hAnsiTheme="minorHAnsi" w:cstheme="minorHAnsi"/>
          <w:color w:val="000000"/>
          <w:sz w:val="20"/>
          <w:szCs w:val="20"/>
        </w:rPr>
      </w:pPr>
    </w:p>
    <w:p w14:paraId="10D38860" w14:textId="13CDEFCC" w:rsidR="00360BD7" w:rsidRPr="001022F5" w:rsidRDefault="00360BD7" w:rsidP="00360BD7">
      <w:pPr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C16088">
        <w:rPr>
          <w:rFonts w:asciiTheme="minorHAnsi" w:eastAsiaTheme="minorHAnsi" w:hAnsiTheme="minorHAnsi" w:cstheme="minorHAnsi"/>
          <w:color w:val="000000"/>
          <w:sz w:val="20"/>
          <w:szCs w:val="20"/>
        </w:rPr>
        <w:br/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Delfin Rueda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Pr="0075767E">
        <w:rPr>
          <w:rFonts w:asciiTheme="minorHAnsi" w:eastAsiaTheme="minorHAnsi" w:hAnsiTheme="minorHAnsi" w:cstheme="minorHAnsi"/>
          <w:color w:val="000000"/>
          <w:sz w:val="20"/>
          <w:szCs w:val="20"/>
        </w:rPr>
        <w:t>Olav Jones</w:t>
      </w:r>
    </w:p>
    <w:p w14:paraId="01D1A499" w14:textId="137B4418" w:rsidR="00DF5BA0" w:rsidRDefault="00360BD7" w:rsidP="00DF5BA0">
      <w:pPr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1022F5">
        <w:rPr>
          <w:rFonts w:asciiTheme="minorHAnsi" w:eastAsiaTheme="minorHAnsi" w:hAnsiTheme="minorHAnsi" w:cstheme="minorHAnsi"/>
          <w:color w:val="000000"/>
          <w:sz w:val="20"/>
          <w:szCs w:val="20"/>
        </w:rPr>
        <w:t>Chair</w:t>
      </w:r>
      <w:r w:rsidRPr="000243F1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Pr="000243F1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Pr="000243F1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Pr="000243F1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Pr="000243F1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Pr="000243F1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Pr="000243F1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Pr="000243F1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Pr="000243F1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Pr="000243F1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Pr="000243F1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Pr="000243F1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Pr="000243F1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Pr="000243F1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Pr="000243F1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Pr="000243F1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Pr="000243F1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Pr="000243F1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Pr="000243F1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Pr="000243F1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Pr="0075767E">
        <w:rPr>
          <w:rFonts w:asciiTheme="minorHAnsi" w:eastAsiaTheme="minorHAnsi" w:hAnsiTheme="minorHAnsi" w:cstheme="minorHAnsi"/>
          <w:color w:val="000000"/>
          <w:sz w:val="20"/>
          <w:szCs w:val="20"/>
        </w:rPr>
        <w:t>Deputy Director General</w:t>
      </w:r>
      <w:r w:rsidRPr="001022F5">
        <w:rPr>
          <w:rFonts w:asciiTheme="minorHAnsi" w:eastAsiaTheme="minorHAnsi" w:hAnsiTheme="minorHAnsi" w:cstheme="minorHAnsi"/>
          <w:color w:val="000000"/>
          <w:sz w:val="20"/>
          <w:szCs w:val="20"/>
        </w:rPr>
        <w:br/>
        <w:t>European Insurance CFO Forum</w:t>
      </w:r>
      <w:r w:rsidRPr="001022F5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Pr="001022F5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Pr="001022F5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Pr="001022F5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Pr="001022F5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Pr="001022F5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Pr="001022F5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Pr="001022F5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Pr="001022F5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Pr="001022F5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Pr="0075767E">
        <w:rPr>
          <w:rFonts w:asciiTheme="minorHAnsi" w:eastAsiaTheme="minorHAnsi" w:hAnsiTheme="minorHAnsi" w:cstheme="minorHAnsi"/>
          <w:color w:val="000000"/>
          <w:sz w:val="20"/>
          <w:szCs w:val="20"/>
        </w:rPr>
        <w:t>Director Economics and Finance, Insurance Europe</w:t>
      </w:r>
    </w:p>
    <w:sectPr w:rsidR="00DF5BA0" w:rsidSect="00BC095D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16" w:bottom="135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E3EA7" w14:textId="77777777" w:rsidR="00B667FF" w:rsidRDefault="00B667FF" w:rsidP="00513BF0">
      <w:r>
        <w:separator/>
      </w:r>
    </w:p>
  </w:endnote>
  <w:endnote w:type="continuationSeparator" w:id="0">
    <w:p w14:paraId="148E4B36" w14:textId="77777777" w:rsidR="00B667FF" w:rsidRDefault="00B667FF" w:rsidP="00513BF0">
      <w:r>
        <w:continuationSeparator/>
      </w:r>
    </w:p>
  </w:endnote>
  <w:endnote w:type="continuationNotice" w:id="1">
    <w:p w14:paraId="31DA3E39" w14:textId="77777777" w:rsidR="00B667FF" w:rsidRDefault="00B667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MNOA M+ Source Sans Pro">
    <w:altName w:val="Source San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AB57B" w14:textId="611607B5" w:rsidR="00AE75A1" w:rsidRDefault="00AE75A1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53295C1" wp14:editId="5FE28F22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3" name="MSIPCM362b42cd85fda18df869da17" descr="{&quot;HashCode&quot;:369928660,&quot;Height&quot;:792.0,&quot;Width&quot;:612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4C5100" w14:textId="1548993F" w:rsidR="00AE75A1" w:rsidRPr="00AE75A1" w:rsidRDefault="00AE75A1" w:rsidP="00AE75A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3295C1" id="_x0000_t202" coordsize="21600,21600" o:spt="202" path="m,l,21600r21600,l21600,xe">
              <v:stroke joinstyle="miter"/>
              <v:path gradientshapeok="t" o:connecttype="rect"/>
            </v:shapetype>
            <v:shape id="MSIPCM362b42cd85fda18df869da17" o:spid="_x0000_s1026" type="#_x0000_t202" alt="{&quot;HashCode&quot;:369928660,&quot;Height&quot;:792.0,&quot;Width&quot;:612.0,&quot;Placement&quot;:&quot;Footer&quot;,&quot;Index&quot;:&quot;OddAndEven&quot;,&quot;Section&quot;:1,&quot;Top&quot;:0.0,&quot;Left&quot;:0.0}" style="position:absolute;margin-left:0;margin-top:755.45pt;width:612pt;height:21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4n8rgIAAEgFAAAOAAAAZHJzL2Uyb0RvYy54bWysVMlu2zAQvRfoPxA89NRasuzISyMHrlOn&#10;AZzEgFPkTJOUJUDiMCRtKy367x1qcZb2VPRCDucNZ3mc4flFVRbkII3NQSW03wspkYqDyNUuod/v&#10;l5/GlFjHlGAFKJnQJ2npxez9u/OjnsoIMiiENASdKDs96oRmzulpEFieyZLZHmipEEzBlMzh0ewC&#10;YdgRvZdFEIVhHBzBCG2AS2tRe9mAdFb7T1PJ3V2aWulIkVDMzdWrqdetX4PZOZvuDNNZzts02D9k&#10;UbJcYdCTq0vmGNmb/A9XZc4NWEhdj0MZQJrmXNY1YDX98E01m4xpWdeC5Fh9osn+P7f89rA2JBcJ&#10;HVCiWIlPdLO5Xi9uBnG0HUZcjM9SwfpjkY7jCQojSoS0HBn8+eFxD+7zN2azBQjZnKaDeDKJxnEc&#10;fmxhme8y14KjSdTrgIdcuKzVx/1n/bpgXJZSdXcakyWAk6aRW8/XSsiqddBsd0LMlfh6kOqV4Qab&#10;ALuzNe231+9Bt5rwlNNKpl1YVP7yzXHUdoocbTSy5KovUGGTd3qLSv/mVWpKv+NrEsSxzZ5OrSUr&#10;RzgqR6NRNAwR4ohFo0F4Vvde8HxbG+uuJJTECwk1mHXdUeywsg4zQdPOxAdTsMyLom7fQpFjQuMB&#10;unyF4I1C4UVfQ5Orl1y1rdrCtiCesC4DzVhYzZc5Bl8x69bM4Bxgvjjb7g6XtAAMAq1ESQbmx9/0&#10;3h7bE1FKjjhXCbWPe2YkJcW1wsad9IdDP4j1AQXzUrvttGpfLgBHto+/h+a16G1d0YmpgfIBR3/u&#10;oyHEFMeYCd124sLhCQH8Oricz2sZR04zt1Ibzb1rT5an9L56YEa3vDt8sVvoJo9N39Df2DY0z/cO&#10;0rx+G09sw2bLN45r/WTt1+L/g5fn2ur5A5z9BgAA//8DAFBLAwQUAAYACAAAACEA+6YJ0d4AAAAL&#10;AQAADwAAAGRycy9kb3ducmV2LnhtbEyPzU7DMBCE70i8g7VI3KjT0CIS4lQIxAUJoRbE2Yk3P028&#10;jmK3Td6ezQmO+81odibbTbYXZxx960jBehWBQCqdaalW8P31dvcIwgdNRveOUMGMHnb59VWmU+Mu&#10;tMfzIdSCQ8inWkETwpBK6csGrfYrNyCxVrnR6sDnWEsz6guH217GUfQgrW6JPzR6wJcGy+5wsgo2&#10;n0lRyWNnjx/z+zy3XfXzWlRK3d5Mz08gAk7hzwxLfa4OOXcq3ImMF70CHhKYbtdRAmLR43jDrFjY&#10;9j4BmWfy/4b8FwAA//8DAFBLAQItABQABgAIAAAAIQC2gziS/gAAAOEBAAATAAAAAAAAAAAAAAAA&#10;AAAAAABbQ29udGVudF9UeXBlc10ueG1sUEsBAi0AFAAGAAgAAAAhADj9If/WAAAAlAEAAAsAAAAA&#10;AAAAAAAAAAAALwEAAF9yZWxzLy5yZWxzUEsBAi0AFAAGAAgAAAAhAC3vifyuAgAASAUAAA4AAAAA&#10;AAAAAAAAAAAALgIAAGRycy9lMm9Eb2MueG1sUEsBAi0AFAAGAAgAAAAhAPumCdHeAAAACwEAAA8A&#10;AAAAAAAAAAAAAAAACAUAAGRycy9kb3ducmV2LnhtbFBLBQYAAAAABAAEAPMAAAATBgAAAAA=&#10;" o:allowincell="f" filled="f" stroked="f" strokeweight=".5pt">
              <v:textbox inset=",0,,0">
                <w:txbxContent>
                  <w:p w14:paraId="644C5100" w14:textId="1548993F" w:rsidR="00AE75A1" w:rsidRPr="00AE75A1" w:rsidRDefault="00AE75A1" w:rsidP="00AE75A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A5C16" w14:textId="432D6EE9" w:rsidR="00AE75A1" w:rsidRDefault="00AE75A1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104B8C3" wp14:editId="418FC2D0">
              <wp:simplePos x="0" y="0"/>
              <wp:positionH relativeFrom="page">
                <wp:posOffset>0</wp:posOffset>
              </wp:positionH>
              <wp:positionV relativeFrom="page">
                <wp:posOffset>9594453</wp:posOffset>
              </wp:positionV>
              <wp:extent cx="7772400" cy="273050"/>
              <wp:effectExtent l="0" t="0" r="0" b="12700"/>
              <wp:wrapNone/>
              <wp:docPr id="1" name="MSIPCMee754d499746265e9f6f2887" descr="{&quot;HashCode&quot;:36992866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4AD830" w14:textId="5C21BC7B" w:rsidR="00AE75A1" w:rsidRPr="00AE75A1" w:rsidRDefault="00AE75A1" w:rsidP="00AE75A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4B8C3" id="_x0000_t202" coordsize="21600,21600" o:spt="202" path="m,l,21600r21600,l21600,xe">
              <v:stroke joinstyle="miter"/>
              <v:path gradientshapeok="t" o:connecttype="rect"/>
            </v:shapetype>
            <v:shape id="MSIPCMee754d499746265e9f6f2887" o:spid="_x0000_s1027" type="#_x0000_t202" alt="{&quot;HashCode&quot;:369928660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VfErgIAAEwFAAAOAAAAZHJzL2Uyb0RvYy54bWysVEtv2zAMvg/YfxB02GmLHTe1k6xOkaXI&#10;ViBtA6RDz4osxwZsUZWUxtmw/z7KltPHdhp2sSl+FB8fSV1cNnVFnoQ2JciUDgchJUJyyEq5S+n3&#10;++WnMSXGMpmxCqRI6VEYejl7/+7ioKYiggKqTGiCTqSZHlRKC2vVNAgML0TNzACUkAjmoGtm8ah3&#10;QabZAb3XVRCFYRwcQGdKAxfGoPaqA+ms9Z/ngtu7PDfCkiqlmJttv7r9bt03mF2w6U4zVZTcp8H+&#10;IYualRKDnlxdMcvIXpd/uKpLrsFAbgcc6gDyvOSirQGrGYZvqtkUTIm2FiTHqBNN5v+55bdPa03K&#10;DHtHiWQ1tuhmc71e3AiRnI+y0WSSjOIoPheTPM6j8TihJBOGI4M/PzzuwX7+xkyxgEx0p+lZPJlE&#10;4zgOP3pYlLvCejCZRIMeeCgzW3h9PHzWryvGRS1kf6czWQJYoTvZe76WmWi8g+631mXN9PGV1QYn&#10;AEfT2w393XtQXhOeElqJvI+Jyl9uMg7KTJGgjUKKbPMFGseS1xtUuoY3ua7dH1tJEMcZO57mSjSW&#10;cFQmSRKNQoQ4YlFyFp63gxc831ba2K8CauKElGrMuh0n9rQyFiOiaW/igklYllXVzm4lySGl8Rm6&#10;fIXgjUriRVdDl6uTbLNtfLd9HVvIjliehm41jOLLEnNYMWPXTOMuYNq43/YOP3kFGAu8REkB+sff&#10;9M4eRxRRSg64Wyk1j3umBSXVtcThnQxHI7eM7QEF/VK77bVyXy8A1xYHE7NqRWdrq17MNdQPuP5z&#10;Fw0hJjnGTOm2FxcWTwjg88HFfN7KuHaK2ZXcKO5cO84cs/fNA9PK02+xcbfQbx+bvulCZ9uxPd9b&#10;yMu2RY7fjk1PO65s2zn/vLg34eW5tXp+BGe/AQAA//8DAFBLAwQUAAYACAAAACEA+6YJ0d4AAAAL&#10;AQAADwAAAGRycy9kb3ducmV2LnhtbEyPzU7DMBCE70i8g7VI3KjT0CIS4lQIxAUJoRbE2Yk3P028&#10;jmK3Td6ezQmO+81odibbTbYXZxx960jBehWBQCqdaalW8P31dvcIwgdNRveOUMGMHnb59VWmU+Mu&#10;tMfzIdSCQ8inWkETwpBK6csGrfYrNyCxVrnR6sDnWEsz6guH217GUfQgrW6JPzR6wJcGy+5wsgo2&#10;n0lRyWNnjx/z+zy3XfXzWlRK3d5Mz08gAk7hzwxLfa4OOXcq3ImMF70CHhKYbtdRAmLR43jDrFjY&#10;9j4BmWfy/4b8FwAA//8DAFBLAQItABQABgAIAAAAIQC2gziS/gAAAOEBAAATAAAAAAAAAAAAAAAA&#10;AAAAAABbQ29udGVudF9UeXBlc10ueG1sUEsBAi0AFAAGAAgAAAAhADj9If/WAAAAlAEAAAsAAAAA&#10;AAAAAAAAAAAALwEAAF9yZWxzLy5yZWxzUEsBAi0AFAAGAAgAAAAhAOTxV8SuAgAATAUAAA4AAAAA&#10;AAAAAAAAAAAALgIAAGRycy9lMm9Eb2MueG1sUEsBAi0AFAAGAAgAAAAhAPumCdHeAAAACwEAAA8A&#10;AAAAAAAAAAAAAAAACAUAAGRycy9kb3ducmV2LnhtbFBLBQYAAAAABAAEAPMAAAATBgAAAAA=&#10;" o:allowincell="f" filled="f" stroked="f" strokeweight=".5pt">
              <v:textbox inset=",0,,0">
                <w:txbxContent>
                  <w:p w14:paraId="314AD830" w14:textId="5C21BC7B" w:rsidR="00AE75A1" w:rsidRPr="00AE75A1" w:rsidRDefault="00AE75A1" w:rsidP="00AE75A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1338" w14:textId="2E4656A7" w:rsidR="00AE75A1" w:rsidRDefault="00AE75A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39417" w14:textId="77777777" w:rsidR="00B667FF" w:rsidRDefault="00B667FF" w:rsidP="00513BF0">
      <w:r>
        <w:separator/>
      </w:r>
    </w:p>
  </w:footnote>
  <w:footnote w:type="continuationSeparator" w:id="0">
    <w:p w14:paraId="1D724E91" w14:textId="77777777" w:rsidR="00B667FF" w:rsidRDefault="00B667FF" w:rsidP="00513BF0">
      <w:r>
        <w:continuationSeparator/>
      </w:r>
    </w:p>
  </w:footnote>
  <w:footnote w:type="continuationNotice" w:id="1">
    <w:p w14:paraId="4796F9D5" w14:textId="77777777" w:rsidR="00B667FF" w:rsidRDefault="00B667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1704810"/>
      <w:docPartObj>
        <w:docPartGallery w:val="Watermarks"/>
        <w:docPartUnique/>
      </w:docPartObj>
    </w:sdtPr>
    <w:sdtEndPr/>
    <w:sdtContent>
      <w:p w14:paraId="7B58C087" w14:textId="72FBD7B1" w:rsidR="000822A6" w:rsidRDefault="00DE0761">
        <w:pPr>
          <w:pStyle w:val="Hlavika"/>
        </w:pPr>
        <w:r>
          <w:rPr>
            <w:noProof/>
          </w:rPr>
          <w:pict w14:anchorId="3BC3588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D169C" w14:textId="5717539B" w:rsidR="00F94E10" w:rsidRPr="00F12262" w:rsidRDefault="00F94E10" w:rsidP="00B97230">
    <w:pPr>
      <w:pStyle w:val="Hlavika"/>
      <w:tabs>
        <w:tab w:val="clear" w:pos="4513"/>
        <w:tab w:val="clear" w:pos="9026"/>
        <w:tab w:val="right" w:pos="9050"/>
      </w:tabs>
      <w:rPr>
        <w:b/>
        <w:i/>
        <w:color w:val="FF0000"/>
        <w:sz w:val="60"/>
        <w:szCs w:val="60"/>
      </w:rPr>
    </w:pPr>
    <w:r>
      <w:rPr>
        <w:b/>
        <w:i/>
        <w:color w:val="FF0000"/>
        <w:sz w:val="60"/>
        <w:szCs w:val="60"/>
      </w:rPr>
      <w:tab/>
    </w:r>
    <w:r w:rsidR="00B97230">
      <w:rPr>
        <w:b/>
        <w:i/>
        <w:color w:val="FF0000"/>
        <w:sz w:val="60"/>
        <w:szCs w:val="60"/>
      </w:rP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123A"/>
    <w:multiLevelType w:val="hybridMultilevel"/>
    <w:tmpl w:val="E50C96E4"/>
    <w:lvl w:ilvl="0" w:tplc="31445DAC">
      <w:numFmt w:val="bullet"/>
      <w:lvlText w:val="•"/>
      <w:lvlJc w:val="left"/>
      <w:pPr>
        <w:ind w:left="1080" w:hanging="720"/>
      </w:pPr>
      <w:rPr>
        <w:rFonts w:ascii="Georgia" w:eastAsia="Verdana" w:hAnsi="Georgi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1D9C"/>
    <w:multiLevelType w:val="hybridMultilevel"/>
    <w:tmpl w:val="3E269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50CC9"/>
    <w:multiLevelType w:val="hybridMultilevel"/>
    <w:tmpl w:val="028020A8"/>
    <w:lvl w:ilvl="0" w:tplc="889C704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45552"/>
    <w:multiLevelType w:val="hybridMultilevel"/>
    <w:tmpl w:val="D0DAD4D8"/>
    <w:lvl w:ilvl="0" w:tplc="0409000F">
      <w:start w:val="1"/>
      <w:numFmt w:val="decimal"/>
      <w:lvlText w:val="%1."/>
      <w:lvlJc w:val="left"/>
      <w:pPr>
        <w:ind w:left="947" w:hanging="360"/>
      </w:p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" w15:restartNumberingAfterBreak="0">
    <w:nsid w:val="15EF323E"/>
    <w:multiLevelType w:val="hybridMultilevel"/>
    <w:tmpl w:val="C1F6713A"/>
    <w:lvl w:ilvl="0" w:tplc="63F8B7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20C31"/>
    <w:multiLevelType w:val="hybridMultilevel"/>
    <w:tmpl w:val="B952F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F0A0A"/>
    <w:multiLevelType w:val="hybridMultilevel"/>
    <w:tmpl w:val="ABAC5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D530F"/>
    <w:multiLevelType w:val="hybridMultilevel"/>
    <w:tmpl w:val="6B3C5A66"/>
    <w:lvl w:ilvl="0" w:tplc="EAFA0F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B5664"/>
    <w:multiLevelType w:val="hybridMultilevel"/>
    <w:tmpl w:val="F2B25BFA"/>
    <w:lvl w:ilvl="0" w:tplc="A64C33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77DA1"/>
    <w:multiLevelType w:val="hybridMultilevel"/>
    <w:tmpl w:val="CD92F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B7444"/>
    <w:multiLevelType w:val="hybridMultilevel"/>
    <w:tmpl w:val="3EFA82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2154F4"/>
    <w:multiLevelType w:val="hybridMultilevel"/>
    <w:tmpl w:val="DD64D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31AC4"/>
    <w:multiLevelType w:val="hybridMultilevel"/>
    <w:tmpl w:val="03CE489A"/>
    <w:lvl w:ilvl="0" w:tplc="97FC162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46DB0"/>
    <w:multiLevelType w:val="hybridMultilevel"/>
    <w:tmpl w:val="6B32C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B0CE3"/>
    <w:multiLevelType w:val="hybridMultilevel"/>
    <w:tmpl w:val="AEEC280E"/>
    <w:lvl w:ilvl="0" w:tplc="4BDE14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DF2BEE"/>
    <w:multiLevelType w:val="hybridMultilevel"/>
    <w:tmpl w:val="12E079AE"/>
    <w:lvl w:ilvl="0" w:tplc="08090001">
      <w:start w:val="1"/>
      <w:numFmt w:val="bullet"/>
      <w:lvlText w:val=""/>
      <w:lvlJc w:val="left"/>
      <w:pPr>
        <w:ind w:left="2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</w:abstractNum>
  <w:abstractNum w:abstractNumId="16" w15:restartNumberingAfterBreak="0">
    <w:nsid w:val="43D921C2"/>
    <w:multiLevelType w:val="hybridMultilevel"/>
    <w:tmpl w:val="A0E4C49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461C52D5"/>
    <w:multiLevelType w:val="hybridMultilevel"/>
    <w:tmpl w:val="1CF43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91A9B"/>
    <w:multiLevelType w:val="hybridMultilevel"/>
    <w:tmpl w:val="A080F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D4E69"/>
    <w:multiLevelType w:val="hybridMultilevel"/>
    <w:tmpl w:val="BFA82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E07AA"/>
    <w:multiLevelType w:val="hybridMultilevel"/>
    <w:tmpl w:val="756AD8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332DFE"/>
    <w:multiLevelType w:val="hybridMultilevel"/>
    <w:tmpl w:val="432E9FF0"/>
    <w:lvl w:ilvl="0" w:tplc="3B80E6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DC7549"/>
    <w:multiLevelType w:val="hybridMultilevel"/>
    <w:tmpl w:val="8B666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6A074A"/>
    <w:multiLevelType w:val="hybridMultilevel"/>
    <w:tmpl w:val="8132F83C"/>
    <w:lvl w:ilvl="0" w:tplc="C5362C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D06C19"/>
    <w:multiLevelType w:val="hybridMultilevel"/>
    <w:tmpl w:val="9E26A0E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B6340E"/>
    <w:multiLevelType w:val="hybridMultilevel"/>
    <w:tmpl w:val="6B2A9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294A28"/>
    <w:multiLevelType w:val="hybridMultilevel"/>
    <w:tmpl w:val="F28ECFFA"/>
    <w:lvl w:ilvl="0" w:tplc="ADDEAC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3443F"/>
    <w:multiLevelType w:val="hybridMultilevel"/>
    <w:tmpl w:val="2A28AE26"/>
    <w:lvl w:ilvl="0" w:tplc="D260293C">
      <w:start w:val="2018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11656"/>
    <w:multiLevelType w:val="hybridMultilevel"/>
    <w:tmpl w:val="25EAFD92"/>
    <w:lvl w:ilvl="0" w:tplc="EAFA0F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EE197F"/>
    <w:multiLevelType w:val="hybridMultilevel"/>
    <w:tmpl w:val="BC6857AA"/>
    <w:lvl w:ilvl="0" w:tplc="2904D0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3603E"/>
    <w:multiLevelType w:val="hybridMultilevel"/>
    <w:tmpl w:val="EA0675F2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4"/>
  </w:num>
  <w:num w:numId="4">
    <w:abstractNumId w:val="21"/>
  </w:num>
  <w:num w:numId="5">
    <w:abstractNumId w:val="14"/>
  </w:num>
  <w:num w:numId="6">
    <w:abstractNumId w:val="17"/>
  </w:num>
  <w:num w:numId="7">
    <w:abstractNumId w:val="13"/>
  </w:num>
  <w:num w:numId="8">
    <w:abstractNumId w:val="23"/>
  </w:num>
  <w:num w:numId="9">
    <w:abstractNumId w:val="30"/>
  </w:num>
  <w:num w:numId="10">
    <w:abstractNumId w:val="16"/>
  </w:num>
  <w:num w:numId="11">
    <w:abstractNumId w:val="5"/>
  </w:num>
  <w:num w:numId="12">
    <w:abstractNumId w:val="22"/>
  </w:num>
  <w:num w:numId="13">
    <w:abstractNumId w:val="11"/>
  </w:num>
  <w:num w:numId="14">
    <w:abstractNumId w:val="18"/>
  </w:num>
  <w:num w:numId="15">
    <w:abstractNumId w:val="29"/>
  </w:num>
  <w:num w:numId="16">
    <w:abstractNumId w:val="27"/>
  </w:num>
  <w:num w:numId="17">
    <w:abstractNumId w:val="6"/>
  </w:num>
  <w:num w:numId="18">
    <w:abstractNumId w:val="0"/>
  </w:num>
  <w:num w:numId="19">
    <w:abstractNumId w:val="2"/>
  </w:num>
  <w:num w:numId="20">
    <w:abstractNumId w:val="12"/>
  </w:num>
  <w:num w:numId="21">
    <w:abstractNumId w:val="19"/>
  </w:num>
  <w:num w:numId="22">
    <w:abstractNumId w:val="1"/>
  </w:num>
  <w:num w:numId="23">
    <w:abstractNumId w:val="7"/>
  </w:num>
  <w:num w:numId="24">
    <w:abstractNumId w:val="28"/>
  </w:num>
  <w:num w:numId="25">
    <w:abstractNumId w:val="15"/>
  </w:num>
  <w:num w:numId="26">
    <w:abstractNumId w:val="20"/>
  </w:num>
  <w:num w:numId="27">
    <w:abstractNumId w:val="24"/>
  </w:num>
  <w:num w:numId="28">
    <w:abstractNumId w:val="9"/>
  </w:num>
  <w:num w:numId="29">
    <w:abstractNumId w:val="26"/>
  </w:num>
  <w:num w:numId="30">
    <w:abstractNumId w:val="8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27"/>
  <w:hyphenationZone w:val="425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1E7"/>
    <w:rsid w:val="000000EC"/>
    <w:rsid w:val="000013E8"/>
    <w:rsid w:val="0000460D"/>
    <w:rsid w:val="0001022C"/>
    <w:rsid w:val="00024243"/>
    <w:rsid w:val="000243F1"/>
    <w:rsid w:val="00030297"/>
    <w:rsid w:val="00032CB9"/>
    <w:rsid w:val="00037EF1"/>
    <w:rsid w:val="000410FF"/>
    <w:rsid w:val="00041221"/>
    <w:rsid w:val="00041ECF"/>
    <w:rsid w:val="00043B06"/>
    <w:rsid w:val="000517A4"/>
    <w:rsid w:val="00055354"/>
    <w:rsid w:val="00066E6D"/>
    <w:rsid w:val="00074F26"/>
    <w:rsid w:val="000822A6"/>
    <w:rsid w:val="00083CC3"/>
    <w:rsid w:val="00083D1C"/>
    <w:rsid w:val="0008543C"/>
    <w:rsid w:val="00085B0D"/>
    <w:rsid w:val="00087FE1"/>
    <w:rsid w:val="000958E3"/>
    <w:rsid w:val="000B188F"/>
    <w:rsid w:val="000B3E4F"/>
    <w:rsid w:val="000B50B2"/>
    <w:rsid w:val="000B61CB"/>
    <w:rsid w:val="000D308A"/>
    <w:rsid w:val="000D3A9D"/>
    <w:rsid w:val="000D7742"/>
    <w:rsid w:val="000F3B18"/>
    <w:rsid w:val="000F682F"/>
    <w:rsid w:val="00100EAE"/>
    <w:rsid w:val="001022F5"/>
    <w:rsid w:val="00102E45"/>
    <w:rsid w:val="00114200"/>
    <w:rsid w:val="00116495"/>
    <w:rsid w:val="00124E4C"/>
    <w:rsid w:val="001368FF"/>
    <w:rsid w:val="00143B12"/>
    <w:rsid w:val="00145602"/>
    <w:rsid w:val="00153593"/>
    <w:rsid w:val="00163AF7"/>
    <w:rsid w:val="00166124"/>
    <w:rsid w:val="00171915"/>
    <w:rsid w:val="00173473"/>
    <w:rsid w:val="00177F76"/>
    <w:rsid w:val="00183B1F"/>
    <w:rsid w:val="001859B2"/>
    <w:rsid w:val="00186DB6"/>
    <w:rsid w:val="001879A7"/>
    <w:rsid w:val="00192964"/>
    <w:rsid w:val="00192DFF"/>
    <w:rsid w:val="00196BFF"/>
    <w:rsid w:val="001A2846"/>
    <w:rsid w:val="001A29A0"/>
    <w:rsid w:val="001A3CE5"/>
    <w:rsid w:val="001A473B"/>
    <w:rsid w:val="001B414C"/>
    <w:rsid w:val="001C2A9F"/>
    <w:rsid w:val="001C5BDF"/>
    <w:rsid w:val="001D0E12"/>
    <w:rsid w:val="001D6E35"/>
    <w:rsid w:val="001E1234"/>
    <w:rsid w:val="001E197C"/>
    <w:rsid w:val="001E2449"/>
    <w:rsid w:val="001E3955"/>
    <w:rsid w:val="00203C19"/>
    <w:rsid w:val="0020419F"/>
    <w:rsid w:val="00207344"/>
    <w:rsid w:val="00211220"/>
    <w:rsid w:val="00222998"/>
    <w:rsid w:val="0022475A"/>
    <w:rsid w:val="00230754"/>
    <w:rsid w:val="00231BEB"/>
    <w:rsid w:val="0023268D"/>
    <w:rsid w:val="00234857"/>
    <w:rsid w:val="0023731F"/>
    <w:rsid w:val="0025584B"/>
    <w:rsid w:val="0026252E"/>
    <w:rsid w:val="0026527B"/>
    <w:rsid w:val="002652CE"/>
    <w:rsid w:val="00277EF0"/>
    <w:rsid w:val="0028344D"/>
    <w:rsid w:val="00287080"/>
    <w:rsid w:val="002913F5"/>
    <w:rsid w:val="00291BDE"/>
    <w:rsid w:val="0029543D"/>
    <w:rsid w:val="002A5F8F"/>
    <w:rsid w:val="002B02E8"/>
    <w:rsid w:val="002B2136"/>
    <w:rsid w:val="002B25B7"/>
    <w:rsid w:val="002B3B9D"/>
    <w:rsid w:val="002B52EB"/>
    <w:rsid w:val="002B6CC2"/>
    <w:rsid w:val="002D2BC8"/>
    <w:rsid w:val="002D3507"/>
    <w:rsid w:val="002D5066"/>
    <w:rsid w:val="002D6E6A"/>
    <w:rsid w:val="002E255B"/>
    <w:rsid w:val="002E5B22"/>
    <w:rsid w:val="002F404F"/>
    <w:rsid w:val="002F7378"/>
    <w:rsid w:val="0030061A"/>
    <w:rsid w:val="0030115A"/>
    <w:rsid w:val="003059BC"/>
    <w:rsid w:val="00306418"/>
    <w:rsid w:val="00312408"/>
    <w:rsid w:val="00313885"/>
    <w:rsid w:val="00316384"/>
    <w:rsid w:val="00316A94"/>
    <w:rsid w:val="00317058"/>
    <w:rsid w:val="00317744"/>
    <w:rsid w:val="00317965"/>
    <w:rsid w:val="00333BA1"/>
    <w:rsid w:val="00341A32"/>
    <w:rsid w:val="003420E1"/>
    <w:rsid w:val="003442DC"/>
    <w:rsid w:val="00344E27"/>
    <w:rsid w:val="00350166"/>
    <w:rsid w:val="00350925"/>
    <w:rsid w:val="003543ED"/>
    <w:rsid w:val="00355130"/>
    <w:rsid w:val="00360BD7"/>
    <w:rsid w:val="00361315"/>
    <w:rsid w:val="00361F3B"/>
    <w:rsid w:val="003735CE"/>
    <w:rsid w:val="00375331"/>
    <w:rsid w:val="003768D3"/>
    <w:rsid w:val="00381C7D"/>
    <w:rsid w:val="0038403E"/>
    <w:rsid w:val="00390F64"/>
    <w:rsid w:val="00391AFA"/>
    <w:rsid w:val="00397366"/>
    <w:rsid w:val="003A2E37"/>
    <w:rsid w:val="003A73AB"/>
    <w:rsid w:val="003A7579"/>
    <w:rsid w:val="003B6E23"/>
    <w:rsid w:val="003C2EE3"/>
    <w:rsid w:val="003C2FB7"/>
    <w:rsid w:val="003C5320"/>
    <w:rsid w:val="003D1008"/>
    <w:rsid w:val="003D30CB"/>
    <w:rsid w:val="003D3D0D"/>
    <w:rsid w:val="003D6069"/>
    <w:rsid w:val="003D6847"/>
    <w:rsid w:val="003D764C"/>
    <w:rsid w:val="003D7866"/>
    <w:rsid w:val="003E14C1"/>
    <w:rsid w:val="003E27DD"/>
    <w:rsid w:val="003F013E"/>
    <w:rsid w:val="003F0F54"/>
    <w:rsid w:val="003F1F8F"/>
    <w:rsid w:val="003F3CBF"/>
    <w:rsid w:val="004007A6"/>
    <w:rsid w:val="004024FF"/>
    <w:rsid w:val="00403036"/>
    <w:rsid w:val="00403BF0"/>
    <w:rsid w:val="00406308"/>
    <w:rsid w:val="00406BC9"/>
    <w:rsid w:val="00410DB1"/>
    <w:rsid w:val="00412116"/>
    <w:rsid w:val="00412CC6"/>
    <w:rsid w:val="0041471A"/>
    <w:rsid w:val="00420CAE"/>
    <w:rsid w:val="00422635"/>
    <w:rsid w:val="00422E07"/>
    <w:rsid w:val="00422EEC"/>
    <w:rsid w:val="00427753"/>
    <w:rsid w:val="004277A8"/>
    <w:rsid w:val="004356F2"/>
    <w:rsid w:val="0044178F"/>
    <w:rsid w:val="00443849"/>
    <w:rsid w:val="00443E5B"/>
    <w:rsid w:val="0044652D"/>
    <w:rsid w:val="0044680E"/>
    <w:rsid w:val="00453F18"/>
    <w:rsid w:val="00472E49"/>
    <w:rsid w:val="004735BD"/>
    <w:rsid w:val="00475E5B"/>
    <w:rsid w:val="004812B2"/>
    <w:rsid w:val="00481C5C"/>
    <w:rsid w:val="0048341D"/>
    <w:rsid w:val="004865E2"/>
    <w:rsid w:val="00487AFE"/>
    <w:rsid w:val="0049338C"/>
    <w:rsid w:val="00494F89"/>
    <w:rsid w:val="00495D0B"/>
    <w:rsid w:val="00495F1E"/>
    <w:rsid w:val="00496509"/>
    <w:rsid w:val="004978A5"/>
    <w:rsid w:val="00497D43"/>
    <w:rsid w:val="004A50E0"/>
    <w:rsid w:val="004C04D9"/>
    <w:rsid w:val="004C09A1"/>
    <w:rsid w:val="004C0BCC"/>
    <w:rsid w:val="004C0EC7"/>
    <w:rsid w:val="004D119E"/>
    <w:rsid w:val="004D1685"/>
    <w:rsid w:val="004D3F75"/>
    <w:rsid w:val="004D4E25"/>
    <w:rsid w:val="004D589F"/>
    <w:rsid w:val="004E1FB0"/>
    <w:rsid w:val="004F13B0"/>
    <w:rsid w:val="005035B9"/>
    <w:rsid w:val="00503ED4"/>
    <w:rsid w:val="0050400F"/>
    <w:rsid w:val="00505530"/>
    <w:rsid w:val="00507ED5"/>
    <w:rsid w:val="00511813"/>
    <w:rsid w:val="00511C8D"/>
    <w:rsid w:val="00512198"/>
    <w:rsid w:val="00513157"/>
    <w:rsid w:val="00513BF0"/>
    <w:rsid w:val="005214CB"/>
    <w:rsid w:val="00521D29"/>
    <w:rsid w:val="00530756"/>
    <w:rsid w:val="0053291F"/>
    <w:rsid w:val="0053471F"/>
    <w:rsid w:val="00534925"/>
    <w:rsid w:val="00534CD8"/>
    <w:rsid w:val="005373D1"/>
    <w:rsid w:val="00541A01"/>
    <w:rsid w:val="00541D23"/>
    <w:rsid w:val="00543AA7"/>
    <w:rsid w:val="00544BF2"/>
    <w:rsid w:val="00551E7F"/>
    <w:rsid w:val="005640F5"/>
    <w:rsid w:val="005648B7"/>
    <w:rsid w:val="0056649E"/>
    <w:rsid w:val="00577B7B"/>
    <w:rsid w:val="00582609"/>
    <w:rsid w:val="0058494E"/>
    <w:rsid w:val="00584D73"/>
    <w:rsid w:val="00584D85"/>
    <w:rsid w:val="005861E7"/>
    <w:rsid w:val="00586FD0"/>
    <w:rsid w:val="00591601"/>
    <w:rsid w:val="00591CB8"/>
    <w:rsid w:val="00596E82"/>
    <w:rsid w:val="005A0E34"/>
    <w:rsid w:val="005A15A2"/>
    <w:rsid w:val="005A1766"/>
    <w:rsid w:val="005A2213"/>
    <w:rsid w:val="005A6FC8"/>
    <w:rsid w:val="005A6FE4"/>
    <w:rsid w:val="005B26EE"/>
    <w:rsid w:val="005B2911"/>
    <w:rsid w:val="005B488E"/>
    <w:rsid w:val="005C24D8"/>
    <w:rsid w:val="005C59C5"/>
    <w:rsid w:val="005C7B64"/>
    <w:rsid w:val="005D1FEB"/>
    <w:rsid w:val="005D374F"/>
    <w:rsid w:val="005D3DA1"/>
    <w:rsid w:val="005D5259"/>
    <w:rsid w:val="005E6F18"/>
    <w:rsid w:val="005F2F8A"/>
    <w:rsid w:val="005F3D9E"/>
    <w:rsid w:val="005F4F00"/>
    <w:rsid w:val="005F5BFB"/>
    <w:rsid w:val="00612CC6"/>
    <w:rsid w:val="00615360"/>
    <w:rsid w:val="00615982"/>
    <w:rsid w:val="0062399A"/>
    <w:rsid w:val="006239FB"/>
    <w:rsid w:val="00624C28"/>
    <w:rsid w:val="006274DB"/>
    <w:rsid w:val="0063129A"/>
    <w:rsid w:val="00640DE0"/>
    <w:rsid w:val="00644660"/>
    <w:rsid w:val="006453D9"/>
    <w:rsid w:val="006459D5"/>
    <w:rsid w:val="00647A64"/>
    <w:rsid w:val="0065129D"/>
    <w:rsid w:val="006517E2"/>
    <w:rsid w:val="00651DF4"/>
    <w:rsid w:val="00653EF5"/>
    <w:rsid w:val="0065491F"/>
    <w:rsid w:val="00655B9C"/>
    <w:rsid w:val="006613D9"/>
    <w:rsid w:val="0066364C"/>
    <w:rsid w:val="00670A91"/>
    <w:rsid w:val="006755F0"/>
    <w:rsid w:val="00683252"/>
    <w:rsid w:val="0069121E"/>
    <w:rsid w:val="006955ED"/>
    <w:rsid w:val="00695CB7"/>
    <w:rsid w:val="006960FA"/>
    <w:rsid w:val="006B0076"/>
    <w:rsid w:val="006B3D83"/>
    <w:rsid w:val="006B6353"/>
    <w:rsid w:val="006B7D79"/>
    <w:rsid w:val="006C5D37"/>
    <w:rsid w:val="006D28DC"/>
    <w:rsid w:val="006D5E41"/>
    <w:rsid w:val="006D7986"/>
    <w:rsid w:val="006E0AEB"/>
    <w:rsid w:val="006E2DB0"/>
    <w:rsid w:val="006E5220"/>
    <w:rsid w:val="006E618B"/>
    <w:rsid w:val="006F0B48"/>
    <w:rsid w:val="006F43AD"/>
    <w:rsid w:val="00700CF1"/>
    <w:rsid w:val="00700E94"/>
    <w:rsid w:val="00701285"/>
    <w:rsid w:val="0070132B"/>
    <w:rsid w:val="00702589"/>
    <w:rsid w:val="00703916"/>
    <w:rsid w:val="00703E33"/>
    <w:rsid w:val="00707055"/>
    <w:rsid w:val="007135CF"/>
    <w:rsid w:val="00715827"/>
    <w:rsid w:val="00716F58"/>
    <w:rsid w:val="0071732D"/>
    <w:rsid w:val="00721BA4"/>
    <w:rsid w:val="00724815"/>
    <w:rsid w:val="00736F04"/>
    <w:rsid w:val="00740B7C"/>
    <w:rsid w:val="00742750"/>
    <w:rsid w:val="00743814"/>
    <w:rsid w:val="00744320"/>
    <w:rsid w:val="007511C5"/>
    <w:rsid w:val="00751C18"/>
    <w:rsid w:val="0075767E"/>
    <w:rsid w:val="00766504"/>
    <w:rsid w:val="007666DC"/>
    <w:rsid w:val="00766F18"/>
    <w:rsid w:val="0077419E"/>
    <w:rsid w:val="00775EEB"/>
    <w:rsid w:val="00784748"/>
    <w:rsid w:val="00795301"/>
    <w:rsid w:val="0079762F"/>
    <w:rsid w:val="007977A8"/>
    <w:rsid w:val="007A235B"/>
    <w:rsid w:val="007A3E31"/>
    <w:rsid w:val="007A66B3"/>
    <w:rsid w:val="007B2D30"/>
    <w:rsid w:val="007B48D9"/>
    <w:rsid w:val="007B60AC"/>
    <w:rsid w:val="007C0027"/>
    <w:rsid w:val="007C4E5F"/>
    <w:rsid w:val="007C4EE1"/>
    <w:rsid w:val="007D0A7E"/>
    <w:rsid w:val="007D3DBA"/>
    <w:rsid w:val="007E3A35"/>
    <w:rsid w:val="007E3B97"/>
    <w:rsid w:val="007E3F66"/>
    <w:rsid w:val="007F037A"/>
    <w:rsid w:val="007F1BBE"/>
    <w:rsid w:val="007F301C"/>
    <w:rsid w:val="007F595F"/>
    <w:rsid w:val="008005F6"/>
    <w:rsid w:val="00801835"/>
    <w:rsid w:val="008043A0"/>
    <w:rsid w:val="0080778B"/>
    <w:rsid w:val="00811AFA"/>
    <w:rsid w:val="00813163"/>
    <w:rsid w:val="00814459"/>
    <w:rsid w:val="00814C78"/>
    <w:rsid w:val="008167E3"/>
    <w:rsid w:val="00816EDC"/>
    <w:rsid w:val="008170E1"/>
    <w:rsid w:val="00820B87"/>
    <w:rsid w:val="00831F32"/>
    <w:rsid w:val="00845FDB"/>
    <w:rsid w:val="0085044E"/>
    <w:rsid w:val="00850EF6"/>
    <w:rsid w:val="00851488"/>
    <w:rsid w:val="0085667A"/>
    <w:rsid w:val="00857DBB"/>
    <w:rsid w:val="00860BEA"/>
    <w:rsid w:val="00861EFC"/>
    <w:rsid w:val="008636CA"/>
    <w:rsid w:val="008651A3"/>
    <w:rsid w:val="00866410"/>
    <w:rsid w:val="008732E6"/>
    <w:rsid w:val="008837AF"/>
    <w:rsid w:val="00884603"/>
    <w:rsid w:val="00886BD3"/>
    <w:rsid w:val="00893172"/>
    <w:rsid w:val="00897FEB"/>
    <w:rsid w:val="008A10A2"/>
    <w:rsid w:val="008A155C"/>
    <w:rsid w:val="008A3948"/>
    <w:rsid w:val="008B21F6"/>
    <w:rsid w:val="008B30BD"/>
    <w:rsid w:val="008B5B4B"/>
    <w:rsid w:val="008B6DF0"/>
    <w:rsid w:val="008C4264"/>
    <w:rsid w:val="008D26B8"/>
    <w:rsid w:val="008E7DC6"/>
    <w:rsid w:val="008F3070"/>
    <w:rsid w:val="00902323"/>
    <w:rsid w:val="00902E41"/>
    <w:rsid w:val="00902E56"/>
    <w:rsid w:val="009037AD"/>
    <w:rsid w:val="00907319"/>
    <w:rsid w:val="00907513"/>
    <w:rsid w:val="00907AD5"/>
    <w:rsid w:val="00912264"/>
    <w:rsid w:val="009148DF"/>
    <w:rsid w:val="00916CCC"/>
    <w:rsid w:val="00917515"/>
    <w:rsid w:val="0092318C"/>
    <w:rsid w:val="0092645B"/>
    <w:rsid w:val="00926FCD"/>
    <w:rsid w:val="009270A5"/>
    <w:rsid w:val="00927709"/>
    <w:rsid w:val="00935A17"/>
    <w:rsid w:val="00936C22"/>
    <w:rsid w:val="009432F7"/>
    <w:rsid w:val="009445E9"/>
    <w:rsid w:val="0094547B"/>
    <w:rsid w:val="009509AA"/>
    <w:rsid w:val="0095347A"/>
    <w:rsid w:val="00956F1E"/>
    <w:rsid w:val="00974C20"/>
    <w:rsid w:val="00975F05"/>
    <w:rsid w:val="00977A7E"/>
    <w:rsid w:val="00994A60"/>
    <w:rsid w:val="00995123"/>
    <w:rsid w:val="009A0A7F"/>
    <w:rsid w:val="009A42C0"/>
    <w:rsid w:val="009A62B0"/>
    <w:rsid w:val="009A709C"/>
    <w:rsid w:val="009A71E6"/>
    <w:rsid w:val="009B3085"/>
    <w:rsid w:val="009B5F68"/>
    <w:rsid w:val="009C19E8"/>
    <w:rsid w:val="009C7629"/>
    <w:rsid w:val="009D0DC1"/>
    <w:rsid w:val="009D379E"/>
    <w:rsid w:val="009D617A"/>
    <w:rsid w:val="009D708F"/>
    <w:rsid w:val="009D78F9"/>
    <w:rsid w:val="009F622B"/>
    <w:rsid w:val="009F6C56"/>
    <w:rsid w:val="00A00569"/>
    <w:rsid w:val="00A025EF"/>
    <w:rsid w:val="00A15BFB"/>
    <w:rsid w:val="00A20195"/>
    <w:rsid w:val="00A24AF7"/>
    <w:rsid w:val="00A30724"/>
    <w:rsid w:val="00A35737"/>
    <w:rsid w:val="00A3650A"/>
    <w:rsid w:val="00A36C74"/>
    <w:rsid w:val="00A4418F"/>
    <w:rsid w:val="00A475A1"/>
    <w:rsid w:val="00A52C5D"/>
    <w:rsid w:val="00A53C98"/>
    <w:rsid w:val="00A6052D"/>
    <w:rsid w:val="00A73F20"/>
    <w:rsid w:val="00A750FF"/>
    <w:rsid w:val="00A77ACD"/>
    <w:rsid w:val="00A81ADF"/>
    <w:rsid w:val="00A86E27"/>
    <w:rsid w:val="00A922D1"/>
    <w:rsid w:val="00A9588A"/>
    <w:rsid w:val="00A96461"/>
    <w:rsid w:val="00A96689"/>
    <w:rsid w:val="00A97983"/>
    <w:rsid w:val="00AA0BA2"/>
    <w:rsid w:val="00AA4E3B"/>
    <w:rsid w:val="00AA504F"/>
    <w:rsid w:val="00AA556C"/>
    <w:rsid w:val="00AA6901"/>
    <w:rsid w:val="00AB3CEF"/>
    <w:rsid w:val="00AC2FF2"/>
    <w:rsid w:val="00AC57D0"/>
    <w:rsid w:val="00AD167E"/>
    <w:rsid w:val="00AD5B30"/>
    <w:rsid w:val="00AE0D25"/>
    <w:rsid w:val="00AE75A1"/>
    <w:rsid w:val="00AF67BD"/>
    <w:rsid w:val="00B02AF5"/>
    <w:rsid w:val="00B037D5"/>
    <w:rsid w:val="00B04C3D"/>
    <w:rsid w:val="00B1293C"/>
    <w:rsid w:val="00B12EB0"/>
    <w:rsid w:val="00B16BCC"/>
    <w:rsid w:val="00B17709"/>
    <w:rsid w:val="00B20591"/>
    <w:rsid w:val="00B208DB"/>
    <w:rsid w:val="00B22D20"/>
    <w:rsid w:val="00B230E8"/>
    <w:rsid w:val="00B2684F"/>
    <w:rsid w:val="00B326B8"/>
    <w:rsid w:val="00B3359A"/>
    <w:rsid w:val="00B33FDC"/>
    <w:rsid w:val="00B375EC"/>
    <w:rsid w:val="00B4409B"/>
    <w:rsid w:val="00B464DB"/>
    <w:rsid w:val="00B475A2"/>
    <w:rsid w:val="00B5038E"/>
    <w:rsid w:val="00B505C5"/>
    <w:rsid w:val="00B5378A"/>
    <w:rsid w:val="00B57655"/>
    <w:rsid w:val="00B651BB"/>
    <w:rsid w:val="00B667FF"/>
    <w:rsid w:val="00B75959"/>
    <w:rsid w:val="00B75D48"/>
    <w:rsid w:val="00B75D81"/>
    <w:rsid w:val="00B7676E"/>
    <w:rsid w:val="00B76E91"/>
    <w:rsid w:val="00B80AE7"/>
    <w:rsid w:val="00B81004"/>
    <w:rsid w:val="00B868AF"/>
    <w:rsid w:val="00B9029F"/>
    <w:rsid w:val="00B902F4"/>
    <w:rsid w:val="00B90649"/>
    <w:rsid w:val="00B96F38"/>
    <w:rsid w:val="00B97230"/>
    <w:rsid w:val="00BA0BCF"/>
    <w:rsid w:val="00BA300B"/>
    <w:rsid w:val="00BA5371"/>
    <w:rsid w:val="00BA5E51"/>
    <w:rsid w:val="00BA74F1"/>
    <w:rsid w:val="00BA78D4"/>
    <w:rsid w:val="00BB4234"/>
    <w:rsid w:val="00BB75B7"/>
    <w:rsid w:val="00BC095D"/>
    <w:rsid w:val="00BC17F5"/>
    <w:rsid w:val="00BC4F40"/>
    <w:rsid w:val="00BD692C"/>
    <w:rsid w:val="00BE39A7"/>
    <w:rsid w:val="00BE5F30"/>
    <w:rsid w:val="00BF38EB"/>
    <w:rsid w:val="00C032F1"/>
    <w:rsid w:val="00C051C0"/>
    <w:rsid w:val="00C113A4"/>
    <w:rsid w:val="00C14949"/>
    <w:rsid w:val="00C16088"/>
    <w:rsid w:val="00C21360"/>
    <w:rsid w:val="00C23BC2"/>
    <w:rsid w:val="00C259BD"/>
    <w:rsid w:val="00C300C3"/>
    <w:rsid w:val="00C309E7"/>
    <w:rsid w:val="00C310E2"/>
    <w:rsid w:val="00C32294"/>
    <w:rsid w:val="00C33941"/>
    <w:rsid w:val="00C348E2"/>
    <w:rsid w:val="00C37339"/>
    <w:rsid w:val="00C407D5"/>
    <w:rsid w:val="00C4260C"/>
    <w:rsid w:val="00C44D87"/>
    <w:rsid w:val="00C4519D"/>
    <w:rsid w:val="00C567B9"/>
    <w:rsid w:val="00C60A50"/>
    <w:rsid w:val="00C6582B"/>
    <w:rsid w:val="00C72109"/>
    <w:rsid w:val="00C7327F"/>
    <w:rsid w:val="00C7454D"/>
    <w:rsid w:val="00C83983"/>
    <w:rsid w:val="00C83AF1"/>
    <w:rsid w:val="00C9087C"/>
    <w:rsid w:val="00C9137E"/>
    <w:rsid w:val="00C92783"/>
    <w:rsid w:val="00C9336C"/>
    <w:rsid w:val="00CA29BE"/>
    <w:rsid w:val="00CA2D68"/>
    <w:rsid w:val="00CB36BE"/>
    <w:rsid w:val="00CC06AA"/>
    <w:rsid w:val="00CC140B"/>
    <w:rsid w:val="00CC2DC9"/>
    <w:rsid w:val="00CC41B3"/>
    <w:rsid w:val="00CC5283"/>
    <w:rsid w:val="00CD33B1"/>
    <w:rsid w:val="00CD388F"/>
    <w:rsid w:val="00CE0D2F"/>
    <w:rsid w:val="00CE1714"/>
    <w:rsid w:val="00CE3745"/>
    <w:rsid w:val="00CE472A"/>
    <w:rsid w:val="00CE5271"/>
    <w:rsid w:val="00CF1D36"/>
    <w:rsid w:val="00CF1D63"/>
    <w:rsid w:val="00CF45B3"/>
    <w:rsid w:val="00CF52D3"/>
    <w:rsid w:val="00CF684F"/>
    <w:rsid w:val="00D007BC"/>
    <w:rsid w:val="00D01F7D"/>
    <w:rsid w:val="00D04A49"/>
    <w:rsid w:val="00D06627"/>
    <w:rsid w:val="00D07921"/>
    <w:rsid w:val="00D10599"/>
    <w:rsid w:val="00D10603"/>
    <w:rsid w:val="00D10DC4"/>
    <w:rsid w:val="00D13EB8"/>
    <w:rsid w:val="00D163B2"/>
    <w:rsid w:val="00D27323"/>
    <w:rsid w:val="00D2783D"/>
    <w:rsid w:val="00D27F2D"/>
    <w:rsid w:val="00D30FCE"/>
    <w:rsid w:val="00D340D6"/>
    <w:rsid w:val="00D41AE4"/>
    <w:rsid w:val="00D439AC"/>
    <w:rsid w:val="00D4607F"/>
    <w:rsid w:val="00D573B3"/>
    <w:rsid w:val="00D57AE9"/>
    <w:rsid w:val="00D62BCC"/>
    <w:rsid w:val="00D72EE2"/>
    <w:rsid w:val="00D73F6B"/>
    <w:rsid w:val="00D75332"/>
    <w:rsid w:val="00D84C2A"/>
    <w:rsid w:val="00D87D8E"/>
    <w:rsid w:val="00D9312A"/>
    <w:rsid w:val="00D94ABB"/>
    <w:rsid w:val="00D964BD"/>
    <w:rsid w:val="00DA474C"/>
    <w:rsid w:val="00DA5017"/>
    <w:rsid w:val="00DA7BF1"/>
    <w:rsid w:val="00DA7F63"/>
    <w:rsid w:val="00DB5358"/>
    <w:rsid w:val="00DC1F31"/>
    <w:rsid w:val="00DC2CAB"/>
    <w:rsid w:val="00DC7223"/>
    <w:rsid w:val="00DD1583"/>
    <w:rsid w:val="00DD2594"/>
    <w:rsid w:val="00DD5ECE"/>
    <w:rsid w:val="00DD6207"/>
    <w:rsid w:val="00DE0761"/>
    <w:rsid w:val="00DE2CDC"/>
    <w:rsid w:val="00DF24EE"/>
    <w:rsid w:val="00DF5BA0"/>
    <w:rsid w:val="00E146D1"/>
    <w:rsid w:val="00E1545A"/>
    <w:rsid w:val="00E1621D"/>
    <w:rsid w:val="00E1725D"/>
    <w:rsid w:val="00E21759"/>
    <w:rsid w:val="00E24670"/>
    <w:rsid w:val="00E24DCC"/>
    <w:rsid w:val="00E30971"/>
    <w:rsid w:val="00E33014"/>
    <w:rsid w:val="00E352DD"/>
    <w:rsid w:val="00E44162"/>
    <w:rsid w:val="00E4799C"/>
    <w:rsid w:val="00E50175"/>
    <w:rsid w:val="00E50980"/>
    <w:rsid w:val="00E50F7E"/>
    <w:rsid w:val="00E51918"/>
    <w:rsid w:val="00E55372"/>
    <w:rsid w:val="00E567BB"/>
    <w:rsid w:val="00E56B53"/>
    <w:rsid w:val="00E61369"/>
    <w:rsid w:val="00E6207B"/>
    <w:rsid w:val="00E70A85"/>
    <w:rsid w:val="00E762E0"/>
    <w:rsid w:val="00E82535"/>
    <w:rsid w:val="00E83248"/>
    <w:rsid w:val="00E84D12"/>
    <w:rsid w:val="00E87477"/>
    <w:rsid w:val="00E90324"/>
    <w:rsid w:val="00E93F0B"/>
    <w:rsid w:val="00E9415B"/>
    <w:rsid w:val="00E96EE3"/>
    <w:rsid w:val="00EA1C23"/>
    <w:rsid w:val="00EA39DF"/>
    <w:rsid w:val="00EA7720"/>
    <w:rsid w:val="00EB08AC"/>
    <w:rsid w:val="00EC0E09"/>
    <w:rsid w:val="00EC4B11"/>
    <w:rsid w:val="00EC4F37"/>
    <w:rsid w:val="00EE4E07"/>
    <w:rsid w:val="00EF0BEA"/>
    <w:rsid w:val="00EF0FB9"/>
    <w:rsid w:val="00EF2EE0"/>
    <w:rsid w:val="00F0562F"/>
    <w:rsid w:val="00F12262"/>
    <w:rsid w:val="00F13710"/>
    <w:rsid w:val="00F155AB"/>
    <w:rsid w:val="00F20628"/>
    <w:rsid w:val="00F22B82"/>
    <w:rsid w:val="00F33287"/>
    <w:rsid w:val="00F37E61"/>
    <w:rsid w:val="00F5334D"/>
    <w:rsid w:val="00F535F3"/>
    <w:rsid w:val="00F5532B"/>
    <w:rsid w:val="00F55752"/>
    <w:rsid w:val="00F55949"/>
    <w:rsid w:val="00F57E4B"/>
    <w:rsid w:val="00F64FAF"/>
    <w:rsid w:val="00F65F04"/>
    <w:rsid w:val="00F71B69"/>
    <w:rsid w:val="00F73E48"/>
    <w:rsid w:val="00F7461B"/>
    <w:rsid w:val="00F750A4"/>
    <w:rsid w:val="00F77B05"/>
    <w:rsid w:val="00F806A7"/>
    <w:rsid w:val="00F8402E"/>
    <w:rsid w:val="00F8584B"/>
    <w:rsid w:val="00F86567"/>
    <w:rsid w:val="00F90895"/>
    <w:rsid w:val="00F944A5"/>
    <w:rsid w:val="00F94E10"/>
    <w:rsid w:val="00F953ED"/>
    <w:rsid w:val="00FA3585"/>
    <w:rsid w:val="00FA40AB"/>
    <w:rsid w:val="00FB298B"/>
    <w:rsid w:val="00FB2997"/>
    <w:rsid w:val="00FB3327"/>
    <w:rsid w:val="00FB379E"/>
    <w:rsid w:val="00FB3E41"/>
    <w:rsid w:val="00FB3F0C"/>
    <w:rsid w:val="00FB5372"/>
    <w:rsid w:val="00FC259B"/>
    <w:rsid w:val="00FC7818"/>
    <w:rsid w:val="00FD0F39"/>
    <w:rsid w:val="00FD42F9"/>
    <w:rsid w:val="00FE127A"/>
    <w:rsid w:val="00FE6FF1"/>
    <w:rsid w:val="00FF2DDA"/>
    <w:rsid w:val="00FF387F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96770CA"/>
  <w15:docId w15:val="{4A0BB43A-71A2-4285-8247-9D490A3A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3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13BF0"/>
    <w:pPr>
      <w:tabs>
        <w:tab w:val="center" w:pos="4513"/>
        <w:tab w:val="right" w:pos="9026"/>
      </w:tabs>
    </w:pPr>
    <w:rPr>
      <w:rFonts w:ascii="Arial" w:hAnsi="Arial"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513BF0"/>
    <w:rPr>
      <w:rFonts w:ascii="Arial" w:hAnsi="Arial"/>
      <w:sz w:val="18"/>
    </w:rPr>
  </w:style>
  <w:style w:type="paragraph" w:styleId="Pta">
    <w:name w:val="footer"/>
    <w:basedOn w:val="Normlny"/>
    <w:link w:val="PtaChar"/>
    <w:uiPriority w:val="99"/>
    <w:unhideWhenUsed/>
    <w:rsid w:val="00513BF0"/>
    <w:pPr>
      <w:tabs>
        <w:tab w:val="center" w:pos="4513"/>
        <w:tab w:val="right" w:pos="9026"/>
      </w:tabs>
    </w:pPr>
    <w:rPr>
      <w:rFonts w:ascii="Arial" w:hAnsi="Arial"/>
      <w:sz w:val="18"/>
    </w:rPr>
  </w:style>
  <w:style w:type="character" w:customStyle="1" w:styleId="PtaChar">
    <w:name w:val="Päta Char"/>
    <w:basedOn w:val="Predvolenpsmoodseku"/>
    <w:link w:val="Pta"/>
    <w:uiPriority w:val="99"/>
    <w:rsid w:val="00513BF0"/>
    <w:rPr>
      <w:rFonts w:ascii="Arial" w:hAnsi="Arial"/>
      <w:sz w:val="18"/>
    </w:rPr>
  </w:style>
  <w:style w:type="character" w:styleId="slostrany">
    <w:name w:val="page number"/>
    <w:basedOn w:val="Predvolenpsmoodseku"/>
    <w:rsid w:val="005861E7"/>
  </w:style>
  <w:style w:type="paragraph" w:styleId="Odsekzoznamu">
    <w:name w:val="List Paragraph"/>
    <w:basedOn w:val="Normlny"/>
    <w:link w:val="OdsekzoznamuChar"/>
    <w:uiPriority w:val="34"/>
    <w:qFormat/>
    <w:rsid w:val="005861E7"/>
    <w:pPr>
      <w:spacing w:after="200" w:line="276" w:lineRule="auto"/>
      <w:ind w:left="720"/>
      <w:contextualSpacing/>
    </w:pPr>
    <w:rPr>
      <w:rFonts w:ascii="Georgia" w:eastAsiaTheme="minorHAnsi" w:hAnsi="Georgia" w:cstheme="minorBidi"/>
      <w:sz w:val="20"/>
      <w:szCs w:val="22"/>
      <w:lang w:val="en-GB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5861E7"/>
    <w:rPr>
      <w:rFonts w:ascii="Georgia" w:hAnsi="Georgia"/>
      <w:sz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02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02E8"/>
    <w:rPr>
      <w:rFonts w:ascii="Segoe UI" w:eastAsia="Times New Roman" w:hAnsi="Segoe UI" w:cs="Segoe UI"/>
      <w:sz w:val="18"/>
      <w:szCs w:val="18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F2DD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F2DD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FF2DDA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B2059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2059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2059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059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059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s5">
    <w:name w:val="s5"/>
    <w:basedOn w:val="Predvolenpsmoodseku"/>
    <w:rsid w:val="00647A64"/>
  </w:style>
  <w:style w:type="table" w:styleId="Mriekatabuky">
    <w:name w:val="Table Grid"/>
    <w:basedOn w:val="Normlnatabuka"/>
    <w:uiPriority w:val="59"/>
    <w:rsid w:val="00BA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087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E75A1"/>
    <w:pPr>
      <w:autoSpaceDE w:val="0"/>
      <w:autoSpaceDN w:val="0"/>
      <w:adjustRightInd w:val="0"/>
      <w:spacing w:after="0" w:line="240" w:lineRule="auto"/>
    </w:pPr>
    <w:rPr>
      <w:rFonts w:ascii="OMNOA M+ Source Sans Pro" w:hAnsi="OMNOA M+ Source Sans Pro" w:cs="OMNOA M+ Source Sans Pro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0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0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7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43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89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73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78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72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30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6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4254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7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62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04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4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13745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74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2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8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88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1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462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30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0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document xmlns="34d7415f-f1a4-44df-8e35-2ceaafd480dc" xsi:nil="true"/>
    <Type_x0020_of_x0020_memo xmlns="70f7eb82-310d-4963-bf1e-a4c2a37fd81c" xsi:nil="true"/>
    <Linked_x0020_files xmlns="$ListId:PublishedDocuments;">43c8b4dc-aba3-4402-b455-e7a095daf5d6@2</Linked_x0020_files>
    <ValidationComment xmlns="e092deee-a6f6-4f89-8a6c-e2a43e9fb5cf" xsi:nil="true"/>
    <Uploads xmlns="7008af22-2417-4c84-8cc9-7a7f7e77d398">true</Uploads>
    <Can_x0020_be_x0020_edited xmlns="$ListId:PublishedDocuments;">true</Can_x0020_be_x0020_edited>
    <AllowComments xmlns="e092deee-a6f6-4f89-8a6c-e2a43e9fb5cf">false</AllowComments>
    <isAnnex xmlns="7008af22-2417-4c84-8cc9-7a7f7e77d398">False</isAnnex>
    <Validated xmlns="e092deee-a6f6-4f89-8a6c-e2a43e9fb5cf">false</Validated>
    <Deadline xmlns="7008af22-2417-4c84-8cc9-7a7f7e77d398" xsi:nil="true"/>
    <Display_x0020_validated_x0020_documents_x0020_library_x0020_button xmlns="70f7eb82-310d-4963-bf1e-a4c2a37fd81c">true</Display_x0020_validated_x0020_documents_x0020_library_x0020_butt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ublished Documents" ma:contentTypeID="0x010100FC8BBAAB92B9EC47B16926FBCF0C75F9" ma:contentTypeVersion="0" ma:contentTypeDescription="Published Documents Content types for Insurance Europe" ma:contentTypeScope="" ma:versionID="5acc1d111ef3c97ba4ca5f43f2df82a0">
  <xsd:schema xmlns:xsd="http://www.w3.org/2001/XMLSchema" xmlns:xs="http://www.w3.org/2001/XMLSchema" xmlns:p="http://schemas.microsoft.com/office/2006/metadata/properties" xmlns:ns2="e092deee-a6f6-4f89-8a6c-e2a43e9fb5cf" xmlns:ns3="$ListId:PublishedDocuments;" xmlns:ns4="34d7415f-f1a4-44df-8e35-2ceaafd480dc" xmlns:ns5="7008af22-2417-4c84-8cc9-7a7f7e77d398" xmlns:ns6="70f7eb82-310d-4963-bf1e-a4c2a37fd81c" targetNamespace="http://schemas.microsoft.com/office/2006/metadata/properties" ma:root="true" ma:fieldsID="fcb2740bb3a49769e13071f5c5bb0d4e" ns2:_="" ns3:_="" ns4:_="" ns5:_="" ns6:_="">
    <xsd:import namespace="e092deee-a6f6-4f89-8a6c-e2a43e9fb5cf"/>
    <xsd:import namespace="$ListId:PublishedDocuments;"/>
    <xsd:import namespace="34d7415f-f1a4-44df-8e35-2ceaafd480dc"/>
    <xsd:import namespace="7008af22-2417-4c84-8cc9-7a7f7e77d398"/>
    <xsd:import namespace="70f7eb82-310d-4963-bf1e-a4c2a37fd81c"/>
    <xsd:element name="properties">
      <xsd:complexType>
        <xsd:sequence>
          <xsd:element name="documentManagement">
            <xsd:complexType>
              <xsd:all>
                <xsd:element ref="ns2:AllowComments" minOccurs="0"/>
                <xsd:element ref="ns2:Validated" minOccurs="0"/>
                <xsd:element ref="ns2:ValidationComment" minOccurs="0"/>
                <xsd:element ref="ns3:Can_x0020_be_x0020_edited" minOccurs="0"/>
                <xsd:element ref="ns3:Linked_x0020_files" minOccurs="0"/>
                <xsd:element ref="ns4:Type_x0020_of_x0020_document" minOccurs="0"/>
                <xsd:element ref="ns5:Deadline" minOccurs="0"/>
                <xsd:element ref="ns6:Type_x0020_of_x0020_memo" minOccurs="0"/>
                <xsd:element ref="ns6:Display_x0020_validated_x0020_documents_x0020_library_x0020_button" minOccurs="0"/>
                <xsd:element ref="ns5:isAnnex" minOccurs="0"/>
                <xsd:element ref="ns5:Uploa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2deee-a6f6-4f89-8a6c-e2a43e9fb5cf" elementFormDefault="qualified">
    <xsd:import namespace="http://schemas.microsoft.com/office/2006/documentManagement/types"/>
    <xsd:import namespace="http://schemas.microsoft.com/office/infopath/2007/PartnerControls"/>
    <xsd:element name="AllowComments" ma:index="8" nillable="true" ma:displayName="AllowComments" ma:default="1" ma:internalName="AllowComments">
      <xsd:simpleType>
        <xsd:restriction base="dms:Boolean"/>
      </xsd:simpleType>
    </xsd:element>
    <xsd:element name="Validated" ma:index="9" nillable="true" ma:displayName="Validated" ma:default="0" ma:internalName="Validated">
      <xsd:simpleType>
        <xsd:restriction base="dms:Boolean"/>
      </xsd:simpleType>
    </xsd:element>
    <xsd:element name="ValidationComment" ma:index="10" nillable="true" ma:displayName="ValidationComment" ma:internalName="ValidationComm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PublishedDocuments;" elementFormDefault="qualified">
    <xsd:import namespace="http://schemas.microsoft.com/office/2006/documentManagement/types"/>
    <xsd:import namespace="http://schemas.microsoft.com/office/infopath/2007/PartnerControls"/>
    <xsd:element name="Can_x0020_be_x0020_edited" ma:index="11" nillable="true" ma:displayName="Can be edited" ma:default="0" ma:internalName="Can_x0020_be_x0020_edited">
      <xsd:simpleType>
        <xsd:restriction base="dms:Boolean"/>
      </xsd:simpleType>
    </xsd:element>
    <xsd:element name="Linked_x0020_files" ma:index="12" nillable="true" ma:displayName="Linked files" ma:internalName="Linked_x0020_file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7415f-f1a4-44df-8e35-2ceaafd480dc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13" nillable="true" ma:displayName="Type of document" ma:format="Dropdown" ma:internalName="Type_x0020_of_x0020_document">
      <xsd:simpleType>
        <xsd:restriction base="dms:Choice">
          <xsd:enumeration value="Memo"/>
          <xsd:enumeration value="Blank document"/>
          <xsd:enumeration value="Agenda"/>
          <xsd:enumeration value="News Flash"/>
          <xsd:enumeration value="Participants List"/>
          <xsd:enumeration value="Press Release"/>
          <xsd:enumeration value="Fax Cover"/>
          <xsd:enumeration value="Letter"/>
          <xsd:enumeration value="Background note"/>
          <xsd:enumeration value="Meeting Conclusions"/>
          <xsd:enumeration value="Position Paper"/>
          <xsd:enumeration value="PowerPoint templa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8af22-2417-4c84-8cc9-7a7f7e77d398" elementFormDefault="qualified">
    <xsd:import namespace="http://schemas.microsoft.com/office/2006/documentManagement/types"/>
    <xsd:import namespace="http://schemas.microsoft.com/office/infopath/2007/PartnerControls"/>
    <xsd:element name="Deadline" ma:index="14" nillable="true" ma:displayName="Deadline" ma:format="DateTime" ma:internalName="Deadline">
      <xsd:simpleType>
        <xsd:restriction base="dms:DateTime"/>
      </xsd:simpleType>
    </xsd:element>
    <xsd:element name="isAnnex" ma:index="17" nillable="true" ma:displayName="isAnnex" ma:internalName="isAnnex">
      <xsd:simpleType>
        <xsd:restriction base="dms:Text"/>
      </xsd:simpleType>
    </xsd:element>
    <xsd:element name="Uploads" ma:index="18" nillable="true" ma:displayName="Uploads" ma:internalName="Upload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7eb82-310d-4963-bf1e-a4c2a37fd81c" elementFormDefault="qualified">
    <xsd:import namespace="http://schemas.microsoft.com/office/2006/documentManagement/types"/>
    <xsd:import namespace="http://schemas.microsoft.com/office/infopath/2007/PartnerControls"/>
    <xsd:element name="Type_x0020_of_x0020_memo" ma:index="15" nillable="true" ma:displayName="Type of memo" ma:format="Dropdown" ma:internalName="Type_x0020_of_x0020_memo">
      <xsd:simpleType>
        <xsd:restriction base="dms:Choice">
          <xsd:enumeration value="information"/>
          <xsd:enumeration value="action"/>
        </xsd:restriction>
      </xsd:simpleType>
    </xsd:element>
    <xsd:element name="Display_x0020_validated_x0020_documents_x0020_library_x0020_button" ma:index="16" nillable="true" ma:displayName="Display validated documents library button" ma:default="0" ma:internalName="Display_x0020_validated_x0020_documents_x0020_library_x0020_butt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80A527-6E59-4B8E-A79B-3F33C15DF094}">
  <ds:schemaRefs>
    <ds:schemaRef ds:uri="http://schemas.microsoft.com/office/2006/metadata/properties"/>
    <ds:schemaRef ds:uri="http://purl.org/dc/terms/"/>
    <ds:schemaRef ds:uri="70f7eb82-310d-4963-bf1e-a4c2a37fd81c"/>
    <ds:schemaRef ds:uri="http://www.w3.org/XML/1998/namespace"/>
    <ds:schemaRef ds:uri="http://schemas.microsoft.com/office/2006/documentManagement/types"/>
    <ds:schemaRef ds:uri="http://purl.org/dc/elements/1.1/"/>
    <ds:schemaRef ds:uri="e092deee-a6f6-4f89-8a6c-e2a43e9fb5cf"/>
    <ds:schemaRef ds:uri="http://schemas.microsoft.com/office/infopath/2007/PartnerControls"/>
    <ds:schemaRef ds:uri="http://schemas.openxmlformats.org/package/2006/metadata/core-properties"/>
    <ds:schemaRef ds:uri="7008af22-2417-4c84-8cc9-7a7f7e77d398"/>
    <ds:schemaRef ds:uri="34d7415f-f1a4-44df-8e35-2ceaafd480dc"/>
    <ds:schemaRef ds:uri="$ListId:PublishedDocuments;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49A0AC-A8E3-45F3-9239-95A13893D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14F872-A5B3-469F-87DF-54362B6DC2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D107D1-1524-4C6F-8890-887BE75F9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2deee-a6f6-4f89-8a6c-e2a43e9fb5cf"/>
    <ds:schemaRef ds:uri="$ListId:PublishedDocuments;"/>
    <ds:schemaRef ds:uri="34d7415f-f1a4-44df-8e35-2ceaafd480dc"/>
    <ds:schemaRef ds:uri="7008af22-2417-4c84-8cc9-7a7f7e77d398"/>
    <ds:schemaRef ds:uri="70f7eb82-310d-4963-bf1e-a4c2a37fd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1083</Words>
  <Characters>6178</Characters>
  <Application>Microsoft Office Word</Application>
  <DocSecurity>4</DocSecurity>
  <Lines>51</Lines>
  <Paragraphs>14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PricewaterhouseCoopers</Company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draft CFOF comment letter on IFRS 17 Exposure Draft for IFRS 9 comparatives</dc:title>
  <dc:creator>Michael Lim</dc:creator>
  <cp:keywords>Internal</cp:keywords>
  <cp:lastModifiedBy>Bachníček Jozef</cp:lastModifiedBy>
  <cp:revision>2</cp:revision>
  <cp:lastPrinted>2021-08-04T19:18:00Z</cp:lastPrinted>
  <dcterms:created xsi:type="dcterms:W3CDTF">2021-08-23T06:42:00Z</dcterms:created>
  <dcterms:modified xsi:type="dcterms:W3CDTF">2021-08-23T06:42:00Z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NegativeNumbersBrackets">
    <vt:lpwstr>True</vt:lpwstr>
  </property>
  <property fmtid="{D5CDD505-2E9C-101B-9397-08002B2CF9AE}" pid="3" name="EuropeanNumberFormatting">
    <vt:lpwstr>False</vt:lpwstr>
  </property>
  <property fmtid="{D5CDD505-2E9C-101B-9397-08002B2CF9AE}" pid="4" name="NoDecimals">
    <vt:lpwstr>False</vt:lpwstr>
  </property>
  <property fmtid="{D5CDD505-2E9C-101B-9397-08002B2CF9AE}" pid="5" name="CurrencySymbol">
    <vt:lpwstr>€</vt:lpwstr>
  </property>
  <property fmtid="{D5CDD505-2E9C-101B-9397-08002B2CF9AE}" pid="6" name="TitusGUID">
    <vt:lpwstr>b72dd84c-47aa-4dc4-9448-f01809677f8b</vt:lpwstr>
  </property>
  <property fmtid="{D5CDD505-2E9C-101B-9397-08002B2CF9AE}" pid="7" name="Classification">
    <vt:lpwstr>Internal</vt:lpwstr>
  </property>
  <property fmtid="{D5CDD505-2E9C-101B-9397-08002B2CF9AE}" pid="8" name="MSIP_Label_724780b5-9b6f-48c0-bacb-de7ed96313a2_Enabled">
    <vt:lpwstr>true</vt:lpwstr>
  </property>
  <property fmtid="{D5CDD505-2E9C-101B-9397-08002B2CF9AE}" pid="9" name="MSIP_Label_724780b5-9b6f-48c0-bacb-de7ed96313a2_SetDate">
    <vt:lpwstr>2021-08-06T09:17:39Z</vt:lpwstr>
  </property>
  <property fmtid="{D5CDD505-2E9C-101B-9397-08002B2CF9AE}" pid="10" name="MSIP_Label_724780b5-9b6f-48c0-bacb-de7ed96313a2_Method">
    <vt:lpwstr>Standard</vt:lpwstr>
  </property>
  <property fmtid="{D5CDD505-2E9C-101B-9397-08002B2CF9AE}" pid="11" name="MSIP_Label_724780b5-9b6f-48c0-bacb-de7ed96313a2_Name">
    <vt:lpwstr>GIE_AXA_Internal</vt:lpwstr>
  </property>
  <property fmtid="{D5CDD505-2E9C-101B-9397-08002B2CF9AE}" pid="12" name="MSIP_Label_724780b5-9b6f-48c0-bacb-de7ed96313a2_SiteId">
    <vt:lpwstr>396b38cc-aa65-492b-bb0e-3d94ed25a97b</vt:lpwstr>
  </property>
  <property fmtid="{D5CDD505-2E9C-101B-9397-08002B2CF9AE}" pid="13" name="MSIP_Label_724780b5-9b6f-48c0-bacb-de7ed96313a2_ActionId">
    <vt:lpwstr>20c3f005-1b7f-4d1b-90bd-c9086bb68537</vt:lpwstr>
  </property>
  <property fmtid="{D5CDD505-2E9C-101B-9397-08002B2CF9AE}" pid="14" name="MSIP_Label_724780b5-9b6f-48c0-bacb-de7ed96313a2_ContentBits">
    <vt:lpwstr>2</vt:lpwstr>
  </property>
  <property fmtid="{D5CDD505-2E9C-101B-9397-08002B2CF9AE}" pid="15" name="ContentTypeId">
    <vt:lpwstr>0x010100FC8BBAAB92B9EC47B16926FBCF0C75F9</vt:lpwstr>
  </property>
</Properties>
</file>