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88BC" w14:textId="77777777" w:rsidR="00152882" w:rsidRPr="00D54F3C" w:rsidRDefault="00152882" w:rsidP="003D0236">
      <w:pPr>
        <w:rPr>
          <w:sz w:val="17"/>
          <w:szCs w:val="17"/>
        </w:rPr>
        <w:sectPr w:rsidR="00152882" w:rsidRPr="00D54F3C" w:rsidSect="00240F50">
          <w:headerReference w:type="default" r:id="rId11"/>
          <w:footerReference w:type="even" r:id="rId12"/>
          <w:footerReference w:type="default" r:id="rId13"/>
          <w:headerReference w:type="first" r:id="rId14"/>
          <w:footerReference w:type="first" r:id="rId15"/>
          <w:pgSz w:w="11907" w:h="16839" w:code="9"/>
          <w:pgMar w:top="2336" w:right="907" w:bottom="1599" w:left="1418" w:header="709" w:footer="238" w:gutter="0"/>
          <w:cols w:space="708"/>
          <w:titlePg/>
          <w:docGrid w:linePitch="360"/>
        </w:sectPr>
      </w:pPr>
    </w:p>
    <w:p w14:paraId="200EE92A" w14:textId="215D9533" w:rsidR="00641A21" w:rsidRPr="00D54F3C" w:rsidRDefault="00641A21" w:rsidP="00641A21">
      <w:pPr>
        <w:pStyle w:val="Nadpis3"/>
        <w:rPr>
          <w:rFonts w:ascii="Verdana" w:hAnsi="Verdana"/>
          <w:sz w:val="17"/>
          <w:szCs w:val="17"/>
        </w:rPr>
      </w:pPr>
      <w:r w:rsidRPr="00D54F3C">
        <w:rPr>
          <w:rStyle w:val="Heading1CEAChar"/>
          <w:rFonts w:ascii="Verdana" w:hAnsi="Verdana"/>
          <w:sz w:val="17"/>
          <w:szCs w:val="17"/>
        </w:rPr>
        <w:t>Insurance Europe’s final response to EU Taxonomy Level 2 changes as part o</w:t>
      </w:r>
      <w:r w:rsidR="00D54F3C" w:rsidRPr="00D54F3C">
        <w:rPr>
          <w:rStyle w:val="Heading1CEAChar"/>
          <w:rFonts w:ascii="Verdana" w:hAnsi="Verdana"/>
          <w:sz w:val="17"/>
          <w:szCs w:val="17"/>
        </w:rPr>
        <w:t>f the first Omnibus package</w:t>
      </w:r>
    </w:p>
    <w:p w14:paraId="7713A6CD" w14:textId="77777777" w:rsidR="00641A21" w:rsidRPr="00641A21" w:rsidRDefault="00641A21" w:rsidP="00B32047">
      <w:pPr>
        <w:spacing w:line="240" w:lineRule="auto"/>
        <w:ind w:left="28"/>
      </w:pPr>
    </w:p>
    <w:p w14:paraId="47F30FAB" w14:textId="563931D9" w:rsidR="00641A21" w:rsidRPr="00D54F3C" w:rsidRDefault="00641A21" w:rsidP="00B32047">
      <w:pPr>
        <w:spacing w:line="240" w:lineRule="auto"/>
        <w:rPr>
          <w:rFonts w:eastAsia="Aptos"/>
          <w:kern w:val="2"/>
          <w:sz w:val="17"/>
          <w:szCs w:val="17"/>
          <w:lang w:val="en-US"/>
          <w14:ligatures w14:val="standardContextual"/>
        </w:rPr>
      </w:pPr>
      <w:r w:rsidRPr="00D54F3C">
        <w:rPr>
          <w:rFonts w:eastAsia="Aptos"/>
          <w:kern w:val="2"/>
          <w:sz w:val="17"/>
          <w:szCs w:val="17"/>
          <w:lang w:val="en-US"/>
          <w14:ligatures w14:val="standardContextual"/>
        </w:rPr>
        <w:t xml:space="preserve">Insurance Europe welcomes the European Commission’s first Omnibus package, to simplify sustainability reporting and disclosure requirements while keeping core elements and sustainability objectives.  </w:t>
      </w:r>
    </w:p>
    <w:p w14:paraId="52ACDD13" w14:textId="77777777" w:rsidR="00641A21" w:rsidRPr="00D54F3C" w:rsidRDefault="00641A21" w:rsidP="00B32047">
      <w:pPr>
        <w:spacing w:line="240" w:lineRule="auto"/>
        <w:rPr>
          <w:rFonts w:eastAsia="Aptos"/>
          <w:kern w:val="2"/>
          <w:sz w:val="17"/>
          <w:szCs w:val="17"/>
          <w:lang w:val="en-US"/>
          <w14:ligatures w14:val="standardContextual"/>
        </w:rPr>
      </w:pPr>
    </w:p>
    <w:p w14:paraId="4CAA0675" w14:textId="77777777" w:rsidR="00641A21" w:rsidRPr="00D54F3C" w:rsidRDefault="00641A21" w:rsidP="00B32047">
      <w:pPr>
        <w:spacing w:line="240" w:lineRule="auto"/>
        <w:rPr>
          <w:rFonts w:eastAsia="Aptos"/>
          <w:b/>
          <w:bCs/>
          <w:kern w:val="2"/>
          <w:sz w:val="17"/>
          <w:szCs w:val="17"/>
          <w14:ligatures w14:val="standardContextual"/>
        </w:rPr>
      </w:pPr>
      <w:r w:rsidRPr="00D54F3C">
        <w:rPr>
          <w:rFonts w:eastAsia="Aptos"/>
          <w:kern w:val="2"/>
          <w:sz w:val="17"/>
          <w:szCs w:val="17"/>
          <w14:ligatures w14:val="standardContextual"/>
        </w:rPr>
        <w:t xml:space="preserve">Our experience, as both users and preparers, </w:t>
      </w:r>
      <w:r w:rsidRPr="00D54F3C">
        <w:rPr>
          <w:rFonts w:eastAsia="Aptos"/>
          <w:b/>
          <w:bCs/>
          <w:kern w:val="2"/>
          <w:sz w:val="17"/>
          <w:szCs w:val="17"/>
          <w14:ligatures w14:val="standardContextual"/>
        </w:rPr>
        <w:t>highlights that the EU Taxonomy Regulation has yet to add value for our sector, whilst creating significant reporting burden, most notably with the insurance underwriting KPI</w:t>
      </w:r>
    </w:p>
    <w:p w14:paraId="31C68734" w14:textId="77777777" w:rsidR="00641A21" w:rsidRPr="00D54F3C" w:rsidRDefault="00641A21" w:rsidP="00B32047">
      <w:pPr>
        <w:spacing w:line="240" w:lineRule="auto"/>
        <w:rPr>
          <w:rFonts w:eastAsia="Aptos"/>
          <w:b/>
          <w:bCs/>
          <w:kern w:val="2"/>
          <w:sz w:val="17"/>
          <w:szCs w:val="17"/>
          <w14:ligatures w14:val="standardContextual"/>
        </w:rPr>
      </w:pPr>
    </w:p>
    <w:p w14:paraId="283DA16C" w14:textId="0B48D29A" w:rsidR="00641A21" w:rsidRPr="00D54F3C" w:rsidRDefault="00641A21" w:rsidP="00B32047">
      <w:pPr>
        <w:spacing w:line="240" w:lineRule="auto"/>
        <w:rPr>
          <w:rFonts w:eastAsia="Aptos"/>
          <w:b/>
          <w:bCs/>
          <w:kern w:val="2"/>
          <w:sz w:val="17"/>
          <w:szCs w:val="17"/>
          <w:lang w:val="en-US"/>
          <w14:ligatures w14:val="standardContextual"/>
        </w:rPr>
      </w:pPr>
      <w:r w:rsidRPr="00D54F3C">
        <w:rPr>
          <w:rFonts w:eastAsia="Aptos"/>
          <w:b/>
          <w:bCs/>
          <w:kern w:val="2"/>
          <w:sz w:val="17"/>
          <w:szCs w:val="17"/>
          <w:u w:val="single"/>
          <w:lang w:val="en-US"/>
          <w14:ligatures w14:val="standardContextual"/>
        </w:rPr>
        <w:t xml:space="preserve">We recommend removing the insurance underwriting KPI, or at the very least suspending its application, providing the necessary time to thoroughly review the usefulness of the KPI. </w:t>
      </w:r>
      <w:r w:rsidRPr="00D54F3C">
        <w:rPr>
          <w:rFonts w:eastAsia="Aptos"/>
          <w:kern w:val="2"/>
          <w:sz w:val="17"/>
          <w:szCs w:val="17"/>
          <w:u w:val="single"/>
          <w:lang w:val="en-US"/>
          <w14:ligatures w14:val="standardContextual"/>
        </w:rPr>
        <w:t>The first two reporting cycles of reporting this KPI have not proven to be useful for assessing insurers’ contribution to sustainability. In the short term, removing or suspending the disclosure of the KPI</w:t>
      </w:r>
      <w:r w:rsidRPr="00D54F3C">
        <w:rPr>
          <w:rFonts w:eastAsia="Aptos"/>
          <w:kern w:val="2"/>
          <w:sz w:val="17"/>
          <w:szCs w:val="17"/>
          <w:u w:val="single"/>
          <w14:ligatures w14:val="standardContextual"/>
        </w:rPr>
        <w:t xml:space="preserve"> is the only viable option as it</w:t>
      </w:r>
      <w:r w:rsidR="00B01259">
        <w:rPr>
          <w:rFonts w:eastAsia="Aptos"/>
          <w:kern w:val="2"/>
          <w:sz w:val="17"/>
          <w:szCs w:val="17"/>
          <w:u w:val="single"/>
          <w14:ligatures w14:val="standardContextual"/>
        </w:rPr>
        <w:t xml:space="preserve"> </w:t>
      </w:r>
      <w:r w:rsidRPr="00D54F3C">
        <w:rPr>
          <w:rFonts w:eastAsia="Aptos"/>
          <w:kern w:val="2"/>
          <w:sz w:val="17"/>
          <w:szCs w:val="17"/>
          <w:u w:val="single"/>
          <w:lang w:val="en-US"/>
          <w14:ligatures w14:val="standardContextual"/>
        </w:rPr>
        <w:t>does not seem feasible to address its limitations in a comprehensive and meaningful way at reasonable cost.</w:t>
      </w:r>
      <w:r w:rsidRPr="00D54F3C">
        <w:rPr>
          <w:rFonts w:eastAsia="Aptos"/>
          <w:b/>
          <w:bCs/>
          <w:kern w:val="2"/>
          <w:sz w:val="17"/>
          <w:szCs w:val="17"/>
          <w14:ligatures w14:val="standardContextual"/>
        </w:rPr>
        <w:t xml:space="preserve"> </w:t>
      </w:r>
    </w:p>
    <w:p w14:paraId="5F66634E" w14:textId="77777777" w:rsidR="00641A21" w:rsidRPr="00D54F3C" w:rsidRDefault="00641A21" w:rsidP="00B32047">
      <w:pPr>
        <w:spacing w:line="240" w:lineRule="auto"/>
        <w:rPr>
          <w:rFonts w:eastAsia="Aptos"/>
          <w:b/>
          <w:bCs/>
          <w:kern w:val="2"/>
          <w:sz w:val="17"/>
          <w:szCs w:val="17"/>
          <w14:ligatures w14:val="standardContextual"/>
        </w:rPr>
      </w:pPr>
    </w:p>
    <w:p w14:paraId="75FC9494" w14:textId="77777777" w:rsidR="00641A21" w:rsidRPr="00D54F3C" w:rsidRDefault="00641A21" w:rsidP="00B32047">
      <w:pPr>
        <w:spacing w:line="240" w:lineRule="auto"/>
        <w:rPr>
          <w:rFonts w:eastAsia="Aptos"/>
          <w:color w:val="000000" w:themeColor="text1"/>
          <w:kern w:val="2"/>
          <w:sz w:val="17"/>
          <w:szCs w:val="17"/>
          <w:u w:val="single"/>
          <w14:ligatures w14:val="standardContextual"/>
        </w:rPr>
      </w:pPr>
      <w:r w:rsidRPr="00D54F3C">
        <w:rPr>
          <w:rFonts w:eastAsia="Aptos"/>
          <w:b/>
          <w:kern w:val="2"/>
          <w:sz w:val="17"/>
          <w:szCs w:val="17"/>
          <w14:ligatures w14:val="standardContextual"/>
        </w:rPr>
        <w:t>For the insurance investment KPI, we</w:t>
      </w:r>
      <w:r w:rsidRPr="00D54F3C" w:rsidDel="00847AA8">
        <w:rPr>
          <w:rFonts w:eastAsia="Aptos"/>
          <w:b/>
          <w:kern w:val="2"/>
          <w:sz w:val="17"/>
          <w:szCs w:val="17"/>
          <w14:ligatures w14:val="standardContextual"/>
        </w:rPr>
        <w:t xml:space="preserve"> </w:t>
      </w:r>
      <w:r w:rsidRPr="00D54F3C">
        <w:rPr>
          <w:rFonts w:eastAsia="Aptos"/>
          <w:b/>
          <w:kern w:val="2"/>
          <w:sz w:val="17"/>
          <w:szCs w:val="17"/>
          <w14:ligatures w14:val="standardContextual"/>
        </w:rPr>
        <w:t>support the introduction of a reporting materiality filter</w:t>
      </w:r>
      <w:r w:rsidRPr="00D54F3C">
        <w:rPr>
          <w:rFonts w:eastAsia="Aptos"/>
          <w:kern w:val="2"/>
          <w:sz w:val="17"/>
          <w:szCs w:val="17"/>
          <w14:ligatures w14:val="standardContextual"/>
        </w:rPr>
        <w:t xml:space="preserve">, set at 10% of the KPI’s denominator. Introducing a materiality </w:t>
      </w:r>
      <w:r w:rsidRPr="00D54F3C">
        <w:rPr>
          <w:rFonts w:eastAsia="Aptos"/>
          <w:color w:val="000000" w:themeColor="text1"/>
          <w:kern w:val="2"/>
          <w:sz w:val="17"/>
          <w:szCs w:val="17"/>
          <w14:ligatures w14:val="standardContextual"/>
        </w:rPr>
        <w:t xml:space="preserve">can significantly simplify (re)insurers’ Taxonomy reporting by removing the obligation to report information which is not material for their business. This materiality filter should therefore be applicable at group level. It is important that it will be </w:t>
      </w:r>
      <w:r w:rsidRPr="00D54F3C">
        <w:rPr>
          <w:rFonts w:eastAsia="Aptos"/>
          <w:b/>
          <w:bCs/>
          <w:color w:val="000000" w:themeColor="text1"/>
          <w:kern w:val="2"/>
          <w:sz w:val="17"/>
          <w:szCs w:val="17"/>
          <w14:ligatures w14:val="standardContextual"/>
        </w:rPr>
        <w:t>possible for insurers to apply the materiality filter without undue restrictions</w:t>
      </w:r>
      <w:r w:rsidRPr="00D54F3C">
        <w:rPr>
          <w:rFonts w:eastAsia="Aptos"/>
          <w:b/>
          <w:bCs/>
          <w:color w:val="000000" w:themeColor="text1"/>
          <w:sz w:val="17"/>
          <w:szCs w:val="17"/>
        </w:rPr>
        <w:t xml:space="preserve"> (including the specific reporting templates on performance and exposures to fossil gas and nuclear activities).</w:t>
      </w:r>
      <w:r w:rsidRPr="00D54F3C">
        <w:rPr>
          <w:rFonts w:eastAsia="Aptos"/>
          <w:color w:val="000000" w:themeColor="text1"/>
          <w:kern w:val="2"/>
          <w:sz w:val="17"/>
          <w:szCs w:val="17"/>
          <w14:ligatures w14:val="standardContextual"/>
        </w:rPr>
        <w:t xml:space="preserve"> </w:t>
      </w:r>
      <w:r w:rsidRPr="00D54F3C">
        <w:rPr>
          <w:rFonts w:eastAsia="Aptos"/>
          <w:color w:val="000000" w:themeColor="text1"/>
          <w:kern w:val="2"/>
          <w:sz w:val="17"/>
          <w:szCs w:val="17"/>
          <w:u w:val="single"/>
          <w14:ligatures w14:val="standardContextual"/>
        </w:rPr>
        <w:t>Therefore, the EC should clarify for (re)insurers that, under the materiality threshold, where value of Taxonomy-eligible assets is below 10% of the KPI’s denominator, they are not required to assess the Taxonomy-alignment of these assets. </w:t>
      </w:r>
    </w:p>
    <w:p w14:paraId="75DCEB85" w14:textId="77777777" w:rsidR="00641A21" w:rsidRPr="00D54F3C" w:rsidRDefault="00641A21" w:rsidP="00B32047">
      <w:pPr>
        <w:spacing w:line="240" w:lineRule="auto"/>
        <w:rPr>
          <w:rFonts w:eastAsia="Aptos"/>
          <w:color w:val="000000" w:themeColor="text1"/>
          <w:kern w:val="2"/>
          <w:sz w:val="17"/>
          <w:szCs w:val="17"/>
          <w:u w:val="single"/>
          <w14:ligatures w14:val="standardContextual"/>
        </w:rPr>
      </w:pPr>
    </w:p>
    <w:p w14:paraId="374453F7" w14:textId="77777777" w:rsidR="00641A21" w:rsidRPr="00D54F3C" w:rsidRDefault="00641A21" w:rsidP="00B32047">
      <w:pPr>
        <w:spacing w:line="240" w:lineRule="auto"/>
        <w:rPr>
          <w:rFonts w:eastAsia="Aptos"/>
          <w:color w:val="000000" w:themeColor="text1"/>
          <w:kern w:val="2"/>
          <w:sz w:val="17"/>
          <w:szCs w:val="17"/>
          <w14:ligatures w14:val="standardContextual"/>
        </w:rPr>
      </w:pPr>
      <w:r w:rsidRPr="00D54F3C">
        <w:rPr>
          <w:rFonts w:eastAsia="Aptos"/>
          <w:color w:val="000000" w:themeColor="text1"/>
          <w:kern w:val="2"/>
          <w:sz w:val="17"/>
          <w:szCs w:val="17"/>
          <w:u w:val="single"/>
          <w:lang w:val="en-US"/>
          <w14:ligatures w14:val="standardContextual"/>
        </w:rPr>
        <w:t xml:space="preserve">Equally, </w:t>
      </w:r>
      <w:r w:rsidRPr="00D54F3C">
        <w:rPr>
          <w:rFonts w:eastAsia="Aptos"/>
          <w:b/>
          <w:bCs/>
          <w:color w:val="000000" w:themeColor="text1"/>
          <w:kern w:val="2"/>
          <w:sz w:val="17"/>
          <w:szCs w:val="17"/>
          <w:u w:val="single"/>
          <w:lang w:val="en-US"/>
          <w14:ligatures w14:val="standardContextual"/>
        </w:rPr>
        <w:t>we welcome the exclusion of entities with fewer than 1000 employees from the denominator of the insurance investment KPI</w:t>
      </w:r>
      <w:r w:rsidRPr="00D54F3C">
        <w:rPr>
          <w:rFonts w:eastAsia="Aptos"/>
          <w:color w:val="000000" w:themeColor="text1"/>
          <w:kern w:val="2"/>
          <w:sz w:val="17"/>
          <w:szCs w:val="17"/>
          <w:u w:val="single"/>
          <w:lang w:val="en-US"/>
          <w14:ligatures w14:val="standardContextual"/>
        </w:rPr>
        <w:t>, which will improve the usability and meaningfulness of the reported KPI.</w:t>
      </w:r>
      <w:r w:rsidRPr="00D54F3C">
        <w:rPr>
          <w:rFonts w:eastAsia="Aptos"/>
          <w:color w:val="000000" w:themeColor="text1"/>
          <w:kern w:val="2"/>
          <w:sz w:val="17"/>
          <w:szCs w:val="17"/>
          <w14:ligatures w14:val="standardContextual"/>
        </w:rPr>
        <w:t> </w:t>
      </w:r>
    </w:p>
    <w:p w14:paraId="5355EDF1" w14:textId="77777777" w:rsidR="00641A21" w:rsidRPr="00D54F3C" w:rsidRDefault="00641A21" w:rsidP="00B32047">
      <w:pPr>
        <w:spacing w:line="240" w:lineRule="auto"/>
        <w:rPr>
          <w:rFonts w:eastAsia="Aptos"/>
          <w:color w:val="000000" w:themeColor="text1"/>
          <w:kern w:val="2"/>
          <w:sz w:val="17"/>
          <w:szCs w:val="17"/>
          <w14:ligatures w14:val="standardContextual"/>
        </w:rPr>
      </w:pPr>
    </w:p>
    <w:p w14:paraId="22960DC5" w14:textId="77777777" w:rsidR="00641A21" w:rsidRPr="00D54F3C" w:rsidRDefault="00641A21" w:rsidP="00B32047">
      <w:pPr>
        <w:spacing w:line="240" w:lineRule="auto"/>
        <w:rPr>
          <w:rFonts w:eastAsia="Aptos"/>
          <w:kern w:val="2"/>
          <w:sz w:val="17"/>
          <w:szCs w:val="17"/>
          <w:lang w:val="en-US"/>
          <w14:ligatures w14:val="standardContextual"/>
        </w:rPr>
      </w:pPr>
      <w:r w:rsidRPr="00D54F3C">
        <w:rPr>
          <w:rFonts w:eastAsia="Aptos"/>
          <w:b/>
          <w:bCs/>
          <w:kern w:val="2"/>
          <w:sz w:val="17"/>
          <w:szCs w:val="17"/>
          <w:lang w:val="en-US"/>
          <w14:ligatures w14:val="standardContextual"/>
        </w:rPr>
        <w:t xml:space="preserve">We also welcome the proposed simplifications to the </w:t>
      </w:r>
      <w:r w:rsidRPr="00D54F3C">
        <w:rPr>
          <w:rFonts w:eastAsia="Aptos"/>
          <w:b/>
          <w:kern w:val="2"/>
          <w:sz w:val="17"/>
          <w:szCs w:val="17"/>
          <w:lang w:val="en-US"/>
          <w14:ligatures w14:val="standardContextual"/>
        </w:rPr>
        <w:t>general reporting templates</w:t>
      </w:r>
      <w:r w:rsidRPr="00D54F3C">
        <w:rPr>
          <w:rFonts w:eastAsia="Aptos"/>
          <w:kern w:val="2"/>
          <w:sz w:val="17"/>
          <w:szCs w:val="17"/>
          <w:lang w:val="en-US"/>
          <w14:ligatures w14:val="standardContextual"/>
        </w:rPr>
        <w:t>, which should be extended to the specific reporting templates on performance and exposures to fossil gas and nuclear activities (</w:t>
      </w:r>
      <w:r w:rsidRPr="00D54F3C">
        <w:rPr>
          <w:rFonts w:eastAsia="Aptos"/>
          <w:kern w:val="2"/>
          <w:sz w:val="17"/>
          <w:szCs w:val="17"/>
          <w14:ligatures w14:val="standardContextual"/>
        </w:rPr>
        <w:t>would propose keeping Templates 1 and 2 (or 3), and not 1 and 5 as currently proposed - this would be more meaningful for users)</w:t>
      </w:r>
      <w:r w:rsidRPr="00D54F3C">
        <w:rPr>
          <w:rFonts w:eastAsia="Aptos"/>
          <w:kern w:val="2"/>
          <w:sz w:val="17"/>
          <w:szCs w:val="17"/>
          <w:lang w:val="en-US"/>
          <w14:ligatures w14:val="standardContextual"/>
        </w:rPr>
        <w:t xml:space="preserve">. However, it remains unclear how non-material premiums/assets should be reported, as they are not included in the revised Templates in Annex X. </w:t>
      </w:r>
      <w:r w:rsidRPr="00D54F3C">
        <w:rPr>
          <w:rFonts w:eastAsia="Aptos"/>
          <w:kern w:val="2"/>
          <w:sz w:val="17"/>
          <w:szCs w:val="17"/>
          <w:u w:val="single"/>
          <w:lang w:val="en-US"/>
          <w14:ligatures w14:val="standardContextual"/>
        </w:rPr>
        <w:t>It should be also noted that the proposed template still includes non-NFRD companies in the covered assets and this should be deleted, and that an undue reference to the GAR was included in Annex X.</w:t>
      </w:r>
      <w:r w:rsidRPr="00D54F3C">
        <w:rPr>
          <w:rFonts w:eastAsia="Aptos"/>
          <w:kern w:val="2"/>
          <w:sz w:val="17"/>
          <w:szCs w:val="17"/>
          <w14:ligatures w14:val="standardContextual"/>
        </w:rPr>
        <w:t> </w:t>
      </w:r>
    </w:p>
    <w:p w14:paraId="719B0286" w14:textId="77777777" w:rsidR="00641A21" w:rsidRPr="00D54F3C" w:rsidRDefault="00641A21" w:rsidP="00B32047">
      <w:pPr>
        <w:spacing w:line="240" w:lineRule="auto"/>
        <w:rPr>
          <w:rFonts w:eastAsia="Aptos"/>
          <w:color w:val="000000" w:themeColor="text1"/>
          <w:kern w:val="2"/>
          <w:sz w:val="17"/>
          <w:szCs w:val="17"/>
          <w:lang w:val="en-US"/>
          <w14:ligatures w14:val="standardContextual"/>
        </w:rPr>
      </w:pPr>
    </w:p>
    <w:p w14:paraId="62BCC537" w14:textId="77777777" w:rsidR="00641A21" w:rsidRPr="00D54F3C" w:rsidRDefault="00641A21" w:rsidP="00B32047">
      <w:pPr>
        <w:spacing w:line="240" w:lineRule="auto"/>
        <w:rPr>
          <w:rFonts w:eastAsia="Aptos"/>
          <w:kern w:val="2"/>
          <w:sz w:val="17"/>
          <w:szCs w:val="17"/>
          <w14:ligatures w14:val="standardContextual"/>
        </w:rPr>
      </w:pPr>
      <w:r w:rsidRPr="00D54F3C">
        <w:rPr>
          <w:rFonts w:eastAsia="Aptos"/>
          <w:kern w:val="2"/>
          <w:sz w:val="17"/>
          <w:szCs w:val="17"/>
          <w:lang w:val="en-US"/>
          <w14:ligatures w14:val="standardContextual"/>
        </w:rPr>
        <w:t xml:space="preserve">In addition to the materiality filter, the meaningfulness of the insurers’ Investment KPI can be improved by allowing inclusion of data from voluntary Taxonomy reporting, </w:t>
      </w:r>
      <w:r w:rsidRPr="00D54F3C">
        <w:rPr>
          <w:rFonts w:eastAsia="Aptos"/>
          <w:kern w:val="2"/>
          <w:sz w:val="17"/>
          <w:szCs w:val="17"/>
          <w:u w:val="single"/>
          <w:lang w:val="en-US"/>
          <w14:ligatures w14:val="standardContextual"/>
        </w:rPr>
        <w:t>in the same table as the Taxonomy reporting from companies obliged to report. </w:t>
      </w:r>
      <w:r w:rsidRPr="00D54F3C">
        <w:rPr>
          <w:rFonts w:eastAsia="Aptos"/>
          <w:kern w:val="2"/>
          <w:sz w:val="17"/>
          <w:szCs w:val="17"/>
          <w14:ligatures w14:val="standardContextual"/>
        </w:rPr>
        <w:t> </w:t>
      </w:r>
    </w:p>
    <w:p w14:paraId="7EE6B69A" w14:textId="77777777" w:rsidR="00641A21" w:rsidRPr="00D54F3C" w:rsidRDefault="00641A21" w:rsidP="00B32047">
      <w:pPr>
        <w:spacing w:line="240" w:lineRule="auto"/>
        <w:rPr>
          <w:rFonts w:eastAsia="Aptos"/>
          <w:kern w:val="2"/>
          <w:sz w:val="17"/>
          <w:szCs w:val="17"/>
          <w14:ligatures w14:val="standardContextual"/>
        </w:rPr>
      </w:pPr>
      <w:r w:rsidRPr="00D54F3C">
        <w:rPr>
          <w:rFonts w:eastAsia="Aptos"/>
          <w:kern w:val="2"/>
          <w:sz w:val="17"/>
          <w:szCs w:val="17"/>
          <w14:ligatures w14:val="standardContextual"/>
        </w:rPr>
        <w:t> </w:t>
      </w:r>
    </w:p>
    <w:p w14:paraId="73F83A2A" w14:textId="63FA124F" w:rsidR="00641A21" w:rsidRPr="00D54F3C" w:rsidRDefault="00641A21" w:rsidP="00B32047">
      <w:pPr>
        <w:spacing w:line="240" w:lineRule="auto"/>
        <w:rPr>
          <w:rFonts w:eastAsia="Aptos"/>
          <w:kern w:val="2"/>
          <w:sz w:val="17"/>
          <w:szCs w:val="17"/>
          <w14:ligatures w14:val="standardContextual"/>
        </w:rPr>
      </w:pPr>
      <w:r w:rsidRPr="00D54F3C">
        <w:rPr>
          <w:rFonts w:eastAsia="Aptos"/>
          <w:kern w:val="2"/>
          <w:sz w:val="17"/>
          <w:szCs w:val="17"/>
          <w:u w:val="single"/>
          <w:lang w:val="en-US"/>
          <w14:ligatures w14:val="standardContextual"/>
        </w:rPr>
        <w:t>Insurers agree with the EC that companies should be allowed to report on activities which are partially aligned with the criteria for sustainable economic activities</w:t>
      </w:r>
      <w:r w:rsidRPr="00D54F3C">
        <w:rPr>
          <w:rFonts w:eastAsia="Aptos"/>
          <w:kern w:val="2"/>
          <w:sz w:val="17"/>
          <w:szCs w:val="17"/>
          <w14:ligatures w14:val="standardContextual"/>
        </w:rPr>
        <w:t xml:space="preserve"> – </w:t>
      </w:r>
      <w:r w:rsidR="00AD7632">
        <w:rPr>
          <w:rFonts w:eastAsia="Aptos"/>
          <w:kern w:val="2"/>
          <w:sz w:val="17"/>
          <w:szCs w:val="17"/>
          <w14:ligatures w14:val="standardContextual"/>
        </w:rPr>
        <w:t xml:space="preserve">clarifications on how to account for those should be provided and </w:t>
      </w:r>
      <w:r w:rsidRPr="00D54F3C">
        <w:rPr>
          <w:rFonts w:eastAsia="Aptos"/>
          <w:kern w:val="2"/>
          <w:sz w:val="17"/>
          <w:szCs w:val="17"/>
          <w14:ligatures w14:val="standardContextual"/>
        </w:rPr>
        <w:t>the reporting templates should be adequately amended.</w:t>
      </w:r>
    </w:p>
    <w:p w14:paraId="14DC3FCB" w14:textId="77777777" w:rsidR="00641A21" w:rsidRPr="00D54F3C" w:rsidRDefault="00641A21" w:rsidP="00B32047">
      <w:pPr>
        <w:spacing w:line="240" w:lineRule="auto"/>
        <w:rPr>
          <w:rFonts w:eastAsia="Aptos"/>
          <w:kern w:val="2"/>
          <w:sz w:val="17"/>
          <w:szCs w:val="17"/>
          <w:lang w:val="en-US"/>
          <w14:ligatures w14:val="standardContextual"/>
        </w:rPr>
      </w:pPr>
    </w:p>
    <w:p w14:paraId="6087FCD3" w14:textId="77777777" w:rsidR="00641A21" w:rsidRPr="00D54F3C" w:rsidRDefault="00641A21" w:rsidP="00B32047">
      <w:pPr>
        <w:spacing w:line="240" w:lineRule="auto"/>
        <w:rPr>
          <w:rFonts w:eastAsia="Aptos"/>
          <w:kern w:val="2"/>
          <w:sz w:val="17"/>
          <w:szCs w:val="17"/>
          <w:lang w:val="en-US"/>
          <w14:ligatures w14:val="standardContextual"/>
        </w:rPr>
      </w:pPr>
      <w:r w:rsidRPr="00D54F3C">
        <w:rPr>
          <w:rFonts w:eastAsia="Aptos"/>
          <w:kern w:val="2"/>
          <w:sz w:val="17"/>
          <w:szCs w:val="17"/>
          <w:lang w:val="en-US"/>
          <w14:ligatures w14:val="standardContextual"/>
        </w:rPr>
        <w:t>While insurers welcome recognition of the need to simplify the DNSH criteria, this should also be extended to the Minimum Safeguards requirements for the qualification of Taxonomy-aligned activities.</w:t>
      </w:r>
    </w:p>
    <w:p w14:paraId="5BFB1FB0" w14:textId="77777777" w:rsidR="00641A21" w:rsidRPr="00D54F3C" w:rsidRDefault="00641A21" w:rsidP="00B32047">
      <w:pPr>
        <w:spacing w:line="240" w:lineRule="auto"/>
        <w:rPr>
          <w:rFonts w:eastAsia="Aptos"/>
          <w:b/>
          <w:kern w:val="2"/>
          <w:sz w:val="17"/>
          <w:szCs w:val="17"/>
          <w:lang w:val="en-US"/>
          <w14:ligatures w14:val="standardContextual"/>
        </w:rPr>
      </w:pPr>
      <w:r w:rsidRPr="00D54F3C">
        <w:rPr>
          <w:rFonts w:eastAsia="Aptos"/>
          <w:kern w:val="2"/>
          <w:sz w:val="17"/>
          <w:szCs w:val="17"/>
          <w:lang w:val="en-US"/>
          <w14:ligatures w14:val="standardContextual"/>
        </w:rPr>
        <w:t xml:space="preserve"> </w:t>
      </w:r>
    </w:p>
    <w:p w14:paraId="4BFB9880" w14:textId="77777777" w:rsidR="00641A21" w:rsidRPr="00D54F3C" w:rsidRDefault="00641A21" w:rsidP="00B32047">
      <w:pPr>
        <w:spacing w:line="240" w:lineRule="auto"/>
        <w:rPr>
          <w:rFonts w:eastAsia="Aptos"/>
          <w:kern w:val="2"/>
          <w:sz w:val="17"/>
          <w:szCs w:val="17"/>
          <w:lang w:val="en-US"/>
          <w14:ligatures w14:val="standardContextual"/>
        </w:rPr>
      </w:pPr>
      <w:r w:rsidRPr="00D54F3C">
        <w:rPr>
          <w:rFonts w:eastAsia="Aptos"/>
          <w:kern w:val="2"/>
          <w:sz w:val="17"/>
          <w:szCs w:val="17"/>
          <w:u w:val="single"/>
          <w:lang w:val="en-US"/>
          <w14:ligatures w14:val="standardContextual"/>
        </w:rPr>
        <w:t xml:space="preserve">Equally, we stand ready to contribute to the upcoming review of the EU Taxonomy’s Technical Screening Criteria. </w:t>
      </w:r>
    </w:p>
    <w:p w14:paraId="0E16401E" w14:textId="77777777" w:rsidR="00641A21" w:rsidRPr="00D54F3C" w:rsidRDefault="00641A21" w:rsidP="00B32047">
      <w:pPr>
        <w:spacing w:line="240" w:lineRule="auto"/>
        <w:rPr>
          <w:rFonts w:eastAsia="Aptos"/>
          <w:kern w:val="2"/>
          <w:sz w:val="17"/>
          <w:szCs w:val="17"/>
          <w:lang w:val="en-US"/>
          <w14:ligatures w14:val="standardContextual"/>
        </w:rPr>
      </w:pPr>
    </w:p>
    <w:p w14:paraId="06A67BAB" w14:textId="77777777" w:rsidR="00641A21" w:rsidRPr="00D54F3C" w:rsidRDefault="00641A21" w:rsidP="00B32047">
      <w:pPr>
        <w:spacing w:line="240" w:lineRule="auto"/>
        <w:rPr>
          <w:rFonts w:eastAsia="Aptos"/>
          <w:kern w:val="2"/>
          <w:sz w:val="17"/>
          <w:szCs w:val="17"/>
          <w:lang w:val="en-US"/>
          <w14:ligatures w14:val="standardContextual"/>
        </w:rPr>
      </w:pPr>
      <w:r w:rsidRPr="00D54F3C">
        <w:rPr>
          <w:rFonts w:eastAsia="Aptos"/>
          <w:kern w:val="2"/>
          <w:sz w:val="17"/>
          <w:szCs w:val="17"/>
          <w:lang w:val="en-US"/>
          <w14:ligatures w14:val="standardContextual"/>
        </w:rPr>
        <w:t xml:space="preserve">Lastly, the EC’s Q&amp;A on Taxonomy reporting will need updating following changes to the Taxonomy and in doing so should ensure that they do not create additional requirements or complexity. </w:t>
      </w:r>
      <w:r w:rsidRPr="00D54F3C">
        <w:rPr>
          <w:rFonts w:eastAsia="Aptos"/>
          <w:kern w:val="2"/>
          <w:sz w:val="17"/>
          <w:szCs w:val="17"/>
          <w:u w:val="single"/>
          <w:lang w:val="en-US"/>
          <w14:ligatures w14:val="standardContextual"/>
        </w:rPr>
        <w:t>Whether the EC intends to continue issuing new EC notice about the EU Taxonomy, it is very important to give preparers adequate time for dealing with it.</w:t>
      </w:r>
    </w:p>
    <w:p w14:paraId="3BE30E83" w14:textId="77777777" w:rsidR="00641A21" w:rsidRPr="00D54F3C" w:rsidRDefault="00641A21" w:rsidP="00B32047">
      <w:pPr>
        <w:spacing w:line="240" w:lineRule="auto"/>
        <w:rPr>
          <w:sz w:val="17"/>
          <w:szCs w:val="17"/>
        </w:rPr>
      </w:pPr>
    </w:p>
    <w:p w14:paraId="10B084B2" w14:textId="77777777" w:rsidR="00641A21" w:rsidRDefault="00641A21" w:rsidP="00641A21">
      <w:pPr>
        <w:spacing w:line="240" w:lineRule="auto"/>
        <w:ind w:left="28"/>
        <w:jc w:val="left"/>
      </w:pPr>
    </w:p>
    <w:p w14:paraId="43DCB987" w14:textId="77777777" w:rsidR="00152882" w:rsidRPr="003D0236" w:rsidRDefault="00152882" w:rsidP="003D0236">
      <w:pPr>
        <w:rPr>
          <w:sz w:val="17"/>
          <w:szCs w:val="17"/>
        </w:rPr>
      </w:pPr>
    </w:p>
    <w:p w14:paraId="05C65340" w14:textId="77777777" w:rsidR="00152882" w:rsidRPr="003D0236" w:rsidRDefault="00152882" w:rsidP="003D0236">
      <w:pPr>
        <w:rPr>
          <w:sz w:val="17"/>
          <w:szCs w:val="17"/>
        </w:rPr>
      </w:pPr>
    </w:p>
    <w:p w14:paraId="2474849C" w14:textId="77777777" w:rsidR="00152882" w:rsidRPr="003D0236" w:rsidRDefault="00152882" w:rsidP="003D0236">
      <w:pPr>
        <w:jc w:val="left"/>
        <w:rPr>
          <w:rStyle w:val="Heading1CEAChar"/>
          <w:rFonts w:ascii="Verdana" w:hAnsi="Verdana"/>
          <w:b w:val="0"/>
          <w:sz w:val="17"/>
          <w:szCs w:val="17"/>
        </w:rPr>
      </w:pPr>
    </w:p>
    <w:p w14:paraId="25101DA7" w14:textId="77777777" w:rsidR="00152882" w:rsidRPr="003D0236" w:rsidRDefault="00152882" w:rsidP="003D0236">
      <w:pPr>
        <w:autoSpaceDE w:val="0"/>
        <w:autoSpaceDN w:val="0"/>
        <w:adjustRightInd w:val="0"/>
        <w:rPr>
          <w:sz w:val="17"/>
          <w:szCs w:val="17"/>
        </w:rPr>
      </w:pPr>
      <w:bookmarkStart w:id="2" w:name="BorderPlate"/>
      <w:bookmarkEnd w:id="2"/>
    </w:p>
    <w:p w14:paraId="764E665B" w14:textId="0E23AEE5" w:rsidR="00152882" w:rsidRDefault="00152882" w:rsidP="003D0236">
      <w:pPr>
        <w:jc w:val="left"/>
        <w:rPr>
          <w:sz w:val="17"/>
          <w:szCs w:val="17"/>
        </w:rPr>
      </w:pPr>
    </w:p>
    <w:p w14:paraId="09F935F3" w14:textId="38976BF1" w:rsidR="007748EE" w:rsidRDefault="007748EE" w:rsidP="003D0236">
      <w:pPr>
        <w:jc w:val="left"/>
        <w:rPr>
          <w:sz w:val="17"/>
          <w:szCs w:val="17"/>
        </w:rPr>
      </w:pPr>
    </w:p>
    <w:p w14:paraId="2414CD07" w14:textId="4D0A3C2A" w:rsidR="007748EE" w:rsidRDefault="007748EE" w:rsidP="003D0236">
      <w:pPr>
        <w:jc w:val="left"/>
        <w:rPr>
          <w:sz w:val="17"/>
          <w:szCs w:val="17"/>
        </w:rPr>
      </w:pPr>
    </w:p>
    <w:p w14:paraId="1CB3010F" w14:textId="1A3C6236" w:rsidR="007748EE" w:rsidRDefault="007748EE" w:rsidP="003D0236">
      <w:pPr>
        <w:jc w:val="left"/>
        <w:rPr>
          <w:sz w:val="17"/>
          <w:szCs w:val="17"/>
        </w:rPr>
      </w:pPr>
    </w:p>
    <w:p w14:paraId="19906937" w14:textId="54213447" w:rsidR="007748EE" w:rsidRDefault="007748EE" w:rsidP="003D0236">
      <w:pPr>
        <w:jc w:val="left"/>
        <w:rPr>
          <w:sz w:val="17"/>
          <w:szCs w:val="17"/>
        </w:rPr>
      </w:pPr>
    </w:p>
    <w:p w14:paraId="18DF64B5" w14:textId="4D273038" w:rsidR="007748EE" w:rsidRDefault="007748EE" w:rsidP="003D0236">
      <w:pPr>
        <w:jc w:val="left"/>
        <w:rPr>
          <w:sz w:val="17"/>
          <w:szCs w:val="17"/>
        </w:rPr>
      </w:pPr>
    </w:p>
    <w:p w14:paraId="13FDB02A" w14:textId="065BE718" w:rsidR="007748EE" w:rsidRDefault="007748EE" w:rsidP="003D0236">
      <w:pPr>
        <w:jc w:val="left"/>
        <w:rPr>
          <w:sz w:val="17"/>
          <w:szCs w:val="17"/>
        </w:rPr>
      </w:pPr>
    </w:p>
    <w:p w14:paraId="0EBD412A" w14:textId="0D7999A4" w:rsidR="007748EE" w:rsidRDefault="007748EE" w:rsidP="003D0236">
      <w:pPr>
        <w:jc w:val="left"/>
        <w:rPr>
          <w:sz w:val="17"/>
          <w:szCs w:val="17"/>
        </w:rPr>
      </w:pPr>
    </w:p>
    <w:p w14:paraId="0D07D098" w14:textId="7FDA0A8B" w:rsidR="007748EE" w:rsidRDefault="007748EE" w:rsidP="003D0236">
      <w:pPr>
        <w:jc w:val="left"/>
        <w:rPr>
          <w:sz w:val="17"/>
          <w:szCs w:val="17"/>
        </w:rPr>
      </w:pPr>
    </w:p>
    <w:p w14:paraId="6AD36098" w14:textId="4A2D88DA" w:rsidR="007748EE" w:rsidRDefault="007748EE" w:rsidP="003D0236">
      <w:pPr>
        <w:jc w:val="left"/>
        <w:rPr>
          <w:sz w:val="17"/>
          <w:szCs w:val="17"/>
        </w:rPr>
      </w:pPr>
    </w:p>
    <w:p w14:paraId="4FE7E0BF" w14:textId="0DA5D927" w:rsidR="007748EE" w:rsidRDefault="007748EE" w:rsidP="003D0236">
      <w:pPr>
        <w:jc w:val="left"/>
        <w:rPr>
          <w:sz w:val="17"/>
          <w:szCs w:val="17"/>
        </w:rPr>
      </w:pPr>
    </w:p>
    <w:p w14:paraId="2E8877DF" w14:textId="446B8386" w:rsidR="007748EE" w:rsidRDefault="007748EE" w:rsidP="003D0236">
      <w:pPr>
        <w:jc w:val="left"/>
        <w:rPr>
          <w:sz w:val="17"/>
          <w:szCs w:val="17"/>
        </w:rPr>
      </w:pPr>
    </w:p>
    <w:p w14:paraId="6BA17987" w14:textId="2CC025AF" w:rsidR="007748EE" w:rsidRDefault="007748EE" w:rsidP="003D0236">
      <w:pPr>
        <w:jc w:val="left"/>
        <w:rPr>
          <w:sz w:val="17"/>
          <w:szCs w:val="17"/>
        </w:rPr>
      </w:pPr>
    </w:p>
    <w:p w14:paraId="627264F1" w14:textId="59975E7F" w:rsidR="007748EE" w:rsidRDefault="007748EE" w:rsidP="003D0236">
      <w:pPr>
        <w:jc w:val="left"/>
        <w:rPr>
          <w:sz w:val="17"/>
          <w:szCs w:val="17"/>
        </w:rPr>
      </w:pPr>
    </w:p>
    <w:p w14:paraId="1F110C06" w14:textId="6C070C82" w:rsidR="007748EE" w:rsidRDefault="007748EE" w:rsidP="003D0236">
      <w:pPr>
        <w:jc w:val="left"/>
        <w:rPr>
          <w:sz w:val="17"/>
          <w:szCs w:val="17"/>
        </w:rPr>
      </w:pPr>
    </w:p>
    <w:p w14:paraId="6577B842" w14:textId="3CE49E82" w:rsidR="007748EE" w:rsidRDefault="007748EE" w:rsidP="003D0236">
      <w:pPr>
        <w:jc w:val="left"/>
        <w:rPr>
          <w:sz w:val="17"/>
          <w:szCs w:val="17"/>
        </w:rPr>
      </w:pPr>
    </w:p>
    <w:p w14:paraId="29A1B599" w14:textId="3BC0764A" w:rsidR="007748EE" w:rsidRDefault="007748EE" w:rsidP="003D0236">
      <w:pPr>
        <w:jc w:val="left"/>
        <w:rPr>
          <w:sz w:val="17"/>
          <w:szCs w:val="17"/>
        </w:rPr>
      </w:pPr>
    </w:p>
    <w:p w14:paraId="6186C834" w14:textId="0ABB4C22" w:rsidR="007748EE" w:rsidRDefault="007748EE" w:rsidP="003D0236">
      <w:pPr>
        <w:jc w:val="left"/>
        <w:rPr>
          <w:sz w:val="17"/>
          <w:szCs w:val="17"/>
        </w:rPr>
      </w:pPr>
    </w:p>
    <w:p w14:paraId="47BAFE89" w14:textId="77777777" w:rsidR="00152882" w:rsidRPr="003D0236" w:rsidRDefault="00152882" w:rsidP="003D0236">
      <w:pPr>
        <w:autoSpaceDE w:val="0"/>
        <w:autoSpaceDN w:val="0"/>
        <w:adjustRightInd w:val="0"/>
        <w:rPr>
          <w:sz w:val="17"/>
          <w:szCs w:val="17"/>
        </w:rPr>
      </w:pPr>
    </w:p>
    <w:p w14:paraId="6BC3B29F" w14:textId="77777777" w:rsidR="00152882" w:rsidRPr="003D0236" w:rsidRDefault="00152882" w:rsidP="003D0236">
      <w:pPr>
        <w:autoSpaceDE w:val="0"/>
        <w:autoSpaceDN w:val="0"/>
        <w:adjustRightInd w:val="0"/>
        <w:rPr>
          <w:sz w:val="17"/>
          <w:szCs w:val="17"/>
        </w:rPr>
      </w:pPr>
    </w:p>
    <w:p w14:paraId="4DA86A55" w14:textId="77777777" w:rsidR="00152882" w:rsidRPr="003D0236" w:rsidRDefault="00152882" w:rsidP="003D0236">
      <w:pPr>
        <w:autoSpaceDE w:val="0"/>
        <w:autoSpaceDN w:val="0"/>
        <w:adjustRightInd w:val="0"/>
        <w:rPr>
          <w:sz w:val="17"/>
          <w:szCs w:val="17"/>
        </w:rPr>
      </w:pPr>
    </w:p>
    <w:p w14:paraId="5104205C" w14:textId="77777777" w:rsidR="00152882" w:rsidRPr="003D0236" w:rsidRDefault="00152882" w:rsidP="003D0236">
      <w:pPr>
        <w:autoSpaceDE w:val="0"/>
        <w:autoSpaceDN w:val="0"/>
        <w:adjustRightInd w:val="0"/>
        <w:rPr>
          <w:sz w:val="17"/>
          <w:szCs w:val="17"/>
        </w:rPr>
      </w:pPr>
    </w:p>
    <w:p w14:paraId="265A4F54" w14:textId="77777777" w:rsidR="00152882" w:rsidRPr="003D0236" w:rsidRDefault="00152882" w:rsidP="003D0236">
      <w:pPr>
        <w:autoSpaceDE w:val="0"/>
        <w:autoSpaceDN w:val="0"/>
        <w:adjustRightInd w:val="0"/>
        <w:rPr>
          <w:sz w:val="17"/>
          <w:szCs w:val="17"/>
        </w:rPr>
      </w:pPr>
    </w:p>
    <w:p w14:paraId="71A1FE30" w14:textId="77777777" w:rsidR="00152882" w:rsidRPr="003D0236" w:rsidRDefault="00152882" w:rsidP="003D0236">
      <w:pPr>
        <w:autoSpaceDE w:val="0"/>
        <w:autoSpaceDN w:val="0"/>
        <w:adjustRightInd w:val="0"/>
        <w:rPr>
          <w:sz w:val="17"/>
          <w:szCs w:val="17"/>
        </w:rPr>
      </w:pPr>
    </w:p>
    <w:p w14:paraId="421BAA39" w14:textId="77777777" w:rsidR="00152882" w:rsidRPr="003D0236" w:rsidRDefault="00152882" w:rsidP="003D0236">
      <w:pPr>
        <w:autoSpaceDE w:val="0"/>
        <w:autoSpaceDN w:val="0"/>
        <w:adjustRightInd w:val="0"/>
        <w:rPr>
          <w:sz w:val="17"/>
          <w:szCs w:val="17"/>
        </w:rPr>
      </w:pPr>
    </w:p>
    <w:p w14:paraId="3A5E2BB7" w14:textId="77777777" w:rsidR="00152882" w:rsidRPr="003D0236" w:rsidRDefault="00152882" w:rsidP="003D0236">
      <w:pPr>
        <w:autoSpaceDE w:val="0"/>
        <w:autoSpaceDN w:val="0"/>
        <w:adjustRightInd w:val="0"/>
        <w:rPr>
          <w:sz w:val="17"/>
          <w:szCs w:val="17"/>
        </w:rPr>
      </w:pPr>
    </w:p>
    <w:p w14:paraId="49BFF19C" w14:textId="77777777" w:rsidR="00152882" w:rsidRPr="003D0236" w:rsidRDefault="00152882" w:rsidP="003D0236">
      <w:pPr>
        <w:autoSpaceDE w:val="0"/>
        <w:autoSpaceDN w:val="0"/>
        <w:adjustRightInd w:val="0"/>
        <w:rPr>
          <w:sz w:val="17"/>
          <w:szCs w:val="17"/>
        </w:rPr>
      </w:pPr>
    </w:p>
    <w:p w14:paraId="63A4B740" w14:textId="77777777" w:rsidR="00152882" w:rsidRPr="003D0236" w:rsidRDefault="00152882" w:rsidP="003D0236">
      <w:pPr>
        <w:autoSpaceDE w:val="0"/>
        <w:autoSpaceDN w:val="0"/>
        <w:adjustRightInd w:val="0"/>
        <w:rPr>
          <w:sz w:val="17"/>
          <w:szCs w:val="17"/>
        </w:rPr>
      </w:pPr>
    </w:p>
    <w:p w14:paraId="4116FA53" w14:textId="77777777" w:rsidR="00152882" w:rsidRPr="003D0236" w:rsidRDefault="00152882" w:rsidP="003D0236">
      <w:pPr>
        <w:autoSpaceDE w:val="0"/>
        <w:autoSpaceDN w:val="0"/>
        <w:adjustRightInd w:val="0"/>
        <w:rPr>
          <w:sz w:val="17"/>
          <w:szCs w:val="17"/>
        </w:rPr>
      </w:pPr>
    </w:p>
    <w:p w14:paraId="298E2775" w14:textId="77777777" w:rsidR="00152882" w:rsidRPr="003D0236" w:rsidRDefault="00152882" w:rsidP="003D0236">
      <w:pPr>
        <w:autoSpaceDE w:val="0"/>
        <w:autoSpaceDN w:val="0"/>
        <w:adjustRightInd w:val="0"/>
        <w:rPr>
          <w:sz w:val="17"/>
          <w:szCs w:val="17"/>
        </w:rPr>
      </w:pPr>
    </w:p>
    <w:p w14:paraId="4D8C7D28" w14:textId="77777777" w:rsidR="00152882" w:rsidRPr="003D0236" w:rsidRDefault="00152882" w:rsidP="003D0236">
      <w:pPr>
        <w:autoSpaceDE w:val="0"/>
        <w:autoSpaceDN w:val="0"/>
        <w:adjustRightInd w:val="0"/>
        <w:rPr>
          <w:sz w:val="17"/>
          <w:szCs w:val="17"/>
        </w:rPr>
      </w:pPr>
    </w:p>
    <w:p w14:paraId="21AA5694" w14:textId="77777777" w:rsidR="00152882" w:rsidRPr="003D0236" w:rsidRDefault="00152882" w:rsidP="003D0236">
      <w:pPr>
        <w:autoSpaceDE w:val="0"/>
        <w:autoSpaceDN w:val="0"/>
        <w:adjustRightInd w:val="0"/>
        <w:rPr>
          <w:sz w:val="17"/>
          <w:szCs w:val="17"/>
        </w:rPr>
      </w:pPr>
    </w:p>
    <w:p w14:paraId="1EC82696" w14:textId="77777777" w:rsidR="00152882" w:rsidRPr="003D0236" w:rsidRDefault="00152882" w:rsidP="003D0236">
      <w:pPr>
        <w:autoSpaceDE w:val="0"/>
        <w:autoSpaceDN w:val="0"/>
        <w:adjustRightInd w:val="0"/>
        <w:rPr>
          <w:sz w:val="17"/>
          <w:szCs w:val="17"/>
        </w:rPr>
      </w:pPr>
    </w:p>
    <w:p w14:paraId="7F7D1285" w14:textId="77777777" w:rsidR="00152882" w:rsidRPr="003D0236" w:rsidRDefault="00152882" w:rsidP="003D0236">
      <w:pPr>
        <w:autoSpaceDE w:val="0"/>
        <w:autoSpaceDN w:val="0"/>
        <w:adjustRightInd w:val="0"/>
        <w:rPr>
          <w:sz w:val="17"/>
          <w:szCs w:val="17"/>
        </w:rPr>
      </w:pPr>
    </w:p>
    <w:p w14:paraId="7C3C63D6" w14:textId="3D1FEE2E" w:rsidR="00152882" w:rsidRPr="003D0236" w:rsidRDefault="00152882" w:rsidP="003D0236">
      <w:pPr>
        <w:autoSpaceDE w:val="0"/>
        <w:autoSpaceDN w:val="0"/>
        <w:adjustRightInd w:val="0"/>
        <w:rPr>
          <w:sz w:val="17"/>
          <w:szCs w:val="17"/>
        </w:rPr>
      </w:pPr>
    </w:p>
    <w:p w14:paraId="33CEFBC2" w14:textId="606699A2" w:rsidR="00440FEE" w:rsidRPr="003D0236" w:rsidRDefault="003715C9" w:rsidP="003D0236">
      <w:pPr>
        <w:autoSpaceDE w:val="0"/>
        <w:autoSpaceDN w:val="0"/>
        <w:adjustRightInd w:val="0"/>
        <w:rPr>
          <w:sz w:val="17"/>
          <w:szCs w:val="17"/>
        </w:rPr>
      </w:pPr>
      <w:r w:rsidRPr="003D0236">
        <w:rPr>
          <w:sz w:val="17"/>
          <w:szCs w:val="17"/>
        </w:rPr>
        <w:t>Insurance Europe is the European insurance and reinsurance federation. Through its 39 member bodies — the national insurance associations — it represents insurance and reinsurance undertakings active in Europe and advocates for policies and conditions that support the sector in delivering value to individuals, businesses, and the broader economy.</w:t>
      </w:r>
    </w:p>
    <w:sectPr w:rsidR="00440FEE" w:rsidRPr="003D0236" w:rsidSect="001C24A2">
      <w:type w:val="continuous"/>
      <w:pgSz w:w="11907" w:h="16839" w:code="9"/>
      <w:pgMar w:top="2336" w:right="902" w:bottom="1077" w:left="147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4BC8" w14:textId="77777777" w:rsidR="003C4685" w:rsidRDefault="003C4685">
      <w:pPr>
        <w:spacing w:line="240" w:lineRule="auto"/>
      </w:pPr>
      <w:r>
        <w:separator/>
      </w:r>
    </w:p>
  </w:endnote>
  <w:endnote w:type="continuationSeparator" w:id="0">
    <w:p w14:paraId="71B5EF03" w14:textId="77777777" w:rsidR="003C4685" w:rsidRDefault="003C4685">
      <w:pPr>
        <w:spacing w:line="240" w:lineRule="auto"/>
      </w:pPr>
      <w:r>
        <w:continuationSeparator/>
      </w:r>
    </w:p>
  </w:endnote>
  <w:endnote w:type="continuationNotice" w:id="1">
    <w:p w14:paraId="53E07077" w14:textId="77777777" w:rsidR="003C4685" w:rsidRDefault="003C46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A777" w14:textId="77777777" w:rsidR="00DB3235" w:rsidRDefault="00152882" w:rsidP="000846C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4086F33" w14:textId="77777777" w:rsidR="00DB3235" w:rsidRDefault="00DB3235" w:rsidP="000846C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342C" w14:textId="77777777" w:rsidR="00DB3235" w:rsidRPr="007748EE" w:rsidRDefault="00152882" w:rsidP="00A42CBE">
    <w:pPr>
      <w:pStyle w:val="Pta"/>
      <w:framePr w:wrap="around" w:vAnchor="page" w:hAnchor="margin" w:xAlign="right" w:y="16161"/>
      <w:rPr>
        <w:rStyle w:val="slostrany"/>
        <w:color w:val="002957"/>
        <w:sz w:val="14"/>
        <w:szCs w:val="20"/>
      </w:rPr>
    </w:pPr>
    <w:r w:rsidRPr="007748EE">
      <w:rPr>
        <w:rStyle w:val="slostrany"/>
        <w:color w:val="002957"/>
        <w:sz w:val="14"/>
        <w:szCs w:val="14"/>
      </w:rPr>
      <w:fldChar w:fldCharType="begin"/>
    </w:r>
    <w:r w:rsidRPr="007748EE">
      <w:rPr>
        <w:rStyle w:val="slostrany"/>
        <w:color w:val="002957"/>
        <w:sz w:val="14"/>
        <w:szCs w:val="14"/>
      </w:rPr>
      <w:instrText xml:space="preserve"> PAGE   \* MERGEFORMAT </w:instrText>
    </w:r>
    <w:r w:rsidRPr="007748EE">
      <w:rPr>
        <w:rStyle w:val="slostrany"/>
        <w:color w:val="002957"/>
        <w:sz w:val="14"/>
        <w:szCs w:val="14"/>
      </w:rPr>
      <w:fldChar w:fldCharType="separate"/>
    </w:r>
    <w:r w:rsidR="009F36CD" w:rsidRPr="007748EE">
      <w:rPr>
        <w:rStyle w:val="slostrany"/>
        <w:noProof/>
        <w:color w:val="002957"/>
        <w:sz w:val="14"/>
        <w:szCs w:val="14"/>
      </w:rPr>
      <w:t>2</w:t>
    </w:r>
    <w:r w:rsidRPr="007748EE">
      <w:rPr>
        <w:rStyle w:val="slostrany"/>
        <w:color w:val="002957"/>
        <w:sz w:val="14"/>
        <w:szCs w:val="14"/>
      </w:rPr>
      <w:fldChar w:fldCharType="end"/>
    </w:r>
  </w:p>
  <w:p w14:paraId="179B6722" w14:textId="77777777" w:rsidR="00DB3235" w:rsidRPr="0085650F" w:rsidRDefault="00DB3235" w:rsidP="0029642B">
    <w:pPr>
      <w:tabs>
        <w:tab w:val="right" w:pos="10260"/>
      </w:tabs>
      <w:autoSpaceDE w:val="0"/>
      <w:autoSpaceDN w:val="0"/>
      <w:adjustRightInd w:val="0"/>
      <w:ind w:right="360"/>
      <w:textAlignment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3"/>
    </w:tblGrid>
    <w:tr w:rsidR="0012469D" w14:paraId="3BDA0906" w14:textId="77777777" w:rsidTr="007748EE">
      <w:tc>
        <w:tcPr>
          <w:tcW w:w="5387" w:type="dxa"/>
        </w:tcPr>
        <w:p w14:paraId="223AB0CA" w14:textId="77777777" w:rsidR="0012469D" w:rsidRDefault="0012469D" w:rsidP="007748EE">
          <w:pPr>
            <w:pStyle w:val="CEAFooterauthorinfo"/>
            <w:jc w:val="left"/>
            <w:rPr>
              <w:b w:val="0"/>
              <w:color w:val="002957"/>
              <w:sz w:val="14"/>
              <w:szCs w:val="14"/>
              <w:lang w:val="pt-PT"/>
            </w:rPr>
          </w:pPr>
          <w:r w:rsidRPr="00A4463C">
            <w:rPr>
              <w:b w:val="0"/>
              <w:color w:val="002957"/>
              <w:sz w:val="14"/>
              <w:szCs w:val="14"/>
              <w:lang w:val="fr-BE"/>
            </w:rPr>
            <w:t>Insurance Europe aisbl</w:t>
          </w:r>
        </w:p>
        <w:p w14:paraId="409D0242" w14:textId="77777777" w:rsidR="0012469D" w:rsidRPr="00A4463C" w:rsidRDefault="0012469D" w:rsidP="007748EE">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w:t>
          </w:r>
          <w:r w:rsidRPr="00A4463C">
            <w:rPr>
              <w:b w:val="0"/>
              <w:color w:val="002957"/>
              <w:sz w:val="14"/>
              <w:szCs w:val="14"/>
              <w:lang w:val="fr-BE"/>
            </w:rPr>
            <w:t xml:space="preserve"> </w:t>
          </w:r>
          <w:r>
            <w:rPr>
              <w:b w:val="0"/>
              <w:color w:val="002957"/>
              <w:sz w:val="14"/>
              <w:szCs w:val="14"/>
              <w:lang w:val="fr-BE"/>
            </w:rPr>
            <w:t>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26C85C0" w14:textId="77777777" w:rsidR="0012469D" w:rsidRDefault="0012469D" w:rsidP="007748EE">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w:t>
          </w:r>
        </w:p>
        <w:p w14:paraId="069F1905" w14:textId="19503539" w:rsidR="0012469D" w:rsidRPr="0012469D" w:rsidRDefault="0012469D" w:rsidP="007748EE">
          <w:pPr>
            <w:pStyle w:val="CEAFooterauthorinfo"/>
            <w:jc w:val="left"/>
            <w:rPr>
              <w:b w:val="0"/>
              <w:color w:val="002957"/>
              <w:sz w:val="14"/>
              <w:szCs w:val="14"/>
              <w:lang w:val="pt-PT"/>
            </w:rPr>
          </w:pPr>
          <w:r>
            <w:rPr>
              <w:b w:val="0"/>
              <w:color w:val="002957"/>
              <w:sz w:val="14"/>
              <w:szCs w:val="14"/>
              <w:lang w:val="pt-PT"/>
            </w:rPr>
            <w:t xml:space="preserve">E-mail : </w:t>
          </w:r>
          <w:hyperlink r:id="rId1" w:history="1">
            <w:r w:rsidR="007748EE" w:rsidRPr="009F19B1">
              <w:rPr>
                <w:rStyle w:val="Hypertextovprepojenie"/>
                <w:b w:val="0"/>
                <w:sz w:val="14"/>
                <w:szCs w:val="14"/>
                <w:lang w:val="pt-PT"/>
              </w:rPr>
              <w:t>info@insuranceeurope.eu</w:t>
            </w:r>
          </w:hyperlink>
          <w:r w:rsidR="007748EE">
            <w:rPr>
              <w:b w:val="0"/>
              <w:color w:val="002957"/>
              <w:sz w:val="14"/>
              <w:szCs w:val="14"/>
              <w:lang w:val="pt-PT"/>
            </w:rPr>
            <w:br/>
          </w:r>
          <w:r w:rsidR="007748EE" w:rsidRPr="007748EE">
            <w:rPr>
              <w:b w:val="0"/>
              <w:color w:val="82C55B"/>
              <w:sz w:val="14"/>
              <w:szCs w:val="14"/>
              <w:lang w:val="pt-PT"/>
            </w:rPr>
            <w:t>www.insuranceeurope.eu</w:t>
          </w:r>
        </w:p>
      </w:tc>
      <w:tc>
        <w:tcPr>
          <w:tcW w:w="4253" w:type="dxa"/>
        </w:tcPr>
        <w:p w14:paraId="208F7DCE" w14:textId="3A444E5B" w:rsidR="0012469D" w:rsidRPr="002F12C5" w:rsidRDefault="002F12C5" w:rsidP="00BD3110">
          <w:pPr>
            <w:pStyle w:val="CEAFooterauthorinfo"/>
            <w:jc w:val="left"/>
            <w:rPr>
              <w:b w:val="0"/>
              <w:color w:val="002957"/>
              <w:sz w:val="14"/>
              <w:szCs w:val="14"/>
            </w:rPr>
          </w:pPr>
          <w:r w:rsidRPr="002F12C5">
            <w:rPr>
              <w:b w:val="0"/>
              <w:color w:val="002957"/>
              <w:sz w:val="14"/>
              <w:szCs w:val="14"/>
            </w:rPr>
            <w:t>© Insurance Europe. Confidential, internal document. Not for distribution, all rights reserved.</w:t>
          </w:r>
        </w:p>
      </w:tc>
    </w:tr>
  </w:tbl>
  <w:p w14:paraId="61297F9E" w14:textId="77777777" w:rsidR="00DB3235" w:rsidRPr="00A2092B" w:rsidRDefault="00DB3235">
    <w:pPr>
      <w:pStyle w:val="Pta"/>
      <w:rPr>
        <w:color w:val="002957"/>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50C0" w14:textId="77777777" w:rsidR="003C4685" w:rsidRDefault="003C4685">
      <w:pPr>
        <w:spacing w:line="240" w:lineRule="auto"/>
      </w:pPr>
      <w:r>
        <w:separator/>
      </w:r>
    </w:p>
  </w:footnote>
  <w:footnote w:type="continuationSeparator" w:id="0">
    <w:p w14:paraId="1E51FA09" w14:textId="77777777" w:rsidR="003C4685" w:rsidRDefault="003C4685">
      <w:pPr>
        <w:spacing w:line="240" w:lineRule="auto"/>
      </w:pPr>
      <w:r>
        <w:continuationSeparator/>
      </w:r>
    </w:p>
  </w:footnote>
  <w:footnote w:type="continuationNotice" w:id="1">
    <w:p w14:paraId="62706F39" w14:textId="77777777" w:rsidR="003C4685" w:rsidRDefault="003C46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157A" w14:textId="77777777" w:rsidR="00DB3235" w:rsidRPr="00323E1C" w:rsidRDefault="00152882" w:rsidP="000846C0">
    <w:pPr>
      <w:pStyle w:val="Noparagraphstyle"/>
      <w:jc w:val="right"/>
      <w:rPr>
        <w:rFonts w:ascii="Verdana" w:hAnsi="Verdana"/>
        <w:sz w:val="18"/>
        <w:szCs w:val="18"/>
      </w:rPr>
    </w:pPr>
    <w:r w:rsidRPr="000D41DA">
      <w:rPr>
        <w:rFonts w:ascii="Frutiger LT Com 45 Light" w:hAnsi="Frutiger LT Com 45 Light"/>
        <w:noProof/>
        <w:lang w:val="nl-BE" w:eastAsia="nl-BE"/>
      </w:rPr>
      <w:drawing>
        <wp:anchor distT="0" distB="0" distL="114300" distR="114300" simplePos="0" relativeHeight="251658241" behindDoc="0" locked="0" layoutInCell="1" allowOverlap="1" wp14:anchorId="3E4E9827" wp14:editId="682FE296">
          <wp:simplePos x="0" y="0"/>
          <wp:positionH relativeFrom="page">
            <wp:posOffset>528955</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EB4D2BF" w14:textId="77777777" w:rsidR="00DB3235" w:rsidRPr="0085650F" w:rsidRDefault="00152882" w:rsidP="000846C0">
    <w:pPr>
      <w:pStyle w:val="Noparagraphstyle"/>
      <w:jc w:val="right"/>
      <w:rPr>
        <w:rFonts w:ascii="Verdana" w:hAnsi="Verdana" w:cs="Arial"/>
        <w:i/>
        <w:iCs/>
        <w:color w:val="034EA2"/>
      </w:rPr>
    </w:pPr>
    <w:r w:rsidRPr="00323E1C">
      <w:rPr>
        <w:rFonts w:ascii="Verdana" w:hAnsi="Verdana"/>
      </w:rPr>
      <w:tab/>
    </w:r>
  </w:p>
  <w:p w14:paraId="6A05B2BD" w14:textId="77777777" w:rsidR="00DB3235" w:rsidRPr="00491802" w:rsidRDefault="00DB3235" w:rsidP="000846C0">
    <w:pPr>
      <w:pStyle w:val="Hlavika"/>
      <w:tabs>
        <w:tab w:val="clear" w:pos="4320"/>
        <w:tab w:val="clear" w:pos="8640"/>
        <w:tab w:val="center" w:pos="0"/>
        <w:tab w:val="right" w:pos="104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4349" w14:textId="77777777" w:rsidR="00DB3235" w:rsidRPr="00323E1C" w:rsidRDefault="00152882" w:rsidP="0029642B">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40" behindDoc="0" locked="0" layoutInCell="1" allowOverlap="1" wp14:anchorId="10148D34" wp14:editId="7F79CF44">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2081F8F" w14:textId="77777777" w:rsidR="00DB3235" w:rsidRDefault="00DB3235">
    <w:pPr>
      <w:pStyle w:val="Hlavika"/>
    </w:pPr>
  </w:p>
  <w:p w14:paraId="4CAF9B32" w14:textId="77777777" w:rsidR="00DB3235" w:rsidRDefault="00DB3235">
    <w:pPr>
      <w:pStyle w:val="Hlavika"/>
    </w:pPr>
  </w:p>
  <w:p w14:paraId="07E1BCBC" w14:textId="77777777" w:rsidR="00DB3235" w:rsidRDefault="00DB3235">
    <w:pPr>
      <w:pStyle w:val="Hlavika"/>
    </w:pPr>
  </w:p>
  <w:p w14:paraId="28CF5DF4" w14:textId="6A7F323D" w:rsidR="0017261F" w:rsidRDefault="00152882" w:rsidP="0017261F">
    <w:pPr>
      <w:jc w:val="right"/>
      <w:rPr>
        <w:b/>
        <w:i/>
        <w:color w:val="002957"/>
        <w:sz w:val="32"/>
        <w:szCs w:val="32"/>
      </w:rPr>
    </w:pPr>
    <w:r>
      <w:tab/>
    </w:r>
    <w: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240F50">
      <w:rPr>
        <w:rFonts w:cs="Arial"/>
        <w:b/>
        <w:color w:val="002957"/>
        <w:sz w:val="40"/>
        <w:szCs w:val="40"/>
      </w:rPr>
      <w:tab/>
    </w:r>
    <w:r w:rsidRPr="0085650F">
      <w:rPr>
        <w:rFonts w:cs="Arial"/>
        <w:b/>
        <w:sz w:val="40"/>
        <w:szCs w:val="40"/>
      </w:rPr>
      <w:tab/>
    </w:r>
    <w:bookmarkStart w:id="0" w:name="Draft1st"/>
    <w:bookmarkEnd w:id="0"/>
  </w:p>
  <w:p w14:paraId="3654217F" w14:textId="77777777" w:rsidR="00DB3235" w:rsidRPr="00D74967" w:rsidRDefault="00DB3235" w:rsidP="00E20AAF">
    <w:pPr>
      <w:pStyle w:val="CEADraft"/>
      <w:rPr>
        <w:color w:val="002957"/>
        <w:lang w:val="en-US"/>
      </w:rPr>
    </w:pPr>
  </w:p>
  <w:p w14:paraId="5495E665" w14:textId="77777777" w:rsidR="00DB3235" w:rsidRPr="00D74967" w:rsidRDefault="00DB3235" w:rsidP="009F1297">
    <w:pPr>
      <w:rPr>
        <w:color w:val="002957"/>
        <w:lang w:val="en-US"/>
      </w:rPr>
    </w:pPr>
  </w:p>
  <w:bookmarkStart w:id="1" w:name="Document_title_"/>
  <w:p w14:paraId="15B481B1" w14:textId="02DB1F1D" w:rsidR="00DB3235" w:rsidRPr="00D74967" w:rsidRDefault="00CB5FEF" w:rsidP="00240F50">
    <w:pPr>
      <w:pStyle w:val="CEAPositionPaperTitle"/>
      <w:ind w:left="0"/>
      <w:rPr>
        <w:b w:val="0"/>
        <w:color w:val="002957"/>
        <w:sz w:val="28"/>
        <w:szCs w:val="28"/>
        <w:lang w:val="en-US"/>
      </w:rPr>
    </w:pPr>
    <w:sdt>
      <w:sdtPr>
        <w:rPr>
          <w:b w:val="0"/>
          <w:color w:val="002957"/>
          <w:sz w:val="28"/>
          <w:szCs w:val="28"/>
          <w:lang w:val="en-US"/>
        </w:rPr>
        <w:id w:val="-1374918777"/>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EndPr/>
      <w:sdtContent>
        <w:r w:rsidR="00B34279">
          <w:rPr>
            <w:b w:val="0"/>
            <w:color w:val="002957"/>
            <w:sz w:val="28"/>
            <w:szCs w:val="28"/>
            <w:lang w:val="en-US"/>
          </w:rPr>
          <w:t>Final technical response to EU Taxonomy level 2 consultation</w:t>
        </w:r>
      </w:sdtContent>
    </w:sdt>
    <w:bookmarkEnd w:id="1"/>
  </w:p>
  <w:p w14:paraId="48E02457" w14:textId="77777777" w:rsidR="00DB3235" w:rsidRPr="00D74967" w:rsidRDefault="00DB3235" w:rsidP="00E20AAF">
    <w:pPr>
      <w:rPr>
        <w:lang w:val="en-US"/>
      </w:rPr>
    </w:pPr>
  </w:p>
  <w:p w14:paraId="59DEEA8E" w14:textId="77777777" w:rsidR="00DB3235" w:rsidRPr="00D74967" w:rsidRDefault="00152882" w:rsidP="00E20AAF">
    <w:pPr>
      <w:rPr>
        <w:lang w:val="en-US"/>
      </w:rPr>
    </w:pPr>
    <w:r>
      <w:rPr>
        <w:noProof/>
        <w:lang w:val="nl-BE" w:eastAsia="nl-BE"/>
      </w:rPr>
      <mc:AlternateContent>
        <mc:Choice Requires="wps">
          <w:drawing>
            <wp:anchor distT="0" distB="0" distL="114300" distR="114300" simplePos="0" relativeHeight="251658242" behindDoc="1" locked="1" layoutInCell="1" allowOverlap="1" wp14:anchorId="7F115990" wp14:editId="38B28395">
              <wp:simplePos x="0" y="0"/>
              <wp:positionH relativeFrom="margin">
                <wp:align>left</wp:align>
              </wp:positionH>
              <wp:positionV relativeFrom="paragraph">
                <wp:posOffset>88265</wp:posOffset>
              </wp:positionV>
              <wp:extent cx="6124575" cy="1282065"/>
              <wp:effectExtent l="0" t="0" r="28575" b="1333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82535"/>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19D0B" id="AutoShape 18" o:spid="_x0000_s1026" style="position:absolute;margin-left:0;margin-top:6.95pt;width:482.25pt;height:100.95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" filled="f" strokecolor="#82c55b" strokeweight=".5pt">
              <w10:wrap anchorx="margin"/>
              <w10:anchorlock/>
            </v:roundrect>
          </w:pict>
        </mc:Fallback>
      </mc:AlternateContent>
    </w:r>
  </w:p>
  <w:tbl>
    <w:tblPr>
      <w:tblW w:w="9639" w:type="dxa"/>
      <w:tblBorders>
        <w:insideH w:val="single" w:sz="4" w:space="0" w:color="82C55B"/>
      </w:tblBorders>
      <w:tblLayout w:type="fixed"/>
      <w:tblLook w:val="0000" w:firstRow="0" w:lastRow="0" w:firstColumn="0" w:lastColumn="0" w:noHBand="0" w:noVBand="0"/>
    </w:tblPr>
    <w:tblGrid>
      <w:gridCol w:w="1536"/>
      <w:gridCol w:w="3557"/>
      <w:gridCol w:w="1570"/>
      <w:gridCol w:w="2976"/>
    </w:tblGrid>
    <w:tr w:rsidR="006D28F1" w:rsidRPr="000D41DA" w14:paraId="4B45CDA3" w14:textId="77777777" w:rsidTr="00240F50">
      <w:trPr>
        <w:cantSplit/>
        <w:trHeight w:hRule="exact" w:val="584"/>
      </w:trPr>
      <w:tc>
        <w:tcPr>
          <w:tcW w:w="1536" w:type="dxa"/>
          <w:shd w:val="clear" w:color="auto" w:fill="auto"/>
          <w:vAlign w:val="center"/>
        </w:tcPr>
        <w:p w14:paraId="57D93854" w14:textId="77777777" w:rsidR="00DB3235" w:rsidRPr="0085650F" w:rsidRDefault="00152882" w:rsidP="00E20AAF">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sdt>
          <w:sdtPr>
            <w:rPr>
              <w:color w:val="002957"/>
              <w:sz w:val="17"/>
              <w:szCs w:val="17"/>
            </w:rPr>
            <w:id w:val="-2128765903"/>
            <w:placeholder>
              <w:docPart w:val="DefaultPlaceholder_-1854013440"/>
            </w:placeholder>
            <w:showingPlcHd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B35485A1-11AA-442D-8577-727460E39C5A}"/>
          </w:sdtPr>
          <w:sdtEndPr/>
          <w:sdtContent>
            <w:p w14:paraId="4352DA30" w14:textId="6DF3BB61" w:rsidR="00DB3235" w:rsidRPr="00585988" w:rsidRDefault="00B34279" w:rsidP="0008034A">
              <w:pPr>
                <w:jc w:val="left"/>
                <w:rPr>
                  <w:color w:val="002957"/>
                  <w:sz w:val="17"/>
                  <w:szCs w:val="17"/>
                </w:rPr>
              </w:pPr>
              <w:r w:rsidRPr="008C7EEE">
                <w:rPr>
                  <w:rStyle w:val="Zstupntext"/>
                </w:rPr>
                <w:t>Click or tap here to enter text.</w:t>
              </w:r>
            </w:p>
          </w:sdtContent>
        </w:sdt>
      </w:tc>
      <w:tc>
        <w:tcPr>
          <w:tcW w:w="1570" w:type="dxa"/>
          <w:shd w:val="clear" w:color="auto" w:fill="auto"/>
          <w:vAlign w:val="center"/>
        </w:tcPr>
        <w:p w14:paraId="5C893DF3" w14:textId="77777777" w:rsidR="00DB3235" w:rsidRPr="0085650F" w:rsidRDefault="00152882" w:rsidP="00E20AAF">
          <w:pPr>
            <w:pStyle w:val="CEALabel"/>
            <w:rPr>
              <w:b w:val="0"/>
              <w:color w:val="002957"/>
              <w:sz w:val="17"/>
              <w:szCs w:val="17"/>
            </w:rPr>
          </w:pPr>
          <w:r w:rsidRPr="0085650F">
            <w:rPr>
              <w:b w:val="0"/>
              <w:color w:val="002957"/>
              <w:sz w:val="17"/>
              <w:szCs w:val="17"/>
            </w:rPr>
            <w:t>Date:</w:t>
          </w:r>
        </w:p>
      </w:tc>
      <w:tc>
        <w:tcPr>
          <w:tcW w:w="2976" w:type="dxa"/>
          <w:shd w:val="clear" w:color="auto" w:fill="auto"/>
          <w:vAlign w:val="center"/>
        </w:tcPr>
        <w:p w14:paraId="181A7D4E" w14:textId="0334D006" w:rsidR="00DB3235" w:rsidRPr="00585988" w:rsidRDefault="00E704D0" w:rsidP="002D768E">
          <w:pPr>
            <w:jc w:val="left"/>
            <w:rPr>
              <w:color w:val="002957"/>
              <w:sz w:val="17"/>
              <w:szCs w:val="17"/>
            </w:rPr>
          </w:pPr>
          <w:r>
            <w:rPr>
              <w:color w:val="002957"/>
              <w:sz w:val="17"/>
              <w:szCs w:val="17"/>
            </w:rPr>
            <w:t>25-03-2025</w:t>
          </w:r>
        </w:p>
      </w:tc>
    </w:tr>
    <w:tr w:rsidR="006D28F1" w:rsidRPr="000D41DA" w14:paraId="07D47AE0" w14:textId="77777777" w:rsidTr="00240F50">
      <w:trPr>
        <w:cantSplit/>
        <w:trHeight w:hRule="exact" w:val="584"/>
      </w:trPr>
      <w:tc>
        <w:tcPr>
          <w:tcW w:w="1536" w:type="dxa"/>
          <w:shd w:val="clear" w:color="auto" w:fill="auto"/>
          <w:vAlign w:val="center"/>
        </w:tcPr>
        <w:p w14:paraId="4A965280" w14:textId="77777777" w:rsidR="00DB3235" w:rsidRPr="0085650F" w:rsidRDefault="00152882" w:rsidP="00E20AAF">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03E7DCB9" w14:textId="79C241D3" w:rsidR="00DB3235" w:rsidRPr="00585988" w:rsidRDefault="00E704D0" w:rsidP="00E86666">
          <w:pPr>
            <w:jc w:val="left"/>
            <w:rPr>
              <w:color w:val="002957"/>
              <w:sz w:val="17"/>
              <w:szCs w:val="17"/>
            </w:rPr>
          </w:pPr>
          <w:r>
            <w:rPr>
              <w:color w:val="002957"/>
              <w:sz w:val="17"/>
              <w:szCs w:val="17"/>
            </w:rPr>
            <w:t>Philippe Angelis</w:t>
          </w:r>
          <w:r w:rsidR="00DE0A2F" w:rsidRPr="00DE0A2F">
            <w:rPr>
              <w:color w:val="002957"/>
              <w:sz w:val="17"/>
              <w:szCs w:val="17"/>
            </w:rPr>
            <w:t xml:space="preserve"> </w:t>
          </w:r>
        </w:p>
      </w:tc>
      <w:tc>
        <w:tcPr>
          <w:tcW w:w="1570" w:type="dxa"/>
          <w:shd w:val="clear" w:color="auto" w:fill="auto"/>
          <w:vAlign w:val="center"/>
        </w:tcPr>
        <w:p w14:paraId="710B5A54" w14:textId="77777777" w:rsidR="00DB3235" w:rsidRPr="0085650F" w:rsidRDefault="00152882" w:rsidP="00E20AAF">
          <w:pPr>
            <w:pStyle w:val="CEALabel"/>
            <w:rPr>
              <w:b w:val="0"/>
              <w:color w:val="002957"/>
              <w:sz w:val="17"/>
              <w:szCs w:val="17"/>
            </w:rPr>
          </w:pPr>
          <w:r w:rsidRPr="0085650F">
            <w:rPr>
              <w:b w:val="0"/>
              <w:color w:val="002957"/>
              <w:sz w:val="17"/>
              <w:szCs w:val="17"/>
            </w:rPr>
            <w:t>E-mail:</w:t>
          </w:r>
        </w:p>
      </w:tc>
      <w:tc>
        <w:tcPr>
          <w:tcW w:w="2976" w:type="dxa"/>
          <w:shd w:val="clear" w:color="auto" w:fill="auto"/>
          <w:vAlign w:val="center"/>
        </w:tcPr>
        <w:p w14:paraId="5B954066" w14:textId="18616ADC" w:rsidR="00DB3235" w:rsidRPr="00585988" w:rsidRDefault="00E704D0" w:rsidP="000077F1">
          <w:pPr>
            <w:jc w:val="left"/>
            <w:rPr>
              <w:color w:val="002957"/>
              <w:sz w:val="17"/>
              <w:szCs w:val="17"/>
            </w:rPr>
          </w:pPr>
          <w:r>
            <w:rPr>
              <w:color w:val="002957"/>
              <w:sz w:val="17"/>
              <w:szCs w:val="17"/>
            </w:rPr>
            <w:t>Angelis@insuranceeurope.eu</w:t>
          </w:r>
        </w:p>
      </w:tc>
    </w:tr>
    <w:tr w:rsidR="006D28F1" w:rsidRPr="000D41DA" w14:paraId="605BBAF5" w14:textId="77777777" w:rsidTr="00240F50">
      <w:trPr>
        <w:cantSplit/>
        <w:trHeight w:hRule="exact" w:val="584"/>
      </w:trPr>
      <w:tc>
        <w:tcPr>
          <w:tcW w:w="1536" w:type="dxa"/>
          <w:shd w:val="clear" w:color="auto" w:fill="auto"/>
          <w:vAlign w:val="center"/>
        </w:tcPr>
        <w:p w14:paraId="7D7A937A" w14:textId="77777777" w:rsidR="00DB3235" w:rsidRPr="0085650F" w:rsidRDefault="00152882" w:rsidP="00E20AAF">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6278A0AF" w14:textId="77777777" w:rsidR="00DB3235" w:rsidRPr="00585988" w:rsidRDefault="00152882" w:rsidP="00E20AAF">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sidR="009F36CD">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48B95308" w14:textId="77777777" w:rsidR="00DB3235" w:rsidRPr="00585988" w:rsidRDefault="00974483" w:rsidP="001C24A2">
          <w:pPr>
            <w:ind w:right="-117"/>
            <w:rPr>
              <w:b/>
              <w:color w:val="002957"/>
              <w:sz w:val="17"/>
              <w:szCs w:val="17"/>
            </w:rPr>
          </w:pPr>
          <w:r>
            <w:rPr>
              <w:rFonts w:cs="Arial"/>
              <w:color w:val="002957"/>
              <w:sz w:val="17"/>
              <w:szCs w:val="17"/>
            </w:rPr>
            <w:t xml:space="preserve">Transparency Register </w:t>
          </w:r>
          <w:r w:rsidR="00152882" w:rsidRPr="00585988">
            <w:rPr>
              <w:rFonts w:cs="Arial"/>
              <w:color w:val="002957"/>
              <w:sz w:val="17"/>
              <w:szCs w:val="17"/>
            </w:rPr>
            <w:t>ID no.:</w:t>
          </w:r>
        </w:p>
      </w:tc>
      <w:tc>
        <w:tcPr>
          <w:tcW w:w="2976" w:type="dxa"/>
          <w:shd w:val="clear" w:color="auto" w:fill="auto"/>
          <w:vAlign w:val="center"/>
        </w:tcPr>
        <w:p w14:paraId="08B3449C" w14:textId="77777777" w:rsidR="00DB3235" w:rsidRPr="00585988" w:rsidRDefault="00152882" w:rsidP="00E20AAF">
          <w:pPr>
            <w:rPr>
              <w:color w:val="002957"/>
              <w:sz w:val="17"/>
              <w:szCs w:val="17"/>
            </w:rPr>
          </w:pPr>
          <w:r w:rsidRPr="00585988">
            <w:rPr>
              <w:rFonts w:cs="Tahoma"/>
              <w:color w:val="002957"/>
              <w:sz w:val="17"/>
              <w:szCs w:val="17"/>
            </w:rPr>
            <w:t>33213703459-54</w:t>
          </w:r>
        </w:p>
      </w:tc>
    </w:tr>
  </w:tbl>
  <w:p w14:paraId="3A20423D" w14:textId="77777777" w:rsidR="00DB3235" w:rsidRPr="000D41DA" w:rsidRDefault="00DB3235" w:rsidP="00634FC9">
    <w:pPr>
      <w:rPr>
        <w:b/>
        <w:sz w:val="22"/>
        <w:szCs w:val="22"/>
      </w:rPr>
    </w:pPr>
  </w:p>
  <w:p w14:paraId="0299F3F5" w14:textId="77777777" w:rsidR="00DB3235" w:rsidRPr="000D41DA" w:rsidRDefault="00DB3235" w:rsidP="009F1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4316812" o:spid="_x0000_i1026" type="#_x0000_t75" style="width:11.25pt;height:11.25pt;visibility:visible;mso-wrap-style:square" o:bullet="t">
        <v:imagedata r:id="rId1" o:title=""/>
      </v:shape>
    </w:pict>
  </w:numPicBullet>
  <w:numPicBullet w:numPicBulletId="1">
    <w:pict>
      <v:shape id="Picture 483822180" o:spid="_x0000_i1027" type="#_x0000_t75" style="width:7.5pt;height:7.5pt;visibility:visible;mso-wrap-style:square" o:bullet="t">
        <v:imagedata r:id="rId2" o:title=""/>
      </v:shape>
    </w:pict>
  </w:numPicBullet>
  <w:numPicBullet w:numPicBulletId="2">
    <w:pict>
      <v:shape id="Picture 298083099" o:spid="_x0000_i1028" type="#_x0000_t75" style="width:8.75pt;height:8.75pt;visibility:visible;mso-wrap-style:square" o:bullet="t">
        <v:imagedata r:id="rId3" o:title=""/>
      </v:shape>
    </w:pict>
  </w:numPicBullet>
  <w:abstractNum w:abstractNumId="0" w15:restartNumberingAfterBreak="0">
    <w:nsid w:val="1054071E"/>
    <w:multiLevelType w:val="hybridMultilevel"/>
    <w:tmpl w:val="87F2D9AA"/>
    <w:lvl w:ilvl="0" w:tplc="2FD42A22">
      <w:start w:val="165"/>
      <w:numFmt w:val="bullet"/>
      <w:pStyle w:val="IEBullet-Level2"/>
      <w:lvlText w:val=""/>
      <w:lvlJc w:val="left"/>
      <w:pPr>
        <w:ind w:left="1800" w:hanging="360"/>
      </w:pPr>
      <w:rPr>
        <w:rFonts w:ascii="Wingdings" w:hAnsi="Wingdings" w:hint="default"/>
        <w:color w:val="82C55B"/>
        <w:position w:val="-2"/>
        <w:sz w:val="22"/>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3564494">
    <w:abstractNumId w:val="2"/>
  </w:num>
  <w:num w:numId="2" w16cid:durableId="1572079407">
    <w:abstractNumId w:val="0"/>
  </w:num>
  <w:num w:numId="3" w16cid:durableId="1193609614">
    <w:abstractNumId w:val="1"/>
  </w:num>
  <w:num w:numId="4" w16cid:durableId="1679234107">
    <w:abstractNumId w:val="2"/>
  </w:num>
  <w:num w:numId="5" w16cid:durableId="1494881287">
    <w:abstractNumId w:val="0"/>
  </w:num>
  <w:num w:numId="6" w16cid:durableId="40025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17E2D"/>
    <w:rsid w:val="00020124"/>
    <w:rsid w:val="00031EE6"/>
    <w:rsid w:val="0008034A"/>
    <w:rsid w:val="000D3A9E"/>
    <w:rsid w:val="000D58F0"/>
    <w:rsid w:val="0012469D"/>
    <w:rsid w:val="00136836"/>
    <w:rsid w:val="00152882"/>
    <w:rsid w:val="0017261F"/>
    <w:rsid w:val="001B4AB3"/>
    <w:rsid w:val="00240F50"/>
    <w:rsid w:val="00261545"/>
    <w:rsid w:val="002F12C5"/>
    <w:rsid w:val="0032055A"/>
    <w:rsid w:val="00346792"/>
    <w:rsid w:val="00356201"/>
    <w:rsid w:val="003715C9"/>
    <w:rsid w:val="00382F7E"/>
    <w:rsid w:val="003B6BA7"/>
    <w:rsid w:val="003C4685"/>
    <w:rsid w:val="003D0236"/>
    <w:rsid w:val="003D2C75"/>
    <w:rsid w:val="00407B3E"/>
    <w:rsid w:val="00440FEE"/>
    <w:rsid w:val="004567EF"/>
    <w:rsid w:val="00495AC5"/>
    <w:rsid w:val="004D6D42"/>
    <w:rsid w:val="0058550B"/>
    <w:rsid w:val="005E7182"/>
    <w:rsid w:val="00621E81"/>
    <w:rsid w:val="00641A21"/>
    <w:rsid w:val="006814B9"/>
    <w:rsid w:val="00692DBA"/>
    <w:rsid w:val="006D442F"/>
    <w:rsid w:val="006E08CC"/>
    <w:rsid w:val="00716315"/>
    <w:rsid w:val="00752590"/>
    <w:rsid w:val="007748EE"/>
    <w:rsid w:val="007838AA"/>
    <w:rsid w:val="00825DAE"/>
    <w:rsid w:val="00887032"/>
    <w:rsid w:val="008A2E1B"/>
    <w:rsid w:val="008A7771"/>
    <w:rsid w:val="009728B6"/>
    <w:rsid w:val="00974483"/>
    <w:rsid w:val="009A1DEB"/>
    <w:rsid w:val="009C2B3E"/>
    <w:rsid w:val="009C50EA"/>
    <w:rsid w:val="009E13A7"/>
    <w:rsid w:val="009F36CD"/>
    <w:rsid w:val="00A2092B"/>
    <w:rsid w:val="00A4463C"/>
    <w:rsid w:val="00AD1195"/>
    <w:rsid w:val="00AD7632"/>
    <w:rsid w:val="00B01259"/>
    <w:rsid w:val="00B07945"/>
    <w:rsid w:val="00B1659F"/>
    <w:rsid w:val="00B32047"/>
    <w:rsid w:val="00B34279"/>
    <w:rsid w:val="00BB3D71"/>
    <w:rsid w:val="00BB61F5"/>
    <w:rsid w:val="00BC4E09"/>
    <w:rsid w:val="00BD3110"/>
    <w:rsid w:val="00BF11D2"/>
    <w:rsid w:val="00BF4AA7"/>
    <w:rsid w:val="00C3572E"/>
    <w:rsid w:val="00C728C8"/>
    <w:rsid w:val="00CB5FEF"/>
    <w:rsid w:val="00D54F3C"/>
    <w:rsid w:val="00D615BB"/>
    <w:rsid w:val="00D74967"/>
    <w:rsid w:val="00DA76D2"/>
    <w:rsid w:val="00DB3235"/>
    <w:rsid w:val="00DE0A2F"/>
    <w:rsid w:val="00DE43CC"/>
    <w:rsid w:val="00E41754"/>
    <w:rsid w:val="00E704D0"/>
    <w:rsid w:val="00EB4B3B"/>
    <w:rsid w:val="00EE54E4"/>
    <w:rsid w:val="00EE7603"/>
    <w:rsid w:val="00F404AB"/>
    <w:rsid w:val="00F778BB"/>
    <w:rsid w:val="00F8705B"/>
    <w:rsid w:val="00F93859"/>
    <w:rsid w:val="00F96C48"/>
    <w:rsid w:val="00FA561C"/>
    <w:rsid w:val="00FC6467"/>
    <w:rsid w:val="00FD60D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6EF7CE9"/>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paragraph" w:styleId="Nadpis3">
    <w:name w:val="heading 3"/>
    <w:basedOn w:val="Normlny"/>
    <w:next w:val="Normlny"/>
    <w:link w:val="Nadpis3Char"/>
    <w:qFormat/>
    <w:rsid w:val="00641A21"/>
    <w:pPr>
      <w:keepNext/>
      <w:spacing w:line="240" w:lineRule="auto"/>
      <w:outlineLvl w:val="2"/>
    </w:pPr>
    <w:rPr>
      <w:rFonts w:ascii="Cambria" w:hAnsi="Cambria" w:cs="Arial"/>
      <w:bCs/>
      <w:color w:val="456493"/>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DE43CC"/>
    <w:pPr>
      <w:numPr>
        <w:numId w:val="4"/>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DE43CC"/>
    <w:pPr>
      <w:numPr>
        <w:numId w:val="5"/>
      </w:numPr>
    </w:pPr>
  </w:style>
  <w:style w:type="paragraph" w:customStyle="1" w:styleId="IEBullet-Level3">
    <w:name w:val="IE Bullet - Level 3"/>
    <w:basedOn w:val="Normlny"/>
    <w:qFormat/>
    <w:rsid w:val="00DE43CC"/>
    <w:pPr>
      <w:numPr>
        <w:numId w:val="6"/>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IEGraphTitle">
    <w:name w:val="IE Graph Title"/>
    <w:uiPriority w:val="1"/>
    <w:qFormat/>
    <w:rsid w:val="00825DAE"/>
    <w:rPr>
      <w:rFonts w:ascii="Verdana" w:hAnsi="Verdana"/>
      <w:smallCaps w:val="0"/>
      <w:sz w:val="19"/>
      <w:lang w:val="en-GB"/>
    </w:rPr>
  </w:style>
  <w:style w:type="character" w:customStyle="1" w:styleId="IEGraphX">
    <w:name w:val="IE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table" w:styleId="Mriekatabuky">
    <w:name w:val="Table Grid"/>
    <w:basedOn w:val="Normlnatabuka"/>
    <w:uiPriority w:val="59"/>
    <w:rsid w:val="00124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748EE"/>
    <w:rPr>
      <w:color w:val="0000FF" w:themeColor="hyperlink"/>
      <w:u w:val="single"/>
    </w:rPr>
  </w:style>
  <w:style w:type="character" w:styleId="Nevyrieenzmienka">
    <w:name w:val="Unresolved Mention"/>
    <w:basedOn w:val="Predvolenpsmoodseku"/>
    <w:uiPriority w:val="99"/>
    <w:semiHidden/>
    <w:unhideWhenUsed/>
    <w:rsid w:val="007748EE"/>
    <w:rPr>
      <w:color w:val="605E5C"/>
      <w:shd w:val="clear" w:color="auto" w:fill="E1DFDD"/>
    </w:rPr>
  </w:style>
  <w:style w:type="character" w:customStyle="1" w:styleId="IEBullet-Level1Char">
    <w:name w:val="IE Bullet - Level 1 Char"/>
    <w:link w:val="IEBullet-Level1"/>
    <w:locked/>
    <w:rsid w:val="00DE43CC"/>
    <w:rPr>
      <w:rFonts w:ascii="Verdana" w:eastAsia="Times New Roman" w:hAnsi="Verdana" w:cs="Frutiger LT Std 45 Light"/>
      <w:color w:val="000000"/>
      <w:sz w:val="17"/>
      <w:szCs w:val="20"/>
      <w:lang w:val="en-GB"/>
    </w:rPr>
  </w:style>
  <w:style w:type="character" w:customStyle="1" w:styleId="Nadpis3Char">
    <w:name w:val="Nadpis 3 Char"/>
    <w:basedOn w:val="Predvolenpsmoodseku"/>
    <w:link w:val="Nadpis3"/>
    <w:rsid w:val="00641A21"/>
    <w:rPr>
      <w:rFonts w:ascii="Cambria" w:eastAsia="Times New Roman" w:hAnsi="Cambria" w:cs="Arial"/>
      <w:bCs/>
      <w:color w:val="456493"/>
      <w:szCs w:val="26"/>
      <w:lang w:val="en-GB"/>
    </w:rPr>
  </w:style>
  <w:style w:type="character" w:styleId="Odkaznakomentr">
    <w:name w:val="annotation reference"/>
    <w:semiHidden/>
    <w:rsid w:val="00641A21"/>
    <w:rPr>
      <w:sz w:val="16"/>
      <w:szCs w:val="16"/>
    </w:rPr>
  </w:style>
  <w:style w:type="paragraph" w:styleId="Textkomentra">
    <w:name w:val="annotation text"/>
    <w:basedOn w:val="Normlny"/>
    <w:link w:val="TextkomentraChar"/>
    <w:semiHidden/>
    <w:rsid w:val="00641A21"/>
    <w:rPr>
      <w:rFonts w:ascii="Cambria" w:hAnsi="Cambria"/>
      <w:sz w:val="20"/>
      <w:szCs w:val="20"/>
    </w:rPr>
  </w:style>
  <w:style w:type="character" w:customStyle="1" w:styleId="TextkomentraChar">
    <w:name w:val="Text komentára Char"/>
    <w:basedOn w:val="Predvolenpsmoodseku"/>
    <w:link w:val="Textkomentra"/>
    <w:semiHidden/>
    <w:rsid w:val="00641A21"/>
    <w:rPr>
      <w:rFonts w:ascii="Cambria" w:eastAsia="Times New Roman" w:hAnsi="Cambri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4995">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info@insuranceeurop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03175A-9402-4B30-B3A5-FCC1C0934D84}"/>
      </w:docPartPr>
      <w:docPartBody>
        <w:p w:rsidR="00427EDA" w:rsidRDefault="009C6847">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970"/>
    <w:rsid w:val="00067782"/>
    <w:rsid w:val="000F1CB6"/>
    <w:rsid w:val="001356E3"/>
    <w:rsid w:val="00427EDA"/>
    <w:rsid w:val="004567EF"/>
    <w:rsid w:val="0057158E"/>
    <w:rsid w:val="00634188"/>
    <w:rsid w:val="006A572F"/>
    <w:rsid w:val="006E08CC"/>
    <w:rsid w:val="007838AA"/>
    <w:rsid w:val="007865D3"/>
    <w:rsid w:val="009C6847"/>
    <w:rsid w:val="009E13A7"/>
    <w:rsid w:val="00A307CB"/>
    <w:rsid w:val="00A92D08"/>
    <w:rsid w:val="00AF50EC"/>
    <w:rsid w:val="00BB61F5"/>
    <w:rsid w:val="00E401F3"/>
    <w:rsid w:val="00F36970"/>
    <w:rsid w:val="00F633AE"/>
    <w:rsid w:val="00F6790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6970"/>
    <w:rPr>
      <w:rFonts w:cs="Times New Roman"/>
      <w:sz w:val="3276"/>
      <w:szCs w:val="327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C684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63ba4a142953e3874a4f611ac23dcbee">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a7f008d25419cfd282394c9e489fe384"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0DC3C-DEE0-460C-B589-0465E6B44180}">
  <ds:schemaRefs>
    <ds:schemaRef ds:uri="http://schemas.openxmlformats.org/officeDocument/2006/bibliography"/>
  </ds:schemaRefs>
</ds:datastoreItem>
</file>

<file path=customXml/itemProps2.xml><?xml version="1.0" encoding="utf-8"?>
<ds:datastoreItem xmlns:ds="http://schemas.openxmlformats.org/officeDocument/2006/customXml" ds:itemID="{B35485A1-11AA-442D-8577-727460E39C5A}">
  <ds:schemaRefs>
    <ds:schemaRef ds:uri="http://purl.org/dc/elements/1.1/"/>
    <ds:schemaRef ds:uri="http://schemas.microsoft.com/office/2006/documentManagement/types"/>
    <ds:schemaRef ds:uri="http://purl.org/dc/terms/"/>
    <ds:schemaRef ds:uri="efa07f0a-2279-4397-9381-96c735bff43a"/>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ddee4349-d6c5-476b-a1c6-d791a1a12d6c"/>
  </ds:schemaRefs>
</ds:datastoreItem>
</file>

<file path=customXml/itemProps3.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4.xml><?xml version="1.0" encoding="utf-8"?>
<ds:datastoreItem xmlns:ds="http://schemas.openxmlformats.org/officeDocument/2006/customXml" ds:itemID="{EB9DCF0D-86C6-44EB-96D9-48C1D4621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efa07f0a-2279-4397-9381-96c735bf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Insurance Europe</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technical response to EU Taxonomy level 2 consultation</dc:title>
  <dc:creator>Insurance Europe</dc:creator>
  <cp:lastModifiedBy>jozef.bachnicek</cp:lastModifiedBy>
  <cp:revision>2</cp:revision>
  <dcterms:created xsi:type="dcterms:W3CDTF">2025-03-26T07:30:00Z</dcterms:created>
  <dcterms:modified xsi:type="dcterms:W3CDTF">2025-03-26T07:30:00Z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53f2ccfc-cb5c-4b2a-a083-e4a7e98f292e</vt:lpwstr>
  </property>
</Properties>
</file>