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0818A" w14:textId="14D37F00" w:rsidR="00B54882" w:rsidRDefault="00A45686" w:rsidP="00A45686">
      <w:pPr>
        <w:jc w:val="center"/>
        <w:rPr>
          <w:b/>
          <w:bCs/>
          <w:sz w:val="28"/>
          <w:szCs w:val="28"/>
          <w:lang w:val="en-IE"/>
        </w:rPr>
      </w:pPr>
      <w:r w:rsidRPr="00A45686">
        <w:rPr>
          <w:b/>
          <w:bCs/>
          <w:sz w:val="28"/>
          <w:szCs w:val="28"/>
          <w:lang w:val="en-IE"/>
        </w:rPr>
        <w:t>Template for comments on draft ESRS Delegated Act</w:t>
      </w:r>
    </w:p>
    <w:p w14:paraId="311A02B8" w14:textId="267B994D" w:rsidR="002C1E69" w:rsidRDefault="002C1E69" w:rsidP="00E77D42">
      <w:pPr>
        <w:rPr>
          <w:sz w:val="24"/>
          <w:szCs w:val="24"/>
          <w:lang w:val="en-IE"/>
        </w:rPr>
      </w:pPr>
      <w:r w:rsidRPr="002C1E69">
        <w:rPr>
          <w:sz w:val="24"/>
          <w:szCs w:val="24"/>
          <w:lang w:val="en-IE"/>
        </w:rPr>
        <w:t xml:space="preserve">The draft delegated </w:t>
      </w:r>
      <w:r>
        <w:rPr>
          <w:sz w:val="24"/>
          <w:szCs w:val="24"/>
          <w:lang w:val="en-IE"/>
        </w:rPr>
        <w:t>on European Sustainability Reporting Standards</w:t>
      </w:r>
      <w:r w:rsidR="00A24669">
        <w:rPr>
          <w:sz w:val="24"/>
          <w:szCs w:val="24"/>
          <w:lang w:val="en-IE"/>
        </w:rPr>
        <w:t xml:space="preserve"> (ESRS)</w:t>
      </w:r>
      <w:r>
        <w:rPr>
          <w:sz w:val="24"/>
          <w:szCs w:val="24"/>
          <w:lang w:val="en-IE"/>
        </w:rPr>
        <w:t xml:space="preserve"> comprises: the main text of the legal act; twelve draft standards</w:t>
      </w:r>
      <w:r w:rsidR="00A24669">
        <w:rPr>
          <w:sz w:val="24"/>
          <w:szCs w:val="24"/>
          <w:lang w:val="en-IE"/>
        </w:rPr>
        <w:t xml:space="preserve"> (annex I); and </w:t>
      </w:r>
      <w:r w:rsidR="00A24669" w:rsidRPr="00A24669">
        <w:rPr>
          <w:sz w:val="24"/>
          <w:szCs w:val="24"/>
          <w:lang w:val="en-IE"/>
        </w:rPr>
        <w:t>a glossary of abbreviations and defined terms</w:t>
      </w:r>
      <w:r w:rsidR="00A24669">
        <w:rPr>
          <w:sz w:val="24"/>
          <w:szCs w:val="24"/>
          <w:lang w:val="en-IE"/>
        </w:rPr>
        <w:t xml:space="preserve"> (</w:t>
      </w:r>
      <w:r w:rsidR="00A24669" w:rsidRPr="00A24669">
        <w:rPr>
          <w:sz w:val="24"/>
          <w:szCs w:val="24"/>
          <w:lang w:val="en-IE"/>
        </w:rPr>
        <w:t>annex II</w:t>
      </w:r>
      <w:r w:rsidR="00A24669">
        <w:rPr>
          <w:sz w:val="24"/>
          <w:szCs w:val="24"/>
          <w:lang w:val="en-IE"/>
        </w:rPr>
        <w:t>)</w:t>
      </w:r>
      <w:r w:rsidR="00A24669" w:rsidRPr="00A24669">
        <w:rPr>
          <w:sz w:val="24"/>
          <w:szCs w:val="24"/>
          <w:lang w:val="en-IE"/>
        </w:rPr>
        <w:t>.</w:t>
      </w:r>
    </w:p>
    <w:p w14:paraId="6EB4E481" w14:textId="4EE8FDFD" w:rsidR="00A24669" w:rsidRDefault="00A24669" w:rsidP="00E77D42">
      <w:pPr>
        <w:rPr>
          <w:sz w:val="24"/>
          <w:szCs w:val="24"/>
          <w:lang w:val="en-IE"/>
        </w:rPr>
      </w:pPr>
      <w:r>
        <w:rPr>
          <w:sz w:val="24"/>
          <w:szCs w:val="24"/>
          <w:lang w:val="en-IE"/>
        </w:rPr>
        <w:t xml:space="preserve">The twelve draft standards in </w:t>
      </w:r>
      <w:r w:rsidR="008A6F93">
        <w:rPr>
          <w:sz w:val="24"/>
          <w:szCs w:val="24"/>
          <w:lang w:val="en-IE"/>
        </w:rPr>
        <w:t>A</w:t>
      </w:r>
      <w:r>
        <w:rPr>
          <w:sz w:val="24"/>
          <w:szCs w:val="24"/>
          <w:lang w:val="en-IE"/>
        </w:rPr>
        <w:t>nnex I are:</w:t>
      </w:r>
    </w:p>
    <w:tbl>
      <w:tblPr>
        <w:tblStyle w:val="Mriekatabuky"/>
        <w:tblW w:w="0" w:type="auto"/>
        <w:tblInd w:w="108" w:type="dxa"/>
        <w:tblLook w:val="04A0" w:firstRow="1" w:lastRow="0" w:firstColumn="1" w:lastColumn="0" w:noHBand="0" w:noVBand="1"/>
      </w:tblPr>
      <w:tblGrid>
        <w:gridCol w:w="1701"/>
        <w:gridCol w:w="1418"/>
        <w:gridCol w:w="3935"/>
      </w:tblGrid>
      <w:tr w:rsidR="002C1E69" w14:paraId="2A6D7CF9" w14:textId="77777777" w:rsidTr="00966BD2">
        <w:tc>
          <w:tcPr>
            <w:tcW w:w="1701" w:type="dxa"/>
            <w:shd w:val="clear" w:color="auto" w:fill="D9D9D9" w:themeFill="background1" w:themeFillShade="D9"/>
          </w:tcPr>
          <w:p w14:paraId="4370441C" w14:textId="77777777" w:rsidR="002C1E69" w:rsidRPr="00665FC3" w:rsidRDefault="002C1E69" w:rsidP="00966BD2">
            <w:pPr>
              <w:rPr>
                <w:b/>
                <w:bCs/>
                <w:sz w:val="24"/>
                <w:szCs w:val="24"/>
                <w:lang w:val="en-IE"/>
              </w:rPr>
            </w:pPr>
            <w:r w:rsidRPr="00665FC3">
              <w:rPr>
                <w:b/>
                <w:bCs/>
                <w:sz w:val="24"/>
                <w:szCs w:val="24"/>
                <w:lang w:val="en-IE"/>
              </w:rPr>
              <w:t>Group</w:t>
            </w:r>
          </w:p>
        </w:tc>
        <w:tc>
          <w:tcPr>
            <w:tcW w:w="1418" w:type="dxa"/>
            <w:shd w:val="clear" w:color="auto" w:fill="D9D9D9" w:themeFill="background1" w:themeFillShade="D9"/>
          </w:tcPr>
          <w:p w14:paraId="44F1B06D" w14:textId="77777777" w:rsidR="002C1E69" w:rsidRPr="00665FC3" w:rsidRDefault="002C1E69" w:rsidP="00966BD2">
            <w:pPr>
              <w:rPr>
                <w:b/>
                <w:bCs/>
                <w:sz w:val="24"/>
                <w:szCs w:val="24"/>
                <w:lang w:val="en-IE"/>
              </w:rPr>
            </w:pPr>
            <w:r w:rsidRPr="00665FC3">
              <w:rPr>
                <w:b/>
                <w:bCs/>
                <w:sz w:val="24"/>
                <w:szCs w:val="24"/>
                <w:lang w:val="en-IE"/>
              </w:rPr>
              <w:t>Number</w:t>
            </w:r>
          </w:p>
        </w:tc>
        <w:tc>
          <w:tcPr>
            <w:tcW w:w="3935" w:type="dxa"/>
            <w:shd w:val="clear" w:color="auto" w:fill="D9D9D9" w:themeFill="background1" w:themeFillShade="D9"/>
          </w:tcPr>
          <w:p w14:paraId="070A1FAA" w14:textId="77777777" w:rsidR="002C1E69" w:rsidRPr="00665FC3" w:rsidRDefault="002C1E69" w:rsidP="00966BD2">
            <w:pPr>
              <w:rPr>
                <w:b/>
                <w:bCs/>
                <w:sz w:val="24"/>
                <w:szCs w:val="24"/>
                <w:lang w:val="en-IE"/>
              </w:rPr>
            </w:pPr>
            <w:r>
              <w:rPr>
                <w:b/>
                <w:bCs/>
                <w:sz w:val="24"/>
                <w:szCs w:val="24"/>
                <w:lang w:val="en-IE"/>
              </w:rPr>
              <w:t>Subject</w:t>
            </w:r>
          </w:p>
        </w:tc>
      </w:tr>
      <w:tr w:rsidR="002C1E69" w14:paraId="78241869" w14:textId="77777777" w:rsidTr="00966BD2">
        <w:tc>
          <w:tcPr>
            <w:tcW w:w="1701" w:type="dxa"/>
          </w:tcPr>
          <w:p w14:paraId="4560297C" w14:textId="77777777" w:rsidR="002C1E69" w:rsidRPr="00665FC3" w:rsidRDefault="002C1E69" w:rsidP="00966BD2">
            <w:pPr>
              <w:rPr>
                <w:sz w:val="24"/>
                <w:szCs w:val="24"/>
                <w:lang w:val="en-IE"/>
              </w:rPr>
            </w:pPr>
            <w:r w:rsidRPr="00665FC3">
              <w:rPr>
                <w:sz w:val="24"/>
                <w:szCs w:val="24"/>
                <w:lang w:val="en-IE"/>
              </w:rPr>
              <w:t>Cross-cutting</w:t>
            </w:r>
          </w:p>
        </w:tc>
        <w:tc>
          <w:tcPr>
            <w:tcW w:w="1418" w:type="dxa"/>
          </w:tcPr>
          <w:p w14:paraId="15244966" w14:textId="77777777" w:rsidR="002C1E69" w:rsidRPr="00665FC3" w:rsidRDefault="002C1E69" w:rsidP="00D45D50">
            <w:pPr>
              <w:rPr>
                <w:sz w:val="24"/>
                <w:szCs w:val="24"/>
                <w:lang w:val="en-IE"/>
              </w:rPr>
            </w:pPr>
            <w:r w:rsidRPr="00665FC3">
              <w:rPr>
                <w:sz w:val="24"/>
                <w:szCs w:val="24"/>
                <w:lang w:val="en-IE"/>
              </w:rPr>
              <w:t xml:space="preserve">ESRS1 </w:t>
            </w:r>
          </w:p>
        </w:tc>
        <w:tc>
          <w:tcPr>
            <w:tcW w:w="3935" w:type="dxa"/>
          </w:tcPr>
          <w:p w14:paraId="2C208F3E" w14:textId="77777777" w:rsidR="002C1E69" w:rsidRPr="00665FC3" w:rsidRDefault="002C1E69" w:rsidP="00D45D50">
            <w:pPr>
              <w:rPr>
                <w:sz w:val="24"/>
                <w:szCs w:val="24"/>
                <w:lang w:val="en-IE"/>
              </w:rPr>
            </w:pPr>
            <w:r w:rsidRPr="00665FC3">
              <w:rPr>
                <w:sz w:val="24"/>
                <w:szCs w:val="24"/>
                <w:lang w:val="en-IE"/>
              </w:rPr>
              <w:t>General Requirements</w:t>
            </w:r>
          </w:p>
        </w:tc>
      </w:tr>
      <w:tr w:rsidR="002C1E69" w14:paraId="6A1D93CA" w14:textId="77777777" w:rsidTr="00966BD2">
        <w:tc>
          <w:tcPr>
            <w:tcW w:w="1701" w:type="dxa"/>
          </w:tcPr>
          <w:p w14:paraId="1BC95AA6" w14:textId="77777777" w:rsidR="002C1E69" w:rsidRPr="00665FC3" w:rsidRDefault="002C1E69" w:rsidP="00966BD2">
            <w:pPr>
              <w:rPr>
                <w:sz w:val="24"/>
                <w:szCs w:val="24"/>
                <w:lang w:val="en-IE"/>
              </w:rPr>
            </w:pPr>
            <w:r w:rsidRPr="00665FC3">
              <w:rPr>
                <w:sz w:val="24"/>
                <w:szCs w:val="24"/>
                <w:lang w:val="en-IE"/>
              </w:rPr>
              <w:t>Cross-cutting</w:t>
            </w:r>
          </w:p>
        </w:tc>
        <w:tc>
          <w:tcPr>
            <w:tcW w:w="1418" w:type="dxa"/>
          </w:tcPr>
          <w:p w14:paraId="16A7585E" w14:textId="77777777" w:rsidR="002C1E69" w:rsidRPr="00665FC3" w:rsidRDefault="002C1E69" w:rsidP="00D45D50">
            <w:pPr>
              <w:rPr>
                <w:sz w:val="24"/>
                <w:szCs w:val="24"/>
                <w:lang w:val="en-IE"/>
              </w:rPr>
            </w:pPr>
            <w:r w:rsidRPr="00665FC3">
              <w:rPr>
                <w:sz w:val="24"/>
                <w:szCs w:val="24"/>
                <w:lang w:val="en-IE"/>
              </w:rPr>
              <w:t xml:space="preserve">ESRS2 </w:t>
            </w:r>
          </w:p>
        </w:tc>
        <w:tc>
          <w:tcPr>
            <w:tcW w:w="3935" w:type="dxa"/>
          </w:tcPr>
          <w:p w14:paraId="2CF5BB42" w14:textId="77777777" w:rsidR="002C1E69" w:rsidRPr="00665FC3" w:rsidRDefault="002C1E69" w:rsidP="00D45D50">
            <w:pPr>
              <w:rPr>
                <w:sz w:val="24"/>
                <w:szCs w:val="24"/>
                <w:lang w:val="en-IE"/>
              </w:rPr>
            </w:pPr>
            <w:r w:rsidRPr="00665FC3">
              <w:rPr>
                <w:sz w:val="24"/>
                <w:szCs w:val="24"/>
                <w:lang w:val="en-IE"/>
              </w:rPr>
              <w:t>General Disclosures</w:t>
            </w:r>
          </w:p>
        </w:tc>
      </w:tr>
      <w:tr w:rsidR="002C1E69" w14:paraId="27DD7F15" w14:textId="77777777" w:rsidTr="00966BD2">
        <w:tc>
          <w:tcPr>
            <w:tcW w:w="1701" w:type="dxa"/>
            <w:shd w:val="clear" w:color="auto" w:fill="D6E3BC" w:themeFill="accent3" w:themeFillTint="66"/>
          </w:tcPr>
          <w:p w14:paraId="0BBB8ACC" w14:textId="77777777" w:rsidR="002C1E69" w:rsidRPr="00665FC3" w:rsidRDefault="002C1E69" w:rsidP="00966BD2">
            <w:pPr>
              <w:rPr>
                <w:sz w:val="24"/>
                <w:szCs w:val="24"/>
                <w:lang w:val="en-IE"/>
              </w:rPr>
            </w:pPr>
            <w:r w:rsidRPr="00665FC3">
              <w:rPr>
                <w:sz w:val="24"/>
                <w:szCs w:val="24"/>
                <w:lang w:val="en-IE"/>
              </w:rPr>
              <w:t>Environment</w:t>
            </w:r>
          </w:p>
        </w:tc>
        <w:tc>
          <w:tcPr>
            <w:tcW w:w="1418" w:type="dxa"/>
            <w:shd w:val="clear" w:color="auto" w:fill="D6E3BC" w:themeFill="accent3" w:themeFillTint="66"/>
          </w:tcPr>
          <w:p w14:paraId="34C8627E" w14:textId="77777777" w:rsidR="002C1E69" w:rsidRPr="00665FC3" w:rsidRDefault="002C1E69" w:rsidP="00D45D50">
            <w:pPr>
              <w:rPr>
                <w:sz w:val="24"/>
                <w:szCs w:val="24"/>
                <w:lang w:val="en-IE"/>
              </w:rPr>
            </w:pPr>
            <w:r w:rsidRPr="00665FC3">
              <w:rPr>
                <w:sz w:val="24"/>
                <w:szCs w:val="24"/>
                <w:lang w:val="en-IE"/>
              </w:rPr>
              <w:t xml:space="preserve">ESRS E1 </w:t>
            </w:r>
          </w:p>
        </w:tc>
        <w:tc>
          <w:tcPr>
            <w:tcW w:w="3935" w:type="dxa"/>
            <w:shd w:val="clear" w:color="auto" w:fill="D6E3BC" w:themeFill="accent3" w:themeFillTint="66"/>
          </w:tcPr>
          <w:p w14:paraId="06773FF6" w14:textId="77777777" w:rsidR="002C1E69" w:rsidRPr="00665FC3" w:rsidRDefault="002C1E69" w:rsidP="00D45D50">
            <w:pPr>
              <w:rPr>
                <w:sz w:val="24"/>
                <w:szCs w:val="24"/>
                <w:lang w:val="en-IE"/>
              </w:rPr>
            </w:pPr>
            <w:r w:rsidRPr="00665FC3">
              <w:rPr>
                <w:sz w:val="24"/>
                <w:szCs w:val="24"/>
                <w:lang w:val="en-IE"/>
              </w:rPr>
              <w:t>Climate</w:t>
            </w:r>
          </w:p>
        </w:tc>
      </w:tr>
      <w:tr w:rsidR="002C1E69" w14:paraId="4EFCDB43" w14:textId="77777777" w:rsidTr="00966BD2">
        <w:tc>
          <w:tcPr>
            <w:tcW w:w="1701" w:type="dxa"/>
            <w:shd w:val="clear" w:color="auto" w:fill="D6E3BC" w:themeFill="accent3" w:themeFillTint="66"/>
          </w:tcPr>
          <w:p w14:paraId="776123BD" w14:textId="77777777" w:rsidR="002C1E69" w:rsidRPr="00665FC3" w:rsidRDefault="002C1E69" w:rsidP="00966BD2">
            <w:pPr>
              <w:rPr>
                <w:sz w:val="24"/>
                <w:szCs w:val="24"/>
                <w:lang w:val="en-IE"/>
              </w:rPr>
            </w:pPr>
            <w:r w:rsidRPr="00665FC3">
              <w:rPr>
                <w:sz w:val="24"/>
                <w:szCs w:val="24"/>
              </w:rPr>
              <w:t>Environment</w:t>
            </w:r>
          </w:p>
        </w:tc>
        <w:tc>
          <w:tcPr>
            <w:tcW w:w="1418" w:type="dxa"/>
            <w:shd w:val="clear" w:color="auto" w:fill="D6E3BC" w:themeFill="accent3" w:themeFillTint="66"/>
          </w:tcPr>
          <w:p w14:paraId="64A50511" w14:textId="77777777" w:rsidR="002C1E69" w:rsidRPr="00665FC3" w:rsidRDefault="002C1E69" w:rsidP="00D45D50">
            <w:pPr>
              <w:rPr>
                <w:sz w:val="24"/>
                <w:szCs w:val="24"/>
                <w:lang w:val="en-IE"/>
              </w:rPr>
            </w:pPr>
            <w:r w:rsidRPr="00665FC3">
              <w:rPr>
                <w:sz w:val="24"/>
                <w:szCs w:val="24"/>
                <w:lang w:val="en-IE"/>
              </w:rPr>
              <w:t xml:space="preserve">ESRS E2 </w:t>
            </w:r>
          </w:p>
        </w:tc>
        <w:tc>
          <w:tcPr>
            <w:tcW w:w="3935" w:type="dxa"/>
            <w:shd w:val="clear" w:color="auto" w:fill="D6E3BC" w:themeFill="accent3" w:themeFillTint="66"/>
          </w:tcPr>
          <w:p w14:paraId="29C03D4F" w14:textId="77777777" w:rsidR="002C1E69" w:rsidRPr="00665FC3" w:rsidRDefault="002C1E69" w:rsidP="00D45D50">
            <w:pPr>
              <w:rPr>
                <w:sz w:val="24"/>
                <w:szCs w:val="24"/>
                <w:lang w:val="en-IE"/>
              </w:rPr>
            </w:pPr>
            <w:r w:rsidRPr="00665FC3">
              <w:rPr>
                <w:sz w:val="24"/>
                <w:szCs w:val="24"/>
                <w:lang w:val="en-IE"/>
              </w:rPr>
              <w:t>Pollution</w:t>
            </w:r>
          </w:p>
        </w:tc>
      </w:tr>
      <w:tr w:rsidR="002C1E69" w14:paraId="56FBC7EC" w14:textId="77777777" w:rsidTr="00966BD2">
        <w:tc>
          <w:tcPr>
            <w:tcW w:w="1701" w:type="dxa"/>
            <w:shd w:val="clear" w:color="auto" w:fill="D6E3BC" w:themeFill="accent3" w:themeFillTint="66"/>
          </w:tcPr>
          <w:p w14:paraId="557471D4" w14:textId="77777777" w:rsidR="002C1E69" w:rsidRPr="00665FC3" w:rsidRDefault="002C1E69" w:rsidP="00966BD2">
            <w:pPr>
              <w:rPr>
                <w:sz w:val="24"/>
                <w:szCs w:val="24"/>
                <w:lang w:val="en-IE"/>
              </w:rPr>
            </w:pPr>
            <w:r w:rsidRPr="00665FC3">
              <w:rPr>
                <w:sz w:val="24"/>
                <w:szCs w:val="24"/>
              </w:rPr>
              <w:t>Environment</w:t>
            </w:r>
          </w:p>
        </w:tc>
        <w:tc>
          <w:tcPr>
            <w:tcW w:w="1418" w:type="dxa"/>
            <w:shd w:val="clear" w:color="auto" w:fill="D6E3BC" w:themeFill="accent3" w:themeFillTint="66"/>
          </w:tcPr>
          <w:p w14:paraId="6F3FBFB5" w14:textId="77777777" w:rsidR="002C1E69" w:rsidRPr="00665FC3" w:rsidRDefault="002C1E69" w:rsidP="00D45D50">
            <w:pPr>
              <w:rPr>
                <w:sz w:val="24"/>
                <w:szCs w:val="24"/>
                <w:lang w:val="en-IE"/>
              </w:rPr>
            </w:pPr>
            <w:r w:rsidRPr="00665FC3">
              <w:rPr>
                <w:sz w:val="24"/>
                <w:szCs w:val="24"/>
                <w:lang w:val="en-IE"/>
              </w:rPr>
              <w:t xml:space="preserve">ESRS E3 </w:t>
            </w:r>
          </w:p>
        </w:tc>
        <w:tc>
          <w:tcPr>
            <w:tcW w:w="3935" w:type="dxa"/>
            <w:shd w:val="clear" w:color="auto" w:fill="D6E3BC" w:themeFill="accent3" w:themeFillTint="66"/>
          </w:tcPr>
          <w:p w14:paraId="7BAA7FF5" w14:textId="77777777" w:rsidR="002C1E69" w:rsidRPr="00665FC3" w:rsidRDefault="002C1E69" w:rsidP="00D45D50">
            <w:pPr>
              <w:rPr>
                <w:sz w:val="24"/>
                <w:szCs w:val="24"/>
                <w:lang w:val="en-IE"/>
              </w:rPr>
            </w:pPr>
            <w:r w:rsidRPr="00665FC3">
              <w:rPr>
                <w:sz w:val="24"/>
                <w:szCs w:val="24"/>
                <w:lang w:val="en-IE"/>
              </w:rPr>
              <w:t>Water and marine resources</w:t>
            </w:r>
          </w:p>
        </w:tc>
      </w:tr>
      <w:tr w:rsidR="002C1E69" w14:paraId="03DBD124" w14:textId="77777777" w:rsidTr="00966BD2">
        <w:tc>
          <w:tcPr>
            <w:tcW w:w="1701" w:type="dxa"/>
            <w:shd w:val="clear" w:color="auto" w:fill="D6E3BC" w:themeFill="accent3" w:themeFillTint="66"/>
          </w:tcPr>
          <w:p w14:paraId="1431948F" w14:textId="77777777" w:rsidR="002C1E69" w:rsidRPr="00665FC3" w:rsidRDefault="002C1E69" w:rsidP="00966BD2">
            <w:pPr>
              <w:rPr>
                <w:sz w:val="24"/>
                <w:szCs w:val="24"/>
                <w:lang w:val="en-IE"/>
              </w:rPr>
            </w:pPr>
            <w:r w:rsidRPr="00665FC3">
              <w:rPr>
                <w:sz w:val="24"/>
                <w:szCs w:val="24"/>
              </w:rPr>
              <w:t>Environment</w:t>
            </w:r>
          </w:p>
        </w:tc>
        <w:tc>
          <w:tcPr>
            <w:tcW w:w="1418" w:type="dxa"/>
            <w:shd w:val="clear" w:color="auto" w:fill="D6E3BC" w:themeFill="accent3" w:themeFillTint="66"/>
          </w:tcPr>
          <w:p w14:paraId="4D1CF409" w14:textId="77777777" w:rsidR="002C1E69" w:rsidRPr="00665FC3" w:rsidRDefault="002C1E69" w:rsidP="00D45D50">
            <w:pPr>
              <w:rPr>
                <w:sz w:val="24"/>
                <w:szCs w:val="24"/>
                <w:lang w:val="en-IE"/>
              </w:rPr>
            </w:pPr>
            <w:r w:rsidRPr="00665FC3">
              <w:rPr>
                <w:sz w:val="24"/>
                <w:szCs w:val="24"/>
                <w:lang w:val="en-IE"/>
              </w:rPr>
              <w:t xml:space="preserve">ESRS E4 </w:t>
            </w:r>
          </w:p>
        </w:tc>
        <w:tc>
          <w:tcPr>
            <w:tcW w:w="3935" w:type="dxa"/>
            <w:shd w:val="clear" w:color="auto" w:fill="D6E3BC" w:themeFill="accent3" w:themeFillTint="66"/>
          </w:tcPr>
          <w:p w14:paraId="6ACADF0C" w14:textId="77777777" w:rsidR="002C1E69" w:rsidRPr="00665FC3" w:rsidRDefault="002C1E69" w:rsidP="00D45D50">
            <w:pPr>
              <w:rPr>
                <w:sz w:val="24"/>
                <w:szCs w:val="24"/>
                <w:lang w:val="en-IE"/>
              </w:rPr>
            </w:pPr>
            <w:r w:rsidRPr="00665FC3">
              <w:rPr>
                <w:sz w:val="24"/>
                <w:szCs w:val="24"/>
                <w:lang w:val="en-IE"/>
              </w:rPr>
              <w:t>Biodiversity and ecosystems</w:t>
            </w:r>
          </w:p>
        </w:tc>
      </w:tr>
      <w:tr w:rsidR="002C1E69" w14:paraId="7C7D5E02" w14:textId="77777777" w:rsidTr="00966BD2">
        <w:tc>
          <w:tcPr>
            <w:tcW w:w="1701" w:type="dxa"/>
            <w:shd w:val="clear" w:color="auto" w:fill="D6E3BC" w:themeFill="accent3" w:themeFillTint="66"/>
          </w:tcPr>
          <w:p w14:paraId="22F2F645" w14:textId="77777777" w:rsidR="002C1E69" w:rsidRPr="00665FC3" w:rsidRDefault="002C1E69" w:rsidP="00966BD2">
            <w:pPr>
              <w:rPr>
                <w:sz w:val="24"/>
                <w:szCs w:val="24"/>
                <w:lang w:val="en-IE"/>
              </w:rPr>
            </w:pPr>
            <w:r w:rsidRPr="00665FC3">
              <w:rPr>
                <w:sz w:val="24"/>
                <w:szCs w:val="24"/>
              </w:rPr>
              <w:t>Environment</w:t>
            </w:r>
          </w:p>
        </w:tc>
        <w:tc>
          <w:tcPr>
            <w:tcW w:w="1418" w:type="dxa"/>
            <w:shd w:val="clear" w:color="auto" w:fill="D6E3BC" w:themeFill="accent3" w:themeFillTint="66"/>
          </w:tcPr>
          <w:p w14:paraId="5DDE84A4" w14:textId="77777777" w:rsidR="002C1E69" w:rsidRPr="00665FC3" w:rsidRDefault="002C1E69" w:rsidP="00D45D50">
            <w:pPr>
              <w:rPr>
                <w:sz w:val="24"/>
                <w:szCs w:val="24"/>
                <w:lang w:val="en-IE"/>
              </w:rPr>
            </w:pPr>
            <w:r w:rsidRPr="00665FC3">
              <w:rPr>
                <w:sz w:val="24"/>
                <w:szCs w:val="24"/>
                <w:lang w:val="en-IE"/>
              </w:rPr>
              <w:t>ESRS E5</w:t>
            </w:r>
          </w:p>
        </w:tc>
        <w:tc>
          <w:tcPr>
            <w:tcW w:w="3935" w:type="dxa"/>
            <w:shd w:val="clear" w:color="auto" w:fill="D6E3BC" w:themeFill="accent3" w:themeFillTint="66"/>
          </w:tcPr>
          <w:p w14:paraId="3C935DAC" w14:textId="77777777" w:rsidR="002C1E69" w:rsidRPr="00665FC3" w:rsidRDefault="002C1E69" w:rsidP="00D45D50">
            <w:pPr>
              <w:rPr>
                <w:sz w:val="24"/>
                <w:szCs w:val="24"/>
                <w:lang w:val="en-IE"/>
              </w:rPr>
            </w:pPr>
            <w:r w:rsidRPr="00665FC3">
              <w:rPr>
                <w:sz w:val="24"/>
                <w:szCs w:val="24"/>
                <w:lang w:val="en-IE"/>
              </w:rPr>
              <w:t>Resource use and circular economy</w:t>
            </w:r>
          </w:p>
        </w:tc>
      </w:tr>
      <w:tr w:rsidR="002C1E69" w14:paraId="5961F180" w14:textId="77777777" w:rsidTr="00966BD2">
        <w:tc>
          <w:tcPr>
            <w:tcW w:w="1701" w:type="dxa"/>
            <w:shd w:val="clear" w:color="auto" w:fill="FBD4B4" w:themeFill="accent6" w:themeFillTint="66"/>
          </w:tcPr>
          <w:p w14:paraId="708C5A5A" w14:textId="77777777" w:rsidR="002C1E69" w:rsidRPr="00665FC3" w:rsidRDefault="002C1E69" w:rsidP="00966BD2">
            <w:pPr>
              <w:rPr>
                <w:sz w:val="24"/>
                <w:szCs w:val="24"/>
                <w:lang w:val="en-IE"/>
              </w:rPr>
            </w:pPr>
            <w:r w:rsidRPr="00665FC3">
              <w:rPr>
                <w:sz w:val="24"/>
                <w:szCs w:val="24"/>
                <w:lang w:val="en-IE"/>
              </w:rPr>
              <w:t>Social</w:t>
            </w:r>
          </w:p>
        </w:tc>
        <w:tc>
          <w:tcPr>
            <w:tcW w:w="1418" w:type="dxa"/>
            <w:shd w:val="clear" w:color="auto" w:fill="FBD4B4" w:themeFill="accent6" w:themeFillTint="66"/>
          </w:tcPr>
          <w:p w14:paraId="537310A0" w14:textId="77777777" w:rsidR="002C1E69" w:rsidRPr="00665FC3" w:rsidRDefault="002C1E69" w:rsidP="00D45D50">
            <w:pPr>
              <w:rPr>
                <w:sz w:val="24"/>
                <w:szCs w:val="24"/>
                <w:lang w:val="en-IE"/>
              </w:rPr>
            </w:pPr>
            <w:r>
              <w:rPr>
                <w:sz w:val="24"/>
                <w:szCs w:val="24"/>
                <w:lang w:val="en-IE"/>
              </w:rPr>
              <w:t>ESRS S1</w:t>
            </w:r>
          </w:p>
        </w:tc>
        <w:tc>
          <w:tcPr>
            <w:tcW w:w="3935" w:type="dxa"/>
            <w:shd w:val="clear" w:color="auto" w:fill="FBD4B4" w:themeFill="accent6" w:themeFillTint="66"/>
          </w:tcPr>
          <w:p w14:paraId="0051B38E" w14:textId="77777777" w:rsidR="002C1E69" w:rsidRPr="00665FC3" w:rsidRDefault="002C1E69" w:rsidP="00D45D50">
            <w:pPr>
              <w:rPr>
                <w:sz w:val="24"/>
                <w:szCs w:val="24"/>
                <w:lang w:val="en-IE"/>
              </w:rPr>
            </w:pPr>
            <w:r>
              <w:rPr>
                <w:sz w:val="24"/>
                <w:szCs w:val="24"/>
                <w:lang w:val="en-IE"/>
              </w:rPr>
              <w:t>Own workforce</w:t>
            </w:r>
          </w:p>
        </w:tc>
      </w:tr>
      <w:tr w:rsidR="002C1E69" w14:paraId="4E21EC38" w14:textId="77777777" w:rsidTr="00966BD2">
        <w:tc>
          <w:tcPr>
            <w:tcW w:w="1701" w:type="dxa"/>
            <w:shd w:val="clear" w:color="auto" w:fill="FBD4B4" w:themeFill="accent6" w:themeFillTint="66"/>
          </w:tcPr>
          <w:p w14:paraId="1D7AAE12" w14:textId="77777777" w:rsidR="002C1E69" w:rsidRPr="00665FC3" w:rsidRDefault="002C1E69" w:rsidP="00966BD2">
            <w:pPr>
              <w:rPr>
                <w:sz w:val="24"/>
                <w:szCs w:val="24"/>
                <w:lang w:val="en-IE"/>
              </w:rPr>
            </w:pPr>
            <w:r w:rsidRPr="00665FC3">
              <w:rPr>
                <w:sz w:val="24"/>
                <w:szCs w:val="24"/>
                <w:lang w:val="en-IE"/>
              </w:rPr>
              <w:t>Social</w:t>
            </w:r>
          </w:p>
        </w:tc>
        <w:tc>
          <w:tcPr>
            <w:tcW w:w="1418" w:type="dxa"/>
            <w:shd w:val="clear" w:color="auto" w:fill="FBD4B4" w:themeFill="accent6" w:themeFillTint="66"/>
          </w:tcPr>
          <w:p w14:paraId="06749FFD" w14:textId="77777777" w:rsidR="002C1E69" w:rsidRPr="00665FC3" w:rsidRDefault="002C1E69" w:rsidP="00D45D50">
            <w:pPr>
              <w:rPr>
                <w:sz w:val="24"/>
                <w:szCs w:val="24"/>
                <w:lang w:val="en-IE"/>
              </w:rPr>
            </w:pPr>
            <w:r>
              <w:rPr>
                <w:sz w:val="24"/>
                <w:szCs w:val="24"/>
                <w:lang w:val="en-IE"/>
              </w:rPr>
              <w:t>ESRS S2</w:t>
            </w:r>
          </w:p>
        </w:tc>
        <w:tc>
          <w:tcPr>
            <w:tcW w:w="3935" w:type="dxa"/>
            <w:shd w:val="clear" w:color="auto" w:fill="FBD4B4" w:themeFill="accent6" w:themeFillTint="66"/>
          </w:tcPr>
          <w:p w14:paraId="432A7045" w14:textId="77777777" w:rsidR="002C1E69" w:rsidRPr="00665FC3" w:rsidRDefault="002C1E69" w:rsidP="00D45D50">
            <w:pPr>
              <w:rPr>
                <w:sz w:val="24"/>
                <w:szCs w:val="24"/>
                <w:lang w:val="en-IE"/>
              </w:rPr>
            </w:pPr>
            <w:r w:rsidRPr="00665FC3">
              <w:rPr>
                <w:sz w:val="24"/>
                <w:szCs w:val="24"/>
                <w:lang w:val="en-IE"/>
              </w:rPr>
              <w:t>Workers in the value chain</w:t>
            </w:r>
          </w:p>
        </w:tc>
      </w:tr>
      <w:tr w:rsidR="002C1E69" w14:paraId="45594CD3" w14:textId="77777777" w:rsidTr="00966BD2">
        <w:tc>
          <w:tcPr>
            <w:tcW w:w="1701" w:type="dxa"/>
            <w:shd w:val="clear" w:color="auto" w:fill="FBD4B4" w:themeFill="accent6" w:themeFillTint="66"/>
          </w:tcPr>
          <w:p w14:paraId="0670026E" w14:textId="77777777" w:rsidR="002C1E69" w:rsidRPr="00665FC3" w:rsidRDefault="002C1E69" w:rsidP="00966BD2">
            <w:pPr>
              <w:rPr>
                <w:sz w:val="24"/>
                <w:szCs w:val="24"/>
                <w:lang w:val="en-IE"/>
              </w:rPr>
            </w:pPr>
            <w:r w:rsidRPr="00665FC3">
              <w:rPr>
                <w:sz w:val="24"/>
                <w:szCs w:val="24"/>
                <w:lang w:val="en-IE"/>
              </w:rPr>
              <w:t>Social</w:t>
            </w:r>
          </w:p>
        </w:tc>
        <w:tc>
          <w:tcPr>
            <w:tcW w:w="1418" w:type="dxa"/>
            <w:shd w:val="clear" w:color="auto" w:fill="FBD4B4" w:themeFill="accent6" w:themeFillTint="66"/>
          </w:tcPr>
          <w:p w14:paraId="1219E086" w14:textId="77777777" w:rsidR="002C1E69" w:rsidRPr="00665FC3" w:rsidRDefault="002C1E69" w:rsidP="00D45D50">
            <w:pPr>
              <w:rPr>
                <w:sz w:val="24"/>
                <w:szCs w:val="24"/>
                <w:lang w:val="en-IE"/>
              </w:rPr>
            </w:pPr>
            <w:r>
              <w:rPr>
                <w:sz w:val="24"/>
                <w:szCs w:val="24"/>
                <w:lang w:val="en-IE"/>
              </w:rPr>
              <w:t>ESRS S3</w:t>
            </w:r>
          </w:p>
        </w:tc>
        <w:tc>
          <w:tcPr>
            <w:tcW w:w="3935" w:type="dxa"/>
            <w:shd w:val="clear" w:color="auto" w:fill="FBD4B4" w:themeFill="accent6" w:themeFillTint="66"/>
          </w:tcPr>
          <w:p w14:paraId="05C72EC1" w14:textId="77777777" w:rsidR="002C1E69" w:rsidRPr="00665FC3" w:rsidRDefault="002C1E69" w:rsidP="00D45D50">
            <w:pPr>
              <w:rPr>
                <w:sz w:val="24"/>
                <w:szCs w:val="24"/>
                <w:lang w:val="en-IE"/>
              </w:rPr>
            </w:pPr>
            <w:r>
              <w:rPr>
                <w:sz w:val="24"/>
                <w:szCs w:val="24"/>
                <w:lang w:val="en-IE"/>
              </w:rPr>
              <w:t>Affected communities</w:t>
            </w:r>
          </w:p>
        </w:tc>
      </w:tr>
      <w:tr w:rsidR="002C1E69" w14:paraId="4E9081CD" w14:textId="77777777" w:rsidTr="00966BD2">
        <w:tc>
          <w:tcPr>
            <w:tcW w:w="1701" w:type="dxa"/>
            <w:shd w:val="clear" w:color="auto" w:fill="FBD4B4" w:themeFill="accent6" w:themeFillTint="66"/>
          </w:tcPr>
          <w:p w14:paraId="0DE502A9" w14:textId="77777777" w:rsidR="002C1E69" w:rsidRPr="00665FC3" w:rsidRDefault="002C1E69" w:rsidP="00966BD2">
            <w:pPr>
              <w:rPr>
                <w:sz w:val="24"/>
                <w:szCs w:val="24"/>
                <w:lang w:val="en-IE"/>
              </w:rPr>
            </w:pPr>
            <w:r w:rsidRPr="00665FC3">
              <w:rPr>
                <w:sz w:val="24"/>
                <w:szCs w:val="24"/>
                <w:lang w:val="en-IE"/>
              </w:rPr>
              <w:t>Social</w:t>
            </w:r>
          </w:p>
        </w:tc>
        <w:tc>
          <w:tcPr>
            <w:tcW w:w="1418" w:type="dxa"/>
            <w:shd w:val="clear" w:color="auto" w:fill="FBD4B4" w:themeFill="accent6" w:themeFillTint="66"/>
          </w:tcPr>
          <w:p w14:paraId="25A3D63A" w14:textId="77777777" w:rsidR="002C1E69" w:rsidRPr="00665FC3" w:rsidRDefault="002C1E69" w:rsidP="00D45D50">
            <w:pPr>
              <w:rPr>
                <w:sz w:val="24"/>
                <w:szCs w:val="24"/>
                <w:lang w:val="en-IE"/>
              </w:rPr>
            </w:pPr>
            <w:r>
              <w:rPr>
                <w:sz w:val="24"/>
                <w:szCs w:val="24"/>
                <w:lang w:val="en-IE"/>
              </w:rPr>
              <w:t>ESRS S4</w:t>
            </w:r>
          </w:p>
        </w:tc>
        <w:tc>
          <w:tcPr>
            <w:tcW w:w="3935" w:type="dxa"/>
            <w:shd w:val="clear" w:color="auto" w:fill="FBD4B4" w:themeFill="accent6" w:themeFillTint="66"/>
          </w:tcPr>
          <w:p w14:paraId="195E37D4" w14:textId="77777777" w:rsidR="002C1E69" w:rsidRPr="00665FC3" w:rsidRDefault="002C1E69" w:rsidP="00D45D50">
            <w:pPr>
              <w:rPr>
                <w:sz w:val="24"/>
                <w:szCs w:val="24"/>
                <w:lang w:val="en-IE"/>
              </w:rPr>
            </w:pPr>
            <w:r w:rsidRPr="00665FC3">
              <w:rPr>
                <w:sz w:val="24"/>
                <w:szCs w:val="24"/>
                <w:lang w:val="en-IE"/>
              </w:rPr>
              <w:t>Consumers and end users</w:t>
            </w:r>
          </w:p>
        </w:tc>
      </w:tr>
      <w:tr w:rsidR="002C1E69" w14:paraId="537AFA0B" w14:textId="77777777" w:rsidTr="00966BD2">
        <w:tc>
          <w:tcPr>
            <w:tcW w:w="1701" w:type="dxa"/>
            <w:shd w:val="clear" w:color="auto" w:fill="B8CCE4" w:themeFill="accent1" w:themeFillTint="66"/>
          </w:tcPr>
          <w:p w14:paraId="18D081BF" w14:textId="77777777" w:rsidR="002C1E69" w:rsidRPr="00665FC3" w:rsidRDefault="002C1E69" w:rsidP="00966BD2">
            <w:pPr>
              <w:rPr>
                <w:sz w:val="24"/>
                <w:szCs w:val="24"/>
                <w:lang w:val="en-IE"/>
              </w:rPr>
            </w:pPr>
            <w:r w:rsidRPr="00665FC3">
              <w:rPr>
                <w:sz w:val="24"/>
                <w:szCs w:val="24"/>
                <w:lang w:val="en-IE"/>
              </w:rPr>
              <w:t>Governance</w:t>
            </w:r>
          </w:p>
        </w:tc>
        <w:tc>
          <w:tcPr>
            <w:tcW w:w="1418" w:type="dxa"/>
            <w:shd w:val="clear" w:color="auto" w:fill="B8CCE4" w:themeFill="accent1" w:themeFillTint="66"/>
          </w:tcPr>
          <w:p w14:paraId="120E41EC" w14:textId="77777777" w:rsidR="002C1E69" w:rsidRPr="00665FC3" w:rsidRDefault="002C1E69" w:rsidP="00D45D50">
            <w:pPr>
              <w:rPr>
                <w:sz w:val="24"/>
                <w:szCs w:val="24"/>
                <w:lang w:val="en-IE"/>
              </w:rPr>
            </w:pPr>
            <w:r>
              <w:rPr>
                <w:sz w:val="24"/>
                <w:szCs w:val="24"/>
                <w:lang w:val="en-IE"/>
              </w:rPr>
              <w:t>ESRS G1</w:t>
            </w:r>
          </w:p>
        </w:tc>
        <w:tc>
          <w:tcPr>
            <w:tcW w:w="3935" w:type="dxa"/>
            <w:shd w:val="clear" w:color="auto" w:fill="B8CCE4" w:themeFill="accent1" w:themeFillTint="66"/>
          </w:tcPr>
          <w:p w14:paraId="4803C3CA" w14:textId="77777777" w:rsidR="002C1E69" w:rsidRPr="00665FC3" w:rsidRDefault="002C1E69" w:rsidP="00D45D50">
            <w:pPr>
              <w:rPr>
                <w:sz w:val="24"/>
                <w:szCs w:val="24"/>
                <w:lang w:val="en-IE"/>
              </w:rPr>
            </w:pPr>
            <w:r w:rsidRPr="00665FC3">
              <w:rPr>
                <w:sz w:val="24"/>
                <w:szCs w:val="24"/>
                <w:lang w:val="en-IE"/>
              </w:rPr>
              <w:t>Business conduct</w:t>
            </w:r>
          </w:p>
        </w:tc>
      </w:tr>
    </w:tbl>
    <w:p w14:paraId="65CB85C8" w14:textId="6DAF1A5B" w:rsidR="002C1E69" w:rsidRDefault="002C1E69" w:rsidP="00E77D42">
      <w:pPr>
        <w:rPr>
          <w:sz w:val="24"/>
          <w:szCs w:val="24"/>
          <w:lang w:val="en-IE"/>
        </w:rPr>
      </w:pPr>
      <w:r>
        <w:rPr>
          <w:sz w:val="24"/>
          <w:szCs w:val="24"/>
          <w:lang w:val="en-IE"/>
        </w:rPr>
        <w:br/>
        <w:t>Each standard is divided into numbered paragraphs. Each standard also has an appendix A containing “application requirements” which are number</w:t>
      </w:r>
      <w:r w:rsidR="00A24669">
        <w:rPr>
          <w:sz w:val="24"/>
          <w:szCs w:val="24"/>
          <w:lang w:val="en-IE"/>
        </w:rPr>
        <w:t>ed</w:t>
      </w:r>
      <w:r>
        <w:rPr>
          <w:sz w:val="24"/>
          <w:szCs w:val="24"/>
          <w:lang w:val="en-IE"/>
        </w:rPr>
        <w:t xml:space="preserve"> as AR 1, AR 2 etc. Some standards also contain additional appendices. </w:t>
      </w:r>
    </w:p>
    <w:p w14:paraId="272EB048" w14:textId="088A95C4" w:rsidR="002C1E69" w:rsidRPr="002C1E69" w:rsidRDefault="00FE67A7" w:rsidP="00E77D42">
      <w:pPr>
        <w:rPr>
          <w:sz w:val="24"/>
          <w:szCs w:val="24"/>
          <w:lang w:val="en-IE"/>
        </w:rPr>
      </w:pPr>
      <w:r>
        <w:rPr>
          <w:sz w:val="24"/>
          <w:szCs w:val="24"/>
          <w:lang w:val="en-IE"/>
        </w:rPr>
        <w:t>To facilitate analysis of comments, r</w:t>
      </w:r>
      <w:r w:rsidR="00A24669">
        <w:rPr>
          <w:sz w:val="24"/>
          <w:szCs w:val="24"/>
          <w:lang w:val="en-IE"/>
        </w:rPr>
        <w:t xml:space="preserve">espondents are </w:t>
      </w:r>
      <w:r>
        <w:rPr>
          <w:sz w:val="24"/>
          <w:szCs w:val="24"/>
          <w:lang w:val="en-IE"/>
        </w:rPr>
        <w:t xml:space="preserve">kindly </w:t>
      </w:r>
      <w:r w:rsidR="00A24669">
        <w:rPr>
          <w:sz w:val="24"/>
          <w:szCs w:val="24"/>
          <w:lang w:val="en-IE"/>
        </w:rPr>
        <w:t>requested to use the simple template below when sending their comments</w:t>
      </w:r>
      <w:r>
        <w:rPr>
          <w:sz w:val="24"/>
          <w:szCs w:val="24"/>
          <w:lang w:val="en-IE"/>
        </w:rPr>
        <w:t>.</w:t>
      </w:r>
      <w:r w:rsidR="00A24669">
        <w:rPr>
          <w:sz w:val="24"/>
          <w:szCs w:val="24"/>
          <w:lang w:val="en-IE"/>
        </w:rPr>
        <w:t xml:space="preserve"> </w:t>
      </w:r>
    </w:p>
    <w:p w14:paraId="670599D7" w14:textId="77777777" w:rsidR="00A24669" w:rsidRDefault="00A24669" w:rsidP="00E77D42">
      <w:pPr>
        <w:rPr>
          <w:b/>
          <w:bCs/>
          <w:sz w:val="24"/>
          <w:szCs w:val="24"/>
          <w:lang w:val="en-IE"/>
        </w:rPr>
      </w:pPr>
    </w:p>
    <w:p w14:paraId="5805DCDC" w14:textId="77777777" w:rsidR="00A24669" w:rsidRDefault="00A24669" w:rsidP="00E77D42">
      <w:pPr>
        <w:rPr>
          <w:b/>
          <w:bCs/>
          <w:sz w:val="24"/>
          <w:szCs w:val="24"/>
          <w:lang w:val="en-IE"/>
        </w:rPr>
      </w:pPr>
    </w:p>
    <w:p w14:paraId="5E2AD8DE" w14:textId="77777777" w:rsidR="00A24669" w:rsidRDefault="00A24669" w:rsidP="00E77D42">
      <w:pPr>
        <w:rPr>
          <w:b/>
          <w:bCs/>
          <w:sz w:val="24"/>
          <w:szCs w:val="24"/>
          <w:lang w:val="en-IE"/>
        </w:rPr>
      </w:pPr>
    </w:p>
    <w:p w14:paraId="7B522BD4" w14:textId="739BFBF4" w:rsidR="002C1E69" w:rsidRDefault="00A24669" w:rsidP="00E77D42">
      <w:pPr>
        <w:rPr>
          <w:b/>
          <w:bCs/>
          <w:sz w:val="24"/>
          <w:szCs w:val="24"/>
          <w:lang w:val="en-IE"/>
        </w:rPr>
      </w:pPr>
      <w:r w:rsidRPr="00FE67A7">
        <w:rPr>
          <w:b/>
          <w:bCs/>
          <w:sz w:val="32"/>
          <w:szCs w:val="32"/>
          <w:lang w:val="en-IE"/>
        </w:rPr>
        <w:lastRenderedPageBreak/>
        <w:t>Name of r</w:t>
      </w:r>
      <w:r w:rsidR="002C1E69" w:rsidRPr="00FE67A7">
        <w:rPr>
          <w:b/>
          <w:bCs/>
          <w:sz w:val="32"/>
          <w:szCs w:val="32"/>
          <w:lang w:val="en-IE"/>
        </w:rPr>
        <w:t>espond</w:t>
      </w:r>
      <w:r w:rsidRPr="00FE67A7">
        <w:rPr>
          <w:b/>
          <w:bCs/>
          <w:sz w:val="32"/>
          <w:szCs w:val="32"/>
          <w:lang w:val="en-IE"/>
        </w:rPr>
        <w:t xml:space="preserve">ent/responding </w:t>
      </w:r>
      <w:r w:rsidR="002C1E69" w:rsidRPr="00FE67A7">
        <w:rPr>
          <w:b/>
          <w:bCs/>
          <w:sz w:val="32"/>
          <w:szCs w:val="32"/>
          <w:lang w:val="en-IE"/>
        </w:rPr>
        <w:t>organisation</w:t>
      </w:r>
      <w:r w:rsidR="002C1E69" w:rsidRPr="00E77D42">
        <w:rPr>
          <w:b/>
          <w:bCs/>
          <w:sz w:val="24"/>
          <w:szCs w:val="24"/>
          <w:lang w:val="en-IE"/>
        </w:rPr>
        <w:t xml:space="preserve">: </w:t>
      </w:r>
      <w:r w:rsidR="00837200" w:rsidRPr="00837200">
        <w:rPr>
          <w:b/>
          <w:bCs/>
          <w:sz w:val="32"/>
          <w:szCs w:val="32"/>
          <w:lang w:val="en-IE"/>
        </w:rPr>
        <w:t>Insurance Europe</w:t>
      </w:r>
      <w:r w:rsidR="00772E30">
        <w:rPr>
          <w:b/>
          <w:bCs/>
          <w:sz w:val="32"/>
          <w:szCs w:val="32"/>
          <w:lang w:val="en-IE"/>
        </w:rPr>
        <w:t xml:space="preserve"> and Insurance CFO Forum</w:t>
      </w:r>
    </w:p>
    <w:p w14:paraId="378EDF49" w14:textId="77777777" w:rsidR="008A6F93" w:rsidRDefault="008A6F93" w:rsidP="00E77D42">
      <w:pPr>
        <w:rPr>
          <w:b/>
          <w:bCs/>
          <w:sz w:val="24"/>
          <w:szCs w:val="24"/>
          <w:lang w:val="en-IE"/>
        </w:rPr>
      </w:pPr>
    </w:p>
    <w:p w14:paraId="08191834" w14:textId="77777777" w:rsidR="00FE67A7" w:rsidRDefault="00FE67A7" w:rsidP="008A6F93">
      <w:pPr>
        <w:pStyle w:val="Odsekzoznamu"/>
        <w:numPr>
          <w:ilvl w:val="0"/>
          <w:numId w:val="1"/>
        </w:numPr>
        <w:ind w:left="426" w:hanging="426"/>
        <w:rPr>
          <w:b/>
          <w:bCs/>
          <w:sz w:val="24"/>
          <w:szCs w:val="24"/>
          <w:lang w:val="en-IE"/>
        </w:rPr>
      </w:pPr>
      <w:r>
        <w:rPr>
          <w:b/>
          <w:bCs/>
          <w:sz w:val="24"/>
          <w:szCs w:val="24"/>
          <w:lang w:val="en-IE"/>
        </w:rPr>
        <w:t>General c</w:t>
      </w:r>
      <w:r w:rsidR="00A24669" w:rsidRPr="00FE67A7">
        <w:rPr>
          <w:b/>
          <w:bCs/>
          <w:sz w:val="24"/>
          <w:szCs w:val="24"/>
          <w:lang w:val="en-IE"/>
        </w:rPr>
        <w:t xml:space="preserve">omments </w:t>
      </w:r>
    </w:p>
    <w:tbl>
      <w:tblPr>
        <w:tblStyle w:val="Mriekatabuky"/>
        <w:tblW w:w="13794" w:type="dxa"/>
        <w:tblInd w:w="534" w:type="dxa"/>
        <w:tblLook w:val="04A0" w:firstRow="1" w:lastRow="0" w:firstColumn="1" w:lastColumn="0" w:noHBand="0" w:noVBand="1"/>
      </w:tblPr>
      <w:tblGrid>
        <w:gridCol w:w="13794"/>
      </w:tblGrid>
      <w:tr w:rsidR="008A6F93" w14:paraId="06F3CE24" w14:textId="77777777" w:rsidTr="008A6F93">
        <w:tc>
          <w:tcPr>
            <w:tcW w:w="13794" w:type="dxa"/>
          </w:tcPr>
          <w:p w14:paraId="794F3E26" w14:textId="30FEEA8D" w:rsidR="002D4F4B" w:rsidRDefault="002D4F4B" w:rsidP="00CC4A48">
            <w:pPr>
              <w:jc w:val="both"/>
              <w:rPr>
                <w:sz w:val="24"/>
                <w:szCs w:val="24"/>
                <w:lang w:val="en-IE"/>
              </w:rPr>
            </w:pPr>
            <w:bookmarkStart w:id="0" w:name="_Hlk136675797"/>
            <w:r w:rsidRPr="002D4F4B">
              <w:rPr>
                <w:sz w:val="24"/>
                <w:szCs w:val="24"/>
                <w:lang w:val="en-IE"/>
              </w:rPr>
              <w:t>The insurance industry welcomes the Commission’s changes made to the EFRAG advice received in November 2022 to simplify, add more proportionality and phase in the application of the European Sustainability Reporting Standards (ESRS). Insurers welcome that the double materiality assessment determining which topics to report on was extended to cover all topics and datapoints outside of the general requirements (ESRS 2)</w:t>
            </w:r>
            <w:r w:rsidR="00B20E88">
              <w:rPr>
                <w:sz w:val="24"/>
                <w:szCs w:val="24"/>
                <w:lang w:val="en-IE"/>
              </w:rPr>
              <w:t>, noting that clarifications are needed on the SFDR-relevant data points</w:t>
            </w:r>
            <w:r w:rsidRPr="002D4F4B">
              <w:rPr>
                <w:sz w:val="24"/>
                <w:szCs w:val="24"/>
                <w:lang w:val="en-IE"/>
              </w:rPr>
              <w:t>.</w:t>
            </w:r>
            <w:r w:rsidR="003C5CB7">
              <w:rPr>
                <w:sz w:val="24"/>
                <w:szCs w:val="24"/>
                <w:lang w:val="en-IE"/>
              </w:rPr>
              <w:t xml:space="preserve"> </w:t>
            </w:r>
            <w:r w:rsidR="00741599">
              <w:rPr>
                <w:sz w:val="24"/>
                <w:szCs w:val="24"/>
                <w:lang w:val="en-IE"/>
              </w:rPr>
              <w:t>I</w:t>
            </w:r>
            <w:r w:rsidR="00741599" w:rsidRPr="00741599">
              <w:rPr>
                <w:sz w:val="24"/>
                <w:szCs w:val="24"/>
                <w:lang w:val="en-IE"/>
              </w:rPr>
              <w:t>t is important to note that</w:t>
            </w:r>
            <w:r w:rsidR="00741599">
              <w:rPr>
                <w:sz w:val="24"/>
                <w:szCs w:val="24"/>
                <w:lang w:val="en-IE"/>
              </w:rPr>
              <w:t xml:space="preserve"> there is a general expectation that</w:t>
            </w:r>
            <w:r w:rsidR="00741599" w:rsidRPr="00741599">
              <w:rPr>
                <w:sz w:val="24"/>
                <w:szCs w:val="24"/>
                <w:lang w:val="en-IE"/>
              </w:rPr>
              <w:t xml:space="preserve"> climate </w:t>
            </w:r>
            <w:r w:rsidR="00741599">
              <w:rPr>
                <w:sz w:val="24"/>
                <w:szCs w:val="24"/>
                <w:lang w:val="en-IE"/>
              </w:rPr>
              <w:t>will be deemed a</w:t>
            </w:r>
            <w:r w:rsidR="00741599" w:rsidRPr="00741599">
              <w:rPr>
                <w:sz w:val="24"/>
                <w:szCs w:val="24"/>
                <w:lang w:val="en-IE"/>
              </w:rPr>
              <w:t xml:space="preserve"> material topic for </w:t>
            </w:r>
            <w:r w:rsidR="00741599">
              <w:rPr>
                <w:sz w:val="24"/>
                <w:szCs w:val="24"/>
                <w:lang w:val="en-IE"/>
              </w:rPr>
              <w:t>most</w:t>
            </w:r>
            <w:r w:rsidR="00741599" w:rsidRPr="00741599">
              <w:rPr>
                <w:sz w:val="24"/>
                <w:szCs w:val="24"/>
                <w:lang w:val="en-IE"/>
              </w:rPr>
              <w:t xml:space="preserve"> compan</w:t>
            </w:r>
            <w:r w:rsidR="00741599">
              <w:rPr>
                <w:sz w:val="24"/>
                <w:szCs w:val="24"/>
                <w:lang w:val="en-IE"/>
              </w:rPr>
              <w:t>ies</w:t>
            </w:r>
            <w:r w:rsidR="00741599" w:rsidRPr="00741599">
              <w:rPr>
                <w:sz w:val="24"/>
                <w:szCs w:val="24"/>
                <w:lang w:val="en-IE"/>
              </w:rPr>
              <w:t>, given the overall need to move towards a net-zero economy</w:t>
            </w:r>
            <w:r w:rsidR="008F564C">
              <w:rPr>
                <w:sz w:val="24"/>
                <w:szCs w:val="24"/>
                <w:lang w:val="en-IE"/>
              </w:rPr>
              <w:t xml:space="preserve"> and that</w:t>
            </w:r>
            <w:r w:rsidR="008F564C" w:rsidRPr="008F564C">
              <w:rPr>
                <w:sz w:val="24"/>
                <w:szCs w:val="24"/>
                <w:lang w:val="en-IE"/>
              </w:rPr>
              <w:t xml:space="preserve"> F</w:t>
            </w:r>
            <w:r w:rsidR="008F564C">
              <w:rPr>
                <w:sz w:val="24"/>
                <w:szCs w:val="24"/>
                <w:lang w:val="en-IE"/>
              </w:rPr>
              <w:t xml:space="preserve">inancial </w:t>
            </w:r>
            <w:r w:rsidR="008F564C" w:rsidRPr="008F564C">
              <w:rPr>
                <w:sz w:val="24"/>
                <w:szCs w:val="24"/>
                <w:lang w:val="en-IE"/>
              </w:rPr>
              <w:t>I</w:t>
            </w:r>
            <w:r w:rsidR="008F564C">
              <w:rPr>
                <w:sz w:val="24"/>
                <w:szCs w:val="24"/>
                <w:lang w:val="en-IE"/>
              </w:rPr>
              <w:t>nstitutions</w:t>
            </w:r>
            <w:r w:rsidR="008F564C" w:rsidRPr="008F564C">
              <w:rPr>
                <w:sz w:val="24"/>
                <w:szCs w:val="24"/>
                <w:lang w:val="en-IE"/>
              </w:rPr>
              <w:t xml:space="preserve"> are strongly relying on climate data being made available across sectors to fulfil their enabling role and driver of sustainable finance</w:t>
            </w:r>
            <w:r w:rsidR="008F564C">
              <w:rPr>
                <w:sz w:val="24"/>
                <w:szCs w:val="24"/>
                <w:lang w:val="en-IE"/>
              </w:rPr>
              <w:t>.</w:t>
            </w:r>
          </w:p>
          <w:p w14:paraId="681C27D4" w14:textId="77777777" w:rsidR="00CC4A48" w:rsidRPr="002D4F4B" w:rsidRDefault="00CC4A48" w:rsidP="00CC4A48">
            <w:pPr>
              <w:jc w:val="both"/>
              <w:rPr>
                <w:sz w:val="24"/>
                <w:szCs w:val="24"/>
                <w:lang w:val="en-IE"/>
              </w:rPr>
            </w:pPr>
          </w:p>
          <w:p w14:paraId="3AF662D1" w14:textId="12244068" w:rsidR="002D4F4B" w:rsidRPr="002D4F4B" w:rsidRDefault="00DE1562" w:rsidP="00CC4A48">
            <w:pPr>
              <w:jc w:val="both"/>
              <w:rPr>
                <w:sz w:val="24"/>
                <w:szCs w:val="24"/>
                <w:lang w:val="en-IE"/>
              </w:rPr>
            </w:pPr>
            <w:r>
              <w:rPr>
                <w:sz w:val="24"/>
                <w:szCs w:val="24"/>
                <w:lang w:val="en-IE"/>
              </w:rPr>
              <w:t>Nevertheless</w:t>
            </w:r>
            <w:r w:rsidR="002D4F4B" w:rsidRPr="002D4F4B">
              <w:rPr>
                <w:sz w:val="24"/>
                <w:szCs w:val="24"/>
                <w:lang w:val="en-IE"/>
              </w:rPr>
              <w:t xml:space="preserve">, </w:t>
            </w:r>
            <w:r w:rsidR="00DF7B0B">
              <w:rPr>
                <w:sz w:val="24"/>
                <w:szCs w:val="24"/>
                <w:lang w:val="en-IE"/>
              </w:rPr>
              <w:t>some</w:t>
            </w:r>
            <w:r w:rsidR="00C12530">
              <w:rPr>
                <w:sz w:val="24"/>
                <w:szCs w:val="24"/>
                <w:lang w:val="en-IE"/>
              </w:rPr>
              <w:t xml:space="preserve"> </w:t>
            </w:r>
            <w:r>
              <w:rPr>
                <w:sz w:val="24"/>
                <w:szCs w:val="24"/>
                <w:lang w:val="en-IE"/>
              </w:rPr>
              <w:t>important</w:t>
            </w:r>
            <w:r w:rsidR="00ED4B1F">
              <w:rPr>
                <w:sz w:val="24"/>
                <w:szCs w:val="24"/>
                <w:lang w:val="en-IE"/>
              </w:rPr>
              <w:t xml:space="preserve"> issues </w:t>
            </w:r>
            <w:r w:rsidR="00DF7B0B">
              <w:rPr>
                <w:sz w:val="24"/>
                <w:szCs w:val="24"/>
                <w:lang w:val="en-IE"/>
              </w:rPr>
              <w:t xml:space="preserve">remain and </w:t>
            </w:r>
            <w:r w:rsidR="00AD356B">
              <w:rPr>
                <w:sz w:val="24"/>
                <w:szCs w:val="24"/>
                <w:lang w:val="en-IE"/>
              </w:rPr>
              <w:t xml:space="preserve">need to </w:t>
            </w:r>
            <w:r w:rsidR="00ED4B1F">
              <w:rPr>
                <w:sz w:val="24"/>
                <w:szCs w:val="24"/>
                <w:lang w:val="en-IE"/>
              </w:rPr>
              <w:t>be addressed</w:t>
            </w:r>
            <w:r w:rsidR="00981781">
              <w:rPr>
                <w:sz w:val="24"/>
                <w:szCs w:val="24"/>
                <w:lang w:val="en-IE"/>
              </w:rPr>
              <w:t xml:space="preserve"> by the EC</w:t>
            </w:r>
            <w:r w:rsidR="007557A9">
              <w:rPr>
                <w:sz w:val="24"/>
                <w:szCs w:val="24"/>
                <w:lang w:val="en-IE"/>
              </w:rPr>
              <w:t xml:space="preserve"> </w:t>
            </w:r>
            <w:r w:rsidR="00033076">
              <w:rPr>
                <w:sz w:val="24"/>
                <w:szCs w:val="24"/>
                <w:lang w:val="en-IE"/>
              </w:rPr>
              <w:t xml:space="preserve">in the final ESRS </w:t>
            </w:r>
            <w:r w:rsidR="00151186">
              <w:rPr>
                <w:sz w:val="24"/>
                <w:szCs w:val="24"/>
                <w:lang w:val="en-IE"/>
              </w:rPr>
              <w:t>package</w:t>
            </w:r>
            <w:r w:rsidR="000D5B45">
              <w:rPr>
                <w:sz w:val="24"/>
                <w:szCs w:val="24"/>
                <w:lang w:val="en-IE"/>
              </w:rPr>
              <w:t xml:space="preserve">. </w:t>
            </w:r>
            <w:r w:rsidR="00AD356B">
              <w:rPr>
                <w:sz w:val="24"/>
                <w:szCs w:val="24"/>
                <w:lang w:val="en-IE"/>
              </w:rPr>
              <w:t xml:space="preserve"> </w:t>
            </w:r>
            <w:r w:rsidR="000D5B45">
              <w:rPr>
                <w:sz w:val="24"/>
                <w:szCs w:val="24"/>
                <w:lang w:val="en-IE"/>
              </w:rPr>
              <w:t>In particular,</w:t>
            </w:r>
          </w:p>
          <w:p w14:paraId="2E28150A" w14:textId="6B2C6B67" w:rsidR="006F4D40" w:rsidRPr="00C76C3B" w:rsidRDefault="006F4D40" w:rsidP="00C76C3B">
            <w:pPr>
              <w:pStyle w:val="Odsekzoznamu"/>
              <w:numPr>
                <w:ilvl w:val="0"/>
                <w:numId w:val="15"/>
              </w:numPr>
              <w:jc w:val="both"/>
              <w:rPr>
                <w:b/>
                <w:bCs/>
                <w:sz w:val="24"/>
                <w:szCs w:val="24"/>
                <w:lang w:val="en-IE"/>
              </w:rPr>
            </w:pPr>
            <w:r w:rsidRPr="00C76C3B">
              <w:rPr>
                <w:b/>
                <w:bCs/>
                <w:sz w:val="24"/>
                <w:szCs w:val="24"/>
                <w:lang w:val="en-IE"/>
              </w:rPr>
              <w:t>Address the materiality issue that the changes create for SFDR Reporting</w:t>
            </w:r>
          </w:p>
          <w:p w14:paraId="366D7083" w14:textId="617D7B54" w:rsidR="002D4F4B" w:rsidRPr="008F237D" w:rsidRDefault="002D4F4B" w:rsidP="00C76C3B">
            <w:pPr>
              <w:pStyle w:val="Odsekzoznamu"/>
              <w:ind w:left="360"/>
              <w:jc w:val="both"/>
              <w:rPr>
                <w:sz w:val="24"/>
                <w:szCs w:val="24"/>
                <w:lang w:val="en-IE"/>
              </w:rPr>
            </w:pPr>
            <w:r w:rsidRPr="008F237D">
              <w:rPr>
                <w:sz w:val="24"/>
                <w:szCs w:val="24"/>
                <w:lang w:val="en-IE"/>
              </w:rPr>
              <w:t xml:space="preserve">The extension of </w:t>
            </w:r>
            <w:r w:rsidRPr="00C76C3B">
              <w:rPr>
                <w:sz w:val="24"/>
                <w:szCs w:val="24"/>
                <w:lang w:val="en-IE"/>
              </w:rPr>
              <w:t>materiality assessment</w:t>
            </w:r>
            <w:r w:rsidRPr="008F237D">
              <w:rPr>
                <w:sz w:val="24"/>
                <w:szCs w:val="24"/>
                <w:lang w:val="en-IE"/>
              </w:rPr>
              <w:t xml:space="preserve"> to data points needed for SFDR Principal Adverse Impact (PAI) reporting creates an inconsistency</w:t>
            </w:r>
            <w:r w:rsidR="003B73B8">
              <w:rPr>
                <w:sz w:val="24"/>
                <w:szCs w:val="24"/>
                <w:lang w:val="en-IE"/>
              </w:rPr>
              <w:t xml:space="preserve"> between SFDR and ESRS</w:t>
            </w:r>
            <w:r w:rsidRPr="008F237D">
              <w:rPr>
                <w:sz w:val="24"/>
                <w:szCs w:val="24"/>
                <w:lang w:val="en-IE"/>
              </w:rPr>
              <w:t xml:space="preserve"> which the Commission must address because there is currently no such materiality assessment allowed under SFDR</w:t>
            </w:r>
            <w:r w:rsidR="001B097D">
              <w:rPr>
                <w:sz w:val="24"/>
                <w:szCs w:val="24"/>
                <w:lang w:val="en-IE"/>
              </w:rPr>
              <w:t xml:space="preserve">: if no data is reported by an investee company, the SFDR requires </w:t>
            </w:r>
            <w:r w:rsidR="00624209">
              <w:rPr>
                <w:sz w:val="24"/>
                <w:szCs w:val="24"/>
                <w:lang w:val="en-IE"/>
              </w:rPr>
              <w:t>financial market participants (</w:t>
            </w:r>
            <w:r w:rsidR="001B097D">
              <w:rPr>
                <w:sz w:val="24"/>
                <w:szCs w:val="24"/>
                <w:lang w:val="en-IE"/>
              </w:rPr>
              <w:t>FMPs</w:t>
            </w:r>
            <w:r w:rsidR="00624209">
              <w:rPr>
                <w:sz w:val="24"/>
                <w:szCs w:val="24"/>
                <w:lang w:val="en-IE"/>
              </w:rPr>
              <w:t>)</w:t>
            </w:r>
            <w:r w:rsidR="001B097D">
              <w:rPr>
                <w:sz w:val="24"/>
                <w:szCs w:val="24"/>
                <w:lang w:val="en-IE"/>
              </w:rPr>
              <w:t xml:space="preserve"> to undertake “best efforts</w:t>
            </w:r>
            <w:r w:rsidR="00624209">
              <w:rPr>
                <w:sz w:val="24"/>
                <w:szCs w:val="24"/>
                <w:lang w:val="en-IE"/>
              </w:rPr>
              <w:t>” and carry out additional research or make reasonable assumptions</w:t>
            </w:r>
            <w:r w:rsidRPr="008F237D">
              <w:rPr>
                <w:sz w:val="24"/>
                <w:szCs w:val="24"/>
                <w:lang w:val="en-IE"/>
              </w:rPr>
              <w:t>.</w:t>
            </w:r>
            <w:r w:rsidR="00BF15BA">
              <w:rPr>
                <w:sz w:val="24"/>
                <w:szCs w:val="24"/>
                <w:lang w:val="en-IE"/>
              </w:rPr>
              <w:t xml:space="preserve"> </w:t>
            </w:r>
            <w:r w:rsidR="003752AD">
              <w:rPr>
                <w:sz w:val="24"/>
                <w:szCs w:val="24"/>
                <w:lang w:val="en-IE"/>
              </w:rPr>
              <w:t>This is a significant issue for insurers, who have to rely on compan</w:t>
            </w:r>
            <w:r w:rsidR="00FB18E4">
              <w:rPr>
                <w:sz w:val="24"/>
                <w:szCs w:val="24"/>
                <w:lang w:val="en-IE"/>
              </w:rPr>
              <w:t>ie</w:t>
            </w:r>
            <w:r w:rsidR="003752AD">
              <w:rPr>
                <w:sz w:val="24"/>
                <w:szCs w:val="24"/>
                <w:lang w:val="en-IE"/>
              </w:rPr>
              <w:t>s</w:t>
            </w:r>
            <w:r w:rsidR="00FB18E4">
              <w:rPr>
                <w:sz w:val="24"/>
                <w:szCs w:val="24"/>
                <w:lang w:val="en-IE"/>
              </w:rPr>
              <w:t>’</w:t>
            </w:r>
            <w:r w:rsidR="003752AD">
              <w:rPr>
                <w:sz w:val="24"/>
                <w:szCs w:val="24"/>
                <w:lang w:val="en-IE"/>
              </w:rPr>
              <w:t xml:space="preserve"> </w:t>
            </w:r>
            <w:r w:rsidR="00B31ADC">
              <w:rPr>
                <w:sz w:val="24"/>
                <w:szCs w:val="24"/>
                <w:lang w:val="en-IE"/>
              </w:rPr>
              <w:t>sustainability data to fulfil their own SFDR obligations.</w:t>
            </w:r>
            <w:r w:rsidR="00B932C9">
              <w:rPr>
                <w:sz w:val="24"/>
                <w:szCs w:val="24"/>
                <w:lang w:val="en-IE"/>
              </w:rPr>
              <w:t xml:space="preserve"> </w:t>
            </w:r>
            <w:r w:rsidR="00C321A1">
              <w:rPr>
                <w:sz w:val="24"/>
                <w:szCs w:val="24"/>
                <w:lang w:val="en-IE"/>
              </w:rPr>
              <w:t>We ask the Commission to provide a pragmatic solution to this issue, which we believe can</w:t>
            </w:r>
            <w:r w:rsidRPr="008F237D">
              <w:rPr>
                <w:sz w:val="24"/>
                <w:szCs w:val="24"/>
                <w:lang w:val="en-IE"/>
              </w:rPr>
              <w:t xml:space="preserve"> be solved in the following ways, in order of preference:</w:t>
            </w:r>
          </w:p>
          <w:p w14:paraId="1F822836" w14:textId="4CD73DCF" w:rsidR="002D4F4B" w:rsidRPr="007C6D00" w:rsidRDefault="002D4F4B" w:rsidP="007C6D00">
            <w:pPr>
              <w:pStyle w:val="Odsekzoznamu"/>
              <w:numPr>
                <w:ilvl w:val="1"/>
                <w:numId w:val="14"/>
              </w:numPr>
              <w:spacing w:after="200" w:line="276" w:lineRule="auto"/>
              <w:rPr>
                <w:sz w:val="24"/>
                <w:szCs w:val="24"/>
                <w:lang w:val="en-IE"/>
              </w:rPr>
            </w:pPr>
            <w:r w:rsidRPr="0002371F">
              <w:rPr>
                <w:sz w:val="24"/>
                <w:szCs w:val="24"/>
                <w:lang w:val="en-IE"/>
              </w:rPr>
              <w:t>Require that SFDR PAI datapoints deemed immaterial by investee companies are reported as “qualified 0”. This would allow FMPs to easily collect and consolidate investees’ data, and the responsibility for reporting a “qualified 0” would be born</w:t>
            </w:r>
            <w:r w:rsidR="005E2A22" w:rsidRPr="0002371F">
              <w:rPr>
                <w:sz w:val="24"/>
                <w:szCs w:val="24"/>
                <w:lang w:val="en-IE"/>
              </w:rPr>
              <w:t>e</w:t>
            </w:r>
            <w:r w:rsidRPr="0002371F">
              <w:rPr>
                <w:sz w:val="24"/>
                <w:szCs w:val="24"/>
                <w:lang w:val="en-IE"/>
              </w:rPr>
              <w:t xml:space="preserve"> by investee companies.</w:t>
            </w:r>
            <w:r w:rsidR="00AC64CB" w:rsidRPr="0002371F">
              <w:rPr>
                <w:sz w:val="24"/>
                <w:szCs w:val="24"/>
                <w:lang w:val="en-IE"/>
              </w:rPr>
              <w:t xml:space="preserve"> </w:t>
            </w:r>
            <w:r w:rsidR="00597043">
              <w:rPr>
                <w:sz w:val="24"/>
                <w:szCs w:val="24"/>
                <w:lang w:val="en-IE"/>
              </w:rPr>
              <w:t>F</w:t>
            </w:r>
            <w:r w:rsidR="0002371F" w:rsidRPr="0002371F">
              <w:rPr>
                <w:sz w:val="24"/>
                <w:szCs w:val="24"/>
                <w:lang w:val="en-IE"/>
              </w:rPr>
              <w:t xml:space="preserve">or </w:t>
            </w:r>
            <w:r w:rsidR="008C0570" w:rsidRPr="0002371F">
              <w:rPr>
                <w:sz w:val="24"/>
                <w:szCs w:val="24"/>
                <w:lang w:val="en-IE"/>
              </w:rPr>
              <w:t>policy related</w:t>
            </w:r>
            <w:r w:rsidR="0002371F" w:rsidRPr="0002371F">
              <w:rPr>
                <w:sz w:val="24"/>
                <w:szCs w:val="24"/>
                <w:lang w:val="en-IE"/>
              </w:rPr>
              <w:t xml:space="preserve"> PAIs, this would translate into the reporting of </w:t>
            </w:r>
            <w:r w:rsidR="00597043">
              <w:rPr>
                <w:sz w:val="24"/>
                <w:szCs w:val="24"/>
                <w:lang w:val="en-IE"/>
              </w:rPr>
              <w:t>“</w:t>
            </w:r>
            <w:r w:rsidR="0002371F" w:rsidRPr="0002371F">
              <w:rPr>
                <w:sz w:val="24"/>
                <w:szCs w:val="24"/>
                <w:lang w:val="en-IE"/>
              </w:rPr>
              <w:t>n/a</w:t>
            </w:r>
            <w:r w:rsidR="00597043">
              <w:rPr>
                <w:sz w:val="24"/>
                <w:szCs w:val="24"/>
                <w:lang w:val="en-IE"/>
              </w:rPr>
              <w:t>”</w:t>
            </w:r>
            <w:r w:rsidR="0002371F" w:rsidRPr="0002371F">
              <w:rPr>
                <w:sz w:val="24"/>
                <w:szCs w:val="24"/>
                <w:lang w:val="en-IE"/>
              </w:rPr>
              <w:t>.</w:t>
            </w:r>
          </w:p>
          <w:p w14:paraId="03E924F1" w14:textId="6D27993B" w:rsidR="00691219" w:rsidRPr="008F237D" w:rsidRDefault="002D4F4B" w:rsidP="00C76C3B">
            <w:pPr>
              <w:pStyle w:val="Odsekzoznamu"/>
              <w:numPr>
                <w:ilvl w:val="1"/>
                <w:numId w:val="14"/>
              </w:numPr>
              <w:jc w:val="both"/>
              <w:rPr>
                <w:sz w:val="24"/>
                <w:szCs w:val="24"/>
                <w:lang w:val="en-IE"/>
              </w:rPr>
            </w:pPr>
            <w:r w:rsidRPr="008F237D">
              <w:rPr>
                <w:sz w:val="24"/>
                <w:szCs w:val="24"/>
                <w:lang w:val="en-IE"/>
              </w:rPr>
              <w:t>Clarify that, if SFDR PAI information is deemed immaterial by investee companies and is therefore not included in their sustainability reports, FMPs can treat this lack of data as a “qualified 0” and are not required to seek data in another manner.</w:t>
            </w:r>
            <w:r w:rsidR="00691219">
              <w:rPr>
                <w:sz w:val="24"/>
                <w:szCs w:val="24"/>
                <w:lang w:val="en-IE"/>
              </w:rPr>
              <w:t xml:space="preserve"> </w:t>
            </w:r>
          </w:p>
          <w:p w14:paraId="2BD6C7B5" w14:textId="232E63B9" w:rsidR="00EA7A68" w:rsidRDefault="009E2689" w:rsidP="00C76C3B">
            <w:pPr>
              <w:ind w:left="360"/>
              <w:jc w:val="both"/>
              <w:rPr>
                <w:sz w:val="24"/>
                <w:szCs w:val="24"/>
                <w:lang w:val="en-IE"/>
              </w:rPr>
            </w:pPr>
            <w:r w:rsidRPr="00C76C3B">
              <w:rPr>
                <w:sz w:val="24"/>
                <w:szCs w:val="24"/>
                <w:lang w:val="en-IE"/>
              </w:rPr>
              <w:t xml:space="preserve">In either case, it would be </w:t>
            </w:r>
            <w:r w:rsidR="009B11D8" w:rsidRPr="00C76C3B">
              <w:rPr>
                <w:sz w:val="24"/>
                <w:szCs w:val="24"/>
                <w:lang w:val="en-IE"/>
              </w:rPr>
              <w:t xml:space="preserve">very helpful to </w:t>
            </w:r>
            <w:r w:rsidR="00031D34" w:rsidRPr="00C76C3B">
              <w:rPr>
                <w:sz w:val="24"/>
                <w:szCs w:val="24"/>
                <w:lang w:val="en-IE"/>
              </w:rPr>
              <w:t xml:space="preserve">require investee companies to report their </w:t>
            </w:r>
            <w:r w:rsidR="00F14BEB" w:rsidRPr="00C76C3B">
              <w:rPr>
                <w:sz w:val="24"/>
                <w:szCs w:val="24"/>
                <w:lang w:val="en-IE"/>
              </w:rPr>
              <w:t xml:space="preserve">SFDR PAI datapoints </w:t>
            </w:r>
            <w:r w:rsidR="007B4577" w:rsidRPr="00C76C3B">
              <w:rPr>
                <w:sz w:val="24"/>
                <w:szCs w:val="24"/>
                <w:lang w:val="en-IE"/>
              </w:rPr>
              <w:t>in a separate table (</w:t>
            </w:r>
            <w:r w:rsidR="004D5850" w:rsidRPr="00C76C3B">
              <w:rPr>
                <w:sz w:val="24"/>
                <w:szCs w:val="24"/>
                <w:lang w:val="en-IE"/>
              </w:rPr>
              <w:t xml:space="preserve">and report </w:t>
            </w:r>
            <w:r w:rsidR="00D13A83" w:rsidRPr="00C76C3B">
              <w:rPr>
                <w:sz w:val="24"/>
                <w:szCs w:val="24"/>
                <w:lang w:val="en-IE"/>
              </w:rPr>
              <w:t>0 i</w:t>
            </w:r>
            <w:r w:rsidR="001A4F32" w:rsidRPr="00C76C3B">
              <w:rPr>
                <w:sz w:val="24"/>
                <w:szCs w:val="24"/>
                <w:lang w:val="en-IE"/>
              </w:rPr>
              <w:t>f</w:t>
            </w:r>
            <w:r w:rsidR="00D13A83" w:rsidRPr="00C76C3B">
              <w:rPr>
                <w:sz w:val="24"/>
                <w:szCs w:val="24"/>
                <w:lang w:val="en-IE"/>
              </w:rPr>
              <w:t xml:space="preserve"> a datapoint is deemed immaterial</w:t>
            </w:r>
            <w:r w:rsidR="007B4577" w:rsidRPr="00C76C3B">
              <w:rPr>
                <w:sz w:val="24"/>
                <w:szCs w:val="24"/>
                <w:lang w:val="en-IE"/>
              </w:rPr>
              <w:t>).</w:t>
            </w:r>
            <w:r w:rsidR="009B4F4E" w:rsidRPr="00C76C3B">
              <w:rPr>
                <w:sz w:val="24"/>
                <w:szCs w:val="24"/>
                <w:lang w:val="en-IE"/>
              </w:rPr>
              <w:t xml:space="preserve"> </w:t>
            </w:r>
            <w:r w:rsidR="003B627F" w:rsidRPr="00C76C3B">
              <w:rPr>
                <w:sz w:val="24"/>
                <w:szCs w:val="24"/>
                <w:lang w:val="en-IE"/>
              </w:rPr>
              <w:t>This w</w:t>
            </w:r>
            <w:r w:rsidR="00C30ED8" w:rsidRPr="00C76C3B">
              <w:rPr>
                <w:sz w:val="24"/>
                <w:szCs w:val="24"/>
                <w:lang w:val="en-IE"/>
              </w:rPr>
              <w:t>ould allow</w:t>
            </w:r>
            <w:r w:rsidR="009B4F4E" w:rsidRPr="00C76C3B">
              <w:rPr>
                <w:sz w:val="24"/>
                <w:szCs w:val="24"/>
                <w:lang w:val="en-IE"/>
              </w:rPr>
              <w:t xml:space="preserve"> FMPs to differentiate between data identified as not material and </w:t>
            </w:r>
            <w:r w:rsidR="009B4F4E" w:rsidRPr="00C76C3B">
              <w:rPr>
                <w:sz w:val="24"/>
                <w:szCs w:val="24"/>
                <w:lang w:val="en-IE"/>
              </w:rPr>
              <w:lastRenderedPageBreak/>
              <w:t xml:space="preserve">therefore </w:t>
            </w:r>
            <w:r w:rsidR="00C30ED8" w:rsidRPr="00C76C3B">
              <w:rPr>
                <w:sz w:val="24"/>
                <w:szCs w:val="24"/>
                <w:lang w:val="en-IE"/>
              </w:rPr>
              <w:t xml:space="preserve">which </w:t>
            </w:r>
            <w:r w:rsidR="009B4F4E" w:rsidRPr="00C76C3B">
              <w:rPr>
                <w:sz w:val="24"/>
                <w:szCs w:val="24"/>
                <w:lang w:val="en-IE"/>
              </w:rPr>
              <w:t>can be treated as zero</w:t>
            </w:r>
            <w:r w:rsidR="00C30ED8" w:rsidRPr="00C76C3B">
              <w:rPr>
                <w:sz w:val="24"/>
                <w:szCs w:val="24"/>
                <w:lang w:val="en-IE"/>
              </w:rPr>
              <w:t>,</w:t>
            </w:r>
            <w:r w:rsidR="009B4F4E" w:rsidRPr="00C76C3B">
              <w:rPr>
                <w:sz w:val="24"/>
                <w:szCs w:val="24"/>
                <w:lang w:val="en-IE"/>
              </w:rPr>
              <w:t xml:space="preserve"> and data not reported </w:t>
            </w:r>
            <w:r w:rsidR="001635C3" w:rsidRPr="00C76C3B">
              <w:rPr>
                <w:sz w:val="24"/>
                <w:szCs w:val="24"/>
                <w:lang w:val="en-IE"/>
              </w:rPr>
              <w:t>which</w:t>
            </w:r>
            <w:r w:rsidR="009B4F4E" w:rsidRPr="00C76C3B">
              <w:rPr>
                <w:sz w:val="24"/>
                <w:szCs w:val="24"/>
                <w:lang w:val="en-IE"/>
              </w:rPr>
              <w:t xml:space="preserve"> FMPs</w:t>
            </w:r>
            <w:r w:rsidR="001635C3" w:rsidRPr="00C76C3B">
              <w:rPr>
                <w:sz w:val="24"/>
                <w:szCs w:val="24"/>
                <w:lang w:val="en-IE"/>
              </w:rPr>
              <w:t xml:space="preserve"> need</w:t>
            </w:r>
            <w:r w:rsidR="009B4F4E" w:rsidRPr="00C76C3B">
              <w:rPr>
                <w:sz w:val="24"/>
                <w:szCs w:val="24"/>
                <w:lang w:val="en-IE"/>
              </w:rPr>
              <w:t xml:space="preserve"> to fulfil their “best effort</w:t>
            </w:r>
            <w:r w:rsidR="001635C3" w:rsidRPr="00C76C3B">
              <w:rPr>
                <w:sz w:val="24"/>
                <w:szCs w:val="24"/>
                <w:lang w:val="en-IE"/>
              </w:rPr>
              <w:t xml:space="preserve"> </w:t>
            </w:r>
            <w:r w:rsidR="009B4F4E" w:rsidRPr="00C76C3B">
              <w:rPr>
                <w:sz w:val="24"/>
                <w:szCs w:val="24"/>
                <w:lang w:val="en-IE"/>
              </w:rPr>
              <w:t>obligation" under the SFDR.</w:t>
            </w:r>
          </w:p>
          <w:p w14:paraId="13D67E04" w14:textId="77777777" w:rsidR="00123051" w:rsidRPr="00C76C3B" w:rsidRDefault="00123051" w:rsidP="00C76C3B">
            <w:pPr>
              <w:ind w:left="360"/>
              <w:jc w:val="both"/>
              <w:rPr>
                <w:sz w:val="24"/>
                <w:szCs w:val="24"/>
                <w:lang w:val="en-IE"/>
              </w:rPr>
            </w:pPr>
          </w:p>
          <w:p w14:paraId="0D51CD2F" w14:textId="5316B1C2" w:rsidR="00E275F3" w:rsidRPr="00C76C3B" w:rsidRDefault="0015031F" w:rsidP="00C76C3B">
            <w:pPr>
              <w:pStyle w:val="Odsekzoznamu"/>
              <w:numPr>
                <w:ilvl w:val="0"/>
                <w:numId w:val="15"/>
              </w:numPr>
              <w:jc w:val="both"/>
              <w:rPr>
                <w:b/>
                <w:bCs/>
                <w:sz w:val="24"/>
                <w:szCs w:val="24"/>
                <w:lang w:val="en-IE"/>
              </w:rPr>
            </w:pPr>
            <w:r w:rsidRPr="00C76C3B">
              <w:rPr>
                <w:b/>
                <w:bCs/>
                <w:sz w:val="24"/>
                <w:szCs w:val="24"/>
                <w:lang w:val="en-IE"/>
              </w:rPr>
              <w:t xml:space="preserve">Further improve </w:t>
            </w:r>
            <w:r w:rsidR="007E60FF" w:rsidRPr="00C76C3B">
              <w:rPr>
                <w:b/>
                <w:sz w:val="24"/>
                <w:szCs w:val="24"/>
                <w:lang w:val="en-IE"/>
              </w:rPr>
              <w:t xml:space="preserve">Interoperability </w:t>
            </w:r>
            <w:r w:rsidR="006F4D40" w:rsidRPr="00C76C3B">
              <w:rPr>
                <w:b/>
                <w:bCs/>
                <w:sz w:val="24"/>
                <w:szCs w:val="24"/>
                <w:lang w:val="en-IE"/>
              </w:rPr>
              <w:t>with ISSB</w:t>
            </w:r>
          </w:p>
          <w:p w14:paraId="385A8588" w14:textId="13C6FB66" w:rsidR="00EC0530" w:rsidRDefault="000F2E6F" w:rsidP="00C76C3B">
            <w:pPr>
              <w:pStyle w:val="Odsekzoznamu"/>
              <w:ind w:left="360"/>
              <w:jc w:val="both"/>
              <w:rPr>
                <w:lang w:val="en-IE"/>
              </w:rPr>
            </w:pPr>
            <w:r w:rsidRPr="00C76C3B">
              <w:rPr>
                <w:sz w:val="24"/>
                <w:szCs w:val="24"/>
                <w:lang w:val="en-IE"/>
              </w:rPr>
              <w:t xml:space="preserve">The definition of financial materiality </w:t>
            </w:r>
            <w:r w:rsidR="006279CA" w:rsidRPr="00C76C3B">
              <w:rPr>
                <w:sz w:val="24"/>
                <w:szCs w:val="24"/>
                <w:lang w:val="en-IE"/>
              </w:rPr>
              <w:t xml:space="preserve">under the ESRS should be further aligned with the ISSB definition. In particular, the current </w:t>
            </w:r>
            <w:r w:rsidR="00603CB3" w:rsidRPr="00C76C3B">
              <w:rPr>
                <w:sz w:val="24"/>
                <w:szCs w:val="24"/>
                <w:lang w:val="en-IE"/>
              </w:rPr>
              <w:t xml:space="preserve">requirement under the ESRS financial materiality to assess the financial </w:t>
            </w:r>
            <w:r w:rsidR="00042385" w:rsidRPr="00C76C3B">
              <w:rPr>
                <w:sz w:val="24"/>
                <w:szCs w:val="24"/>
                <w:lang w:val="en-IE"/>
              </w:rPr>
              <w:t>effects</w:t>
            </w:r>
            <w:r w:rsidR="00603CB3" w:rsidRPr="00C76C3B">
              <w:rPr>
                <w:sz w:val="24"/>
                <w:szCs w:val="24"/>
                <w:lang w:val="en-IE"/>
              </w:rPr>
              <w:t xml:space="preserve"> </w:t>
            </w:r>
            <w:r w:rsidR="009C7EBC" w:rsidRPr="00C76C3B">
              <w:rPr>
                <w:sz w:val="24"/>
                <w:szCs w:val="24"/>
                <w:lang w:val="en-IE"/>
              </w:rPr>
              <w:t xml:space="preserve">needed by </w:t>
            </w:r>
            <w:r w:rsidR="00EC0530" w:rsidRPr="00C76C3B">
              <w:rPr>
                <w:sz w:val="24"/>
                <w:szCs w:val="24"/>
                <w:lang w:val="en-IE"/>
              </w:rPr>
              <w:t>investors, employees, academics and others</w:t>
            </w:r>
            <w:r w:rsidR="00EC0530">
              <w:rPr>
                <w:sz w:val="24"/>
                <w:szCs w:val="24"/>
                <w:lang w:val="en-IE"/>
              </w:rPr>
              <w:t xml:space="preserve"> should be </w:t>
            </w:r>
            <w:r w:rsidR="00CF6BAC">
              <w:rPr>
                <w:sz w:val="24"/>
                <w:szCs w:val="24"/>
                <w:lang w:val="en-IE"/>
              </w:rPr>
              <w:t>removed</w:t>
            </w:r>
            <w:r w:rsidR="00EC0530">
              <w:rPr>
                <w:sz w:val="24"/>
                <w:szCs w:val="24"/>
                <w:lang w:val="en-IE"/>
              </w:rPr>
              <w:t>.</w:t>
            </w:r>
            <w:r w:rsidR="009A4EA8">
              <w:rPr>
                <w:sz w:val="24"/>
                <w:szCs w:val="24"/>
                <w:lang w:val="en-IE"/>
              </w:rPr>
              <w:t xml:space="preserve"> </w:t>
            </w:r>
          </w:p>
          <w:p w14:paraId="61B7BA79" w14:textId="009D498A" w:rsidR="000D637D" w:rsidRDefault="000D637D" w:rsidP="00C76C3B">
            <w:pPr>
              <w:pStyle w:val="Odsekzoznamu"/>
              <w:ind w:left="360"/>
              <w:jc w:val="both"/>
              <w:rPr>
                <w:sz w:val="24"/>
                <w:szCs w:val="24"/>
                <w:lang w:val="en-IE"/>
              </w:rPr>
            </w:pPr>
            <w:proofErr w:type="gramStart"/>
            <w:r>
              <w:rPr>
                <w:sz w:val="24"/>
                <w:szCs w:val="24"/>
                <w:lang w:val="en-IE"/>
              </w:rPr>
              <w:t>Also</w:t>
            </w:r>
            <w:proofErr w:type="gramEnd"/>
            <w:r>
              <w:rPr>
                <w:sz w:val="24"/>
                <w:szCs w:val="24"/>
                <w:lang w:val="en-IE"/>
              </w:rPr>
              <w:t xml:space="preserve"> joint EFRAG-ISSB guidance is needed as soon as possible, leaving no room for interpretation or any intermediary, in order to clarify the following:</w:t>
            </w:r>
          </w:p>
          <w:p w14:paraId="6079ABD7" w14:textId="77777777" w:rsidR="000D637D" w:rsidRDefault="000D637D" w:rsidP="00C76C3B">
            <w:pPr>
              <w:pStyle w:val="Odsekzoznamu"/>
              <w:numPr>
                <w:ilvl w:val="1"/>
                <w:numId w:val="15"/>
              </w:numPr>
              <w:jc w:val="both"/>
              <w:rPr>
                <w:sz w:val="24"/>
                <w:szCs w:val="24"/>
                <w:lang w:val="en-IE"/>
              </w:rPr>
            </w:pPr>
            <w:r>
              <w:rPr>
                <w:sz w:val="24"/>
                <w:szCs w:val="24"/>
                <w:lang w:val="en-IE"/>
              </w:rPr>
              <w:t>ESRS compliance translates into ISSB compliance to avoid double reporting efforts for international insurance groups.</w:t>
            </w:r>
          </w:p>
          <w:p w14:paraId="36C248EC" w14:textId="77777777" w:rsidR="000D637D" w:rsidRDefault="000D637D" w:rsidP="00C76C3B">
            <w:pPr>
              <w:pStyle w:val="Odsekzoznamu"/>
              <w:numPr>
                <w:ilvl w:val="1"/>
                <w:numId w:val="15"/>
              </w:numPr>
              <w:jc w:val="both"/>
              <w:rPr>
                <w:sz w:val="24"/>
                <w:szCs w:val="24"/>
                <w:lang w:val="en-IE"/>
              </w:rPr>
            </w:pPr>
            <w:r>
              <w:rPr>
                <w:sz w:val="24"/>
                <w:szCs w:val="24"/>
                <w:lang w:val="en-IE"/>
              </w:rPr>
              <w:t>When financial institutions use ESRS and ISSB reports from their value chain counterparts worldwide, datapoints covered by both can always be 1:1 equally understood (</w:t>
            </w:r>
            <w:proofErr w:type="spellStart"/>
            <w:r>
              <w:rPr>
                <w:sz w:val="24"/>
                <w:szCs w:val="24"/>
                <w:lang w:val="en-IE"/>
              </w:rPr>
              <w:t>eg.</w:t>
            </w:r>
            <w:proofErr w:type="spellEnd"/>
            <w:r>
              <w:rPr>
                <w:sz w:val="24"/>
                <w:szCs w:val="24"/>
                <w:lang w:val="en-IE"/>
              </w:rPr>
              <w:t xml:space="preserve"> scope 3 ESRS = Scope 3 ISSB) so users do not need to perform any kind of processing (</w:t>
            </w:r>
            <w:proofErr w:type="spellStart"/>
            <w:r>
              <w:rPr>
                <w:sz w:val="24"/>
                <w:szCs w:val="24"/>
                <w:lang w:val="en-IE"/>
              </w:rPr>
              <w:t>eg.</w:t>
            </w:r>
            <w:proofErr w:type="spellEnd"/>
            <w:r>
              <w:rPr>
                <w:sz w:val="24"/>
                <w:szCs w:val="24"/>
                <w:lang w:val="en-IE"/>
              </w:rPr>
              <w:t xml:space="preserve"> reconciliation) of reported data.</w:t>
            </w:r>
          </w:p>
          <w:p w14:paraId="56745C33" w14:textId="77777777" w:rsidR="000D637D" w:rsidRDefault="000D637D" w:rsidP="00C76C3B">
            <w:pPr>
              <w:pStyle w:val="Odsekzoznamu"/>
              <w:numPr>
                <w:ilvl w:val="1"/>
                <w:numId w:val="15"/>
              </w:numPr>
              <w:jc w:val="both"/>
              <w:rPr>
                <w:sz w:val="24"/>
                <w:szCs w:val="24"/>
                <w:lang w:val="en-IE"/>
              </w:rPr>
            </w:pPr>
            <w:r>
              <w:rPr>
                <w:sz w:val="24"/>
                <w:szCs w:val="24"/>
                <w:lang w:val="en-IE"/>
              </w:rPr>
              <w:t>How interoperability will be ensured in the future where ISSB standards are developed for topics already covered by EFRAG</w:t>
            </w:r>
            <w:r w:rsidRPr="00E33259">
              <w:rPr>
                <w:sz w:val="24"/>
                <w:szCs w:val="24"/>
                <w:lang w:val="en-IE"/>
              </w:rPr>
              <w:t>.</w:t>
            </w:r>
          </w:p>
          <w:p w14:paraId="2FC717A6" w14:textId="77777777" w:rsidR="000D637D" w:rsidRPr="00C76C3B" w:rsidRDefault="000D637D" w:rsidP="00C76C3B">
            <w:pPr>
              <w:pStyle w:val="Odsekzoznamu"/>
              <w:ind w:left="360"/>
              <w:jc w:val="both"/>
              <w:rPr>
                <w:sz w:val="24"/>
                <w:szCs w:val="24"/>
                <w:lang w:val="en-IE"/>
              </w:rPr>
            </w:pPr>
          </w:p>
          <w:p w14:paraId="0D56A5E8" w14:textId="77777777" w:rsidR="00C37A05" w:rsidRPr="00C76C3B" w:rsidRDefault="00D37741" w:rsidP="00C76C3B">
            <w:pPr>
              <w:pStyle w:val="Odsekzoznamu"/>
              <w:numPr>
                <w:ilvl w:val="0"/>
                <w:numId w:val="15"/>
              </w:numPr>
              <w:jc w:val="both"/>
              <w:rPr>
                <w:b/>
                <w:sz w:val="24"/>
                <w:szCs w:val="24"/>
                <w:lang w:val="en-IE"/>
              </w:rPr>
            </w:pPr>
            <w:r w:rsidRPr="00C76C3B">
              <w:rPr>
                <w:b/>
                <w:sz w:val="24"/>
                <w:szCs w:val="24"/>
                <w:lang w:val="en-IE"/>
              </w:rPr>
              <w:t xml:space="preserve">Extend </w:t>
            </w:r>
            <w:r w:rsidR="00816E7A" w:rsidRPr="00C76C3B">
              <w:rPr>
                <w:b/>
                <w:sz w:val="24"/>
                <w:szCs w:val="24"/>
                <w:lang w:val="en-IE"/>
              </w:rPr>
              <w:t xml:space="preserve">the phase-in for </w:t>
            </w:r>
            <w:r w:rsidR="00E16C13" w:rsidRPr="00C76C3B">
              <w:rPr>
                <w:b/>
                <w:sz w:val="24"/>
                <w:szCs w:val="24"/>
                <w:lang w:val="en-IE"/>
              </w:rPr>
              <w:t>reporting on “non-employee</w:t>
            </w:r>
            <w:r w:rsidR="00C37A05" w:rsidRPr="00C76C3B">
              <w:rPr>
                <w:b/>
                <w:sz w:val="24"/>
                <w:szCs w:val="24"/>
                <w:lang w:val="en-IE"/>
              </w:rPr>
              <w:t xml:space="preserve"> workers</w:t>
            </w:r>
            <w:r w:rsidR="00E16C13" w:rsidRPr="00C76C3B">
              <w:rPr>
                <w:b/>
                <w:sz w:val="24"/>
                <w:szCs w:val="24"/>
                <w:lang w:val="en-IE"/>
              </w:rPr>
              <w:t xml:space="preserve">” </w:t>
            </w:r>
            <w:r w:rsidR="00C37A05" w:rsidRPr="00C76C3B">
              <w:rPr>
                <w:b/>
                <w:sz w:val="24"/>
                <w:szCs w:val="24"/>
                <w:lang w:val="en-IE"/>
              </w:rPr>
              <w:t>to all companies</w:t>
            </w:r>
          </w:p>
          <w:p w14:paraId="59548099" w14:textId="68970B09" w:rsidR="00673CE4" w:rsidRDefault="00673CE4" w:rsidP="00C37A05">
            <w:pPr>
              <w:pStyle w:val="Odsekzoznamu"/>
              <w:ind w:left="360"/>
              <w:jc w:val="both"/>
              <w:rPr>
                <w:sz w:val="24"/>
                <w:szCs w:val="24"/>
                <w:lang w:val="en-IE"/>
              </w:rPr>
            </w:pPr>
            <w:r w:rsidRPr="002967BA">
              <w:rPr>
                <w:sz w:val="24"/>
                <w:szCs w:val="24"/>
                <w:lang w:val="en-IE"/>
              </w:rPr>
              <w:t xml:space="preserve">The insurance industry appreciates the intention of the EC to bring proportionality by introducing additional </w:t>
            </w:r>
            <w:r w:rsidRPr="00710437">
              <w:rPr>
                <w:b/>
                <w:bCs/>
                <w:sz w:val="24"/>
                <w:szCs w:val="24"/>
                <w:lang w:val="en-IE"/>
              </w:rPr>
              <w:t>phase-ins</w:t>
            </w:r>
            <w:r w:rsidRPr="002967BA">
              <w:rPr>
                <w:sz w:val="24"/>
                <w:szCs w:val="24"/>
                <w:lang w:val="en-IE"/>
              </w:rPr>
              <w:t xml:space="preserve">. However, </w:t>
            </w:r>
            <w:r w:rsidR="00A4124F">
              <w:rPr>
                <w:sz w:val="24"/>
                <w:szCs w:val="24"/>
                <w:lang w:val="en-IE"/>
              </w:rPr>
              <w:t>allowing</w:t>
            </w:r>
            <w:r w:rsidRPr="002967BA">
              <w:rPr>
                <w:sz w:val="24"/>
                <w:szCs w:val="24"/>
                <w:lang w:val="en-IE"/>
              </w:rPr>
              <w:t xml:space="preserve"> phase-ins on own workforce reporting for smaller companies is problematic from </w:t>
            </w:r>
            <w:r w:rsidR="00D23527">
              <w:rPr>
                <w:sz w:val="24"/>
                <w:szCs w:val="24"/>
                <w:lang w:val="en-IE"/>
              </w:rPr>
              <w:t>a</w:t>
            </w:r>
            <w:r w:rsidRPr="002967BA">
              <w:rPr>
                <w:sz w:val="24"/>
                <w:szCs w:val="24"/>
                <w:lang w:val="en-IE"/>
              </w:rPr>
              <w:t xml:space="preserve"> user perspective</w:t>
            </w:r>
            <w:r w:rsidR="00D23527">
              <w:rPr>
                <w:sz w:val="24"/>
                <w:szCs w:val="24"/>
                <w:lang w:val="en-IE"/>
              </w:rPr>
              <w:t>, because this data can be needed for their “non-employee workers” reporting</w:t>
            </w:r>
            <w:r w:rsidRPr="002967BA">
              <w:rPr>
                <w:sz w:val="24"/>
                <w:szCs w:val="24"/>
                <w:lang w:val="en-IE"/>
              </w:rPr>
              <w:t xml:space="preserve">.  Rather, phase-ins </w:t>
            </w:r>
            <w:r w:rsidR="00D23527">
              <w:rPr>
                <w:sz w:val="24"/>
                <w:szCs w:val="24"/>
                <w:lang w:val="en-IE"/>
              </w:rPr>
              <w:t>cover</w:t>
            </w:r>
            <w:r w:rsidRPr="002967BA">
              <w:rPr>
                <w:sz w:val="24"/>
                <w:szCs w:val="24"/>
                <w:lang w:val="en-IE"/>
              </w:rPr>
              <w:t xml:space="preserve"> key implementation challenges</w:t>
            </w:r>
            <w:r w:rsidR="00D23527">
              <w:rPr>
                <w:sz w:val="24"/>
                <w:szCs w:val="24"/>
                <w:lang w:val="en-IE"/>
              </w:rPr>
              <w:t xml:space="preserve"> and so</w:t>
            </w:r>
            <w:r w:rsidRPr="002967BA">
              <w:rPr>
                <w:sz w:val="24"/>
                <w:szCs w:val="24"/>
                <w:lang w:val="en-IE"/>
              </w:rPr>
              <w:t xml:space="preserve"> all companies should have a phase-in for “non-employee worker</w:t>
            </w:r>
            <w:r>
              <w:rPr>
                <w:sz w:val="24"/>
                <w:szCs w:val="24"/>
                <w:lang w:val="en-IE"/>
              </w:rPr>
              <w:t>s</w:t>
            </w:r>
            <w:r w:rsidRPr="00987E8E">
              <w:rPr>
                <w:sz w:val="24"/>
                <w:szCs w:val="24"/>
                <w:lang w:val="en-IE"/>
              </w:rPr>
              <w:t>”.</w:t>
            </w:r>
          </w:p>
          <w:p w14:paraId="72026B37" w14:textId="77777777" w:rsidR="00673CE4" w:rsidRDefault="00673CE4" w:rsidP="00C76C3B">
            <w:pPr>
              <w:pStyle w:val="Odsekzoznamu"/>
              <w:ind w:left="360"/>
              <w:jc w:val="both"/>
              <w:rPr>
                <w:sz w:val="24"/>
                <w:szCs w:val="24"/>
                <w:lang w:val="en-IE"/>
              </w:rPr>
            </w:pPr>
          </w:p>
          <w:p w14:paraId="5F6EF85B" w14:textId="2452383F" w:rsidR="00585A81" w:rsidRPr="00585A81" w:rsidRDefault="00585A81" w:rsidP="00C76C3B">
            <w:pPr>
              <w:pStyle w:val="Odsekzoznamu"/>
              <w:numPr>
                <w:ilvl w:val="0"/>
                <w:numId w:val="15"/>
              </w:numPr>
              <w:jc w:val="both"/>
              <w:rPr>
                <w:b/>
                <w:bCs/>
                <w:sz w:val="24"/>
                <w:szCs w:val="24"/>
                <w:lang w:val="en-IE"/>
              </w:rPr>
            </w:pPr>
            <w:r w:rsidRPr="00585A81">
              <w:rPr>
                <w:b/>
                <w:bCs/>
                <w:sz w:val="24"/>
                <w:szCs w:val="24"/>
                <w:lang w:val="en-IE"/>
              </w:rPr>
              <w:t xml:space="preserve">The EC should clarify that the use of external references is voluntary </w:t>
            </w:r>
          </w:p>
          <w:p w14:paraId="3F3A98A5" w14:textId="77777777" w:rsidR="00585A81" w:rsidRPr="00C76C3B" w:rsidRDefault="00585A81" w:rsidP="00C76C3B">
            <w:pPr>
              <w:pStyle w:val="Odsekzoznamu"/>
              <w:numPr>
                <w:ilvl w:val="1"/>
                <w:numId w:val="15"/>
              </w:numPr>
              <w:jc w:val="both"/>
              <w:rPr>
                <w:sz w:val="24"/>
                <w:szCs w:val="24"/>
                <w:lang w:val="en-IE"/>
              </w:rPr>
            </w:pPr>
            <w:r w:rsidRPr="00C76C3B">
              <w:rPr>
                <w:sz w:val="24"/>
                <w:szCs w:val="24"/>
                <w:lang w:val="en-IE"/>
              </w:rPr>
              <w:t xml:space="preserve">The PCAF standard in ESRS E1-6 AR47(b): the use of PCAF should remain voluntary and therefore EC could solve this by replacing the term “shall consider” by “may consider” in AR47(b). </w:t>
            </w:r>
          </w:p>
          <w:p w14:paraId="45FEC6C3" w14:textId="77777777" w:rsidR="00585A81" w:rsidRPr="00C76C3B" w:rsidRDefault="00585A81" w:rsidP="00C76C3B">
            <w:pPr>
              <w:pStyle w:val="Odsekzoznamu"/>
              <w:numPr>
                <w:ilvl w:val="1"/>
                <w:numId w:val="15"/>
              </w:numPr>
              <w:jc w:val="both"/>
              <w:rPr>
                <w:sz w:val="24"/>
                <w:szCs w:val="24"/>
                <w:lang w:val="en-IE"/>
              </w:rPr>
            </w:pPr>
            <w:r w:rsidRPr="00C76C3B">
              <w:rPr>
                <w:sz w:val="24"/>
                <w:szCs w:val="24"/>
                <w:lang w:val="en-IE"/>
              </w:rPr>
              <w:t>The International Energy Agency in ESRS E1-AR13(c): while EFRAG advice was clear on the voluntary nature of the use of IEA’s scenarios, changes introduced by the EC to AR13(c) bring confusion as to whether it remains the case.</w:t>
            </w:r>
          </w:p>
          <w:p w14:paraId="1BF139DD" w14:textId="24BF7DA2" w:rsidR="00C84A05" w:rsidRPr="00C76C3B" w:rsidRDefault="00585A81" w:rsidP="00C76C3B">
            <w:pPr>
              <w:ind w:left="360"/>
              <w:jc w:val="both"/>
              <w:rPr>
                <w:sz w:val="24"/>
                <w:szCs w:val="24"/>
                <w:lang w:val="en-IE"/>
              </w:rPr>
            </w:pPr>
            <w:r w:rsidRPr="00C76C3B">
              <w:rPr>
                <w:sz w:val="24"/>
                <w:szCs w:val="24"/>
                <w:lang w:val="en-IE"/>
              </w:rPr>
              <w:t xml:space="preserve">In general, the EC should </w:t>
            </w:r>
            <w:r w:rsidR="00E61F67">
              <w:rPr>
                <w:sz w:val="24"/>
                <w:szCs w:val="24"/>
                <w:lang w:val="en-IE"/>
              </w:rPr>
              <w:t xml:space="preserve">also </w:t>
            </w:r>
            <w:r w:rsidRPr="00C76C3B">
              <w:rPr>
                <w:sz w:val="24"/>
                <w:szCs w:val="24"/>
                <w:lang w:val="en-IE"/>
              </w:rPr>
              <w:t>clarify in the description of “shall consider” requirements under ESRS 1 para 18 that it does not constitute a formal requirement</w:t>
            </w:r>
          </w:p>
          <w:p w14:paraId="519EFF66" w14:textId="77777777" w:rsidR="00585A81" w:rsidRPr="00E43ED0" w:rsidRDefault="00585A81" w:rsidP="00C76C3B">
            <w:pPr>
              <w:jc w:val="both"/>
              <w:rPr>
                <w:b/>
                <w:sz w:val="24"/>
                <w:szCs w:val="24"/>
                <w:lang w:val="en-IE"/>
              </w:rPr>
            </w:pPr>
          </w:p>
          <w:p w14:paraId="1D673C76" w14:textId="27BD1592" w:rsidR="0069201A" w:rsidRPr="00C76C3B" w:rsidRDefault="003724B6" w:rsidP="00C76C3B">
            <w:pPr>
              <w:pStyle w:val="Odsekzoznamu"/>
              <w:numPr>
                <w:ilvl w:val="0"/>
                <w:numId w:val="15"/>
              </w:numPr>
              <w:jc w:val="both"/>
              <w:rPr>
                <w:b/>
                <w:bCs/>
                <w:sz w:val="24"/>
                <w:szCs w:val="24"/>
                <w:lang w:val="en-IE"/>
              </w:rPr>
            </w:pPr>
            <w:r w:rsidRPr="00C76C3B">
              <w:rPr>
                <w:b/>
                <w:bCs/>
                <w:sz w:val="24"/>
                <w:szCs w:val="24"/>
                <w:lang w:val="en-IE"/>
              </w:rPr>
              <w:t xml:space="preserve">Require </w:t>
            </w:r>
            <w:r w:rsidR="00B73349" w:rsidRPr="00C76C3B">
              <w:rPr>
                <w:b/>
                <w:bCs/>
                <w:sz w:val="24"/>
                <w:szCs w:val="24"/>
                <w:lang w:val="en-IE"/>
              </w:rPr>
              <w:t xml:space="preserve">value chain reporting </w:t>
            </w:r>
            <w:r w:rsidRPr="00C76C3B">
              <w:rPr>
                <w:b/>
                <w:bCs/>
                <w:sz w:val="24"/>
                <w:szCs w:val="24"/>
                <w:lang w:val="en-IE"/>
              </w:rPr>
              <w:t xml:space="preserve">only where </w:t>
            </w:r>
            <w:r w:rsidR="0069201A" w:rsidRPr="00C76C3B">
              <w:rPr>
                <w:b/>
                <w:bCs/>
                <w:sz w:val="24"/>
                <w:szCs w:val="24"/>
                <w:lang w:val="en-IE"/>
              </w:rPr>
              <w:t>data and established methodologies exist</w:t>
            </w:r>
          </w:p>
          <w:p w14:paraId="4FB3B1E7" w14:textId="162DD845" w:rsidR="009C4C01" w:rsidRDefault="001371BA" w:rsidP="00C76C3B">
            <w:pPr>
              <w:pStyle w:val="Odsekzoznamu"/>
              <w:ind w:left="360"/>
              <w:jc w:val="both"/>
              <w:rPr>
                <w:sz w:val="24"/>
                <w:szCs w:val="24"/>
                <w:lang w:val="en-IE"/>
              </w:rPr>
            </w:pPr>
            <w:r>
              <w:rPr>
                <w:sz w:val="24"/>
                <w:szCs w:val="24"/>
                <w:lang w:val="en-IE"/>
              </w:rPr>
              <w:lastRenderedPageBreak/>
              <w:t>Q</w:t>
            </w:r>
            <w:r w:rsidR="007E36EF">
              <w:rPr>
                <w:sz w:val="24"/>
                <w:szCs w:val="24"/>
                <w:lang w:val="en-IE"/>
              </w:rPr>
              <w:t xml:space="preserve">uantitative metrics </w:t>
            </w:r>
            <w:r w:rsidR="00A35C4B">
              <w:rPr>
                <w:sz w:val="24"/>
                <w:szCs w:val="24"/>
                <w:lang w:val="en-IE"/>
              </w:rPr>
              <w:t>should be limited to companies’ own operations in a first step</w:t>
            </w:r>
            <w:r w:rsidR="006B1A48">
              <w:rPr>
                <w:sz w:val="24"/>
                <w:szCs w:val="24"/>
                <w:lang w:val="en-IE"/>
              </w:rPr>
              <w:t xml:space="preserve"> </w:t>
            </w:r>
            <w:r w:rsidR="00A35C4B">
              <w:rPr>
                <w:sz w:val="24"/>
                <w:szCs w:val="24"/>
                <w:lang w:val="en-IE"/>
              </w:rPr>
              <w:t xml:space="preserve">until there is </w:t>
            </w:r>
            <w:r w:rsidR="00823A3A">
              <w:rPr>
                <w:sz w:val="24"/>
                <w:szCs w:val="24"/>
                <w:lang w:val="en-IE"/>
              </w:rPr>
              <w:t>data and established methodolog</w:t>
            </w:r>
            <w:r w:rsidR="00566233">
              <w:rPr>
                <w:sz w:val="24"/>
                <w:szCs w:val="24"/>
                <w:lang w:val="en-IE"/>
              </w:rPr>
              <w:t>ies/</w:t>
            </w:r>
            <w:r w:rsidR="00A35C4B">
              <w:rPr>
                <w:sz w:val="24"/>
                <w:szCs w:val="24"/>
                <w:lang w:val="en-IE"/>
              </w:rPr>
              <w:t xml:space="preserve">guidance on how financial institutions shall report on their </w:t>
            </w:r>
            <w:r w:rsidR="00A35C4B" w:rsidRPr="00C76C3B">
              <w:rPr>
                <w:b/>
                <w:bCs/>
                <w:sz w:val="24"/>
                <w:szCs w:val="24"/>
                <w:lang w:val="en-IE"/>
              </w:rPr>
              <w:t>value chain</w:t>
            </w:r>
            <w:r w:rsidR="00A35C4B">
              <w:rPr>
                <w:sz w:val="24"/>
                <w:szCs w:val="24"/>
                <w:lang w:val="en-IE"/>
              </w:rPr>
              <w:t>.</w:t>
            </w:r>
            <w:r w:rsidR="007964CC">
              <w:rPr>
                <w:sz w:val="24"/>
                <w:szCs w:val="24"/>
                <w:lang w:val="en-IE"/>
              </w:rPr>
              <w:t xml:space="preserve"> </w:t>
            </w:r>
            <w:r w:rsidR="007964CC" w:rsidRPr="007964CC">
              <w:rPr>
                <w:sz w:val="24"/>
                <w:szCs w:val="24"/>
                <w:lang w:val="en-IE"/>
              </w:rPr>
              <w:t xml:space="preserve">Not only is a certain implementation period required to implement or extend reporting to value chain counterparts, </w:t>
            </w:r>
            <w:r w:rsidR="00783A87">
              <w:rPr>
                <w:sz w:val="24"/>
                <w:szCs w:val="24"/>
                <w:lang w:val="en-IE"/>
              </w:rPr>
              <w:t xml:space="preserve">but </w:t>
            </w:r>
            <w:r w:rsidR="007964CC" w:rsidRPr="007964CC">
              <w:rPr>
                <w:sz w:val="24"/>
                <w:szCs w:val="24"/>
                <w:lang w:val="en-IE"/>
              </w:rPr>
              <w:t>also data availability issues as well as the lack of mature aggregation methodologies would not allow for meaningful and comparable reporting upon first implementation.</w:t>
            </w:r>
            <w:r w:rsidR="007964CC">
              <w:rPr>
                <w:sz w:val="24"/>
                <w:szCs w:val="24"/>
                <w:lang w:val="en-IE"/>
              </w:rPr>
              <w:t xml:space="preserve"> While we support that </w:t>
            </w:r>
            <w:r w:rsidR="00783A87">
              <w:rPr>
                <w:sz w:val="24"/>
                <w:szCs w:val="24"/>
                <w:lang w:val="en-IE"/>
              </w:rPr>
              <w:t>most</w:t>
            </w:r>
            <w:r w:rsidR="007964CC">
              <w:rPr>
                <w:sz w:val="24"/>
                <w:szCs w:val="24"/>
                <w:lang w:val="en-IE"/>
              </w:rPr>
              <w:t xml:space="preserve"> quantitative metrics </w:t>
            </w:r>
            <w:r w:rsidR="003F19B2">
              <w:rPr>
                <w:sz w:val="24"/>
                <w:szCs w:val="24"/>
                <w:lang w:val="en-IE"/>
              </w:rPr>
              <w:t>are</w:t>
            </w:r>
            <w:r w:rsidR="007964CC">
              <w:rPr>
                <w:sz w:val="24"/>
                <w:szCs w:val="24"/>
                <w:lang w:val="en-IE"/>
              </w:rPr>
              <w:t xml:space="preserve"> currently limited to own operations, there remains datapoints to which this </w:t>
            </w:r>
            <w:r w:rsidR="00CD459B">
              <w:rPr>
                <w:sz w:val="24"/>
                <w:szCs w:val="24"/>
                <w:lang w:val="en-IE"/>
              </w:rPr>
              <w:t>applies</w:t>
            </w:r>
            <w:r w:rsidR="00CD459B" w:rsidRPr="00CD459B">
              <w:rPr>
                <w:sz w:val="24"/>
                <w:szCs w:val="24"/>
                <w:lang w:val="en-IE"/>
              </w:rPr>
              <w:t xml:space="preserve"> (</w:t>
            </w:r>
            <w:proofErr w:type="spellStart"/>
            <w:r w:rsidR="00CD459B" w:rsidRPr="00CD459B">
              <w:rPr>
                <w:sz w:val="24"/>
                <w:szCs w:val="24"/>
                <w:lang w:val="en-IE"/>
              </w:rPr>
              <w:t>eg.</w:t>
            </w:r>
            <w:proofErr w:type="spellEnd"/>
            <w:r w:rsidR="00CD459B" w:rsidRPr="00CD459B">
              <w:rPr>
                <w:sz w:val="24"/>
                <w:szCs w:val="24"/>
                <w:lang w:val="en-IE"/>
              </w:rPr>
              <w:t xml:space="preserve"> ESRS E4 AR 25, which additionally contradicts the main body</w:t>
            </w:r>
            <w:r w:rsidR="00A5234A">
              <w:rPr>
                <w:sz w:val="24"/>
                <w:szCs w:val="24"/>
                <w:lang w:val="en-IE"/>
              </w:rPr>
              <w:t xml:space="preserve">, or ESRS </w:t>
            </w:r>
            <w:r w:rsidR="00231C70">
              <w:rPr>
                <w:sz w:val="24"/>
                <w:szCs w:val="24"/>
                <w:lang w:val="en-IE"/>
              </w:rPr>
              <w:t>E5-4 on resource inflows</w:t>
            </w:r>
            <w:r w:rsidR="00CD459B">
              <w:rPr>
                <w:sz w:val="24"/>
                <w:szCs w:val="24"/>
                <w:lang w:val="en-IE"/>
              </w:rPr>
              <w:t>.</w:t>
            </w:r>
            <w:r w:rsidR="003D707A">
              <w:rPr>
                <w:sz w:val="24"/>
                <w:szCs w:val="24"/>
                <w:lang w:val="en-IE"/>
              </w:rPr>
              <w:t xml:space="preserve"> </w:t>
            </w:r>
            <w:r w:rsidR="003F19B2" w:rsidRPr="003F19B2">
              <w:rPr>
                <w:sz w:val="24"/>
                <w:szCs w:val="24"/>
                <w:lang w:val="en-IE"/>
              </w:rPr>
              <w:t>To make sure that value chain-related reporting is feasible</w:t>
            </w:r>
            <w:r w:rsidR="008F6FD9">
              <w:rPr>
                <w:sz w:val="24"/>
                <w:szCs w:val="24"/>
                <w:lang w:val="en-IE"/>
              </w:rPr>
              <w:t xml:space="preserve"> (</w:t>
            </w:r>
            <w:proofErr w:type="spellStart"/>
            <w:r w:rsidR="008F6FD9">
              <w:rPr>
                <w:sz w:val="24"/>
                <w:szCs w:val="24"/>
                <w:lang w:val="en-IE"/>
              </w:rPr>
              <w:t>ie</w:t>
            </w:r>
            <w:proofErr w:type="spellEnd"/>
            <w:r w:rsidR="008F6FD9">
              <w:rPr>
                <w:sz w:val="24"/>
                <w:szCs w:val="24"/>
                <w:lang w:val="en-IE"/>
              </w:rPr>
              <w:t>. clarity on the methodology, similar to Scope 3 emissions</w:t>
            </w:r>
            <w:r w:rsidR="00151186">
              <w:rPr>
                <w:sz w:val="24"/>
                <w:szCs w:val="24"/>
                <w:lang w:val="en-IE"/>
              </w:rPr>
              <w:t xml:space="preserve"> for investments</w:t>
            </w:r>
            <w:r w:rsidR="008F6FD9">
              <w:rPr>
                <w:sz w:val="24"/>
                <w:szCs w:val="24"/>
                <w:lang w:val="en-IE"/>
              </w:rPr>
              <w:t>)</w:t>
            </w:r>
            <w:r w:rsidR="003F19B2" w:rsidRPr="003F19B2">
              <w:rPr>
                <w:sz w:val="24"/>
                <w:szCs w:val="24"/>
                <w:lang w:val="en-IE"/>
              </w:rPr>
              <w:t xml:space="preserve"> </w:t>
            </w:r>
            <w:r w:rsidR="005145FB">
              <w:rPr>
                <w:sz w:val="24"/>
                <w:szCs w:val="24"/>
                <w:lang w:val="en-IE"/>
              </w:rPr>
              <w:t xml:space="preserve">and </w:t>
            </w:r>
            <w:r w:rsidR="003F19B2" w:rsidRPr="003F19B2">
              <w:rPr>
                <w:sz w:val="24"/>
                <w:szCs w:val="24"/>
                <w:lang w:val="en-IE"/>
              </w:rPr>
              <w:t xml:space="preserve">meaningful for users, this should be tackled </w:t>
            </w:r>
            <w:r w:rsidR="000003B7">
              <w:rPr>
                <w:sz w:val="24"/>
                <w:szCs w:val="24"/>
                <w:lang w:val="en-IE"/>
              </w:rPr>
              <w:t xml:space="preserve">by </w:t>
            </w:r>
            <w:r w:rsidR="005145FB">
              <w:rPr>
                <w:sz w:val="24"/>
                <w:szCs w:val="24"/>
                <w:lang w:val="en-IE"/>
              </w:rPr>
              <w:t xml:space="preserve">the </w:t>
            </w:r>
            <w:r w:rsidR="003F19B2" w:rsidRPr="003F19B2">
              <w:rPr>
                <w:sz w:val="24"/>
                <w:szCs w:val="24"/>
                <w:lang w:val="en-IE"/>
              </w:rPr>
              <w:t>sector</w:t>
            </w:r>
            <w:r w:rsidR="0064608D">
              <w:rPr>
                <w:sz w:val="24"/>
                <w:szCs w:val="24"/>
                <w:lang w:val="en-IE"/>
              </w:rPr>
              <w:t xml:space="preserve"> </w:t>
            </w:r>
            <w:r w:rsidR="003F19B2" w:rsidRPr="003F19B2">
              <w:rPr>
                <w:sz w:val="24"/>
                <w:szCs w:val="24"/>
                <w:lang w:val="en-IE"/>
              </w:rPr>
              <w:t>specific ESRS</w:t>
            </w:r>
            <w:r w:rsidR="005145FB">
              <w:rPr>
                <w:sz w:val="24"/>
                <w:szCs w:val="24"/>
                <w:lang w:val="en-IE"/>
              </w:rPr>
              <w:t xml:space="preserve"> as they will allow </w:t>
            </w:r>
            <w:r w:rsidR="00404EFF">
              <w:rPr>
                <w:sz w:val="24"/>
                <w:szCs w:val="24"/>
                <w:lang w:val="en-IE"/>
              </w:rPr>
              <w:t>dealing with sector specificities in detail (including the potential development of aggregation methods where appropriate)</w:t>
            </w:r>
            <w:r w:rsidR="003F19B2" w:rsidRPr="003F19B2">
              <w:rPr>
                <w:sz w:val="24"/>
                <w:szCs w:val="24"/>
                <w:lang w:val="en-IE"/>
              </w:rPr>
              <w:t>. This would avoid legal uncertainty</w:t>
            </w:r>
            <w:r w:rsidR="000003B7">
              <w:rPr>
                <w:sz w:val="24"/>
                <w:szCs w:val="24"/>
                <w:lang w:val="en-IE"/>
              </w:rPr>
              <w:t xml:space="preserve"> and </w:t>
            </w:r>
            <w:r w:rsidR="003F19B2" w:rsidRPr="003F19B2">
              <w:rPr>
                <w:sz w:val="24"/>
                <w:szCs w:val="24"/>
                <w:lang w:val="en-IE"/>
              </w:rPr>
              <w:t>be in line with the overall objective to reduce the reporting burden and facilitate first implementation. Starting with reporting on own operations allows companies to build up resources and up-skill on the broad range of ESG topics, which can subsequently be leveraged for reporting quantitative metrics on the value chain also beyond Scope 3 GHG emissions.</w:t>
            </w:r>
            <w:r w:rsidR="00EE540A">
              <w:rPr>
                <w:sz w:val="24"/>
                <w:szCs w:val="24"/>
                <w:lang w:val="en-IE"/>
              </w:rPr>
              <w:t xml:space="preserve"> It also allows to tailor value chain-related information to the needs of users (</w:t>
            </w:r>
            <w:r w:rsidR="00BF7A17">
              <w:rPr>
                <w:sz w:val="24"/>
                <w:szCs w:val="24"/>
                <w:lang w:val="en-IE"/>
              </w:rPr>
              <w:t xml:space="preserve">who </w:t>
            </w:r>
            <w:proofErr w:type="spellStart"/>
            <w:r w:rsidR="00BF7A17">
              <w:rPr>
                <w:sz w:val="24"/>
                <w:szCs w:val="24"/>
                <w:lang w:val="en-IE"/>
              </w:rPr>
              <w:t>eg.</w:t>
            </w:r>
            <w:proofErr w:type="spellEnd"/>
            <w:r w:rsidR="00BF7A17">
              <w:rPr>
                <w:sz w:val="24"/>
                <w:szCs w:val="24"/>
                <w:lang w:val="en-IE"/>
              </w:rPr>
              <w:t xml:space="preserve"> need different value chain information from financial institutions </w:t>
            </w:r>
            <w:r w:rsidR="00535905">
              <w:rPr>
                <w:sz w:val="24"/>
                <w:szCs w:val="24"/>
                <w:lang w:val="en-IE"/>
              </w:rPr>
              <w:t xml:space="preserve">than from </w:t>
            </w:r>
            <w:r w:rsidR="00BF7A17">
              <w:rPr>
                <w:sz w:val="24"/>
                <w:szCs w:val="24"/>
                <w:lang w:val="en-IE"/>
              </w:rPr>
              <w:t>manufacturers).</w:t>
            </w:r>
          </w:p>
          <w:p w14:paraId="538D0056" w14:textId="77777777" w:rsidR="00115F69" w:rsidRDefault="00115F69" w:rsidP="00C76C3B">
            <w:pPr>
              <w:pStyle w:val="Odsekzoznamu"/>
              <w:ind w:left="360"/>
              <w:jc w:val="both"/>
              <w:rPr>
                <w:sz w:val="24"/>
                <w:szCs w:val="24"/>
                <w:lang w:val="en-IE"/>
              </w:rPr>
            </w:pPr>
          </w:p>
          <w:p w14:paraId="4C0904F4" w14:textId="77777777" w:rsidR="007557A9" w:rsidRPr="002746CF" w:rsidRDefault="007557A9" w:rsidP="00C76C3B">
            <w:pPr>
              <w:pStyle w:val="Odsekzoznamu"/>
              <w:numPr>
                <w:ilvl w:val="0"/>
                <w:numId w:val="15"/>
              </w:numPr>
              <w:jc w:val="both"/>
              <w:rPr>
                <w:b/>
                <w:bCs/>
                <w:sz w:val="24"/>
                <w:szCs w:val="24"/>
                <w:lang w:val="en-IE"/>
              </w:rPr>
            </w:pPr>
            <w:r w:rsidRPr="002746CF">
              <w:rPr>
                <w:b/>
                <w:sz w:val="24"/>
                <w:szCs w:val="24"/>
                <w:lang w:val="en-IE"/>
              </w:rPr>
              <w:t xml:space="preserve">Application guidance </w:t>
            </w:r>
            <w:r w:rsidRPr="002746CF">
              <w:rPr>
                <w:b/>
                <w:bCs/>
                <w:sz w:val="24"/>
                <w:szCs w:val="24"/>
                <w:lang w:val="en-IE"/>
              </w:rPr>
              <w:t>is needed urgently</w:t>
            </w:r>
            <w:r>
              <w:rPr>
                <w:b/>
                <w:bCs/>
                <w:sz w:val="24"/>
                <w:szCs w:val="24"/>
                <w:lang w:val="en-IE"/>
              </w:rPr>
              <w:t xml:space="preserve"> with a clear timeline provided</w:t>
            </w:r>
          </w:p>
          <w:p w14:paraId="0F68CE35" w14:textId="0AA30F26" w:rsidR="007557A9" w:rsidRDefault="007557A9" w:rsidP="007557A9">
            <w:pPr>
              <w:jc w:val="both"/>
              <w:rPr>
                <w:sz w:val="24"/>
                <w:szCs w:val="24"/>
                <w:lang w:val="en-IE"/>
              </w:rPr>
            </w:pPr>
            <w:r w:rsidRPr="009C4C01">
              <w:rPr>
                <w:sz w:val="24"/>
                <w:szCs w:val="24"/>
                <w:lang w:val="en-IE"/>
              </w:rPr>
              <w:t xml:space="preserve">The ESRS remain ambitious by covering all aspects of sustainability (Environment, Social and Governance) </w:t>
            </w:r>
            <w:r>
              <w:rPr>
                <w:sz w:val="24"/>
                <w:szCs w:val="24"/>
                <w:lang w:val="en-IE"/>
              </w:rPr>
              <w:t>comprehensively</w:t>
            </w:r>
            <w:r w:rsidRPr="009C4C01">
              <w:rPr>
                <w:sz w:val="24"/>
                <w:szCs w:val="24"/>
                <w:lang w:val="en-IE"/>
              </w:rPr>
              <w:t xml:space="preserve">. Companies face a significant implementation challenge applying the standards for the first time </w:t>
            </w:r>
            <w:r>
              <w:rPr>
                <w:sz w:val="24"/>
                <w:szCs w:val="24"/>
                <w:lang w:val="en-IE"/>
              </w:rPr>
              <w:t>within a tight timeline (including regarding human resources, IT/data processes, consultancy capacity, but also clarity on datapoints and materiality assessment process). I</w:t>
            </w:r>
            <w:r w:rsidRPr="009C4C01">
              <w:rPr>
                <w:sz w:val="24"/>
                <w:szCs w:val="24"/>
                <w:lang w:val="en-IE"/>
              </w:rPr>
              <w:t xml:space="preserve">t is therefore vital that </w:t>
            </w:r>
            <w:r w:rsidRPr="002746CF">
              <w:rPr>
                <w:sz w:val="24"/>
                <w:szCs w:val="24"/>
                <w:lang w:val="en-IE"/>
              </w:rPr>
              <w:t>application guidance</w:t>
            </w:r>
            <w:r w:rsidRPr="00115F69">
              <w:rPr>
                <w:sz w:val="24"/>
                <w:szCs w:val="24"/>
                <w:lang w:val="en-IE"/>
              </w:rPr>
              <w:t xml:space="preserve"> is</w:t>
            </w:r>
            <w:r w:rsidRPr="009C4C01">
              <w:rPr>
                <w:sz w:val="24"/>
                <w:szCs w:val="24"/>
                <w:lang w:val="en-IE"/>
              </w:rPr>
              <w:t xml:space="preserve"> provided in time to assist companies in their implementation efforts and provide clarity on how they are expected to apply the new standards. We ask the EC to commit to a clear timeline </w:t>
            </w:r>
            <w:r>
              <w:rPr>
                <w:sz w:val="24"/>
                <w:szCs w:val="24"/>
                <w:lang w:val="en-IE"/>
              </w:rPr>
              <w:t xml:space="preserve">and governance </w:t>
            </w:r>
            <w:r w:rsidRPr="009C4C01">
              <w:rPr>
                <w:sz w:val="24"/>
                <w:szCs w:val="24"/>
                <w:lang w:val="en-IE"/>
              </w:rPr>
              <w:t>in providing (or mandating EFRAG to provide) this much needed guidance.</w:t>
            </w:r>
            <w:r>
              <w:rPr>
                <w:sz w:val="24"/>
                <w:szCs w:val="24"/>
                <w:lang w:val="en-IE"/>
              </w:rPr>
              <w:t xml:space="preserve"> In particular, it is essential that an ambitious timeline applies regarding guidance on how financial institutions shall apply the sector agnostic ESRS and define and report on their value chain. Such guidance should be prioritised by EFRAG still during 2023 and not be delayed until the relevant sector specific ESRS are developed. </w:t>
            </w:r>
          </w:p>
          <w:p w14:paraId="1973998F" w14:textId="77777777" w:rsidR="007557A9" w:rsidRPr="00C76C3B" w:rsidRDefault="007557A9" w:rsidP="00C76C3B">
            <w:pPr>
              <w:jc w:val="both"/>
              <w:rPr>
                <w:sz w:val="24"/>
                <w:szCs w:val="24"/>
                <w:lang w:val="en-IE"/>
              </w:rPr>
            </w:pPr>
          </w:p>
          <w:p w14:paraId="14D8995A" w14:textId="58C2A2AF" w:rsidR="00CC4A48" w:rsidRPr="00C76C3B" w:rsidRDefault="00937E75" w:rsidP="00C76C3B">
            <w:pPr>
              <w:pStyle w:val="Odsekzoznamu"/>
              <w:numPr>
                <w:ilvl w:val="0"/>
                <w:numId w:val="15"/>
              </w:numPr>
              <w:jc w:val="both"/>
              <w:rPr>
                <w:b/>
                <w:sz w:val="24"/>
                <w:szCs w:val="24"/>
                <w:lang w:val="en-IE"/>
              </w:rPr>
            </w:pPr>
            <w:r w:rsidRPr="00C76C3B">
              <w:rPr>
                <w:b/>
                <w:sz w:val="24"/>
                <w:szCs w:val="24"/>
                <w:lang w:val="en-IE"/>
              </w:rPr>
              <w:t xml:space="preserve">A clear timeline is also needed regarding the </w:t>
            </w:r>
            <w:r w:rsidRPr="00C76C3B">
              <w:rPr>
                <w:b/>
                <w:bCs/>
                <w:sz w:val="24"/>
                <w:szCs w:val="24"/>
                <w:lang w:val="en-IE"/>
              </w:rPr>
              <w:t>digital format</w:t>
            </w:r>
            <w:r w:rsidRPr="00C76C3B">
              <w:rPr>
                <w:b/>
                <w:sz w:val="24"/>
                <w:szCs w:val="24"/>
                <w:lang w:val="en-IE"/>
              </w:rPr>
              <w:t xml:space="preserve"> (</w:t>
            </w:r>
            <w:proofErr w:type="spellStart"/>
            <w:r w:rsidRPr="00C76C3B">
              <w:rPr>
                <w:b/>
                <w:sz w:val="24"/>
                <w:szCs w:val="24"/>
                <w:lang w:val="en-IE"/>
              </w:rPr>
              <w:t>ie</w:t>
            </w:r>
            <w:proofErr w:type="spellEnd"/>
            <w:r w:rsidRPr="00C76C3B">
              <w:rPr>
                <w:b/>
                <w:sz w:val="24"/>
                <w:szCs w:val="24"/>
                <w:lang w:val="en-IE"/>
              </w:rPr>
              <w:t>. tagging) of the ESRS.</w:t>
            </w:r>
          </w:p>
          <w:p w14:paraId="1E876F05" w14:textId="77777777" w:rsidR="00151186" w:rsidRDefault="00151186" w:rsidP="00CC4A48">
            <w:pPr>
              <w:jc w:val="both"/>
              <w:rPr>
                <w:sz w:val="24"/>
                <w:szCs w:val="24"/>
                <w:lang w:val="en-IE"/>
              </w:rPr>
            </w:pPr>
          </w:p>
          <w:p w14:paraId="647C155A" w14:textId="77777777" w:rsidR="00866C17" w:rsidRPr="00720922" w:rsidRDefault="00866C17" w:rsidP="00866C17">
            <w:pPr>
              <w:pStyle w:val="Odsekzoznamu"/>
              <w:numPr>
                <w:ilvl w:val="0"/>
                <w:numId w:val="15"/>
              </w:numPr>
              <w:jc w:val="both"/>
              <w:rPr>
                <w:b/>
                <w:bCs/>
                <w:sz w:val="24"/>
                <w:szCs w:val="24"/>
                <w:lang w:val="en-IE"/>
              </w:rPr>
            </w:pPr>
            <w:r w:rsidRPr="00720922">
              <w:rPr>
                <w:b/>
                <w:bCs/>
                <w:sz w:val="24"/>
                <w:szCs w:val="24"/>
                <w:lang w:val="en-IE"/>
              </w:rPr>
              <w:t>SME definition</w:t>
            </w:r>
            <w:r>
              <w:rPr>
                <w:b/>
                <w:bCs/>
                <w:sz w:val="24"/>
                <w:szCs w:val="24"/>
                <w:lang w:val="en-IE"/>
              </w:rPr>
              <w:t xml:space="preserve"> and simplified reporting requirements are</w:t>
            </w:r>
            <w:r w:rsidRPr="00720922">
              <w:rPr>
                <w:b/>
                <w:bCs/>
                <w:sz w:val="24"/>
                <w:szCs w:val="24"/>
                <w:lang w:val="en-IE"/>
              </w:rPr>
              <w:t xml:space="preserve"> needed for </w:t>
            </w:r>
            <w:r>
              <w:rPr>
                <w:b/>
                <w:bCs/>
                <w:sz w:val="24"/>
                <w:szCs w:val="24"/>
                <w:lang w:val="en-IE"/>
              </w:rPr>
              <w:t xml:space="preserve">small </w:t>
            </w:r>
            <w:r w:rsidRPr="00720922">
              <w:rPr>
                <w:b/>
                <w:bCs/>
                <w:sz w:val="24"/>
                <w:szCs w:val="24"/>
                <w:lang w:val="en-IE"/>
              </w:rPr>
              <w:t>insurers</w:t>
            </w:r>
          </w:p>
          <w:p w14:paraId="4C8E76E1" w14:textId="041E01EB" w:rsidR="00074D2E" w:rsidRPr="00720922" w:rsidRDefault="004D0664" w:rsidP="00720922">
            <w:pPr>
              <w:jc w:val="both"/>
              <w:rPr>
                <w:sz w:val="24"/>
                <w:szCs w:val="24"/>
                <w:lang w:val="en-IE"/>
              </w:rPr>
            </w:pPr>
            <w:r w:rsidRPr="00720922">
              <w:rPr>
                <w:sz w:val="24"/>
                <w:szCs w:val="24"/>
                <w:lang w:val="en-IE"/>
              </w:rPr>
              <w:t>Finally</w:t>
            </w:r>
            <w:r w:rsidR="00EE24CE" w:rsidRPr="00720922">
              <w:rPr>
                <w:sz w:val="24"/>
                <w:szCs w:val="24"/>
                <w:lang w:val="en-IE"/>
              </w:rPr>
              <w:t xml:space="preserve">, while we appreciate the fact that </w:t>
            </w:r>
            <w:r w:rsidR="00195085" w:rsidRPr="00720922">
              <w:rPr>
                <w:sz w:val="24"/>
                <w:szCs w:val="24"/>
                <w:lang w:val="en-IE"/>
              </w:rPr>
              <w:t>the EC</w:t>
            </w:r>
            <w:r w:rsidR="00EE24CE" w:rsidRPr="00720922">
              <w:rPr>
                <w:sz w:val="24"/>
                <w:szCs w:val="24"/>
                <w:lang w:val="en-IE"/>
              </w:rPr>
              <w:t xml:space="preserve"> has reduced the number of </w:t>
            </w:r>
            <w:r w:rsidR="00195085" w:rsidRPr="00720922">
              <w:rPr>
                <w:sz w:val="24"/>
                <w:szCs w:val="24"/>
                <w:lang w:val="en-IE"/>
              </w:rPr>
              <w:t xml:space="preserve">mandatory </w:t>
            </w:r>
            <w:r w:rsidR="00EE24CE" w:rsidRPr="00720922">
              <w:rPr>
                <w:sz w:val="24"/>
                <w:szCs w:val="24"/>
                <w:lang w:val="en-IE"/>
              </w:rPr>
              <w:t xml:space="preserve">datapoints and introduced </w:t>
            </w:r>
            <w:r w:rsidR="00195085" w:rsidRPr="00720922">
              <w:rPr>
                <w:sz w:val="24"/>
                <w:szCs w:val="24"/>
                <w:lang w:val="en-IE"/>
              </w:rPr>
              <w:t xml:space="preserve">additional phase in </w:t>
            </w:r>
            <w:r w:rsidR="00EE24CE" w:rsidRPr="00720922">
              <w:rPr>
                <w:sz w:val="24"/>
                <w:szCs w:val="24"/>
                <w:lang w:val="en-IE"/>
              </w:rPr>
              <w:t xml:space="preserve">to bring some level of proportionality, we are still concerned about the application of the extensive ESRS to smaller insurance </w:t>
            </w:r>
            <w:r w:rsidR="003D36ED" w:rsidRPr="00720922">
              <w:rPr>
                <w:sz w:val="24"/>
                <w:szCs w:val="24"/>
                <w:lang w:val="en-IE"/>
              </w:rPr>
              <w:t>and pension</w:t>
            </w:r>
            <w:r w:rsidR="007665AE" w:rsidRPr="00720922">
              <w:rPr>
                <w:sz w:val="24"/>
                <w:szCs w:val="24"/>
                <w:lang w:val="en-IE"/>
              </w:rPr>
              <w:t xml:space="preserve"> </w:t>
            </w:r>
            <w:r w:rsidR="00EE24CE" w:rsidRPr="00720922">
              <w:rPr>
                <w:sz w:val="24"/>
                <w:szCs w:val="24"/>
                <w:lang w:val="en-IE"/>
              </w:rPr>
              <w:lastRenderedPageBreak/>
              <w:t xml:space="preserve">entities. This is because the SME definition used in </w:t>
            </w:r>
            <w:r w:rsidR="008A4E43" w:rsidRPr="00720922">
              <w:rPr>
                <w:sz w:val="24"/>
                <w:szCs w:val="24"/>
                <w:lang w:val="en-IE"/>
              </w:rPr>
              <w:t xml:space="preserve">the </w:t>
            </w:r>
            <w:r w:rsidR="00EE24CE" w:rsidRPr="00720922">
              <w:rPr>
                <w:sz w:val="24"/>
                <w:szCs w:val="24"/>
                <w:lang w:val="en-IE"/>
              </w:rPr>
              <w:t>CSRD does not work for insurers</w:t>
            </w:r>
            <w:r w:rsidR="007665AE" w:rsidRPr="00720922">
              <w:rPr>
                <w:sz w:val="24"/>
                <w:szCs w:val="24"/>
                <w:lang w:val="en-IE"/>
              </w:rPr>
              <w:t xml:space="preserve"> and pension </w:t>
            </w:r>
            <w:r w:rsidR="00D822B4" w:rsidRPr="00720922">
              <w:rPr>
                <w:sz w:val="24"/>
                <w:szCs w:val="24"/>
                <w:lang w:val="en-IE"/>
              </w:rPr>
              <w:t>companies</w:t>
            </w:r>
            <w:r w:rsidR="00EE24CE" w:rsidRPr="00720922">
              <w:rPr>
                <w:sz w:val="24"/>
                <w:szCs w:val="24"/>
                <w:lang w:val="en-IE"/>
              </w:rPr>
              <w:t>. Insurers defined as LRPU under Solvency II</w:t>
            </w:r>
            <w:r w:rsidR="00065389" w:rsidRPr="00720922">
              <w:rPr>
                <w:sz w:val="24"/>
                <w:szCs w:val="24"/>
                <w:lang w:val="en-IE"/>
              </w:rPr>
              <w:t xml:space="preserve"> </w:t>
            </w:r>
            <w:r w:rsidR="00EE24CE" w:rsidRPr="00720922">
              <w:rPr>
                <w:sz w:val="24"/>
                <w:szCs w:val="24"/>
                <w:lang w:val="en-IE"/>
              </w:rPr>
              <w:t xml:space="preserve">should be allowed to use the </w:t>
            </w:r>
            <w:r w:rsidR="00EE24CE" w:rsidRPr="00720922">
              <w:rPr>
                <w:b/>
                <w:bCs/>
                <w:sz w:val="24"/>
                <w:szCs w:val="24"/>
                <w:lang w:val="en-IE"/>
              </w:rPr>
              <w:t>simplified reporting requirements (SME standards</w:t>
            </w:r>
            <w:r w:rsidR="00EE24CE" w:rsidRPr="00720922">
              <w:rPr>
                <w:sz w:val="24"/>
                <w:szCs w:val="24"/>
                <w:lang w:val="en-IE"/>
              </w:rPr>
              <w:t>). It is therefore key that the LRPU definition be included in the Solvency II review with an amendment being made to the CSRD explicitly allowing LRPUs to limit their sustainability reporting according to the simplified SME standards, in line with the existing CSRD provisions for small non-complex banks.</w:t>
            </w:r>
          </w:p>
          <w:p w14:paraId="0697C1D5" w14:textId="164777ED" w:rsidR="008A6F93" w:rsidRDefault="008A6F93" w:rsidP="008A6F93">
            <w:pPr>
              <w:rPr>
                <w:b/>
                <w:bCs/>
                <w:sz w:val="24"/>
                <w:szCs w:val="24"/>
                <w:lang w:val="en-IE"/>
              </w:rPr>
            </w:pPr>
          </w:p>
        </w:tc>
      </w:tr>
      <w:bookmarkEnd w:id="0"/>
    </w:tbl>
    <w:p w14:paraId="2FC61D0C" w14:textId="77777777" w:rsidR="00FE67A7" w:rsidRPr="00FE67A7" w:rsidRDefault="00FE67A7" w:rsidP="008A6F93">
      <w:pPr>
        <w:ind w:left="426" w:hanging="426"/>
        <w:rPr>
          <w:b/>
          <w:bCs/>
          <w:sz w:val="24"/>
          <w:szCs w:val="24"/>
          <w:lang w:val="en-IE"/>
        </w:rPr>
      </w:pPr>
    </w:p>
    <w:p w14:paraId="3EC2D9BC" w14:textId="022BC1EF" w:rsidR="00A24669" w:rsidRPr="00FE67A7" w:rsidRDefault="00FE67A7" w:rsidP="008A6F93">
      <w:pPr>
        <w:pStyle w:val="Odsekzoznamu"/>
        <w:numPr>
          <w:ilvl w:val="0"/>
          <w:numId w:val="1"/>
        </w:numPr>
        <w:ind w:left="426" w:hanging="426"/>
        <w:rPr>
          <w:b/>
          <w:bCs/>
          <w:sz w:val="24"/>
          <w:szCs w:val="24"/>
          <w:lang w:val="en-IE"/>
        </w:rPr>
      </w:pPr>
      <w:r>
        <w:rPr>
          <w:b/>
          <w:bCs/>
          <w:sz w:val="24"/>
          <w:szCs w:val="24"/>
          <w:lang w:val="en-IE"/>
        </w:rPr>
        <w:t>Specific comments on the main text of the draft delegated act</w:t>
      </w:r>
    </w:p>
    <w:tbl>
      <w:tblPr>
        <w:tblStyle w:val="Mriekatabuky"/>
        <w:tblW w:w="13794" w:type="dxa"/>
        <w:tblInd w:w="534" w:type="dxa"/>
        <w:tblLook w:val="04A0" w:firstRow="1" w:lastRow="0" w:firstColumn="1" w:lastColumn="0" w:noHBand="0" w:noVBand="1"/>
      </w:tblPr>
      <w:tblGrid>
        <w:gridCol w:w="13794"/>
      </w:tblGrid>
      <w:tr w:rsidR="008A6F93" w14:paraId="54C2AED3" w14:textId="77777777" w:rsidTr="00B676D2">
        <w:tc>
          <w:tcPr>
            <w:tcW w:w="13794" w:type="dxa"/>
          </w:tcPr>
          <w:p w14:paraId="5FFEB31D" w14:textId="77777777" w:rsidR="008A6F93" w:rsidRDefault="008A6F93" w:rsidP="00B676D2">
            <w:pPr>
              <w:rPr>
                <w:b/>
                <w:bCs/>
                <w:sz w:val="24"/>
                <w:szCs w:val="24"/>
                <w:lang w:val="en-IE"/>
              </w:rPr>
            </w:pPr>
          </w:p>
          <w:p w14:paraId="492A40DE" w14:textId="77777777" w:rsidR="008A6F93" w:rsidRDefault="008A6F93" w:rsidP="00B676D2">
            <w:pPr>
              <w:ind w:left="-146" w:firstLine="146"/>
              <w:rPr>
                <w:b/>
                <w:bCs/>
                <w:sz w:val="24"/>
                <w:szCs w:val="24"/>
                <w:lang w:val="en-IE"/>
              </w:rPr>
            </w:pPr>
          </w:p>
          <w:p w14:paraId="75075C9D" w14:textId="77777777" w:rsidR="008A6F93" w:rsidRDefault="008A6F93" w:rsidP="00B676D2">
            <w:pPr>
              <w:rPr>
                <w:b/>
                <w:bCs/>
                <w:sz w:val="24"/>
                <w:szCs w:val="24"/>
                <w:lang w:val="en-IE"/>
              </w:rPr>
            </w:pPr>
          </w:p>
          <w:p w14:paraId="3678D651" w14:textId="77777777" w:rsidR="008A6F93" w:rsidRDefault="008A6F93" w:rsidP="00B676D2">
            <w:pPr>
              <w:rPr>
                <w:b/>
                <w:bCs/>
                <w:sz w:val="24"/>
                <w:szCs w:val="24"/>
                <w:lang w:val="en-IE"/>
              </w:rPr>
            </w:pPr>
          </w:p>
        </w:tc>
      </w:tr>
    </w:tbl>
    <w:p w14:paraId="1514E1A9" w14:textId="77777777" w:rsidR="00A24669" w:rsidRPr="00FE67A7" w:rsidRDefault="00A24669" w:rsidP="008A6F93">
      <w:pPr>
        <w:ind w:left="426" w:hanging="426"/>
        <w:rPr>
          <w:sz w:val="24"/>
          <w:szCs w:val="24"/>
          <w:lang w:val="en-IE"/>
        </w:rPr>
      </w:pPr>
    </w:p>
    <w:p w14:paraId="0274C6FA" w14:textId="48A54C31" w:rsidR="00A24669" w:rsidRPr="00E77D42" w:rsidRDefault="00FE67A7" w:rsidP="008A6F93">
      <w:pPr>
        <w:pStyle w:val="Odsekzoznamu"/>
        <w:numPr>
          <w:ilvl w:val="0"/>
          <w:numId w:val="1"/>
        </w:numPr>
        <w:ind w:left="426" w:hanging="426"/>
        <w:rPr>
          <w:b/>
          <w:bCs/>
          <w:sz w:val="24"/>
          <w:szCs w:val="24"/>
          <w:lang w:val="en-IE"/>
        </w:rPr>
      </w:pPr>
      <w:r>
        <w:rPr>
          <w:b/>
          <w:bCs/>
          <w:sz w:val="24"/>
          <w:szCs w:val="24"/>
          <w:lang w:val="en-IE"/>
        </w:rPr>
        <w:t>Specific c</w:t>
      </w:r>
      <w:r w:rsidR="00A24669">
        <w:rPr>
          <w:b/>
          <w:bCs/>
          <w:sz w:val="24"/>
          <w:szCs w:val="24"/>
          <w:lang w:val="en-IE"/>
        </w:rPr>
        <w:t xml:space="preserve">omments on </w:t>
      </w:r>
      <w:r w:rsidR="008A6F93">
        <w:rPr>
          <w:b/>
          <w:bCs/>
          <w:sz w:val="24"/>
          <w:szCs w:val="24"/>
          <w:lang w:val="en-IE"/>
        </w:rPr>
        <w:t>A</w:t>
      </w:r>
      <w:r w:rsidR="00A24669">
        <w:rPr>
          <w:b/>
          <w:bCs/>
          <w:sz w:val="24"/>
          <w:szCs w:val="24"/>
          <w:lang w:val="en-IE"/>
        </w:rPr>
        <w:t>nnex I</w:t>
      </w:r>
    </w:p>
    <w:tbl>
      <w:tblPr>
        <w:tblStyle w:val="Mriekatabuky"/>
        <w:tblW w:w="13749" w:type="dxa"/>
        <w:tblInd w:w="534" w:type="dxa"/>
        <w:tblLook w:val="04A0" w:firstRow="1" w:lastRow="0" w:firstColumn="1" w:lastColumn="0" w:noHBand="0" w:noVBand="1"/>
      </w:tblPr>
      <w:tblGrid>
        <w:gridCol w:w="1046"/>
        <w:gridCol w:w="1541"/>
        <w:gridCol w:w="11162"/>
      </w:tblGrid>
      <w:tr w:rsidR="00A45686" w14:paraId="7EAC6844" w14:textId="77777777" w:rsidTr="008A6F93">
        <w:tc>
          <w:tcPr>
            <w:tcW w:w="1046" w:type="dxa"/>
          </w:tcPr>
          <w:p w14:paraId="0BCB30AF" w14:textId="7930AF41" w:rsidR="00A45686" w:rsidRPr="00A45686" w:rsidRDefault="00A45686" w:rsidP="00966BD2">
            <w:pPr>
              <w:rPr>
                <w:b/>
                <w:bCs/>
                <w:lang w:val="en-IE"/>
              </w:rPr>
            </w:pPr>
            <w:r w:rsidRPr="00A45686">
              <w:rPr>
                <w:b/>
                <w:bCs/>
                <w:lang w:val="en-IE"/>
              </w:rPr>
              <w:t>Standard</w:t>
            </w:r>
          </w:p>
        </w:tc>
        <w:tc>
          <w:tcPr>
            <w:tcW w:w="1541" w:type="dxa"/>
          </w:tcPr>
          <w:p w14:paraId="0D17605A" w14:textId="13C624C9" w:rsidR="00A45686" w:rsidRPr="00A45686" w:rsidRDefault="00A45686" w:rsidP="00966BD2">
            <w:pPr>
              <w:rPr>
                <w:b/>
                <w:bCs/>
                <w:lang w:val="en-IE"/>
              </w:rPr>
            </w:pPr>
            <w:r w:rsidRPr="00A45686">
              <w:rPr>
                <w:b/>
                <w:bCs/>
                <w:lang w:val="en-IE"/>
              </w:rPr>
              <w:t>Paragraph</w:t>
            </w:r>
            <w:r w:rsidR="002C1E69">
              <w:rPr>
                <w:b/>
                <w:bCs/>
                <w:lang w:val="en-IE"/>
              </w:rPr>
              <w:t xml:space="preserve"> or AR</w:t>
            </w:r>
            <w:r>
              <w:rPr>
                <w:b/>
                <w:bCs/>
                <w:lang w:val="en-IE"/>
              </w:rPr>
              <w:t xml:space="preserve"> </w:t>
            </w:r>
            <w:r w:rsidR="002C1E69">
              <w:rPr>
                <w:b/>
                <w:bCs/>
                <w:lang w:val="en-IE"/>
              </w:rPr>
              <w:t>number</w:t>
            </w:r>
            <w:r w:rsidR="00FE67A7">
              <w:rPr>
                <w:b/>
                <w:bCs/>
                <w:lang w:val="en-IE"/>
              </w:rPr>
              <w:t xml:space="preserve"> or appendix</w:t>
            </w:r>
          </w:p>
        </w:tc>
        <w:tc>
          <w:tcPr>
            <w:tcW w:w="11162" w:type="dxa"/>
          </w:tcPr>
          <w:p w14:paraId="54D807B4" w14:textId="09A28C35" w:rsidR="00A45686" w:rsidRPr="00A45686" w:rsidRDefault="00A45686" w:rsidP="00966BD2">
            <w:pPr>
              <w:rPr>
                <w:b/>
                <w:bCs/>
                <w:lang w:val="en-IE"/>
              </w:rPr>
            </w:pPr>
            <w:r w:rsidRPr="00A45686">
              <w:rPr>
                <w:b/>
                <w:bCs/>
                <w:lang w:val="en-IE"/>
              </w:rPr>
              <w:t>Comment</w:t>
            </w:r>
          </w:p>
        </w:tc>
      </w:tr>
      <w:tr w:rsidR="00235599" w14:paraId="71FFF471" w14:textId="77777777" w:rsidTr="008A6F93">
        <w:tc>
          <w:tcPr>
            <w:tcW w:w="1046" w:type="dxa"/>
          </w:tcPr>
          <w:p w14:paraId="36C8C9B7" w14:textId="18BD9249" w:rsidR="00235599" w:rsidRDefault="00235599" w:rsidP="0079101C">
            <w:pPr>
              <w:rPr>
                <w:lang w:val="en-IE"/>
              </w:rPr>
            </w:pPr>
            <w:r>
              <w:rPr>
                <w:lang w:val="en-IE"/>
              </w:rPr>
              <w:t>ESRS 1</w:t>
            </w:r>
          </w:p>
        </w:tc>
        <w:tc>
          <w:tcPr>
            <w:tcW w:w="1541" w:type="dxa"/>
          </w:tcPr>
          <w:p w14:paraId="4FEF49D2" w14:textId="315B88AD" w:rsidR="00235599" w:rsidRDefault="00C35B63" w:rsidP="0079101C">
            <w:pPr>
              <w:rPr>
                <w:lang w:val="en-IE"/>
              </w:rPr>
            </w:pPr>
            <w:r>
              <w:rPr>
                <w:lang w:val="en-IE"/>
              </w:rPr>
              <w:t>Section 3.5</w:t>
            </w:r>
          </w:p>
        </w:tc>
        <w:tc>
          <w:tcPr>
            <w:tcW w:w="11162" w:type="dxa"/>
          </w:tcPr>
          <w:p w14:paraId="29EFDD0D" w14:textId="4ACA132A" w:rsidR="00235599" w:rsidRPr="006A43A6" w:rsidRDefault="00C35B63" w:rsidP="0079101C">
            <w:pPr>
              <w:rPr>
                <w:rFonts w:cstheme="minorHAnsi"/>
              </w:rPr>
            </w:pPr>
            <w:r>
              <w:rPr>
                <w:rFonts w:cstheme="minorHAnsi"/>
              </w:rPr>
              <w:t xml:space="preserve">The text should clarify that </w:t>
            </w:r>
            <w:r w:rsidR="00534AE1" w:rsidRPr="00534AE1">
              <w:rPr>
                <w:rFonts w:cstheme="minorHAnsi"/>
              </w:rPr>
              <w:t xml:space="preserve">the current requirement under the ESRS financial materiality to assess the financial effects needed by investors, employees, academics and others </w:t>
            </w:r>
            <w:r w:rsidR="00534AE1">
              <w:rPr>
                <w:rFonts w:cstheme="minorHAnsi"/>
              </w:rPr>
              <w:t>isn’t</w:t>
            </w:r>
            <w:r w:rsidR="00B86ED6">
              <w:rPr>
                <w:rFonts w:cstheme="minorHAnsi"/>
              </w:rPr>
              <w:t xml:space="preserve"> required, to further align with the ISSB definition of </w:t>
            </w:r>
            <w:proofErr w:type="gramStart"/>
            <w:r w:rsidR="00B86ED6">
              <w:rPr>
                <w:rFonts w:cstheme="minorHAnsi"/>
              </w:rPr>
              <w:t>Financial</w:t>
            </w:r>
            <w:proofErr w:type="gramEnd"/>
            <w:r w:rsidR="00B86ED6">
              <w:rPr>
                <w:rFonts w:cstheme="minorHAnsi"/>
              </w:rPr>
              <w:t xml:space="preserve"> materiality</w:t>
            </w:r>
            <w:r w:rsidR="00534AE1">
              <w:rPr>
                <w:rFonts w:cstheme="minorHAnsi"/>
              </w:rPr>
              <w:t>.</w:t>
            </w:r>
          </w:p>
        </w:tc>
      </w:tr>
      <w:tr w:rsidR="0079101C" w14:paraId="421F5E34" w14:textId="77777777" w:rsidTr="008A6F93">
        <w:tc>
          <w:tcPr>
            <w:tcW w:w="1046" w:type="dxa"/>
          </w:tcPr>
          <w:p w14:paraId="0190349A" w14:textId="29978D53" w:rsidR="0079101C" w:rsidRPr="00A45686" w:rsidRDefault="0079101C" w:rsidP="0079101C">
            <w:pPr>
              <w:rPr>
                <w:b/>
                <w:bCs/>
                <w:lang w:val="en-IE"/>
              </w:rPr>
            </w:pPr>
            <w:r>
              <w:rPr>
                <w:lang w:val="en-IE"/>
              </w:rPr>
              <w:t>ESRS 1</w:t>
            </w:r>
          </w:p>
        </w:tc>
        <w:tc>
          <w:tcPr>
            <w:tcW w:w="1541" w:type="dxa"/>
          </w:tcPr>
          <w:p w14:paraId="143EACC6" w14:textId="0610FE28" w:rsidR="0079101C" w:rsidRPr="00A45686" w:rsidRDefault="0079101C" w:rsidP="0079101C">
            <w:pPr>
              <w:rPr>
                <w:b/>
                <w:bCs/>
                <w:lang w:val="en-IE"/>
              </w:rPr>
            </w:pPr>
            <w:r>
              <w:rPr>
                <w:lang w:val="en-IE"/>
              </w:rPr>
              <w:t>Para. 18</w:t>
            </w:r>
          </w:p>
        </w:tc>
        <w:tc>
          <w:tcPr>
            <w:tcW w:w="11162" w:type="dxa"/>
          </w:tcPr>
          <w:p w14:paraId="4376DD94" w14:textId="75FA979E" w:rsidR="0079101C" w:rsidRPr="00A45686" w:rsidRDefault="0079101C" w:rsidP="0079101C">
            <w:pPr>
              <w:rPr>
                <w:b/>
                <w:bCs/>
                <w:lang w:val="en-IE"/>
              </w:rPr>
            </w:pPr>
            <w:r w:rsidRPr="006A43A6">
              <w:rPr>
                <w:rFonts w:cstheme="minorHAnsi"/>
              </w:rPr>
              <w:t>We welcome that the EC has changed some of the reporting requirements from “shall consider disclosing” to “may consider” in the ESRS, clarifying that such disclosures are voluntary. However, there are areas for which the term “shall consider” is still used (</w:t>
            </w:r>
            <w:proofErr w:type="spellStart"/>
            <w:r w:rsidRPr="006A43A6">
              <w:rPr>
                <w:rFonts w:cstheme="minorHAnsi"/>
              </w:rPr>
              <w:t>eg.</w:t>
            </w:r>
            <w:proofErr w:type="spellEnd"/>
            <w:r w:rsidRPr="006A43A6">
              <w:rPr>
                <w:rFonts w:cstheme="minorHAnsi"/>
              </w:rPr>
              <w:t xml:space="preserve"> as regards the use of the PCAF framework for financed and insured scope 3 GHG emissions in ESRS E1-</w:t>
            </w:r>
            <w:r>
              <w:rPr>
                <w:rFonts w:cstheme="minorHAnsi"/>
              </w:rPr>
              <w:t xml:space="preserve">6 </w:t>
            </w:r>
            <w:r w:rsidRPr="006A43A6">
              <w:rPr>
                <w:rFonts w:cstheme="minorHAnsi"/>
              </w:rPr>
              <w:t xml:space="preserve">AR47(b)). </w:t>
            </w:r>
            <w:r>
              <w:rPr>
                <w:rFonts w:cstheme="minorHAnsi"/>
              </w:rPr>
              <w:t>T</w:t>
            </w:r>
            <w:r w:rsidRPr="006A43A6">
              <w:rPr>
                <w:rFonts w:cstheme="minorHAnsi"/>
              </w:rPr>
              <w:t>he EC should clarify in the description of “shall consider” requirements under ESRS 1 para. 18 that it does not constitute a formal requirement.</w:t>
            </w:r>
          </w:p>
        </w:tc>
      </w:tr>
      <w:tr w:rsidR="0079101C" w14:paraId="1899746D" w14:textId="77777777" w:rsidTr="008A6F93">
        <w:tc>
          <w:tcPr>
            <w:tcW w:w="1046" w:type="dxa"/>
          </w:tcPr>
          <w:p w14:paraId="3479E64E" w14:textId="2EE12AAF" w:rsidR="0079101C" w:rsidRPr="00A45686" w:rsidRDefault="0079101C" w:rsidP="0079101C">
            <w:pPr>
              <w:rPr>
                <w:b/>
                <w:bCs/>
                <w:lang w:val="en-IE"/>
              </w:rPr>
            </w:pPr>
            <w:r w:rsidRPr="00B66FC4">
              <w:rPr>
                <w:lang w:val="en-IE"/>
              </w:rPr>
              <w:t>ESRS 1</w:t>
            </w:r>
          </w:p>
        </w:tc>
        <w:tc>
          <w:tcPr>
            <w:tcW w:w="1541" w:type="dxa"/>
          </w:tcPr>
          <w:p w14:paraId="4385133B" w14:textId="0F2F5352" w:rsidR="0079101C" w:rsidRPr="00A45686" w:rsidRDefault="0079101C" w:rsidP="0079101C">
            <w:pPr>
              <w:rPr>
                <w:b/>
                <w:bCs/>
                <w:lang w:val="en-IE"/>
              </w:rPr>
            </w:pPr>
            <w:r w:rsidRPr="00B66FC4">
              <w:rPr>
                <w:lang w:val="en-IE"/>
              </w:rPr>
              <w:t xml:space="preserve">Para 62 </w:t>
            </w:r>
          </w:p>
        </w:tc>
        <w:tc>
          <w:tcPr>
            <w:tcW w:w="11162" w:type="dxa"/>
          </w:tcPr>
          <w:p w14:paraId="633F908E" w14:textId="72F4557E" w:rsidR="0079101C" w:rsidRPr="00987E8E" w:rsidRDefault="00D84EBB" w:rsidP="0079101C">
            <w:pPr>
              <w:rPr>
                <w:lang w:val="en-IE"/>
              </w:rPr>
            </w:pPr>
            <w:r>
              <w:rPr>
                <w:lang w:val="en-IE"/>
              </w:rPr>
              <w:t xml:space="preserve">A </w:t>
            </w:r>
            <w:r w:rsidR="0079101C">
              <w:rPr>
                <w:lang w:val="en-IE"/>
              </w:rPr>
              <w:t xml:space="preserve">temporary scope out of companies due to the impracticability of collecting ESG data points </w:t>
            </w:r>
            <w:r>
              <w:rPr>
                <w:lang w:val="en-IE"/>
              </w:rPr>
              <w:t xml:space="preserve">should be allowed </w:t>
            </w:r>
            <w:r w:rsidR="0079101C">
              <w:rPr>
                <w:lang w:val="en-IE"/>
              </w:rPr>
              <w:t>(</w:t>
            </w:r>
            <w:proofErr w:type="spellStart"/>
            <w:r w:rsidR="0079101C">
              <w:rPr>
                <w:lang w:val="en-IE"/>
              </w:rPr>
              <w:t>eg.</w:t>
            </w:r>
            <w:proofErr w:type="spellEnd"/>
            <w:r w:rsidR="0079101C">
              <w:rPr>
                <w:lang w:val="en-IE"/>
              </w:rPr>
              <w:t xml:space="preserve"> in case of new acquisitions during the year).</w:t>
            </w:r>
            <w:r w:rsidR="002B14AE">
              <w:rPr>
                <w:lang w:val="en-IE"/>
              </w:rPr>
              <w:t xml:space="preserve"> </w:t>
            </w:r>
            <w:r w:rsidR="0079101C">
              <w:rPr>
                <w:lang w:val="en-IE"/>
              </w:rPr>
              <w:t xml:space="preserve">Moreover, if a topic is material for the </w:t>
            </w:r>
            <w:r w:rsidR="00017F1D">
              <w:rPr>
                <w:lang w:val="en-IE"/>
              </w:rPr>
              <w:t>g</w:t>
            </w:r>
            <w:r w:rsidR="0079101C">
              <w:rPr>
                <w:lang w:val="en-IE"/>
              </w:rPr>
              <w:t xml:space="preserve">roup but irrelevant to a specific company, the latter may not contribute to the specific data point. </w:t>
            </w:r>
          </w:p>
        </w:tc>
      </w:tr>
      <w:tr w:rsidR="0079101C" w14:paraId="1CC1530B" w14:textId="77777777" w:rsidTr="008A6F93">
        <w:tc>
          <w:tcPr>
            <w:tcW w:w="1046" w:type="dxa"/>
          </w:tcPr>
          <w:p w14:paraId="333CAB59" w14:textId="1ED9F0FF" w:rsidR="0079101C" w:rsidRDefault="0079101C" w:rsidP="0079101C">
            <w:pPr>
              <w:rPr>
                <w:b/>
                <w:bCs/>
                <w:lang w:val="en-IE"/>
              </w:rPr>
            </w:pPr>
            <w:r w:rsidRPr="00B66FC4">
              <w:rPr>
                <w:lang w:val="en-IE"/>
              </w:rPr>
              <w:lastRenderedPageBreak/>
              <w:t>ESRS 1</w:t>
            </w:r>
          </w:p>
        </w:tc>
        <w:tc>
          <w:tcPr>
            <w:tcW w:w="1541" w:type="dxa"/>
          </w:tcPr>
          <w:p w14:paraId="398643C8" w14:textId="29FF21E8" w:rsidR="0079101C" w:rsidRPr="00A45686" w:rsidRDefault="0079101C" w:rsidP="0079101C">
            <w:pPr>
              <w:rPr>
                <w:b/>
                <w:bCs/>
                <w:lang w:val="en-IE"/>
              </w:rPr>
            </w:pPr>
            <w:r w:rsidRPr="00B66FC4">
              <w:rPr>
                <w:lang w:val="en-IE"/>
              </w:rPr>
              <w:t>Par 118</w:t>
            </w:r>
          </w:p>
        </w:tc>
        <w:tc>
          <w:tcPr>
            <w:tcW w:w="11162" w:type="dxa"/>
          </w:tcPr>
          <w:p w14:paraId="6EE33050" w14:textId="71292DEF" w:rsidR="0079101C" w:rsidRPr="00987E8E" w:rsidRDefault="0079101C" w:rsidP="0079101C">
            <w:pPr>
              <w:rPr>
                <w:lang w:val="en-IE"/>
              </w:rPr>
            </w:pPr>
            <w:r>
              <w:rPr>
                <w:lang w:val="en-IE"/>
              </w:rPr>
              <w:t xml:space="preserve">The cross-reference to Pillar III disclosures </w:t>
            </w:r>
            <w:r w:rsidRPr="0090451D">
              <w:rPr>
                <w:lang w:val="en-IE"/>
              </w:rPr>
              <w:t>under the regulation implementing Directive 2009/138/EC (Solvency II)</w:t>
            </w:r>
            <w:r>
              <w:rPr>
                <w:lang w:val="en-IE"/>
              </w:rPr>
              <w:t xml:space="preserve"> has been deleted but it should be reintroduced.</w:t>
            </w:r>
          </w:p>
        </w:tc>
      </w:tr>
      <w:tr w:rsidR="00382429" w14:paraId="49D525AC" w14:textId="77777777" w:rsidTr="008A6F93">
        <w:tc>
          <w:tcPr>
            <w:tcW w:w="1046" w:type="dxa"/>
          </w:tcPr>
          <w:p w14:paraId="30521423" w14:textId="2BB559C4" w:rsidR="00382429" w:rsidRPr="00B66FC4" w:rsidRDefault="00382429" w:rsidP="0079101C">
            <w:pPr>
              <w:rPr>
                <w:lang w:val="en-IE"/>
              </w:rPr>
            </w:pPr>
            <w:r>
              <w:rPr>
                <w:lang w:val="en-IE"/>
              </w:rPr>
              <w:t>ESRS 1</w:t>
            </w:r>
          </w:p>
        </w:tc>
        <w:tc>
          <w:tcPr>
            <w:tcW w:w="1541" w:type="dxa"/>
          </w:tcPr>
          <w:p w14:paraId="57DB5210" w14:textId="76B6515F" w:rsidR="00382429" w:rsidRPr="00B66FC4" w:rsidRDefault="00382429" w:rsidP="0079101C">
            <w:pPr>
              <w:rPr>
                <w:lang w:val="en-IE"/>
              </w:rPr>
            </w:pPr>
            <w:r>
              <w:rPr>
                <w:lang w:val="en-IE"/>
              </w:rPr>
              <w:t>P</w:t>
            </w:r>
            <w:r w:rsidR="00873157">
              <w:rPr>
                <w:lang w:val="en-IE"/>
              </w:rPr>
              <w:t>ara 129-130</w:t>
            </w:r>
            <w:r w:rsidR="004B5DB5">
              <w:rPr>
                <w:lang w:val="en-IE"/>
              </w:rPr>
              <w:t xml:space="preserve"> (Chapter 10.1)</w:t>
            </w:r>
          </w:p>
        </w:tc>
        <w:tc>
          <w:tcPr>
            <w:tcW w:w="11162" w:type="dxa"/>
          </w:tcPr>
          <w:p w14:paraId="13E8175E" w14:textId="34662C30" w:rsidR="00382429" w:rsidRDefault="004B5DB5" w:rsidP="0079101C">
            <w:pPr>
              <w:rPr>
                <w:lang w:val="en-IE"/>
              </w:rPr>
            </w:pPr>
            <w:r w:rsidRPr="00985512">
              <w:rPr>
                <w:rFonts w:eastAsia="Times New Roman"/>
                <w:lang w:val="en-US"/>
              </w:rPr>
              <w:t>The chapter refers to ESRS 1 chapter 1.4 which does not exist anymore. The information which used to be in chapter 1.4 seems to be included in ESRS 1 AR 1 - AR 5.</w:t>
            </w:r>
          </w:p>
        </w:tc>
      </w:tr>
      <w:tr w:rsidR="0079101C" w14:paraId="31548A7F" w14:textId="77777777" w:rsidTr="008A6F93">
        <w:tc>
          <w:tcPr>
            <w:tcW w:w="1046" w:type="dxa"/>
          </w:tcPr>
          <w:p w14:paraId="049EB136" w14:textId="7EA57B45" w:rsidR="0079101C" w:rsidRDefault="0079101C" w:rsidP="0079101C">
            <w:pPr>
              <w:rPr>
                <w:b/>
                <w:bCs/>
                <w:lang w:val="en-IE"/>
              </w:rPr>
            </w:pPr>
            <w:r w:rsidRPr="00955C2D">
              <w:rPr>
                <w:lang w:val="en-US"/>
              </w:rPr>
              <w:t>ESRS 1</w:t>
            </w:r>
          </w:p>
        </w:tc>
        <w:tc>
          <w:tcPr>
            <w:tcW w:w="1541" w:type="dxa"/>
          </w:tcPr>
          <w:p w14:paraId="57011372" w14:textId="500D8A4A" w:rsidR="0079101C" w:rsidRPr="00A45686" w:rsidRDefault="0079101C" w:rsidP="0079101C">
            <w:pPr>
              <w:rPr>
                <w:b/>
                <w:bCs/>
                <w:lang w:val="en-IE"/>
              </w:rPr>
            </w:pPr>
            <w:r w:rsidRPr="00955C2D">
              <w:rPr>
                <w:lang w:val="en-US"/>
              </w:rPr>
              <w:t>Par 3.3</w:t>
            </w:r>
            <w:r w:rsidR="00CE6293">
              <w:rPr>
                <w:lang w:val="en-US"/>
              </w:rPr>
              <w:t xml:space="preserve"> </w:t>
            </w:r>
            <w:r w:rsidR="0049075D">
              <w:rPr>
                <w:lang w:val="en-US"/>
              </w:rPr>
              <w:t xml:space="preserve">and </w:t>
            </w:r>
            <w:r w:rsidRPr="00955C2D">
              <w:rPr>
                <w:lang w:val="en-US"/>
              </w:rPr>
              <w:t xml:space="preserve">AR16 </w:t>
            </w:r>
          </w:p>
        </w:tc>
        <w:tc>
          <w:tcPr>
            <w:tcW w:w="11162" w:type="dxa"/>
          </w:tcPr>
          <w:p w14:paraId="5F53EA68" w14:textId="4891C9C0" w:rsidR="0079101C" w:rsidRDefault="0079101C" w:rsidP="0079101C">
            <w:pPr>
              <w:rPr>
                <w:b/>
                <w:bCs/>
                <w:lang w:val="en-IE"/>
              </w:rPr>
            </w:pPr>
            <w:r w:rsidRPr="00955C2D">
              <w:rPr>
                <w:lang w:val="en-US"/>
              </w:rPr>
              <w:t>It should be clarified how the AR16 table connects with the Data Points to be disclosed based on the double materiality. We would appreciate having an official table that allows a clear reconciliation between Disclosure Requirements or Data Points and topics, sub-topics, and sub-sub-topics.  (AR 16, appendix A – ESRS 1)</w:t>
            </w:r>
          </w:p>
        </w:tc>
      </w:tr>
      <w:tr w:rsidR="0079101C" w14:paraId="5A6E53FD" w14:textId="77777777" w:rsidTr="008A6F93">
        <w:tc>
          <w:tcPr>
            <w:tcW w:w="1046" w:type="dxa"/>
          </w:tcPr>
          <w:p w14:paraId="10743614" w14:textId="1BF59C20" w:rsidR="0079101C" w:rsidRPr="00A45686" w:rsidRDefault="0079101C" w:rsidP="0079101C">
            <w:pPr>
              <w:rPr>
                <w:b/>
                <w:bCs/>
                <w:lang w:val="en-IE"/>
              </w:rPr>
            </w:pPr>
            <w:r w:rsidRPr="00B66FC4">
              <w:rPr>
                <w:lang w:val="en-US"/>
              </w:rPr>
              <w:t>ESRS 1</w:t>
            </w:r>
          </w:p>
        </w:tc>
        <w:tc>
          <w:tcPr>
            <w:tcW w:w="1541" w:type="dxa"/>
          </w:tcPr>
          <w:p w14:paraId="554B4E0B" w14:textId="38733524" w:rsidR="0079101C" w:rsidRPr="00A45686" w:rsidRDefault="0079101C" w:rsidP="0079101C">
            <w:pPr>
              <w:rPr>
                <w:b/>
                <w:bCs/>
                <w:lang w:val="en-IE"/>
              </w:rPr>
            </w:pPr>
            <w:r w:rsidRPr="00B66FC4">
              <w:rPr>
                <w:lang w:val="en-US"/>
              </w:rPr>
              <w:t>Appendix E</w:t>
            </w:r>
          </w:p>
        </w:tc>
        <w:tc>
          <w:tcPr>
            <w:tcW w:w="11162" w:type="dxa"/>
          </w:tcPr>
          <w:p w14:paraId="44FDDF5A" w14:textId="597AED8D" w:rsidR="0079101C" w:rsidRPr="00A45686" w:rsidRDefault="0079101C" w:rsidP="0079101C">
            <w:pPr>
              <w:rPr>
                <w:b/>
                <w:bCs/>
                <w:lang w:val="en-IE"/>
              </w:rPr>
            </w:pPr>
            <w:r>
              <w:rPr>
                <w:color w:val="000000" w:themeColor="text1"/>
                <w:lang w:val="en-US"/>
              </w:rPr>
              <w:t>We are of the opinion that t</w:t>
            </w:r>
            <w:r w:rsidRPr="003E130C">
              <w:rPr>
                <w:color w:val="000000" w:themeColor="text1"/>
                <w:lang w:val="en-US"/>
              </w:rPr>
              <w:t xml:space="preserve">he flow chart needs to be </w:t>
            </w:r>
            <w:r>
              <w:rPr>
                <w:color w:val="000000" w:themeColor="text1"/>
                <w:lang w:val="en-US"/>
              </w:rPr>
              <w:t>revised.</w:t>
            </w:r>
            <w:r w:rsidRPr="003E130C">
              <w:rPr>
                <w:color w:val="000000" w:themeColor="text1"/>
                <w:lang w:val="en-US"/>
              </w:rPr>
              <w:t xml:space="preserve"> </w:t>
            </w:r>
            <w:r>
              <w:rPr>
                <w:color w:val="000000" w:themeColor="text1"/>
                <w:lang w:val="en-US"/>
              </w:rPr>
              <w:t>T</w:t>
            </w:r>
            <w:r w:rsidRPr="003E130C">
              <w:rPr>
                <w:color w:val="000000" w:themeColor="text1"/>
                <w:lang w:val="en-US"/>
              </w:rPr>
              <w:t>he link between material topic and Disclosure Requirement</w:t>
            </w:r>
            <w:r>
              <w:rPr>
                <w:color w:val="000000" w:themeColor="text1"/>
                <w:lang w:val="en-US"/>
              </w:rPr>
              <w:t xml:space="preserve"> should be clarified and some steps should be better defined (</w:t>
            </w:r>
            <w:proofErr w:type="spellStart"/>
            <w:r>
              <w:rPr>
                <w:color w:val="000000" w:themeColor="text1"/>
                <w:lang w:val="en-US"/>
              </w:rPr>
              <w:t>eg.</w:t>
            </w:r>
            <w:proofErr w:type="spellEnd"/>
            <w:r>
              <w:rPr>
                <w:color w:val="000000" w:themeColor="text1"/>
                <w:lang w:val="en-US"/>
              </w:rPr>
              <w:t xml:space="preserve"> “</w:t>
            </w:r>
            <w:r w:rsidR="009B42DD">
              <w:rPr>
                <w:color w:val="000000" w:themeColor="text1"/>
                <w:lang w:val="en-US"/>
              </w:rPr>
              <w:t>I</w:t>
            </w:r>
            <w:r>
              <w:rPr>
                <w:color w:val="000000" w:themeColor="text1"/>
                <w:lang w:val="en-US"/>
              </w:rPr>
              <w:t xml:space="preserve">s the topic covered by a topical </w:t>
            </w:r>
            <w:proofErr w:type="gramStart"/>
            <w:r>
              <w:rPr>
                <w:color w:val="000000" w:themeColor="text1"/>
                <w:lang w:val="en-US"/>
              </w:rPr>
              <w:t>standard?“</w:t>
            </w:r>
            <w:proofErr w:type="gramEnd"/>
            <w:r>
              <w:rPr>
                <w:color w:val="000000" w:themeColor="text1"/>
                <w:lang w:val="en-US"/>
              </w:rPr>
              <w:t xml:space="preserve"> should be replaced by “Is the topical standard material?”)</w:t>
            </w:r>
          </w:p>
        </w:tc>
      </w:tr>
      <w:tr w:rsidR="0079101C" w14:paraId="701F57A4" w14:textId="77777777" w:rsidTr="008A6F93">
        <w:tc>
          <w:tcPr>
            <w:tcW w:w="1046" w:type="dxa"/>
          </w:tcPr>
          <w:p w14:paraId="62472511" w14:textId="21042534" w:rsidR="0079101C" w:rsidRDefault="0079101C" w:rsidP="0079101C">
            <w:pPr>
              <w:rPr>
                <w:lang w:val="en-IE"/>
              </w:rPr>
            </w:pPr>
            <w:r>
              <w:rPr>
                <w:lang w:val="en-IE"/>
              </w:rPr>
              <w:t>ESRS 2</w:t>
            </w:r>
          </w:p>
        </w:tc>
        <w:tc>
          <w:tcPr>
            <w:tcW w:w="1541" w:type="dxa"/>
          </w:tcPr>
          <w:p w14:paraId="5E65DECE" w14:textId="53840635" w:rsidR="0079101C" w:rsidRDefault="0079101C" w:rsidP="0079101C">
            <w:pPr>
              <w:rPr>
                <w:lang w:val="en-IE"/>
              </w:rPr>
            </w:pPr>
            <w:r>
              <w:rPr>
                <w:lang w:val="en-IE"/>
              </w:rPr>
              <w:t>SBM 3</w:t>
            </w:r>
          </w:p>
        </w:tc>
        <w:tc>
          <w:tcPr>
            <w:tcW w:w="11162" w:type="dxa"/>
          </w:tcPr>
          <w:p w14:paraId="052178AE" w14:textId="59A3E8EA" w:rsidR="0079101C" w:rsidRPr="00580D00" w:rsidRDefault="0079101C" w:rsidP="0079101C">
            <w:pPr>
              <w:rPr>
                <w:lang w:val="en-US"/>
              </w:rPr>
            </w:pPr>
            <w:r w:rsidRPr="00580D00">
              <w:rPr>
                <w:rFonts w:eastAsia="Times New Roman"/>
                <w:lang w:val="en-US"/>
              </w:rPr>
              <w:t>DR SBM</w:t>
            </w:r>
            <w:r>
              <w:rPr>
                <w:rFonts w:eastAsia="Times New Roman"/>
                <w:lang w:val="en-US"/>
              </w:rPr>
              <w:t xml:space="preserve"> </w:t>
            </w:r>
            <w:r w:rsidRPr="00580D00">
              <w:rPr>
                <w:rFonts w:eastAsia="Times New Roman"/>
                <w:lang w:val="en-US"/>
              </w:rPr>
              <w:t>3 seems to require the disclosure of the financial effects of all IROs in total.</w:t>
            </w:r>
            <w:r>
              <w:rPr>
                <w:rFonts w:eastAsia="Times New Roman"/>
                <w:lang w:val="en-US"/>
              </w:rPr>
              <w:t xml:space="preserve"> </w:t>
            </w:r>
            <w:r w:rsidRPr="00580D00">
              <w:rPr>
                <w:rFonts w:eastAsia="Times New Roman"/>
                <w:lang w:val="en-US"/>
              </w:rPr>
              <w:t xml:space="preserve">In ESRS 1 Appendix </w:t>
            </w:r>
            <w:r>
              <w:rPr>
                <w:rFonts w:eastAsia="Times New Roman"/>
                <w:lang w:val="en-US"/>
              </w:rPr>
              <w:t>C</w:t>
            </w:r>
            <w:r w:rsidRPr="00580D00">
              <w:rPr>
                <w:rFonts w:eastAsia="Times New Roman"/>
                <w:lang w:val="en-US"/>
              </w:rPr>
              <w:t>, the quantification of the financial effects (</w:t>
            </w:r>
            <w:proofErr w:type="spellStart"/>
            <w:r w:rsidRPr="00580D00">
              <w:rPr>
                <w:rFonts w:eastAsia="Times New Roman"/>
                <w:lang w:val="en-US"/>
              </w:rPr>
              <w:t>eg.</w:t>
            </w:r>
            <w:proofErr w:type="spellEnd"/>
            <w:r w:rsidRPr="00580D00">
              <w:rPr>
                <w:rFonts w:eastAsia="Times New Roman"/>
                <w:lang w:val="en-US"/>
              </w:rPr>
              <w:t xml:space="preserve"> E1-9</w:t>
            </w:r>
            <w:r>
              <w:rPr>
                <w:rFonts w:eastAsia="Times New Roman"/>
                <w:lang w:val="en-US"/>
              </w:rPr>
              <w:t>,</w:t>
            </w:r>
            <w:r w:rsidRPr="00580D00">
              <w:rPr>
                <w:rFonts w:eastAsia="Times New Roman"/>
                <w:lang w:val="en-US"/>
              </w:rPr>
              <w:t xml:space="preserve"> E</w:t>
            </w:r>
            <w:r>
              <w:rPr>
                <w:rFonts w:eastAsia="Times New Roman"/>
                <w:lang w:val="en-US"/>
              </w:rPr>
              <w:t>2</w:t>
            </w:r>
            <w:r w:rsidRPr="00580D00">
              <w:rPr>
                <w:rFonts w:eastAsia="Times New Roman"/>
                <w:lang w:val="en-US"/>
              </w:rPr>
              <w:t>-</w:t>
            </w:r>
            <w:r>
              <w:rPr>
                <w:rFonts w:eastAsia="Times New Roman"/>
                <w:lang w:val="en-US"/>
              </w:rPr>
              <w:t>6, E3-5, E4-6, E5-6</w:t>
            </w:r>
            <w:r w:rsidRPr="00580D00">
              <w:rPr>
                <w:rFonts w:eastAsia="Times New Roman"/>
                <w:lang w:val="en-US"/>
              </w:rPr>
              <w:t>) during the first 3 years is not required (given the respective phase-ins).</w:t>
            </w:r>
            <w:r>
              <w:rPr>
                <w:rFonts w:eastAsia="Times New Roman"/>
                <w:lang w:val="en-US"/>
              </w:rPr>
              <w:t xml:space="preserve"> </w:t>
            </w:r>
            <w:r>
              <w:rPr>
                <w:lang w:val="en-US"/>
              </w:rPr>
              <w:t>Since the financial effects from SBM3 would result from the individual phase-in elements, this would imply that the phase-ins could actually not be exploited.</w:t>
            </w:r>
          </w:p>
        </w:tc>
      </w:tr>
      <w:tr w:rsidR="006C1546" w14:paraId="2DAC5B86" w14:textId="77777777" w:rsidTr="008A6F93">
        <w:tc>
          <w:tcPr>
            <w:tcW w:w="1046" w:type="dxa"/>
          </w:tcPr>
          <w:p w14:paraId="70AADF8F" w14:textId="673E102E" w:rsidR="006C1546" w:rsidRDefault="006C1546" w:rsidP="0079101C">
            <w:pPr>
              <w:rPr>
                <w:lang w:val="en-IE"/>
              </w:rPr>
            </w:pPr>
            <w:r>
              <w:rPr>
                <w:lang w:val="en-IE"/>
              </w:rPr>
              <w:t>ESRS 2</w:t>
            </w:r>
          </w:p>
        </w:tc>
        <w:tc>
          <w:tcPr>
            <w:tcW w:w="1541" w:type="dxa"/>
          </w:tcPr>
          <w:p w14:paraId="664F5C65" w14:textId="764E9B39" w:rsidR="006C1546" w:rsidRDefault="006C1546" w:rsidP="0079101C">
            <w:pPr>
              <w:rPr>
                <w:lang w:val="en-IE"/>
              </w:rPr>
            </w:pPr>
            <w:r>
              <w:rPr>
                <w:lang w:val="en-IE"/>
              </w:rPr>
              <w:t>Para 17</w:t>
            </w:r>
          </w:p>
        </w:tc>
        <w:tc>
          <w:tcPr>
            <w:tcW w:w="11162" w:type="dxa"/>
          </w:tcPr>
          <w:p w14:paraId="0D987AD1" w14:textId="2E8CF423" w:rsidR="006C1546" w:rsidRPr="00C76C3B" w:rsidRDefault="00E279B2" w:rsidP="0079101C">
            <w:pPr>
              <w:rPr>
                <w:rFonts w:eastAsia="Times New Roman"/>
                <w:lang w:val="en-US"/>
              </w:rPr>
            </w:pPr>
            <w:r w:rsidRPr="00C76C3B">
              <w:rPr>
                <w:rFonts w:eastAsia="Times New Roman"/>
                <w:lang w:val="en-US"/>
              </w:rPr>
              <w:t>ESRS 2 para 17</w:t>
            </w:r>
            <w:r w:rsidR="000E0AE1" w:rsidRPr="00C76C3B">
              <w:rPr>
                <w:rFonts w:eastAsia="Times New Roman"/>
                <w:lang w:val="en-US"/>
              </w:rPr>
              <w:t xml:space="preserve"> </w:t>
            </w:r>
            <w:r w:rsidR="00DD0358" w:rsidRPr="00C76C3B">
              <w:rPr>
                <w:rFonts w:eastAsia="Times New Roman"/>
                <w:lang w:val="en-US"/>
              </w:rPr>
              <w:t>introduces</w:t>
            </w:r>
            <w:r w:rsidR="00F56EE0" w:rsidRPr="00C76C3B">
              <w:rPr>
                <w:rFonts w:eastAsia="Times New Roman"/>
                <w:lang w:val="en-US"/>
              </w:rPr>
              <w:t xml:space="preserve"> detailed </w:t>
            </w:r>
            <w:r w:rsidR="00DD0358" w:rsidRPr="00C76C3B">
              <w:rPr>
                <w:rFonts w:eastAsia="Times New Roman"/>
                <w:lang w:val="en-US"/>
              </w:rPr>
              <w:t xml:space="preserve">requirements </w:t>
            </w:r>
            <w:r w:rsidR="001E2711" w:rsidRPr="00C76C3B">
              <w:rPr>
                <w:rStyle w:val="normaltextrun"/>
                <w:rFonts w:ascii="Calibri" w:hAnsi="Calibri" w:cs="Calibri"/>
              </w:rPr>
              <w:t>for DRs in ESRS E4, ESRS S1, ESRS S2, ESRS S3 and ESRS S4 omitted due to phase-in</w:t>
            </w:r>
            <w:r w:rsidR="00DD0358" w:rsidRPr="00C76C3B">
              <w:rPr>
                <w:rStyle w:val="normaltextrun"/>
                <w:rFonts w:ascii="Calibri" w:hAnsi="Calibri" w:cs="Calibri"/>
              </w:rPr>
              <w:t xml:space="preserve">, </w:t>
            </w:r>
            <w:proofErr w:type="spellStart"/>
            <w:r w:rsidR="00DD0358" w:rsidRPr="00C76C3B">
              <w:rPr>
                <w:rStyle w:val="normaltextrun"/>
                <w:rFonts w:ascii="Calibri" w:hAnsi="Calibri" w:cs="Calibri"/>
              </w:rPr>
              <w:t>eg.</w:t>
            </w:r>
            <w:proofErr w:type="spellEnd"/>
            <w:r w:rsidR="00DD0358" w:rsidRPr="00C76C3B">
              <w:rPr>
                <w:rStyle w:val="normaltextrun"/>
                <w:rFonts w:ascii="Calibri" w:hAnsi="Calibri" w:cs="Calibri"/>
              </w:rPr>
              <w:t xml:space="preserve"> conducting a materiality assessment for the DRs </w:t>
            </w:r>
            <w:r w:rsidR="00C35891" w:rsidRPr="00C76C3B">
              <w:rPr>
                <w:rStyle w:val="normaltextrun"/>
                <w:rFonts w:ascii="Calibri" w:hAnsi="Calibri" w:cs="Calibri"/>
              </w:rPr>
              <w:t xml:space="preserve">omitted due to the phase-in and disclose, for those that are material, </w:t>
            </w:r>
            <w:r w:rsidR="006B4CBE" w:rsidRPr="00C76C3B">
              <w:rPr>
                <w:rStyle w:val="normaltextrun"/>
                <w:rFonts w:ascii="Calibri" w:hAnsi="Calibri" w:cs="Calibri"/>
              </w:rPr>
              <w:t>numerous descriptions as well as metrics relating to those matters</w:t>
            </w:r>
            <w:r w:rsidR="00BD667A" w:rsidRPr="00C76C3B">
              <w:rPr>
                <w:rStyle w:val="normaltextrun"/>
                <w:rFonts w:ascii="Calibri" w:hAnsi="Calibri" w:cs="Calibri"/>
              </w:rPr>
              <w:t>. Those requirements are critical as the respective phase</w:t>
            </w:r>
            <w:r w:rsidR="00DB2AA8" w:rsidRPr="00C76C3B">
              <w:rPr>
                <w:rStyle w:val="normaltextrun"/>
                <w:rFonts w:ascii="Calibri" w:hAnsi="Calibri" w:cs="Calibri"/>
              </w:rPr>
              <w:t>-</w:t>
            </w:r>
            <w:r w:rsidR="00BD667A" w:rsidRPr="00C76C3B">
              <w:rPr>
                <w:rStyle w:val="normaltextrun"/>
                <w:rFonts w:ascii="Calibri" w:hAnsi="Calibri" w:cs="Calibri"/>
              </w:rPr>
              <w:t xml:space="preserve">in periods </w:t>
            </w:r>
            <w:r w:rsidR="00DB2AA8" w:rsidRPr="00C76C3B">
              <w:rPr>
                <w:rStyle w:val="normaltextrun"/>
                <w:rFonts w:ascii="Calibri" w:hAnsi="Calibri" w:cs="Calibri"/>
              </w:rPr>
              <w:t>ar</w:t>
            </w:r>
            <w:r w:rsidR="00BD667A" w:rsidRPr="00C76C3B">
              <w:rPr>
                <w:rStyle w:val="normaltextrun"/>
                <w:rFonts w:ascii="Calibri" w:hAnsi="Calibri" w:cs="Calibri"/>
              </w:rPr>
              <w:t xml:space="preserve">e necessary to build reporting processes and collect relevant data. Those would be necessary to conduct the required materiality assessment. Therefore, </w:t>
            </w:r>
            <w:r w:rsidR="00320121" w:rsidRPr="00C76C3B">
              <w:rPr>
                <w:rStyle w:val="normaltextrun"/>
                <w:rFonts w:ascii="Calibri" w:hAnsi="Calibri" w:cs="Calibri"/>
              </w:rPr>
              <w:t>we would recommend deleting Para 17 as such requirements</w:t>
            </w:r>
            <w:r w:rsidR="00BD667A" w:rsidRPr="00C76C3B">
              <w:rPr>
                <w:rStyle w:val="normaltextrun"/>
                <w:rFonts w:ascii="Calibri" w:hAnsi="Calibri" w:cs="Calibri"/>
              </w:rPr>
              <w:t xml:space="preserve"> would reduce or even eliminate the benefits of the phase</w:t>
            </w:r>
            <w:r w:rsidR="00320121" w:rsidRPr="00C76C3B">
              <w:rPr>
                <w:rStyle w:val="normaltextrun"/>
                <w:rFonts w:ascii="Calibri" w:hAnsi="Calibri" w:cs="Calibri"/>
              </w:rPr>
              <w:t>-</w:t>
            </w:r>
            <w:r w:rsidR="00BD667A" w:rsidRPr="00C76C3B">
              <w:rPr>
                <w:rStyle w:val="normaltextrun"/>
                <w:rFonts w:ascii="Calibri" w:hAnsi="Calibri" w:cs="Calibri"/>
              </w:rPr>
              <w:t>in scheme.</w:t>
            </w:r>
          </w:p>
        </w:tc>
      </w:tr>
      <w:tr w:rsidR="0079101C" w14:paraId="52632080" w14:textId="77777777" w:rsidTr="008A6F93">
        <w:tc>
          <w:tcPr>
            <w:tcW w:w="1046" w:type="dxa"/>
          </w:tcPr>
          <w:p w14:paraId="11770536" w14:textId="075228F9" w:rsidR="0079101C" w:rsidRDefault="0079101C" w:rsidP="0079101C">
            <w:pPr>
              <w:rPr>
                <w:lang w:val="en-IE"/>
              </w:rPr>
            </w:pPr>
            <w:r>
              <w:rPr>
                <w:lang w:val="en-IE"/>
              </w:rPr>
              <w:t>ESRS E1</w:t>
            </w:r>
          </w:p>
        </w:tc>
        <w:tc>
          <w:tcPr>
            <w:tcW w:w="1541" w:type="dxa"/>
          </w:tcPr>
          <w:p w14:paraId="1E0FA10A" w14:textId="5905700A" w:rsidR="0079101C" w:rsidRDefault="0079101C" w:rsidP="0079101C">
            <w:pPr>
              <w:rPr>
                <w:lang w:val="en-IE"/>
              </w:rPr>
            </w:pPr>
            <w:r>
              <w:rPr>
                <w:lang w:val="en-IE"/>
              </w:rPr>
              <w:t>AR47(b) and AR13(c)</w:t>
            </w:r>
          </w:p>
        </w:tc>
        <w:tc>
          <w:tcPr>
            <w:tcW w:w="11162" w:type="dxa"/>
          </w:tcPr>
          <w:p w14:paraId="40A817A2" w14:textId="77777777" w:rsidR="0079101C" w:rsidRPr="008C71D9" w:rsidRDefault="0079101C" w:rsidP="0079101C">
            <w:pPr>
              <w:jc w:val="both"/>
              <w:rPr>
                <w:lang w:val="en-IE"/>
              </w:rPr>
            </w:pPr>
            <w:r w:rsidRPr="008C71D9">
              <w:rPr>
                <w:lang w:val="en-IE"/>
              </w:rPr>
              <w:t>The EC should clarify that the use of external references is voluntary as regards:</w:t>
            </w:r>
          </w:p>
          <w:p w14:paraId="0B9F8031" w14:textId="77777777" w:rsidR="0079101C" w:rsidRPr="008C71D9" w:rsidRDefault="0079101C" w:rsidP="0079101C">
            <w:pPr>
              <w:pStyle w:val="Odsekzoznamu"/>
              <w:numPr>
                <w:ilvl w:val="0"/>
                <w:numId w:val="4"/>
              </w:numPr>
              <w:jc w:val="both"/>
              <w:rPr>
                <w:lang w:val="en-IE"/>
              </w:rPr>
            </w:pPr>
            <w:r w:rsidRPr="008C71D9">
              <w:rPr>
                <w:lang w:val="en-IE"/>
              </w:rPr>
              <w:t>The PCAF standard in ESRS E1-</w:t>
            </w:r>
            <w:r>
              <w:rPr>
                <w:lang w:val="en-IE"/>
              </w:rPr>
              <w:t xml:space="preserve">6 </w:t>
            </w:r>
            <w:r w:rsidRPr="008C71D9">
              <w:rPr>
                <w:lang w:val="en-IE"/>
              </w:rPr>
              <w:t xml:space="preserve">AR47(b): </w:t>
            </w:r>
            <w:r w:rsidRPr="00DB2E87">
              <w:rPr>
                <w:lang w:val="en-IE"/>
              </w:rPr>
              <w:t xml:space="preserve">the use of PCAF should remain voluntary and therefore EC could solve this </w:t>
            </w:r>
            <w:r>
              <w:rPr>
                <w:lang w:val="en-IE"/>
              </w:rPr>
              <w:t xml:space="preserve">by </w:t>
            </w:r>
            <w:r w:rsidRPr="008C71D9">
              <w:rPr>
                <w:lang w:val="en-IE"/>
              </w:rPr>
              <w:t>replac</w:t>
            </w:r>
            <w:r>
              <w:rPr>
                <w:lang w:val="en-IE"/>
              </w:rPr>
              <w:t>ing</w:t>
            </w:r>
            <w:r w:rsidRPr="008C71D9">
              <w:rPr>
                <w:lang w:val="en-IE"/>
              </w:rPr>
              <w:t xml:space="preserve"> the term “shall consider” by “may consider”</w:t>
            </w:r>
            <w:r>
              <w:rPr>
                <w:lang w:val="en-IE"/>
              </w:rPr>
              <w:t xml:space="preserve"> in AR47(b)</w:t>
            </w:r>
            <w:r w:rsidRPr="008C71D9">
              <w:rPr>
                <w:lang w:val="en-IE"/>
              </w:rPr>
              <w:t>.</w:t>
            </w:r>
            <w:r>
              <w:rPr>
                <w:lang w:val="en-IE"/>
              </w:rPr>
              <w:t xml:space="preserve"> </w:t>
            </w:r>
          </w:p>
          <w:p w14:paraId="01057F38" w14:textId="77777777" w:rsidR="0079101C" w:rsidRDefault="0079101C" w:rsidP="0079101C">
            <w:pPr>
              <w:pStyle w:val="Odsekzoznamu"/>
              <w:numPr>
                <w:ilvl w:val="0"/>
                <w:numId w:val="4"/>
              </w:numPr>
              <w:jc w:val="both"/>
              <w:rPr>
                <w:lang w:val="en-IE"/>
              </w:rPr>
            </w:pPr>
            <w:r w:rsidRPr="008C71D9">
              <w:rPr>
                <w:lang w:val="en-IE"/>
              </w:rPr>
              <w:t xml:space="preserve">The International Energy Agency in ESRS E1-AR13(c): while EFRAG advice was clear on the voluntary nature of the use of IEA’s scenarios, changes </w:t>
            </w:r>
            <w:r>
              <w:rPr>
                <w:lang w:val="en-IE"/>
              </w:rPr>
              <w:t>introduced</w:t>
            </w:r>
            <w:r w:rsidRPr="008C71D9">
              <w:rPr>
                <w:lang w:val="en-IE"/>
              </w:rPr>
              <w:t xml:space="preserve"> by the EC to AR13(c) bring confusion as to whether it remains the case.</w:t>
            </w:r>
          </w:p>
          <w:p w14:paraId="58A1CDDB" w14:textId="74EE52A6" w:rsidR="0079101C" w:rsidRPr="00580D00" w:rsidRDefault="0079101C" w:rsidP="0079101C">
            <w:pPr>
              <w:rPr>
                <w:rFonts w:eastAsia="Times New Roman"/>
                <w:lang w:val="en-US"/>
              </w:rPr>
            </w:pPr>
            <w:r>
              <w:rPr>
                <w:lang w:val="en-IE"/>
              </w:rPr>
              <w:t>In general, the EC should clarify in the description of “shall consider” requirements under ESRS 1 para 18 that it does not constitute a formal requirement.</w:t>
            </w:r>
          </w:p>
        </w:tc>
      </w:tr>
      <w:tr w:rsidR="0079101C" w14:paraId="6EE64802" w14:textId="77777777" w:rsidTr="008A6F93">
        <w:tc>
          <w:tcPr>
            <w:tcW w:w="1046" w:type="dxa"/>
          </w:tcPr>
          <w:p w14:paraId="73D5AEC5" w14:textId="33CA242F" w:rsidR="0079101C" w:rsidRDefault="0079101C" w:rsidP="0079101C">
            <w:pPr>
              <w:rPr>
                <w:lang w:val="en-IE"/>
              </w:rPr>
            </w:pPr>
            <w:r>
              <w:rPr>
                <w:lang w:val="en-IE"/>
              </w:rPr>
              <w:t>ESRS E4</w:t>
            </w:r>
          </w:p>
        </w:tc>
        <w:tc>
          <w:tcPr>
            <w:tcW w:w="1541" w:type="dxa"/>
          </w:tcPr>
          <w:p w14:paraId="679EB20B" w14:textId="7A4FD817" w:rsidR="0079101C" w:rsidRDefault="0079101C" w:rsidP="0079101C">
            <w:pPr>
              <w:rPr>
                <w:lang w:val="en-IE"/>
              </w:rPr>
            </w:pPr>
            <w:r>
              <w:rPr>
                <w:lang w:val="en-IE"/>
              </w:rPr>
              <w:t>Para 17(c)</w:t>
            </w:r>
          </w:p>
        </w:tc>
        <w:tc>
          <w:tcPr>
            <w:tcW w:w="11162" w:type="dxa"/>
          </w:tcPr>
          <w:p w14:paraId="4E214F26" w14:textId="378FAC83" w:rsidR="0079101C" w:rsidRDefault="0079101C" w:rsidP="0079101C">
            <w:pPr>
              <w:rPr>
                <w:lang w:val="en-IE"/>
              </w:rPr>
            </w:pPr>
            <w:r>
              <w:t>Lack of clear guidance on the scope for the materiality assessment for negative impacts with regards to land degradation, desertification or soil sealing might lead to different interpretation. Therefore, the comparability of results across undertakings would not be achieved. Moreover, application scope of disclosure requirements in same chapter E4 para. 17 a), b) and d) are clearly stating scope of disclosure for own operations. This should be also the case for para. 17(c).</w:t>
            </w:r>
          </w:p>
        </w:tc>
      </w:tr>
      <w:tr w:rsidR="0079101C" w14:paraId="74CBF526" w14:textId="77777777" w:rsidTr="008A6F93">
        <w:tc>
          <w:tcPr>
            <w:tcW w:w="1046" w:type="dxa"/>
          </w:tcPr>
          <w:p w14:paraId="5CBF770C" w14:textId="5A473705" w:rsidR="0079101C" w:rsidRDefault="0079101C" w:rsidP="0079101C">
            <w:pPr>
              <w:rPr>
                <w:lang w:val="en-IE"/>
              </w:rPr>
            </w:pPr>
            <w:r>
              <w:rPr>
                <w:lang w:val="en-IE"/>
              </w:rPr>
              <w:t>ESRS E4</w:t>
            </w:r>
          </w:p>
        </w:tc>
        <w:tc>
          <w:tcPr>
            <w:tcW w:w="1541" w:type="dxa"/>
          </w:tcPr>
          <w:p w14:paraId="3846F043" w14:textId="64F5C137" w:rsidR="0079101C" w:rsidRDefault="0079101C" w:rsidP="0079101C">
            <w:pPr>
              <w:rPr>
                <w:lang w:val="en-IE"/>
              </w:rPr>
            </w:pPr>
            <w:r>
              <w:rPr>
                <w:lang w:val="en-IE"/>
              </w:rPr>
              <w:t>Para 35</w:t>
            </w:r>
          </w:p>
        </w:tc>
        <w:tc>
          <w:tcPr>
            <w:tcW w:w="11162" w:type="dxa"/>
          </w:tcPr>
          <w:p w14:paraId="147C04AC" w14:textId="6C192691" w:rsidR="0079101C" w:rsidRDefault="0079101C" w:rsidP="0079101C">
            <w:r>
              <w:t xml:space="preserve">In contrast to what was proposed by EFRAG in the ESRS draft standards, no specification on which sectors must comply </w:t>
            </w:r>
            <w:r>
              <w:lastRenderedPageBreak/>
              <w:t>with this disclosure requirement leads to the fact that financial institutions should comply with this requirement. However, land-use change analysis based on life cycle assessment is not applicable to financial institutions as LCA is used to quantify the impacts of production chain for physical products, where land-use is a material topic in the supply chain. Financial institutions supply chain mainly includes professional services.</w:t>
            </w:r>
          </w:p>
        </w:tc>
      </w:tr>
      <w:tr w:rsidR="0079101C" w14:paraId="0C37454B" w14:textId="77777777" w:rsidTr="008A6F93">
        <w:tc>
          <w:tcPr>
            <w:tcW w:w="1046" w:type="dxa"/>
          </w:tcPr>
          <w:p w14:paraId="4BB4098D" w14:textId="474A27A0" w:rsidR="0079101C" w:rsidRDefault="0079101C" w:rsidP="0079101C">
            <w:pPr>
              <w:rPr>
                <w:lang w:val="en-IE"/>
              </w:rPr>
            </w:pPr>
            <w:r>
              <w:rPr>
                <w:lang w:val="en-IE"/>
              </w:rPr>
              <w:lastRenderedPageBreak/>
              <w:t>ESRS E4</w:t>
            </w:r>
          </w:p>
        </w:tc>
        <w:tc>
          <w:tcPr>
            <w:tcW w:w="1541" w:type="dxa"/>
          </w:tcPr>
          <w:p w14:paraId="54DF5617" w14:textId="79E21283" w:rsidR="0079101C" w:rsidRDefault="0079101C" w:rsidP="0079101C">
            <w:pPr>
              <w:rPr>
                <w:lang w:val="en-IE"/>
              </w:rPr>
            </w:pPr>
            <w:r>
              <w:rPr>
                <w:lang w:val="en-IE"/>
              </w:rPr>
              <w:t>AR25 (b) ii.</w:t>
            </w:r>
          </w:p>
        </w:tc>
        <w:tc>
          <w:tcPr>
            <w:tcW w:w="11162" w:type="dxa"/>
          </w:tcPr>
          <w:p w14:paraId="16F69177" w14:textId="08BBBE00" w:rsidR="0079101C" w:rsidRDefault="0079101C" w:rsidP="0079101C">
            <w:r w:rsidRPr="00C76C3B">
              <w:rPr>
                <w:lang w:val="pt-PT"/>
              </w:rPr>
              <w:t xml:space="preserve">This AR contradicts ESRS E4 para. </w:t>
            </w:r>
            <w:r>
              <w:t>36 which states that “</w:t>
            </w:r>
            <w:r w:rsidRPr="00335B3E">
              <w:rPr>
                <w:i/>
                <w:iCs/>
              </w:rPr>
              <w:t>for datapoints specified in paragraphs 37 to 40, the undertaking shall consider its own operations</w:t>
            </w:r>
            <w:r>
              <w:t xml:space="preserve">.”  AR 25 must be corrected to reflect E4 para. 36 </w:t>
            </w:r>
            <w:proofErr w:type="spellStart"/>
            <w:r>
              <w:t>ie</w:t>
            </w:r>
            <w:proofErr w:type="spellEnd"/>
            <w:r>
              <w:t>. scoping own operations only.</w:t>
            </w:r>
          </w:p>
        </w:tc>
      </w:tr>
      <w:tr w:rsidR="00471135" w14:paraId="2EF90B69" w14:textId="77777777" w:rsidTr="008A6F93">
        <w:tc>
          <w:tcPr>
            <w:tcW w:w="1046" w:type="dxa"/>
          </w:tcPr>
          <w:p w14:paraId="0061F936" w14:textId="73E52651" w:rsidR="00471135" w:rsidRDefault="00471135" w:rsidP="00471135">
            <w:pPr>
              <w:rPr>
                <w:lang w:val="en-IE"/>
              </w:rPr>
            </w:pPr>
            <w:r>
              <w:rPr>
                <w:lang w:val="en-IE"/>
              </w:rPr>
              <w:t>ESRS E5</w:t>
            </w:r>
          </w:p>
        </w:tc>
        <w:tc>
          <w:tcPr>
            <w:tcW w:w="1541" w:type="dxa"/>
          </w:tcPr>
          <w:p w14:paraId="49A24591" w14:textId="76A60247" w:rsidR="00471135" w:rsidRDefault="00471135" w:rsidP="00471135">
            <w:pPr>
              <w:rPr>
                <w:lang w:val="en-IE"/>
              </w:rPr>
            </w:pPr>
            <w:r>
              <w:rPr>
                <w:lang w:val="en-IE"/>
              </w:rPr>
              <w:t>Para 20(e)</w:t>
            </w:r>
          </w:p>
        </w:tc>
        <w:tc>
          <w:tcPr>
            <w:tcW w:w="11162" w:type="dxa"/>
          </w:tcPr>
          <w:p w14:paraId="715397F2" w14:textId="459E1AEA" w:rsidR="00471135" w:rsidRDefault="00471135" w:rsidP="00471135">
            <w:r>
              <w:t>ESRS E5 para. 20(e) requires actions that involves the undertaking upstream and downstream value chain while the AR14 states that “</w:t>
            </w:r>
            <w:r w:rsidRPr="00420232">
              <w:rPr>
                <w:i/>
                <w:iCs/>
              </w:rPr>
              <w:t xml:space="preserve">The actions may cover the undertaking’s own operations </w:t>
            </w:r>
            <w:r w:rsidRPr="00420232">
              <w:rPr>
                <w:b/>
                <w:bCs/>
                <w:i/>
                <w:iCs/>
              </w:rPr>
              <w:t>and/or</w:t>
            </w:r>
            <w:r w:rsidRPr="00420232">
              <w:rPr>
                <w:i/>
                <w:iCs/>
              </w:rPr>
              <w:t xml:space="preserve"> the value chain</w:t>
            </w:r>
            <w:r>
              <w:t xml:space="preserve">”. There is contradictory information introduced by “and/or” of the AR. </w:t>
            </w:r>
          </w:p>
        </w:tc>
      </w:tr>
      <w:tr w:rsidR="00471135" w14:paraId="57CB2147" w14:textId="77777777" w:rsidTr="008A6F93">
        <w:tc>
          <w:tcPr>
            <w:tcW w:w="1046" w:type="dxa"/>
          </w:tcPr>
          <w:p w14:paraId="62B27753" w14:textId="35C87E6E" w:rsidR="00471135" w:rsidRDefault="00471135" w:rsidP="00471135">
            <w:pPr>
              <w:rPr>
                <w:lang w:val="en-IE"/>
              </w:rPr>
            </w:pPr>
            <w:r>
              <w:rPr>
                <w:lang w:val="en-IE"/>
              </w:rPr>
              <w:t>ESRS S1</w:t>
            </w:r>
          </w:p>
        </w:tc>
        <w:tc>
          <w:tcPr>
            <w:tcW w:w="1541" w:type="dxa"/>
          </w:tcPr>
          <w:p w14:paraId="73989E77" w14:textId="364A4BF2" w:rsidR="00471135" w:rsidRPr="001365B1" w:rsidRDefault="00471135" w:rsidP="00471135">
            <w:pPr>
              <w:rPr>
                <w:rFonts w:cstheme="minorHAnsi"/>
                <w:lang w:val="en-IE"/>
              </w:rPr>
            </w:pPr>
            <w:r w:rsidRPr="001365B1">
              <w:rPr>
                <w:rFonts w:cstheme="minorHAnsi"/>
                <w:lang w:val="en-IE"/>
              </w:rPr>
              <w:t>S1-7</w:t>
            </w:r>
          </w:p>
        </w:tc>
        <w:tc>
          <w:tcPr>
            <w:tcW w:w="11162" w:type="dxa"/>
          </w:tcPr>
          <w:p w14:paraId="410429FA" w14:textId="4251A58C" w:rsidR="00471135" w:rsidRPr="001365B1" w:rsidRDefault="00471135" w:rsidP="00471135">
            <w:pPr>
              <w:rPr>
                <w:rFonts w:cstheme="minorHAnsi"/>
              </w:rPr>
            </w:pPr>
            <w:r w:rsidRPr="00987E8E">
              <w:rPr>
                <w:rFonts w:cstheme="minorHAnsi"/>
                <w:lang w:val="en-IE"/>
              </w:rPr>
              <w:t>A</w:t>
            </w:r>
            <w:r w:rsidR="00142299">
              <w:rPr>
                <w:rFonts w:cstheme="minorHAnsi"/>
                <w:lang w:val="en-IE"/>
              </w:rPr>
              <w:t xml:space="preserve"> </w:t>
            </w:r>
            <w:r w:rsidRPr="00987E8E">
              <w:rPr>
                <w:rFonts w:cstheme="minorHAnsi"/>
                <w:lang w:val="en-US"/>
              </w:rPr>
              <w:t xml:space="preserve">phase-in </w:t>
            </w:r>
            <w:r w:rsidR="00142299">
              <w:rPr>
                <w:rFonts w:cstheme="minorHAnsi"/>
                <w:lang w:val="en-US"/>
              </w:rPr>
              <w:t>on non-employee workers</w:t>
            </w:r>
            <w:r w:rsidRPr="00987E8E">
              <w:rPr>
                <w:rFonts w:cstheme="minorHAnsi"/>
                <w:lang w:val="en-US"/>
              </w:rPr>
              <w:t xml:space="preserve"> </w:t>
            </w:r>
            <w:r w:rsidR="005A212E">
              <w:rPr>
                <w:rFonts w:cstheme="minorHAnsi"/>
                <w:lang w:val="en-US"/>
              </w:rPr>
              <w:t xml:space="preserve">information </w:t>
            </w:r>
            <w:r w:rsidRPr="00987E8E">
              <w:rPr>
                <w:rFonts w:cstheme="minorHAnsi"/>
                <w:lang w:val="en-US"/>
              </w:rPr>
              <w:t>should be allowed for all companies.</w:t>
            </w:r>
          </w:p>
        </w:tc>
      </w:tr>
      <w:tr w:rsidR="001D6A8E" w14:paraId="162AF0B7" w14:textId="77777777" w:rsidTr="008A6F93">
        <w:tc>
          <w:tcPr>
            <w:tcW w:w="1046" w:type="dxa"/>
          </w:tcPr>
          <w:p w14:paraId="7BA7A95B" w14:textId="4D72AA02" w:rsidR="001D6A8E" w:rsidRDefault="001D6A8E" w:rsidP="001D6A8E">
            <w:pPr>
              <w:rPr>
                <w:lang w:val="en-IE"/>
              </w:rPr>
            </w:pPr>
            <w:r>
              <w:rPr>
                <w:lang w:val="en-IE"/>
              </w:rPr>
              <w:t>ESRS S1</w:t>
            </w:r>
          </w:p>
        </w:tc>
        <w:tc>
          <w:tcPr>
            <w:tcW w:w="1541" w:type="dxa"/>
          </w:tcPr>
          <w:p w14:paraId="6A18F214" w14:textId="42F0EC50" w:rsidR="001D6A8E" w:rsidRPr="001365B1" w:rsidRDefault="001D6A8E" w:rsidP="001D6A8E">
            <w:pPr>
              <w:rPr>
                <w:rFonts w:cstheme="minorHAnsi"/>
                <w:lang w:val="en-IE"/>
              </w:rPr>
            </w:pPr>
            <w:r>
              <w:rPr>
                <w:lang w:val="en-IE"/>
              </w:rPr>
              <w:t xml:space="preserve">Para 10 </w:t>
            </w:r>
          </w:p>
        </w:tc>
        <w:tc>
          <w:tcPr>
            <w:tcW w:w="11162" w:type="dxa"/>
          </w:tcPr>
          <w:p w14:paraId="5A0BEA5E" w14:textId="4CFED9DA" w:rsidR="001D6A8E" w:rsidRPr="001365B1" w:rsidRDefault="003E6463" w:rsidP="001D6A8E">
            <w:pPr>
              <w:rPr>
                <w:rFonts w:cstheme="minorHAnsi"/>
              </w:rPr>
            </w:pPr>
            <w:r>
              <w:rPr>
                <w:lang w:val="en-US"/>
              </w:rPr>
              <w:t>Para 10</w:t>
            </w:r>
            <w:r w:rsidR="001D6A8E">
              <w:rPr>
                <w:lang w:val="en-US"/>
              </w:rPr>
              <w:t xml:space="preserve"> requires consistency with reporting </w:t>
            </w:r>
            <w:r w:rsidR="001D6A8E" w:rsidRPr="00521B50">
              <w:rPr>
                <w:lang w:val="en-US"/>
              </w:rPr>
              <w:t>on the undertaking’s own workforce under ESRS S2</w:t>
            </w:r>
            <w:r w:rsidR="00027496">
              <w:rPr>
                <w:lang w:val="en-US"/>
              </w:rPr>
              <w:t>, b</w:t>
            </w:r>
            <w:r w:rsidR="001D6A8E">
              <w:rPr>
                <w:lang w:val="en-US"/>
              </w:rPr>
              <w:t xml:space="preserve">ut ESRS S2 </w:t>
            </w:r>
            <w:r w:rsidR="00027496">
              <w:rPr>
                <w:lang w:val="en-US"/>
              </w:rPr>
              <w:t>relates to the</w:t>
            </w:r>
            <w:r w:rsidR="001D6A8E">
              <w:rPr>
                <w:lang w:val="en-US"/>
              </w:rPr>
              <w:t xml:space="preserve"> workforce in the value chain. </w:t>
            </w:r>
          </w:p>
        </w:tc>
      </w:tr>
      <w:tr w:rsidR="001D6A8E" w14:paraId="4F0ADF20" w14:textId="77777777" w:rsidTr="008A6F93">
        <w:tc>
          <w:tcPr>
            <w:tcW w:w="1046" w:type="dxa"/>
          </w:tcPr>
          <w:p w14:paraId="67F836FD" w14:textId="239DE242" w:rsidR="001D6A8E" w:rsidRDefault="001D6A8E" w:rsidP="001D6A8E">
            <w:pPr>
              <w:rPr>
                <w:lang w:val="en-IE"/>
              </w:rPr>
            </w:pPr>
            <w:r>
              <w:rPr>
                <w:lang w:val="en-IE"/>
              </w:rPr>
              <w:t>ESRS S2</w:t>
            </w:r>
          </w:p>
        </w:tc>
        <w:tc>
          <w:tcPr>
            <w:tcW w:w="1541" w:type="dxa"/>
          </w:tcPr>
          <w:p w14:paraId="3862850B" w14:textId="7AFDB891" w:rsidR="001D6A8E" w:rsidRDefault="001D6A8E" w:rsidP="001D6A8E">
            <w:pPr>
              <w:rPr>
                <w:lang w:val="en-IE"/>
              </w:rPr>
            </w:pPr>
            <w:r>
              <w:rPr>
                <w:lang w:val="en-IE"/>
              </w:rPr>
              <w:t>General</w:t>
            </w:r>
          </w:p>
        </w:tc>
        <w:tc>
          <w:tcPr>
            <w:tcW w:w="11162" w:type="dxa"/>
          </w:tcPr>
          <w:p w14:paraId="3696B783" w14:textId="464A9BA8" w:rsidR="001D6A8E" w:rsidRPr="006E7966" w:rsidRDefault="00B811F8" w:rsidP="001D6A8E">
            <w:r>
              <w:rPr>
                <w:lang w:val="en-US"/>
              </w:rPr>
              <w:t>I</w:t>
            </w:r>
            <w:r w:rsidR="001D6A8E">
              <w:rPr>
                <w:lang w:val="en-US"/>
              </w:rPr>
              <w:t>nsure</w:t>
            </w:r>
            <w:r>
              <w:rPr>
                <w:lang w:val="en-US"/>
              </w:rPr>
              <w:t>r</w:t>
            </w:r>
            <w:r w:rsidR="001D6A8E">
              <w:rPr>
                <w:lang w:val="en-US"/>
              </w:rPr>
              <w:t xml:space="preserve">s are likely to face serious challenges to capture all workers of their customers and investees. It should be clarified that the principle of materiality also applies to the scope and depth of the value chain. Moreover, it should be borne in mind that granular information is usually only available </w:t>
            </w:r>
            <w:r>
              <w:rPr>
                <w:lang w:val="en-US"/>
              </w:rPr>
              <w:t>regarding</w:t>
            </w:r>
            <w:r w:rsidR="001D6A8E">
              <w:rPr>
                <w:lang w:val="en-US"/>
              </w:rPr>
              <w:t xml:space="preserve"> the own workforce.</w:t>
            </w:r>
          </w:p>
        </w:tc>
      </w:tr>
      <w:tr w:rsidR="001D6A8E" w14:paraId="6099883B" w14:textId="77777777" w:rsidTr="008A6F93">
        <w:tc>
          <w:tcPr>
            <w:tcW w:w="1046" w:type="dxa"/>
          </w:tcPr>
          <w:p w14:paraId="68E7FB99" w14:textId="7D0C288E" w:rsidR="001D6A8E" w:rsidRDefault="001D6A8E" w:rsidP="001D6A8E">
            <w:pPr>
              <w:rPr>
                <w:lang w:val="en-IE"/>
              </w:rPr>
            </w:pPr>
            <w:r>
              <w:rPr>
                <w:lang w:val="en-IE"/>
              </w:rPr>
              <w:t>ESRS S4</w:t>
            </w:r>
          </w:p>
        </w:tc>
        <w:tc>
          <w:tcPr>
            <w:tcW w:w="1541" w:type="dxa"/>
          </w:tcPr>
          <w:p w14:paraId="26AC12D2" w14:textId="567CC9B8" w:rsidR="001D6A8E" w:rsidRDefault="001D6A8E" w:rsidP="001D6A8E">
            <w:pPr>
              <w:rPr>
                <w:lang w:val="en-IE"/>
              </w:rPr>
            </w:pPr>
            <w:r>
              <w:rPr>
                <w:lang w:val="en-IE"/>
              </w:rPr>
              <w:t>General</w:t>
            </w:r>
          </w:p>
        </w:tc>
        <w:tc>
          <w:tcPr>
            <w:tcW w:w="11162" w:type="dxa"/>
          </w:tcPr>
          <w:p w14:paraId="325ACDE5" w14:textId="2465AE9F" w:rsidR="001D6A8E" w:rsidRDefault="001D6A8E" w:rsidP="001D6A8E">
            <w:pPr>
              <w:rPr>
                <w:lang w:val="en-US"/>
              </w:rPr>
            </w:pPr>
            <w:r w:rsidRPr="00E90843">
              <w:rPr>
                <w:lang w:val="en-US"/>
              </w:rPr>
              <w:t>Insure</w:t>
            </w:r>
            <w:r w:rsidR="008A7830">
              <w:rPr>
                <w:lang w:val="en-US"/>
              </w:rPr>
              <w:t>r</w:t>
            </w:r>
            <w:r w:rsidRPr="00E90843">
              <w:rPr>
                <w:lang w:val="en-US"/>
              </w:rPr>
              <w:t xml:space="preserve">s are likely to face serious challenges </w:t>
            </w:r>
            <w:r>
              <w:rPr>
                <w:lang w:val="en-US"/>
              </w:rPr>
              <w:t>identifying and covering</w:t>
            </w:r>
            <w:r w:rsidRPr="00E90843">
              <w:rPr>
                <w:lang w:val="en-US"/>
              </w:rPr>
              <w:t xml:space="preserve"> all </w:t>
            </w:r>
            <w:r>
              <w:rPr>
                <w:lang w:val="en-US"/>
              </w:rPr>
              <w:t>potential impacts</w:t>
            </w:r>
            <w:r w:rsidRPr="00E90843">
              <w:rPr>
                <w:lang w:val="en-US"/>
              </w:rPr>
              <w:t xml:space="preserve"> </w:t>
            </w:r>
            <w:r>
              <w:rPr>
                <w:lang w:val="en-US"/>
              </w:rPr>
              <w:t>on</w:t>
            </w:r>
            <w:r w:rsidRPr="00E90843">
              <w:rPr>
                <w:lang w:val="en-US"/>
              </w:rPr>
              <w:t xml:space="preserve"> c</w:t>
            </w:r>
            <w:r>
              <w:rPr>
                <w:lang w:val="en-US"/>
              </w:rPr>
              <w:t>onsumers</w:t>
            </w:r>
            <w:r w:rsidRPr="00E90843">
              <w:rPr>
                <w:lang w:val="en-US"/>
              </w:rPr>
              <w:t xml:space="preserve"> and</w:t>
            </w:r>
            <w:r>
              <w:rPr>
                <w:lang w:val="en-US"/>
              </w:rPr>
              <w:t>/or</w:t>
            </w:r>
            <w:r w:rsidRPr="00E90843">
              <w:rPr>
                <w:lang w:val="en-US"/>
              </w:rPr>
              <w:t xml:space="preserve"> </w:t>
            </w:r>
            <w:r>
              <w:rPr>
                <w:lang w:val="en-US"/>
              </w:rPr>
              <w:t>end-users</w:t>
            </w:r>
            <w:r w:rsidRPr="00E90843">
              <w:rPr>
                <w:lang w:val="en-US"/>
              </w:rPr>
              <w:t xml:space="preserve">. </w:t>
            </w:r>
            <w:r w:rsidR="008A7830">
              <w:rPr>
                <w:lang w:val="en-US"/>
              </w:rPr>
              <w:t xml:space="preserve">Indeed, there is a vast number of social effects and, by nature, they are difficult to quantify. </w:t>
            </w:r>
            <w:r w:rsidRPr="00E90843">
              <w:rPr>
                <w:lang w:val="en-US"/>
              </w:rPr>
              <w:t xml:space="preserve">It should be clarified that the principle of materiality also applies to the scope and depth of the value chain. Moreover, it should be borne in mind that granular information is </w:t>
            </w:r>
            <w:r>
              <w:rPr>
                <w:lang w:val="en-US"/>
              </w:rPr>
              <w:t>very often not available</w:t>
            </w:r>
            <w:r w:rsidRPr="00E90843">
              <w:rPr>
                <w:lang w:val="en-US"/>
              </w:rPr>
              <w:t xml:space="preserve"> </w:t>
            </w:r>
            <w:r w:rsidR="008A7830" w:rsidRPr="00E90843">
              <w:rPr>
                <w:lang w:val="en-US"/>
              </w:rPr>
              <w:t>regarding</w:t>
            </w:r>
            <w:r w:rsidRPr="00E90843">
              <w:rPr>
                <w:lang w:val="en-US"/>
              </w:rPr>
              <w:t xml:space="preserve"> </w:t>
            </w:r>
            <w:r>
              <w:rPr>
                <w:lang w:val="en-US"/>
              </w:rPr>
              <w:t>social effects</w:t>
            </w:r>
            <w:r w:rsidRPr="00E90843">
              <w:rPr>
                <w:lang w:val="en-US"/>
              </w:rPr>
              <w:t>.</w:t>
            </w:r>
          </w:p>
        </w:tc>
      </w:tr>
      <w:tr w:rsidR="001D6A8E" w14:paraId="02597BE0" w14:textId="77777777" w:rsidTr="008A6F93">
        <w:tc>
          <w:tcPr>
            <w:tcW w:w="1046" w:type="dxa"/>
          </w:tcPr>
          <w:p w14:paraId="7233F012" w14:textId="3DF1EE4E" w:rsidR="001D6A8E" w:rsidRPr="00E617BD" w:rsidRDefault="001D6A8E" w:rsidP="001D6A8E">
            <w:r w:rsidRPr="00E617BD">
              <w:t>ESRS G1</w:t>
            </w:r>
          </w:p>
        </w:tc>
        <w:tc>
          <w:tcPr>
            <w:tcW w:w="1541" w:type="dxa"/>
          </w:tcPr>
          <w:p w14:paraId="4D8DCCF0" w14:textId="05500D72" w:rsidR="001D6A8E" w:rsidRPr="00E617BD" w:rsidRDefault="001D6A8E" w:rsidP="001D6A8E">
            <w:r w:rsidRPr="00E617BD">
              <w:t>G1-5</w:t>
            </w:r>
          </w:p>
        </w:tc>
        <w:tc>
          <w:tcPr>
            <w:tcW w:w="11162" w:type="dxa"/>
          </w:tcPr>
          <w:p w14:paraId="53FBEA54" w14:textId="1EF370FA" w:rsidR="001D6A8E" w:rsidRPr="00E617BD" w:rsidRDefault="00032B0D" w:rsidP="001D6A8E">
            <w:r>
              <w:t xml:space="preserve">For </w:t>
            </w:r>
            <w:r w:rsidR="001D6A8E" w:rsidRPr="00E617BD">
              <w:t>DR G1-5 “Political influence and lobbying activities”</w:t>
            </w:r>
            <w:r>
              <w:t>,</w:t>
            </w:r>
            <w:r w:rsidR="001D6A8E" w:rsidRPr="00E617BD">
              <w:t xml:space="preserve"> it should be sufficient for companies to refer to their EU transparency registers ID and to corresponding registers of member states where they are required to register and disclose. The requirements of ESRS G1-5 should not go beyond these requirements.</w:t>
            </w:r>
          </w:p>
        </w:tc>
      </w:tr>
    </w:tbl>
    <w:p w14:paraId="269DD980" w14:textId="5573406F" w:rsidR="00A45686" w:rsidRDefault="00A45686">
      <w:pPr>
        <w:rPr>
          <w:lang w:val="en-IE"/>
        </w:rPr>
      </w:pPr>
    </w:p>
    <w:p w14:paraId="417BC574" w14:textId="5429D18D" w:rsidR="00A24669" w:rsidRPr="00FE67A7" w:rsidRDefault="00FE67A7" w:rsidP="00966BD2">
      <w:pPr>
        <w:pStyle w:val="Odsekzoznamu"/>
        <w:numPr>
          <w:ilvl w:val="0"/>
          <w:numId w:val="1"/>
        </w:numPr>
        <w:ind w:left="426" w:hanging="426"/>
        <w:rPr>
          <w:b/>
          <w:bCs/>
          <w:sz w:val="24"/>
          <w:szCs w:val="24"/>
          <w:lang w:val="en-IE"/>
        </w:rPr>
      </w:pPr>
      <w:r>
        <w:rPr>
          <w:b/>
          <w:bCs/>
          <w:sz w:val="24"/>
          <w:szCs w:val="24"/>
          <w:lang w:val="en-IE"/>
        </w:rPr>
        <w:t>Specific c</w:t>
      </w:r>
      <w:r w:rsidR="00A24669" w:rsidRPr="00FE67A7">
        <w:rPr>
          <w:b/>
          <w:bCs/>
          <w:sz w:val="24"/>
          <w:szCs w:val="24"/>
          <w:lang w:val="en-IE"/>
        </w:rPr>
        <w:t>omments on Annex II</w:t>
      </w:r>
    </w:p>
    <w:tbl>
      <w:tblPr>
        <w:tblStyle w:val="Mriekatabuky"/>
        <w:tblW w:w="13749" w:type="dxa"/>
        <w:tblInd w:w="534" w:type="dxa"/>
        <w:tblLook w:val="04A0" w:firstRow="1" w:lastRow="0" w:firstColumn="1" w:lastColumn="0" w:noHBand="0" w:noVBand="1"/>
      </w:tblPr>
      <w:tblGrid>
        <w:gridCol w:w="2802"/>
        <w:gridCol w:w="10947"/>
      </w:tblGrid>
      <w:tr w:rsidR="00A24669" w14:paraId="0985C7E8" w14:textId="77777777" w:rsidTr="008A6F93">
        <w:tc>
          <w:tcPr>
            <w:tcW w:w="2802" w:type="dxa"/>
          </w:tcPr>
          <w:p w14:paraId="2373305A" w14:textId="328DC2B9" w:rsidR="00A24669" w:rsidRPr="00A24669" w:rsidRDefault="00A24669" w:rsidP="00966BD2">
            <w:pPr>
              <w:rPr>
                <w:b/>
                <w:bCs/>
                <w:lang w:val="en-IE"/>
              </w:rPr>
            </w:pPr>
            <w:r w:rsidRPr="00A24669">
              <w:rPr>
                <w:b/>
                <w:bCs/>
                <w:lang w:val="en-IE"/>
              </w:rPr>
              <w:t>Defined term</w:t>
            </w:r>
          </w:p>
        </w:tc>
        <w:tc>
          <w:tcPr>
            <w:tcW w:w="10947" w:type="dxa"/>
          </w:tcPr>
          <w:p w14:paraId="1512B3BB" w14:textId="7D904BF4" w:rsidR="00A24669" w:rsidRPr="00A24669" w:rsidRDefault="00A24669" w:rsidP="00966BD2">
            <w:pPr>
              <w:rPr>
                <w:b/>
                <w:bCs/>
                <w:lang w:val="en-IE"/>
              </w:rPr>
            </w:pPr>
            <w:r w:rsidRPr="00A24669">
              <w:rPr>
                <w:b/>
                <w:bCs/>
                <w:lang w:val="en-IE"/>
              </w:rPr>
              <w:t>Comment</w:t>
            </w:r>
          </w:p>
        </w:tc>
      </w:tr>
      <w:tr w:rsidR="00CB628D" w14:paraId="50765A00" w14:textId="77777777" w:rsidTr="008A6F93">
        <w:tc>
          <w:tcPr>
            <w:tcW w:w="2802" w:type="dxa"/>
          </w:tcPr>
          <w:p w14:paraId="6C52C0E2" w14:textId="7DD845EC" w:rsidR="00CB628D" w:rsidRDefault="00CB628D" w:rsidP="00CB628D">
            <w:pPr>
              <w:rPr>
                <w:lang w:val="en-IE"/>
              </w:rPr>
            </w:pPr>
            <w:r>
              <w:rPr>
                <w:lang w:val="en-IE"/>
              </w:rPr>
              <w:t>Non-Employee (</w:t>
            </w:r>
            <w:proofErr w:type="spellStart"/>
            <w:r>
              <w:rPr>
                <w:lang w:val="en-IE"/>
              </w:rPr>
              <w:t>pg</w:t>
            </w:r>
            <w:proofErr w:type="spellEnd"/>
            <w:r>
              <w:rPr>
                <w:lang w:val="en-IE"/>
              </w:rPr>
              <w:t xml:space="preserve"> 21)</w:t>
            </w:r>
          </w:p>
        </w:tc>
        <w:tc>
          <w:tcPr>
            <w:tcW w:w="10947" w:type="dxa"/>
          </w:tcPr>
          <w:p w14:paraId="3DBE8162" w14:textId="26864632" w:rsidR="00CB628D" w:rsidRDefault="006B3DB1" w:rsidP="00CB628D">
            <w:pPr>
              <w:rPr>
                <w:lang w:val="en-IE"/>
              </w:rPr>
            </w:pPr>
            <w:r>
              <w:rPr>
                <w:lang w:val="en-IE"/>
              </w:rPr>
              <w:t>T</w:t>
            </w:r>
            <w:r w:rsidR="00CB628D">
              <w:t>he definition should be clarified</w:t>
            </w:r>
            <w:r>
              <w:t xml:space="preserve"> as </w:t>
            </w:r>
            <w:r w:rsidR="00CB628D">
              <w:t>follow</w:t>
            </w:r>
            <w:r>
              <w:t xml:space="preserve">s: </w:t>
            </w:r>
            <w:r w:rsidR="00CB628D">
              <w:rPr>
                <w:lang w:val="en-IE"/>
              </w:rPr>
              <w:t>“</w:t>
            </w:r>
            <w:proofErr w:type="gramStart"/>
            <w:r w:rsidR="00CB628D" w:rsidRPr="00B66FC4">
              <w:t>Non-employees</w:t>
            </w:r>
            <w:proofErr w:type="gramEnd"/>
            <w:r w:rsidR="00CB628D" w:rsidRPr="00B66FC4">
              <w:t xml:space="preserve"> in an undertaking’s own workforce include</w:t>
            </w:r>
            <w:r w:rsidR="00CB628D">
              <w:t xml:space="preserve"> </w:t>
            </w:r>
            <w:r w:rsidR="00CB628D" w:rsidRPr="00707C75">
              <w:rPr>
                <w:strike/>
              </w:rPr>
              <w:t>both</w:t>
            </w:r>
            <w:r w:rsidR="00CB628D">
              <w:t xml:space="preserve"> </w:t>
            </w:r>
            <w:r w:rsidR="00CB628D" w:rsidRPr="00707C75">
              <w:rPr>
                <w:strike/>
              </w:rPr>
              <w:t>individual contractors supplying labour to the undertaking self-employed people”)”</w:t>
            </w:r>
            <w:r w:rsidR="00CB628D">
              <w:t xml:space="preserve"> </w:t>
            </w:r>
            <w:r w:rsidR="00CB628D" w:rsidRPr="00707C75">
              <w:rPr>
                <w:strike/>
              </w:rPr>
              <w:t>and</w:t>
            </w:r>
            <w:r w:rsidR="00CB628D">
              <w:t xml:space="preserve"> people provided by undertakings primarily engaged in “employment activities” (NACE Code N78).” </w:t>
            </w:r>
          </w:p>
        </w:tc>
      </w:tr>
      <w:tr w:rsidR="00CB628D" w14:paraId="002C8227" w14:textId="77777777" w:rsidTr="008A6F93">
        <w:tc>
          <w:tcPr>
            <w:tcW w:w="2802" w:type="dxa"/>
          </w:tcPr>
          <w:p w14:paraId="6767A430" w14:textId="1BB4DCF1" w:rsidR="00CB628D" w:rsidRDefault="00CB628D" w:rsidP="00CB628D">
            <w:pPr>
              <w:rPr>
                <w:lang w:val="en-IE"/>
              </w:rPr>
            </w:pPr>
            <w:r>
              <w:rPr>
                <w:lang w:val="en-IE"/>
              </w:rPr>
              <w:t>Forced labour (</w:t>
            </w:r>
            <w:proofErr w:type="spellStart"/>
            <w:r>
              <w:rPr>
                <w:lang w:val="en-IE"/>
              </w:rPr>
              <w:t>pg</w:t>
            </w:r>
            <w:proofErr w:type="spellEnd"/>
            <w:r>
              <w:rPr>
                <w:lang w:val="en-IE"/>
              </w:rPr>
              <w:t xml:space="preserve"> 14)</w:t>
            </w:r>
          </w:p>
        </w:tc>
        <w:tc>
          <w:tcPr>
            <w:tcW w:w="10947" w:type="dxa"/>
          </w:tcPr>
          <w:p w14:paraId="0E12BEC0" w14:textId="15386590" w:rsidR="00CB628D" w:rsidRDefault="00CB628D" w:rsidP="00CB628D">
            <w:pPr>
              <w:rPr>
                <w:lang w:val="en-IE"/>
              </w:rPr>
            </w:pPr>
            <w:r>
              <w:rPr>
                <w:color w:val="000000" w:themeColor="text1"/>
                <w:lang w:val="en-US"/>
              </w:rPr>
              <w:t xml:space="preserve">We are of the opinion that the term is to be complemented with </w:t>
            </w:r>
            <w:r>
              <w:rPr>
                <w:lang w:val="en-IE"/>
              </w:rPr>
              <w:t xml:space="preserve">compulsory labour in line with </w:t>
            </w:r>
            <w:proofErr w:type="spellStart"/>
            <w:r>
              <w:rPr>
                <w:lang w:val="en-IE"/>
              </w:rPr>
              <w:t>eg.</w:t>
            </w:r>
            <w:proofErr w:type="spellEnd"/>
            <w:r>
              <w:rPr>
                <w:lang w:val="en-IE"/>
              </w:rPr>
              <w:t xml:space="preserve"> what reported under ESRS S1.</w:t>
            </w:r>
          </w:p>
        </w:tc>
      </w:tr>
      <w:tr w:rsidR="00CB628D" w14:paraId="2FDF4E07" w14:textId="77777777" w:rsidTr="008A6F93">
        <w:tc>
          <w:tcPr>
            <w:tcW w:w="2802" w:type="dxa"/>
          </w:tcPr>
          <w:p w14:paraId="4689C0B3" w14:textId="77777777" w:rsidR="00CB628D" w:rsidRDefault="00CB628D" w:rsidP="00CB628D">
            <w:pPr>
              <w:rPr>
                <w:lang w:val="en-IE"/>
              </w:rPr>
            </w:pPr>
          </w:p>
        </w:tc>
        <w:tc>
          <w:tcPr>
            <w:tcW w:w="10947" w:type="dxa"/>
          </w:tcPr>
          <w:p w14:paraId="2DB26527" w14:textId="77777777" w:rsidR="00CB628D" w:rsidRDefault="00CB628D" w:rsidP="00CB628D">
            <w:pPr>
              <w:rPr>
                <w:lang w:val="en-IE"/>
              </w:rPr>
            </w:pPr>
          </w:p>
        </w:tc>
      </w:tr>
    </w:tbl>
    <w:p w14:paraId="1C15F5BB" w14:textId="77777777" w:rsidR="00A24669" w:rsidRPr="00A45686" w:rsidRDefault="00A24669">
      <w:pPr>
        <w:rPr>
          <w:lang w:val="en-IE"/>
        </w:rPr>
      </w:pPr>
    </w:p>
    <w:sectPr w:rsidR="00A24669" w:rsidRPr="00A45686" w:rsidSect="00A45686">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443D5" w14:textId="77777777" w:rsidR="00B80AF7" w:rsidRDefault="00B80AF7" w:rsidP="00A45686">
      <w:pPr>
        <w:spacing w:after="0" w:line="240" w:lineRule="auto"/>
      </w:pPr>
      <w:r>
        <w:separator/>
      </w:r>
    </w:p>
  </w:endnote>
  <w:endnote w:type="continuationSeparator" w:id="0">
    <w:p w14:paraId="1DE5270C" w14:textId="77777777" w:rsidR="00B80AF7" w:rsidRDefault="00B80AF7" w:rsidP="00A45686">
      <w:pPr>
        <w:spacing w:after="0" w:line="240" w:lineRule="auto"/>
      </w:pPr>
      <w:r>
        <w:continuationSeparator/>
      </w:r>
    </w:p>
  </w:endnote>
  <w:endnote w:type="continuationNotice" w:id="1">
    <w:p w14:paraId="56076528" w14:textId="77777777" w:rsidR="00B80AF7" w:rsidRDefault="00B80A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Frutiger LT Com 45 Light">
    <w:altName w:val="Corbel"/>
    <w:charset w:val="00"/>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F30AB" w14:textId="77777777" w:rsidR="00B80AF7" w:rsidRDefault="00B80AF7" w:rsidP="00A45686">
      <w:pPr>
        <w:spacing w:after="0" w:line="240" w:lineRule="auto"/>
      </w:pPr>
      <w:r>
        <w:separator/>
      </w:r>
    </w:p>
  </w:footnote>
  <w:footnote w:type="continuationSeparator" w:id="0">
    <w:p w14:paraId="771DE20F" w14:textId="77777777" w:rsidR="00B80AF7" w:rsidRDefault="00B80AF7" w:rsidP="00A45686">
      <w:pPr>
        <w:spacing w:after="0" w:line="240" w:lineRule="auto"/>
      </w:pPr>
      <w:r>
        <w:continuationSeparator/>
      </w:r>
    </w:p>
  </w:footnote>
  <w:footnote w:type="continuationNotice" w:id="1">
    <w:p w14:paraId="67B06988" w14:textId="77777777" w:rsidR="00B80AF7" w:rsidRDefault="00B80A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177D" w14:textId="5A24234B" w:rsidR="00871A1B" w:rsidRDefault="00921B30">
    <w:pPr>
      <w:pStyle w:val="Hlavika"/>
    </w:pPr>
    <w:r w:rsidRPr="001F3F53">
      <w:rPr>
        <w:b/>
        <w:i/>
        <w:noProof/>
        <w:color w:val="FF0000"/>
        <w:sz w:val="17"/>
        <w:szCs w:val="17"/>
        <w:lang w:eastAsia="en-GB"/>
      </w:rPr>
      <w:drawing>
        <wp:anchor distT="0" distB="0" distL="114300" distR="114300" simplePos="0" relativeHeight="251659264" behindDoc="0" locked="0" layoutInCell="1" allowOverlap="1" wp14:anchorId="376AE35E" wp14:editId="434013AB">
          <wp:simplePos x="0" y="0"/>
          <wp:positionH relativeFrom="column">
            <wp:posOffset>7850038</wp:posOffset>
          </wp:positionH>
          <wp:positionV relativeFrom="paragraph">
            <wp:posOffset>-181790</wp:posOffset>
          </wp:positionV>
          <wp:extent cx="1847850" cy="619125"/>
          <wp:effectExtent l="0" t="0" r="0" b="9525"/>
          <wp:wrapNone/>
          <wp:docPr id="44" name="Picture 44"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blue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7850" cy="619125"/>
                  </a:xfrm>
                  <a:prstGeom prst="rect">
                    <a:avLst/>
                  </a:prstGeom>
                </pic:spPr>
              </pic:pic>
            </a:graphicData>
          </a:graphic>
          <wp14:sizeRelH relativeFrom="margin">
            <wp14:pctWidth>0</wp14:pctWidth>
          </wp14:sizeRelH>
          <wp14:sizeRelV relativeFrom="margin">
            <wp14:pctHeight>0</wp14:pctHeight>
          </wp14:sizeRelV>
        </wp:anchor>
      </w:drawing>
    </w:r>
    <w:r w:rsidR="00871A1B" w:rsidRPr="000D41DA">
      <w:rPr>
        <w:rFonts w:ascii="Frutiger LT Com 45 Light" w:hAnsi="Frutiger LT Com 45 Light"/>
        <w:noProof/>
        <w:sz w:val="18"/>
        <w:szCs w:val="18"/>
        <w:lang w:val="nl-BE" w:eastAsia="nl-BE"/>
      </w:rPr>
      <w:drawing>
        <wp:anchor distT="0" distB="0" distL="114300" distR="114300" simplePos="0" relativeHeight="251657216" behindDoc="0" locked="0" layoutInCell="1" allowOverlap="1" wp14:anchorId="6ABB5183" wp14:editId="008F235D">
          <wp:simplePos x="0" y="0"/>
          <wp:positionH relativeFrom="page">
            <wp:posOffset>917048</wp:posOffset>
          </wp:positionH>
          <wp:positionV relativeFrom="page">
            <wp:posOffset>181718</wp:posOffset>
          </wp:positionV>
          <wp:extent cx="1457325" cy="895350"/>
          <wp:effectExtent l="19050" t="0" r="0" b="0"/>
          <wp:wrapSquare wrapText="bothSides"/>
          <wp:docPr id="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2"/>
                  <a:stretch>
                    <a:fillRect/>
                  </a:stretch>
                </pic:blipFill>
                <pic:spPr bwMode="auto">
                  <a:xfrm>
                    <a:off x="0" y="0"/>
                    <a:ext cx="1457325"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090"/>
    <w:multiLevelType w:val="hybridMultilevel"/>
    <w:tmpl w:val="326EF7CE"/>
    <w:lvl w:ilvl="0" w:tplc="0720D00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2776A0"/>
    <w:multiLevelType w:val="hybridMultilevel"/>
    <w:tmpl w:val="DD627DEC"/>
    <w:lvl w:ilvl="0" w:tplc="5E205F48">
      <w:numFmt w:val="bullet"/>
      <w:lvlText w:val=""/>
      <w:lvlJc w:val="left"/>
      <w:pPr>
        <w:ind w:left="360" w:hanging="360"/>
      </w:pPr>
      <w:rPr>
        <w:rFonts w:ascii="Symbol" w:eastAsiaTheme="minorHAnsi" w:hAnsi="Symbol" w:cstheme="minorBidi" w:hint="default"/>
        <w:b w:val="0"/>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5E42BE"/>
    <w:multiLevelType w:val="hybridMultilevel"/>
    <w:tmpl w:val="F6E43B2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016507C"/>
    <w:multiLevelType w:val="hybridMultilevel"/>
    <w:tmpl w:val="193A4586"/>
    <w:lvl w:ilvl="0" w:tplc="6B46C508">
      <w:start w:val="1"/>
      <w:numFmt w:val="bullet"/>
      <w:lvlText w:val=""/>
      <w:lvlJc w:val="left"/>
      <w:pPr>
        <w:ind w:left="720" w:hanging="360"/>
      </w:pPr>
      <w:rPr>
        <w:rFonts w:ascii="Symbol" w:hAnsi="Symbol"/>
      </w:rPr>
    </w:lvl>
    <w:lvl w:ilvl="1" w:tplc="750A7412">
      <w:start w:val="1"/>
      <w:numFmt w:val="bullet"/>
      <w:lvlText w:val=""/>
      <w:lvlJc w:val="left"/>
      <w:pPr>
        <w:ind w:left="720" w:hanging="360"/>
      </w:pPr>
      <w:rPr>
        <w:rFonts w:ascii="Symbol" w:hAnsi="Symbol"/>
      </w:rPr>
    </w:lvl>
    <w:lvl w:ilvl="2" w:tplc="FF0C39FE">
      <w:start w:val="1"/>
      <w:numFmt w:val="bullet"/>
      <w:lvlText w:val=""/>
      <w:lvlJc w:val="left"/>
      <w:pPr>
        <w:ind w:left="720" w:hanging="360"/>
      </w:pPr>
      <w:rPr>
        <w:rFonts w:ascii="Symbol" w:hAnsi="Symbol"/>
      </w:rPr>
    </w:lvl>
    <w:lvl w:ilvl="3" w:tplc="1640E8EE">
      <w:start w:val="1"/>
      <w:numFmt w:val="bullet"/>
      <w:lvlText w:val=""/>
      <w:lvlJc w:val="left"/>
      <w:pPr>
        <w:ind w:left="720" w:hanging="360"/>
      </w:pPr>
      <w:rPr>
        <w:rFonts w:ascii="Symbol" w:hAnsi="Symbol"/>
      </w:rPr>
    </w:lvl>
    <w:lvl w:ilvl="4" w:tplc="7714D82E">
      <w:start w:val="1"/>
      <w:numFmt w:val="bullet"/>
      <w:lvlText w:val=""/>
      <w:lvlJc w:val="left"/>
      <w:pPr>
        <w:ind w:left="720" w:hanging="360"/>
      </w:pPr>
      <w:rPr>
        <w:rFonts w:ascii="Symbol" w:hAnsi="Symbol"/>
      </w:rPr>
    </w:lvl>
    <w:lvl w:ilvl="5" w:tplc="F49C9200">
      <w:start w:val="1"/>
      <w:numFmt w:val="bullet"/>
      <w:lvlText w:val=""/>
      <w:lvlJc w:val="left"/>
      <w:pPr>
        <w:ind w:left="720" w:hanging="360"/>
      </w:pPr>
      <w:rPr>
        <w:rFonts w:ascii="Symbol" w:hAnsi="Symbol"/>
      </w:rPr>
    </w:lvl>
    <w:lvl w:ilvl="6" w:tplc="8E10619A">
      <w:start w:val="1"/>
      <w:numFmt w:val="bullet"/>
      <w:lvlText w:val=""/>
      <w:lvlJc w:val="left"/>
      <w:pPr>
        <w:ind w:left="720" w:hanging="360"/>
      </w:pPr>
      <w:rPr>
        <w:rFonts w:ascii="Symbol" w:hAnsi="Symbol"/>
      </w:rPr>
    </w:lvl>
    <w:lvl w:ilvl="7" w:tplc="C6EE343C">
      <w:start w:val="1"/>
      <w:numFmt w:val="bullet"/>
      <w:lvlText w:val=""/>
      <w:lvlJc w:val="left"/>
      <w:pPr>
        <w:ind w:left="720" w:hanging="360"/>
      </w:pPr>
      <w:rPr>
        <w:rFonts w:ascii="Symbol" w:hAnsi="Symbol"/>
      </w:rPr>
    </w:lvl>
    <w:lvl w:ilvl="8" w:tplc="46D84224">
      <w:start w:val="1"/>
      <w:numFmt w:val="bullet"/>
      <w:lvlText w:val=""/>
      <w:lvlJc w:val="left"/>
      <w:pPr>
        <w:ind w:left="720" w:hanging="360"/>
      </w:pPr>
      <w:rPr>
        <w:rFonts w:ascii="Symbol" w:hAnsi="Symbol"/>
      </w:rPr>
    </w:lvl>
  </w:abstractNum>
  <w:abstractNum w:abstractNumId="4" w15:restartNumberingAfterBreak="0">
    <w:nsid w:val="103203F1"/>
    <w:multiLevelType w:val="hybridMultilevel"/>
    <w:tmpl w:val="DE8654C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677A4D"/>
    <w:multiLevelType w:val="hybridMultilevel"/>
    <w:tmpl w:val="3DCC42F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16204B"/>
    <w:multiLevelType w:val="hybridMultilevel"/>
    <w:tmpl w:val="85383E44"/>
    <w:lvl w:ilvl="0" w:tplc="4D8A15A4">
      <w:start w:val="1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82F58"/>
    <w:multiLevelType w:val="hybridMultilevel"/>
    <w:tmpl w:val="6DC8F378"/>
    <w:lvl w:ilvl="0" w:tplc="518E318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E0144"/>
    <w:multiLevelType w:val="hybridMultilevel"/>
    <w:tmpl w:val="E4AA0980"/>
    <w:lvl w:ilvl="0" w:tplc="10000011">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4D4506A0"/>
    <w:multiLevelType w:val="hybridMultilevel"/>
    <w:tmpl w:val="B4721C78"/>
    <w:lvl w:ilvl="0" w:tplc="2FDC67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E964B2"/>
    <w:multiLevelType w:val="hybridMultilevel"/>
    <w:tmpl w:val="B61CDF98"/>
    <w:lvl w:ilvl="0" w:tplc="8D6E3878">
      <w:start w:val="1"/>
      <w:numFmt w:val="decimal"/>
      <w:lvlText w:val="%1)"/>
      <w:lvlJc w:val="left"/>
      <w:pPr>
        <w:ind w:left="720" w:hanging="360"/>
      </w:pPr>
    </w:lvl>
    <w:lvl w:ilvl="1" w:tplc="D2244A90">
      <w:start w:val="1"/>
      <w:numFmt w:val="decimal"/>
      <w:lvlText w:val="%2)"/>
      <w:lvlJc w:val="left"/>
      <w:pPr>
        <w:ind w:left="720" w:hanging="360"/>
      </w:pPr>
    </w:lvl>
    <w:lvl w:ilvl="2" w:tplc="C3A05B92">
      <w:start w:val="1"/>
      <w:numFmt w:val="decimal"/>
      <w:lvlText w:val="%3)"/>
      <w:lvlJc w:val="left"/>
      <w:pPr>
        <w:ind w:left="720" w:hanging="360"/>
      </w:pPr>
    </w:lvl>
    <w:lvl w:ilvl="3" w:tplc="58A63ED4">
      <w:start w:val="1"/>
      <w:numFmt w:val="decimal"/>
      <w:lvlText w:val="%4)"/>
      <w:lvlJc w:val="left"/>
      <w:pPr>
        <w:ind w:left="720" w:hanging="360"/>
      </w:pPr>
    </w:lvl>
    <w:lvl w:ilvl="4" w:tplc="AE48B322">
      <w:start w:val="1"/>
      <w:numFmt w:val="decimal"/>
      <w:lvlText w:val="%5)"/>
      <w:lvlJc w:val="left"/>
      <w:pPr>
        <w:ind w:left="720" w:hanging="360"/>
      </w:pPr>
    </w:lvl>
    <w:lvl w:ilvl="5" w:tplc="B17E9D1E">
      <w:start w:val="1"/>
      <w:numFmt w:val="decimal"/>
      <w:lvlText w:val="%6)"/>
      <w:lvlJc w:val="left"/>
      <w:pPr>
        <w:ind w:left="720" w:hanging="360"/>
      </w:pPr>
    </w:lvl>
    <w:lvl w:ilvl="6" w:tplc="32BE1638">
      <w:start w:val="1"/>
      <w:numFmt w:val="decimal"/>
      <w:lvlText w:val="%7)"/>
      <w:lvlJc w:val="left"/>
      <w:pPr>
        <w:ind w:left="720" w:hanging="360"/>
      </w:pPr>
    </w:lvl>
    <w:lvl w:ilvl="7" w:tplc="C3D2ED3C">
      <w:start w:val="1"/>
      <w:numFmt w:val="decimal"/>
      <w:lvlText w:val="%8)"/>
      <w:lvlJc w:val="left"/>
      <w:pPr>
        <w:ind w:left="720" w:hanging="360"/>
      </w:pPr>
    </w:lvl>
    <w:lvl w:ilvl="8" w:tplc="A718E588">
      <w:start w:val="1"/>
      <w:numFmt w:val="decimal"/>
      <w:lvlText w:val="%9)"/>
      <w:lvlJc w:val="left"/>
      <w:pPr>
        <w:ind w:left="720" w:hanging="360"/>
      </w:pPr>
    </w:lvl>
  </w:abstractNum>
  <w:abstractNum w:abstractNumId="11" w15:restartNumberingAfterBreak="0">
    <w:nsid w:val="5F951325"/>
    <w:multiLevelType w:val="hybridMultilevel"/>
    <w:tmpl w:val="4A1A2DC2"/>
    <w:lvl w:ilvl="0" w:tplc="C2387536">
      <w:start w:val="1"/>
      <w:numFmt w:val="bullet"/>
      <w:lvlText w:val=""/>
      <w:lvlJc w:val="left"/>
      <w:pPr>
        <w:ind w:left="720" w:hanging="360"/>
      </w:pPr>
      <w:rPr>
        <w:rFonts w:ascii="Symbol" w:hAnsi="Symbol"/>
      </w:rPr>
    </w:lvl>
    <w:lvl w:ilvl="1" w:tplc="367C840A">
      <w:start w:val="1"/>
      <w:numFmt w:val="bullet"/>
      <w:lvlText w:val=""/>
      <w:lvlJc w:val="left"/>
      <w:pPr>
        <w:ind w:left="720" w:hanging="360"/>
      </w:pPr>
      <w:rPr>
        <w:rFonts w:ascii="Symbol" w:hAnsi="Symbol"/>
      </w:rPr>
    </w:lvl>
    <w:lvl w:ilvl="2" w:tplc="06CC2792">
      <w:start w:val="1"/>
      <w:numFmt w:val="bullet"/>
      <w:lvlText w:val=""/>
      <w:lvlJc w:val="left"/>
      <w:pPr>
        <w:ind w:left="720" w:hanging="360"/>
      </w:pPr>
      <w:rPr>
        <w:rFonts w:ascii="Symbol" w:hAnsi="Symbol"/>
      </w:rPr>
    </w:lvl>
    <w:lvl w:ilvl="3" w:tplc="945277BA">
      <w:start w:val="1"/>
      <w:numFmt w:val="bullet"/>
      <w:lvlText w:val=""/>
      <w:lvlJc w:val="left"/>
      <w:pPr>
        <w:ind w:left="720" w:hanging="360"/>
      </w:pPr>
      <w:rPr>
        <w:rFonts w:ascii="Symbol" w:hAnsi="Symbol"/>
      </w:rPr>
    </w:lvl>
    <w:lvl w:ilvl="4" w:tplc="A34AE5D2">
      <w:start w:val="1"/>
      <w:numFmt w:val="bullet"/>
      <w:lvlText w:val=""/>
      <w:lvlJc w:val="left"/>
      <w:pPr>
        <w:ind w:left="720" w:hanging="360"/>
      </w:pPr>
      <w:rPr>
        <w:rFonts w:ascii="Symbol" w:hAnsi="Symbol"/>
      </w:rPr>
    </w:lvl>
    <w:lvl w:ilvl="5" w:tplc="369415FA">
      <w:start w:val="1"/>
      <w:numFmt w:val="bullet"/>
      <w:lvlText w:val=""/>
      <w:lvlJc w:val="left"/>
      <w:pPr>
        <w:ind w:left="720" w:hanging="360"/>
      </w:pPr>
      <w:rPr>
        <w:rFonts w:ascii="Symbol" w:hAnsi="Symbol"/>
      </w:rPr>
    </w:lvl>
    <w:lvl w:ilvl="6" w:tplc="951606D2">
      <w:start w:val="1"/>
      <w:numFmt w:val="bullet"/>
      <w:lvlText w:val=""/>
      <w:lvlJc w:val="left"/>
      <w:pPr>
        <w:ind w:left="720" w:hanging="360"/>
      </w:pPr>
      <w:rPr>
        <w:rFonts w:ascii="Symbol" w:hAnsi="Symbol"/>
      </w:rPr>
    </w:lvl>
    <w:lvl w:ilvl="7" w:tplc="21AC1DF4">
      <w:start w:val="1"/>
      <w:numFmt w:val="bullet"/>
      <w:lvlText w:val=""/>
      <w:lvlJc w:val="left"/>
      <w:pPr>
        <w:ind w:left="720" w:hanging="360"/>
      </w:pPr>
      <w:rPr>
        <w:rFonts w:ascii="Symbol" w:hAnsi="Symbol"/>
      </w:rPr>
    </w:lvl>
    <w:lvl w:ilvl="8" w:tplc="9FC6E2BA">
      <w:start w:val="1"/>
      <w:numFmt w:val="bullet"/>
      <w:lvlText w:val=""/>
      <w:lvlJc w:val="left"/>
      <w:pPr>
        <w:ind w:left="720" w:hanging="360"/>
      </w:pPr>
      <w:rPr>
        <w:rFonts w:ascii="Symbol" w:hAnsi="Symbol"/>
      </w:rPr>
    </w:lvl>
  </w:abstractNum>
  <w:abstractNum w:abstractNumId="12" w15:restartNumberingAfterBreak="0">
    <w:nsid w:val="64AC58F1"/>
    <w:multiLevelType w:val="hybridMultilevel"/>
    <w:tmpl w:val="A80C71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EEF1511"/>
    <w:multiLevelType w:val="hybridMultilevel"/>
    <w:tmpl w:val="B9C434EC"/>
    <w:lvl w:ilvl="0" w:tplc="D024A568">
      <w:start w:val="1"/>
      <w:numFmt w:val="decimal"/>
      <w:lvlText w:val="%1)"/>
      <w:lvlJc w:val="left"/>
      <w:pPr>
        <w:ind w:left="720" w:hanging="360"/>
      </w:pPr>
    </w:lvl>
    <w:lvl w:ilvl="1" w:tplc="F1AC049A">
      <w:start w:val="1"/>
      <w:numFmt w:val="decimal"/>
      <w:lvlText w:val="%2)"/>
      <w:lvlJc w:val="left"/>
      <w:pPr>
        <w:ind w:left="720" w:hanging="360"/>
      </w:pPr>
    </w:lvl>
    <w:lvl w:ilvl="2" w:tplc="FB0A7234">
      <w:start w:val="1"/>
      <w:numFmt w:val="decimal"/>
      <w:lvlText w:val="%3)"/>
      <w:lvlJc w:val="left"/>
      <w:pPr>
        <w:ind w:left="720" w:hanging="360"/>
      </w:pPr>
    </w:lvl>
    <w:lvl w:ilvl="3" w:tplc="97DEA21A">
      <w:start w:val="1"/>
      <w:numFmt w:val="decimal"/>
      <w:lvlText w:val="%4)"/>
      <w:lvlJc w:val="left"/>
      <w:pPr>
        <w:ind w:left="720" w:hanging="360"/>
      </w:pPr>
    </w:lvl>
    <w:lvl w:ilvl="4" w:tplc="446C4464">
      <w:start w:val="1"/>
      <w:numFmt w:val="decimal"/>
      <w:lvlText w:val="%5)"/>
      <w:lvlJc w:val="left"/>
      <w:pPr>
        <w:ind w:left="720" w:hanging="360"/>
      </w:pPr>
    </w:lvl>
    <w:lvl w:ilvl="5" w:tplc="32CE69DC">
      <w:start w:val="1"/>
      <w:numFmt w:val="decimal"/>
      <w:lvlText w:val="%6)"/>
      <w:lvlJc w:val="left"/>
      <w:pPr>
        <w:ind w:left="720" w:hanging="360"/>
      </w:pPr>
    </w:lvl>
    <w:lvl w:ilvl="6" w:tplc="A4E0D0B6">
      <w:start w:val="1"/>
      <w:numFmt w:val="decimal"/>
      <w:lvlText w:val="%7)"/>
      <w:lvlJc w:val="left"/>
      <w:pPr>
        <w:ind w:left="720" w:hanging="360"/>
      </w:pPr>
    </w:lvl>
    <w:lvl w:ilvl="7" w:tplc="6A026BCC">
      <w:start w:val="1"/>
      <w:numFmt w:val="decimal"/>
      <w:lvlText w:val="%8)"/>
      <w:lvlJc w:val="left"/>
      <w:pPr>
        <w:ind w:left="720" w:hanging="360"/>
      </w:pPr>
    </w:lvl>
    <w:lvl w:ilvl="8" w:tplc="F1D4E37A">
      <w:start w:val="1"/>
      <w:numFmt w:val="decimal"/>
      <w:lvlText w:val="%9)"/>
      <w:lvlJc w:val="left"/>
      <w:pPr>
        <w:ind w:left="720" w:hanging="360"/>
      </w:pPr>
    </w:lvl>
  </w:abstractNum>
  <w:abstractNum w:abstractNumId="14" w15:restartNumberingAfterBreak="0">
    <w:nsid w:val="7BA25056"/>
    <w:multiLevelType w:val="multilevel"/>
    <w:tmpl w:val="D13ED1B0"/>
    <w:lvl w:ilvl="0">
      <w:start w:val="1"/>
      <w:numFmt w:val="upperLetter"/>
      <w:lvlText w:val="%1)"/>
      <w:lvlJc w:val="left"/>
      <w:pPr>
        <w:ind w:left="360" w:hanging="360"/>
      </w:pPr>
      <w:rPr>
        <w:rFonts w:asciiTheme="minorHAnsi" w:eastAsiaTheme="minorHAnsi" w:hAnsiTheme="minorHAnsi" w:cstheme="minorBid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01629691">
    <w:abstractNumId w:val="4"/>
  </w:num>
  <w:num w:numId="2" w16cid:durableId="290522750">
    <w:abstractNumId w:val="0"/>
  </w:num>
  <w:num w:numId="3" w16cid:durableId="608854770">
    <w:abstractNumId w:val="9"/>
  </w:num>
  <w:num w:numId="4" w16cid:durableId="979383263">
    <w:abstractNumId w:val="1"/>
  </w:num>
  <w:num w:numId="5" w16cid:durableId="803160716">
    <w:abstractNumId w:val="7"/>
  </w:num>
  <w:num w:numId="6" w16cid:durableId="1372610638">
    <w:abstractNumId w:val="12"/>
  </w:num>
  <w:num w:numId="7" w16cid:durableId="57362437">
    <w:abstractNumId w:val="6"/>
  </w:num>
  <w:num w:numId="8" w16cid:durableId="1808468210">
    <w:abstractNumId w:val="5"/>
  </w:num>
  <w:num w:numId="9" w16cid:durableId="1412582815">
    <w:abstractNumId w:val="2"/>
  </w:num>
  <w:num w:numId="10" w16cid:durableId="145166474">
    <w:abstractNumId w:val="10"/>
  </w:num>
  <w:num w:numId="11" w16cid:durableId="2008747314">
    <w:abstractNumId w:val="3"/>
  </w:num>
  <w:num w:numId="12" w16cid:durableId="1206798997">
    <w:abstractNumId w:val="11"/>
  </w:num>
  <w:num w:numId="13" w16cid:durableId="925724762">
    <w:abstractNumId w:val="13"/>
  </w:num>
  <w:num w:numId="14" w16cid:durableId="1856067956">
    <w:abstractNumId w:val="14"/>
  </w:num>
  <w:num w:numId="15" w16cid:durableId="10735110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45686"/>
    <w:rsid w:val="000003B7"/>
    <w:rsid w:val="00001B05"/>
    <w:rsid w:val="0000392E"/>
    <w:rsid w:val="0001255B"/>
    <w:rsid w:val="00013012"/>
    <w:rsid w:val="00014869"/>
    <w:rsid w:val="00017F1D"/>
    <w:rsid w:val="00020EA4"/>
    <w:rsid w:val="0002371F"/>
    <w:rsid w:val="00027496"/>
    <w:rsid w:val="00031D34"/>
    <w:rsid w:val="00032B0D"/>
    <w:rsid w:val="00033076"/>
    <w:rsid w:val="00042385"/>
    <w:rsid w:val="0004654F"/>
    <w:rsid w:val="00051075"/>
    <w:rsid w:val="00051ACF"/>
    <w:rsid w:val="0005277D"/>
    <w:rsid w:val="00057A8C"/>
    <w:rsid w:val="0006127B"/>
    <w:rsid w:val="00065389"/>
    <w:rsid w:val="0007050E"/>
    <w:rsid w:val="00072CC1"/>
    <w:rsid w:val="0007468E"/>
    <w:rsid w:val="00074D2E"/>
    <w:rsid w:val="0008053A"/>
    <w:rsid w:val="000900B3"/>
    <w:rsid w:val="00092D8A"/>
    <w:rsid w:val="00093C7E"/>
    <w:rsid w:val="000A7269"/>
    <w:rsid w:val="000B1647"/>
    <w:rsid w:val="000B3683"/>
    <w:rsid w:val="000B3F05"/>
    <w:rsid w:val="000C6048"/>
    <w:rsid w:val="000D1145"/>
    <w:rsid w:val="000D59F5"/>
    <w:rsid w:val="000D5B45"/>
    <w:rsid w:val="000D637D"/>
    <w:rsid w:val="000E0AE1"/>
    <w:rsid w:val="000E342E"/>
    <w:rsid w:val="000F0CA0"/>
    <w:rsid w:val="000F2E6F"/>
    <w:rsid w:val="001018BA"/>
    <w:rsid w:val="00102818"/>
    <w:rsid w:val="00113A3F"/>
    <w:rsid w:val="00115F69"/>
    <w:rsid w:val="00123051"/>
    <w:rsid w:val="00123318"/>
    <w:rsid w:val="00135D44"/>
    <w:rsid w:val="001365B1"/>
    <w:rsid w:val="001371BA"/>
    <w:rsid w:val="00142299"/>
    <w:rsid w:val="0015031F"/>
    <w:rsid w:val="00151186"/>
    <w:rsid w:val="00152963"/>
    <w:rsid w:val="0015513C"/>
    <w:rsid w:val="001635C3"/>
    <w:rsid w:val="00163DCD"/>
    <w:rsid w:val="00175DD9"/>
    <w:rsid w:val="00184200"/>
    <w:rsid w:val="00190902"/>
    <w:rsid w:val="001928DC"/>
    <w:rsid w:val="00195085"/>
    <w:rsid w:val="00196F51"/>
    <w:rsid w:val="001A09D2"/>
    <w:rsid w:val="001A2419"/>
    <w:rsid w:val="001A4F32"/>
    <w:rsid w:val="001B097D"/>
    <w:rsid w:val="001B1532"/>
    <w:rsid w:val="001B306A"/>
    <w:rsid w:val="001B37C8"/>
    <w:rsid w:val="001C3F0D"/>
    <w:rsid w:val="001C7EDC"/>
    <w:rsid w:val="001D6A8E"/>
    <w:rsid w:val="001E2711"/>
    <w:rsid w:val="002028A2"/>
    <w:rsid w:val="0020320B"/>
    <w:rsid w:val="002059F2"/>
    <w:rsid w:val="00210AEF"/>
    <w:rsid w:val="002136B1"/>
    <w:rsid w:val="00230CF2"/>
    <w:rsid w:val="00231C70"/>
    <w:rsid w:val="00235599"/>
    <w:rsid w:val="002372A4"/>
    <w:rsid w:val="00241EAF"/>
    <w:rsid w:val="0026224F"/>
    <w:rsid w:val="00275B56"/>
    <w:rsid w:val="00286D36"/>
    <w:rsid w:val="002926C2"/>
    <w:rsid w:val="002964C0"/>
    <w:rsid w:val="002967BA"/>
    <w:rsid w:val="002B14AE"/>
    <w:rsid w:val="002B3E7D"/>
    <w:rsid w:val="002B5B5B"/>
    <w:rsid w:val="002B76F0"/>
    <w:rsid w:val="002C1E69"/>
    <w:rsid w:val="002C69AC"/>
    <w:rsid w:val="002C7FE4"/>
    <w:rsid w:val="002D4F4B"/>
    <w:rsid w:val="002D5845"/>
    <w:rsid w:val="002D6498"/>
    <w:rsid w:val="002E0FA4"/>
    <w:rsid w:val="002E4C6D"/>
    <w:rsid w:val="002E6E2B"/>
    <w:rsid w:val="002F1D24"/>
    <w:rsid w:val="002F25B7"/>
    <w:rsid w:val="00307068"/>
    <w:rsid w:val="00313214"/>
    <w:rsid w:val="00320121"/>
    <w:rsid w:val="00320645"/>
    <w:rsid w:val="00321074"/>
    <w:rsid w:val="00322341"/>
    <w:rsid w:val="00335B3E"/>
    <w:rsid w:val="00347C9C"/>
    <w:rsid w:val="00351492"/>
    <w:rsid w:val="003514BD"/>
    <w:rsid w:val="003603C6"/>
    <w:rsid w:val="0036086D"/>
    <w:rsid w:val="003724B6"/>
    <w:rsid w:val="0037309B"/>
    <w:rsid w:val="003752AD"/>
    <w:rsid w:val="0037738D"/>
    <w:rsid w:val="00382429"/>
    <w:rsid w:val="00383E70"/>
    <w:rsid w:val="00397FDB"/>
    <w:rsid w:val="003B1A3F"/>
    <w:rsid w:val="003B627F"/>
    <w:rsid w:val="003B73B8"/>
    <w:rsid w:val="003C2A1C"/>
    <w:rsid w:val="003C44EB"/>
    <w:rsid w:val="003C5CB7"/>
    <w:rsid w:val="003C6816"/>
    <w:rsid w:val="003D004E"/>
    <w:rsid w:val="003D36ED"/>
    <w:rsid w:val="003D707A"/>
    <w:rsid w:val="003E3DF5"/>
    <w:rsid w:val="003E6463"/>
    <w:rsid w:val="003F19A4"/>
    <w:rsid w:val="003F19B2"/>
    <w:rsid w:val="003F377E"/>
    <w:rsid w:val="003F7211"/>
    <w:rsid w:val="004011AE"/>
    <w:rsid w:val="00404EFF"/>
    <w:rsid w:val="00414D68"/>
    <w:rsid w:val="0041741A"/>
    <w:rsid w:val="00420232"/>
    <w:rsid w:val="00427554"/>
    <w:rsid w:val="00441E40"/>
    <w:rsid w:val="00446DB8"/>
    <w:rsid w:val="0046411D"/>
    <w:rsid w:val="00471135"/>
    <w:rsid w:val="00472217"/>
    <w:rsid w:val="00477FE1"/>
    <w:rsid w:val="00481690"/>
    <w:rsid w:val="00482244"/>
    <w:rsid w:val="0049075D"/>
    <w:rsid w:val="004A00A1"/>
    <w:rsid w:val="004A6CBF"/>
    <w:rsid w:val="004B5DB5"/>
    <w:rsid w:val="004B5F8F"/>
    <w:rsid w:val="004C2893"/>
    <w:rsid w:val="004C6D28"/>
    <w:rsid w:val="004D0664"/>
    <w:rsid w:val="004D2DF8"/>
    <w:rsid w:val="004D5850"/>
    <w:rsid w:val="004E374D"/>
    <w:rsid w:val="004F0D44"/>
    <w:rsid w:val="004F5547"/>
    <w:rsid w:val="00502AC0"/>
    <w:rsid w:val="005110F0"/>
    <w:rsid w:val="005145FB"/>
    <w:rsid w:val="005322BE"/>
    <w:rsid w:val="00534AE1"/>
    <w:rsid w:val="00535905"/>
    <w:rsid w:val="00541AC3"/>
    <w:rsid w:val="005531DE"/>
    <w:rsid w:val="00564FC3"/>
    <w:rsid w:val="00565A93"/>
    <w:rsid w:val="00566233"/>
    <w:rsid w:val="00575998"/>
    <w:rsid w:val="00580D00"/>
    <w:rsid w:val="00581059"/>
    <w:rsid w:val="00584080"/>
    <w:rsid w:val="00585A81"/>
    <w:rsid w:val="00585A97"/>
    <w:rsid w:val="0058728E"/>
    <w:rsid w:val="005910ED"/>
    <w:rsid w:val="0059244D"/>
    <w:rsid w:val="0059291C"/>
    <w:rsid w:val="00593E41"/>
    <w:rsid w:val="0059541C"/>
    <w:rsid w:val="00597043"/>
    <w:rsid w:val="005A212E"/>
    <w:rsid w:val="005A3244"/>
    <w:rsid w:val="005A324F"/>
    <w:rsid w:val="005A7FD5"/>
    <w:rsid w:val="005B2B8D"/>
    <w:rsid w:val="005D3CB3"/>
    <w:rsid w:val="005D7BDE"/>
    <w:rsid w:val="005E065D"/>
    <w:rsid w:val="005E20D0"/>
    <w:rsid w:val="005E2494"/>
    <w:rsid w:val="005E2A22"/>
    <w:rsid w:val="005E546D"/>
    <w:rsid w:val="005F3E23"/>
    <w:rsid w:val="005F6A62"/>
    <w:rsid w:val="005F78FA"/>
    <w:rsid w:val="00603CB3"/>
    <w:rsid w:val="006049E4"/>
    <w:rsid w:val="00607573"/>
    <w:rsid w:val="00624209"/>
    <w:rsid w:val="00624E55"/>
    <w:rsid w:val="00627841"/>
    <w:rsid w:val="006279CA"/>
    <w:rsid w:val="00635CDC"/>
    <w:rsid w:val="006363FB"/>
    <w:rsid w:val="00645975"/>
    <w:rsid w:val="0064608D"/>
    <w:rsid w:val="0065330A"/>
    <w:rsid w:val="006535E4"/>
    <w:rsid w:val="00655B2E"/>
    <w:rsid w:val="00657BFF"/>
    <w:rsid w:val="00660797"/>
    <w:rsid w:val="00661AFA"/>
    <w:rsid w:val="006669CF"/>
    <w:rsid w:val="00667CBA"/>
    <w:rsid w:val="0067046E"/>
    <w:rsid w:val="00673264"/>
    <w:rsid w:val="00673CE4"/>
    <w:rsid w:val="006821A9"/>
    <w:rsid w:val="00683106"/>
    <w:rsid w:val="00684B6E"/>
    <w:rsid w:val="00691219"/>
    <w:rsid w:val="0069201A"/>
    <w:rsid w:val="00694104"/>
    <w:rsid w:val="00695ECA"/>
    <w:rsid w:val="0069788A"/>
    <w:rsid w:val="006A43A6"/>
    <w:rsid w:val="006A444B"/>
    <w:rsid w:val="006B0107"/>
    <w:rsid w:val="006B1A48"/>
    <w:rsid w:val="006B3DB1"/>
    <w:rsid w:val="006B4CBE"/>
    <w:rsid w:val="006C1546"/>
    <w:rsid w:val="006C2003"/>
    <w:rsid w:val="006C7715"/>
    <w:rsid w:val="006C7F18"/>
    <w:rsid w:val="006D2AEB"/>
    <w:rsid w:val="006D3958"/>
    <w:rsid w:val="006E017C"/>
    <w:rsid w:val="006E0F0D"/>
    <w:rsid w:val="006E3424"/>
    <w:rsid w:val="006E54A5"/>
    <w:rsid w:val="006E7966"/>
    <w:rsid w:val="006F4D40"/>
    <w:rsid w:val="0070743F"/>
    <w:rsid w:val="00710AA5"/>
    <w:rsid w:val="00713137"/>
    <w:rsid w:val="007155C0"/>
    <w:rsid w:val="00716D73"/>
    <w:rsid w:val="00720922"/>
    <w:rsid w:val="00736959"/>
    <w:rsid w:val="00741599"/>
    <w:rsid w:val="007425AA"/>
    <w:rsid w:val="0074572C"/>
    <w:rsid w:val="00752D23"/>
    <w:rsid w:val="007557A9"/>
    <w:rsid w:val="007650F9"/>
    <w:rsid w:val="007657AC"/>
    <w:rsid w:val="00766546"/>
    <w:rsid w:val="007665AE"/>
    <w:rsid w:val="00772E30"/>
    <w:rsid w:val="007744C7"/>
    <w:rsid w:val="00783A87"/>
    <w:rsid w:val="0079101C"/>
    <w:rsid w:val="00792361"/>
    <w:rsid w:val="007964CC"/>
    <w:rsid w:val="007B4577"/>
    <w:rsid w:val="007B79A0"/>
    <w:rsid w:val="007C6D00"/>
    <w:rsid w:val="007E36EF"/>
    <w:rsid w:val="007E475B"/>
    <w:rsid w:val="007E60FF"/>
    <w:rsid w:val="007E6E5E"/>
    <w:rsid w:val="007E790D"/>
    <w:rsid w:val="007F205A"/>
    <w:rsid w:val="007F709E"/>
    <w:rsid w:val="00804515"/>
    <w:rsid w:val="00816DC4"/>
    <w:rsid w:val="00816E7A"/>
    <w:rsid w:val="0081704C"/>
    <w:rsid w:val="00823A3A"/>
    <w:rsid w:val="00826FCA"/>
    <w:rsid w:val="00837200"/>
    <w:rsid w:val="00841CA3"/>
    <w:rsid w:val="00843133"/>
    <w:rsid w:val="008565C5"/>
    <w:rsid w:val="008625A2"/>
    <w:rsid w:val="00866C17"/>
    <w:rsid w:val="00871A1B"/>
    <w:rsid w:val="00873157"/>
    <w:rsid w:val="00874CFC"/>
    <w:rsid w:val="00882ACA"/>
    <w:rsid w:val="00891D5E"/>
    <w:rsid w:val="00894D0B"/>
    <w:rsid w:val="008A4E43"/>
    <w:rsid w:val="008A6F93"/>
    <w:rsid w:val="008A7830"/>
    <w:rsid w:val="008B2B6E"/>
    <w:rsid w:val="008B7B73"/>
    <w:rsid w:val="008C0570"/>
    <w:rsid w:val="008C71D9"/>
    <w:rsid w:val="008D08D6"/>
    <w:rsid w:val="008D5E1E"/>
    <w:rsid w:val="008E5DE1"/>
    <w:rsid w:val="008F237D"/>
    <w:rsid w:val="008F564C"/>
    <w:rsid w:val="008F6FD9"/>
    <w:rsid w:val="00903547"/>
    <w:rsid w:val="0090687D"/>
    <w:rsid w:val="00907593"/>
    <w:rsid w:val="00907E7C"/>
    <w:rsid w:val="00921B30"/>
    <w:rsid w:val="00921E90"/>
    <w:rsid w:val="00924814"/>
    <w:rsid w:val="0093509C"/>
    <w:rsid w:val="00937E75"/>
    <w:rsid w:val="00966BD2"/>
    <w:rsid w:val="00976753"/>
    <w:rsid w:val="00977050"/>
    <w:rsid w:val="00981781"/>
    <w:rsid w:val="00987E8E"/>
    <w:rsid w:val="009A4EA8"/>
    <w:rsid w:val="009A6E7A"/>
    <w:rsid w:val="009B11D8"/>
    <w:rsid w:val="009B357F"/>
    <w:rsid w:val="009B42DD"/>
    <w:rsid w:val="009B4D19"/>
    <w:rsid w:val="009B4F4E"/>
    <w:rsid w:val="009C4857"/>
    <w:rsid w:val="009C4C01"/>
    <w:rsid w:val="009C7EBC"/>
    <w:rsid w:val="009E2689"/>
    <w:rsid w:val="009F24D6"/>
    <w:rsid w:val="009F52CC"/>
    <w:rsid w:val="00A02FCC"/>
    <w:rsid w:val="00A17033"/>
    <w:rsid w:val="00A24669"/>
    <w:rsid w:val="00A3155A"/>
    <w:rsid w:val="00A317A0"/>
    <w:rsid w:val="00A35C4B"/>
    <w:rsid w:val="00A4124F"/>
    <w:rsid w:val="00A45686"/>
    <w:rsid w:val="00A47445"/>
    <w:rsid w:val="00A506BB"/>
    <w:rsid w:val="00A51812"/>
    <w:rsid w:val="00A5234A"/>
    <w:rsid w:val="00A5367D"/>
    <w:rsid w:val="00A55084"/>
    <w:rsid w:val="00A55CFF"/>
    <w:rsid w:val="00A630B9"/>
    <w:rsid w:val="00A64AD9"/>
    <w:rsid w:val="00A73F86"/>
    <w:rsid w:val="00A870BA"/>
    <w:rsid w:val="00A94D15"/>
    <w:rsid w:val="00A963B6"/>
    <w:rsid w:val="00A9772E"/>
    <w:rsid w:val="00AA5839"/>
    <w:rsid w:val="00AA6903"/>
    <w:rsid w:val="00AB3A5E"/>
    <w:rsid w:val="00AC01D2"/>
    <w:rsid w:val="00AC64CB"/>
    <w:rsid w:val="00AC6D64"/>
    <w:rsid w:val="00AC7DC9"/>
    <w:rsid w:val="00AD356B"/>
    <w:rsid w:val="00AD6FAC"/>
    <w:rsid w:val="00AE100C"/>
    <w:rsid w:val="00AE258D"/>
    <w:rsid w:val="00AE72C6"/>
    <w:rsid w:val="00AF6826"/>
    <w:rsid w:val="00B010CC"/>
    <w:rsid w:val="00B03DD8"/>
    <w:rsid w:val="00B134B1"/>
    <w:rsid w:val="00B13642"/>
    <w:rsid w:val="00B1576D"/>
    <w:rsid w:val="00B1746D"/>
    <w:rsid w:val="00B20E88"/>
    <w:rsid w:val="00B22C63"/>
    <w:rsid w:val="00B30039"/>
    <w:rsid w:val="00B31ADC"/>
    <w:rsid w:val="00B31ED4"/>
    <w:rsid w:val="00B3235D"/>
    <w:rsid w:val="00B535C6"/>
    <w:rsid w:val="00B57511"/>
    <w:rsid w:val="00B71266"/>
    <w:rsid w:val="00B71599"/>
    <w:rsid w:val="00B73349"/>
    <w:rsid w:val="00B74C60"/>
    <w:rsid w:val="00B76C27"/>
    <w:rsid w:val="00B80AF7"/>
    <w:rsid w:val="00B811F8"/>
    <w:rsid w:val="00B84920"/>
    <w:rsid w:val="00B86016"/>
    <w:rsid w:val="00B86481"/>
    <w:rsid w:val="00B86ED6"/>
    <w:rsid w:val="00B870EE"/>
    <w:rsid w:val="00B932C9"/>
    <w:rsid w:val="00B951ED"/>
    <w:rsid w:val="00B976B2"/>
    <w:rsid w:val="00BB03EC"/>
    <w:rsid w:val="00BB625A"/>
    <w:rsid w:val="00BC0C51"/>
    <w:rsid w:val="00BD667A"/>
    <w:rsid w:val="00BF15BA"/>
    <w:rsid w:val="00BF7A17"/>
    <w:rsid w:val="00C0189B"/>
    <w:rsid w:val="00C0318F"/>
    <w:rsid w:val="00C067FB"/>
    <w:rsid w:val="00C10ECB"/>
    <w:rsid w:val="00C12530"/>
    <w:rsid w:val="00C218FA"/>
    <w:rsid w:val="00C21DA4"/>
    <w:rsid w:val="00C2793F"/>
    <w:rsid w:val="00C30ED8"/>
    <w:rsid w:val="00C321A1"/>
    <w:rsid w:val="00C35891"/>
    <w:rsid w:val="00C35B63"/>
    <w:rsid w:val="00C37A05"/>
    <w:rsid w:val="00C44AC2"/>
    <w:rsid w:val="00C4693E"/>
    <w:rsid w:val="00C54A4B"/>
    <w:rsid w:val="00C76C3B"/>
    <w:rsid w:val="00C820B4"/>
    <w:rsid w:val="00C84A05"/>
    <w:rsid w:val="00C909F6"/>
    <w:rsid w:val="00C919D1"/>
    <w:rsid w:val="00C9476F"/>
    <w:rsid w:val="00CA6252"/>
    <w:rsid w:val="00CB628D"/>
    <w:rsid w:val="00CC1D8B"/>
    <w:rsid w:val="00CC4A48"/>
    <w:rsid w:val="00CD0DE5"/>
    <w:rsid w:val="00CD459B"/>
    <w:rsid w:val="00CE3D7F"/>
    <w:rsid w:val="00CE6293"/>
    <w:rsid w:val="00CF3C00"/>
    <w:rsid w:val="00CF553C"/>
    <w:rsid w:val="00CF6BAC"/>
    <w:rsid w:val="00D04AB2"/>
    <w:rsid w:val="00D13A83"/>
    <w:rsid w:val="00D23527"/>
    <w:rsid w:val="00D23936"/>
    <w:rsid w:val="00D26CB5"/>
    <w:rsid w:val="00D36F58"/>
    <w:rsid w:val="00D37741"/>
    <w:rsid w:val="00D501CF"/>
    <w:rsid w:val="00D50F83"/>
    <w:rsid w:val="00D518EC"/>
    <w:rsid w:val="00D5359A"/>
    <w:rsid w:val="00D822B4"/>
    <w:rsid w:val="00D82CC7"/>
    <w:rsid w:val="00D83966"/>
    <w:rsid w:val="00D84EBB"/>
    <w:rsid w:val="00D9705D"/>
    <w:rsid w:val="00D97EF7"/>
    <w:rsid w:val="00DA0987"/>
    <w:rsid w:val="00DA22DB"/>
    <w:rsid w:val="00DA26E1"/>
    <w:rsid w:val="00DA4E87"/>
    <w:rsid w:val="00DA6403"/>
    <w:rsid w:val="00DB2AA8"/>
    <w:rsid w:val="00DB2E87"/>
    <w:rsid w:val="00DB6F6B"/>
    <w:rsid w:val="00DD0358"/>
    <w:rsid w:val="00DD03BD"/>
    <w:rsid w:val="00DE0C5B"/>
    <w:rsid w:val="00DE0CAF"/>
    <w:rsid w:val="00DE1562"/>
    <w:rsid w:val="00DE3633"/>
    <w:rsid w:val="00DE4BB0"/>
    <w:rsid w:val="00DE4EA4"/>
    <w:rsid w:val="00DF0FA1"/>
    <w:rsid w:val="00DF7873"/>
    <w:rsid w:val="00DF7B0B"/>
    <w:rsid w:val="00E036BB"/>
    <w:rsid w:val="00E05351"/>
    <w:rsid w:val="00E07E2E"/>
    <w:rsid w:val="00E16C13"/>
    <w:rsid w:val="00E236AE"/>
    <w:rsid w:val="00E24168"/>
    <w:rsid w:val="00E275F3"/>
    <w:rsid w:val="00E279B2"/>
    <w:rsid w:val="00E30572"/>
    <w:rsid w:val="00E31FF7"/>
    <w:rsid w:val="00E43ED0"/>
    <w:rsid w:val="00E52006"/>
    <w:rsid w:val="00E57631"/>
    <w:rsid w:val="00E61F67"/>
    <w:rsid w:val="00E65F37"/>
    <w:rsid w:val="00E6676F"/>
    <w:rsid w:val="00E71BE2"/>
    <w:rsid w:val="00E7530B"/>
    <w:rsid w:val="00E75353"/>
    <w:rsid w:val="00E766A6"/>
    <w:rsid w:val="00E777E7"/>
    <w:rsid w:val="00E77D42"/>
    <w:rsid w:val="00E823B9"/>
    <w:rsid w:val="00E95A46"/>
    <w:rsid w:val="00E95F57"/>
    <w:rsid w:val="00EA37AA"/>
    <w:rsid w:val="00EA7A68"/>
    <w:rsid w:val="00EB34DD"/>
    <w:rsid w:val="00EB595C"/>
    <w:rsid w:val="00EC0530"/>
    <w:rsid w:val="00ED4B1F"/>
    <w:rsid w:val="00ED7CBA"/>
    <w:rsid w:val="00EE0C52"/>
    <w:rsid w:val="00EE24CE"/>
    <w:rsid w:val="00EE527C"/>
    <w:rsid w:val="00EE540A"/>
    <w:rsid w:val="00EE7F08"/>
    <w:rsid w:val="00EF2378"/>
    <w:rsid w:val="00EF4BDB"/>
    <w:rsid w:val="00F00100"/>
    <w:rsid w:val="00F0174F"/>
    <w:rsid w:val="00F054B1"/>
    <w:rsid w:val="00F0763A"/>
    <w:rsid w:val="00F14BEB"/>
    <w:rsid w:val="00F216FD"/>
    <w:rsid w:val="00F22BFF"/>
    <w:rsid w:val="00F23E39"/>
    <w:rsid w:val="00F24426"/>
    <w:rsid w:val="00F26855"/>
    <w:rsid w:val="00F413D7"/>
    <w:rsid w:val="00F529F4"/>
    <w:rsid w:val="00F56EE0"/>
    <w:rsid w:val="00F607EE"/>
    <w:rsid w:val="00F6447B"/>
    <w:rsid w:val="00F66C91"/>
    <w:rsid w:val="00F7530E"/>
    <w:rsid w:val="00FA6BB8"/>
    <w:rsid w:val="00FB18B1"/>
    <w:rsid w:val="00FB18E4"/>
    <w:rsid w:val="00FB3E91"/>
    <w:rsid w:val="00FC0F04"/>
    <w:rsid w:val="00FD2747"/>
    <w:rsid w:val="00FD3A8B"/>
    <w:rsid w:val="00FD424F"/>
    <w:rsid w:val="00FE3982"/>
    <w:rsid w:val="00FE67A7"/>
    <w:rsid w:val="00FF0B94"/>
    <w:rsid w:val="00FF6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EC66E"/>
  <w15:chartTrackingRefBased/>
  <w15:docId w15:val="{54A45EE6-9098-4B3F-9281-663D659E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A6F9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A45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FE67A7"/>
    <w:pPr>
      <w:ind w:left="720"/>
      <w:contextualSpacing/>
    </w:pPr>
  </w:style>
  <w:style w:type="paragraph" w:styleId="Hlavika">
    <w:name w:val="header"/>
    <w:basedOn w:val="Normlny"/>
    <w:link w:val="HlavikaChar"/>
    <w:uiPriority w:val="99"/>
    <w:unhideWhenUsed/>
    <w:rsid w:val="00020EA4"/>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020EA4"/>
  </w:style>
  <w:style w:type="paragraph" w:styleId="Pta">
    <w:name w:val="footer"/>
    <w:basedOn w:val="Normlny"/>
    <w:link w:val="PtaChar"/>
    <w:uiPriority w:val="99"/>
    <w:unhideWhenUsed/>
    <w:rsid w:val="00020EA4"/>
    <w:pPr>
      <w:tabs>
        <w:tab w:val="center" w:pos="4513"/>
        <w:tab w:val="right" w:pos="9026"/>
      </w:tabs>
      <w:spacing w:after="0" w:line="240" w:lineRule="auto"/>
    </w:pPr>
  </w:style>
  <w:style w:type="character" w:customStyle="1" w:styleId="PtaChar">
    <w:name w:val="Päta Char"/>
    <w:basedOn w:val="Predvolenpsmoodseku"/>
    <w:link w:val="Pta"/>
    <w:uiPriority w:val="99"/>
    <w:rsid w:val="00020EA4"/>
  </w:style>
  <w:style w:type="character" w:styleId="Odkaznakomentr">
    <w:name w:val="annotation reference"/>
    <w:basedOn w:val="Predvolenpsmoodseku"/>
    <w:uiPriority w:val="99"/>
    <w:semiHidden/>
    <w:unhideWhenUsed/>
    <w:rsid w:val="00A317A0"/>
    <w:rPr>
      <w:sz w:val="16"/>
      <w:szCs w:val="16"/>
    </w:rPr>
  </w:style>
  <w:style w:type="paragraph" w:styleId="Textkomentra">
    <w:name w:val="annotation text"/>
    <w:basedOn w:val="Normlny"/>
    <w:link w:val="TextkomentraChar"/>
    <w:uiPriority w:val="99"/>
    <w:unhideWhenUsed/>
    <w:rsid w:val="00A317A0"/>
    <w:pPr>
      <w:spacing w:line="240" w:lineRule="auto"/>
    </w:pPr>
    <w:rPr>
      <w:sz w:val="20"/>
      <w:szCs w:val="20"/>
    </w:rPr>
  </w:style>
  <w:style w:type="character" w:customStyle="1" w:styleId="TextkomentraChar">
    <w:name w:val="Text komentára Char"/>
    <w:basedOn w:val="Predvolenpsmoodseku"/>
    <w:link w:val="Textkomentra"/>
    <w:uiPriority w:val="99"/>
    <w:rsid w:val="00A317A0"/>
    <w:rPr>
      <w:sz w:val="20"/>
      <w:szCs w:val="20"/>
    </w:rPr>
  </w:style>
  <w:style w:type="paragraph" w:styleId="Predmetkomentra">
    <w:name w:val="annotation subject"/>
    <w:basedOn w:val="Textkomentra"/>
    <w:next w:val="Textkomentra"/>
    <w:link w:val="PredmetkomentraChar"/>
    <w:uiPriority w:val="99"/>
    <w:semiHidden/>
    <w:unhideWhenUsed/>
    <w:rsid w:val="00A317A0"/>
    <w:rPr>
      <w:b/>
      <w:bCs/>
    </w:rPr>
  </w:style>
  <w:style w:type="character" w:customStyle="1" w:styleId="PredmetkomentraChar">
    <w:name w:val="Predmet komentára Char"/>
    <w:basedOn w:val="TextkomentraChar"/>
    <w:link w:val="Predmetkomentra"/>
    <w:uiPriority w:val="99"/>
    <w:semiHidden/>
    <w:rsid w:val="00A317A0"/>
    <w:rPr>
      <w:b/>
      <w:bCs/>
      <w:sz w:val="20"/>
      <w:szCs w:val="20"/>
    </w:rPr>
  </w:style>
  <w:style w:type="paragraph" w:customStyle="1" w:styleId="CEAStandardHeading">
    <w:name w:val="CEA Standard Heading"/>
    <w:basedOn w:val="Normlny"/>
    <w:qFormat/>
    <w:rsid w:val="006669CF"/>
    <w:pPr>
      <w:autoSpaceDE w:val="0"/>
      <w:autoSpaceDN w:val="0"/>
      <w:adjustRightInd w:val="0"/>
      <w:spacing w:after="0" w:line="288" w:lineRule="auto"/>
      <w:textAlignment w:val="center"/>
    </w:pPr>
    <w:rPr>
      <w:rFonts w:ascii="Verdana" w:eastAsia="Times New Roman" w:hAnsi="Verdana" w:cs="Arial"/>
      <w:b/>
      <w:color w:val="034EA2"/>
      <w:sz w:val="20"/>
    </w:rPr>
  </w:style>
  <w:style w:type="paragraph" w:styleId="Revzia">
    <w:name w:val="Revision"/>
    <w:hidden/>
    <w:uiPriority w:val="99"/>
    <w:semiHidden/>
    <w:rsid w:val="00152963"/>
    <w:pPr>
      <w:spacing w:after="0" w:line="240" w:lineRule="auto"/>
    </w:pPr>
  </w:style>
  <w:style w:type="character" w:styleId="Zmienka">
    <w:name w:val="Mention"/>
    <w:basedOn w:val="Predvolenpsmoodseku"/>
    <w:uiPriority w:val="99"/>
    <w:unhideWhenUsed/>
    <w:rsid w:val="002C7FE4"/>
    <w:rPr>
      <w:color w:val="2B579A"/>
      <w:shd w:val="clear" w:color="auto" w:fill="E1DFDD"/>
    </w:rPr>
  </w:style>
  <w:style w:type="character" w:customStyle="1" w:styleId="normaltextrun">
    <w:name w:val="normaltextrun"/>
    <w:basedOn w:val="Predvolenpsmoodseku"/>
    <w:rsid w:val="001E2711"/>
  </w:style>
  <w:style w:type="paragraph" w:customStyle="1" w:styleId="Default">
    <w:name w:val="Default"/>
    <w:rsid w:val="00EC053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5786">
      <w:bodyDiv w:val="1"/>
      <w:marLeft w:val="0"/>
      <w:marRight w:val="0"/>
      <w:marTop w:val="0"/>
      <w:marBottom w:val="0"/>
      <w:divBdr>
        <w:top w:val="none" w:sz="0" w:space="0" w:color="auto"/>
        <w:left w:val="none" w:sz="0" w:space="0" w:color="auto"/>
        <w:bottom w:val="none" w:sz="0" w:space="0" w:color="auto"/>
        <w:right w:val="none" w:sz="0" w:space="0" w:color="auto"/>
      </w:divBdr>
    </w:div>
    <w:div w:id="194117780">
      <w:bodyDiv w:val="1"/>
      <w:marLeft w:val="0"/>
      <w:marRight w:val="0"/>
      <w:marTop w:val="0"/>
      <w:marBottom w:val="0"/>
      <w:divBdr>
        <w:top w:val="none" w:sz="0" w:space="0" w:color="auto"/>
        <w:left w:val="none" w:sz="0" w:space="0" w:color="auto"/>
        <w:bottom w:val="none" w:sz="0" w:space="0" w:color="auto"/>
        <w:right w:val="none" w:sz="0" w:space="0" w:color="auto"/>
      </w:divBdr>
    </w:div>
    <w:div w:id="949093492">
      <w:bodyDiv w:val="1"/>
      <w:marLeft w:val="0"/>
      <w:marRight w:val="0"/>
      <w:marTop w:val="0"/>
      <w:marBottom w:val="0"/>
      <w:divBdr>
        <w:top w:val="none" w:sz="0" w:space="0" w:color="auto"/>
        <w:left w:val="none" w:sz="0" w:space="0" w:color="auto"/>
        <w:bottom w:val="none" w:sz="0" w:space="0" w:color="auto"/>
        <w:right w:val="none" w:sz="0" w:space="0" w:color="auto"/>
      </w:divBdr>
    </w:div>
    <w:div w:id="1868982415">
      <w:bodyDiv w:val="1"/>
      <w:marLeft w:val="0"/>
      <w:marRight w:val="0"/>
      <w:marTop w:val="0"/>
      <w:marBottom w:val="0"/>
      <w:divBdr>
        <w:top w:val="none" w:sz="0" w:space="0" w:color="auto"/>
        <w:left w:val="none" w:sz="0" w:space="0" w:color="auto"/>
        <w:bottom w:val="none" w:sz="0" w:space="0" w:color="auto"/>
        <w:right w:val="none" w:sz="0" w:space="0" w:color="auto"/>
      </w:divBdr>
    </w:div>
    <w:div w:id="19390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of_x0020_document xmlns="91e53fe5-de66-4f47-82c0-0a0717a7bdf1" xsi:nil="true"/>
    <Type_x0020_of_x0020_memo xmlns="91e53fe5-de66-4f47-82c0-0a0717a7bdf1" xsi:nil="true"/>
    <Deadline xmlns="91e53fe5-de66-4f47-82c0-0a0717a7bdf1" xsi:nil="true"/>
    <Can_x0020_be_x0020_edited xmlns="91e53fe5-de66-4f47-82c0-0a0717a7bdf1">false</Can_x0020_be_x0020_edited>
    <Allow_x0020_uploads xmlns="91e53fe5-de66-4f47-82c0-0a0717a7bdf1" xsi:nil="true"/>
    <isAnnex xmlns="91e53fe5-de66-4f47-82c0-0a0717a7bdf1" xsi:nil="true"/>
    <Display_x0020_validated_x0020_documents_x0020_library_x0020_button xmlns="91e53fe5-de66-4f47-82c0-0a0717a7bdf1">false</Display_x0020_validated_x0020_documents_x0020_library_x0020_button>
    <Feedback_x0020_type xmlns="91e53fe5-de66-4f47-82c0-0a0717a7bdf1" xsi:nil="true"/>
    <Uploads xmlns="91e53fe5-de66-4f47-82c0-0a0717a7bdf1" xsi:nil="true"/>
    <Leading_x0020_document xmlns="91e53fe5-de66-4f47-82c0-0a0717a7bdf1" xsi:nil="true"/>
    <AllowComments xmlns="91e53fe5-de66-4f47-82c0-0a0717a7bdf1">true</AllowComments>
    <Allow_x0020_comments xmlns="91e53fe5-de66-4f47-82c0-0a0717a7bdf1" xsi:nil="true"/>
    <Validated xmlns="91e53fe5-de66-4f47-82c0-0a0717a7bdf1">false</Validated>
    <ValidationComment xmlns="91e53fe5-de66-4f47-82c0-0a0717a7bd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ublished Documents" ma:contentTypeID="0x010100C8CC086B041717489B5C8BCBB6872088" ma:contentTypeVersion="20" ma:contentTypeDescription="Published Documents Content types for Insurance Europe" ma:contentTypeScope="" ma:versionID="97cb27fd72d846e2a0376cd201ef664f">
  <xsd:schema xmlns:xsd="http://www.w3.org/2001/XMLSchema" xmlns:xs="http://www.w3.org/2001/XMLSchema" xmlns:p="http://schemas.microsoft.com/office/2006/metadata/properties" xmlns:ns2="91e53fe5-de66-4f47-82c0-0a0717a7bdf1" targetNamespace="http://schemas.microsoft.com/office/2006/metadata/properties" ma:root="true" ma:fieldsID="b2c0d253afb977215a9d0d840c74609a" ns2:_="">
    <xsd:import namespace="91e53fe5-de66-4f47-82c0-0a0717a7bdf1"/>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53fe5-de66-4f47-82c0-0a0717a7bdf1"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9E1FE5-9091-4DDA-9BD1-2B7EBF90D773}">
  <ds:schemaRefs>
    <ds:schemaRef ds:uri="http://purl.org/dc/dcmitype/"/>
    <ds:schemaRef ds:uri="91e53fe5-de66-4f47-82c0-0a0717a7bdf1"/>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6CB71BB-3643-49AD-B01B-1569D8942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53fe5-de66-4f47-82c0-0a0717a7b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13624-EF38-4652-8426-E271DF1913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2654</Words>
  <Characters>15134</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Final IE CFOF response to ESRS DA consultation </vt:lpstr>
    </vt:vector>
  </TitlesOfParts>
  <Company>European Commission</Company>
  <LinksUpToDate>false</LinksUpToDate>
  <CharactersWithSpaces>17753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IE CFOF response to ESRS DA consultation_clean</dc:title>
  <dc:subject/>
  <dc:creator>DODD Thomas (FISMA)</dc:creator>
  <cp:keywords/>
  <dc:description/>
  <cp:lastModifiedBy>jozef.bachnicek</cp:lastModifiedBy>
  <cp:revision>2</cp:revision>
  <dcterms:created xsi:type="dcterms:W3CDTF">2023-07-10T06:47:00Z</dcterms:created>
  <dcterms:modified xsi:type="dcterms:W3CDTF">2023-07-10T06:47:00Z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2023-05-31T08:03:52Z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32427103-a1c8-4d30-9b4f-6f3f8b899de8</vt:lpwstr>
  </property>
  <property fmtid="{D5CDD505-2E9C-101B-9397-08002B2CF9AE}" pid="8" name="MSIP_Label_6bd9ddd1-4d20-43f6-abfa-fc3c07406f94_ContentBits">
    <vt:lpwstr>0</vt:lpwstr>
  </property>
  <property fmtid="{D5CDD505-2E9C-101B-9397-08002B2CF9AE}" pid="9" name="ContentTypeId">
    <vt:lpwstr>0x010100C8CC086B041717489B5C8BCBB6872088</vt:lpwstr>
  </property>
</Properties>
</file>