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C92A8" w14:textId="393AD306" w:rsidR="0042378C" w:rsidRDefault="0042378C" w:rsidP="005F5CCF">
      <w:pPr>
        <w:rPr>
          <w:color w:val="1F497D" w:themeColor="text2"/>
        </w:rPr>
      </w:pPr>
      <w:r>
        <w:rPr>
          <w:color w:val="1F497D" w:themeColor="text2"/>
        </w:rPr>
        <w:t>Summary</w:t>
      </w:r>
    </w:p>
    <w:p w14:paraId="4389DB65" w14:textId="173E9A26" w:rsidR="0042378C" w:rsidRDefault="0042378C" w:rsidP="0042378C">
      <w:pPr>
        <w:spacing w:before="120" w:line="276" w:lineRule="auto"/>
        <w:rPr>
          <w:sz w:val="17"/>
          <w:szCs w:val="17"/>
        </w:rPr>
      </w:pPr>
      <w:r w:rsidRPr="00551719">
        <w:rPr>
          <w:sz w:val="17"/>
          <w:szCs w:val="17"/>
        </w:rPr>
        <w:t xml:space="preserve">On 31 July, EFRAG published the revised and simplified Exposure Drafts </w:t>
      </w:r>
      <w:r w:rsidR="00095EA7">
        <w:rPr>
          <w:sz w:val="17"/>
          <w:szCs w:val="17"/>
        </w:rPr>
        <w:t xml:space="preserve">(ED) </w:t>
      </w:r>
      <w:r w:rsidRPr="00551719">
        <w:rPr>
          <w:sz w:val="17"/>
          <w:szCs w:val="17"/>
        </w:rPr>
        <w:t>of the European Reporting Standards (ESRS)</w:t>
      </w:r>
      <w:r>
        <w:rPr>
          <w:sz w:val="17"/>
          <w:szCs w:val="17"/>
        </w:rPr>
        <w:t xml:space="preserve"> (</w:t>
      </w:r>
      <w:hyperlink r:id="rId11" w:history="1">
        <w:r w:rsidRPr="00D47C9A">
          <w:rPr>
            <w:rStyle w:val="Hypertextovprepojenie"/>
            <w:sz w:val="17"/>
            <w:szCs w:val="17"/>
          </w:rPr>
          <w:t>ECO-CRISF-25-234</w:t>
        </w:r>
      </w:hyperlink>
      <w:r>
        <w:rPr>
          <w:sz w:val="17"/>
          <w:szCs w:val="17"/>
        </w:rPr>
        <w:t>)</w:t>
      </w:r>
      <w:r w:rsidRPr="008D4CC7">
        <w:rPr>
          <w:sz w:val="17"/>
          <w:szCs w:val="17"/>
        </w:rPr>
        <w:t xml:space="preserve">. The consultation survey is available </w:t>
      </w:r>
      <w:hyperlink r:id="rId12" w:history="1">
        <w:r w:rsidRPr="00D47C9A">
          <w:rPr>
            <w:rStyle w:val="Hypertextovprepojenie"/>
            <w:sz w:val="17"/>
            <w:szCs w:val="17"/>
          </w:rPr>
          <w:t>here</w:t>
        </w:r>
      </w:hyperlink>
      <w:r>
        <w:t xml:space="preserve">, </w:t>
      </w:r>
      <w:r>
        <w:rPr>
          <w:sz w:val="17"/>
          <w:szCs w:val="17"/>
        </w:rPr>
        <w:t xml:space="preserve">and the exposure drafts </w:t>
      </w:r>
      <w:hyperlink r:id="rId13" w:history="1">
        <w:r w:rsidRPr="00986A0A">
          <w:rPr>
            <w:rStyle w:val="Hypertextovprepojenie"/>
            <w:sz w:val="17"/>
            <w:szCs w:val="17"/>
          </w:rPr>
          <w:t>here</w:t>
        </w:r>
      </w:hyperlink>
      <w:r w:rsidRPr="008D4CC7">
        <w:rPr>
          <w:sz w:val="17"/>
          <w:szCs w:val="17"/>
        </w:rPr>
        <w:t>.</w:t>
      </w:r>
    </w:p>
    <w:p w14:paraId="1AB29BA5" w14:textId="77777777" w:rsidR="0042378C" w:rsidRDefault="0042378C" w:rsidP="0042378C">
      <w:pPr>
        <w:spacing w:before="120" w:line="276" w:lineRule="auto"/>
        <w:rPr>
          <w:sz w:val="17"/>
          <w:szCs w:val="17"/>
        </w:rPr>
      </w:pPr>
      <w:r>
        <w:rPr>
          <w:sz w:val="17"/>
          <w:szCs w:val="17"/>
        </w:rPr>
        <w:t>The survey</w:t>
      </w:r>
      <w:r w:rsidRPr="00D90E6C">
        <w:rPr>
          <w:sz w:val="17"/>
          <w:szCs w:val="17"/>
        </w:rPr>
        <w:t xml:space="preserve"> is structured in 3 parts:</w:t>
      </w:r>
    </w:p>
    <w:p w14:paraId="5109B646" w14:textId="77777777" w:rsidR="0042378C" w:rsidRDefault="0042378C" w:rsidP="0042378C">
      <w:pPr>
        <w:spacing w:before="120" w:line="276" w:lineRule="auto"/>
        <w:ind w:left="708"/>
        <w:rPr>
          <w:sz w:val="17"/>
          <w:szCs w:val="17"/>
        </w:rPr>
      </w:pPr>
      <w:r w:rsidRPr="00D90E6C">
        <w:rPr>
          <w:sz w:val="17"/>
          <w:szCs w:val="17"/>
        </w:rPr>
        <w:t>Part 1. Profile of the respondent (</w:t>
      </w:r>
      <w:r>
        <w:rPr>
          <w:sz w:val="17"/>
          <w:szCs w:val="17"/>
        </w:rPr>
        <w:t>not included here</w:t>
      </w:r>
      <w:r w:rsidRPr="00D90E6C">
        <w:rPr>
          <w:sz w:val="17"/>
          <w:szCs w:val="17"/>
        </w:rPr>
        <w:t>)</w:t>
      </w:r>
    </w:p>
    <w:p w14:paraId="7CA27125" w14:textId="77777777" w:rsidR="0042378C" w:rsidRDefault="0042378C" w:rsidP="0042378C">
      <w:pPr>
        <w:spacing w:line="276" w:lineRule="auto"/>
        <w:ind w:left="709"/>
        <w:rPr>
          <w:sz w:val="17"/>
          <w:szCs w:val="17"/>
        </w:rPr>
      </w:pPr>
      <w:r w:rsidRPr="00D90E6C">
        <w:rPr>
          <w:sz w:val="17"/>
          <w:szCs w:val="17"/>
        </w:rPr>
        <w:t>Part 2. General feedback</w:t>
      </w:r>
      <w:r>
        <w:rPr>
          <w:sz w:val="17"/>
          <w:szCs w:val="17"/>
        </w:rPr>
        <w:t xml:space="preserve"> (23 questions)</w:t>
      </w:r>
    </w:p>
    <w:p w14:paraId="7EDB90D9" w14:textId="2E0B9552" w:rsidR="0042378C" w:rsidRDefault="0042378C" w:rsidP="0042378C">
      <w:pPr>
        <w:spacing w:line="276" w:lineRule="auto"/>
        <w:ind w:left="709"/>
        <w:rPr>
          <w:sz w:val="17"/>
          <w:szCs w:val="17"/>
        </w:rPr>
      </w:pPr>
      <w:r w:rsidRPr="00D90E6C">
        <w:rPr>
          <w:sz w:val="17"/>
          <w:szCs w:val="17"/>
        </w:rPr>
        <w:t xml:space="preserve">Part 3. Detailed feedback at </w:t>
      </w:r>
      <w:r w:rsidR="00627046">
        <w:rPr>
          <w:sz w:val="17"/>
          <w:szCs w:val="17"/>
        </w:rPr>
        <w:t>the</w:t>
      </w:r>
      <w:r w:rsidRPr="00D90E6C">
        <w:rPr>
          <w:sz w:val="17"/>
          <w:szCs w:val="17"/>
        </w:rPr>
        <w:t xml:space="preserve"> </w:t>
      </w:r>
      <w:r w:rsidR="00095EA7">
        <w:rPr>
          <w:sz w:val="17"/>
          <w:szCs w:val="17"/>
        </w:rPr>
        <w:t>Disclosure Requirement (DR)</w:t>
      </w:r>
      <w:r w:rsidRPr="00D90E6C">
        <w:rPr>
          <w:sz w:val="17"/>
          <w:szCs w:val="17"/>
        </w:rPr>
        <w:t xml:space="preserve"> </w:t>
      </w:r>
      <w:r w:rsidR="00627046">
        <w:rPr>
          <w:sz w:val="17"/>
          <w:szCs w:val="17"/>
        </w:rPr>
        <w:t xml:space="preserve">level </w:t>
      </w:r>
      <w:r w:rsidRPr="00D90E6C">
        <w:rPr>
          <w:sz w:val="17"/>
          <w:szCs w:val="17"/>
        </w:rPr>
        <w:t xml:space="preserve">or paragraph </w:t>
      </w:r>
      <w:r w:rsidR="00627046">
        <w:rPr>
          <w:sz w:val="17"/>
          <w:szCs w:val="17"/>
        </w:rPr>
        <w:t>level</w:t>
      </w:r>
      <w:r w:rsidRPr="00D90E6C">
        <w:rPr>
          <w:sz w:val="17"/>
          <w:szCs w:val="17"/>
        </w:rPr>
        <w:t xml:space="preserve"> (optional).  </w:t>
      </w:r>
    </w:p>
    <w:p w14:paraId="32434AE0" w14:textId="79BC0A83" w:rsidR="0042378C" w:rsidRPr="000048AB" w:rsidRDefault="00627046" w:rsidP="000048AB">
      <w:pPr>
        <w:spacing w:before="120" w:line="276" w:lineRule="auto"/>
        <w:rPr>
          <w:sz w:val="17"/>
          <w:szCs w:val="17"/>
        </w:rPr>
      </w:pPr>
      <w:r>
        <w:rPr>
          <w:sz w:val="17"/>
          <w:szCs w:val="17"/>
        </w:rPr>
        <w:t>R</w:t>
      </w:r>
      <w:r w:rsidR="0042378C">
        <w:rPr>
          <w:sz w:val="17"/>
          <w:szCs w:val="17"/>
        </w:rPr>
        <w:t>espondents</w:t>
      </w:r>
      <w:r w:rsidR="0042378C" w:rsidRPr="00D90E6C">
        <w:rPr>
          <w:sz w:val="17"/>
          <w:szCs w:val="17"/>
        </w:rPr>
        <w:t xml:space="preserve"> can select which questions </w:t>
      </w:r>
      <w:r w:rsidR="0042378C">
        <w:rPr>
          <w:sz w:val="17"/>
          <w:szCs w:val="17"/>
        </w:rPr>
        <w:t>they</w:t>
      </w:r>
      <w:r w:rsidR="0042378C" w:rsidRPr="00D90E6C">
        <w:rPr>
          <w:sz w:val="17"/>
          <w:szCs w:val="17"/>
        </w:rPr>
        <w:t xml:space="preserve"> want to answer and skip the other questions in each part. </w:t>
      </w:r>
      <w:r w:rsidR="0042378C">
        <w:rPr>
          <w:sz w:val="17"/>
          <w:szCs w:val="17"/>
        </w:rPr>
        <w:t xml:space="preserve">Please note that all comments included under Parts 2 and 3 </w:t>
      </w:r>
      <w:r w:rsidR="0042378C" w:rsidRPr="001C26D6">
        <w:rPr>
          <w:sz w:val="17"/>
          <w:szCs w:val="17"/>
          <w:u w:val="single"/>
        </w:rPr>
        <w:t>must be under 300 words</w:t>
      </w:r>
      <w:r w:rsidR="0042378C">
        <w:rPr>
          <w:sz w:val="17"/>
          <w:szCs w:val="17"/>
        </w:rPr>
        <w:t xml:space="preserve">. </w:t>
      </w:r>
    </w:p>
    <w:p w14:paraId="6C62F4A5" w14:textId="77777777" w:rsidR="00571504" w:rsidRDefault="00571504" w:rsidP="005F5CCF">
      <w:pPr>
        <w:rPr>
          <w:color w:val="1F497D" w:themeColor="text2"/>
        </w:rPr>
      </w:pPr>
    </w:p>
    <w:p w14:paraId="43C93B20" w14:textId="47700FD7" w:rsidR="0016089A" w:rsidRPr="00D45FBE" w:rsidRDefault="00D45FBE" w:rsidP="005F5CCF">
      <w:pPr>
        <w:rPr>
          <w:b/>
          <w:color w:val="1F497D" w:themeColor="text2"/>
        </w:rPr>
      </w:pPr>
      <w:r>
        <w:rPr>
          <w:color w:val="1F497D" w:themeColor="text2"/>
        </w:rPr>
        <w:t>Input requested</w:t>
      </w:r>
    </w:p>
    <w:p w14:paraId="38D9C586" w14:textId="4361253F" w:rsidR="000C6961" w:rsidRDefault="002724F6" w:rsidP="00B25D97">
      <w:pPr>
        <w:spacing w:before="120" w:line="276" w:lineRule="auto"/>
        <w:rPr>
          <w:sz w:val="17"/>
          <w:szCs w:val="17"/>
        </w:rPr>
      </w:pPr>
      <w:r>
        <w:rPr>
          <w:sz w:val="17"/>
          <w:szCs w:val="17"/>
        </w:rPr>
        <w:t xml:space="preserve">Members are </w:t>
      </w:r>
      <w:r w:rsidR="00E26E24">
        <w:rPr>
          <w:sz w:val="17"/>
          <w:szCs w:val="17"/>
        </w:rPr>
        <w:t xml:space="preserve">kindly </w:t>
      </w:r>
      <w:r>
        <w:rPr>
          <w:sz w:val="17"/>
          <w:szCs w:val="17"/>
        </w:rPr>
        <w:t xml:space="preserve">invited to </w:t>
      </w:r>
      <w:r w:rsidR="00D25E28">
        <w:rPr>
          <w:sz w:val="17"/>
          <w:szCs w:val="17"/>
        </w:rPr>
        <w:t>review</w:t>
      </w:r>
      <w:r w:rsidR="00C4068E">
        <w:rPr>
          <w:sz w:val="17"/>
          <w:szCs w:val="17"/>
        </w:rPr>
        <w:t xml:space="preserve"> the draft </w:t>
      </w:r>
      <w:r w:rsidR="00551719">
        <w:rPr>
          <w:sz w:val="17"/>
          <w:szCs w:val="17"/>
        </w:rPr>
        <w:t>responses</w:t>
      </w:r>
      <w:r w:rsidR="00C4068E">
        <w:rPr>
          <w:sz w:val="17"/>
          <w:szCs w:val="17"/>
        </w:rPr>
        <w:t xml:space="preserve"> below and </w:t>
      </w:r>
      <w:r w:rsidR="00E26E24">
        <w:rPr>
          <w:sz w:val="17"/>
          <w:szCs w:val="17"/>
        </w:rPr>
        <w:t>share</w:t>
      </w:r>
      <w:r w:rsidR="00C4068E">
        <w:rPr>
          <w:sz w:val="17"/>
          <w:szCs w:val="17"/>
        </w:rPr>
        <w:t xml:space="preserve"> any </w:t>
      </w:r>
      <w:r w:rsidR="006C30F6">
        <w:rPr>
          <w:sz w:val="17"/>
          <w:szCs w:val="17"/>
        </w:rPr>
        <w:t>comments or</w:t>
      </w:r>
      <w:r w:rsidR="00496C55">
        <w:rPr>
          <w:sz w:val="17"/>
          <w:szCs w:val="17"/>
        </w:rPr>
        <w:t xml:space="preserve"> </w:t>
      </w:r>
      <w:r w:rsidR="00C4068E">
        <w:rPr>
          <w:sz w:val="17"/>
          <w:szCs w:val="17"/>
        </w:rPr>
        <w:t xml:space="preserve">additional input </w:t>
      </w:r>
      <w:r w:rsidR="00496C55" w:rsidRPr="00496C55">
        <w:rPr>
          <w:b/>
          <w:bCs/>
          <w:sz w:val="17"/>
          <w:szCs w:val="17"/>
        </w:rPr>
        <w:t>by Friday</w:t>
      </w:r>
      <w:r w:rsidR="006C30F6">
        <w:rPr>
          <w:b/>
          <w:bCs/>
          <w:sz w:val="17"/>
          <w:szCs w:val="17"/>
        </w:rPr>
        <w:t>,</w:t>
      </w:r>
      <w:r w:rsidR="00496C55" w:rsidRPr="00496C55">
        <w:rPr>
          <w:b/>
          <w:bCs/>
          <w:sz w:val="17"/>
          <w:szCs w:val="17"/>
        </w:rPr>
        <w:t xml:space="preserve"> 2</w:t>
      </w:r>
      <w:r w:rsidR="008030B0">
        <w:rPr>
          <w:b/>
          <w:bCs/>
          <w:sz w:val="17"/>
          <w:szCs w:val="17"/>
        </w:rPr>
        <w:t>2</w:t>
      </w:r>
      <w:r w:rsidR="00496C55" w:rsidRPr="00496C55">
        <w:rPr>
          <w:b/>
          <w:bCs/>
          <w:sz w:val="17"/>
          <w:szCs w:val="17"/>
        </w:rPr>
        <w:t xml:space="preserve"> August</w:t>
      </w:r>
      <w:r w:rsidR="00760AAB">
        <w:rPr>
          <w:b/>
          <w:bCs/>
          <w:sz w:val="17"/>
          <w:szCs w:val="17"/>
        </w:rPr>
        <w:t xml:space="preserve"> COB</w:t>
      </w:r>
      <w:r w:rsidR="00496C55">
        <w:rPr>
          <w:sz w:val="17"/>
          <w:szCs w:val="17"/>
        </w:rPr>
        <w:t>.</w:t>
      </w:r>
      <w:r w:rsidR="00C4068E">
        <w:rPr>
          <w:sz w:val="17"/>
          <w:szCs w:val="17"/>
        </w:rPr>
        <w:t xml:space="preserve"> </w:t>
      </w:r>
    </w:p>
    <w:p w14:paraId="49B47FCE" w14:textId="60142935" w:rsidR="00D73848" w:rsidRDefault="004F1556" w:rsidP="00B25D97">
      <w:pPr>
        <w:spacing w:before="120" w:line="276" w:lineRule="auto"/>
        <w:rPr>
          <w:sz w:val="17"/>
          <w:szCs w:val="17"/>
        </w:rPr>
      </w:pPr>
      <w:r>
        <w:rPr>
          <w:sz w:val="17"/>
          <w:szCs w:val="17"/>
        </w:rPr>
        <w:t xml:space="preserve">The </w:t>
      </w:r>
      <w:r w:rsidR="001F2722">
        <w:rPr>
          <w:sz w:val="17"/>
          <w:szCs w:val="17"/>
        </w:rPr>
        <w:t xml:space="preserve">timeline for </w:t>
      </w:r>
      <w:r w:rsidR="00907DE5">
        <w:rPr>
          <w:sz w:val="17"/>
          <w:szCs w:val="17"/>
        </w:rPr>
        <w:t>developing the Insurance Europe response to EFRAG’s consultation is as follows:</w:t>
      </w:r>
    </w:p>
    <w:p w14:paraId="19AC229A" w14:textId="7FFE49FD" w:rsidR="00DF14FE" w:rsidRDefault="00DF14FE" w:rsidP="00907DE5">
      <w:pPr>
        <w:pStyle w:val="IEBullet-Level1"/>
      </w:pPr>
      <w:r>
        <w:t xml:space="preserve">11 August: </w:t>
      </w:r>
      <w:r w:rsidR="009D3D93">
        <w:t>First draft response shared for comments</w:t>
      </w:r>
    </w:p>
    <w:p w14:paraId="4A85E0DB" w14:textId="7BBAC167" w:rsidR="00907DE5" w:rsidRDefault="00C611BC" w:rsidP="0051703F">
      <w:pPr>
        <w:pStyle w:val="IEBullet-Level2"/>
      </w:pPr>
      <w:r>
        <w:t xml:space="preserve">11 August </w:t>
      </w:r>
      <w:r w:rsidR="00DF14FE">
        <w:t>–</w:t>
      </w:r>
      <w:r>
        <w:t xml:space="preserve"> </w:t>
      </w:r>
      <w:r w:rsidR="00DF14FE">
        <w:t>2</w:t>
      </w:r>
      <w:r w:rsidR="008030B0">
        <w:t>2</w:t>
      </w:r>
      <w:r w:rsidR="00DF14FE">
        <w:t xml:space="preserve"> August: </w:t>
      </w:r>
      <w:r w:rsidR="001341F6">
        <w:t>Member’s first comment period</w:t>
      </w:r>
    </w:p>
    <w:p w14:paraId="28B39AE6" w14:textId="7E73B332" w:rsidR="00706263" w:rsidRDefault="007118AA" w:rsidP="00907DE5">
      <w:pPr>
        <w:pStyle w:val="IEBullet-Level1"/>
      </w:pPr>
      <w:r>
        <w:t>29 August: Second draft response shared for comments</w:t>
      </w:r>
    </w:p>
    <w:p w14:paraId="3E443BC7" w14:textId="3C2DE336" w:rsidR="00706263" w:rsidRDefault="003D4435" w:rsidP="0051703F">
      <w:pPr>
        <w:pStyle w:val="IEBullet-Level2"/>
      </w:pPr>
      <w:r>
        <w:t>29</w:t>
      </w:r>
      <w:r w:rsidR="00BD01BB">
        <w:t xml:space="preserve"> </w:t>
      </w:r>
      <w:r>
        <w:t>August</w:t>
      </w:r>
      <w:r w:rsidR="00BD01BB">
        <w:t xml:space="preserve"> – 1</w:t>
      </w:r>
      <w:r w:rsidR="0054784F">
        <w:t>2</w:t>
      </w:r>
      <w:r w:rsidR="00BD01BB">
        <w:t xml:space="preserve"> September: Member’s second comment period</w:t>
      </w:r>
    </w:p>
    <w:p w14:paraId="152AE7CE" w14:textId="43C52D73" w:rsidR="00706263" w:rsidRDefault="00BD01BB" w:rsidP="00907DE5">
      <w:pPr>
        <w:pStyle w:val="IEBullet-Level1"/>
      </w:pPr>
      <w:r>
        <w:t>4 September: Dedicated CRISFIN call to discuss feedback</w:t>
      </w:r>
      <w:r w:rsidR="001B1DE5">
        <w:t xml:space="preserve"> </w:t>
      </w:r>
      <w:r w:rsidR="001B1DE5">
        <w:rPr>
          <w:szCs w:val="17"/>
        </w:rPr>
        <w:t xml:space="preserve">[link </w:t>
      </w:r>
      <w:hyperlink r:id="rId14" w:history="1">
        <w:r w:rsidR="001B1DE5" w:rsidRPr="0021488B">
          <w:rPr>
            <w:rStyle w:val="Hypertextovprepojenie"/>
            <w:szCs w:val="17"/>
          </w:rPr>
          <w:t>here</w:t>
        </w:r>
      </w:hyperlink>
      <w:r w:rsidR="001B1DE5">
        <w:rPr>
          <w:szCs w:val="17"/>
        </w:rPr>
        <w:t>]</w:t>
      </w:r>
      <w:r w:rsidR="001B1DE5" w:rsidRPr="003B0E16">
        <w:rPr>
          <w:szCs w:val="17"/>
        </w:rPr>
        <w:t>.</w:t>
      </w:r>
    </w:p>
    <w:p w14:paraId="63131756" w14:textId="1522CA1F" w:rsidR="00706263" w:rsidRDefault="00BD01BB" w:rsidP="00706263">
      <w:pPr>
        <w:pStyle w:val="IEBullet-Level1"/>
      </w:pPr>
      <w:r>
        <w:t>9 Sept</w:t>
      </w:r>
      <w:r w:rsidR="00983998">
        <w:t>e</w:t>
      </w:r>
      <w:r>
        <w:t xml:space="preserve">mber: CRISFIN meeting to discuss </w:t>
      </w:r>
      <w:r w:rsidR="005B264E">
        <w:t>feedback</w:t>
      </w:r>
    </w:p>
    <w:p w14:paraId="0B0F5771" w14:textId="567D0682" w:rsidR="002026FB" w:rsidRDefault="002026FB" w:rsidP="00706263">
      <w:pPr>
        <w:pStyle w:val="IEBullet-Level1"/>
      </w:pPr>
      <w:r>
        <w:t xml:space="preserve">18 September: </w:t>
      </w:r>
      <w:r w:rsidR="00FD7182">
        <w:t>Insurance Europe secretariat meeting with DG FISMA</w:t>
      </w:r>
    </w:p>
    <w:p w14:paraId="5D8C80BC" w14:textId="4267F396" w:rsidR="00706263" w:rsidRDefault="00983998" w:rsidP="00706263">
      <w:pPr>
        <w:pStyle w:val="IEBullet-Level1"/>
      </w:pPr>
      <w:r>
        <w:t>19 September: Third draft response shared for comments</w:t>
      </w:r>
    </w:p>
    <w:p w14:paraId="3368EA72" w14:textId="794DC1EF" w:rsidR="00983998" w:rsidRDefault="001B1DE5" w:rsidP="00834D7E">
      <w:pPr>
        <w:pStyle w:val="IEBullet-Level2"/>
      </w:pPr>
      <w:r>
        <w:t>19 September – 24 September: Member’s third comment period</w:t>
      </w:r>
    </w:p>
    <w:p w14:paraId="6102B710" w14:textId="22DA9990" w:rsidR="001B1DE5" w:rsidRDefault="001B1DE5" w:rsidP="00706263">
      <w:pPr>
        <w:pStyle w:val="IEBullet-Level1"/>
      </w:pPr>
      <w:r>
        <w:t>2</w:t>
      </w:r>
      <w:r w:rsidR="007B3AD3">
        <w:t>6</w:t>
      </w:r>
      <w:r>
        <w:t xml:space="preserve"> September: Final response shared for fatal flaw review</w:t>
      </w:r>
    </w:p>
    <w:p w14:paraId="1C7CB113" w14:textId="257ED995" w:rsidR="00706263" w:rsidRPr="00706263" w:rsidRDefault="00706263" w:rsidP="00706263">
      <w:pPr>
        <w:pStyle w:val="IEBullet-Level1"/>
      </w:pPr>
      <w:r w:rsidRPr="00706263">
        <w:t>29 September: IE submits response t</w:t>
      </w:r>
      <w:r w:rsidRPr="00834D7E">
        <w:t>o E</w:t>
      </w:r>
      <w:r>
        <w:t>FRAG</w:t>
      </w:r>
    </w:p>
    <w:p w14:paraId="2D1FA675" w14:textId="77777777" w:rsidR="00706263" w:rsidRPr="00706263" w:rsidRDefault="00706263" w:rsidP="00834D7E">
      <w:pPr>
        <w:pStyle w:val="IEBullet-Level1"/>
        <w:numPr>
          <w:ilvl w:val="0"/>
          <w:numId w:val="0"/>
        </w:numPr>
        <w:ind w:left="720" w:hanging="360"/>
      </w:pPr>
    </w:p>
    <w:p w14:paraId="6EEDF70F" w14:textId="6C6465AB" w:rsidR="000C6961" w:rsidRPr="003B0E16" w:rsidRDefault="003B0E16" w:rsidP="00B25D97">
      <w:pPr>
        <w:spacing w:before="120" w:line="276" w:lineRule="auto"/>
        <w:rPr>
          <w:sz w:val="17"/>
          <w:szCs w:val="17"/>
        </w:rPr>
      </w:pPr>
      <w:r w:rsidRPr="003B0E16">
        <w:rPr>
          <w:sz w:val="17"/>
          <w:szCs w:val="17"/>
        </w:rPr>
        <w:t>Additionally, Insurance Europe is scheduled to meet with DG FISMA on Thursday, 18 September, providing an opportunity to share our initial input on the consultation.</w:t>
      </w:r>
    </w:p>
    <w:p w14:paraId="1E7BB3CA" w14:textId="73994321" w:rsidR="00B25D97" w:rsidRDefault="00180913" w:rsidP="00B25D97">
      <w:pPr>
        <w:spacing w:before="120" w:line="276" w:lineRule="auto"/>
        <w:rPr>
          <w:sz w:val="17"/>
          <w:szCs w:val="17"/>
        </w:rPr>
      </w:pPr>
      <w:r>
        <w:rPr>
          <w:sz w:val="17"/>
          <w:szCs w:val="17"/>
        </w:rPr>
        <w:t>When</w:t>
      </w:r>
      <w:r w:rsidR="00377A39">
        <w:rPr>
          <w:sz w:val="17"/>
          <w:szCs w:val="17"/>
        </w:rPr>
        <w:t xml:space="preserve"> </w:t>
      </w:r>
      <w:r w:rsidR="00DD61D3">
        <w:rPr>
          <w:sz w:val="17"/>
          <w:szCs w:val="17"/>
        </w:rPr>
        <w:t>commenting</w:t>
      </w:r>
      <w:r w:rsidR="00DE6779">
        <w:rPr>
          <w:sz w:val="17"/>
          <w:szCs w:val="17"/>
        </w:rPr>
        <w:t xml:space="preserve"> on</w:t>
      </w:r>
      <w:r w:rsidR="00DD61D3">
        <w:rPr>
          <w:sz w:val="17"/>
          <w:szCs w:val="17"/>
        </w:rPr>
        <w:t xml:space="preserve"> the draft responses</w:t>
      </w:r>
      <w:r w:rsidR="00377A39">
        <w:rPr>
          <w:sz w:val="17"/>
          <w:szCs w:val="17"/>
        </w:rPr>
        <w:t xml:space="preserve">, please note </w:t>
      </w:r>
      <w:r>
        <w:rPr>
          <w:sz w:val="17"/>
          <w:szCs w:val="17"/>
        </w:rPr>
        <w:t>the following</w:t>
      </w:r>
      <w:r w:rsidR="00377A39">
        <w:rPr>
          <w:sz w:val="17"/>
          <w:szCs w:val="17"/>
        </w:rPr>
        <w:t>:</w:t>
      </w:r>
    </w:p>
    <w:p w14:paraId="683EBD09" w14:textId="00AF0F68" w:rsidR="008D63CD" w:rsidRDefault="008D63CD" w:rsidP="00377A39">
      <w:pPr>
        <w:pStyle w:val="IEBullet-Level1"/>
        <w:spacing w:before="120"/>
        <w:ind w:left="714" w:hanging="357"/>
      </w:pPr>
      <w:r>
        <w:t>Part 2</w:t>
      </w:r>
      <w:r w:rsidRPr="008D63CD">
        <w:t>—</w:t>
      </w:r>
      <w:r w:rsidR="00180913">
        <w:t>T</w:t>
      </w:r>
      <w:r w:rsidRPr="008D63CD">
        <w:t xml:space="preserve">he Secretariat has </w:t>
      </w:r>
      <w:r w:rsidR="00180913">
        <w:t>prepared draft</w:t>
      </w:r>
      <w:r w:rsidRPr="008D63CD">
        <w:t xml:space="preserve"> responses to the 23 targeted questions</w:t>
      </w:r>
      <w:r w:rsidR="00180913">
        <w:t>.</w:t>
      </w:r>
      <w:r>
        <w:t xml:space="preserve"> </w:t>
      </w:r>
      <w:r w:rsidR="00180913">
        <w:t>M</w:t>
      </w:r>
      <w:r>
        <w:t>embers are invited to comment</w:t>
      </w:r>
      <w:r w:rsidR="00180913">
        <w:t xml:space="preserve"> on these drafts and include any additional input</w:t>
      </w:r>
      <w:r w:rsidRPr="008D63CD">
        <w:t xml:space="preserve">. </w:t>
      </w:r>
    </w:p>
    <w:p w14:paraId="2FBEE6CA" w14:textId="783F5E6F" w:rsidR="009A2445" w:rsidRPr="00B13E3C" w:rsidRDefault="008D63CD" w:rsidP="00B13E3C">
      <w:pPr>
        <w:pStyle w:val="IEBullet-Level1"/>
        <w:rPr>
          <w:color w:val="1F497D" w:themeColor="text2"/>
        </w:rPr>
      </w:pPr>
      <w:r w:rsidRPr="008D63CD">
        <w:t>Part 3—</w:t>
      </w:r>
      <w:r w:rsidR="00871C64">
        <w:t xml:space="preserve">the Secretariat has </w:t>
      </w:r>
      <w:r w:rsidR="00120D00">
        <w:t>pre-</w:t>
      </w:r>
      <w:r w:rsidR="00871C64">
        <w:t xml:space="preserve">filled the table with the datapoints </w:t>
      </w:r>
      <w:r w:rsidR="00120D00">
        <w:t>from</w:t>
      </w:r>
      <w:r w:rsidR="00871C64">
        <w:t xml:space="preserve"> </w:t>
      </w:r>
      <w:r w:rsidR="0029392B">
        <w:t>our</w:t>
      </w:r>
      <w:r w:rsidR="00871C64">
        <w:t xml:space="preserve"> first contribution to EFRAG </w:t>
      </w:r>
      <w:r w:rsidR="00B61BA6">
        <w:rPr>
          <w:rFonts w:cs="Arial"/>
          <w:szCs w:val="17"/>
        </w:rPr>
        <w:t>(</w:t>
      </w:r>
      <w:hyperlink r:id="rId15" w:history="1">
        <w:r w:rsidR="00B61BA6" w:rsidRPr="00FA3CF0">
          <w:rPr>
            <w:rStyle w:val="Hypertextovprepojenie"/>
            <w:rFonts w:cs="Arial"/>
            <w:szCs w:val="17"/>
          </w:rPr>
          <w:t>ECO-CRISF-25-128</w:t>
        </w:r>
      </w:hyperlink>
      <w:r w:rsidR="00B61BA6">
        <w:rPr>
          <w:rFonts w:cs="Arial"/>
          <w:szCs w:val="17"/>
        </w:rPr>
        <w:t>)</w:t>
      </w:r>
      <w:r w:rsidR="001C0A5A">
        <w:t xml:space="preserve">. </w:t>
      </w:r>
      <w:r w:rsidR="006D47BF">
        <w:t>Members are invited to review the datapoints included by the Secretariat and suggest any additional input.</w:t>
      </w:r>
    </w:p>
    <w:p w14:paraId="300EE8D1" w14:textId="3CC8027D" w:rsidR="00F3650D" w:rsidRDefault="00F3650D">
      <w:pPr>
        <w:spacing w:after="200" w:line="276" w:lineRule="auto"/>
        <w:jc w:val="left"/>
        <w:rPr>
          <w:color w:val="1F497D" w:themeColor="text2"/>
        </w:rPr>
      </w:pPr>
    </w:p>
    <w:p w14:paraId="49DEA3CC" w14:textId="19460F1F" w:rsidR="00D45FBE" w:rsidRPr="00D45FBE" w:rsidRDefault="00D45FBE" w:rsidP="005F5CCF">
      <w:pPr>
        <w:rPr>
          <w:b/>
          <w:color w:val="1F497D" w:themeColor="text2"/>
        </w:rPr>
      </w:pPr>
      <w:r>
        <w:rPr>
          <w:color w:val="1F497D" w:themeColor="text2"/>
        </w:rPr>
        <w:t xml:space="preserve">Consultation </w:t>
      </w:r>
    </w:p>
    <w:p w14:paraId="2B2B7208" w14:textId="5C822C89" w:rsidR="00B74D1F" w:rsidRPr="0098443B" w:rsidRDefault="00B74D1F" w:rsidP="0098443B">
      <w:pPr>
        <w:spacing w:after="200" w:line="276" w:lineRule="auto"/>
        <w:rPr>
          <w:b/>
          <w:bCs/>
          <w:sz w:val="17"/>
          <w:szCs w:val="17"/>
          <w:u w:val="single"/>
        </w:rPr>
      </w:pPr>
      <w:r w:rsidRPr="00D771F6">
        <w:rPr>
          <w:b/>
          <w:bCs/>
          <w:sz w:val="17"/>
          <w:szCs w:val="17"/>
          <w:u w:val="single"/>
        </w:rPr>
        <w:t>Part 2: General Feedback</w:t>
      </w:r>
      <w:r w:rsidR="007E7588" w:rsidRPr="007E7588">
        <w:rPr>
          <w:sz w:val="17"/>
          <w:szCs w:val="17"/>
        </w:rPr>
        <w:t> </w:t>
      </w:r>
    </w:p>
    <w:tbl>
      <w:tblPr>
        <w:tblStyle w:val="Mriekatabuky"/>
        <w:tblW w:w="0" w:type="auto"/>
        <w:tblLook w:val="04A0" w:firstRow="1" w:lastRow="0" w:firstColumn="1" w:lastColumn="0" w:noHBand="0" w:noVBand="1"/>
      </w:tblPr>
      <w:tblGrid>
        <w:gridCol w:w="9572"/>
      </w:tblGrid>
      <w:tr w:rsidR="003F5DAB" w14:paraId="47194531" w14:textId="77777777" w:rsidTr="00F92E2F">
        <w:tc>
          <w:tcPr>
            <w:tcW w:w="9572" w:type="dxa"/>
            <w:shd w:val="clear" w:color="auto" w:fill="595959" w:themeFill="text1" w:themeFillTint="A6"/>
          </w:tcPr>
          <w:p w14:paraId="47EF6C44" w14:textId="5290934D" w:rsidR="003F5DAB" w:rsidRPr="00F92E2F" w:rsidRDefault="003F5DAB" w:rsidP="003F5DAB">
            <w:pPr>
              <w:spacing w:line="276" w:lineRule="auto"/>
              <w:rPr>
                <w:b/>
                <w:bCs/>
                <w:color w:val="FFFFFF" w:themeColor="background1"/>
                <w:sz w:val="17"/>
                <w:szCs w:val="17"/>
              </w:rPr>
            </w:pPr>
            <w:r w:rsidRPr="00F92E2F">
              <w:rPr>
                <w:b/>
                <w:bCs/>
                <w:color w:val="FFFFFF" w:themeColor="background1"/>
                <w:sz w:val="17"/>
                <w:szCs w:val="17"/>
              </w:rPr>
              <w:t>Question 1</w:t>
            </w:r>
            <w:r w:rsidR="005C3F4E">
              <w:rPr>
                <w:b/>
                <w:bCs/>
                <w:color w:val="FFFFFF" w:themeColor="background1"/>
                <w:sz w:val="17"/>
                <w:szCs w:val="17"/>
              </w:rPr>
              <w:t>1</w:t>
            </w:r>
            <w:r w:rsidRPr="00F92E2F">
              <w:rPr>
                <w:b/>
                <w:bCs/>
                <w:color w:val="FFFFFF" w:themeColor="background1"/>
                <w:sz w:val="17"/>
                <w:szCs w:val="17"/>
              </w:rPr>
              <w:t xml:space="preserve"> on Double Materiality Assessment (DMA)</w:t>
            </w:r>
          </w:p>
        </w:tc>
      </w:tr>
      <w:tr w:rsidR="003F5DAB" w14:paraId="69831CFA" w14:textId="77777777">
        <w:tc>
          <w:tcPr>
            <w:tcW w:w="9572" w:type="dxa"/>
          </w:tcPr>
          <w:p w14:paraId="2F464B6B" w14:textId="06349B8E" w:rsidR="003F5DAB" w:rsidRDefault="003F5DAB" w:rsidP="003F5DAB">
            <w:pPr>
              <w:spacing w:line="276" w:lineRule="auto"/>
              <w:rPr>
                <w:sz w:val="17"/>
                <w:szCs w:val="17"/>
              </w:rPr>
            </w:pPr>
            <w:r w:rsidRPr="00FF5136">
              <w:rPr>
                <w:b/>
                <w:bCs/>
                <w:sz w:val="17"/>
                <w:szCs w:val="17"/>
              </w:rPr>
              <w:t>Summary of changes</w:t>
            </w:r>
            <w:r>
              <w:rPr>
                <w:sz w:val="17"/>
                <w:szCs w:val="17"/>
              </w:rPr>
              <w:t xml:space="preserve">: </w:t>
            </w:r>
          </w:p>
          <w:p w14:paraId="2B698E2E" w14:textId="1576283E" w:rsidR="00F21217" w:rsidRPr="00F21217" w:rsidRDefault="00F21217" w:rsidP="00A14BA6">
            <w:pPr>
              <w:numPr>
                <w:ilvl w:val="0"/>
                <w:numId w:val="4"/>
              </w:numPr>
              <w:spacing w:before="120" w:line="276" w:lineRule="auto"/>
              <w:rPr>
                <w:sz w:val="17"/>
                <w:szCs w:val="17"/>
              </w:rPr>
            </w:pPr>
            <w:r w:rsidRPr="00F21217">
              <w:rPr>
                <w:sz w:val="17"/>
                <w:szCs w:val="17"/>
              </w:rPr>
              <w:t>A new section presenting practical considerations for the DMA has been drafted, including the option of implementing either a bottom-up or top-down approach (Chapter 3.</w:t>
            </w:r>
            <w:r w:rsidR="00424707">
              <w:rPr>
                <w:sz w:val="17"/>
                <w:szCs w:val="17"/>
              </w:rPr>
              <w:t>3</w:t>
            </w:r>
            <w:r w:rsidRPr="00F21217">
              <w:rPr>
                <w:sz w:val="17"/>
                <w:szCs w:val="17"/>
              </w:rPr>
              <w:t xml:space="preserve"> of ESRS 1)</w:t>
            </w:r>
            <w:r w:rsidR="00AA090E">
              <w:rPr>
                <w:sz w:val="17"/>
                <w:szCs w:val="17"/>
              </w:rPr>
              <w:t>.</w:t>
            </w:r>
          </w:p>
          <w:p w14:paraId="0B8033E2" w14:textId="26A86ABF" w:rsidR="00F21217" w:rsidRPr="00F21217" w:rsidRDefault="00F21217" w:rsidP="00A14BA6">
            <w:pPr>
              <w:numPr>
                <w:ilvl w:val="0"/>
                <w:numId w:val="4"/>
              </w:numPr>
              <w:spacing w:line="276" w:lineRule="auto"/>
              <w:rPr>
                <w:sz w:val="17"/>
                <w:szCs w:val="17"/>
              </w:rPr>
            </w:pPr>
            <w:r w:rsidRPr="00F21217">
              <w:rPr>
                <w:sz w:val="17"/>
                <w:szCs w:val="17"/>
              </w:rPr>
              <w:t xml:space="preserve">More prominence has been given to materiality of information as a general filter </w:t>
            </w:r>
            <w:r w:rsidR="000831AB">
              <w:rPr>
                <w:sz w:val="17"/>
                <w:szCs w:val="17"/>
              </w:rPr>
              <w:t>(ESRS 1</w:t>
            </w:r>
            <w:r w:rsidR="00CB43A7">
              <w:rPr>
                <w:sz w:val="17"/>
                <w:szCs w:val="17"/>
              </w:rPr>
              <w:t xml:space="preserve"> Chap. 3.1)</w:t>
            </w:r>
            <w:r w:rsidRPr="00F21217">
              <w:rPr>
                <w:sz w:val="17"/>
                <w:szCs w:val="17"/>
              </w:rPr>
              <w:t>.</w:t>
            </w:r>
          </w:p>
          <w:p w14:paraId="50532F48" w14:textId="4FC5B755" w:rsidR="00F21217" w:rsidRPr="00F21217" w:rsidRDefault="00F21217" w:rsidP="00A14BA6">
            <w:pPr>
              <w:numPr>
                <w:ilvl w:val="0"/>
                <w:numId w:val="4"/>
              </w:numPr>
              <w:spacing w:line="276" w:lineRule="auto"/>
              <w:rPr>
                <w:sz w:val="17"/>
                <w:szCs w:val="17"/>
              </w:rPr>
            </w:pPr>
            <w:r w:rsidRPr="00F21217">
              <w:rPr>
                <w:sz w:val="17"/>
                <w:szCs w:val="17"/>
              </w:rPr>
              <w:t>The relationship of impacts, risks and opportunities</w:t>
            </w:r>
            <w:r w:rsidR="00031239">
              <w:rPr>
                <w:sz w:val="17"/>
                <w:szCs w:val="17"/>
              </w:rPr>
              <w:t xml:space="preserve"> (IRO)</w:t>
            </w:r>
            <w:r w:rsidRPr="00F21217">
              <w:rPr>
                <w:sz w:val="17"/>
                <w:szCs w:val="17"/>
              </w:rPr>
              <w:t>, and topics to be reported has been clarified (ESRS 1, paragraph 2 and 22)</w:t>
            </w:r>
            <w:r w:rsidR="00AA090E">
              <w:rPr>
                <w:sz w:val="17"/>
                <w:szCs w:val="17"/>
              </w:rPr>
              <w:t>.</w:t>
            </w:r>
          </w:p>
          <w:p w14:paraId="2249B041" w14:textId="503BBA87" w:rsidR="00F21217" w:rsidRPr="00F21217" w:rsidRDefault="00F21217" w:rsidP="00A14BA6">
            <w:pPr>
              <w:numPr>
                <w:ilvl w:val="0"/>
                <w:numId w:val="4"/>
              </w:numPr>
              <w:spacing w:line="276" w:lineRule="auto"/>
              <w:rPr>
                <w:sz w:val="17"/>
                <w:szCs w:val="17"/>
              </w:rPr>
            </w:pPr>
            <w:r w:rsidRPr="00F21217">
              <w:rPr>
                <w:sz w:val="17"/>
                <w:szCs w:val="17"/>
              </w:rPr>
              <w:t>It has been explicitly allowed to include information about non-material topics (ESRS 1, paragraph 108) if they are presented in a way that avoids obscuring material information</w:t>
            </w:r>
            <w:r w:rsidR="00AA090E">
              <w:rPr>
                <w:sz w:val="17"/>
                <w:szCs w:val="17"/>
              </w:rPr>
              <w:t>.</w:t>
            </w:r>
          </w:p>
          <w:p w14:paraId="7FFB71F2" w14:textId="005C2509" w:rsidR="00F21217" w:rsidRPr="00F21217" w:rsidRDefault="00F21217" w:rsidP="00A14BA6">
            <w:pPr>
              <w:numPr>
                <w:ilvl w:val="0"/>
                <w:numId w:val="4"/>
              </w:numPr>
              <w:spacing w:line="276" w:lineRule="auto"/>
              <w:rPr>
                <w:sz w:val="17"/>
                <w:szCs w:val="17"/>
              </w:rPr>
            </w:pPr>
            <w:r w:rsidRPr="00F21217">
              <w:rPr>
                <w:sz w:val="17"/>
                <w:szCs w:val="17"/>
              </w:rPr>
              <w:t>Emphasis is put on ESRS being a fair presentation framework, to reinforce the effectiveness of the materiality principle and avoid excessive documentation effort due to a compliance and checklist approach to the list of datapoints (DP); an explicit statement of compliance with ESRS is included in ESRS 1, Chapter 2</w:t>
            </w:r>
            <w:r w:rsidR="00031239">
              <w:rPr>
                <w:sz w:val="17"/>
                <w:szCs w:val="17"/>
              </w:rPr>
              <w:t>.</w:t>
            </w:r>
          </w:p>
          <w:p w14:paraId="6C4F43ED" w14:textId="43D0A522" w:rsidR="00F21217" w:rsidRPr="00F21217" w:rsidRDefault="00F21217" w:rsidP="00A14BA6">
            <w:pPr>
              <w:numPr>
                <w:ilvl w:val="0"/>
                <w:numId w:val="4"/>
              </w:numPr>
              <w:spacing w:line="276" w:lineRule="auto"/>
              <w:rPr>
                <w:sz w:val="17"/>
                <w:szCs w:val="17"/>
              </w:rPr>
            </w:pPr>
            <w:r w:rsidRPr="00F21217">
              <w:rPr>
                <w:sz w:val="17"/>
                <w:szCs w:val="17"/>
              </w:rPr>
              <w:t>To avoid excessive detail in reported information, it has been clarified that all the disclosures can be produced either at topical level or at IRO level, depending on the nature of the IROs and on how they are managed</w:t>
            </w:r>
            <w:r w:rsidR="00F81222" w:rsidRPr="0044629F">
              <w:rPr>
                <w:sz w:val="17"/>
                <w:szCs w:val="17"/>
              </w:rPr>
              <w:t xml:space="preserve"> </w:t>
            </w:r>
            <w:r w:rsidR="00F81222" w:rsidRPr="00F21217">
              <w:rPr>
                <w:sz w:val="17"/>
                <w:szCs w:val="17"/>
              </w:rPr>
              <w:t>(ESRS 1, paragraph 22)</w:t>
            </w:r>
            <w:r w:rsidR="00F81222" w:rsidRPr="0044629F">
              <w:rPr>
                <w:sz w:val="17"/>
                <w:szCs w:val="17"/>
              </w:rPr>
              <w:t>.</w:t>
            </w:r>
          </w:p>
          <w:p w14:paraId="37EDD468" w14:textId="77777777" w:rsidR="00F21217" w:rsidRPr="00F21217" w:rsidRDefault="00F21217" w:rsidP="00A14BA6">
            <w:pPr>
              <w:numPr>
                <w:ilvl w:val="0"/>
                <w:numId w:val="4"/>
              </w:numPr>
              <w:spacing w:line="276" w:lineRule="auto"/>
              <w:rPr>
                <w:sz w:val="17"/>
                <w:szCs w:val="17"/>
              </w:rPr>
            </w:pPr>
            <w:r w:rsidRPr="00F21217">
              <w:rPr>
                <w:sz w:val="17"/>
                <w:szCs w:val="17"/>
              </w:rPr>
              <w:t>The list of topics in AR 16 (now Appendix A) has been streamlined by eliminating the most detailed sub-sub-topic level and has now an illustrative only and non-mandatory status.</w:t>
            </w:r>
          </w:p>
          <w:p w14:paraId="03F5562E" w14:textId="74E85032" w:rsidR="003F5DAB" w:rsidRDefault="00F21217" w:rsidP="00A14BA6">
            <w:pPr>
              <w:numPr>
                <w:ilvl w:val="0"/>
                <w:numId w:val="4"/>
              </w:numPr>
              <w:spacing w:line="276" w:lineRule="auto"/>
              <w:rPr>
                <w:sz w:val="17"/>
                <w:szCs w:val="17"/>
              </w:rPr>
            </w:pPr>
            <w:r w:rsidRPr="00F21217">
              <w:rPr>
                <w:sz w:val="17"/>
                <w:szCs w:val="17"/>
              </w:rPr>
              <w:t>More emphasis has been put on the aggregation and disaggregation criteria for reporting information at the right level</w:t>
            </w:r>
            <w:r w:rsidR="00F46248" w:rsidRPr="0029659D">
              <w:rPr>
                <w:sz w:val="17"/>
                <w:szCs w:val="17"/>
              </w:rPr>
              <w:t xml:space="preserve"> (ESRS 1 Chapter</w:t>
            </w:r>
            <w:r w:rsidR="00F46248">
              <w:rPr>
                <w:sz w:val="17"/>
                <w:szCs w:val="17"/>
              </w:rPr>
              <w:t xml:space="preserve"> 3.7)</w:t>
            </w:r>
            <w:r w:rsidRPr="00F21217">
              <w:rPr>
                <w:sz w:val="17"/>
                <w:szCs w:val="17"/>
              </w:rPr>
              <w:t xml:space="preserve">. Explanations have been provided with respect to the consideration of sites for the DMA and reported information, </w:t>
            </w:r>
            <w:r w:rsidR="00804D88" w:rsidRPr="00F21217">
              <w:rPr>
                <w:sz w:val="17"/>
                <w:szCs w:val="17"/>
              </w:rPr>
              <w:t>to</w:t>
            </w:r>
            <w:r w:rsidRPr="00F21217">
              <w:rPr>
                <w:sz w:val="17"/>
                <w:szCs w:val="17"/>
              </w:rPr>
              <w:t xml:space="preserve"> avoid long lists of sites being included in the sustainability statement.</w:t>
            </w:r>
          </w:p>
          <w:p w14:paraId="4942DD5C" w14:textId="77777777" w:rsidR="00F359F1" w:rsidRDefault="00075CAD" w:rsidP="00F359F1">
            <w:pPr>
              <w:spacing w:line="276" w:lineRule="auto"/>
              <w:rPr>
                <w:i/>
                <w:iCs/>
                <w:sz w:val="17"/>
                <w:szCs w:val="17"/>
              </w:rPr>
            </w:pPr>
            <w:r w:rsidRPr="00284FFE">
              <w:rPr>
                <w:i/>
                <w:iCs/>
                <w:sz w:val="17"/>
                <w:szCs w:val="17"/>
              </w:rPr>
              <w:t xml:space="preserve">EFRAG: </w:t>
            </w:r>
            <w:r w:rsidR="00B2651A" w:rsidRPr="00284FFE">
              <w:rPr>
                <w:i/>
                <w:iCs/>
                <w:sz w:val="17"/>
                <w:szCs w:val="17"/>
              </w:rPr>
              <w:t>Please do not comment here in “Gross versus Net” as it is covered by the next question</w:t>
            </w:r>
          </w:p>
          <w:p w14:paraId="2F80567F" w14:textId="705E53D5" w:rsidR="00C33CFB" w:rsidRPr="00F21217" w:rsidRDefault="00C33CFB" w:rsidP="00F359F1">
            <w:pPr>
              <w:spacing w:line="276" w:lineRule="auto"/>
              <w:rPr>
                <w:sz w:val="17"/>
                <w:szCs w:val="17"/>
              </w:rPr>
            </w:pPr>
          </w:p>
        </w:tc>
      </w:tr>
      <w:tr w:rsidR="00F359F1" w14:paraId="7890FD22" w14:textId="77777777">
        <w:tc>
          <w:tcPr>
            <w:tcW w:w="9572" w:type="dxa"/>
          </w:tcPr>
          <w:p w14:paraId="5C113B6D" w14:textId="77777777" w:rsidR="00750CDC" w:rsidRDefault="00F359F1" w:rsidP="003F5DAB">
            <w:pPr>
              <w:spacing w:line="276" w:lineRule="auto"/>
              <w:rPr>
                <w:sz w:val="17"/>
                <w:szCs w:val="17"/>
              </w:rPr>
            </w:pPr>
            <w:r w:rsidRPr="00FF5136">
              <w:rPr>
                <w:b/>
                <w:bCs/>
                <w:sz w:val="17"/>
                <w:szCs w:val="17"/>
              </w:rPr>
              <w:t>Question</w:t>
            </w:r>
            <w:r>
              <w:rPr>
                <w:sz w:val="17"/>
                <w:szCs w:val="17"/>
              </w:rPr>
              <w:t xml:space="preserve">: </w:t>
            </w:r>
          </w:p>
          <w:p w14:paraId="7427B93B" w14:textId="77777777" w:rsidR="00F359F1" w:rsidRDefault="00750CDC" w:rsidP="003F5DAB">
            <w:pPr>
              <w:spacing w:line="276" w:lineRule="auto"/>
              <w:rPr>
                <w:sz w:val="17"/>
                <w:szCs w:val="17"/>
              </w:rPr>
            </w:pPr>
            <w:r w:rsidRPr="00750CDC">
              <w:rPr>
                <w:sz w:val="17"/>
                <w:szCs w:val="17"/>
              </w:rPr>
              <w:t>Do you agree that the proposed amendments have sufficiently simplified the DMA process, reinforced the information materiality filter and have succeeded in striking an acceptable balance between simplification and robustness of the DMA? Do you agree that the wording of Chapter 3 of ESRS 1 is sufficiently simplified?</w:t>
            </w:r>
          </w:p>
          <w:p w14:paraId="335B8C30" w14:textId="3DD90E35" w:rsidR="00FF5136" w:rsidRDefault="00FF5136" w:rsidP="003F5DAB">
            <w:pPr>
              <w:spacing w:line="276" w:lineRule="auto"/>
              <w:rPr>
                <w:sz w:val="17"/>
                <w:szCs w:val="17"/>
              </w:rPr>
            </w:pPr>
            <w:r>
              <w:rPr>
                <w:sz w:val="17"/>
                <w:szCs w:val="17"/>
              </w:rPr>
              <w:t>[</w:t>
            </w:r>
            <w:r w:rsidRPr="004D1C41">
              <w:rPr>
                <w:sz w:val="17"/>
                <w:szCs w:val="17"/>
              </w:rPr>
              <w:t xml:space="preserve">agree, </w:t>
            </w:r>
            <w:r w:rsidRPr="004D1C41">
              <w:rPr>
                <w:sz w:val="17"/>
                <w:szCs w:val="17"/>
                <w:highlight w:val="yellow"/>
              </w:rPr>
              <w:t>partially agree</w:t>
            </w:r>
            <w:r w:rsidRPr="004D1C41">
              <w:rPr>
                <w:sz w:val="17"/>
                <w:szCs w:val="17"/>
              </w:rPr>
              <w:t>, disagree</w:t>
            </w:r>
            <w:r>
              <w:rPr>
                <w:sz w:val="17"/>
                <w:szCs w:val="17"/>
              </w:rPr>
              <w:t>].</w:t>
            </w:r>
          </w:p>
          <w:p w14:paraId="3EDD25BC" w14:textId="77777777" w:rsidR="00CB0C76" w:rsidRDefault="00CB0C76" w:rsidP="00CB0C76">
            <w:pPr>
              <w:spacing w:line="276" w:lineRule="auto"/>
              <w:rPr>
                <w:sz w:val="17"/>
                <w:szCs w:val="17"/>
              </w:rPr>
            </w:pPr>
            <w:r w:rsidRPr="00503D65">
              <w:rPr>
                <w:i/>
                <w:iCs/>
                <w:sz w:val="17"/>
                <w:szCs w:val="17"/>
              </w:rPr>
              <w:t>To keep the response focused and within the 300-word limit, we recommend limiting comments on the fair presentation framework here, as this will be addressed under Question</w:t>
            </w:r>
            <w:r>
              <w:rPr>
                <w:i/>
                <w:iCs/>
                <w:sz w:val="17"/>
                <w:szCs w:val="17"/>
              </w:rPr>
              <w:t xml:space="preserve"> 25</w:t>
            </w:r>
            <w:r w:rsidRPr="00CD43A9">
              <w:rPr>
                <w:sz w:val="17"/>
                <w:szCs w:val="17"/>
              </w:rPr>
              <w:t>.</w:t>
            </w:r>
          </w:p>
          <w:p w14:paraId="68870751" w14:textId="77777777" w:rsidR="00B87FA2" w:rsidRDefault="00B87FA2" w:rsidP="003F5DAB">
            <w:pPr>
              <w:spacing w:line="276" w:lineRule="auto"/>
              <w:rPr>
                <w:sz w:val="17"/>
                <w:szCs w:val="17"/>
              </w:rPr>
            </w:pPr>
          </w:p>
          <w:p w14:paraId="16CE0B2D" w14:textId="6A76E18E" w:rsidR="00B87FA2" w:rsidRDefault="007E6275" w:rsidP="003F5DAB">
            <w:pPr>
              <w:spacing w:line="276" w:lineRule="auto"/>
              <w:rPr>
                <w:sz w:val="17"/>
                <w:szCs w:val="17"/>
              </w:rPr>
            </w:pPr>
            <w:r w:rsidRPr="002B6C33">
              <w:rPr>
                <w:b/>
                <w:bCs/>
                <w:sz w:val="17"/>
                <w:szCs w:val="17"/>
              </w:rPr>
              <w:t>Insurance Europe response</w:t>
            </w:r>
            <w:r w:rsidR="00B87FA2" w:rsidRPr="002B6C33">
              <w:rPr>
                <w:sz w:val="17"/>
                <w:szCs w:val="17"/>
              </w:rPr>
              <w:t>:</w:t>
            </w:r>
          </w:p>
          <w:p w14:paraId="161ECAE5" w14:textId="4255FE84" w:rsidR="00DC6827" w:rsidRDefault="007776A2" w:rsidP="005752BD">
            <w:pPr>
              <w:spacing w:before="120"/>
              <w:ind w:left="27"/>
              <w:rPr>
                <w:rFonts w:eastAsia="Verdana" w:cs="Verdana"/>
                <w:sz w:val="17"/>
                <w:szCs w:val="17"/>
              </w:rPr>
            </w:pPr>
            <w:r w:rsidRPr="007776A2">
              <w:rPr>
                <w:sz w:val="17"/>
                <w:szCs w:val="17"/>
              </w:rPr>
              <w:t xml:space="preserve">We support the proposed amendments that simplify the DMA process and strengthen the information materiality filter. In particular, we welcome the simplification of Appendix A—such as the reduction from four to two columns and removal of sub-sub-topic levels. We also </w:t>
            </w:r>
            <w:r w:rsidRPr="007776A2">
              <w:rPr>
                <w:rFonts w:eastAsia="Verdana"/>
                <w:sz w:val="17"/>
                <w:szCs w:val="17"/>
              </w:rPr>
              <w:t xml:space="preserve">appreciate the </w:t>
            </w:r>
            <w:r w:rsidRPr="007776A2">
              <w:rPr>
                <w:sz w:val="17"/>
                <w:szCs w:val="17"/>
              </w:rPr>
              <w:t>clearer</w:t>
            </w:r>
            <w:r w:rsidRPr="007776A2">
              <w:rPr>
                <w:rFonts w:eastAsia="Verdana"/>
                <w:sz w:val="17"/>
                <w:szCs w:val="17"/>
              </w:rPr>
              <w:t xml:space="preserve"> articulation of the relationship between IROs and the corresponding reporting topics. The option to disclose either at the topical or IRO level (ESRS 1 §22) is especially </w:t>
            </w:r>
            <w:r w:rsidRPr="007776A2">
              <w:rPr>
                <w:sz w:val="17"/>
                <w:szCs w:val="17"/>
              </w:rPr>
              <w:t>positive</w:t>
            </w:r>
            <w:r w:rsidRPr="007776A2">
              <w:rPr>
                <w:rFonts w:eastAsia="Verdana"/>
                <w:sz w:val="17"/>
                <w:szCs w:val="17"/>
              </w:rPr>
              <w:t xml:space="preserve">, as it aligns with risk-based practices and </w:t>
            </w:r>
            <w:r w:rsidRPr="007776A2">
              <w:rPr>
                <w:sz w:val="17"/>
                <w:szCs w:val="17"/>
              </w:rPr>
              <w:t>allows</w:t>
            </w:r>
            <w:r w:rsidRPr="007776A2">
              <w:rPr>
                <w:rFonts w:eastAsia="Verdana"/>
                <w:sz w:val="17"/>
                <w:szCs w:val="17"/>
              </w:rPr>
              <w:t xml:space="preserve"> undertakings to reflect how material matters are managed in practice.</w:t>
            </w:r>
          </w:p>
          <w:p w14:paraId="19242A1C" w14:textId="2B5E8809" w:rsidR="00AD4C03" w:rsidRDefault="003C0367" w:rsidP="005752BD">
            <w:pPr>
              <w:spacing w:before="120" w:line="276" w:lineRule="auto"/>
              <w:rPr>
                <w:sz w:val="17"/>
                <w:szCs w:val="17"/>
              </w:rPr>
            </w:pPr>
            <w:r>
              <w:rPr>
                <w:sz w:val="17"/>
                <w:szCs w:val="17"/>
              </w:rPr>
              <w:t>I</w:t>
            </w:r>
            <w:r w:rsidRPr="00B910DD">
              <w:rPr>
                <w:sz w:val="17"/>
                <w:szCs w:val="17"/>
              </w:rPr>
              <w:t xml:space="preserve">t remains essential to clearly state the DMA’s objective upfront—that is, identifying material topics associated with IROs. While we find Section 3.5 on practical considerations largely redundant, we support retaining AR 17 on the top-down and bottom-up approaches. We also </w:t>
            </w:r>
            <w:r w:rsidR="00C476D0">
              <w:rPr>
                <w:sz w:val="17"/>
                <w:szCs w:val="17"/>
              </w:rPr>
              <w:t>call for a</w:t>
            </w:r>
            <w:r w:rsidRPr="00B910DD">
              <w:rPr>
                <w:sz w:val="17"/>
                <w:szCs w:val="17"/>
              </w:rPr>
              <w:t xml:space="preserve"> clarification of Articles 34 to 36 to reinforce the core principle of assessing impacts on a gross basis, before considering mitigation efforts</w:t>
            </w:r>
            <w:r w:rsidR="00B910DD" w:rsidRPr="00B910DD">
              <w:rPr>
                <w:sz w:val="17"/>
                <w:szCs w:val="17"/>
              </w:rPr>
              <w:t>.</w:t>
            </w:r>
          </w:p>
          <w:p w14:paraId="78DAFC4A" w14:textId="1C81931F" w:rsidR="00700CA4" w:rsidRPr="00700CA4" w:rsidRDefault="00700CA4" w:rsidP="00700CA4">
            <w:pPr>
              <w:spacing w:before="120"/>
              <w:ind w:left="27"/>
              <w:rPr>
                <w:rFonts w:eastAsia="Verdana" w:cs="Verdana"/>
                <w:sz w:val="17"/>
                <w:szCs w:val="17"/>
              </w:rPr>
            </w:pPr>
            <w:r w:rsidRPr="00D64055">
              <w:rPr>
                <w:rFonts w:eastAsia="Verdana" w:cs="Verdana"/>
                <w:sz w:val="17"/>
                <w:szCs w:val="17"/>
              </w:rPr>
              <w:t xml:space="preserve">We further recommend adapting the wording of ESRS 2 to consistently reflect </w:t>
            </w:r>
            <w:r>
              <w:rPr>
                <w:rFonts w:eastAsia="Verdana" w:cs="Verdana"/>
                <w:sz w:val="17"/>
                <w:szCs w:val="17"/>
              </w:rPr>
              <w:t>the</w:t>
            </w:r>
            <w:r w:rsidRPr="00D64055">
              <w:rPr>
                <w:rFonts w:eastAsia="Verdana" w:cs="Verdana"/>
                <w:sz w:val="17"/>
                <w:szCs w:val="17"/>
              </w:rPr>
              <w:t xml:space="preserve"> top-down approach. This should emphasi</w:t>
            </w:r>
            <w:r>
              <w:rPr>
                <w:rFonts w:eastAsia="Verdana" w:cs="Verdana"/>
                <w:sz w:val="17"/>
                <w:szCs w:val="17"/>
              </w:rPr>
              <w:t>se</w:t>
            </w:r>
            <w:r w:rsidRPr="00D64055">
              <w:rPr>
                <w:rFonts w:eastAsia="Verdana" w:cs="Verdana"/>
                <w:sz w:val="17"/>
                <w:szCs w:val="17"/>
              </w:rPr>
              <w:t xml:space="preserve"> “sustainability topics and their material IROs (or groups of them),” rather than focusing primarily on granular IROs. Section 2 should clarify that ESRS 2 uses topics as the strategic entry point, with </w:t>
            </w:r>
            <w:r w:rsidRPr="00D64055">
              <w:rPr>
                <w:rFonts w:eastAsia="Verdana" w:cs="Verdana"/>
                <w:sz w:val="17"/>
                <w:szCs w:val="17"/>
              </w:rPr>
              <w:lastRenderedPageBreak/>
              <w:t>disclosures on material IROs where relevant. This would improve coherence and practical application of the DMA process.</w:t>
            </w:r>
          </w:p>
          <w:p w14:paraId="371CE352" w14:textId="77777777" w:rsidR="00B910DD" w:rsidRDefault="00B910DD" w:rsidP="005752BD">
            <w:pPr>
              <w:spacing w:before="120" w:line="276" w:lineRule="auto"/>
              <w:rPr>
                <w:sz w:val="17"/>
                <w:szCs w:val="17"/>
              </w:rPr>
            </w:pPr>
            <w:r w:rsidRPr="00B910DD">
              <w:rPr>
                <w:sz w:val="17"/>
                <w:szCs w:val="17"/>
              </w:rPr>
              <w:t>In line with EFRAG’s objective to remove voluntary datapoints from core standards, we recommend relocating Appendix A to the Non-Mandatory Implementation Guidance (NMIG). Appendix A should be a support tool for the DMA process, not a substitute for the entity’s materiality determination.</w:t>
            </w:r>
            <w:r>
              <w:rPr>
                <w:sz w:val="17"/>
                <w:szCs w:val="17"/>
              </w:rPr>
              <w:t xml:space="preserve"> </w:t>
            </w:r>
          </w:p>
          <w:p w14:paraId="189072CE" w14:textId="4AEED387" w:rsidR="00DD458A" w:rsidRPr="00503D65" w:rsidRDefault="00B910DD" w:rsidP="005752BD">
            <w:pPr>
              <w:spacing w:before="120" w:line="276" w:lineRule="auto"/>
              <w:rPr>
                <w:sz w:val="17"/>
                <w:szCs w:val="17"/>
              </w:rPr>
            </w:pPr>
            <w:r w:rsidRPr="00B910DD">
              <w:rPr>
                <w:sz w:val="17"/>
                <w:szCs w:val="17"/>
              </w:rPr>
              <w:t>Finally, DMA-related disclosures often require technical details that may not be meaningful or relevant to users. We regret that EFRAG did not amend ESRS 2 IRO-1 to allow for less prescriptive disclosure requirements and call for further simplification in this regard.</w:t>
            </w:r>
          </w:p>
        </w:tc>
      </w:tr>
    </w:tbl>
    <w:p w14:paraId="46ECFCAD" w14:textId="77777777" w:rsidR="00BF4519" w:rsidRDefault="00BF4519" w:rsidP="005F5CCF">
      <w:pPr>
        <w:spacing w:after="200" w:line="276" w:lineRule="auto"/>
        <w:rPr>
          <w:sz w:val="17"/>
          <w:szCs w:val="17"/>
        </w:rPr>
      </w:pPr>
    </w:p>
    <w:tbl>
      <w:tblPr>
        <w:tblStyle w:val="Mriekatabuky"/>
        <w:tblW w:w="0" w:type="auto"/>
        <w:tblLook w:val="04A0" w:firstRow="1" w:lastRow="0" w:firstColumn="1" w:lastColumn="0" w:noHBand="0" w:noVBand="1"/>
      </w:tblPr>
      <w:tblGrid>
        <w:gridCol w:w="9572"/>
      </w:tblGrid>
      <w:tr w:rsidR="00824726" w14:paraId="5A1C647A" w14:textId="77777777">
        <w:tc>
          <w:tcPr>
            <w:tcW w:w="9572" w:type="dxa"/>
            <w:shd w:val="clear" w:color="auto" w:fill="595959" w:themeFill="text1" w:themeFillTint="A6"/>
          </w:tcPr>
          <w:p w14:paraId="08E5272B" w14:textId="0F6FCD5D" w:rsidR="00824726" w:rsidRPr="00F92E2F" w:rsidRDefault="00824726">
            <w:pPr>
              <w:spacing w:line="276" w:lineRule="auto"/>
              <w:rPr>
                <w:b/>
                <w:bCs/>
                <w:color w:val="FFFFFF" w:themeColor="background1"/>
                <w:sz w:val="17"/>
                <w:szCs w:val="17"/>
              </w:rPr>
            </w:pPr>
            <w:r w:rsidRPr="00F92E2F">
              <w:rPr>
                <w:b/>
                <w:bCs/>
                <w:color w:val="FFFFFF" w:themeColor="background1"/>
                <w:sz w:val="17"/>
                <w:szCs w:val="17"/>
              </w:rPr>
              <w:t xml:space="preserve">Question </w:t>
            </w:r>
            <w:r w:rsidR="005C3F4E">
              <w:rPr>
                <w:b/>
                <w:bCs/>
                <w:color w:val="FFFFFF" w:themeColor="background1"/>
                <w:sz w:val="17"/>
                <w:szCs w:val="17"/>
              </w:rPr>
              <w:t>1</w:t>
            </w:r>
            <w:r>
              <w:rPr>
                <w:b/>
                <w:bCs/>
                <w:color w:val="FFFFFF" w:themeColor="background1"/>
                <w:sz w:val="17"/>
                <w:szCs w:val="17"/>
              </w:rPr>
              <w:t>2</w:t>
            </w:r>
            <w:r w:rsidRPr="00F92E2F">
              <w:rPr>
                <w:b/>
                <w:bCs/>
                <w:color w:val="FFFFFF" w:themeColor="background1"/>
                <w:sz w:val="17"/>
                <w:szCs w:val="17"/>
              </w:rPr>
              <w:t xml:space="preserve"> on</w:t>
            </w:r>
            <w:r w:rsidR="00B4054D">
              <w:rPr>
                <w:b/>
                <w:bCs/>
                <w:color w:val="FFFFFF" w:themeColor="background1"/>
                <w:sz w:val="17"/>
                <w:szCs w:val="17"/>
              </w:rPr>
              <w:t xml:space="preserve"> n</w:t>
            </w:r>
            <w:r w:rsidR="00B4054D" w:rsidRPr="00B4054D">
              <w:rPr>
                <w:b/>
                <w:bCs/>
                <w:color w:val="FFFFFF" w:themeColor="background1"/>
                <w:sz w:val="17"/>
                <w:szCs w:val="17"/>
              </w:rPr>
              <w:t>ew guidance in ESRS 1 on how to consider remediation, mitigation and prevention actions in assessing materiality of negative impacts</w:t>
            </w:r>
          </w:p>
        </w:tc>
      </w:tr>
      <w:tr w:rsidR="00824726" w14:paraId="2D4F1843" w14:textId="77777777">
        <w:tc>
          <w:tcPr>
            <w:tcW w:w="9572" w:type="dxa"/>
          </w:tcPr>
          <w:p w14:paraId="0E477D95" w14:textId="2B403BAD" w:rsidR="00824726" w:rsidRDefault="00824726">
            <w:pPr>
              <w:spacing w:line="276" w:lineRule="auto"/>
              <w:rPr>
                <w:sz w:val="17"/>
                <w:szCs w:val="17"/>
              </w:rPr>
            </w:pPr>
            <w:r w:rsidRPr="00FF5136">
              <w:rPr>
                <w:b/>
                <w:bCs/>
                <w:sz w:val="17"/>
                <w:szCs w:val="17"/>
              </w:rPr>
              <w:t>Summary of changes</w:t>
            </w:r>
            <w:r>
              <w:rPr>
                <w:sz w:val="17"/>
                <w:szCs w:val="17"/>
              </w:rPr>
              <w:t xml:space="preserve">: </w:t>
            </w:r>
          </w:p>
          <w:p w14:paraId="46AE71C3" w14:textId="43EA4D1C" w:rsidR="00076E4C" w:rsidRPr="00F21217" w:rsidRDefault="00076E4C" w:rsidP="00047464">
            <w:pPr>
              <w:spacing w:before="120" w:after="120" w:line="276" w:lineRule="auto"/>
              <w:rPr>
                <w:sz w:val="17"/>
                <w:szCs w:val="17"/>
              </w:rPr>
            </w:pPr>
            <w:r w:rsidRPr="00076E4C">
              <w:rPr>
                <w:sz w:val="17"/>
                <w:szCs w:val="17"/>
              </w:rPr>
              <w:t xml:space="preserve">Appendix C, which has the same authority as other parts of the Standard, illustrates how to perform the assessment, i.e. before or after the actions that have been taken and have reduced the severity of the impact. The </w:t>
            </w:r>
            <w:r w:rsidRPr="00BB58B6">
              <w:rPr>
                <w:b/>
                <w:bCs/>
                <w:sz w:val="17"/>
                <w:szCs w:val="17"/>
              </w:rPr>
              <w:t>new guidance specifies how to treat actions in DMA</w:t>
            </w:r>
            <w:r w:rsidRPr="00076E4C">
              <w:rPr>
                <w:sz w:val="17"/>
                <w:szCs w:val="17"/>
              </w:rPr>
              <w:t xml:space="preserve"> </w:t>
            </w:r>
            <w:r w:rsidRPr="00947B1B">
              <w:rPr>
                <w:b/>
                <w:bCs/>
                <w:sz w:val="17"/>
                <w:szCs w:val="17"/>
              </w:rPr>
              <w:t>differentiating ‘actual’ from ‘potential’ impacts</w:t>
            </w:r>
            <w:r w:rsidRPr="00076E4C">
              <w:rPr>
                <w:sz w:val="17"/>
                <w:szCs w:val="17"/>
              </w:rPr>
              <w:t xml:space="preserve">.  It also </w:t>
            </w:r>
            <w:r w:rsidRPr="00BB58B6">
              <w:rPr>
                <w:b/>
                <w:bCs/>
                <w:sz w:val="17"/>
                <w:szCs w:val="17"/>
              </w:rPr>
              <w:t>differentiates the</w:t>
            </w:r>
            <w:r w:rsidRPr="00076E4C">
              <w:rPr>
                <w:sz w:val="17"/>
                <w:szCs w:val="17"/>
              </w:rPr>
              <w:t xml:space="preserve"> </w:t>
            </w:r>
            <w:r w:rsidRPr="00947B1B">
              <w:rPr>
                <w:b/>
                <w:bCs/>
                <w:sz w:val="17"/>
                <w:szCs w:val="17"/>
              </w:rPr>
              <w:t>current reporting period from the future reporting periods</w:t>
            </w:r>
            <w:r w:rsidRPr="00076E4C">
              <w:rPr>
                <w:sz w:val="17"/>
                <w:szCs w:val="17"/>
              </w:rPr>
              <w:t xml:space="preserve">. For impacts that are assessed as material, the respective actions are reported (which also include policies implemented through actions).  Actual impacts are assessed for materiality </w:t>
            </w:r>
            <w:r w:rsidRPr="00047464">
              <w:rPr>
                <w:sz w:val="17"/>
                <w:szCs w:val="17"/>
              </w:rPr>
              <w:t>before</w:t>
            </w:r>
            <w:r w:rsidRPr="00076E4C">
              <w:rPr>
                <w:sz w:val="17"/>
                <w:szCs w:val="17"/>
              </w:rPr>
              <w:t xml:space="preserve"> the remediation actions in the reporting period when they occur, while in future periods they are not reported if fully remediated. For potential impacts, when the undertaking must maintain significant ongoing actions to contain severity and/or likelihood below the materiality level, the impact is assessed </w:t>
            </w:r>
            <w:r w:rsidRPr="00047464">
              <w:rPr>
                <w:sz w:val="17"/>
                <w:szCs w:val="17"/>
              </w:rPr>
              <w:t>before</w:t>
            </w:r>
            <w:r w:rsidRPr="00076E4C">
              <w:rPr>
                <w:sz w:val="17"/>
                <w:szCs w:val="17"/>
              </w:rPr>
              <w:t xml:space="preserve"> the actions are reported. This provision has been introduced to deal with cases such as health and safety negative impacts in highly regulated industries.</w:t>
            </w:r>
          </w:p>
        </w:tc>
      </w:tr>
      <w:tr w:rsidR="00824726" w14:paraId="0038E43A" w14:textId="77777777">
        <w:tc>
          <w:tcPr>
            <w:tcW w:w="9572" w:type="dxa"/>
          </w:tcPr>
          <w:p w14:paraId="4E6294AF" w14:textId="77777777" w:rsidR="00824726" w:rsidRDefault="00824726">
            <w:pPr>
              <w:spacing w:line="276" w:lineRule="auto"/>
              <w:rPr>
                <w:sz w:val="17"/>
                <w:szCs w:val="17"/>
              </w:rPr>
            </w:pPr>
            <w:r w:rsidRPr="00FF5136">
              <w:rPr>
                <w:b/>
                <w:bCs/>
                <w:sz w:val="17"/>
                <w:szCs w:val="17"/>
              </w:rPr>
              <w:t>Question</w:t>
            </w:r>
            <w:r>
              <w:rPr>
                <w:sz w:val="17"/>
                <w:szCs w:val="17"/>
              </w:rPr>
              <w:t xml:space="preserve">: </w:t>
            </w:r>
          </w:p>
          <w:p w14:paraId="58E9DC23" w14:textId="77777777" w:rsidR="00824726" w:rsidRDefault="00DE254D">
            <w:pPr>
              <w:spacing w:line="276" w:lineRule="auto"/>
              <w:rPr>
                <w:sz w:val="17"/>
                <w:szCs w:val="17"/>
              </w:rPr>
            </w:pPr>
            <w:r w:rsidRPr="00DE254D">
              <w:rPr>
                <w:sz w:val="17"/>
                <w:szCs w:val="17"/>
              </w:rPr>
              <w:t>Do you agree that the new guidelines clarify how to consider remediation, mitigation and prevention implemented actions in the DMA, contributing to more relevant and comparable reporting?</w:t>
            </w:r>
          </w:p>
          <w:p w14:paraId="31B2E7AF" w14:textId="754F81D4" w:rsidR="002A38B7" w:rsidRDefault="002A38B7">
            <w:pPr>
              <w:spacing w:line="276" w:lineRule="auto"/>
              <w:rPr>
                <w:sz w:val="17"/>
                <w:szCs w:val="17"/>
              </w:rPr>
            </w:pPr>
            <w:r>
              <w:rPr>
                <w:sz w:val="17"/>
                <w:szCs w:val="17"/>
              </w:rPr>
              <w:t>[</w:t>
            </w:r>
            <w:r w:rsidRPr="00AE025F">
              <w:rPr>
                <w:sz w:val="17"/>
                <w:szCs w:val="17"/>
              </w:rPr>
              <w:t>agree</w:t>
            </w:r>
            <w:r w:rsidRPr="00BA5A52">
              <w:rPr>
                <w:sz w:val="17"/>
                <w:szCs w:val="17"/>
              </w:rPr>
              <w:t>, partially agree,</w:t>
            </w:r>
            <w:r w:rsidRPr="00AE025F">
              <w:rPr>
                <w:sz w:val="17"/>
                <w:szCs w:val="17"/>
              </w:rPr>
              <w:t xml:space="preserve"> </w:t>
            </w:r>
            <w:r w:rsidRPr="002A38B7">
              <w:rPr>
                <w:sz w:val="17"/>
                <w:szCs w:val="17"/>
                <w:highlight w:val="yellow"/>
              </w:rPr>
              <w:t>disagree</w:t>
            </w:r>
            <w:r>
              <w:rPr>
                <w:sz w:val="17"/>
                <w:szCs w:val="17"/>
              </w:rPr>
              <w:t>].</w:t>
            </w:r>
          </w:p>
          <w:p w14:paraId="3802FFA1" w14:textId="77777777" w:rsidR="00B87FA2" w:rsidRDefault="00B87FA2">
            <w:pPr>
              <w:spacing w:line="276" w:lineRule="auto"/>
              <w:rPr>
                <w:sz w:val="17"/>
                <w:szCs w:val="17"/>
              </w:rPr>
            </w:pPr>
          </w:p>
          <w:p w14:paraId="01E963C8" w14:textId="04B63D85" w:rsidR="00BC76E8" w:rsidRDefault="007E6275" w:rsidP="00B9516E">
            <w:pPr>
              <w:spacing w:line="276" w:lineRule="auto"/>
              <w:rPr>
                <w:sz w:val="17"/>
                <w:szCs w:val="17"/>
              </w:rPr>
            </w:pPr>
            <w:r w:rsidRPr="002B6C33">
              <w:rPr>
                <w:b/>
                <w:bCs/>
                <w:sz w:val="17"/>
                <w:szCs w:val="17"/>
              </w:rPr>
              <w:t>Insurance Europe response</w:t>
            </w:r>
            <w:r w:rsidR="00B87FA2">
              <w:rPr>
                <w:sz w:val="17"/>
                <w:szCs w:val="17"/>
              </w:rPr>
              <w:t>:</w:t>
            </w:r>
          </w:p>
          <w:p w14:paraId="2D630DEB" w14:textId="679DBFB2" w:rsidR="004F3977" w:rsidRPr="004F3977" w:rsidRDefault="004F3977" w:rsidP="004F3977">
            <w:pPr>
              <w:spacing w:before="120" w:line="276" w:lineRule="auto"/>
              <w:rPr>
                <w:sz w:val="17"/>
                <w:szCs w:val="17"/>
              </w:rPr>
            </w:pPr>
            <w:r w:rsidRPr="004F3977">
              <w:rPr>
                <w:sz w:val="17"/>
                <w:szCs w:val="17"/>
              </w:rPr>
              <w:t xml:space="preserve">We recognise the intent of Appendix C to clarify how mitigation, prevention, and remediation actions are considered in the DMA, particularly by distinguishing actual from potential impacts and specifying the timing of materiality assessments. </w:t>
            </w:r>
          </w:p>
          <w:p w14:paraId="73A19E57" w14:textId="77777777" w:rsidR="00273639" w:rsidRDefault="00D35D3D" w:rsidP="00D35D3D">
            <w:pPr>
              <w:spacing w:before="120" w:line="276" w:lineRule="auto"/>
              <w:rPr>
                <w:sz w:val="17"/>
                <w:szCs w:val="17"/>
              </w:rPr>
            </w:pPr>
            <w:r w:rsidRPr="00D35D3D">
              <w:rPr>
                <w:sz w:val="17"/>
                <w:szCs w:val="17"/>
              </w:rPr>
              <w:t>While</w:t>
            </w:r>
            <w:r w:rsidR="00814ADD">
              <w:rPr>
                <w:sz w:val="17"/>
                <w:szCs w:val="17"/>
                <w:lang w:val="en-US"/>
              </w:rPr>
              <w:t xml:space="preserve"> we welcome</w:t>
            </w:r>
            <w:r w:rsidRPr="00D35D3D">
              <w:rPr>
                <w:sz w:val="17"/>
                <w:szCs w:val="17"/>
              </w:rPr>
              <w:t xml:space="preserve"> EFRAG’s </w:t>
            </w:r>
            <w:r w:rsidR="00273639" w:rsidRPr="00273639">
              <w:rPr>
                <w:sz w:val="17"/>
                <w:szCs w:val="17"/>
              </w:rPr>
              <w:t xml:space="preserve">intention to reduce arbitrariness by referring to “supportable evidence” or “ongoing mitigation actions,” calculating and verifying a “remaining impact” remains uncertain and difficult to substantiate. Allowing entities to report on net impacts may also reduce comparability, as judgments about remediation and prevention can vary significantly. </w:t>
            </w:r>
          </w:p>
          <w:p w14:paraId="7A3402F5" w14:textId="28AF9987" w:rsidR="00D35D3D" w:rsidRPr="00D35D3D" w:rsidRDefault="00273639" w:rsidP="00D35D3D">
            <w:pPr>
              <w:spacing w:before="120" w:line="276" w:lineRule="auto"/>
              <w:rPr>
                <w:sz w:val="17"/>
                <w:szCs w:val="17"/>
              </w:rPr>
            </w:pPr>
            <w:r w:rsidRPr="00273639">
              <w:rPr>
                <w:sz w:val="17"/>
                <w:szCs w:val="17"/>
              </w:rPr>
              <w:t>Moreover, requiring disclosure of potential and actual impacts based solely on pre-mitigation assessments could discourage effective risk management by overlooking meaningful actions already taken. For potential impacts in particular, assessing materiality before considering ongoing mitigation raises important questions—such as what qualifies as “significant ongoing actions”—and heightens the risk of inconsistent application without clear definitions.</w:t>
            </w:r>
          </w:p>
          <w:p w14:paraId="075FC5EE" w14:textId="47EEEA10" w:rsidR="00DF6EE5" w:rsidRPr="008034A2" w:rsidRDefault="00D35D3D" w:rsidP="00937DC0">
            <w:pPr>
              <w:spacing w:before="120" w:line="276" w:lineRule="auto"/>
              <w:rPr>
                <w:sz w:val="17"/>
                <w:szCs w:val="17"/>
                <w:lang w:val="en-US"/>
              </w:rPr>
            </w:pPr>
            <w:r w:rsidRPr="00D35D3D">
              <w:rPr>
                <w:sz w:val="17"/>
                <w:szCs w:val="17"/>
              </w:rPr>
              <w:t xml:space="preserve">Given these concerns, we recommend </w:t>
            </w:r>
            <w:r w:rsidRPr="002C5A5C">
              <w:rPr>
                <w:b/>
                <w:sz w:val="17"/>
                <w:szCs w:val="17"/>
              </w:rPr>
              <w:t>removing Appendix C</w:t>
            </w:r>
            <w:r w:rsidRPr="00D35D3D">
              <w:rPr>
                <w:sz w:val="17"/>
                <w:szCs w:val="17"/>
              </w:rPr>
              <w:t>. A simpler and more robust approach would be to adopt a fully gross perspective in the assessment of impacts. Remediation and prevention measures would still be transparently captured under the Policies, Actions, and Targets (PAT) disclosures, thereby preserving fair presentation without compromising clarity, auditability, or comparability.</w:t>
            </w:r>
          </w:p>
        </w:tc>
      </w:tr>
    </w:tbl>
    <w:p w14:paraId="6BF74A2A" w14:textId="77777777" w:rsidR="00824726" w:rsidRDefault="00824726" w:rsidP="005F5CCF">
      <w:pPr>
        <w:spacing w:after="200" w:line="276" w:lineRule="auto"/>
        <w:rPr>
          <w:sz w:val="17"/>
          <w:szCs w:val="17"/>
        </w:rPr>
      </w:pPr>
    </w:p>
    <w:tbl>
      <w:tblPr>
        <w:tblStyle w:val="Mriekatabuky"/>
        <w:tblW w:w="0" w:type="auto"/>
        <w:tblLook w:val="04A0" w:firstRow="1" w:lastRow="0" w:firstColumn="1" w:lastColumn="0" w:noHBand="0" w:noVBand="1"/>
      </w:tblPr>
      <w:tblGrid>
        <w:gridCol w:w="9572"/>
      </w:tblGrid>
      <w:tr w:rsidR="002A38B7" w14:paraId="41A92824" w14:textId="77777777">
        <w:tc>
          <w:tcPr>
            <w:tcW w:w="9572" w:type="dxa"/>
            <w:shd w:val="clear" w:color="auto" w:fill="595959" w:themeFill="text1" w:themeFillTint="A6"/>
          </w:tcPr>
          <w:p w14:paraId="1571968C" w14:textId="4DC6F7DA" w:rsidR="002A38B7" w:rsidRPr="00F92E2F" w:rsidRDefault="002A38B7">
            <w:pPr>
              <w:spacing w:line="276" w:lineRule="auto"/>
              <w:rPr>
                <w:b/>
                <w:bCs/>
                <w:color w:val="FFFFFF" w:themeColor="background1"/>
                <w:sz w:val="17"/>
                <w:szCs w:val="17"/>
              </w:rPr>
            </w:pPr>
            <w:r w:rsidRPr="00F92E2F">
              <w:rPr>
                <w:b/>
                <w:bCs/>
                <w:color w:val="FFFFFF" w:themeColor="background1"/>
                <w:sz w:val="17"/>
                <w:szCs w:val="17"/>
              </w:rPr>
              <w:t xml:space="preserve">Question </w:t>
            </w:r>
            <w:r w:rsidR="005C3F4E">
              <w:rPr>
                <w:b/>
                <w:bCs/>
                <w:color w:val="FFFFFF" w:themeColor="background1"/>
                <w:sz w:val="17"/>
                <w:szCs w:val="17"/>
              </w:rPr>
              <w:t>1</w:t>
            </w:r>
            <w:r>
              <w:rPr>
                <w:b/>
                <w:bCs/>
                <w:color w:val="FFFFFF" w:themeColor="background1"/>
                <w:sz w:val="17"/>
                <w:szCs w:val="17"/>
              </w:rPr>
              <w:t>3</w:t>
            </w:r>
            <w:r w:rsidR="0097699D">
              <w:rPr>
                <w:b/>
                <w:bCs/>
                <w:color w:val="FFFFFF" w:themeColor="background1"/>
                <w:sz w:val="17"/>
                <w:szCs w:val="17"/>
              </w:rPr>
              <w:t xml:space="preserve"> on </w:t>
            </w:r>
            <w:r w:rsidR="00D44751">
              <w:rPr>
                <w:b/>
                <w:bCs/>
                <w:color w:val="FFFFFF" w:themeColor="background1"/>
                <w:sz w:val="17"/>
                <w:szCs w:val="17"/>
              </w:rPr>
              <w:t>i</w:t>
            </w:r>
            <w:r w:rsidR="0097699D" w:rsidRPr="0097699D">
              <w:rPr>
                <w:b/>
                <w:bCs/>
                <w:color w:val="FFFFFF" w:themeColor="background1"/>
                <w:sz w:val="17"/>
                <w:szCs w:val="17"/>
              </w:rPr>
              <w:t>mproved readability, conciseness and connectivity of ESRS Sustainability Statements</w:t>
            </w:r>
          </w:p>
        </w:tc>
      </w:tr>
      <w:tr w:rsidR="002A38B7" w14:paraId="1ED8FE3F" w14:textId="77777777">
        <w:tc>
          <w:tcPr>
            <w:tcW w:w="9572" w:type="dxa"/>
          </w:tcPr>
          <w:p w14:paraId="1175B829" w14:textId="5A3E3250" w:rsidR="002A38B7" w:rsidRDefault="002A38B7">
            <w:pPr>
              <w:spacing w:line="276" w:lineRule="auto"/>
              <w:rPr>
                <w:sz w:val="17"/>
                <w:szCs w:val="17"/>
              </w:rPr>
            </w:pPr>
            <w:r w:rsidRPr="00FF5136">
              <w:rPr>
                <w:b/>
                <w:bCs/>
                <w:sz w:val="17"/>
                <w:szCs w:val="17"/>
              </w:rPr>
              <w:t>Summary of changes</w:t>
            </w:r>
            <w:r>
              <w:rPr>
                <w:sz w:val="17"/>
                <w:szCs w:val="17"/>
              </w:rPr>
              <w:t xml:space="preserve">: </w:t>
            </w:r>
          </w:p>
          <w:p w14:paraId="234EBDED" w14:textId="4134B303" w:rsidR="002A38B7" w:rsidRPr="00F21217" w:rsidRDefault="009F15D4" w:rsidP="00824919">
            <w:pPr>
              <w:spacing w:before="120" w:after="120" w:line="276" w:lineRule="auto"/>
              <w:rPr>
                <w:sz w:val="17"/>
                <w:szCs w:val="17"/>
              </w:rPr>
            </w:pPr>
            <w:r w:rsidRPr="009F15D4">
              <w:rPr>
                <w:sz w:val="17"/>
                <w:szCs w:val="17"/>
              </w:rPr>
              <w:lastRenderedPageBreak/>
              <w:t xml:space="preserve">EFRAG has clarified the flexibility that preparers have in preparing their statements. The Amendments describe the possibility of including an </w:t>
            </w:r>
            <w:r w:rsidRPr="00F30C1C">
              <w:rPr>
                <w:b/>
                <w:bCs/>
                <w:sz w:val="17"/>
                <w:szCs w:val="17"/>
              </w:rPr>
              <w:t>'executive summary'</w:t>
            </w:r>
            <w:r w:rsidRPr="009F15D4">
              <w:rPr>
                <w:sz w:val="17"/>
                <w:szCs w:val="17"/>
              </w:rPr>
              <w:t xml:space="preserve"> at the beginning of the sustainability statement and have put greater emphasis on the </w:t>
            </w:r>
            <w:r w:rsidRPr="00536099">
              <w:rPr>
                <w:b/>
                <w:bCs/>
                <w:sz w:val="17"/>
                <w:szCs w:val="17"/>
              </w:rPr>
              <w:t>use of appendices</w:t>
            </w:r>
            <w:r w:rsidRPr="009F15D4">
              <w:rPr>
                <w:sz w:val="17"/>
                <w:szCs w:val="17"/>
              </w:rPr>
              <w:t xml:space="preserve"> to separate more detailed information from key messages. The amendments have also clarified the concept of </w:t>
            </w:r>
            <w:r w:rsidRPr="00E11F25">
              <w:rPr>
                <w:b/>
                <w:bCs/>
                <w:sz w:val="17"/>
                <w:szCs w:val="17"/>
              </w:rPr>
              <w:t>‘connected information’</w:t>
            </w:r>
            <w:r w:rsidRPr="009F15D4">
              <w:rPr>
                <w:sz w:val="17"/>
                <w:szCs w:val="17"/>
              </w:rPr>
              <w:t>, discouraging fragmentation and/or repetition of information (ESRS 1, Chapter 8).</w:t>
            </w:r>
          </w:p>
        </w:tc>
      </w:tr>
      <w:tr w:rsidR="002A38B7" w14:paraId="766BF1D4" w14:textId="77777777">
        <w:tc>
          <w:tcPr>
            <w:tcW w:w="9572" w:type="dxa"/>
          </w:tcPr>
          <w:p w14:paraId="5D69D150" w14:textId="77777777" w:rsidR="002A38B7" w:rsidRDefault="002A38B7">
            <w:pPr>
              <w:spacing w:line="276" w:lineRule="auto"/>
              <w:rPr>
                <w:sz w:val="17"/>
                <w:szCs w:val="17"/>
              </w:rPr>
            </w:pPr>
            <w:r w:rsidRPr="00FF5136">
              <w:rPr>
                <w:b/>
                <w:bCs/>
                <w:sz w:val="17"/>
                <w:szCs w:val="17"/>
              </w:rPr>
              <w:lastRenderedPageBreak/>
              <w:t>Question</w:t>
            </w:r>
            <w:r>
              <w:rPr>
                <w:sz w:val="17"/>
                <w:szCs w:val="17"/>
              </w:rPr>
              <w:t xml:space="preserve">: </w:t>
            </w:r>
            <w:r w:rsidR="009F15D4" w:rsidRPr="009F15D4">
              <w:rPr>
                <w:sz w:val="17"/>
                <w:szCs w:val="17"/>
              </w:rPr>
              <w:t>Do you agree that these proposed Amendments, when combined with the other changes in the Amended ESRS, provide an appropriate level of flexibility to support more relevant and concise reporting, as well as to promote better connectivity with corporate reporting as a whole?</w:t>
            </w:r>
          </w:p>
          <w:p w14:paraId="61BB9F9F" w14:textId="2C55DEC2" w:rsidR="009F15D4" w:rsidRDefault="009F15D4">
            <w:pPr>
              <w:spacing w:line="276" w:lineRule="auto"/>
              <w:rPr>
                <w:sz w:val="17"/>
                <w:szCs w:val="17"/>
              </w:rPr>
            </w:pPr>
            <w:r>
              <w:rPr>
                <w:sz w:val="17"/>
                <w:szCs w:val="17"/>
              </w:rPr>
              <w:t>[</w:t>
            </w:r>
            <w:r w:rsidRPr="00353121">
              <w:rPr>
                <w:sz w:val="17"/>
                <w:szCs w:val="17"/>
                <w:highlight w:val="yellow"/>
              </w:rPr>
              <w:t>agree</w:t>
            </w:r>
            <w:r w:rsidRPr="00DC0704">
              <w:rPr>
                <w:sz w:val="17"/>
                <w:szCs w:val="17"/>
              </w:rPr>
              <w:t xml:space="preserve">, </w:t>
            </w:r>
            <w:r w:rsidRPr="00353121">
              <w:rPr>
                <w:sz w:val="17"/>
                <w:szCs w:val="17"/>
              </w:rPr>
              <w:t>partially agree</w:t>
            </w:r>
            <w:r w:rsidRPr="00DC0704">
              <w:rPr>
                <w:sz w:val="17"/>
                <w:szCs w:val="17"/>
              </w:rPr>
              <w:t>, disagree</w:t>
            </w:r>
            <w:r>
              <w:rPr>
                <w:sz w:val="17"/>
                <w:szCs w:val="17"/>
              </w:rPr>
              <w:t>].</w:t>
            </w:r>
          </w:p>
          <w:p w14:paraId="4DB1B4C5" w14:textId="77777777" w:rsidR="00B87FA2" w:rsidRDefault="00B87FA2">
            <w:pPr>
              <w:spacing w:line="276" w:lineRule="auto"/>
              <w:rPr>
                <w:sz w:val="17"/>
                <w:szCs w:val="17"/>
              </w:rPr>
            </w:pPr>
          </w:p>
          <w:p w14:paraId="4F039C71" w14:textId="7218C199" w:rsidR="007E6275" w:rsidRDefault="002B6C33" w:rsidP="007E6275">
            <w:pPr>
              <w:spacing w:line="276" w:lineRule="auto"/>
              <w:rPr>
                <w:sz w:val="17"/>
                <w:szCs w:val="17"/>
              </w:rPr>
            </w:pPr>
            <w:r w:rsidRPr="002B6C33">
              <w:rPr>
                <w:b/>
                <w:bCs/>
                <w:sz w:val="17"/>
                <w:szCs w:val="17"/>
              </w:rPr>
              <w:t>Insurance Europe response</w:t>
            </w:r>
            <w:r w:rsidR="007E6275">
              <w:rPr>
                <w:sz w:val="17"/>
                <w:szCs w:val="17"/>
              </w:rPr>
              <w:t>:</w:t>
            </w:r>
          </w:p>
          <w:p w14:paraId="6F6AC9D0" w14:textId="4507209D" w:rsidR="00916F57" w:rsidRDefault="00916F57" w:rsidP="00BB0695">
            <w:pPr>
              <w:spacing w:before="120" w:line="276" w:lineRule="auto"/>
              <w:rPr>
                <w:sz w:val="17"/>
                <w:szCs w:val="17"/>
              </w:rPr>
            </w:pPr>
            <w:r w:rsidRPr="00916F57">
              <w:rPr>
                <w:sz w:val="17"/>
                <w:szCs w:val="17"/>
              </w:rPr>
              <w:t>We welcome the increased flexibility introduced by the amendments, particularly the ability to use appendices and sub-parts. This enables preparers to separate technical or detailed content from the main narrative, thereby improving the readability and accessibility of the sustainability statement for a broad range of users. The possibility of including an executive summary is also a useful addition to enhance relevance and conciseness.</w:t>
            </w:r>
          </w:p>
          <w:p w14:paraId="771186C4" w14:textId="35031FA4" w:rsidR="0092519A" w:rsidRPr="00B8480D" w:rsidRDefault="00D1488E" w:rsidP="00BB0695">
            <w:pPr>
              <w:spacing w:before="120" w:line="276" w:lineRule="auto"/>
              <w:rPr>
                <w:sz w:val="17"/>
                <w:szCs w:val="17"/>
              </w:rPr>
            </w:pPr>
            <w:r w:rsidRPr="00D1488E">
              <w:rPr>
                <w:sz w:val="17"/>
                <w:szCs w:val="17"/>
              </w:rPr>
              <w:t>We also note positively the clarification of the ‘connected information’ concept in ESRS 1, which helps reduce fragmentation and repetition across the sustainability and broader corporate reporting, thereby promoting better connectivity.</w:t>
            </w:r>
            <w:r w:rsidR="00D73D26">
              <w:rPr>
                <w:sz w:val="17"/>
                <w:szCs w:val="17"/>
              </w:rPr>
              <w:t xml:space="preserve"> </w:t>
            </w:r>
          </w:p>
        </w:tc>
      </w:tr>
    </w:tbl>
    <w:p w14:paraId="3BD74C36" w14:textId="77777777" w:rsidR="002A38B7" w:rsidRDefault="002A38B7" w:rsidP="005F5CCF">
      <w:pPr>
        <w:spacing w:after="200" w:line="276" w:lineRule="auto"/>
        <w:rPr>
          <w:sz w:val="17"/>
          <w:szCs w:val="17"/>
        </w:rPr>
      </w:pPr>
    </w:p>
    <w:tbl>
      <w:tblPr>
        <w:tblStyle w:val="Mriekatabuky"/>
        <w:tblW w:w="0" w:type="auto"/>
        <w:tblLook w:val="04A0" w:firstRow="1" w:lastRow="0" w:firstColumn="1" w:lastColumn="0" w:noHBand="0" w:noVBand="1"/>
      </w:tblPr>
      <w:tblGrid>
        <w:gridCol w:w="9572"/>
      </w:tblGrid>
      <w:tr w:rsidR="002A38B7" w14:paraId="66BA89BE" w14:textId="77777777">
        <w:tc>
          <w:tcPr>
            <w:tcW w:w="9572" w:type="dxa"/>
            <w:shd w:val="clear" w:color="auto" w:fill="595959" w:themeFill="text1" w:themeFillTint="A6"/>
          </w:tcPr>
          <w:p w14:paraId="10FD7692" w14:textId="651F5683" w:rsidR="002A38B7" w:rsidRPr="00F92E2F" w:rsidRDefault="002A38B7">
            <w:pPr>
              <w:spacing w:line="276" w:lineRule="auto"/>
              <w:rPr>
                <w:b/>
                <w:bCs/>
                <w:color w:val="FFFFFF" w:themeColor="background1"/>
                <w:sz w:val="17"/>
                <w:szCs w:val="17"/>
              </w:rPr>
            </w:pPr>
            <w:r w:rsidRPr="00F92E2F">
              <w:rPr>
                <w:b/>
                <w:bCs/>
                <w:color w:val="FFFFFF" w:themeColor="background1"/>
                <w:sz w:val="17"/>
                <w:szCs w:val="17"/>
              </w:rPr>
              <w:t xml:space="preserve">Question </w:t>
            </w:r>
            <w:r w:rsidR="005C3F4E">
              <w:rPr>
                <w:b/>
                <w:bCs/>
                <w:color w:val="FFFFFF" w:themeColor="background1"/>
                <w:sz w:val="17"/>
                <w:szCs w:val="17"/>
              </w:rPr>
              <w:t>1</w:t>
            </w:r>
            <w:r>
              <w:rPr>
                <w:b/>
                <w:bCs/>
                <w:color w:val="FFFFFF" w:themeColor="background1"/>
                <w:sz w:val="17"/>
                <w:szCs w:val="17"/>
              </w:rPr>
              <w:t>4</w:t>
            </w:r>
            <w:r w:rsidR="007501B1">
              <w:rPr>
                <w:b/>
                <w:bCs/>
                <w:color w:val="FFFFFF" w:themeColor="background1"/>
                <w:sz w:val="17"/>
                <w:szCs w:val="17"/>
              </w:rPr>
              <w:t xml:space="preserve"> on r</w:t>
            </w:r>
            <w:r w:rsidR="007501B1" w:rsidRPr="007501B1">
              <w:rPr>
                <w:b/>
                <w:bCs/>
                <w:color w:val="FFFFFF" w:themeColor="background1"/>
                <w:sz w:val="17"/>
                <w:szCs w:val="17"/>
              </w:rPr>
              <w:t>estructuring of the architecture and interaction between ESRS 2 and Topical Standards </w:t>
            </w:r>
          </w:p>
        </w:tc>
      </w:tr>
      <w:tr w:rsidR="002A38B7" w14:paraId="127DB70A" w14:textId="77777777">
        <w:tc>
          <w:tcPr>
            <w:tcW w:w="9572" w:type="dxa"/>
          </w:tcPr>
          <w:p w14:paraId="1D431B89" w14:textId="1F1D186E" w:rsidR="002A38B7" w:rsidRDefault="002A38B7">
            <w:pPr>
              <w:spacing w:line="276" w:lineRule="auto"/>
              <w:rPr>
                <w:sz w:val="17"/>
                <w:szCs w:val="17"/>
              </w:rPr>
            </w:pPr>
            <w:r w:rsidRPr="00FF5136">
              <w:rPr>
                <w:b/>
                <w:bCs/>
                <w:sz w:val="17"/>
                <w:szCs w:val="17"/>
              </w:rPr>
              <w:t>Summary of changes</w:t>
            </w:r>
            <w:r>
              <w:rPr>
                <w:sz w:val="17"/>
                <w:szCs w:val="17"/>
              </w:rPr>
              <w:t xml:space="preserve">: </w:t>
            </w:r>
          </w:p>
          <w:p w14:paraId="1B9659FC" w14:textId="77777777" w:rsidR="007501B1" w:rsidRPr="007501B1" w:rsidRDefault="007501B1" w:rsidP="00B34801">
            <w:pPr>
              <w:spacing w:before="120" w:line="276" w:lineRule="auto"/>
              <w:rPr>
                <w:sz w:val="17"/>
                <w:szCs w:val="17"/>
              </w:rPr>
            </w:pPr>
            <w:r w:rsidRPr="007501B1">
              <w:rPr>
                <w:sz w:val="17"/>
                <w:szCs w:val="17"/>
              </w:rPr>
              <w:t>To achieve this objective, EFRAG has implemented the following changes, which aim to strike an appropriate balance between (a) prescriptiveness of the requirements and preparation effort and (b) the users’ need for relevant, faithful and comparable information:</w:t>
            </w:r>
          </w:p>
          <w:p w14:paraId="7206E532" w14:textId="77777777" w:rsidR="007501B1" w:rsidRPr="007501B1" w:rsidRDefault="007501B1" w:rsidP="00A14BA6">
            <w:pPr>
              <w:numPr>
                <w:ilvl w:val="0"/>
                <w:numId w:val="5"/>
              </w:numPr>
              <w:spacing w:line="276" w:lineRule="auto"/>
              <w:rPr>
                <w:sz w:val="17"/>
                <w:szCs w:val="17"/>
              </w:rPr>
            </w:pPr>
            <w:r w:rsidRPr="007501B1">
              <w:rPr>
                <w:sz w:val="17"/>
                <w:szCs w:val="17"/>
              </w:rPr>
              <w:t>Minimum Disclosure Requirements in ESRS 2 (renamed “General Disclosure Requirements”) have been simplified but retained as ‘shall’ disclose.</w:t>
            </w:r>
          </w:p>
          <w:p w14:paraId="0D93A867" w14:textId="77777777" w:rsidR="007501B1" w:rsidRPr="007501B1" w:rsidRDefault="007501B1" w:rsidP="00A14BA6">
            <w:pPr>
              <w:numPr>
                <w:ilvl w:val="0"/>
                <w:numId w:val="5"/>
              </w:numPr>
              <w:spacing w:line="276" w:lineRule="auto"/>
              <w:rPr>
                <w:sz w:val="17"/>
                <w:szCs w:val="17"/>
              </w:rPr>
            </w:pPr>
            <w:r w:rsidRPr="007501B1">
              <w:rPr>
                <w:sz w:val="17"/>
                <w:szCs w:val="17"/>
              </w:rPr>
              <w:t>A drastic reduction of ‘shall’ datapoints PAT has been achieved, sometimes reformulating them as Application Requirements (‘ARs’) to support more consistent application.</w:t>
            </w:r>
          </w:p>
          <w:p w14:paraId="74B026FF" w14:textId="77777777" w:rsidR="007501B1" w:rsidRPr="007501B1" w:rsidRDefault="007501B1" w:rsidP="00A14BA6">
            <w:pPr>
              <w:numPr>
                <w:ilvl w:val="0"/>
                <w:numId w:val="5"/>
              </w:numPr>
              <w:spacing w:line="276" w:lineRule="auto"/>
              <w:rPr>
                <w:sz w:val="17"/>
                <w:szCs w:val="17"/>
              </w:rPr>
            </w:pPr>
            <w:r w:rsidRPr="007501B1">
              <w:rPr>
                <w:sz w:val="17"/>
                <w:szCs w:val="17"/>
              </w:rPr>
              <w:t>Topical specifications to GOV, SBM and IRO (Appendix C of ESRS 2) have been deleted, with a few exceptions maintained as separate Disclosure Requirements in topical standards (e.g. resilience in ESRS E1).</w:t>
            </w:r>
          </w:p>
          <w:p w14:paraId="24D4EB97" w14:textId="4DD443B4" w:rsidR="007501B1" w:rsidRPr="007501B1" w:rsidRDefault="007501B1" w:rsidP="00A14BA6">
            <w:pPr>
              <w:numPr>
                <w:ilvl w:val="0"/>
                <w:numId w:val="5"/>
              </w:numPr>
              <w:spacing w:line="276" w:lineRule="auto"/>
              <w:rPr>
                <w:sz w:val="17"/>
                <w:szCs w:val="17"/>
              </w:rPr>
            </w:pPr>
            <w:r w:rsidRPr="007501B1">
              <w:rPr>
                <w:sz w:val="17"/>
                <w:szCs w:val="17"/>
              </w:rPr>
              <w:t>The requirement to disclose PAT for material IROs if adopted is maintained</w:t>
            </w:r>
            <w:r w:rsidR="00AF28E4">
              <w:rPr>
                <w:sz w:val="17"/>
                <w:szCs w:val="17"/>
              </w:rPr>
              <w:t>, b</w:t>
            </w:r>
            <w:r w:rsidRPr="007501B1">
              <w:rPr>
                <w:sz w:val="17"/>
                <w:szCs w:val="17"/>
              </w:rPr>
              <w:t>ut the requirement to disclose whether the undertaking plans to implement a PAT for material topics and timeline has been eliminated. The indication of which material topics are not covered by PAT is maintained.</w:t>
            </w:r>
          </w:p>
          <w:p w14:paraId="175EC983" w14:textId="77777777" w:rsidR="007501B1" w:rsidRPr="007501B1" w:rsidRDefault="007501B1" w:rsidP="00A14BA6">
            <w:pPr>
              <w:numPr>
                <w:ilvl w:val="0"/>
                <w:numId w:val="5"/>
              </w:numPr>
              <w:spacing w:line="276" w:lineRule="auto"/>
              <w:rPr>
                <w:sz w:val="17"/>
                <w:szCs w:val="17"/>
              </w:rPr>
            </w:pPr>
            <w:r w:rsidRPr="007501B1">
              <w:rPr>
                <w:sz w:val="17"/>
                <w:szCs w:val="17"/>
              </w:rPr>
              <w:t>The amendments have improved the connectivity between the disclosure of PAT and the description of IROs (now in ESRS IRO 2) to which they relate. They have also improved the ability to disclose information at a higher aggregation level than the material IROs, if this reflects the way IROs are managed.  </w:t>
            </w:r>
          </w:p>
          <w:p w14:paraId="3284249F" w14:textId="77777777" w:rsidR="002A38B7" w:rsidRPr="00F21217" w:rsidRDefault="002A38B7">
            <w:pPr>
              <w:spacing w:line="276" w:lineRule="auto"/>
              <w:rPr>
                <w:sz w:val="17"/>
                <w:szCs w:val="17"/>
              </w:rPr>
            </w:pPr>
          </w:p>
        </w:tc>
      </w:tr>
      <w:tr w:rsidR="002A38B7" w14:paraId="6AC82704" w14:textId="77777777">
        <w:tc>
          <w:tcPr>
            <w:tcW w:w="9572" w:type="dxa"/>
          </w:tcPr>
          <w:p w14:paraId="7BE3B4D9" w14:textId="4B26D893" w:rsidR="002A38B7" w:rsidRDefault="002A38B7">
            <w:pPr>
              <w:spacing w:line="276" w:lineRule="auto"/>
              <w:rPr>
                <w:rFonts w:eastAsia="Verdana" w:cs="Verdana"/>
                <w:sz w:val="17"/>
                <w:szCs w:val="17"/>
              </w:rPr>
            </w:pPr>
            <w:r w:rsidRPr="06D2E812">
              <w:rPr>
                <w:rFonts w:eastAsia="Verdana" w:cs="Verdana"/>
                <w:b/>
                <w:sz w:val="17"/>
                <w:szCs w:val="17"/>
              </w:rPr>
              <w:t>Question</w:t>
            </w:r>
            <w:r w:rsidRPr="06D2E812">
              <w:rPr>
                <w:rFonts w:eastAsia="Verdana" w:cs="Verdana"/>
                <w:sz w:val="17"/>
                <w:szCs w:val="17"/>
              </w:rPr>
              <w:t xml:space="preserve">: </w:t>
            </w:r>
            <w:r w:rsidR="007501B1" w:rsidRPr="06D2E812">
              <w:rPr>
                <w:rFonts w:eastAsia="Verdana" w:cs="Verdana"/>
                <w:sz w:val="17"/>
                <w:szCs w:val="17"/>
              </w:rPr>
              <w:t>Do you agree that these proposed amendments strike an appropriate balance between (1) prescriptiveness of the requirements and preparation effort from the one hand, and (2) need for relevant and comparable information from the other?</w:t>
            </w:r>
          </w:p>
          <w:p w14:paraId="7372ADCF" w14:textId="587C1C48" w:rsidR="002A38B7" w:rsidRDefault="007501B1">
            <w:pPr>
              <w:spacing w:line="276" w:lineRule="auto"/>
              <w:rPr>
                <w:rFonts w:eastAsia="Verdana" w:cs="Verdana"/>
                <w:sz w:val="17"/>
                <w:szCs w:val="17"/>
              </w:rPr>
            </w:pPr>
            <w:r w:rsidRPr="06D2E812">
              <w:rPr>
                <w:rFonts w:eastAsia="Verdana" w:cs="Verdana"/>
                <w:sz w:val="17"/>
                <w:szCs w:val="17"/>
              </w:rPr>
              <w:t>[</w:t>
            </w:r>
            <w:r w:rsidRPr="0038660F">
              <w:rPr>
                <w:rFonts w:eastAsia="Verdana" w:cs="Verdana"/>
                <w:sz w:val="17"/>
                <w:szCs w:val="17"/>
              </w:rPr>
              <w:t>agree</w:t>
            </w:r>
            <w:r w:rsidRPr="00C5387F">
              <w:rPr>
                <w:rFonts w:eastAsia="Verdana" w:cs="Verdana"/>
                <w:sz w:val="17"/>
                <w:szCs w:val="17"/>
              </w:rPr>
              <w:t>,</w:t>
            </w:r>
            <w:r w:rsidRPr="06D2E812">
              <w:rPr>
                <w:rFonts w:eastAsia="Verdana" w:cs="Verdana"/>
                <w:sz w:val="17"/>
                <w:szCs w:val="17"/>
                <w:highlight w:val="yellow"/>
              </w:rPr>
              <w:t xml:space="preserve"> partially agree, </w:t>
            </w:r>
            <w:r w:rsidRPr="00C5387F">
              <w:rPr>
                <w:rFonts w:eastAsia="Verdana" w:cs="Verdana"/>
                <w:sz w:val="17"/>
                <w:szCs w:val="17"/>
              </w:rPr>
              <w:t>disagree</w:t>
            </w:r>
            <w:r w:rsidRPr="06D2E812">
              <w:rPr>
                <w:rFonts w:eastAsia="Verdana" w:cs="Verdana"/>
                <w:sz w:val="17"/>
                <w:szCs w:val="17"/>
              </w:rPr>
              <w:t>].</w:t>
            </w:r>
          </w:p>
          <w:p w14:paraId="62398294" w14:textId="77777777" w:rsidR="00B87FA2" w:rsidRDefault="00B87FA2">
            <w:pPr>
              <w:spacing w:line="276" w:lineRule="auto"/>
              <w:rPr>
                <w:rFonts w:eastAsia="Verdana" w:cs="Verdana"/>
                <w:sz w:val="17"/>
                <w:szCs w:val="17"/>
              </w:rPr>
            </w:pPr>
          </w:p>
          <w:p w14:paraId="4D9050E5" w14:textId="77777777" w:rsidR="002B6C33" w:rsidRDefault="002B6C33" w:rsidP="00CF36CE">
            <w:pPr>
              <w:spacing w:before="120" w:line="276" w:lineRule="auto"/>
              <w:rPr>
                <w:b/>
                <w:bCs/>
                <w:sz w:val="17"/>
                <w:szCs w:val="17"/>
                <w:lang w:val="en-US"/>
              </w:rPr>
            </w:pPr>
            <w:r w:rsidRPr="002B6C33">
              <w:rPr>
                <w:b/>
                <w:bCs/>
                <w:sz w:val="17"/>
                <w:szCs w:val="17"/>
              </w:rPr>
              <w:t>Insurance Europe response</w:t>
            </w:r>
            <w:r>
              <w:rPr>
                <w:b/>
                <w:bCs/>
                <w:sz w:val="17"/>
                <w:szCs w:val="17"/>
                <w:lang w:val="en-US"/>
              </w:rPr>
              <w:t>:</w:t>
            </w:r>
          </w:p>
          <w:p w14:paraId="6FB52584" w14:textId="7753311E" w:rsidR="00CF36CE" w:rsidRPr="00CF36CE" w:rsidRDefault="00CF36CE" w:rsidP="00CF36CE">
            <w:pPr>
              <w:spacing w:before="120" w:line="276" w:lineRule="auto"/>
              <w:rPr>
                <w:rFonts w:eastAsia="Verdana" w:cs="Verdana"/>
                <w:sz w:val="17"/>
                <w:szCs w:val="17"/>
              </w:rPr>
            </w:pPr>
            <w:r w:rsidRPr="00CF36CE">
              <w:rPr>
                <w:rFonts w:eastAsia="Verdana" w:cs="Verdana"/>
                <w:sz w:val="17"/>
                <w:szCs w:val="17"/>
              </w:rPr>
              <w:t xml:space="preserve">We support the proposed amendments aimed at striking a more effective balance between prescriptiveness and preparation effort on one hand, and the relevance and comparability of information on the other. The systematic simplification of Minimum Disclosure Requirements in ESRS 2, while retaining their mandatory </w:t>
            </w:r>
            <w:r w:rsidRPr="00CF36CE">
              <w:rPr>
                <w:rFonts w:eastAsia="Verdana" w:cs="Verdana"/>
                <w:sz w:val="17"/>
                <w:szCs w:val="17"/>
              </w:rPr>
              <w:lastRenderedPageBreak/>
              <w:t>nature, reflects a pragmatic approach that facilitates implementation without compromising the quality of disclosures.</w:t>
            </w:r>
          </w:p>
          <w:p w14:paraId="5DBB41EF" w14:textId="3D86F509" w:rsidR="00CF36CE" w:rsidRPr="00CF36CE" w:rsidRDefault="00CF36CE" w:rsidP="00CF36CE">
            <w:pPr>
              <w:spacing w:before="120" w:line="276" w:lineRule="auto"/>
              <w:rPr>
                <w:rFonts w:eastAsia="Verdana" w:cs="Verdana"/>
                <w:sz w:val="17"/>
                <w:szCs w:val="17"/>
              </w:rPr>
            </w:pPr>
            <w:r w:rsidRPr="00CF36CE">
              <w:rPr>
                <w:rFonts w:eastAsia="Verdana" w:cs="Verdana"/>
                <w:sz w:val="17"/>
                <w:szCs w:val="17"/>
              </w:rPr>
              <w:t>The significant reduction in ‘shall’ datapoints for Policies, Actions, and Targets (PAT), particularly through their conversion to Application Requirements (ARs), is a welcome</w:t>
            </w:r>
            <w:r w:rsidR="00D47CF3">
              <w:rPr>
                <w:rFonts w:eastAsia="Verdana" w:cs="Verdana"/>
                <w:sz w:val="17"/>
                <w:szCs w:val="17"/>
              </w:rPr>
              <w:t>d</w:t>
            </w:r>
            <w:r w:rsidRPr="00CF36CE">
              <w:rPr>
                <w:rFonts w:eastAsia="Verdana" w:cs="Verdana"/>
                <w:sz w:val="17"/>
                <w:szCs w:val="17"/>
              </w:rPr>
              <w:t xml:space="preserve"> </w:t>
            </w:r>
            <w:r w:rsidR="00B240B1">
              <w:rPr>
                <w:rFonts w:eastAsia="Verdana" w:cs="Verdana"/>
                <w:sz w:val="17"/>
                <w:szCs w:val="17"/>
              </w:rPr>
              <w:t>amendment</w:t>
            </w:r>
            <w:r w:rsidRPr="00CF36CE">
              <w:rPr>
                <w:rFonts w:eastAsia="Verdana" w:cs="Verdana"/>
                <w:sz w:val="17"/>
                <w:szCs w:val="17"/>
              </w:rPr>
              <w:t>.</w:t>
            </w:r>
            <w:r w:rsidR="00D04DEC">
              <w:rPr>
                <w:rFonts w:eastAsia="Verdana" w:cs="Verdana"/>
                <w:sz w:val="17"/>
                <w:szCs w:val="17"/>
              </w:rPr>
              <w:t xml:space="preserve"> </w:t>
            </w:r>
            <w:r w:rsidRPr="00CF36CE">
              <w:rPr>
                <w:rFonts w:eastAsia="Verdana" w:cs="Verdana"/>
                <w:sz w:val="17"/>
                <w:szCs w:val="17"/>
              </w:rPr>
              <w:t>We also acknowledge the deletion of topical specifications from Appendix C of ESRS 2 and the relocation of key elements to topical standards where relevant. This reallocation contributes to clearer structure and reduces duplication. In particular, the maintained requirement to disclose PAT for material IROs, while removing the obligation to report future PAT intentions and timelines, is a proportionate adjustment that enhances clarity without undermining the disclosure’s purpose.</w:t>
            </w:r>
          </w:p>
          <w:p w14:paraId="09A14094" w14:textId="22AD92F9" w:rsidR="00B87FA2" w:rsidRDefault="00CF36CE" w:rsidP="00926CD9">
            <w:pPr>
              <w:spacing w:before="120" w:line="276" w:lineRule="auto"/>
              <w:rPr>
                <w:rFonts w:eastAsia="Verdana" w:cs="Verdana"/>
                <w:sz w:val="17"/>
                <w:szCs w:val="17"/>
                <w:lang w:val="en-US"/>
              </w:rPr>
            </w:pPr>
            <w:r w:rsidRPr="00CF36CE">
              <w:rPr>
                <w:rFonts w:eastAsia="Verdana" w:cs="Verdana"/>
                <w:sz w:val="17"/>
                <w:szCs w:val="17"/>
              </w:rPr>
              <w:t>We appreciate the improved alignment between PAT disclosures and IROs, including the flexibility to report at a higher aggregation level where appropriate. This change enables undertakings to reflect internal management practices more accurately, enhancing the usefulness of the reported information.</w:t>
            </w:r>
          </w:p>
          <w:p w14:paraId="56CF3893" w14:textId="7964203D" w:rsidR="005744E1" w:rsidRPr="00E6396E" w:rsidRDefault="005744E1" w:rsidP="00926CD9">
            <w:pPr>
              <w:spacing w:before="120" w:line="276" w:lineRule="auto"/>
              <w:rPr>
                <w:rFonts w:eastAsia="Verdana" w:cs="Verdana"/>
                <w:sz w:val="17"/>
                <w:szCs w:val="17"/>
                <w:lang w:val="en-US"/>
              </w:rPr>
            </w:pPr>
            <w:r w:rsidRPr="005744E1">
              <w:rPr>
                <w:rFonts w:eastAsia="Verdana" w:cs="Verdana"/>
                <w:sz w:val="17"/>
                <w:szCs w:val="17"/>
              </w:rPr>
              <w:t xml:space="preserve">On resilience, we note that mitigation and adaptation are combined in paragraph 21(a) and that resilience analysis is required annually (AR 9). This may blur distinctions between different types of actions, while the yearly assessment requirement could add complexity and burden without necessarily improving the quality of reporting. </w:t>
            </w:r>
          </w:p>
          <w:p w14:paraId="699DEE34" w14:textId="6FA9D965" w:rsidR="00080423" w:rsidRPr="00080423" w:rsidRDefault="0030050C" w:rsidP="00926CD9">
            <w:pPr>
              <w:spacing w:before="120" w:line="276" w:lineRule="auto"/>
              <w:rPr>
                <w:rFonts w:eastAsia="Verdana" w:cs="Verdana"/>
                <w:sz w:val="17"/>
                <w:szCs w:val="17"/>
                <w:lang w:val="en-US"/>
              </w:rPr>
            </w:pPr>
            <w:r>
              <w:rPr>
                <w:rFonts w:eastAsia="Verdana" w:cs="Verdana"/>
                <w:sz w:val="17"/>
                <w:szCs w:val="17"/>
              </w:rPr>
              <w:t>Finally</w:t>
            </w:r>
            <w:r w:rsidR="00080423" w:rsidRPr="00080423">
              <w:rPr>
                <w:rFonts w:eastAsia="Verdana" w:cs="Verdana"/>
                <w:sz w:val="17"/>
                <w:szCs w:val="17"/>
              </w:rPr>
              <w:t>, we would recommend softening the significance criteria in SBM 1 AR 10, which currently require disclosure based on either representing 10% of turnover or being connected to material impacts. These criteria should be presented as indicative rather than prescriptive. As the objective of this disclosure is to provide a general understanding of the undertaking’s business model and its connection to sustainability matters, rigid thresholds may result in disproportionate reporting efforts without necessarily improving the quality of information.</w:t>
            </w:r>
          </w:p>
        </w:tc>
      </w:tr>
    </w:tbl>
    <w:p w14:paraId="264E6EEB" w14:textId="77777777" w:rsidR="002A38B7" w:rsidRDefault="002A38B7" w:rsidP="005F5CCF">
      <w:pPr>
        <w:spacing w:after="200" w:line="276" w:lineRule="auto"/>
        <w:rPr>
          <w:sz w:val="17"/>
          <w:szCs w:val="17"/>
        </w:rPr>
      </w:pPr>
    </w:p>
    <w:tbl>
      <w:tblPr>
        <w:tblStyle w:val="Mriekatabuky"/>
        <w:tblW w:w="0" w:type="auto"/>
        <w:tblLook w:val="04A0" w:firstRow="1" w:lastRow="0" w:firstColumn="1" w:lastColumn="0" w:noHBand="0" w:noVBand="1"/>
      </w:tblPr>
      <w:tblGrid>
        <w:gridCol w:w="9572"/>
      </w:tblGrid>
      <w:tr w:rsidR="002A38B7" w14:paraId="7CC95C93" w14:textId="77777777">
        <w:tc>
          <w:tcPr>
            <w:tcW w:w="9572" w:type="dxa"/>
            <w:shd w:val="clear" w:color="auto" w:fill="595959" w:themeFill="text1" w:themeFillTint="A6"/>
          </w:tcPr>
          <w:p w14:paraId="3A738530" w14:textId="7E46C424" w:rsidR="002A38B7" w:rsidRPr="00F92E2F" w:rsidRDefault="002A38B7">
            <w:pPr>
              <w:spacing w:line="276" w:lineRule="auto"/>
              <w:rPr>
                <w:b/>
                <w:bCs/>
                <w:color w:val="FFFFFF" w:themeColor="background1"/>
                <w:sz w:val="17"/>
                <w:szCs w:val="17"/>
              </w:rPr>
            </w:pPr>
            <w:r w:rsidRPr="00F92E2F">
              <w:rPr>
                <w:b/>
                <w:bCs/>
                <w:color w:val="FFFFFF" w:themeColor="background1"/>
                <w:sz w:val="17"/>
                <w:szCs w:val="17"/>
              </w:rPr>
              <w:t xml:space="preserve">Question </w:t>
            </w:r>
            <w:r w:rsidR="005C3F4E">
              <w:rPr>
                <w:b/>
                <w:bCs/>
                <w:color w:val="FFFFFF" w:themeColor="background1"/>
                <w:sz w:val="17"/>
                <w:szCs w:val="17"/>
              </w:rPr>
              <w:t>1</w:t>
            </w:r>
            <w:r>
              <w:rPr>
                <w:b/>
                <w:bCs/>
                <w:color w:val="FFFFFF" w:themeColor="background1"/>
                <w:sz w:val="17"/>
                <w:szCs w:val="17"/>
              </w:rPr>
              <w:t>5</w:t>
            </w:r>
            <w:r w:rsidR="009E31A7">
              <w:rPr>
                <w:b/>
                <w:bCs/>
                <w:color w:val="FFFFFF" w:themeColor="background1"/>
                <w:sz w:val="17"/>
                <w:szCs w:val="17"/>
              </w:rPr>
              <w:t xml:space="preserve"> on i</w:t>
            </w:r>
            <w:r w:rsidR="009E31A7" w:rsidRPr="009E31A7">
              <w:rPr>
                <w:b/>
                <w:bCs/>
                <w:color w:val="FFFFFF" w:themeColor="background1"/>
                <w:sz w:val="17"/>
                <w:szCs w:val="17"/>
              </w:rPr>
              <w:t>mproved understandability, clarity and accessibility of the Standards</w:t>
            </w:r>
          </w:p>
        </w:tc>
      </w:tr>
      <w:tr w:rsidR="002A38B7" w14:paraId="05EF818B" w14:textId="77777777">
        <w:tc>
          <w:tcPr>
            <w:tcW w:w="9572" w:type="dxa"/>
          </w:tcPr>
          <w:p w14:paraId="53F160F2" w14:textId="3A3F06FB" w:rsidR="002A38B7" w:rsidRDefault="002A38B7">
            <w:pPr>
              <w:spacing w:line="276" w:lineRule="auto"/>
              <w:rPr>
                <w:sz w:val="17"/>
                <w:szCs w:val="17"/>
              </w:rPr>
            </w:pPr>
            <w:r w:rsidRPr="00FF5136">
              <w:rPr>
                <w:b/>
                <w:bCs/>
                <w:sz w:val="17"/>
                <w:szCs w:val="17"/>
              </w:rPr>
              <w:t>Summary of changes</w:t>
            </w:r>
            <w:r>
              <w:rPr>
                <w:sz w:val="17"/>
                <w:szCs w:val="17"/>
              </w:rPr>
              <w:t xml:space="preserve">: </w:t>
            </w:r>
          </w:p>
          <w:p w14:paraId="59DB138C" w14:textId="77777777" w:rsidR="009E31A7" w:rsidRPr="009E31A7" w:rsidRDefault="009E31A7" w:rsidP="00B34801">
            <w:pPr>
              <w:spacing w:before="120" w:line="276" w:lineRule="auto"/>
              <w:rPr>
                <w:sz w:val="17"/>
                <w:szCs w:val="17"/>
              </w:rPr>
            </w:pPr>
            <w:r w:rsidRPr="009E31A7">
              <w:rPr>
                <w:sz w:val="17"/>
                <w:szCs w:val="17"/>
              </w:rPr>
              <w:t>To achieve this objective, EFRAG has implemented the following changes:</w:t>
            </w:r>
          </w:p>
          <w:p w14:paraId="4489C285" w14:textId="77777777" w:rsidR="009E31A7" w:rsidRPr="009E31A7" w:rsidRDefault="009E31A7" w:rsidP="00A14BA6">
            <w:pPr>
              <w:numPr>
                <w:ilvl w:val="0"/>
                <w:numId w:val="6"/>
              </w:numPr>
              <w:spacing w:line="276" w:lineRule="auto"/>
              <w:rPr>
                <w:sz w:val="17"/>
                <w:szCs w:val="17"/>
              </w:rPr>
            </w:pPr>
            <w:r w:rsidRPr="009E31A7">
              <w:rPr>
                <w:sz w:val="17"/>
                <w:szCs w:val="17"/>
              </w:rPr>
              <w:t>“May disclose” datapoints have been all eliminated.</w:t>
            </w:r>
          </w:p>
          <w:p w14:paraId="73F83EEE" w14:textId="77777777" w:rsidR="009E31A7" w:rsidRPr="009E31A7" w:rsidRDefault="009E31A7" w:rsidP="00A14BA6">
            <w:pPr>
              <w:numPr>
                <w:ilvl w:val="0"/>
                <w:numId w:val="6"/>
              </w:numPr>
              <w:spacing w:line="276" w:lineRule="auto"/>
              <w:rPr>
                <w:sz w:val="17"/>
                <w:szCs w:val="17"/>
              </w:rPr>
            </w:pPr>
            <w:r w:rsidRPr="009E31A7">
              <w:rPr>
                <w:sz w:val="17"/>
                <w:szCs w:val="17"/>
              </w:rPr>
              <w:t>All the “shall disclose” datapoints are now in the main body of the standard (no more datapoints in AR) and mandatory application requirements are relocated below the DR to which they belong (and below each Chapter in ESRS 1), covering ‘how to disclose’ guidelines.</w:t>
            </w:r>
          </w:p>
          <w:p w14:paraId="15932FC4" w14:textId="77777777" w:rsidR="009E31A7" w:rsidRPr="009E31A7" w:rsidRDefault="009E31A7" w:rsidP="00A14BA6">
            <w:pPr>
              <w:numPr>
                <w:ilvl w:val="0"/>
                <w:numId w:val="6"/>
              </w:numPr>
              <w:spacing w:line="276" w:lineRule="auto"/>
              <w:rPr>
                <w:sz w:val="17"/>
                <w:szCs w:val="17"/>
              </w:rPr>
            </w:pPr>
            <w:r w:rsidRPr="009E31A7">
              <w:rPr>
                <w:sz w:val="17"/>
                <w:szCs w:val="17"/>
              </w:rPr>
              <w:t>Language of the Standards has been improved for understandability, conciseness and consistency of ESRS.  </w:t>
            </w:r>
          </w:p>
          <w:p w14:paraId="6E211354" w14:textId="77777777" w:rsidR="002A38B7" w:rsidRPr="00F21217" w:rsidRDefault="002A38B7">
            <w:pPr>
              <w:spacing w:line="276" w:lineRule="auto"/>
              <w:rPr>
                <w:sz w:val="17"/>
                <w:szCs w:val="17"/>
              </w:rPr>
            </w:pPr>
          </w:p>
        </w:tc>
      </w:tr>
      <w:tr w:rsidR="002A38B7" w14:paraId="517B3E51" w14:textId="77777777">
        <w:tc>
          <w:tcPr>
            <w:tcW w:w="9572" w:type="dxa"/>
          </w:tcPr>
          <w:p w14:paraId="0096963D" w14:textId="77777777" w:rsidR="00BB0695" w:rsidRDefault="002A38B7" w:rsidP="00BB0695">
            <w:pPr>
              <w:spacing w:line="276" w:lineRule="auto"/>
              <w:rPr>
                <w:sz w:val="17"/>
                <w:szCs w:val="17"/>
              </w:rPr>
            </w:pPr>
            <w:r w:rsidRPr="00FF5136">
              <w:rPr>
                <w:b/>
                <w:bCs/>
                <w:sz w:val="17"/>
                <w:szCs w:val="17"/>
              </w:rPr>
              <w:t>Question</w:t>
            </w:r>
            <w:r>
              <w:rPr>
                <w:sz w:val="17"/>
                <w:szCs w:val="17"/>
              </w:rPr>
              <w:t xml:space="preserve">: </w:t>
            </w:r>
            <w:r w:rsidR="00BB0695" w:rsidRPr="00D04067">
              <w:rPr>
                <w:sz w:val="17"/>
                <w:szCs w:val="17"/>
              </w:rPr>
              <w:t>Do you agree that these proposed amendments achieve the desired level of clarity and accessibility?</w:t>
            </w:r>
          </w:p>
          <w:p w14:paraId="296ABB16" w14:textId="2C0E5543" w:rsidR="00BB0695" w:rsidRDefault="00BB0695" w:rsidP="00BB0695">
            <w:pPr>
              <w:spacing w:line="276" w:lineRule="auto"/>
              <w:rPr>
                <w:sz w:val="17"/>
                <w:szCs w:val="17"/>
              </w:rPr>
            </w:pPr>
            <w:r>
              <w:rPr>
                <w:sz w:val="17"/>
                <w:szCs w:val="17"/>
              </w:rPr>
              <w:t>[</w:t>
            </w:r>
            <w:r w:rsidRPr="001F0B18">
              <w:rPr>
                <w:sz w:val="17"/>
                <w:szCs w:val="17"/>
              </w:rPr>
              <w:t xml:space="preserve">agree, </w:t>
            </w:r>
            <w:r w:rsidRPr="001F0B18">
              <w:rPr>
                <w:sz w:val="17"/>
                <w:szCs w:val="17"/>
                <w:highlight w:val="yellow"/>
              </w:rPr>
              <w:t>partially agree</w:t>
            </w:r>
            <w:r w:rsidRPr="001F0B18">
              <w:rPr>
                <w:sz w:val="17"/>
                <w:szCs w:val="17"/>
              </w:rPr>
              <w:t>, disagree</w:t>
            </w:r>
            <w:r>
              <w:rPr>
                <w:sz w:val="17"/>
                <w:szCs w:val="17"/>
              </w:rPr>
              <w:t>]</w:t>
            </w:r>
          </w:p>
          <w:p w14:paraId="403CCC77" w14:textId="7E980F95" w:rsidR="00BB0695" w:rsidRPr="00BB0695" w:rsidRDefault="00D04067">
            <w:pPr>
              <w:spacing w:line="276" w:lineRule="auto"/>
              <w:rPr>
                <w:i/>
                <w:iCs/>
                <w:sz w:val="17"/>
                <w:szCs w:val="17"/>
              </w:rPr>
            </w:pPr>
            <w:r w:rsidRPr="00BB0695">
              <w:rPr>
                <w:i/>
                <w:iCs/>
                <w:sz w:val="17"/>
                <w:szCs w:val="17"/>
              </w:rPr>
              <w:t>Please focus your considerations only on the mandatory content of the Exposure Drafts. The following question covers the Non-mandatory Illustrative Guidance (‘NMIG’).</w:t>
            </w:r>
          </w:p>
          <w:p w14:paraId="08AED4BF" w14:textId="777CD2DC" w:rsidR="00D04067" w:rsidRDefault="00D04067">
            <w:pPr>
              <w:spacing w:line="276" w:lineRule="auto"/>
              <w:rPr>
                <w:sz w:val="17"/>
                <w:szCs w:val="17"/>
              </w:rPr>
            </w:pPr>
            <w:r w:rsidRPr="00BB0695">
              <w:rPr>
                <w:i/>
                <w:iCs/>
                <w:sz w:val="17"/>
                <w:szCs w:val="17"/>
              </w:rPr>
              <w:t>If you intend also to provide feedback on Part 3, when providing your comments, please refrain from duplicating the comments that you will provide at Standard or DR level</w:t>
            </w:r>
            <w:r w:rsidRPr="00D04067">
              <w:rPr>
                <w:sz w:val="17"/>
                <w:szCs w:val="17"/>
              </w:rPr>
              <w:t>.</w:t>
            </w:r>
            <w:r>
              <w:rPr>
                <w:sz w:val="17"/>
                <w:szCs w:val="17"/>
              </w:rPr>
              <w:t xml:space="preserve"> </w:t>
            </w:r>
          </w:p>
          <w:p w14:paraId="11CAED91" w14:textId="77777777" w:rsidR="002A38B7" w:rsidRDefault="002A38B7">
            <w:pPr>
              <w:spacing w:line="276" w:lineRule="auto"/>
              <w:rPr>
                <w:sz w:val="17"/>
                <w:szCs w:val="17"/>
              </w:rPr>
            </w:pPr>
          </w:p>
          <w:p w14:paraId="23522432" w14:textId="77777777" w:rsidR="007E6275" w:rsidRDefault="003E494B" w:rsidP="007E6275">
            <w:pPr>
              <w:spacing w:line="276" w:lineRule="auto"/>
              <w:rPr>
                <w:sz w:val="17"/>
                <w:szCs w:val="17"/>
              </w:rPr>
            </w:pPr>
            <w:r w:rsidRPr="002B6C33">
              <w:rPr>
                <w:b/>
                <w:bCs/>
                <w:sz w:val="17"/>
                <w:szCs w:val="17"/>
              </w:rPr>
              <w:t>Insurance Europe response</w:t>
            </w:r>
            <w:r w:rsidR="007E6275">
              <w:rPr>
                <w:sz w:val="17"/>
                <w:szCs w:val="17"/>
              </w:rPr>
              <w:t>:</w:t>
            </w:r>
          </w:p>
          <w:p w14:paraId="6571BCB8" w14:textId="67D72B13" w:rsidR="00F44B3E" w:rsidRPr="006904EB" w:rsidRDefault="00F44B3E" w:rsidP="006904EB">
            <w:pPr>
              <w:spacing w:before="120" w:line="276" w:lineRule="auto"/>
              <w:rPr>
                <w:sz w:val="17"/>
                <w:szCs w:val="17"/>
              </w:rPr>
            </w:pPr>
            <w:r w:rsidRPr="006904EB">
              <w:rPr>
                <w:sz w:val="17"/>
                <w:szCs w:val="17"/>
              </w:rPr>
              <w:t xml:space="preserve">We support the objective of eliminating “may disclose” datapoints to enhance focus and reduce confusion. </w:t>
            </w:r>
          </w:p>
          <w:p w14:paraId="1070F294" w14:textId="737187C0" w:rsidR="0086508C" w:rsidRPr="00D246C1" w:rsidRDefault="0086508C" w:rsidP="00D246C1">
            <w:pPr>
              <w:spacing w:before="120" w:line="276" w:lineRule="auto"/>
              <w:rPr>
                <w:sz w:val="17"/>
                <w:szCs w:val="17"/>
              </w:rPr>
            </w:pPr>
            <w:r w:rsidRPr="00D246C1">
              <w:rPr>
                <w:sz w:val="17"/>
                <w:szCs w:val="17"/>
              </w:rPr>
              <w:t xml:space="preserve">We welcome the relocation of all mandatory disclosure requirements into the main body of the standards, along with the placement of application requirements directly below each relevant </w:t>
            </w:r>
            <w:r w:rsidR="00996E1D" w:rsidRPr="00D246C1">
              <w:rPr>
                <w:sz w:val="17"/>
                <w:szCs w:val="17"/>
              </w:rPr>
              <w:t>DR</w:t>
            </w:r>
            <w:r w:rsidRPr="00D246C1">
              <w:rPr>
                <w:sz w:val="17"/>
                <w:szCs w:val="17"/>
              </w:rPr>
              <w:t xml:space="preserve"> and Chapter in ESRS 1. </w:t>
            </w:r>
          </w:p>
          <w:p w14:paraId="11EB7CAC" w14:textId="77777777" w:rsidR="00AC3180" w:rsidRDefault="00BB5EE3" w:rsidP="00D246C1">
            <w:pPr>
              <w:spacing w:before="120" w:line="276" w:lineRule="auto"/>
              <w:rPr>
                <w:sz w:val="17"/>
                <w:szCs w:val="17"/>
              </w:rPr>
            </w:pPr>
            <w:r w:rsidRPr="00D246C1">
              <w:rPr>
                <w:sz w:val="17"/>
                <w:szCs w:val="17"/>
              </w:rPr>
              <w:t>We appreciate the efforts to improve language consistency, clarity, and conciseness. Nonetheless, we caution that changes to established terminology should be implemented with care. Many undertakings are already preparing or reporting under the original version of the ESRS, and terminology updates—even if well-intentioned—may introduce additional interpretation challenges or perceived reporting burdens if not clearly aligned with prior guidance.</w:t>
            </w:r>
          </w:p>
          <w:p w14:paraId="2B03F282" w14:textId="4D024CBB" w:rsidR="003D59AE" w:rsidRPr="00D246C1" w:rsidRDefault="00D119BD" w:rsidP="00D246C1">
            <w:pPr>
              <w:spacing w:before="120" w:line="276" w:lineRule="auto"/>
              <w:rPr>
                <w:sz w:val="17"/>
                <w:szCs w:val="17"/>
              </w:rPr>
            </w:pPr>
            <w:r w:rsidRPr="00D119BD">
              <w:rPr>
                <w:sz w:val="17"/>
                <w:szCs w:val="17"/>
              </w:rPr>
              <w:lastRenderedPageBreak/>
              <w:t>However, we note that the Application Requirements (ARs) still include additional obligations using the term “shall,” and are not always limited to methodological guidance. In many cases, these provisions could have been more appropriately integrated into the main body of the Disclosure Requirements (DRs). Furthermore, some paragraphs are introduced with “shall consider,” which creates ambiguity for preparers. It is unclear how “consideration” can be measured or audited, and what outcome is expected. This wording also borders on prescribing specific behaviour—an approach explicitly ruled out by ESRS 1 paragraph 5.</w:t>
            </w:r>
          </w:p>
        </w:tc>
      </w:tr>
    </w:tbl>
    <w:p w14:paraId="28EA2AAA" w14:textId="77777777" w:rsidR="002A38B7" w:rsidRDefault="002A38B7" w:rsidP="005F5CCF">
      <w:pPr>
        <w:spacing w:after="200" w:line="276" w:lineRule="auto"/>
        <w:rPr>
          <w:sz w:val="17"/>
          <w:szCs w:val="17"/>
        </w:rPr>
      </w:pPr>
    </w:p>
    <w:tbl>
      <w:tblPr>
        <w:tblStyle w:val="Mriekatabuky"/>
        <w:tblW w:w="0" w:type="auto"/>
        <w:tblLook w:val="04A0" w:firstRow="1" w:lastRow="0" w:firstColumn="1" w:lastColumn="0" w:noHBand="0" w:noVBand="1"/>
      </w:tblPr>
      <w:tblGrid>
        <w:gridCol w:w="9572"/>
      </w:tblGrid>
      <w:tr w:rsidR="007A7C5F" w14:paraId="35435E0C" w14:textId="77777777">
        <w:tc>
          <w:tcPr>
            <w:tcW w:w="9572" w:type="dxa"/>
            <w:shd w:val="clear" w:color="auto" w:fill="595959" w:themeFill="text1" w:themeFillTint="A6"/>
          </w:tcPr>
          <w:p w14:paraId="298382F3" w14:textId="7BDF9023" w:rsidR="007A7C5F" w:rsidRPr="00F92E2F" w:rsidRDefault="007A7C5F">
            <w:pPr>
              <w:spacing w:line="276" w:lineRule="auto"/>
              <w:rPr>
                <w:b/>
                <w:bCs/>
                <w:color w:val="FFFFFF" w:themeColor="background1"/>
                <w:sz w:val="17"/>
                <w:szCs w:val="17"/>
              </w:rPr>
            </w:pPr>
            <w:r w:rsidRPr="00F92E2F">
              <w:rPr>
                <w:b/>
                <w:bCs/>
                <w:color w:val="FFFFFF" w:themeColor="background1"/>
                <w:sz w:val="17"/>
                <w:szCs w:val="17"/>
              </w:rPr>
              <w:t xml:space="preserve">Question </w:t>
            </w:r>
            <w:r w:rsidR="005C3F4E">
              <w:rPr>
                <w:b/>
                <w:bCs/>
                <w:color w:val="FFFFFF" w:themeColor="background1"/>
                <w:sz w:val="17"/>
                <w:szCs w:val="17"/>
              </w:rPr>
              <w:t>1</w:t>
            </w:r>
            <w:r>
              <w:rPr>
                <w:b/>
                <w:bCs/>
                <w:color w:val="FFFFFF" w:themeColor="background1"/>
                <w:sz w:val="17"/>
                <w:szCs w:val="17"/>
              </w:rPr>
              <w:t>6</w:t>
            </w:r>
            <w:r w:rsidR="001936A9">
              <w:rPr>
                <w:b/>
                <w:bCs/>
                <w:color w:val="FFFFFF" w:themeColor="background1"/>
                <w:sz w:val="17"/>
                <w:szCs w:val="17"/>
              </w:rPr>
              <w:t xml:space="preserve"> on the u</w:t>
            </w:r>
            <w:r w:rsidR="001936A9" w:rsidRPr="001936A9">
              <w:rPr>
                <w:b/>
                <w:bCs/>
                <w:color w:val="FFFFFF" w:themeColor="background1"/>
                <w:sz w:val="17"/>
                <w:szCs w:val="17"/>
              </w:rPr>
              <w:t>sefulness and status of “Non-Mandatory Illustrative Guidance” (NMIG)</w:t>
            </w:r>
          </w:p>
        </w:tc>
      </w:tr>
      <w:tr w:rsidR="007A7C5F" w14:paraId="722A0B79" w14:textId="77777777">
        <w:tc>
          <w:tcPr>
            <w:tcW w:w="9572" w:type="dxa"/>
          </w:tcPr>
          <w:p w14:paraId="747BCDEB" w14:textId="1EFBAEEA" w:rsidR="007A7C5F" w:rsidRDefault="007A7C5F">
            <w:pPr>
              <w:spacing w:line="276" w:lineRule="auto"/>
              <w:rPr>
                <w:sz w:val="17"/>
                <w:szCs w:val="17"/>
              </w:rPr>
            </w:pPr>
            <w:r w:rsidRPr="00FF5136">
              <w:rPr>
                <w:b/>
                <w:bCs/>
                <w:sz w:val="17"/>
                <w:szCs w:val="17"/>
              </w:rPr>
              <w:t>Summary of changes</w:t>
            </w:r>
            <w:r>
              <w:rPr>
                <w:sz w:val="17"/>
                <w:szCs w:val="17"/>
              </w:rPr>
              <w:t xml:space="preserve">: </w:t>
            </w:r>
          </w:p>
          <w:p w14:paraId="2D6CE337" w14:textId="77777777" w:rsidR="008B0FF0" w:rsidRDefault="00666305" w:rsidP="00B34801">
            <w:pPr>
              <w:spacing w:before="120" w:line="276" w:lineRule="auto"/>
              <w:rPr>
                <w:sz w:val="17"/>
                <w:szCs w:val="17"/>
              </w:rPr>
            </w:pPr>
            <w:r w:rsidRPr="00666305">
              <w:rPr>
                <w:sz w:val="17"/>
                <w:szCs w:val="17"/>
              </w:rPr>
              <w:t>As a result of the simplification process, part of the mandatory content in the 2023 Delegated Act has been moved to “Non-Mandatory Illustrative Guidance” (NMIG). NMIG does not address all the existing implementation questions on each standard. It simply gathers the content that:</w:t>
            </w:r>
          </w:p>
          <w:p w14:paraId="211D9F40" w14:textId="5E74444B" w:rsidR="00666305" w:rsidRDefault="00666305" w:rsidP="008B0FF0">
            <w:pPr>
              <w:spacing w:line="276" w:lineRule="auto"/>
              <w:ind w:left="708"/>
              <w:rPr>
                <w:sz w:val="17"/>
                <w:szCs w:val="17"/>
              </w:rPr>
            </w:pPr>
            <w:r w:rsidRPr="00666305">
              <w:rPr>
                <w:sz w:val="17"/>
                <w:szCs w:val="17"/>
              </w:rPr>
              <w:t>a) was in the Delegated Act</w:t>
            </w:r>
          </w:p>
          <w:p w14:paraId="1F4F3BF8" w14:textId="77777777" w:rsidR="00666305" w:rsidRDefault="00666305" w:rsidP="008B0FF0">
            <w:pPr>
              <w:spacing w:line="276" w:lineRule="auto"/>
              <w:ind w:left="708"/>
              <w:rPr>
                <w:sz w:val="17"/>
                <w:szCs w:val="17"/>
              </w:rPr>
            </w:pPr>
            <w:r w:rsidRPr="00666305">
              <w:rPr>
                <w:sz w:val="17"/>
                <w:szCs w:val="17"/>
              </w:rPr>
              <w:t>b) is now deleted; and</w:t>
            </w:r>
          </w:p>
          <w:p w14:paraId="1E98E13D" w14:textId="77777777" w:rsidR="008B0FF0" w:rsidRDefault="00666305" w:rsidP="008B0FF0">
            <w:pPr>
              <w:spacing w:line="276" w:lineRule="auto"/>
              <w:ind w:left="708"/>
              <w:rPr>
                <w:sz w:val="17"/>
                <w:szCs w:val="17"/>
              </w:rPr>
            </w:pPr>
            <w:r w:rsidRPr="00666305">
              <w:rPr>
                <w:sz w:val="17"/>
                <w:szCs w:val="17"/>
              </w:rPr>
              <w:t>c) contributes to the overall datapoints reduction.</w:t>
            </w:r>
          </w:p>
          <w:p w14:paraId="4C97AF39" w14:textId="7F4CC698" w:rsidR="007A7C5F" w:rsidRPr="00F21217" w:rsidRDefault="00666305" w:rsidP="004B6433">
            <w:pPr>
              <w:spacing w:before="120" w:after="120" w:line="276" w:lineRule="auto"/>
              <w:rPr>
                <w:sz w:val="17"/>
                <w:szCs w:val="17"/>
              </w:rPr>
            </w:pPr>
            <w:r w:rsidRPr="00666305">
              <w:rPr>
                <w:sz w:val="17"/>
                <w:szCs w:val="17"/>
              </w:rPr>
              <w:t xml:space="preserve">It contains ‘how to report’ guidelines (methodology) and examples of possible items to cover when disclosing in accordance with a mandatory datapoint, mainly for narrative PAT disclosures. Its content should not be understood as a list of items of information requiring justification when not reported, consistent with the fact that the previous datapoints are deleted. The legal status of the NMIG will be considered by the European Commission (EC) in due course.  However, </w:t>
            </w:r>
            <w:r w:rsidRPr="004B6433">
              <w:rPr>
                <w:b/>
                <w:bCs/>
                <w:sz w:val="17"/>
                <w:szCs w:val="17"/>
              </w:rPr>
              <w:t xml:space="preserve">EFRAG recommends that the EC </w:t>
            </w:r>
            <w:r w:rsidR="004B6433">
              <w:rPr>
                <w:b/>
                <w:bCs/>
                <w:sz w:val="17"/>
                <w:szCs w:val="17"/>
              </w:rPr>
              <w:t xml:space="preserve">does </w:t>
            </w:r>
            <w:r w:rsidRPr="004B6433">
              <w:rPr>
                <w:b/>
                <w:bCs/>
                <w:sz w:val="17"/>
                <w:szCs w:val="17"/>
              </w:rPr>
              <w:t>not include this content in the Delegated Act</w:t>
            </w:r>
            <w:r w:rsidRPr="00666305">
              <w:rPr>
                <w:sz w:val="17"/>
                <w:szCs w:val="17"/>
              </w:rPr>
              <w:t>. On the one hand, NMIG contains helpful support material that may reduce the implementation questions. On the other hand, it could trigger additional efforts of analysis and/or have an ambiguous role as possible additional disclosure with entity-specific relevance if issued within the Delegated Act.  You can access the NMIG at this </w:t>
            </w:r>
            <w:hyperlink r:id="rId16" w:tgtFrame="_blank" w:history="1">
              <w:r w:rsidRPr="00666305">
                <w:rPr>
                  <w:rStyle w:val="Hypertextovprepojenie"/>
                  <w:sz w:val="17"/>
                  <w:szCs w:val="17"/>
                </w:rPr>
                <w:t>link</w:t>
              </w:r>
            </w:hyperlink>
            <w:r w:rsidRPr="00666305">
              <w:rPr>
                <w:sz w:val="17"/>
                <w:szCs w:val="17"/>
              </w:rPr>
              <w:t>.</w:t>
            </w:r>
          </w:p>
        </w:tc>
      </w:tr>
      <w:tr w:rsidR="007A7C5F" w14:paraId="6013C745" w14:textId="77777777">
        <w:tc>
          <w:tcPr>
            <w:tcW w:w="9572" w:type="dxa"/>
          </w:tcPr>
          <w:p w14:paraId="52072521" w14:textId="19EDD484" w:rsidR="007A7C5F" w:rsidRDefault="007A7C5F">
            <w:pPr>
              <w:spacing w:line="276" w:lineRule="auto"/>
              <w:rPr>
                <w:sz w:val="17"/>
                <w:szCs w:val="17"/>
              </w:rPr>
            </w:pPr>
            <w:r w:rsidRPr="00FF5136">
              <w:rPr>
                <w:b/>
                <w:bCs/>
                <w:sz w:val="17"/>
                <w:szCs w:val="17"/>
              </w:rPr>
              <w:t>Question</w:t>
            </w:r>
            <w:r>
              <w:rPr>
                <w:sz w:val="17"/>
                <w:szCs w:val="17"/>
              </w:rPr>
              <w:t xml:space="preserve">: </w:t>
            </w:r>
            <w:r w:rsidR="000835BB">
              <w:rPr>
                <w:sz w:val="17"/>
                <w:szCs w:val="17"/>
              </w:rPr>
              <w:t>Members are invited to provide comments on any of the specific NMIG (ESRS 1, ESRS 2, E1, …)</w:t>
            </w:r>
          </w:p>
          <w:p w14:paraId="62671B9B" w14:textId="77777777" w:rsidR="004B6433" w:rsidRDefault="004B6433" w:rsidP="004B6433">
            <w:pPr>
              <w:spacing w:line="276" w:lineRule="auto"/>
              <w:rPr>
                <w:sz w:val="17"/>
                <w:szCs w:val="17"/>
              </w:rPr>
            </w:pPr>
          </w:p>
          <w:p w14:paraId="3A9754E0" w14:textId="0355D4D4" w:rsidR="004B6433" w:rsidRPr="006E13D2" w:rsidRDefault="004B6433" w:rsidP="004B6433">
            <w:pPr>
              <w:spacing w:line="276" w:lineRule="auto"/>
              <w:rPr>
                <w:sz w:val="17"/>
                <w:szCs w:val="17"/>
                <w:lang w:val="de-DE"/>
              </w:rPr>
            </w:pPr>
            <w:r w:rsidRPr="006E13D2">
              <w:rPr>
                <w:sz w:val="17"/>
                <w:szCs w:val="17"/>
                <w:lang w:val="de-DE"/>
              </w:rPr>
              <w:t>NMIG ESRS 1: _____________________</w:t>
            </w:r>
            <w:r w:rsidR="00380228" w:rsidRPr="006E13D2">
              <w:rPr>
                <w:sz w:val="17"/>
                <w:szCs w:val="17"/>
                <w:lang w:val="de-DE"/>
              </w:rPr>
              <w:t>_</w:t>
            </w:r>
          </w:p>
          <w:p w14:paraId="5A9FE180" w14:textId="2C70ED8C" w:rsidR="004B6433" w:rsidRPr="006E13D2" w:rsidRDefault="004B6433" w:rsidP="004B6433">
            <w:pPr>
              <w:spacing w:line="276" w:lineRule="auto"/>
              <w:rPr>
                <w:sz w:val="17"/>
                <w:szCs w:val="17"/>
                <w:lang w:val="de-DE"/>
              </w:rPr>
            </w:pPr>
            <w:r w:rsidRPr="006E13D2">
              <w:rPr>
                <w:sz w:val="17"/>
                <w:szCs w:val="17"/>
                <w:lang w:val="de-DE"/>
              </w:rPr>
              <w:t>NMIG ESRS 2</w:t>
            </w:r>
            <w:r w:rsidR="00380228" w:rsidRPr="006E13D2">
              <w:rPr>
                <w:sz w:val="17"/>
                <w:szCs w:val="17"/>
                <w:lang w:val="de-DE"/>
              </w:rPr>
              <w:t>: ______________________</w:t>
            </w:r>
            <w:r w:rsidRPr="006E13D2">
              <w:rPr>
                <w:sz w:val="17"/>
                <w:szCs w:val="17"/>
                <w:lang w:val="de-DE"/>
              </w:rPr>
              <w:t xml:space="preserve"> </w:t>
            </w:r>
          </w:p>
          <w:p w14:paraId="429ADA52" w14:textId="657B88EB" w:rsidR="004B6433" w:rsidRPr="006E13D2" w:rsidRDefault="004B6433" w:rsidP="004B6433">
            <w:pPr>
              <w:spacing w:line="276" w:lineRule="auto"/>
              <w:rPr>
                <w:sz w:val="17"/>
                <w:szCs w:val="17"/>
                <w:lang w:val="de-DE"/>
              </w:rPr>
            </w:pPr>
            <w:r w:rsidRPr="006E13D2">
              <w:rPr>
                <w:sz w:val="17"/>
                <w:szCs w:val="17"/>
                <w:lang w:val="de-DE"/>
              </w:rPr>
              <w:t>NMIG ESRS E1</w:t>
            </w:r>
            <w:r w:rsidR="00380228" w:rsidRPr="006E13D2">
              <w:rPr>
                <w:sz w:val="17"/>
                <w:szCs w:val="17"/>
                <w:lang w:val="de-DE"/>
              </w:rPr>
              <w:t>: _____________________</w:t>
            </w:r>
            <w:r w:rsidRPr="006E13D2">
              <w:rPr>
                <w:sz w:val="17"/>
                <w:szCs w:val="17"/>
                <w:lang w:val="de-DE"/>
              </w:rPr>
              <w:t xml:space="preserve"> </w:t>
            </w:r>
          </w:p>
          <w:p w14:paraId="49B64811" w14:textId="4F409CBA" w:rsidR="004B6433" w:rsidRPr="006E13D2" w:rsidRDefault="004B6433" w:rsidP="004B6433">
            <w:pPr>
              <w:spacing w:line="276" w:lineRule="auto"/>
              <w:rPr>
                <w:sz w:val="17"/>
                <w:szCs w:val="17"/>
                <w:lang w:val="de-DE"/>
              </w:rPr>
            </w:pPr>
            <w:r w:rsidRPr="006E13D2">
              <w:rPr>
                <w:sz w:val="17"/>
                <w:szCs w:val="17"/>
                <w:lang w:val="de-DE"/>
              </w:rPr>
              <w:t>NMIG ESRS E2</w:t>
            </w:r>
            <w:r w:rsidR="00380228" w:rsidRPr="006E13D2">
              <w:rPr>
                <w:sz w:val="17"/>
                <w:szCs w:val="17"/>
                <w:lang w:val="de-DE"/>
              </w:rPr>
              <w:t>: _____________________</w:t>
            </w:r>
            <w:r w:rsidRPr="006E13D2">
              <w:rPr>
                <w:sz w:val="17"/>
                <w:szCs w:val="17"/>
                <w:lang w:val="de-DE"/>
              </w:rPr>
              <w:t xml:space="preserve"> </w:t>
            </w:r>
          </w:p>
          <w:p w14:paraId="70F78A91" w14:textId="7CC960FC" w:rsidR="004B6433" w:rsidRPr="006E13D2" w:rsidRDefault="004B6433" w:rsidP="004B6433">
            <w:pPr>
              <w:spacing w:line="276" w:lineRule="auto"/>
              <w:rPr>
                <w:sz w:val="17"/>
                <w:szCs w:val="17"/>
                <w:lang w:val="de-DE"/>
              </w:rPr>
            </w:pPr>
            <w:r w:rsidRPr="006E13D2">
              <w:rPr>
                <w:sz w:val="17"/>
                <w:szCs w:val="17"/>
                <w:lang w:val="de-DE"/>
              </w:rPr>
              <w:t>NMIG ESRS E3</w:t>
            </w:r>
            <w:r w:rsidR="00380228" w:rsidRPr="006E13D2">
              <w:rPr>
                <w:sz w:val="17"/>
                <w:szCs w:val="17"/>
                <w:lang w:val="de-DE"/>
              </w:rPr>
              <w:t>: _____________________</w:t>
            </w:r>
            <w:r w:rsidRPr="006E13D2">
              <w:rPr>
                <w:sz w:val="17"/>
                <w:szCs w:val="17"/>
                <w:lang w:val="de-DE"/>
              </w:rPr>
              <w:t xml:space="preserve"> </w:t>
            </w:r>
          </w:p>
          <w:p w14:paraId="638BC712" w14:textId="549AA672" w:rsidR="004B6433" w:rsidRPr="006E13D2" w:rsidRDefault="004B6433" w:rsidP="004B6433">
            <w:pPr>
              <w:spacing w:line="276" w:lineRule="auto"/>
              <w:rPr>
                <w:sz w:val="17"/>
                <w:szCs w:val="17"/>
                <w:lang w:val="de-DE"/>
              </w:rPr>
            </w:pPr>
            <w:r w:rsidRPr="006E13D2">
              <w:rPr>
                <w:sz w:val="17"/>
                <w:szCs w:val="17"/>
                <w:lang w:val="de-DE"/>
              </w:rPr>
              <w:t>NMIG ESRS E4</w:t>
            </w:r>
            <w:r w:rsidR="00380228" w:rsidRPr="006E13D2">
              <w:rPr>
                <w:sz w:val="17"/>
                <w:szCs w:val="17"/>
                <w:lang w:val="de-DE"/>
              </w:rPr>
              <w:t>: _____________________</w:t>
            </w:r>
            <w:r w:rsidRPr="006E13D2">
              <w:rPr>
                <w:sz w:val="17"/>
                <w:szCs w:val="17"/>
                <w:lang w:val="de-DE"/>
              </w:rPr>
              <w:t xml:space="preserve"> </w:t>
            </w:r>
          </w:p>
          <w:p w14:paraId="0460FB0C" w14:textId="4BF049D7" w:rsidR="004B6433" w:rsidRPr="006E13D2" w:rsidRDefault="004B6433" w:rsidP="004B6433">
            <w:pPr>
              <w:spacing w:line="276" w:lineRule="auto"/>
              <w:rPr>
                <w:sz w:val="17"/>
                <w:szCs w:val="17"/>
                <w:lang w:val="de-DE"/>
              </w:rPr>
            </w:pPr>
            <w:r w:rsidRPr="006E13D2">
              <w:rPr>
                <w:sz w:val="17"/>
                <w:szCs w:val="17"/>
                <w:lang w:val="de-DE"/>
              </w:rPr>
              <w:t>NMIG ESRS E5</w:t>
            </w:r>
            <w:r w:rsidR="00380228" w:rsidRPr="006E13D2">
              <w:rPr>
                <w:sz w:val="17"/>
                <w:szCs w:val="17"/>
                <w:lang w:val="de-DE"/>
              </w:rPr>
              <w:t>: _____________________</w:t>
            </w:r>
            <w:r w:rsidRPr="006E13D2">
              <w:rPr>
                <w:sz w:val="17"/>
                <w:szCs w:val="17"/>
                <w:lang w:val="de-DE"/>
              </w:rPr>
              <w:t xml:space="preserve"> </w:t>
            </w:r>
          </w:p>
          <w:p w14:paraId="178BB85B" w14:textId="5C4DA28F" w:rsidR="004B6433" w:rsidRPr="006E13D2" w:rsidRDefault="004B6433" w:rsidP="004B6433">
            <w:pPr>
              <w:spacing w:line="276" w:lineRule="auto"/>
              <w:rPr>
                <w:sz w:val="17"/>
                <w:szCs w:val="17"/>
                <w:lang w:val="nl-NL"/>
              </w:rPr>
            </w:pPr>
            <w:r w:rsidRPr="006E13D2">
              <w:rPr>
                <w:sz w:val="17"/>
                <w:szCs w:val="17"/>
                <w:lang w:val="nl-NL"/>
              </w:rPr>
              <w:t>NMIG ESRS S1</w:t>
            </w:r>
            <w:r w:rsidR="00380228" w:rsidRPr="006E13D2">
              <w:rPr>
                <w:sz w:val="17"/>
                <w:szCs w:val="17"/>
                <w:lang w:val="nl-NL"/>
              </w:rPr>
              <w:t>: _____________________</w:t>
            </w:r>
            <w:r w:rsidRPr="006E13D2">
              <w:rPr>
                <w:sz w:val="17"/>
                <w:szCs w:val="17"/>
                <w:lang w:val="nl-NL"/>
              </w:rPr>
              <w:t xml:space="preserve"> </w:t>
            </w:r>
          </w:p>
          <w:p w14:paraId="662C28FD" w14:textId="29621F8B" w:rsidR="004B6433" w:rsidRPr="006E13D2" w:rsidRDefault="004B6433" w:rsidP="004B6433">
            <w:pPr>
              <w:spacing w:line="276" w:lineRule="auto"/>
              <w:rPr>
                <w:sz w:val="17"/>
                <w:szCs w:val="17"/>
                <w:lang w:val="nl-NL"/>
              </w:rPr>
            </w:pPr>
            <w:r w:rsidRPr="006E13D2">
              <w:rPr>
                <w:sz w:val="17"/>
                <w:szCs w:val="17"/>
                <w:lang w:val="nl-NL"/>
              </w:rPr>
              <w:t>NMIG ESRS S2</w:t>
            </w:r>
            <w:r w:rsidR="00380228" w:rsidRPr="006E13D2">
              <w:rPr>
                <w:sz w:val="17"/>
                <w:szCs w:val="17"/>
                <w:lang w:val="nl-NL"/>
              </w:rPr>
              <w:t>: _____________________</w:t>
            </w:r>
            <w:r w:rsidRPr="006E13D2">
              <w:rPr>
                <w:sz w:val="17"/>
                <w:szCs w:val="17"/>
                <w:lang w:val="nl-NL"/>
              </w:rPr>
              <w:t xml:space="preserve"> </w:t>
            </w:r>
          </w:p>
          <w:p w14:paraId="472D5903" w14:textId="3460D7EF" w:rsidR="004B6433" w:rsidRPr="006E13D2" w:rsidRDefault="004B6433" w:rsidP="004B6433">
            <w:pPr>
              <w:spacing w:line="276" w:lineRule="auto"/>
              <w:rPr>
                <w:sz w:val="17"/>
                <w:szCs w:val="17"/>
                <w:lang w:val="nl-NL"/>
              </w:rPr>
            </w:pPr>
            <w:r w:rsidRPr="006E13D2">
              <w:rPr>
                <w:sz w:val="17"/>
                <w:szCs w:val="17"/>
                <w:lang w:val="nl-NL"/>
              </w:rPr>
              <w:t>NMIG ESRS S3</w:t>
            </w:r>
            <w:r w:rsidR="00380228" w:rsidRPr="006E13D2">
              <w:rPr>
                <w:sz w:val="17"/>
                <w:szCs w:val="17"/>
                <w:lang w:val="nl-NL"/>
              </w:rPr>
              <w:t>: _____________________</w:t>
            </w:r>
            <w:r w:rsidRPr="006E13D2">
              <w:rPr>
                <w:sz w:val="17"/>
                <w:szCs w:val="17"/>
                <w:lang w:val="nl-NL"/>
              </w:rPr>
              <w:t xml:space="preserve"> </w:t>
            </w:r>
          </w:p>
          <w:p w14:paraId="31BC9F88" w14:textId="0248CDC2" w:rsidR="004B6433" w:rsidRPr="006E13D2" w:rsidRDefault="004B6433" w:rsidP="004B6433">
            <w:pPr>
              <w:spacing w:line="276" w:lineRule="auto"/>
              <w:rPr>
                <w:sz w:val="17"/>
                <w:szCs w:val="17"/>
                <w:lang w:val="nl-NL"/>
              </w:rPr>
            </w:pPr>
            <w:r w:rsidRPr="006E13D2">
              <w:rPr>
                <w:sz w:val="17"/>
                <w:szCs w:val="17"/>
                <w:lang w:val="nl-NL"/>
              </w:rPr>
              <w:t>NMIG ESRS S4</w:t>
            </w:r>
            <w:r w:rsidR="00380228" w:rsidRPr="006E13D2">
              <w:rPr>
                <w:sz w:val="17"/>
                <w:szCs w:val="17"/>
                <w:lang w:val="nl-NL"/>
              </w:rPr>
              <w:t>: _____________________</w:t>
            </w:r>
            <w:r w:rsidRPr="006E13D2">
              <w:rPr>
                <w:sz w:val="17"/>
                <w:szCs w:val="17"/>
                <w:lang w:val="nl-NL"/>
              </w:rPr>
              <w:t xml:space="preserve"> </w:t>
            </w:r>
          </w:p>
          <w:p w14:paraId="2016A5FB" w14:textId="3E0A4E77" w:rsidR="007A7C5F" w:rsidRPr="007B35B5" w:rsidRDefault="004B6433">
            <w:pPr>
              <w:spacing w:line="276" w:lineRule="auto"/>
              <w:rPr>
                <w:sz w:val="17"/>
                <w:szCs w:val="17"/>
              </w:rPr>
            </w:pPr>
            <w:r w:rsidRPr="007B35B5">
              <w:rPr>
                <w:sz w:val="17"/>
                <w:szCs w:val="17"/>
              </w:rPr>
              <w:t>NMIG ESRS G1</w:t>
            </w:r>
            <w:r w:rsidR="00380228" w:rsidRPr="007B35B5">
              <w:rPr>
                <w:sz w:val="17"/>
                <w:szCs w:val="17"/>
              </w:rPr>
              <w:t>: _____________________</w:t>
            </w:r>
            <w:r w:rsidRPr="007B35B5">
              <w:rPr>
                <w:sz w:val="17"/>
                <w:szCs w:val="17"/>
              </w:rPr>
              <w:t xml:space="preserve"> </w:t>
            </w:r>
          </w:p>
          <w:p w14:paraId="1F87DF89" w14:textId="77777777" w:rsidR="004B6433" w:rsidRPr="007B35B5" w:rsidRDefault="004B6433">
            <w:pPr>
              <w:spacing w:line="276" w:lineRule="auto"/>
              <w:rPr>
                <w:sz w:val="17"/>
                <w:szCs w:val="17"/>
              </w:rPr>
            </w:pPr>
          </w:p>
          <w:p w14:paraId="5774772D" w14:textId="77777777" w:rsidR="007E6275" w:rsidRPr="007B35B5" w:rsidRDefault="003E494B" w:rsidP="007E6275">
            <w:pPr>
              <w:spacing w:line="276" w:lineRule="auto"/>
              <w:rPr>
                <w:sz w:val="17"/>
                <w:szCs w:val="17"/>
              </w:rPr>
            </w:pPr>
            <w:r w:rsidRPr="007B35B5">
              <w:rPr>
                <w:b/>
                <w:sz w:val="17"/>
                <w:szCs w:val="17"/>
              </w:rPr>
              <w:t>Insurance Europe response</w:t>
            </w:r>
            <w:r w:rsidR="007E6275" w:rsidRPr="007B35B5">
              <w:rPr>
                <w:sz w:val="17"/>
                <w:szCs w:val="17"/>
              </w:rPr>
              <w:t>:</w:t>
            </w:r>
          </w:p>
          <w:p w14:paraId="77284CB6" w14:textId="2C22FBEA" w:rsidR="00B87FA2" w:rsidRDefault="00380228" w:rsidP="00380228">
            <w:pPr>
              <w:spacing w:before="120" w:line="276" w:lineRule="auto"/>
              <w:rPr>
                <w:sz w:val="17"/>
                <w:szCs w:val="17"/>
              </w:rPr>
            </w:pPr>
            <w:r w:rsidRPr="00380228">
              <w:rPr>
                <w:sz w:val="17"/>
                <w:szCs w:val="17"/>
              </w:rPr>
              <w:t>We support EFRAG’s recommendation not to include the NMIG in the Delegated Act. Doing so would undermine the simplification objective by effectively reintroducing voluntary datapoints in another form, placing unnecessary pressure on preparers to consider and potentially justify non-mandatory disclosures.</w:t>
            </w:r>
          </w:p>
        </w:tc>
      </w:tr>
    </w:tbl>
    <w:p w14:paraId="67703677" w14:textId="77777777" w:rsidR="007A7C5F" w:rsidRDefault="007A7C5F" w:rsidP="005F5CCF">
      <w:pPr>
        <w:spacing w:after="200" w:line="276" w:lineRule="auto"/>
        <w:rPr>
          <w:sz w:val="17"/>
          <w:szCs w:val="17"/>
        </w:rPr>
      </w:pPr>
    </w:p>
    <w:tbl>
      <w:tblPr>
        <w:tblStyle w:val="Mriekatabuky"/>
        <w:tblW w:w="0" w:type="auto"/>
        <w:tblLook w:val="04A0" w:firstRow="1" w:lastRow="0" w:firstColumn="1" w:lastColumn="0" w:noHBand="0" w:noVBand="1"/>
      </w:tblPr>
      <w:tblGrid>
        <w:gridCol w:w="9572"/>
      </w:tblGrid>
      <w:tr w:rsidR="007A7C5F" w14:paraId="2962F0B7" w14:textId="77777777">
        <w:tc>
          <w:tcPr>
            <w:tcW w:w="9572" w:type="dxa"/>
            <w:shd w:val="clear" w:color="auto" w:fill="595959" w:themeFill="text1" w:themeFillTint="A6"/>
          </w:tcPr>
          <w:p w14:paraId="614EDC36" w14:textId="4AA980AE" w:rsidR="007A7C5F" w:rsidRPr="00F92E2F" w:rsidRDefault="007A7C5F">
            <w:pPr>
              <w:spacing w:line="276" w:lineRule="auto"/>
              <w:rPr>
                <w:b/>
                <w:bCs/>
                <w:color w:val="FFFFFF" w:themeColor="background1"/>
                <w:sz w:val="17"/>
                <w:szCs w:val="17"/>
              </w:rPr>
            </w:pPr>
            <w:r w:rsidRPr="00F92E2F">
              <w:rPr>
                <w:b/>
                <w:bCs/>
                <w:color w:val="FFFFFF" w:themeColor="background1"/>
                <w:sz w:val="17"/>
                <w:szCs w:val="17"/>
              </w:rPr>
              <w:t xml:space="preserve">Question </w:t>
            </w:r>
            <w:r w:rsidR="005C3F4E">
              <w:rPr>
                <w:b/>
                <w:bCs/>
                <w:color w:val="FFFFFF" w:themeColor="background1"/>
                <w:sz w:val="17"/>
                <w:szCs w:val="17"/>
              </w:rPr>
              <w:t>1</w:t>
            </w:r>
            <w:r>
              <w:rPr>
                <w:b/>
                <w:bCs/>
                <w:color w:val="FFFFFF" w:themeColor="background1"/>
                <w:sz w:val="17"/>
                <w:szCs w:val="17"/>
              </w:rPr>
              <w:t>7</w:t>
            </w:r>
            <w:r w:rsidR="00171899">
              <w:rPr>
                <w:b/>
                <w:bCs/>
                <w:color w:val="FFFFFF" w:themeColor="background1"/>
                <w:sz w:val="17"/>
                <w:szCs w:val="17"/>
              </w:rPr>
              <w:t xml:space="preserve"> on b</w:t>
            </w:r>
            <w:r w:rsidR="00171899" w:rsidRPr="00171899">
              <w:rPr>
                <w:b/>
                <w:bCs/>
                <w:color w:val="FFFFFF" w:themeColor="background1"/>
                <w:sz w:val="17"/>
                <w:szCs w:val="17"/>
              </w:rPr>
              <w:t>urden reliefs and other suggested clarifications</w:t>
            </w:r>
          </w:p>
        </w:tc>
      </w:tr>
      <w:tr w:rsidR="007A7C5F" w14:paraId="352A7AFF" w14:textId="77777777">
        <w:tc>
          <w:tcPr>
            <w:tcW w:w="9572" w:type="dxa"/>
          </w:tcPr>
          <w:p w14:paraId="3996BAC0" w14:textId="77777777" w:rsidR="007E6336" w:rsidRDefault="007A7C5F" w:rsidP="00171899">
            <w:pPr>
              <w:spacing w:line="276" w:lineRule="auto"/>
              <w:rPr>
                <w:sz w:val="17"/>
                <w:szCs w:val="17"/>
              </w:rPr>
            </w:pPr>
            <w:r w:rsidRPr="00FF5136">
              <w:rPr>
                <w:b/>
                <w:bCs/>
                <w:sz w:val="17"/>
                <w:szCs w:val="17"/>
              </w:rPr>
              <w:t>Summary of changes</w:t>
            </w:r>
            <w:r>
              <w:rPr>
                <w:sz w:val="17"/>
                <w:szCs w:val="17"/>
              </w:rPr>
              <w:t>:</w:t>
            </w:r>
          </w:p>
          <w:p w14:paraId="4F538D79" w14:textId="66871A82" w:rsidR="00171899" w:rsidRPr="00171899" w:rsidRDefault="00171899" w:rsidP="00B34801">
            <w:pPr>
              <w:spacing w:before="120" w:line="276" w:lineRule="auto"/>
              <w:rPr>
                <w:sz w:val="17"/>
                <w:szCs w:val="17"/>
              </w:rPr>
            </w:pPr>
            <w:r w:rsidRPr="00171899">
              <w:rPr>
                <w:sz w:val="17"/>
                <w:szCs w:val="17"/>
              </w:rPr>
              <w:t>EFRAG has implemented the following changes:</w:t>
            </w:r>
          </w:p>
          <w:p w14:paraId="536738B1" w14:textId="77777777" w:rsidR="00171899" w:rsidRPr="00171899" w:rsidRDefault="00171899" w:rsidP="00A14BA6">
            <w:pPr>
              <w:numPr>
                <w:ilvl w:val="0"/>
                <w:numId w:val="7"/>
              </w:numPr>
              <w:spacing w:line="276" w:lineRule="auto"/>
              <w:rPr>
                <w:sz w:val="17"/>
                <w:szCs w:val="17"/>
              </w:rPr>
            </w:pPr>
            <w:r w:rsidRPr="00171899">
              <w:rPr>
                <w:sz w:val="17"/>
                <w:szCs w:val="17"/>
              </w:rPr>
              <w:t>The relief “undue cost or effort” has been introduced, including for the calculation of metrics.</w:t>
            </w:r>
          </w:p>
          <w:p w14:paraId="39F6C10F" w14:textId="77777777" w:rsidR="00171899" w:rsidRPr="00171899" w:rsidRDefault="00171899" w:rsidP="00A14BA6">
            <w:pPr>
              <w:numPr>
                <w:ilvl w:val="0"/>
                <w:numId w:val="7"/>
              </w:numPr>
              <w:spacing w:line="276" w:lineRule="auto"/>
              <w:rPr>
                <w:sz w:val="17"/>
                <w:szCs w:val="17"/>
              </w:rPr>
            </w:pPr>
            <w:r w:rsidRPr="00171899">
              <w:rPr>
                <w:sz w:val="17"/>
                <w:szCs w:val="17"/>
              </w:rPr>
              <w:t>A relief for lack of data quality has been introduced for metrics (ESRS 1 Paragraph 91), allowing to report a partial scope and disclosing actions to improve the coverage in future periods.</w:t>
            </w:r>
          </w:p>
          <w:p w14:paraId="4A591F5C" w14:textId="77777777" w:rsidR="00171899" w:rsidRPr="00171899" w:rsidRDefault="00171899" w:rsidP="00A14BA6">
            <w:pPr>
              <w:numPr>
                <w:ilvl w:val="0"/>
                <w:numId w:val="7"/>
              </w:numPr>
              <w:spacing w:line="276" w:lineRule="auto"/>
              <w:rPr>
                <w:sz w:val="17"/>
                <w:szCs w:val="17"/>
              </w:rPr>
            </w:pPr>
            <w:r w:rsidRPr="00171899">
              <w:rPr>
                <w:sz w:val="17"/>
                <w:szCs w:val="17"/>
              </w:rPr>
              <w:lastRenderedPageBreak/>
              <w:t>The systematic preference for direct data as input to the calculation of value chain metrics has been removed and undertakings may use direct data or estimates depending on practicability and reliability (ESRS 1, Paragraph 91).</w:t>
            </w:r>
          </w:p>
          <w:p w14:paraId="5814EE21" w14:textId="77777777" w:rsidR="00171899" w:rsidRPr="00171899" w:rsidRDefault="00171899" w:rsidP="00A14BA6">
            <w:pPr>
              <w:numPr>
                <w:ilvl w:val="0"/>
                <w:numId w:val="7"/>
              </w:numPr>
              <w:spacing w:line="276" w:lineRule="auto"/>
              <w:rPr>
                <w:sz w:val="17"/>
                <w:szCs w:val="17"/>
              </w:rPr>
            </w:pPr>
            <w:r w:rsidRPr="00171899">
              <w:rPr>
                <w:sz w:val="17"/>
                <w:szCs w:val="17"/>
              </w:rPr>
              <w:t>Undertakings may exclude from the calculation of metrics their activities that are not a significant driver of IROs (ESRS 1, Paragraph 90) and may exclude joint operations on which they do not have operational control when calculating environmental metrics other than climate (ESRS 1, paragraph 92).</w:t>
            </w:r>
          </w:p>
          <w:p w14:paraId="36003C6F" w14:textId="77777777" w:rsidR="00171899" w:rsidRPr="00171899" w:rsidRDefault="00171899" w:rsidP="00A14BA6">
            <w:pPr>
              <w:numPr>
                <w:ilvl w:val="0"/>
                <w:numId w:val="7"/>
              </w:numPr>
              <w:spacing w:line="276" w:lineRule="auto"/>
              <w:rPr>
                <w:sz w:val="17"/>
                <w:szCs w:val="17"/>
              </w:rPr>
            </w:pPr>
            <w:r w:rsidRPr="00171899">
              <w:rPr>
                <w:sz w:val="17"/>
                <w:szCs w:val="17"/>
              </w:rPr>
              <w:t>Disclosure about resilience is now limited to risks only and limited to qualitative information only (ESRS 2, Paragraph 24 and ESRS E1, Paragraph 21).</w:t>
            </w:r>
          </w:p>
          <w:p w14:paraId="421B3D00" w14:textId="77777777" w:rsidR="00171899" w:rsidRPr="00171899" w:rsidRDefault="00171899" w:rsidP="00A14BA6">
            <w:pPr>
              <w:numPr>
                <w:ilvl w:val="0"/>
                <w:numId w:val="7"/>
              </w:numPr>
              <w:spacing w:line="276" w:lineRule="auto"/>
              <w:rPr>
                <w:sz w:val="17"/>
                <w:szCs w:val="17"/>
              </w:rPr>
            </w:pPr>
            <w:r w:rsidRPr="00171899">
              <w:rPr>
                <w:sz w:val="17"/>
                <w:szCs w:val="17"/>
              </w:rPr>
              <w:t>When disclosing financial effects, the information on investments and plans is now limited to those that are already announced (ESRS 2, AR 16 Paragraph 23(b)).</w:t>
            </w:r>
          </w:p>
          <w:p w14:paraId="29FFF833" w14:textId="77777777" w:rsidR="00171899" w:rsidRPr="00171899" w:rsidRDefault="00171899" w:rsidP="00A14BA6">
            <w:pPr>
              <w:numPr>
                <w:ilvl w:val="0"/>
                <w:numId w:val="7"/>
              </w:numPr>
              <w:spacing w:line="276" w:lineRule="auto"/>
              <w:rPr>
                <w:sz w:val="17"/>
                <w:szCs w:val="17"/>
              </w:rPr>
            </w:pPr>
            <w:r w:rsidRPr="00171899">
              <w:rPr>
                <w:sz w:val="17"/>
                <w:szCs w:val="17"/>
              </w:rPr>
              <w:t>A new relief for acquisitions (disposals) of subsidiaries has been introduced (ESRS 2, Paragraph 5(k)) allowing to include (exclude) the subsidiary starting from the subsequent (from the beginning of the) period.</w:t>
            </w:r>
          </w:p>
          <w:p w14:paraId="5BE19624" w14:textId="77777777" w:rsidR="00171899" w:rsidRPr="00171899" w:rsidRDefault="00171899" w:rsidP="00A14BA6">
            <w:pPr>
              <w:numPr>
                <w:ilvl w:val="0"/>
                <w:numId w:val="7"/>
              </w:numPr>
              <w:spacing w:line="276" w:lineRule="auto"/>
              <w:rPr>
                <w:sz w:val="17"/>
                <w:szCs w:val="17"/>
              </w:rPr>
            </w:pPr>
            <w:r w:rsidRPr="00171899">
              <w:rPr>
                <w:sz w:val="17"/>
                <w:szCs w:val="17"/>
              </w:rPr>
              <w:t>Several implementation issues identified in the EFRAG ESRS Q&amp;A implementation platform from October 2024 to February 2025 (Chapter of Basis for Conclusions (BfC)) have been addressed, clarifying the corresponding provisions.</w:t>
            </w:r>
          </w:p>
          <w:p w14:paraId="3F82E301" w14:textId="7849C635" w:rsidR="00171899" w:rsidRDefault="00171899" w:rsidP="00171899">
            <w:pPr>
              <w:spacing w:line="276" w:lineRule="auto"/>
              <w:rPr>
                <w:sz w:val="17"/>
                <w:szCs w:val="17"/>
              </w:rPr>
            </w:pPr>
            <w:r w:rsidRPr="00171899">
              <w:rPr>
                <w:sz w:val="17"/>
                <w:szCs w:val="17"/>
              </w:rPr>
              <w:br/>
            </w:r>
            <w:r w:rsidRPr="003151A4">
              <w:rPr>
                <w:i/>
                <w:iCs/>
                <w:sz w:val="17"/>
                <w:szCs w:val="17"/>
              </w:rPr>
              <w:t>Following the EC representatives’ recommendation, EFRAG did not include additional relief for commercial sensitive information, pending the changes of level 1 regulation, where this issue is being considered</w:t>
            </w:r>
            <w:r w:rsidRPr="00171899">
              <w:rPr>
                <w:sz w:val="17"/>
                <w:szCs w:val="17"/>
              </w:rPr>
              <w:t>.</w:t>
            </w:r>
          </w:p>
          <w:p w14:paraId="09EF1CA4" w14:textId="77777777" w:rsidR="007A7C5F" w:rsidRPr="00F21217" w:rsidRDefault="007A7C5F">
            <w:pPr>
              <w:spacing w:line="276" w:lineRule="auto"/>
              <w:rPr>
                <w:sz w:val="17"/>
                <w:szCs w:val="17"/>
              </w:rPr>
            </w:pPr>
          </w:p>
        </w:tc>
      </w:tr>
      <w:tr w:rsidR="007A7C5F" w14:paraId="6407A05D" w14:textId="77777777">
        <w:tc>
          <w:tcPr>
            <w:tcW w:w="9572" w:type="dxa"/>
          </w:tcPr>
          <w:p w14:paraId="478B4F8B" w14:textId="6EB13AE3" w:rsidR="00440433" w:rsidRDefault="007A7C5F" w:rsidP="00440433">
            <w:pPr>
              <w:spacing w:line="276" w:lineRule="auto"/>
              <w:rPr>
                <w:sz w:val="17"/>
                <w:szCs w:val="17"/>
              </w:rPr>
            </w:pPr>
            <w:r w:rsidRPr="00FF5136">
              <w:rPr>
                <w:b/>
                <w:bCs/>
                <w:sz w:val="17"/>
                <w:szCs w:val="17"/>
              </w:rPr>
              <w:lastRenderedPageBreak/>
              <w:t>Question</w:t>
            </w:r>
            <w:r>
              <w:rPr>
                <w:sz w:val="17"/>
                <w:szCs w:val="17"/>
              </w:rPr>
              <w:t xml:space="preserve">: </w:t>
            </w:r>
            <w:r w:rsidR="00440433" w:rsidRPr="00440433">
              <w:rPr>
                <w:sz w:val="17"/>
                <w:szCs w:val="17"/>
              </w:rPr>
              <w:t>Do you agree that these proposed Amendments provide sufficient relief and strike an acceptable balance between (a) responding to the stakeholders’ demands for burden reliefs and (b) preserving the transparency needed to achieve the objectives of the EU Green Deal, as well as interoperability with the ISSB’s IFRS S1 and S2?</w:t>
            </w:r>
          </w:p>
          <w:p w14:paraId="7A5BAC01" w14:textId="74B2D728" w:rsidR="008739BE" w:rsidRPr="00440433" w:rsidRDefault="008739BE" w:rsidP="00D55BF8">
            <w:pPr>
              <w:spacing w:before="120" w:line="276" w:lineRule="auto"/>
              <w:rPr>
                <w:sz w:val="17"/>
                <w:szCs w:val="17"/>
              </w:rPr>
            </w:pPr>
            <w:r w:rsidRPr="008739BE">
              <w:rPr>
                <w:i/>
                <w:iCs/>
                <w:sz w:val="17"/>
                <w:szCs w:val="17"/>
              </w:rPr>
              <w:t xml:space="preserve">EFRAG considered how to improve consistency with other pieces of regulation. Considering what can be achieved in these Amendments (as opposed to what requires modification by the other regulation) EFRAG gave priority to the SFDR regulation. Please refer to question </w:t>
            </w:r>
            <w:r w:rsidR="00C90539">
              <w:rPr>
                <w:i/>
                <w:iCs/>
                <w:sz w:val="17"/>
                <w:szCs w:val="17"/>
              </w:rPr>
              <w:t>2</w:t>
            </w:r>
            <w:r w:rsidRPr="008739BE">
              <w:rPr>
                <w:i/>
                <w:iCs/>
                <w:sz w:val="17"/>
                <w:szCs w:val="17"/>
              </w:rPr>
              <w:t>9 if you intend to comment on this aspect. Other selected changes to enhance consistency are described in the Log of Amendments for each standard.</w:t>
            </w:r>
            <w:r w:rsidRPr="00440433">
              <w:rPr>
                <w:sz w:val="17"/>
                <w:szCs w:val="17"/>
              </w:rPr>
              <w:t xml:space="preserve">  </w:t>
            </w:r>
            <w:r w:rsidRPr="00440433">
              <w:rPr>
                <w:sz w:val="17"/>
                <w:szCs w:val="17"/>
              </w:rPr>
              <w:br/>
            </w:r>
            <w:r w:rsidRPr="008739BE">
              <w:rPr>
                <w:i/>
                <w:iCs/>
                <w:sz w:val="17"/>
                <w:szCs w:val="17"/>
              </w:rPr>
              <w:t xml:space="preserve">As interoperability with IFRS S1 and S2 is specifically addressed in question </w:t>
            </w:r>
            <w:r w:rsidR="00025504">
              <w:rPr>
                <w:i/>
                <w:iCs/>
                <w:sz w:val="17"/>
                <w:szCs w:val="17"/>
              </w:rPr>
              <w:t>21</w:t>
            </w:r>
            <w:r w:rsidR="00184D18">
              <w:rPr>
                <w:i/>
                <w:iCs/>
                <w:sz w:val="17"/>
                <w:szCs w:val="17"/>
              </w:rPr>
              <w:t>, it</w:t>
            </w:r>
            <w:r w:rsidRPr="008739BE">
              <w:rPr>
                <w:i/>
                <w:iCs/>
                <w:sz w:val="17"/>
                <w:szCs w:val="17"/>
              </w:rPr>
              <w:t xml:space="preserve"> should be commented upon there. Please also refrain here from comments on the options proposed for quantitative financial effects, as </w:t>
            </w:r>
            <w:r w:rsidR="00EA54B9">
              <w:rPr>
                <w:i/>
                <w:iCs/>
                <w:sz w:val="17"/>
                <w:szCs w:val="17"/>
              </w:rPr>
              <w:t>it is addressed in another question below</w:t>
            </w:r>
            <w:r w:rsidRPr="008739BE">
              <w:rPr>
                <w:i/>
                <w:iCs/>
                <w:sz w:val="17"/>
                <w:szCs w:val="17"/>
              </w:rPr>
              <w:t>.</w:t>
            </w:r>
          </w:p>
          <w:p w14:paraId="39BD640D" w14:textId="6E7BDF4A" w:rsidR="007A7C5F" w:rsidRPr="00440433" w:rsidRDefault="007A7C5F" w:rsidP="00440433">
            <w:pPr>
              <w:spacing w:line="276" w:lineRule="auto"/>
              <w:rPr>
                <w:sz w:val="17"/>
                <w:szCs w:val="17"/>
              </w:rPr>
            </w:pPr>
          </w:p>
          <w:p w14:paraId="04B785B2" w14:textId="47101E53" w:rsidR="00FC7858" w:rsidRDefault="00FC7858" w:rsidP="00FC7858">
            <w:pPr>
              <w:spacing w:line="276" w:lineRule="auto"/>
              <w:rPr>
                <w:sz w:val="17"/>
                <w:szCs w:val="17"/>
              </w:rPr>
            </w:pPr>
            <w:r>
              <w:rPr>
                <w:sz w:val="17"/>
                <w:szCs w:val="17"/>
              </w:rPr>
              <w:t>[</w:t>
            </w:r>
            <w:r w:rsidRPr="001E54B5">
              <w:rPr>
                <w:sz w:val="17"/>
                <w:szCs w:val="17"/>
              </w:rPr>
              <w:t xml:space="preserve">agree, </w:t>
            </w:r>
            <w:r w:rsidRPr="001E54B5">
              <w:rPr>
                <w:sz w:val="17"/>
                <w:szCs w:val="17"/>
                <w:highlight w:val="yellow"/>
              </w:rPr>
              <w:t>partially agree</w:t>
            </w:r>
            <w:r w:rsidRPr="001E54B5">
              <w:rPr>
                <w:sz w:val="17"/>
                <w:szCs w:val="17"/>
              </w:rPr>
              <w:t>, disagree</w:t>
            </w:r>
            <w:r>
              <w:rPr>
                <w:sz w:val="17"/>
                <w:szCs w:val="17"/>
              </w:rPr>
              <w:t>].</w:t>
            </w:r>
          </w:p>
          <w:p w14:paraId="1A174BFF" w14:textId="77777777" w:rsidR="007A7C5F" w:rsidRDefault="007A7C5F">
            <w:pPr>
              <w:spacing w:line="276" w:lineRule="auto"/>
              <w:rPr>
                <w:sz w:val="17"/>
                <w:szCs w:val="17"/>
              </w:rPr>
            </w:pPr>
          </w:p>
          <w:p w14:paraId="5610811D" w14:textId="77777777" w:rsidR="007E6275" w:rsidRDefault="003E494B" w:rsidP="007E6275">
            <w:pPr>
              <w:spacing w:line="276" w:lineRule="auto"/>
              <w:rPr>
                <w:sz w:val="17"/>
                <w:szCs w:val="17"/>
              </w:rPr>
            </w:pPr>
            <w:r w:rsidRPr="002B6C33">
              <w:rPr>
                <w:b/>
                <w:bCs/>
                <w:sz w:val="17"/>
                <w:szCs w:val="17"/>
              </w:rPr>
              <w:t>Insurance Europe response</w:t>
            </w:r>
            <w:r w:rsidR="007E6275">
              <w:rPr>
                <w:sz w:val="17"/>
                <w:szCs w:val="17"/>
              </w:rPr>
              <w:t>:</w:t>
            </w:r>
          </w:p>
          <w:p w14:paraId="4478F9DD" w14:textId="77B7410D" w:rsidR="00892469" w:rsidRDefault="00892469" w:rsidP="00CF7B26">
            <w:pPr>
              <w:spacing w:before="120" w:line="276" w:lineRule="auto"/>
              <w:rPr>
                <w:sz w:val="17"/>
                <w:szCs w:val="17"/>
              </w:rPr>
            </w:pPr>
            <w:r w:rsidRPr="00892469">
              <w:rPr>
                <w:sz w:val="17"/>
                <w:szCs w:val="17"/>
              </w:rPr>
              <w:t>We recognise the efforts made to reduce the reporting burden while maintaining transparency in support of the EU Green Deal and interoperability with ISSB standards. With a few targeted improvements, the proposed amendments could strike a more appropriate and workable balance.</w:t>
            </w:r>
          </w:p>
          <w:p w14:paraId="2B5B3B92" w14:textId="70952105" w:rsidR="00CF7B26" w:rsidRDefault="00CF7B26" w:rsidP="00CF7B26">
            <w:pPr>
              <w:spacing w:before="120" w:line="276" w:lineRule="auto"/>
              <w:rPr>
                <w:sz w:val="17"/>
                <w:szCs w:val="17"/>
              </w:rPr>
            </w:pPr>
            <w:r w:rsidRPr="00CF7B26">
              <w:rPr>
                <w:sz w:val="17"/>
                <w:szCs w:val="17"/>
              </w:rPr>
              <w:t>We welcome the introduction of the “undue cost or effort” exemption, which offers much-needed flexibility for preparers facing disproportionate costs—particularly for complex data collection and metric calculations.</w:t>
            </w:r>
          </w:p>
          <w:p w14:paraId="0D6C6506" w14:textId="179C50E4" w:rsidR="0062136D" w:rsidRPr="00CF7B26" w:rsidRDefault="0062136D" w:rsidP="00CF7B26">
            <w:pPr>
              <w:spacing w:before="120" w:line="276" w:lineRule="auto"/>
              <w:rPr>
                <w:sz w:val="17"/>
                <w:szCs w:val="17"/>
              </w:rPr>
            </w:pPr>
            <w:r w:rsidRPr="0000207F">
              <w:rPr>
                <w:sz w:val="17"/>
                <w:szCs w:val="17"/>
              </w:rPr>
              <w:t xml:space="preserve">Similarly, </w:t>
            </w:r>
            <w:r>
              <w:rPr>
                <w:sz w:val="17"/>
                <w:szCs w:val="17"/>
              </w:rPr>
              <w:t>we welcome the</w:t>
            </w:r>
            <w:r w:rsidRPr="0000207F">
              <w:rPr>
                <w:sz w:val="17"/>
                <w:szCs w:val="17"/>
              </w:rPr>
              <w:t xml:space="preserve"> flexibility on including newly acquired subsidiaries reflects operational realities and provides clarity on consolidation timing.</w:t>
            </w:r>
          </w:p>
          <w:p w14:paraId="4A405914" w14:textId="0B74B028" w:rsidR="00DB1B20" w:rsidRDefault="00DB1B20" w:rsidP="00CF7B26">
            <w:pPr>
              <w:spacing w:before="120" w:line="276" w:lineRule="auto"/>
              <w:rPr>
                <w:sz w:val="17"/>
                <w:szCs w:val="17"/>
              </w:rPr>
            </w:pPr>
            <w:r w:rsidRPr="00DB1B20">
              <w:rPr>
                <w:sz w:val="17"/>
                <w:szCs w:val="17"/>
              </w:rPr>
              <w:t>We welcome the removal of the systematic preference for direct data in the calculation of value chain metrics</w:t>
            </w:r>
            <w:r w:rsidR="00D265E4" w:rsidRPr="00D265E4">
              <w:rPr>
                <w:sz w:val="17"/>
                <w:szCs w:val="17"/>
              </w:rPr>
              <w:t>, which now allows undertakings to use either direct data or estimates depending on practicability and reliability.</w:t>
            </w:r>
            <w:r w:rsidR="00F30121">
              <w:rPr>
                <w:sz w:val="17"/>
                <w:szCs w:val="17"/>
              </w:rPr>
              <w:t xml:space="preserve"> </w:t>
            </w:r>
            <w:r w:rsidR="00992595" w:rsidRPr="00992595">
              <w:rPr>
                <w:sz w:val="17"/>
                <w:szCs w:val="17"/>
              </w:rPr>
              <w:t>However, we recommend clarifying that value chain information is required only for the identification of material topics, but not for the disclosure of metrics.</w:t>
            </w:r>
            <w:r w:rsidR="004B1A4E">
              <w:rPr>
                <w:sz w:val="17"/>
                <w:szCs w:val="17"/>
              </w:rPr>
              <w:t xml:space="preserve"> </w:t>
            </w:r>
            <w:r w:rsidR="004B1A4E" w:rsidRPr="004B1A4E">
              <w:rPr>
                <w:sz w:val="17"/>
                <w:szCs w:val="17"/>
              </w:rPr>
              <w:t>In addition, we suggest nuancing the principle around direct data collection from value chain counterparts, and clarifying the specific case of financial institutions, particularly with respect to managed investments held on behalf of third parties with no influence.</w:t>
            </w:r>
          </w:p>
          <w:p w14:paraId="0A7064E4" w14:textId="431E1714" w:rsidR="008E5640" w:rsidRDefault="00C623CB" w:rsidP="003B5EAF">
            <w:pPr>
              <w:spacing w:before="120" w:line="276" w:lineRule="auto"/>
              <w:rPr>
                <w:sz w:val="17"/>
                <w:szCs w:val="17"/>
              </w:rPr>
            </w:pPr>
            <w:r>
              <w:rPr>
                <w:sz w:val="17"/>
                <w:szCs w:val="17"/>
              </w:rPr>
              <w:t>Additionally</w:t>
            </w:r>
            <w:r w:rsidR="008E5640" w:rsidRPr="008E5640">
              <w:rPr>
                <w:sz w:val="17"/>
                <w:szCs w:val="17"/>
              </w:rPr>
              <w:t xml:space="preserve">, we regret that the relief for partial data coverage (ESRS 1 §91) explicitly excludes ESRS E1-6 (GHG emissions). For insurers and other financial institutions, reliable Scope 3 data remain extremely difficult </w:t>
            </w:r>
            <w:r w:rsidR="008E5640" w:rsidRPr="008E5640">
              <w:rPr>
                <w:sz w:val="17"/>
                <w:szCs w:val="17"/>
              </w:rPr>
              <w:lastRenderedPageBreak/>
              <w:t>to obtain. We strongly recommend extending this relief to E1-6 to support realistic implementation while upholding the long-term transparency goals of the Green Deal.</w:t>
            </w:r>
          </w:p>
          <w:p w14:paraId="31B41147" w14:textId="5053CEB1" w:rsidR="00ED2743" w:rsidRPr="00F36574" w:rsidRDefault="00F74644" w:rsidP="00F36574">
            <w:pPr>
              <w:spacing w:before="120" w:line="276" w:lineRule="auto"/>
              <w:rPr>
                <w:sz w:val="17"/>
                <w:szCs w:val="17"/>
              </w:rPr>
            </w:pPr>
            <w:r w:rsidRPr="00F74644">
              <w:rPr>
                <w:sz w:val="17"/>
                <w:szCs w:val="17"/>
              </w:rPr>
              <w:t xml:space="preserve">We also appreciate the ability to exclude joint operations without operational control from certain environmental metrics. However, we suggest extending this relief </w:t>
            </w:r>
            <w:r w:rsidR="00DF25B3" w:rsidRPr="003B5EAF">
              <w:rPr>
                <w:sz w:val="17"/>
                <w:szCs w:val="17"/>
              </w:rPr>
              <w:t>beyond ESRS E2–E5 to</w:t>
            </w:r>
            <w:r>
              <w:rPr>
                <w:sz w:val="17"/>
                <w:szCs w:val="17"/>
              </w:rPr>
              <w:t xml:space="preserve"> also</w:t>
            </w:r>
            <w:r w:rsidR="00DF25B3" w:rsidRPr="003B5EAF">
              <w:rPr>
                <w:sz w:val="17"/>
                <w:szCs w:val="17"/>
              </w:rPr>
              <w:t xml:space="preserve"> include ESRS E1, </w:t>
            </w:r>
            <w:r w:rsidR="00DC25EE" w:rsidRPr="00DC25EE">
              <w:rPr>
                <w:sz w:val="17"/>
                <w:szCs w:val="17"/>
              </w:rPr>
              <w:t>given similar data access constraints in joint arrangements related to climate disclosures</w:t>
            </w:r>
            <w:r w:rsidR="00DF25B3" w:rsidRPr="003B5EAF">
              <w:rPr>
                <w:sz w:val="17"/>
                <w:szCs w:val="17"/>
              </w:rPr>
              <w:t>.</w:t>
            </w:r>
          </w:p>
        </w:tc>
      </w:tr>
    </w:tbl>
    <w:p w14:paraId="7E02750B" w14:textId="77777777" w:rsidR="007A7C5F" w:rsidRDefault="007A7C5F" w:rsidP="005F5CCF">
      <w:pPr>
        <w:spacing w:after="200" w:line="276" w:lineRule="auto"/>
        <w:rPr>
          <w:sz w:val="17"/>
          <w:szCs w:val="17"/>
        </w:rPr>
      </w:pPr>
    </w:p>
    <w:tbl>
      <w:tblPr>
        <w:tblStyle w:val="Mriekatabuky"/>
        <w:tblW w:w="0" w:type="auto"/>
        <w:tblLook w:val="04A0" w:firstRow="1" w:lastRow="0" w:firstColumn="1" w:lastColumn="0" w:noHBand="0" w:noVBand="1"/>
      </w:tblPr>
      <w:tblGrid>
        <w:gridCol w:w="9572"/>
      </w:tblGrid>
      <w:tr w:rsidR="007A7C5F" w14:paraId="798BE6CB" w14:textId="77777777">
        <w:tc>
          <w:tcPr>
            <w:tcW w:w="9572" w:type="dxa"/>
            <w:shd w:val="clear" w:color="auto" w:fill="595959" w:themeFill="text1" w:themeFillTint="A6"/>
          </w:tcPr>
          <w:p w14:paraId="7728F6AB" w14:textId="63BA77B0" w:rsidR="007A7C5F" w:rsidRPr="00F92E2F" w:rsidRDefault="007A7C5F">
            <w:pPr>
              <w:spacing w:line="276" w:lineRule="auto"/>
              <w:rPr>
                <w:b/>
                <w:bCs/>
                <w:color w:val="FFFFFF" w:themeColor="background1"/>
                <w:sz w:val="17"/>
                <w:szCs w:val="17"/>
              </w:rPr>
            </w:pPr>
            <w:r w:rsidRPr="00F92E2F">
              <w:rPr>
                <w:b/>
                <w:bCs/>
                <w:color w:val="FFFFFF" w:themeColor="background1"/>
                <w:sz w:val="17"/>
                <w:szCs w:val="17"/>
              </w:rPr>
              <w:t xml:space="preserve">Question </w:t>
            </w:r>
            <w:r w:rsidR="005C3F4E">
              <w:rPr>
                <w:b/>
                <w:bCs/>
                <w:color w:val="FFFFFF" w:themeColor="background1"/>
                <w:sz w:val="17"/>
                <w:szCs w:val="17"/>
              </w:rPr>
              <w:t>1</w:t>
            </w:r>
            <w:r>
              <w:rPr>
                <w:b/>
                <w:bCs/>
                <w:color w:val="FFFFFF" w:themeColor="background1"/>
                <w:sz w:val="17"/>
                <w:szCs w:val="17"/>
              </w:rPr>
              <w:t>8</w:t>
            </w:r>
            <w:r w:rsidR="004775A6">
              <w:rPr>
                <w:b/>
                <w:bCs/>
                <w:color w:val="FFFFFF" w:themeColor="background1"/>
                <w:sz w:val="17"/>
                <w:szCs w:val="17"/>
              </w:rPr>
              <w:t xml:space="preserve"> on the r</w:t>
            </w:r>
            <w:r w:rsidR="004775A6" w:rsidRPr="004775A6">
              <w:rPr>
                <w:b/>
                <w:bCs/>
                <w:color w:val="FFFFFF" w:themeColor="background1"/>
                <w:sz w:val="17"/>
                <w:szCs w:val="17"/>
              </w:rPr>
              <w:t>elief for lack of data quality on metrics (ESRS 1 paragraph 92)</w:t>
            </w:r>
          </w:p>
        </w:tc>
      </w:tr>
      <w:tr w:rsidR="007A7C5F" w14:paraId="79B1F550" w14:textId="77777777">
        <w:tc>
          <w:tcPr>
            <w:tcW w:w="9572" w:type="dxa"/>
          </w:tcPr>
          <w:p w14:paraId="0721F083" w14:textId="6810E75C" w:rsidR="007A7C5F" w:rsidRDefault="007A7C5F">
            <w:pPr>
              <w:spacing w:line="276" w:lineRule="auto"/>
              <w:rPr>
                <w:sz w:val="17"/>
                <w:szCs w:val="17"/>
              </w:rPr>
            </w:pPr>
            <w:r w:rsidRPr="00FF5136">
              <w:rPr>
                <w:b/>
                <w:bCs/>
                <w:sz w:val="17"/>
                <w:szCs w:val="17"/>
              </w:rPr>
              <w:t>Summary of changes</w:t>
            </w:r>
            <w:r>
              <w:rPr>
                <w:sz w:val="17"/>
                <w:szCs w:val="17"/>
              </w:rPr>
              <w:t xml:space="preserve">: </w:t>
            </w:r>
          </w:p>
          <w:p w14:paraId="3C148152" w14:textId="1439DB3A" w:rsidR="007A7C5F" w:rsidRPr="00F21217" w:rsidRDefault="002A6419" w:rsidP="00B34801">
            <w:pPr>
              <w:spacing w:before="120" w:after="120" w:line="276" w:lineRule="auto"/>
              <w:rPr>
                <w:sz w:val="17"/>
                <w:szCs w:val="17"/>
              </w:rPr>
            </w:pPr>
            <w:r w:rsidRPr="002A6419">
              <w:rPr>
                <w:sz w:val="17"/>
                <w:szCs w:val="17"/>
              </w:rPr>
              <w:t>Amended ESRS have introduced the ‘undue cost or effort’ relief for all the elements of the reporting, from the identification of material IROs to the calculation of metrics (paragraph 89 of ESRS 1), in line with IFRS S1 and S2, extending it to all metrics. In addition, paragraph 92 of ESRS 1 has introduced a provision applicable both to metrics in own operations and in upstream and downstream value chain.  This allows an undertaking to report metrics with a partial scope of calculation, when there are no reliable direct or estimated data to be used in the calculation. This relief does not exempt an undertaking from providing a disclosure, but it allows to disclose a calculation that includes only a partial scope. When using this relief, the undertaking shall disclose actions undertaken to improve the coverage of its calculation in next periods. This transparency is expected to provide sufficient incentive to improve the data quality and achieve a more complete scope in the calculation of the metrics. Accordingly, no time limit is included for the use of the relief. On this point, some EFRAG SRB members, while supporting the relief, considered it essential to include a time limit. </w:t>
            </w:r>
          </w:p>
        </w:tc>
      </w:tr>
      <w:tr w:rsidR="007A7C5F" w14:paraId="65D797FF" w14:textId="77777777">
        <w:tc>
          <w:tcPr>
            <w:tcW w:w="9572" w:type="dxa"/>
          </w:tcPr>
          <w:p w14:paraId="59266C46" w14:textId="2B295453" w:rsidR="002D1F47" w:rsidRPr="00440433" w:rsidRDefault="007A7C5F" w:rsidP="002D1F47">
            <w:pPr>
              <w:spacing w:line="276" w:lineRule="auto"/>
              <w:rPr>
                <w:sz w:val="17"/>
                <w:szCs w:val="17"/>
              </w:rPr>
            </w:pPr>
            <w:r w:rsidRPr="00FF5136">
              <w:rPr>
                <w:b/>
                <w:bCs/>
                <w:sz w:val="17"/>
                <w:szCs w:val="17"/>
              </w:rPr>
              <w:t>Question</w:t>
            </w:r>
            <w:r>
              <w:rPr>
                <w:sz w:val="17"/>
                <w:szCs w:val="17"/>
              </w:rPr>
              <w:t xml:space="preserve">: </w:t>
            </w:r>
            <w:r w:rsidR="002D1F47" w:rsidRPr="002D1F47">
              <w:rPr>
                <w:sz w:val="17"/>
                <w:szCs w:val="17"/>
              </w:rPr>
              <w:t>Do you agree that the proposed relief for lack of data quality on metrics strikes an acceptable balance between providing the necessary flexibility for preparers and avoiding undue loss of information?</w:t>
            </w:r>
          </w:p>
          <w:p w14:paraId="3214A208" w14:textId="2EBA95C3" w:rsidR="002D1F47" w:rsidRDefault="002D1F47" w:rsidP="002D1F47">
            <w:pPr>
              <w:spacing w:line="276" w:lineRule="auto"/>
              <w:rPr>
                <w:sz w:val="17"/>
                <w:szCs w:val="17"/>
              </w:rPr>
            </w:pPr>
            <w:r>
              <w:rPr>
                <w:sz w:val="17"/>
                <w:szCs w:val="17"/>
              </w:rPr>
              <w:t>[</w:t>
            </w:r>
            <w:r w:rsidRPr="00146527">
              <w:rPr>
                <w:sz w:val="17"/>
                <w:szCs w:val="17"/>
              </w:rPr>
              <w:t xml:space="preserve">agree, </w:t>
            </w:r>
            <w:r w:rsidRPr="00146527">
              <w:rPr>
                <w:sz w:val="17"/>
                <w:szCs w:val="17"/>
                <w:highlight w:val="yellow"/>
              </w:rPr>
              <w:t>partially agree</w:t>
            </w:r>
            <w:r w:rsidRPr="00BB55CA">
              <w:rPr>
                <w:sz w:val="17"/>
                <w:szCs w:val="17"/>
              </w:rPr>
              <w:t>, disagree</w:t>
            </w:r>
            <w:r>
              <w:rPr>
                <w:sz w:val="17"/>
                <w:szCs w:val="17"/>
              </w:rPr>
              <w:t>].</w:t>
            </w:r>
          </w:p>
          <w:p w14:paraId="791A87E4" w14:textId="77777777" w:rsidR="007A7C5F" w:rsidRDefault="007A7C5F" w:rsidP="00CC63BA">
            <w:pPr>
              <w:spacing w:line="276" w:lineRule="auto"/>
              <w:rPr>
                <w:sz w:val="17"/>
                <w:szCs w:val="17"/>
              </w:rPr>
            </w:pPr>
          </w:p>
          <w:p w14:paraId="1BDC599F" w14:textId="77777777" w:rsidR="007E6275" w:rsidRDefault="003E494B" w:rsidP="007E6275">
            <w:pPr>
              <w:spacing w:line="276" w:lineRule="auto"/>
              <w:rPr>
                <w:sz w:val="17"/>
                <w:szCs w:val="17"/>
              </w:rPr>
            </w:pPr>
            <w:r w:rsidRPr="002B6C33">
              <w:rPr>
                <w:b/>
                <w:bCs/>
                <w:sz w:val="17"/>
                <w:szCs w:val="17"/>
              </w:rPr>
              <w:t>Insurance Europe response</w:t>
            </w:r>
            <w:r w:rsidR="007E6275">
              <w:rPr>
                <w:sz w:val="17"/>
                <w:szCs w:val="17"/>
              </w:rPr>
              <w:t>:</w:t>
            </w:r>
          </w:p>
          <w:p w14:paraId="3760823C" w14:textId="5FC5521E" w:rsidR="00CA1533" w:rsidRPr="00CA1533" w:rsidRDefault="00CA1533" w:rsidP="00CA1533">
            <w:pPr>
              <w:spacing w:before="120" w:line="276" w:lineRule="auto"/>
              <w:rPr>
                <w:sz w:val="17"/>
                <w:szCs w:val="17"/>
              </w:rPr>
            </w:pPr>
            <w:r w:rsidRPr="00CA1533">
              <w:rPr>
                <w:sz w:val="17"/>
                <w:szCs w:val="17"/>
              </w:rPr>
              <w:t xml:space="preserve">We support the introduction of the ‘undue cost or effort’ relief and welcome its consistent application across all reporting areas, including the identification of material IROs and the calculation of metrics. </w:t>
            </w:r>
          </w:p>
          <w:p w14:paraId="56E5F97B" w14:textId="77777777" w:rsidR="00BA2930" w:rsidRDefault="00CA1533" w:rsidP="00CA1533">
            <w:pPr>
              <w:spacing w:before="120" w:line="276" w:lineRule="auto"/>
              <w:rPr>
                <w:sz w:val="17"/>
                <w:szCs w:val="17"/>
              </w:rPr>
            </w:pPr>
            <w:r w:rsidRPr="00CA1533">
              <w:rPr>
                <w:sz w:val="17"/>
                <w:szCs w:val="17"/>
              </w:rPr>
              <w:t>We note that the relief is in line with global standards, including IFRS S1 and S2, and supports interoperability. Furthermore, we agree that flexibility without a fixed time limit provides companies with realistic pathways to improve data quality progressively, especially in complex or data-scarce contexts.</w:t>
            </w:r>
          </w:p>
          <w:p w14:paraId="3A99D53B" w14:textId="530C8664" w:rsidR="00927968" w:rsidRPr="00927968" w:rsidRDefault="00927968" w:rsidP="00927968">
            <w:pPr>
              <w:spacing w:before="120" w:line="276" w:lineRule="auto"/>
              <w:rPr>
                <w:sz w:val="17"/>
                <w:szCs w:val="17"/>
              </w:rPr>
            </w:pPr>
            <w:r w:rsidRPr="00927968">
              <w:rPr>
                <w:sz w:val="17"/>
                <w:szCs w:val="17"/>
              </w:rPr>
              <w:t>We support the flexibility introduced by paragraph 92 but recommend clarifying that, in cases of limited data availability, value chain metrics may be entirely or partially estimated, rather than just “partially estimated.” This would better reflect preparers’ realities and align with other existing international frameworks.</w:t>
            </w:r>
          </w:p>
          <w:p w14:paraId="5EA472DE" w14:textId="1F65BF14" w:rsidR="00927968" w:rsidRDefault="00927968" w:rsidP="00927968">
            <w:pPr>
              <w:spacing w:before="120" w:line="276" w:lineRule="auto"/>
              <w:rPr>
                <w:sz w:val="17"/>
                <w:szCs w:val="17"/>
              </w:rPr>
            </w:pPr>
            <w:r w:rsidRPr="00927968">
              <w:rPr>
                <w:sz w:val="17"/>
                <w:szCs w:val="17"/>
              </w:rPr>
              <w:t xml:space="preserve">Furthermore, it should be made explicit that the only mandatory value chain metric is ESRS E1-6 on GHG Scope 3 </w:t>
            </w:r>
            <w:r w:rsidR="002B2A5B">
              <w:rPr>
                <w:sz w:val="17"/>
                <w:szCs w:val="17"/>
              </w:rPr>
              <w:t xml:space="preserve">financed </w:t>
            </w:r>
            <w:r w:rsidRPr="00927968">
              <w:rPr>
                <w:sz w:val="17"/>
                <w:szCs w:val="17"/>
              </w:rPr>
              <w:t>emissions. All other value chain-related metrics should be clearly identified as entity-specific, which would help reduce reporting burden and enhance clarity.</w:t>
            </w:r>
          </w:p>
        </w:tc>
      </w:tr>
    </w:tbl>
    <w:p w14:paraId="296A897B" w14:textId="77777777" w:rsidR="007A7C5F" w:rsidRDefault="007A7C5F" w:rsidP="005F5CCF">
      <w:pPr>
        <w:spacing w:after="200" w:line="276" w:lineRule="auto"/>
        <w:rPr>
          <w:sz w:val="17"/>
          <w:szCs w:val="17"/>
        </w:rPr>
      </w:pPr>
    </w:p>
    <w:tbl>
      <w:tblPr>
        <w:tblStyle w:val="Mriekatabuky"/>
        <w:tblW w:w="0" w:type="auto"/>
        <w:tblLook w:val="04A0" w:firstRow="1" w:lastRow="0" w:firstColumn="1" w:lastColumn="0" w:noHBand="0" w:noVBand="1"/>
      </w:tblPr>
      <w:tblGrid>
        <w:gridCol w:w="9572"/>
      </w:tblGrid>
      <w:tr w:rsidR="004775A6" w14:paraId="6666AF78" w14:textId="77777777">
        <w:tc>
          <w:tcPr>
            <w:tcW w:w="9572" w:type="dxa"/>
            <w:shd w:val="clear" w:color="auto" w:fill="595959" w:themeFill="text1" w:themeFillTint="A6"/>
          </w:tcPr>
          <w:p w14:paraId="253B1378" w14:textId="038E8B09" w:rsidR="004775A6" w:rsidRPr="00F92E2F" w:rsidRDefault="004775A6">
            <w:pPr>
              <w:spacing w:line="276" w:lineRule="auto"/>
              <w:rPr>
                <w:b/>
                <w:bCs/>
                <w:color w:val="FFFFFF" w:themeColor="background1"/>
                <w:sz w:val="17"/>
                <w:szCs w:val="17"/>
              </w:rPr>
            </w:pPr>
            <w:r w:rsidRPr="00F92E2F">
              <w:rPr>
                <w:b/>
                <w:bCs/>
                <w:color w:val="FFFFFF" w:themeColor="background1"/>
                <w:sz w:val="17"/>
                <w:szCs w:val="17"/>
              </w:rPr>
              <w:t xml:space="preserve">Question </w:t>
            </w:r>
            <w:r w:rsidR="005C3F4E">
              <w:rPr>
                <w:b/>
                <w:bCs/>
                <w:color w:val="FFFFFF" w:themeColor="background1"/>
                <w:sz w:val="17"/>
                <w:szCs w:val="17"/>
              </w:rPr>
              <w:t>1</w:t>
            </w:r>
            <w:r>
              <w:rPr>
                <w:b/>
                <w:bCs/>
                <w:color w:val="FFFFFF" w:themeColor="background1"/>
                <w:sz w:val="17"/>
                <w:szCs w:val="17"/>
              </w:rPr>
              <w:t>9</w:t>
            </w:r>
            <w:r w:rsidR="002D1F47">
              <w:rPr>
                <w:b/>
                <w:bCs/>
                <w:color w:val="FFFFFF" w:themeColor="background1"/>
                <w:sz w:val="17"/>
                <w:szCs w:val="17"/>
              </w:rPr>
              <w:t xml:space="preserve"> on r</w:t>
            </w:r>
            <w:r w:rsidR="002D1F47" w:rsidRPr="002D1F47">
              <w:rPr>
                <w:b/>
                <w:bCs/>
                <w:color w:val="FFFFFF" w:themeColor="background1"/>
                <w:sz w:val="17"/>
                <w:szCs w:val="17"/>
              </w:rPr>
              <w:t>elief for anticipated financial effects</w:t>
            </w:r>
          </w:p>
        </w:tc>
      </w:tr>
      <w:tr w:rsidR="004775A6" w14:paraId="62506EB0" w14:textId="77777777">
        <w:tc>
          <w:tcPr>
            <w:tcW w:w="9572" w:type="dxa"/>
          </w:tcPr>
          <w:p w14:paraId="0C66765F" w14:textId="6B88911B" w:rsidR="004775A6" w:rsidRDefault="004775A6">
            <w:pPr>
              <w:spacing w:line="276" w:lineRule="auto"/>
              <w:rPr>
                <w:sz w:val="17"/>
                <w:szCs w:val="17"/>
              </w:rPr>
            </w:pPr>
            <w:r w:rsidRPr="00FF5136">
              <w:rPr>
                <w:b/>
                <w:bCs/>
                <w:sz w:val="17"/>
                <w:szCs w:val="17"/>
              </w:rPr>
              <w:t>Summary of changes</w:t>
            </w:r>
            <w:r>
              <w:rPr>
                <w:sz w:val="17"/>
                <w:szCs w:val="17"/>
              </w:rPr>
              <w:t xml:space="preserve">: </w:t>
            </w:r>
          </w:p>
          <w:p w14:paraId="0015A6A7" w14:textId="061EDF62" w:rsidR="002D1F47" w:rsidRDefault="002D1F47" w:rsidP="00B34801">
            <w:pPr>
              <w:spacing w:before="120" w:line="276" w:lineRule="auto"/>
              <w:rPr>
                <w:sz w:val="17"/>
                <w:szCs w:val="17"/>
              </w:rPr>
            </w:pPr>
            <w:r w:rsidRPr="002D1F47">
              <w:rPr>
                <w:sz w:val="17"/>
                <w:szCs w:val="17"/>
              </w:rPr>
              <w:t>The Amended ESRS currently includes two possible options</w:t>
            </w:r>
            <w:r w:rsidR="0091574F">
              <w:rPr>
                <w:sz w:val="17"/>
                <w:szCs w:val="17"/>
              </w:rPr>
              <w:t xml:space="preserve"> (ESRS 2 </w:t>
            </w:r>
            <w:r w:rsidR="002E2B50">
              <w:rPr>
                <w:sz w:val="17"/>
                <w:szCs w:val="17"/>
              </w:rPr>
              <w:t>paragraph 23)</w:t>
            </w:r>
            <w:r w:rsidRPr="002D1F47">
              <w:rPr>
                <w:sz w:val="17"/>
                <w:szCs w:val="17"/>
              </w:rPr>
              <w:t>, which would apply to all topics, including climate (DR E1-11):</w:t>
            </w:r>
          </w:p>
          <w:p w14:paraId="79051C6F" w14:textId="651B3287" w:rsidR="002D1F47" w:rsidRDefault="002D1F47" w:rsidP="00AF26EB">
            <w:pPr>
              <w:spacing w:before="120" w:line="276" w:lineRule="auto"/>
              <w:rPr>
                <w:sz w:val="17"/>
                <w:szCs w:val="17"/>
              </w:rPr>
            </w:pPr>
            <w:r w:rsidRPr="00545053">
              <w:rPr>
                <w:b/>
                <w:bCs/>
                <w:sz w:val="17"/>
                <w:szCs w:val="17"/>
                <w:u w:val="single"/>
              </w:rPr>
              <w:t>Option 1</w:t>
            </w:r>
            <w:r w:rsidRPr="002D1F47">
              <w:rPr>
                <w:sz w:val="17"/>
                <w:szCs w:val="17"/>
              </w:rPr>
              <w:t xml:space="preserve"> requires an undertaking to </w:t>
            </w:r>
            <w:r w:rsidRPr="009C7149">
              <w:rPr>
                <w:b/>
                <w:bCs/>
                <w:sz w:val="17"/>
                <w:szCs w:val="17"/>
              </w:rPr>
              <w:t>disclose both qualitative and quantitative information but allows omission of quantitative information under certain conditions</w:t>
            </w:r>
            <w:r w:rsidRPr="002D1F47">
              <w:rPr>
                <w:sz w:val="17"/>
                <w:szCs w:val="17"/>
              </w:rPr>
              <w:t xml:space="preserve">. Option 1 is substantially aligned with the IFRS relief, despite the fact that it includes some differences compared to it: under Option 1, as in the IFRS relief, the undertaking need not provide quantitative information when it is not able to measure separately the financial effect of a specific topic (or IRO) or when the level of uncertainty is so high that the resulting information would not be useful. Differently from the IFRS relief, Option 1 specifies that the undertaking may use the relief when there is no reasonable and supportable information derived from its business plans to be used as input in the calculation of anticipated long-term financial effects. Different from </w:t>
            </w:r>
            <w:r w:rsidRPr="002D1F47">
              <w:rPr>
                <w:sz w:val="17"/>
                <w:szCs w:val="17"/>
              </w:rPr>
              <w:lastRenderedPageBreak/>
              <w:t>the IFRS relief, the undertaking cannot omit quantitative information when it does not have the skills, capabilities or resources to provide that quantitative information, as this part of the relief was considered not compatible with the entities that are expected to be in scope of the Amended ESRS.</w:t>
            </w:r>
          </w:p>
          <w:p w14:paraId="51D7E3F1" w14:textId="36EDE7F2" w:rsidR="005449D5" w:rsidRPr="00F21217" w:rsidRDefault="002D1F47" w:rsidP="00AD7063">
            <w:pPr>
              <w:spacing w:before="120" w:after="120" w:line="276" w:lineRule="auto"/>
              <w:rPr>
                <w:sz w:val="17"/>
                <w:szCs w:val="17"/>
              </w:rPr>
            </w:pPr>
            <w:r w:rsidRPr="00545053">
              <w:rPr>
                <w:b/>
                <w:bCs/>
                <w:sz w:val="17"/>
                <w:szCs w:val="17"/>
                <w:u w:val="single"/>
              </w:rPr>
              <w:t>Option 2</w:t>
            </w:r>
            <w:r w:rsidRPr="002D1F47">
              <w:rPr>
                <w:sz w:val="17"/>
                <w:szCs w:val="17"/>
              </w:rPr>
              <w:t xml:space="preserve"> limits the requirement to </w:t>
            </w:r>
            <w:r w:rsidRPr="00242746">
              <w:rPr>
                <w:b/>
                <w:bCs/>
                <w:sz w:val="17"/>
                <w:szCs w:val="17"/>
              </w:rPr>
              <w:t>qualitative information only</w:t>
            </w:r>
            <w:r w:rsidRPr="002D1F47">
              <w:rPr>
                <w:sz w:val="17"/>
                <w:szCs w:val="17"/>
              </w:rPr>
              <w:t>, and leaves companies to choose to report quantitative information on a voluntary basis, without having to meet any conditions.  This option is not aligned with the treatment in IFRS S1 and S2.</w:t>
            </w:r>
          </w:p>
        </w:tc>
      </w:tr>
      <w:tr w:rsidR="004775A6" w14:paraId="7230B4F3" w14:textId="77777777">
        <w:tc>
          <w:tcPr>
            <w:tcW w:w="9572" w:type="dxa"/>
          </w:tcPr>
          <w:p w14:paraId="73F69AC1" w14:textId="4C429033" w:rsidR="0012387F" w:rsidRDefault="004775A6" w:rsidP="0012387F">
            <w:pPr>
              <w:spacing w:line="276" w:lineRule="auto"/>
              <w:rPr>
                <w:sz w:val="17"/>
                <w:szCs w:val="17"/>
              </w:rPr>
            </w:pPr>
            <w:r w:rsidRPr="00FF5136">
              <w:rPr>
                <w:b/>
                <w:bCs/>
                <w:sz w:val="17"/>
                <w:szCs w:val="17"/>
              </w:rPr>
              <w:lastRenderedPageBreak/>
              <w:t>Question</w:t>
            </w:r>
            <w:r>
              <w:rPr>
                <w:sz w:val="17"/>
                <w:szCs w:val="17"/>
              </w:rPr>
              <w:t xml:space="preserve">: </w:t>
            </w:r>
            <w:r w:rsidR="0012387F">
              <w:rPr>
                <w:sz w:val="17"/>
                <w:szCs w:val="17"/>
              </w:rPr>
              <w:t>[</w:t>
            </w:r>
            <w:r w:rsidR="00016A1F">
              <w:rPr>
                <w:sz w:val="17"/>
                <w:szCs w:val="17"/>
              </w:rPr>
              <w:t xml:space="preserve">I agree with Option 1, </w:t>
            </w:r>
            <w:r w:rsidR="00016A1F" w:rsidRPr="00016A1F">
              <w:rPr>
                <w:sz w:val="17"/>
                <w:szCs w:val="17"/>
                <w:highlight w:val="yellow"/>
              </w:rPr>
              <w:t>I agree with Option 2</w:t>
            </w:r>
            <w:r w:rsidR="00016A1F">
              <w:rPr>
                <w:sz w:val="17"/>
                <w:szCs w:val="17"/>
              </w:rPr>
              <w:t>, I agree with both options</w:t>
            </w:r>
            <w:r w:rsidR="0012387F">
              <w:rPr>
                <w:sz w:val="17"/>
                <w:szCs w:val="17"/>
              </w:rPr>
              <w:t>].</w:t>
            </w:r>
          </w:p>
          <w:p w14:paraId="60744A83" w14:textId="685B7075" w:rsidR="00545053" w:rsidRDefault="00545053" w:rsidP="00545053">
            <w:pPr>
              <w:spacing w:before="120" w:line="276" w:lineRule="auto"/>
              <w:rPr>
                <w:sz w:val="17"/>
                <w:szCs w:val="17"/>
              </w:rPr>
            </w:pPr>
            <w:r w:rsidRPr="00775EB9">
              <w:rPr>
                <w:i/>
                <w:iCs/>
                <w:sz w:val="17"/>
                <w:szCs w:val="17"/>
              </w:rPr>
              <w:t>If you intend to provide feedback also on Part 3 of this questionnaire, please note that by answering this question, you will not be allowed to include comments on paragraph 23 of ESRS 2 in Part 3 to avoid duplication of input. Your comments on that paragraph can only be provided here</w:t>
            </w:r>
            <w:r w:rsidRPr="0012387F">
              <w:rPr>
                <w:sz w:val="17"/>
                <w:szCs w:val="17"/>
              </w:rPr>
              <w:t>.</w:t>
            </w:r>
          </w:p>
          <w:p w14:paraId="7F0957E0" w14:textId="77777777" w:rsidR="0012387F" w:rsidRDefault="0012387F">
            <w:pPr>
              <w:spacing w:line="276" w:lineRule="auto"/>
              <w:rPr>
                <w:sz w:val="17"/>
                <w:szCs w:val="17"/>
              </w:rPr>
            </w:pPr>
          </w:p>
          <w:p w14:paraId="390013F6" w14:textId="77777777" w:rsidR="007E6275" w:rsidRDefault="003E494B" w:rsidP="007E6275">
            <w:pPr>
              <w:spacing w:line="276" w:lineRule="auto"/>
              <w:rPr>
                <w:sz w:val="17"/>
                <w:szCs w:val="17"/>
              </w:rPr>
            </w:pPr>
            <w:r w:rsidRPr="002B6C33">
              <w:rPr>
                <w:b/>
                <w:bCs/>
                <w:sz w:val="17"/>
                <w:szCs w:val="17"/>
              </w:rPr>
              <w:t>Insurance Europe response</w:t>
            </w:r>
            <w:r w:rsidR="007E6275">
              <w:rPr>
                <w:sz w:val="17"/>
                <w:szCs w:val="17"/>
              </w:rPr>
              <w:t>:</w:t>
            </w:r>
          </w:p>
          <w:p w14:paraId="332BF7FD" w14:textId="1488099E" w:rsidR="00B87FA2" w:rsidRDefault="001F0FD4" w:rsidP="00CC6A94">
            <w:pPr>
              <w:spacing w:before="120" w:line="276" w:lineRule="auto"/>
              <w:rPr>
                <w:sz w:val="17"/>
                <w:szCs w:val="17"/>
              </w:rPr>
            </w:pPr>
            <w:r>
              <w:rPr>
                <w:sz w:val="17"/>
                <w:szCs w:val="17"/>
              </w:rPr>
              <w:t>We believe that o</w:t>
            </w:r>
            <w:r w:rsidR="001E2001" w:rsidRPr="001E2001">
              <w:rPr>
                <w:sz w:val="17"/>
                <w:szCs w:val="17"/>
              </w:rPr>
              <w:t>ption 1</w:t>
            </w:r>
            <w:r>
              <w:rPr>
                <w:sz w:val="17"/>
                <w:szCs w:val="17"/>
              </w:rPr>
              <w:t xml:space="preserve"> raises several concerns,</w:t>
            </w:r>
            <w:r w:rsidR="001E2001" w:rsidRPr="001E2001">
              <w:rPr>
                <w:sz w:val="17"/>
                <w:szCs w:val="17"/>
              </w:rPr>
              <w:t xml:space="preserve"> includ</w:t>
            </w:r>
            <w:r>
              <w:rPr>
                <w:sz w:val="17"/>
                <w:szCs w:val="17"/>
              </w:rPr>
              <w:t>ing</w:t>
            </w:r>
            <w:r w:rsidR="001E2001">
              <w:rPr>
                <w:sz w:val="17"/>
                <w:szCs w:val="17"/>
              </w:rPr>
              <w:t xml:space="preserve"> </w:t>
            </w:r>
            <w:r w:rsidR="001E2001" w:rsidRPr="001E2001">
              <w:rPr>
                <w:sz w:val="17"/>
                <w:szCs w:val="17"/>
              </w:rPr>
              <w:t>high estimation uncertainty,</w:t>
            </w:r>
            <w:r w:rsidR="001E2001">
              <w:rPr>
                <w:sz w:val="17"/>
                <w:szCs w:val="17"/>
              </w:rPr>
              <w:t xml:space="preserve"> </w:t>
            </w:r>
            <w:r w:rsidR="001E2001" w:rsidRPr="001E2001">
              <w:rPr>
                <w:sz w:val="17"/>
                <w:szCs w:val="17"/>
              </w:rPr>
              <w:t>increased litigation risk, and</w:t>
            </w:r>
            <w:r w:rsidR="001E2001">
              <w:rPr>
                <w:sz w:val="17"/>
                <w:szCs w:val="17"/>
              </w:rPr>
              <w:t xml:space="preserve"> </w:t>
            </w:r>
            <w:r w:rsidR="001E2001" w:rsidRPr="001E2001">
              <w:rPr>
                <w:sz w:val="17"/>
                <w:szCs w:val="17"/>
              </w:rPr>
              <w:t>the absence of standardised methodologies and comparable data to ensure consistent disclosures.</w:t>
            </w:r>
            <w:r w:rsidR="00CC6A94">
              <w:rPr>
                <w:sz w:val="17"/>
                <w:szCs w:val="17"/>
              </w:rPr>
              <w:t xml:space="preserve"> </w:t>
            </w:r>
            <w:r w:rsidR="004F0ADD">
              <w:rPr>
                <w:sz w:val="17"/>
                <w:szCs w:val="17"/>
              </w:rPr>
              <w:t>Additionally,</w:t>
            </w:r>
            <w:r w:rsidR="005C5E34">
              <w:rPr>
                <w:sz w:val="17"/>
                <w:szCs w:val="17"/>
              </w:rPr>
              <w:t xml:space="preserve"> it should be considered that</w:t>
            </w:r>
            <w:r w:rsidR="001E2001" w:rsidRPr="001E2001">
              <w:rPr>
                <w:sz w:val="17"/>
                <w:szCs w:val="17"/>
              </w:rPr>
              <w:t xml:space="preserve"> such disclosures are particularly difficult due to their forward-looking and sensitive nature.</w:t>
            </w:r>
          </w:p>
          <w:p w14:paraId="42B3437C" w14:textId="30864332" w:rsidR="00CC6A94" w:rsidRPr="001E2001" w:rsidRDefault="00CC6A94" w:rsidP="002F38F5">
            <w:pPr>
              <w:spacing w:before="120" w:after="120" w:line="276" w:lineRule="auto"/>
              <w:rPr>
                <w:sz w:val="17"/>
                <w:szCs w:val="17"/>
              </w:rPr>
            </w:pPr>
            <w:r w:rsidRPr="001E2001">
              <w:rPr>
                <w:sz w:val="17"/>
                <w:szCs w:val="17"/>
              </w:rPr>
              <w:t>T</w:t>
            </w:r>
            <w:r>
              <w:rPr>
                <w:sz w:val="17"/>
                <w:szCs w:val="17"/>
              </w:rPr>
              <w:t xml:space="preserve">hus, </w:t>
            </w:r>
            <w:r w:rsidR="002F38F5">
              <w:rPr>
                <w:sz w:val="17"/>
                <w:szCs w:val="17"/>
              </w:rPr>
              <w:t>we recommend</w:t>
            </w:r>
            <w:r w:rsidRPr="001E2001">
              <w:rPr>
                <w:sz w:val="17"/>
                <w:szCs w:val="17"/>
              </w:rPr>
              <w:t xml:space="preserve"> </w:t>
            </w:r>
            <w:r w:rsidRPr="001E2001">
              <w:rPr>
                <w:b/>
                <w:sz w:val="17"/>
                <w:szCs w:val="17"/>
              </w:rPr>
              <w:t>support</w:t>
            </w:r>
            <w:r w:rsidR="002F38F5">
              <w:rPr>
                <w:b/>
                <w:sz w:val="17"/>
                <w:szCs w:val="17"/>
              </w:rPr>
              <w:t xml:space="preserve">ing </w:t>
            </w:r>
            <w:r w:rsidRPr="001E2001">
              <w:rPr>
                <w:b/>
                <w:sz w:val="17"/>
                <w:szCs w:val="17"/>
              </w:rPr>
              <w:t>Option 2</w:t>
            </w:r>
            <w:r w:rsidRPr="001E2001">
              <w:rPr>
                <w:sz w:val="17"/>
                <w:szCs w:val="17"/>
              </w:rPr>
              <w:t>, as it provides a more balanced and realistic approach. It acknowledges the practical challenges and legal risks of disclosing forward-looking financial information and allows time for the development of reliable data and methodologies.</w:t>
            </w:r>
            <w:r w:rsidR="00E520C3">
              <w:rPr>
                <w:sz w:val="17"/>
                <w:szCs w:val="17"/>
              </w:rPr>
              <w:t xml:space="preserve"> </w:t>
            </w:r>
          </w:p>
        </w:tc>
      </w:tr>
    </w:tbl>
    <w:p w14:paraId="3501E857" w14:textId="77777777" w:rsidR="004775A6" w:rsidRDefault="004775A6" w:rsidP="005F5CCF">
      <w:pPr>
        <w:spacing w:after="200" w:line="276" w:lineRule="auto"/>
        <w:rPr>
          <w:sz w:val="17"/>
          <w:szCs w:val="17"/>
        </w:rPr>
      </w:pPr>
    </w:p>
    <w:tbl>
      <w:tblPr>
        <w:tblStyle w:val="Mriekatabuky"/>
        <w:tblW w:w="0" w:type="auto"/>
        <w:tblLook w:val="04A0" w:firstRow="1" w:lastRow="0" w:firstColumn="1" w:lastColumn="0" w:noHBand="0" w:noVBand="1"/>
      </w:tblPr>
      <w:tblGrid>
        <w:gridCol w:w="9572"/>
      </w:tblGrid>
      <w:tr w:rsidR="004775A6" w14:paraId="15A610A2" w14:textId="77777777">
        <w:tc>
          <w:tcPr>
            <w:tcW w:w="9572" w:type="dxa"/>
            <w:shd w:val="clear" w:color="auto" w:fill="595959" w:themeFill="text1" w:themeFillTint="A6"/>
          </w:tcPr>
          <w:p w14:paraId="0074A336" w14:textId="400F01A6" w:rsidR="004775A6" w:rsidRPr="00F92E2F" w:rsidRDefault="004775A6">
            <w:pPr>
              <w:spacing w:line="276" w:lineRule="auto"/>
              <w:rPr>
                <w:b/>
                <w:bCs/>
                <w:color w:val="FFFFFF" w:themeColor="background1"/>
                <w:sz w:val="17"/>
                <w:szCs w:val="17"/>
              </w:rPr>
            </w:pPr>
            <w:r w:rsidRPr="00F92E2F">
              <w:rPr>
                <w:b/>
                <w:bCs/>
                <w:color w:val="FFFFFF" w:themeColor="background1"/>
                <w:sz w:val="17"/>
                <w:szCs w:val="17"/>
              </w:rPr>
              <w:t xml:space="preserve">Question </w:t>
            </w:r>
            <w:r w:rsidR="005C3F4E">
              <w:rPr>
                <w:b/>
                <w:bCs/>
                <w:color w:val="FFFFFF" w:themeColor="background1"/>
                <w:sz w:val="17"/>
                <w:szCs w:val="17"/>
              </w:rPr>
              <w:t>2</w:t>
            </w:r>
            <w:r>
              <w:rPr>
                <w:b/>
                <w:bCs/>
                <w:color w:val="FFFFFF" w:themeColor="background1"/>
                <w:sz w:val="17"/>
                <w:szCs w:val="17"/>
              </w:rPr>
              <w:t>0</w:t>
            </w:r>
            <w:r w:rsidR="000204EA">
              <w:rPr>
                <w:b/>
                <w:bCs/>
                <w:color w:val="FFFFFF" w:themeColor="background1"/>
                <w:sz w:val="17"/>
                <w:szCs w:val="17"/>
              </w:rPr>
              <w:t xml:space="preserve"> on the d</w:t>
            </w:r>
            <w:r w:rsidR="000204EA" w:rsidRPr="000204EA">
              <w:rPr>
                <w:b/>
                <w:bCs/>
                <w:color w:val="FFFFFF" w:themeColor="background1"/>
                <w:sz w:val="17"/>
                <w:szCs w:val="17"/>
              </w:rPr>
              <w:t>isclosures on Anticipated Financial Effects</w:t>
            </w:r>
          </w:p>
        </w:tc>
      </w:tr>
      <w:tr w:rsidR="004775A6" w14:paraId="4F64098E" w14:textId="77777777">
        <w:tc>
          <w:tcPr>
            <w:tcW w:w="9572" w:type="dxa"/>
          </w:tcPr>
          <w:p w14:paraId="1ED8CB4E" w14:textId="7133AD18" w:rsidR="004775A6" w:rsidRDefault="004775A6">
            <w:pPr>
              <w:spacing w:line="276" w:lineRule="auto"/>
              <w:rPr>
                <w:sz w:val="17"/>
                <w:szCs w:val="17"/>
              </w:rPr>
            </w:pPr>
            <w:r w:rsidRPr="00FF5136">
              <w:rPr>
                <w:b/>
                <w:bCs/>
                <w:sz w:val="17"/>
                <w:szCs w:val="17"/>
              </w:rPr>
              <w:t>Summary of changes</w:t>
            </w:r>
            <w:r>
              <w:rPr>
                <w:sz w:val="17"/>
                <w:szCs w:val="17"/>
              </w:rPr>
              <w:t xml:space="preserve">: </w:t>
            </w:r>
          </w:p>
          <w:p w14:paraId="7DFC3401" w14:textId="0D84D4FB" w:rsidR="004775A6" w:rsidRPr="00CC6A94" w:rsidRDefault="000204EA" w:rsidP="00B34801">
            <w:pPr>
              <w:spacing w:before="120" w:after="120" w:line="276" w:lineRule="auto"/>
              <w:rPr>
                <w:sz w:val="17"/>
                <w:szCs w:val="17"/>
              </w:rPr>
            </w:pPr>
            <w:r w:rsidRPr="000204EA">
              <w:rPr>
                <w:sz w:val="17"/>
                <w:szCs w:val="17"/>
              </w:rPr>
              <w:t>The content of the disclosure requirements on Anticipated Financial Effects (formerly E1-9 now E1-11) has been significantly reduced. Several datapoints are still included, which are considered necessary for investors and lenders to be able to assess the undertaking’s exposure to transition and physical risk, including for lenders to be able to meet either supervisory expectations or sector specific disclosure requirements. This question focuses on paragraphs 40 (a) to (d), 41 (a) to (f) and 42 of ESRS E1 and aims at collecting feedback on the feasibility of the remaining datapoints.</w:t>
            </w:r>
          </w:p>
        </w:tc>
      </w:tr>
      <w:tr w:rsidR="004775A6" w14:paraId="6DA7C021" w14:textId="77777777">
        <w:tc>
          <w:tcPr>
            <w:tcW w:w="9572" w:type="dxa"/>
          </w:tcPr>
          <w:p w14:paraId="09DBA51F" w14:textId="6C35C9C0" w:rsidR="004775A6" w:rsidRDefault="004775A6">
            <w:pPr>
              <w:spacing w:line="276" w:lineRule="auto"/>
              <w:rPr>
                <w:sz w:val="17"/>
                <w:szCs w:val="17"/>
              </w:rPr>
            </w:pPr>
            <w:r w:rsidRPr="00FF5136">
              <w:rPr>
                <w:b/>
                <w:bCs/>
                <w:sz w:val="17"/>
                <w:szCs w:val="17"/>
              </w:rPr>
              <w:t>Question</w:t>
            </w:r>
            <w:r>
              <w:rPr>
                <w:sz w:val="17"/>
                <w:szCs w:val="17"/>
              </w:rPr>
              <w:t xml:space="preserve">: </w:t>
            </w:r>
            <w:r w:rsidR="00C55DBA" w:rsidRPr="00C55DBA">
              <w:rPr>
                <w:sz w:val="17"/>
                <w:szCs w:val="17"/>
              </w:rPr>
              <w:t>Do you agree that the amended paragraph 40, 41 and 42 of ESRS E1 have been sufficiently simplified and that they strike the right balance between reporting effort and users’ needs?</w:t>
            </w:r>
          </w:p>
          <w:p w14:paraId="4A5A4218" w14:textId="6B41B050" w:rsidR="0012387F" w:rsidRDefault="0012387F" w:rsidP="0012387F">
            <w:pPr>
              <w:spacing w:line="276" w:lineRule="auto"/>
              <w:rPr>
                <w:sz w:val="17"/>
                <w:szCs w:val="17"/>
              </w:rPr>
            </w:pPr>
            <w:r>
              <w:rPr>
                <w:sz w:val="17"/>
                <w:szCs w:val="17"/>
              </w:rPr>
              <w:t>[</w:t>
            </w:r>
            <w:r w:rsidRPr="00B16FB6">
              <w:rPr>
                <w:sz w:val="17"/>
                <w:szCs w:val="17"/>
              </w:rPr>
              <w:t xml:space="preserve">agree, </w:t>
            </w:r>
            <w:r w:rsidRPr="00B16FB6">
              <w:rPr>
                <w:sz w:val="17"/>
                <w:szCs w:val="17"/>
                <w:highlight w:val="yellow"/>
              </w:rPr>
              <w:t>partially agree</w:t>
            </w:r>
            <w:r w:rsidRPr="00B16FB6">
              <w:rPr>
                <w:sz w:val="17"/>
                <w:szCs w:val="17"/>
              </w:rPr>
              <w:t>, disagree</w:t>
            </w:r>
            <w:r>
              <w:rPr>
                <w:sz w:val="17"/>
                <w:szCs w:val="17"/>
              </w:rPr>
              <w:t>].</w:t>
            </w:r>
          </w:p>
          <w:p w14:paraId="7C948489" w14:textId="68AD7AFF" w:rsidR="00CC6A94" w:rsidRDefault="00CC6A94" w:rsidP="00CC6A94">
            <w:pPr>
              <w:spacing w:before="120" w:line="276" w:lineRule="auto"/>
              <w:rPr>
                <w:sz w:val="17"/>
                <w:szCs w:val="17"/>
              </w:rPr>
            </w:pPr>
            <w:r w:rsidRPr="005449D5">
              <w:rPr>
                <w:i/>
                <w:iCs/>
                <w:sz w:val="17"/>
                <w:szCs w:val="17"/>
              </w:rPr>
              <w:t>If you intend to provide feedback also on Part 3 of this questionnaire, please note that by answering to this question, to avoid duplication of input, you will not be allowed to include comments on DR E1-11 or paragraphs 40, 41 and 42 of ESRS E1 in Part 3. Your comments on those provisions will only be provided here.</w:t>
            </w:r>
          </w:p>
          <w:p w14:paraId="53F60799" w14:textId="77777777" w:rsidR="0012387F" w:rsidRDefault="0012387F">
            <w:pPr>
              <w:spacing w:line="276" w:lineRule="auto"/>
              <w:rPr>
                <w:sz w:val="17"/>
                <w:szCs w:val="17"/>
              </w:rPr>
            </w:pPr>
          </w:p>
          <w:p w14:paraId="79B7CB32" w14:textId="5FC0F0FF" w:rsidR="007E6275" w:rsidRPr="00920C8A" w:rsidRDefault="003E494B" w:rsidP="007E6275">
            <w:pPr>
              <w:spacing w:line="276" w:lineRule="auto"/>
              <w:rPr>
                <w:sz w:val="17"/>
                <w:szCs w:val="17"/>
              </w:rPr>
            </w:pPr>
            <w:r w:rsidRPr="00920C8A">
              <w:rPr>
                <w:b/>
                <w:bCs/>
                <w:sz w:val="17"/>
                <w:szCs w:val="17"/>
              </w:rPr>
              <w:t>Insurance Europe response</w:t>
            </w:r>
            <w:r w:rsidR="007E6275" w:rsidRPr="00920C8A">
              <w:rPr>
                <w:sz w:val="17"/>
                <w:szCs w:val="17"/>
              </w:rPr>
              <w:t>:</w:t>
            </w:r>
            <w:r w:rsidR="004829D1" w:rsidRPr="00920C8A">
              <w:rPr>
                <w:sz w:val="17"/>
                <w:szCs w:val="17"/>
              </w:rPr>
              <w:t xml:space="preserve"> </w:t>
            </w:r>
          </w:p>
          <w:p w14:paraId="55B295AD" w14:textId="1766D938" w:rsidR="00E948E1" w:rsidRDefault="00E948E1" w:rsidP="00201E74">
            <w:pPr>
              <w:spacing w:before="120"/>
              <w:rPr>
                <w:sz w:val="17"/>
                <w:szCs w:val="17"/>
              </w:rPr>
            </w:pPr>
            <w:r w:rsidRPr="00920C8A">
              <w:rPr>
                <w:sz w:val="17"/>
                <w:szCs w:val="17"/>
              </w:rPr>
              <w:t xml:space="preserve">We </w:t>
            </w:r>
            <w:r w:rsidR="00EF709C" w:rsidRPr="00920C8A">
              <w:rPr>
                <w:sz w:val="17"/>
                <w:szCs w:val="17"/>
              </w:rPr>
              <w:t>welcome</w:t>
            </w:r>
            <w:r w:rsidRPr="00920C8A">
              <w:rPr>
                <w:sz w:val="17"/>
                <w:szCs w:val="17"/>
              </w:rPr>
              <w:t xml:space="preserve"> and appreciate the effort to simplify the disclosure requirements on Anticipated Financial Effects, particularly through the reduction in scope from the previous E1-9. However, we believe that further adjustments are needed to fully </w:t>
            </w:r>
            <w:r w:rsidR="002679F0" w:rsidRPr="00920C8A">
              <w:rPr>
                <w:sz w:val="17"/>
                <w:szCs w:val="17"/>
              </w:rPr>
              <w:t>balance</w:t>
            </w:r>
            <w:r w:rsidRPr="00920C8A">
              <w:rPr>
                <w:sz w:val="17"/>
                <w:szCs w:val="17"/>
              </w:rPr>
              <w:t xml:space="preserve"> reporting effort </w:t>
            </w:r>
            <w:r w:rsidR="00A227FD" w:rsidRPr="00920C8A">
              <w:rPr>
                <w:sz w:val="17"/>
                <w:szCs w:val="17"/>
              </w:rPr>
              <w:t>with</w:t>
            </w:r>
            <w:r w:rsidRPr="00920C8A">
              <w:rPr>
                <w:sz w:val="17"/>
                <w:szCs w:val="17"/>
              </w:rPr>
              <w:t xml:space="preserve"> users’ needs. Our </w:t>
            </w:r>
            <w:r w:rsidR="00A227FD" w:rsidRPr="00920C8A">
              <w:rPr>
                <w:sz w:val="17"/>
                <w:szCs w:val="17"/>
              </w:rPr>
              <w:t>remaining</w:t>
            </w:r>
            <w:r w:rsidRPr="00920C8A">
              <w:rPr>
                <w:sz w:val="17"/>
                <w:szCs w:val="17"/>
              </w:rPr>
              <w:t xml:space="preserve"> concerns are as follows:</w:t>
            </w:r>
          </w:p>
          <w:p w14:paraId="4BCF6021" w14:textId="57ED4100" w:rsidR="00BB242A" w:rsidRPr="00201E74" w:rsidRDefault="00201E74" w:rsidP="00201E74">
            <w:pPr>
              <w:spacing w:before="120"/>
              <w:rPr>
                <w:sz w:val="17"/>
                <w:szCs w:val="17"/>
              </w:rPr>
            </w:pPr>
            <w:r w:rsidRPr="009C7149">
              <w:rPr>
                <w:bCs/>
                <w:sz w:val="17"/>
                <w:szCs w:val="17"/>
              </w:rPr>
              <w:t>Revenue Disclosure Ambiguity (para. 41(e)):</w:t>
            </w:r>
            <w:r>
              <w:rPr>
                <w:b/>
                <w:sz w:val="17"/>
                <w:szCs w:val="17"/>
              </w:rPr>
              <w:t xml:space="preserve"> </w:t>
            </w:r>
            <w:r w:rsidR="00EE0340">
              <w:rPr>
                <w:sz w:val="17"/>
                <w:szCs w:val="17"/>
              </w:rPr>
              <w:t>It</w:t>
            </w:r>
            <w:r w:rsidRPr="00201E74">
              <w:rPr>
                <w:sz w:val="17"/>
                <w:szCs w:val="17"/>
              </w:rPr>
              <w:t xml:space="preserve"> requires revenue disclosures for activities at material transition risk and, where relevant, for customers in coal, oil, and gas sectors. However, the revised wording remains ambiguous regarding whether revenue figures should be reported gross or net of mitigation actions. Without explicit clarification, this may lead to inconsistent interpretations and reduce comparability. </w:t>
            </w:r>
            <w:r w:rsidR="002C211B" w:rsidRPr="002C211B">
              <w:rPr>
                <w:sz w:val="17"/>
                <w:szCs w:val="17"/>
              </w:rPr>
              <w:t>We recommend that EFRAG specify whether reported revenue should reflect mitigation effects to ensure consistent and meaningful disclosures.</w:t>
            </w:r>
          </w:p>
        </w:tc>
      </w:tr>
    </w:tbl>
    <w:p w14:paraId="396C07D1" w14:textId="77777777" w:rsidR="004775A6" w:rsidRDefault="004775A6" w:rsidP="005F5CCF">
      <w:pPr>
        <w:spacing w:after="200" w:line="276" w:lineRule="auto"/>
        <w:rPr>
          <w:sz w:val="17"/>
          <w:szCs w:val="17"/>
        </w:rPr>
      </w:pPr>
    </w:p>
    <w:tbl>
      <w:tblPr>
        <w:tblStyle w:val="Mriekatabuky"/>
        <w:tblW w:w="0" w:type="auto"/>
        <w:tblLook w:val="04A0" w:firstRow="1" w:lastRow="0" w:firstColumn="1" w:lastColumn="0" w:noHBand="0" w:noVBand="1"/>
      </w:tblPr>
      <w:tblGrid>
        <w:gridCol w:w="9572"/>
      </w:tblGrid>
      <w:tr w:rsidR="004775A6" w14:paraId="536449AA" w14:textId="77777777">
        <w:tc>
          <w:tcPr>
            <w:tcW w:w="9572" w:type="dxa"/>
            <w:shd w:val="clear" w:color="auto" w:fill="595959" w:themeFill="text1" w:themeFillTint="A6"/>
          </w:tcPr>
          <w:p w14:paraId="0638FD91" w14:textId="2D9792C1" w:rsidR="004775A6" w:rsidRPr="00F92E2F" w:rsidRDefault="004775A6">
            <w:pPr>
              <w:spacing w:line="276" w:lineRule="auto"/>
              <w:rPr>
                <w:b/>
                <w:bCs/>
                <w:color w:val="FFFFFF" w:themeColor="background1"/>
                <w:sz w:val="17"/>
                <w:szCs w:val="17"/>
              </w:rPr>
            </w:pPr>
            <w:r w:rsidRPr="00F92E2F">
              <w:rPr>
                <w:b/>
                <w:bCs/>
                <w:color w:val="FFFFFF" w:themeColor="background1"/>
                <w:sz w:val="17"/>
                <w:szCs w:val="17"/>
              </w:rPr>
              <w:lastRenderedPageBreak/>
              <w:t xml:space="preserve">Question </w:t>
            </w:r>
            <w:r w:rsidR="005C3F4E">
              <w:rPr>
                <w:b/>
                <w:bCs/>
                <w:color w:val="FFFFFF" w:themeColor="background1"/>
                <w:sz w:val="17"/>
                <w:szCs w:val="17"/>
              </w:rPr>
              <w:t>2</w:t>
            </w:r>
            <w:r>
              <w:rPr>
                <w:b/>
                <w:bCs/>
                <w:color w:val="FFFFFF" w:themeColor="background1"/>
                <w:sz w:val="17"/>
                <w:szCs w:val="17"/>
              </w:rPr>
              <w:t>1</w:t>
            </w:r>
            <w:r w:rsidR="00C55DBA">
              <w:rPr>
                <w:b/>
                <w:bCs/>
                <w:color w:val="FFFFFF" w:themeColor="background1"/>
                <w:sz w:val="17"/>
                <w:szCs w:val="17"/>
              </w:rPr>
              <w:t xml:space="preserve"> on e</w:t>
            </w:r>
            <w:r w:rsidR="00C55DBA" w:rsidRPr="00C55DBA">
              <w:rPr>
                <w:b/>
                <w:bCs/>
                <w:color w:val="FFFFFF" w:themeColor="background1"/>
                <w:sz w:val="17"/>
                <w:szCs w:val="17"/>
              </w:rPr>
              <w:t>nhanced interoperability with the ISSB’s standards IFRS S1 and S2</w:t>
            </w:r>
          </w:p>
        </w:tc>
      </w:tr>
      <w:tr w:rsidR="004775A6" w14:paraId="32B602DD" w14:textId="77777777">
        <w:tc>
          <w:tcPr>
            <w:tcW w:w="9572" w:type="dxa"/>
          </w:tcPr>
          <w:p w14:paraId="496ADC1E" w14:textId="66846E53" w:rsidR="004775A6" w:rsidRDefault="004775A6">
            <w:pPr>
              <w:spacing w:line="276" w:lineRule="auto"/>
              <w:rPr>
                <w:sz w:val="17"/>
                <w:szCs w:val="17"/>
              </w:rPr>
            </w:pPr>
            <w:r w:rsidRPr="00FF5136">
              <w:rPr>
                <w:b/>
                <w:bCs/>
                <w:sz w:val="17"/>
                <w:szCs w:val="17"/>
              </w:rPr>
              <w:t>Summary of changes</w:t>
            </w:r>
            <w:r>
              <w:rPr>
                <w:sz w:val="17"/>
                <w:szCs w:val="17"/>
              </w:rPr>
              <w:t xml:space="preserve">: </w:t>
            </w:r>
          </w:p>
          <w:p w14:paraId="43A5409D" w14:textId="77777777" w:rsidR="00C55DBA" w:rsidRPr="00C55DBA" w:rsidRDefault="00C55DBA" w:rsidP="00B34801">
            <w:pPr>
              <w:spacing w:before="120" w:line="276" w:lineRule="auto"/>
              <w:rPr>
                <w:sz w:val="17"/>
                <w:szCs w:val="17"/>
              </w:rPr>
            </w:pPr>
            <w:r w:rsidRPr="00C55DBA">
              <w:rPr>
                <w:sz w:val="17"/>
                <w:szCs w:val="17"/>
              </w:rPr>
              <w:t>To achieve this objective, EFRAG implemented the following changes, which aim to achieve a higher level of interoperability while being compatible with the objectives of the Amendments.</w:t>
            </w:r>
          </w:p>
          <w:p w14:paraId="35AC9663" w14:textId="77777777" w:rsidR="00C55DBA" w:rsidRPr="00C55DBA" w:rsidRDefault="00C55DBA" w:rsidP="00A14BA6">
            <w:pPr>
              <w:numPr>
                <w:ilvl w:val="0"/>
                <w:numId w:val="8"/>
              </w:numPr>
              <w:spacing w:line="276" w:lineRule="auto"/>
              <w:rPr>
                <w:sz w:val="17"/>
                <w:szCs w:val="17"/>
              </w:rPr>
            </w:pPr>
            <w:r w:rsidRPr="00C55DBA">
              <w:rPr>
                <w:sz w:val="17"/>
                <w:szCs w:val="17"/>
              </w:rPr>
              <w:t>In line with IFRS S1, emphasis has been put on ESRS being a fair presentation framework; materiality of information is now as general filter for the reported information.</w:t>
            </w:r>
          </w:p>
          <w:p w14:paraId="39121527" w14:textId="77777777" w:rsidR="00C55DBA" w:rsidRPr="00C55DBA" w:rsidRDefault="00C55DBA" w:rsidP="00A14BA6">
            <w:pPr>
              <w:numPr>
                <w:ilvl w:val="0"/>
                <w:numId w:val="8"/>
              </w:numPr>
              <w:spacing w:line="276" w:lineRule="auto"/>
              <w:rPr>
                <w:sz w:val="17"/>
                <w:szCs w:val="17"/>
              </w:rPr>
            </w:pPr>
            <w:r w:rsidRPr="00C55DBA">
              <w:rPr>
                <w:sz w:val="17"/>
                <w:szCs w:val="17"/>
              </w:rPr>
              <w:t>To remove one of the main interoperability differences, the ESRS E1 GHG emission boundary has been replaced by the financial consolidation approach (ESRS E1 AR19), aligned with the financial control approach in the GHG protocol, while a separate disclosure based on operational control is now required (and aligned with the corresponding disclosure in the GHG protocol) only for entities with more complex ownership structures (ESRS E1, AR 20).</w:t>
            </w:r>
          </w:p>
          <w:p w14:paraId="05C2540F" w14:textId="77777777" w:rsidR="00C55DBA" w:rsidRPr="00C55DBA" w:rsidRDefault="00C55DBA" w:rsidP="00A14BA6">
            <w:pPr>
              <w:numPr>
                <w:ilvl w:val="0"/>
                <w:numId w:val="8"/>
              </w:numPr>
              <w:spacing w:line="276" w:lineRule="auto"/>
              <w:rPr>
                <w:sz w:val="17"/>
                <w:szCs w:val="17"/>
              </w:rPr>
            </w:pPr>
            <w:r w:rsidRPr="00C55DBA">
              <w:rPr>
                <w:sz w:val="17"/>
                <w:szCs w:val="17"/>
              </w:rPr>
              <w:t>The IFRS reliefs (undue cost or effort, disclosure of ranges for quantitative financial effects) have been implemented, with the exception of the one on omitting commercially sensitive information about opportunities (pending the outcome of Level 1 discussions), the one allowing to omit Scope 3 GHG emissions when impracticable and the one allowing to omit quantitative financial effects when the undertaking does not have the necessary skills (please note that the relief on anticipated financial effects is treated in question 20).</w:t>
            </w:r>
          </w:p>
          <w:p w14:paraId="0B1F8397" w14:textId="77777777" w:rsidR="00C55DBA" w:rsidRPr="00C55DBA" w:rsidRDefault="00C55DBA" w:rsidP="00A14BA6">
            <w:pPr>
              <w:numPr>
                <w:ilvl w:val="0"/>
                <w:numId w:val="8"/>
              </w:numPr>
              <w:spacing w:line="276" w:lineRule="auto"/>
              <w:rPr>
                <w:sz w:val="17"/>
                <w:szCs w:val="17"/>
              </w:rPr>
            </w:pPr>
            <w:r w:rsidRPr="00C55DBA">
              <w:rPr>
                <w:sz w:val="17"/>
                <w:szCs w:val="17"/>
              </w:rPr>
              <w:t>The implementation of reliefs that go beyond the ones in IFRS S1 and S2 results in new interoperability differences (see question 16).</w:t>
            </w:r>
          </w:p>
          <w:p w14:paraId="5307FDEA" w14:textId="77777777" w:rsidR="00C55DBA" w:rsidRPr="00C55DBA" w:rsidRDefault="00C55DBA" w:rsidP="00A14BA6">
            <w:pPr>
              <w:numPr>
                <w:ilvl w:val="0"/>
                <w:numId w:val="8"/>
              </w:numPr>
              <w:spacing w:line="276" w:lineRule="auto"/>
              <w:rPr>
                <w:sz w:val="17"/>
                <w:szCs w:val="17"/>
              </w:rPr>
            </w:pPr>
            <w:r w:rsidRPr="00C55DBA">
              <w:rPr>
                <w:sz w:val="17"/>
                <w:szCs w:val="17"/>
              </w:rPr>
              <w:t>Language for requirements that are common to ESRS and IFRS S1 and S2 has been aligned whenever possible with the one in IFRS S1 and S2, in ESRS 1, 2 and E1.</w:t>
            </w:r>
          </w:p>
          <w:p w14:paraId="74A4CD7A" w14:textId="77777777" w:rsidR="00C55DBA" w:rsidRPr="00C55DBA" w:rsidRDefault="00C55DBA" w:rsidP="00A14BA6">
            <w:pPr>
              <w:numPr>
                <w:ilvl w:val="0"/>
                <w:numId w:val="8"/>
              </w:numPr>
              <w:spacing w:line="276" w:lineRule="auto"/>
              <w:rPr>
                <w:sz w:val="17"/>
                <w:szCs w:val="17"/>
              </w:rPr>
            </w:pPr>
            <w:r w:rsidRPr="00C55DBA">
              <w:rPr>
                <w:sz w:val="17"/>
                <w:szCs w:val="17"/>
              </w:rPr>
              <w:t>The reference to SASB Standards and IFRS Industry-based Guidance as a source of possible (“may consider”) disclosure when reporting entity-specific sector information is now a permanent feature (before it was temporary, i.e. until the issuance of ESRS sector standards).</w:t>
            </w:r>
          </w:p>
          <w:p w14:paraId="716BA87E" w14:textId="77777777" w:rsidR="00C55DBA" w:rsidRPr="00C55DBA" w:rsidRDefault="00C55DBA" w:rsidP="00A14BA6">
            <w:pPr>
              <w:numPr>
                <w:ilvl w:val="0"/>
                <w:numId w:val="8"/>
              </w:numPr>
              <w:spacing w:line="276" w:lineRule="auto"/>
              <w:rPr>
                <w:sz w:val="17"/>
                <w:szCs w:val="17"/>
              </w:rPr>
            </w:pPr>
            <w:r w:rsidRPr="00C55DBA">
              <w:rPr>
                <w:sz w:val="17"/>
                <w:szCs w:val="17"/>
              </w:rPr>
              <w:t>The datapoint reduction resulted in the elimination of 7 “shall” datapoints aligned with ISSB standards described in Basis for Conclusions (BfC) (Chapter4).</w:t>
            </w:r>
          </w:p>
          <w:p w14:paraId="238B512D" w14:textId="28CE55F7" w:rsidR="004775A6" w:rsidRPr="002104F6" w:rsidRDefault="00C55DBA" w:rsidP="00A14BA6">
            <w:pPr>
              <w:numPr>
                <w:ilvl w:val="0"/>
                <w:numId w:val="8"/>
              </w:numPr>
              <w:spacing w:after="120" w:line="276" w:lineRule="auto"/>
              <w:ind w:left="714" w:hanging="357"/>
              <w:rPr>
                <w:sz w:val="17"/>
                <w:szCs w:val="17"/>
              </w:rPr>
            </w:pPr>
            <w:r w:rsidRPr="00C55DBA">
              <w:rPr>
                <w:sz w:val="17"/>
                <w:szCs w:val="17"/>
              </w:rPr>
              <w:t>Several changes have been introduced to further advance interoperability in ESRS E1 (Basis for Conclusions (BfC), Chapter 4).</w:t>
            </w:r>
          </w:p>
        </w:tc>
      </w:tr>
      <w:tr w:rsidR="004775A6" w14:paraId="7CDC3CF3" w14:textId="77777777">
        <w:tc>
          <w:tcPr>
            <w:tcW w:w="9572" w:type="dxa"/>
          </w:tcPr>
          <w:p w14:paraId="25EB5F9C" w14:textId="6027E3BA" w:rsidR="004775A6" w:rsidRDefault="004775A6">
            <w:pPr>
              <w:spacing w:line="276" w:lineRule="auto"/>
              <w:rPr>
                <w:sz w:val="17"/>
                <w:szCs w:val="17"/>
              </w:rPr>
            </w:pPr>
            <w:r w:rsidRPr="00FF5136">
              <w:rPr>
                <w:b/>
                <w:bCs/>
                <w:sz w:val="17"/>
                <w:szCs w:val="17"/>
              </w:rPr>
              <w:t>Question</w:t>
            </w:r>
            <w:r>
              <w:rPr>
                <w:sz w:val="17"/>
                <w:szCs w:val="17"/>
              </w:rPr>
              <w:t xml:space="preserve">: </w:t>
            </w:r>
            <w:r w:rsidR="00896299" w:rsidRPr="00896299">
              <w:rPr>
                <w:sz w:val="17"/>
                <w:szCs w:val="17"/>
              </w:rPr>
              <w:t>Do you agree that these proposed Amendments achieve an appropriate balance between increasing interoperability and meeting the simplification objectives?</w:t>
            </w:r>
          </w:p>
          <w:p w14:paraId="51BFBD5C" w14:textId="73039395" w:rsidR="0012387F" w:rsidRDefault="0012387F" w:rsidP="0012387F">
            <w:pPr>
              <w:spacing w:line="276" w:lineRule="auto"/>
              <w:rPr>
                <w:sz w:val="17"/>
                <w:szCs w:val="17"/>
              </w:rPr>
            </w:pPr>
            <w:r>
              <w:rPr>
                <w:sz w:val="17"/>
                <w:szCs w:val="17"/>
              </w:rPr>
              <w:t>[</w:t>
            </w:r>
            <w:r w:rsidRPr="00E133ED">
              <w:rPr>
                <w:sz w:val="17"/>
                <w:szCs w:val="17"/>
              </w:rPr>
              <w:t xml:space="preserve">agree, </w:t>
            </w:r>
            <w:r w:rsidRPr="00E133ED">
              <w:rPr>
                <w:sz w:val="17"/>
                <w:szCs w:val="17"/>
                <w:highlight w:val="yellow"/>
              </w:rPr>
              <w:t>partially agree</w:t>
            </w:r>
            <w:r w:rsidRPr="00F15056">
              <w:rPr>
                <w:sz w:val="17"/>
                <w:szCs w:val="17"/>
              </w:rPr>
              <w:t>, disagree</w:t>
            </w:r>
            <w:r>
              <w:rPr>
                <w:sz w:val="17"/>
                <w:szCs w:val="17"/>
              </w:rPr>
              <w:t>].</w:t>
            </w:r>
          </w:p>
          <w:p w14:paraId="1E4D0E71" w14:textId="77777777" w:rsidR="0012387F" w:rsidRDefault="0012387F">
            <w:pPr>
              <w:spacing w:line="276" w:lineRule="auto"/>
              <w:rPr>
                <w:sz w:val="17"/>
                <w:szCs w:val="17"/>
              </w:rPr>
            </w:pPr>
          </w:p>
          <w:p w14:paraId="11678BAE" w14:textId="43C2A052" w:rsidR="007E6275" w:rsidRDefault="003E494B" w:rsidP="007E6275">
            <w:pPr>
              <w:spacing w:line="276" w:lineRule="auto"/>
              <w:rPr>
                <w:sz w:val="17"/>
                <w:szCs w:val="17"/>
              </w:rPr>
            </w:pPr>
            <w:r w:rsidRPr="002B6C33">
              <w:rPr>
                <w:b/>
                <w:bCs/>
                <w:sz w:val="17"/>
                <w:szCs w:val="17"/>
              </w:rPr>
              <w:t>Insurance Europe response</w:t>
            </w:r>
            <w:r w:rsidR="007E6275">
              <w:rPr>
                <w:sz w:val="17"/>
                <w:szCs w:val="17"/>
              </w:rPr>
              <w:t>:</w:t>
            </w:r>
          </w:p>
          <w:p w14:paraId="0ABFA892" w14:textId="7BE2B08D" w:rsidR="00DD3F57" w:rsidRDefault="003F5652" w:rsidP="00FF1D55">
            <w:pPr>
              <w:spacing w:before="120" w:line="276" w:lineRule="auto"/>
              <w:rPr>
                <w:sz w:val="17"/>
                <w:szCs w:val="17"/>
              </w:rPr>
            </w:pPr>
            <w:r w:rsidRPr="003F5652">
              <w:rPr>
                <w:sz w:val="17"/>
                <w:szCs w:val="17"/>
              </w:rPr>
              <w:t>Overall, the proposed Amendments represent a meaningful step towards enhancing interoperability while pursuing simplification objectives. The alignment of ESRS with IFRS S1 and S2</w:t>
            </w:r>
            <w:r>
              <w:rPr>
                <w:sz w:val="17"/>
                <w:szCs w:val="17"/>
              </w:rPr>
              <w:t xml:space="preserve"> </w:t>
            </w:r>
            <w:r w:rsidRPr="003F5652">
              <w:rPr>
                <w:sz w:val="17"/>
                <w:szCs w:val="17"/>
              </w:rPr>
              <w:t>has the potential to improve the consistency and comparability of disclosures across jurisdictions.</w:t>
            </w:r>
            <w:r>
              <w:rPr>
                <w:sz w:val="17"/>
                <w:szCs w:val="17"/>
              </w:rPr>
              <w:t xml:space="preserve"> </w:t>
            </w:r>
          </w:p>
          <w:p w14:paraId="3BADC0B5" w14:textId="529A7678" w:rsidR="00FF1D55" w:rsidRDefault="000E2828" w:rsidP="00FF1D55">
            <w:pPr>
              <w:spacing w:before="120" w:line="276" w:lineRule="auto"/>
              <w:rPr>
                <w:sz w:val="17"/>
                <w:szCs w:val="17"/>
              </w:rPr>
            </w:pPr>
            <w:r w:rsidRPr="000E2828">
              <w:rPr>
                <w:sz w:val="17"/>
                <w:szCs w:val="17"/>
              </w:rPr>
              <w:t>We welcome the introduction of reliefs, including the “undue cost or effort” provision, which offer needed flexibility for preparers without undermining the expectation of transparency. Allowing qualitative disclosures or ranges where quantitative data is not reasonably available helps balance practicality with investor needs. The streamlined language, elimination of redundant datapoints, and alignment with IFRS and the GHG Protocol contribute to reducing complexity and reporting burdens while maintaining a high-quality framework.</w:t>
            </w:r>
          </w:p>
          <w:p w14:paraId="6A424690" w14:textId="380F1BA6" w:rsidR="0083579A" w:rsidRDefault="0083579A" w:rsidP="00FF1D55">
            <w:pPr>
              <w:spacing w:before="120" w:line="276" w:lineRule="auto"/>
              <w:rPr>
                <w:sz w:val="17"/>
                <w:szCs w:val="17"/>
              </w:rPr>
            </w:pPr>
            <w:r w:rsidRPr="0083579A">
              <w:rPr>
                <w:sz w:val="17"/>
                <w:szCs w:val="17"/>
              </w:rPr>
              <w:t>On information materiality, the revised ESRS shows a notable improvement, bringing the concept closer to the IFRS provisions. However, paragraph 21(b) remains challenging in terms of practicability and the availability of evidence for audit purposes.</w:t>
            </w:r>
          </w:p>
          <w:p w14:paraId="0B98B81F" w14:textId="6396ED53" w:rsidR="000E2828" w:rsidRDefault="008F5707" w:rsidP="001B66DB">
            <w:pPr>
              <w:spacing w:before="120" w:line="276" w:lineRule="auto"/>
              <w:rPr>
                <w:sz w:val="17"/>
                <w:szCs w:val="17"/>
              </w:rPr>
            </w:pPr>
            <w:r>
              <w:rPr>
                <w:sz w:val="17"/>
                <w:szCs w:val="17"/>
              </w:rPr>
              <w:t xml:space="preserve">We are </w:t>
            </w:r>
            <w:r w:rsidR="00CD3D03" w:rsidRPr="00CD3D03">
              <w:rPr>
                <w:sz w:val="17"/>
                <w:szCs w:val="17"/>
              </w:rPr>
              <w:t>concern</w:t>
            </w:r>
            <w:r>
              <w:rPr>
                <w:sz w:val="17"/>
                <w:szCs w:val="17"/>
              </w:rPr>
              <w:t xml:space="preserve">ed </w:t>
            </w:r>
            <w:r w:rsidR="00201AF4">
              <w:rPr>
                <w:sz w:val="17"/>
                <w:szCs w:val="17"/>
              </w:rPr>
              <w:t>about</w:t>
            </w:r>
            <w:r w:rsidR="00CD3D03" w:rsidRPr="00CD3D03">
              <w:rPr>
                <w:sz w:val="17"/>
                <w:szCs w:val="17"/>
              </w:rPr>
              <w:t xml:space="preserve"> the restricted approach adopted for GHG emission boundaries under AR 19 and AR 20. While the shift to the financial consolidation approach enhances interoperability with IFRS S2 and the financial control approach of the GHG Protocol, it limits the flexibility that the GHG Protocol explicitly offers — namely, allowing undertakings to choose between financial control, operational control, or equity share boundaries</w:t>
            </w:r>
            <w:r w:rsidR="000E2828" w:rsidRPr="000E2828">
              <w:rPr>
                <w:sz w:val="17"/>
                <w:szCs w:val="17"/>
              </w:rPr>
              <w:t>. This could undermine interoperability objectives and introduce confusion for undertakings applying multiple frameworks. We recommend further alignment or clearer guidance to reconcile these differences.</w:t>
            </w:r>
          </w:p>
        </w:tc>
      </w:tr>
    </w:tbl>
    <w:p w14:paraId="4C0C12C5" w14:textId="03739C29" w:rsidR="004775A6" w:rsidRDefault="004775A6" w:rsidP="005F5CCF">
      <w:pPr>
        <w:spacing w:after="200" w:line="276" w:lineRule="auto"/>
        <w:rPr>
          <w:sz w:val="17"/>
          <w:szCs w:val="17"/>
        </w:rPr>
      </w:pPr>
    </w:p>
    <w:tbl>
      <w:tblPr>
        <w:tblStyle w:val="Mriekatabuky"/>
        <w:tblW w:w="0" w:type="auto"/>
        <w:tblLook w:val="04A0" w:firstRow="1" w:lastRow="0" w:firstColumn="1" w:lastColumn="0" w:noHBand="0" w:noVBand="1"/>
      </w:tblPr>
      <w:tblGrid>
        <w:gridCol w:w="9572"/>
      </w:tblGrid>
      <w:tr w:rsidR="001014D7" w14:paraId="15D34D93" w14:textId="77777777">
        <w:tc>
          <w:tcPr>
            <w:tcW w:w="9572" w:type="dxa"/>
            <w:shd w:val="clear" w:color="auto" w:fill="595959" w:themeFill="text1" w:themeFillTint="A6"/>
          </w:tcPr>
          <w:p w14:paraId="09D39A4E" w14:textId="4E140D8D" w:rsidR="001014D7" w:rsidRPr="00F92E2F" w:rsidRDefault="001014D7">
            <w:pPr>
              <w:spacing w:line="276" w:lineRule="auto"/>
              <w:rPr>
                <w:b/>
                <w:bCs/>
                <w:color w:val="FFFFFF" w:themeColor="background1"/>
                <w:sz w:val="17"/>
                <w:szCs w:val="17"/>
              </w:rPr>
            </w:pPr>
            <w:r w:rsidRPr="00F92E2F">
              <w:rPr>
                <w:b/>
                <w:bCs/>
                <w:color w:val="FFFFFF" w:themeColor="background1"/>
                <w:sz w:val="17"/>
                <w:szCs w:val="17"/>
              </w:rPr>
              <w:lastRenderedPageBreak/>
              <w:t xml:space="preserve">Question </w:t>
            </w:r>
            <w:r w:rsidR="005C3F4E">
              <w:rPr>
                <w:b/>
                <w:bCs/>
                <w:color w:val="FFFFFF" w:themeColor="background1"/>
                <w:sz w:val="17"/>
                <w:szCs w:val="17"/>
              </w:rPr>
              <w:t>2</w:t>
            </w:r>
            <w:r>
              <w:rPr>
                <w:b/>
                <w:bCs/>
                <w:color w:val="FFFFFF" w:themeColor="background1"/>
                <w:sz w:val="17"/>
                <w:szCs w:val="17"/>
              </w:rPr>
              <w:t>2</w:t>
            </w:r>
            <w:r w:rsidR="00195AC2">
              <w:rPr>
                <w:b/>
                <w:bCs/>
                <w:color w:val="FFFFFF" w:themeColor="background1"/>
                <w:sz w:val="17"/>
                <w:szCs w:val="17"/>
              </w:rPr>
              <w:t xml:space="preserve"> on r</w:t>
            </w:r>
            <w:r w:rsidR="00195AC2" w:rsidRPr="00195AC2">
              <w:rPr>
                <w:b/>
                <w:bCs/>
                <w:color w:val="FFFFFF" w:themeColor="background1"/>
                <w:sz w:val="17"/>
                <w:szCs w:val="17"/>
              </w:rPr>
              <w:t>eduction in the number of mandatory and voluntary datapoints</w:t>
            </w:r>
          </w:p>
        </w:tc>
      </w:tr>
      <w:tr w:rsidR="001014D7" w14:paraId="6DFDF25B" w14:textId="77777777">
        <w:tc>
          <w:tcPr>
            <w:tcW w:w="9572" w:type="dxa"/>
          </w:tcPr>
          <w:p w14:paraId="6653AC75" w14:textId="018942B1" w:rsidR="001014D7" w:rsidRDefault="001014D7">
            <w:pPr>
              <w:spacing w:line="276" w:lineRule="auto"/>
              <w:rPr>
                <w:sz w:val="17"/>
                <w:szCs w:val="17"/>
              </w:rPr>
            </w:pPr>
            <w:r w:rsidRPr="00FF5136">
              <w:rPr>
                <w:b/>
                <w:bCs/>
                <w:sz w:val="17"/>
                <w:szCs w:val="17"/>
              </w:rPr>
              <w:t>Summary of changes</w:t>
            </w:r>
            <w:r>
              <w:rPr>
                <w:sz w:val="17"/>
                <w:szCs w:val="17"/>
              </w:rPr>
              <w:t xml:space="preserve">: </w:t>
            </w:r>
          </w:p>
          <w:p w14:paraId="0987FB4B" w14:textId="77777777" w:rsidR="00B34801" w:rsidRDefault="00195AC2" w:rsidP="00B34801">
            <w:pPr>
              <w:spacing w:before="120" w:line="276" w:lineRule="auto"/>
              <w:rPr>
                <w:sz w:val="17"/>
                <w:szCs w:val="17"/>
              </w:rPr>
            </w:pPr>
            <w:r w:rsidRPr="00195AC2">
              <w:rPr>
                <w:sz w:val="17"/>
                <w:szCs w:val="17"/>
              </w:rPr>
              <w:t>The Amendments have realised a substantial reduction in the number of mandatory (-57%) and voluntary (-100%) datapoints, described in the Basis for Conclusions (BfC), Appendix 3.</w:t>
            </w:r>
          </w:p>
          <w:p w14:paraId="330BFD37" w14:textId="1816EC77" w:rsidR="001014D7" w:rsidRPr="00F21217" w:rsidRDefault="00195AC2" w:rsidP="00B34801">
            <w:pPr>
              <w:spacing w:after="120" w:line="276" w:lineRule="auto"/>
              <w:rPr>
                <w:sz w:val="17"/>
                <w:szCs w:val="17"/>
              </w:rPr>
            </w:pPr>
            <w:r w:rsidRPr="00195AC2">
              <w:rPr>
                <w:sz w:val="17"/>
                <w:szCs w:val="17"/>
              </w:rPr>
              <w:t>The Explanatory Memorandum (page 6) specified that “the revision of the Delegated Act will substantially reduce the number of mandatory ESRS datapoints by (i) removing those deemed least important for general purpose sustainability reporting, (ii) prioritising quantitative datapoints over narrative text and (iii) further distinguishing between mandatory and voluntary datapoints, without undermining interoperability with global reporting standards and without prejudice to the materiality assessment of each undertaking.”</w:t>
            </w:r>
            <w:r w:rsidRPr="00195AC2">
              <w:rPr>
                <w:sz w:val="17"/>
                <w:szCs w:val="17"/>
              </w:rPr>
              <w:br/>
              <w:t>To achieve this objective, EFRAG undertook a systematic review of the datapoints, to eliminate the least relevant, i.e. those that are not strictly necessary to meet the disclosure objectives. Most of the deleted datapoints stem from the narrative PAT disclosures, where a less prescriptive and more principles-based approach has been implemented. Therefore, most of the deletions refer to narrative datapoints. In the context of such a systematic review, merging two distinct datapoints was not considered as a reduction.</w:t>
            </w:r>
          </w:p>
        </w:tc>
      </w:tr>
      <w:tr w:rsidR="001014D7" w14:paraId="4C7666EF" w14:textId="77777777">
        <w:tc>
          <w:tcPr>
            <w:tcW w:w="9572" w:type="dxa"/>
          </w:tcPr>
          <w:p w14:paraId="0B5AA6C2" w14:textId="5519FA5E" w:rsidR="001014D7" w:rsidRDefault="001014D7">
            <w:pPr>
              <w:spacing w:line="276" w:lineRule="auto"/>
              <w:rPr>
                <w:sz w:val="17"/>
                <w:szCs w:val="17"/>
              </w:rPr>
            </w:pPr>
            <w:r w:rsidRPr="00FF5136">
              <w:rPr>
                <w:b/>
                <w:bCs/>
                <w:sz w:val="17"/>
                <w:szCs w:val="17"/>
              </w:rPr>
              <w:t>Question</w:t>
            </w:r>
            <w:r>
              <w:rPr>
                <w:sz w:val="17"/>
                <w:szCs w:val="17"/>
              </w:rPr>
              <w:t xml:space="preserve">: </w:t>
            </w:r>
            <w:r w:rsidR="00195AC2" w:rsidRPr="00195AC2">
              <w:rPr>
                <w:sz w:val="17"/>
                <w:szCs w:val="17"/>
              </w:rPr>
              <w:t>Do you agree that the proposed reduction in “shall disclose” datapoints (under materiality) strike an acceptable balance between burden reduction and preserving the information that is necessary to fulfil the objectives of t</w:t>
            </w:r>
            <w:r w:rsidR="00457EA2">
              <w:rPr>
                <w:sz w:val="17"/>
                <w:szCs w:val="17"/>
              </w:rPr>
              <w:t>he EU Green Deal?</w:t>
            </w:r>
          </w:p>
          <w:p w14:paraId="2FBC0CE9" w14:textId="71E48031" w:rsidR="0012387F" w:rsidRDefault="0012387F" w:rsidP="0012387F">
            <w:pPr>
              <w:spacing w:line="276" w:lineRule="auto"/>
              <w:rPr>
                <w:sz w:val="17"/>
                <w:szCs w:val="17"/>
              </w:rPr>
            </w:pPr>
            <w:r>
              <w:rPr>
                <w:sz w:val="17"/>
                <w:szCs w:val="17"/>
              </w:rPr>
              <w:t>[</w:t>
            </w:r>
            <w:r w:rsidRPr="000B6AD8">
              <w:rPr>
                <w:sz w:val="17"/>
                <w:szCs w:val="17"/>
              </w:rPr>
              <w:t>agree,</w:t>
            </w:r>
            <w:r w:rsidRPr="002A38B7">
              <w:rPr>
                <w:sz w:val="17"/>
                <w:szCs w:val="17"/>
                <w:highlight w:val="yellow"/>
              </w:rPr>
              <w:t xml:space="preserve"> </w:t>
            </w:r>
            <w:r w:rsidRPr="000B6AD8">
              <w:rPr>
                <w:sz w:val="17"/>
                <w:szCs w:val="17"/>
                <w:highlight w:val="yellow"/>
              </w:rPr>
              <w:t>partially agree</w:t>
            </w:r>
            <w:r w:rsidRPr="00E21D8D">
              <w:rPr>
                <w:sz w:val="17"/>
                <w:szCs w:val="17"/>
              </w:rPr>
              <w:t>, disagree</w:t>
            </w:r>
            <w:r>
              <w:rPr>
                <w:sz w:val="17"/>
                <w:szCs w:val="17"/>
              </w:rPr>
              <w:t>].</w:t>
            </w:r>
          </w:p>
          <w:p w14:paraId="73BE4893" w14:textId="77777777" w:rsidR="0012387F" w:rsidRDefault="0012387F">
            <w:pPr>
              <w:spacing w:line="276" w:lineRule="auto"/>
              <w:rPr>
                <w:sz w:val="17"/>
                <w:szCs w:val="17"/>
              </w:rPr>
            </w:pPr>
          </w:p>
          <w:p w14:paraId="581A1C35" w14:textId="77777777" w:rsidR="007E6275" w:rsidRDefault="003E494B" w:rsidP="007E6275">
            <w:pPr>
              <w:spacing w:line="276" w:lineRule="auto"/>
              <w:rPr>
                <w:sz w:val="17"/>
                <w:szCs w:val="17"/>
              </w:rPr>
            </w:pPr>
            <w:r w:rsidRPr="002B6C33">
              <w:rPr>
                <w:b/>
                <w:bCs/>
                <w:sz w:val="17"/>
                <w:szCs w:val="17"/>
              </w:rPr>
              <w:t>Insurance Europe response</w:t>
            </w:r>
            <w:r w:rsidR="007E6275">
              <w:rPr>
                <w:sz w:val="17"/>
                <w:szCs w:val="17"/>
              </w:rPr>
              <w:t>:</w:t>
            </w:r>
          </w:p>
          <w:p w14:paraId="6D6A6310" w14:textId="1AE601DB" w:rsidR="008C41CD" w:rsidRPr="008C41CD" w:rsidRDefault="008C41CD" w:rsidP="008C41CD">
            <w:pPr>
              <w:spacing w:before="120" w:line="276" w:lineRule="auto"/>
              <w:rPr>
                <w:sz w:val="17"/>
                <w:szCs w:val="17"/>
              </w:rPr>
            </w:pPr>
            <w:r w:rsidRPr="008C41CD">
              <w:rPr>
                <w:sz w:val="17"/>
                <w:szCs w:val="17"/>
              </w:rPr>
              <w:t xml:space="preserve">We support the systematic reduction in mandatory and voluntary datapoints as a necessary and proportionate response to concerns around reporting complexity, excessive granularity, and the potential administrative burden for preparers. </w:t>
            </w:r>
          </w:p>
          <w:p w14:paraId="2FB10EEB" w14:textId="4315E99A" w:rsidR="000B6AD8" w:rsidRPr="000B6AD8" w:rsidRDefault="000F59F1" w:rsidP="000B6AD8">
            <w:pPr>
              <w:spacing w:before="120" w:line="276" w:lineRule="auto"/>
              <w:rPr>
                <w:sz w:val="17"/>
                <w:szCs w:val="17"/>
              </w:rPr>
            </w:pPr>
            <w:r w:rsidRPr="008C41CD">
              <w:rPr>
                <w:sz w:val="17"/>
                <w:szCs w:val="17"/>
              </w:rPr>
              <w:t>We</w:t>
            </w:r>
            <w:r w:rsidR="008C41CD" w:rsidRPr="008C41CD">
              <w:rPr>
                <w:sz w:val="17"/>
                <w:szCs w:val="17"/>
              </w:rPr>
              <w:t xml:space="preserve"> welcome the prioritisation of quantitative datapoints over detailed narrative explanations and the clear distinction between mandatory and voluntary requirements. </w:t>
            </w:r>
            <w:r w:rsidR="000B6AD8">
              <w:rPr>
                <w:sz w:val="17"/>
                <w:szCs w:val="17"/>
              </w:rPr>
              <w:t xml:space="preserve">However, we </w:t>
            </w:r>
            <w:r w:rsidR="007D3B54" w:rsidRPr="007D3B54">
              <w:rPr>
                <w:sz w:val="17"/>
                <w:szCs w:val="17"/>
              </w:rPr>
              <w:t>observe that some paragraphs in the ESRS text remain unclear or primarily descriptive, such as ESRS 1 paragraph 27, AR 16 related to paragraph 42, and AR 20 related to paragraph 49. Likewise, expressions like “is useful information” (e.g., ESRS 2, AR 32 to paragraph 37) or “is a possible aspect to cover” (e.g., AR 33 to paragraph 37) continue to appear. These formulations do not fully support the goal of simplifying the standards and may lead to uncertainty regarding the actual requirements for undertakings. Additionally, even the conceptual framework concerning “topics to be reported on” or “material IROs” could benefit from further clarification or streamlining.</w:t>
            </w:r>
          </w:p>
          <w:p w14:paraId="424782EC" w14:textId="33E1DA1E" w:rsidR="000B6AD8" w:rsidRPr="00A700D2" w:rsidRDefault="00DE6F75" w:rsidP="00956B69">
            <w:pPr>
              <w:spacing w:before="120" w:line="276" w:lineRule="auto"/>
              <w:rPr>
                <w:sz w:val="17"/>
                <w:szCs w:val="17"/>
                <w:lang w:val="en-US"/>
              </w:rPr>
            </w:pPr>
            <w:r w:rsidRPr="00DE6F75">
              <w:rPr>
                <w:sz w:val="17"/>
                <w:szCs w:val="17"/>
              </w:rPr>
              <w:t xml:space="preserve">Finally, it is important to note that </w:t>
            </w:r>
            <w:r w:rsidRPr="00DE6F75">
              <w:rPr>
                <w:sz w:val="17"/>
                <w:szCs w:val="17"/>
                <w:lang w:val="en-US"/>
              </w:rPr>
              <w:t>a 57% reduction in mandatory datapoint</w:t>
            </w:r>
            <w:r w:rsidRPr="00DE6F75">
              <w:rPr>
                <w:sz w:val="17"/>
                <w:szCs w:val="17"/>
              </w:rPr>
              <w:t xml:space="preserve"> will not </w:t>
            </w:r>
            <w:r w:rsidRPr="00DE6F75">
              <w:rPr>
                <w:sz w:val="17"/>
                <w:szCs w:val="17"/>
                <w:lang w:val="en-US"/>
              </w:rPr>
              <w:t>necessarily translate into a proportional decrease</w:t>
            </w:r>
            <w:r w:rsidRPr="00DE6F75">
              <w:rPr>
                <w:sz w:val="17"/>
                <w:szCs w:val="17"/>
              </w:rPr>
              <w:t xml:space="preserve"> in report length or reporting burden.</w:t>
            </w:r>
            <w:r w:rsidRPr="00DE6F75">
              <w:rPr>
                <w:sz w:val="17"/>
                <w:szCs w:val="17"/>
                <w:lang w:val="en-US"/>
              </w:rPr>
              <w:t xml:space="preserve"> </w:t>
            </w:r>
            <w:r w:rsidRPr="00DE6F75">
              <w:rPr>
                <w:sz w:val="17"/>
                <w:szCs w:val="17"/>
              </w:rPr>
              <w:t>While we welcome the notable reductions in certain topical standards, significant concerns remain regarding newly introduced concepts and methodologies that may, in fact, increase the reporting effort. Examples include the requirements on fair presentation, the distinction between gross and net impacts, and the mandatory general disclosures for all metrics relating to data types and sources — as well as, for environmental metrics, the disclosure of specific environmental conditions and characteristics of the area where the impact occurs.</w:t>
            </w:r>
          </w:p>
        </w:tc>
      </w:tr>
    </w:tbl>
    <w:p w14:paraId="338AC686" w14:textId="77777777" w:rsidR="004775A6" w:rsidRDefault="004775A6" w:rsidP="005F5CCF">
      <w:pPr>
        <w:spacing w:after="200" w:line="276" w:lineRule="auto"/>
        <w:rPr>
          <w:sz w:val="17"/>
          <w:szCs w:val="17"/>
        </w:rPr>
      </w:pPr>
    </w:p>
    <w:tbl>
      <w:tblPr>
        <w:tblStyle w:val="Mriekatabuky"/>
        <w:tblW w:w="0" w:type="auto"/>
        <w:tblLook w:val="04A0" w:firstRow="1" w:lastRow="0" w:firstColumn="1" w:lastColumn="0" w:noHBand="0" w:noVBand="1"/>
      </w:tblPr>
      <w:tblGrid>
        <w:gridCol w:w="9572"/>
      </w:tblGrid>
      <w:tr w:rsidR="001014D7" w14:paraId="4B64962F" w14:textId="77777777">
        <w:tc>
          <w:tcPr>
            <w:tcW w:w="9572" w:type="dxa"/>
            <w:shd w:val="clear" w:color="auto" w:fill="595959" w:themeFill="text1" w:themeFillTint="A6"/>
          </w:tcPr>
          <w:p w14:paraId="090CCEC2" w14:textId="531FB788" w:rsidR="001014D7" w:rsidRPr="00F92E2F" w:rsidRDefault="001014D7">
            <w:pPr>
              <w:spacing w:line="276" w:lineRule="auto"/>
              <w:rPr>
                <w:b/>
                <w:bCs/>
                <w:color w:val="FFFFFF" w:themeColor="background1"/>
                <w:sz w:val="17"/>
                <w:szCs w:val="17"/>
              </w:rPr>
            </w:pPr>
            <w:r w:rsidRPr="00F92E2F">
              <w:rPr>
                <w:b/>
                <w:bCs/>
                <w:color w:val="FFFFFF" w:themeColor="background1"/>
                <w:sz w:val="17"/>
                <w:szCs w:val="17"/>
              </w:rPr>
              <w:t xml:space="preserve">Question </w:t>
            </w:r>
            <w:r w:rsidR="005C3F4E">
              <w:rPr>
                <w:b/>
                <w:bCs/>
                <w:color w:val="FFFFFF" w:themeColor="background1"/>
                <w:sz w:val="17"/>
                <w:szCs w:val="17"/>
              </w:rPr>
              <w:t>2</w:t>
            </w:r>
            <w:r>
              <w:rPr>
                <w:b/>
                <w:bCs/>
                <w:color w:val="FFFFFF" w:themeColor="background1"/>
                <w:sz w:val="17"/>
                <w:szCs w:val="17"/>
              </w:rPr>
              <w:t>3</w:t>
            </w:r>
            <w:r w:rsidR="00AF5F3F">
              <w:rPr>
                <w:b/>
                <w:bCs/>
                <w:color w:val="FFFFFF" w:themeColor="background1"/>
                <w:sz w:val="17"/>
                <w:szCs w:val="17"/>
              </w:rPr>
              <w:t xml:space="preserve"> on the </w:t>
            </w:r>
            <w:r w:rsidR="00AF5F3F" w:rsidRPr="00AF5F3F">
              <w:rPr>
                <w:b/>
                <w:bCs/>
                <w:color w:val="FFFFFF" w:themeColor="background1"/>
                <w:sz w:val="17"/>
                <w:szCs w:val="17"/>
              </w:rPr>
              <w:t>Six datapoints exceptionally moved from “may” to “shall”</w:t>
            </w:r>
          </w:p>
        </w:tc>
      </w:tr>
      <w:tr w:rsidR="001014D7" w14:paraId="6522C7C0" w14:textId="77777777">
        <w:tc>
          <w:tcPr>
            <w:tcW w:w="9572" w:type="dxa"/>
          </w:tcPr>
          <w:p w14:paraId="6CE25B45" w14:textId="09D0404B" w:rsidR="001014D7" w:rsidRDefault="001014D7">
            <w:pPr>
              <w:spacing w:line="276" w:lineRule="auto"/>
              <w:rPr>
                <w:sz w:val="17"/>
                <w:szCs w:val="17"/>
              </w:rPr>
            </w:pPr>
            <w:r w:rsidRPr="00FF5136">
              <w:rPr>
                <w:b/>
                <w:bCs/>
                <w:sz w:val="17"/>
                <w:szCs w:val="17"/>
              </w:rPr>
              <w:t>Summary of changes</w:t>
            </w:r>
            <w:r>
              <w:rPr>
                <w:sz w:val="17"/>
                <w:szCs w:val="17"/>
              </w:rPr>
              <w:t xml:space="preserve">: </w:t>
            </w:r>
          </w:p>
          <w:p w14:paraId="3941D235" w14:textId="351B3259" w:rsidR="008715A1" w:rsidRPr="008715A1" w:rsidRDefault="008715A1" w:rsidP="00092D28">
            <w:pPr>
              <w:spacing w:before="120" w:line="276" w:lineRule="auto"/>
              <w:rPr>
                <w:sz w:val="17"/>
                <w:szCs w:val="17"/>
              </w:rPr>
            </w:pPr>
            <w:r w:rsidRPr="008715A1">
              <w:rPr>
                <w:sz w:val="17"/>
                <w:szCs w:val="17"/>
              </w:rPr>
              <w:t>ESRS E3 Water – Own operations total withdrawal (Amended ESRS E3 paragraph 28 (c))</w:t>
            </w:r>
            <w:r>
              <w:rPr>
                <w:sz w:val="17"/>
                <w:szCs w:val="17"/>
              </w:rPr>
              <w:t xml:space="preserve">: </w:t>
            </w:r>
            <w:r w:rsidRPr="008715A1">
              <w:rPr>
                <w:sz w:val="17"/>
                <w:szCs w:val="17"/>
              </w:rPr>
              <w:t>This requirement should not create an additional burden, as reporting water consumption already relies on understanding the water balance, including both withdrawals and discharges. Given this, the change from optional (‘may’) to mandatory (‘shall’) reflects the importance of these metrics in completing the water balance equation and ensuring fair presentation of material IROs. Water withdrawal—defined as the volume of water removed from ecosystems—is a key indicator for assessing pressure on local water resources, particularly in water-stressed regions.</w:t>
            </w:r>
          </w:p>
          <w:p w14:paraId="05099846" w14:textId="05856813" w:rsidR="008715A1" w:rsidRPr="008715A1" w:rsidRDefault="008715A1" w:rsidP="00092D28">
            <w:pPr>
              <w:spacing w:before="120" w:line="276" w:lineRule="auto"/>
              <w:rPr>
                <w:sz w:val="17"/>
                <w:szCs w:val="17"/>
              </w:rPr>
            </w:pPr>
            <w:r w:rsidRPr="008715A1">
              <w:rPr>
                <w:sz w:val="17"/>
                <w:szCs w:val="17"/>
              </w:rPr>
              <w:t>ESRS E3 Water – Own operations total discharges (Amended ESRS E3 paragraph 17)</w:t>
            </w:r>
            <w:r>
              <w:rPr>
                <w:sz w:val="17"/>
                <w:szCs w:val="17"/>
              </w:rPr>
              <w:t xml:space="preserve">: </w:t>
            </w:r>
            <w:r w:rsidRPr="008715A1">
              <w:rPr>
                <w:sz w:val="17"/>
                <w:szCs w:val="17"/>
              </w:rPr>
              <w:t xml:space="preserve">This requirement should not impose an additional burden, as reporting water consumption already depends on understanding the water </w:t>
            </w:r>
            <w:r w:rsidRPr="008715A1">
              <w:rPr>
                <w:sz w:val="17"/>
                <w:szCs w:val="17"/>
              </w:rPr>
              <w:lastRenderedPageBreak/>
              <w:t>balance, including both withdrawals and discharges. Accordingly, the change from optional (‘may’) to mandatory (‘shall’) reflects the importance of these metrics in completing the water balance equation and supporting the fair presentation of material IROs. Water discharges, in particular, serve as a complementary indicator to water withdrawals, providing a fuller picture of pressure on water resources.</w:t>
            </w:r>
          </w:p>
          <w:p w14:paraId="3E753FCD" w14:textId="12A209EA" w:rsidR="008715A1" w:rsidRPr="00B37335" w:rsidRDefault="008715A1" w:rsidP="00092D28">
            <w:pPr>
              <w:spacing w:before="120" w:line="276" w:lineRule="auto"/>
              <w:rPr>
                <w:sz w:val="17"/>
                <w:szCs w:val="17"/>
              </w:rPr>
            </w:pPr>
            <w:r w:rsidRPr="00B37335">
              <w:rPr>
                <w:sz w:val="17"/>
                <w:szCs w:val="17"/>
              </w:rPr>
              <w:t>ESRS E4 Biodiversity and ecosystems – Disclosure of transition plan for biodiversity and ecosystems: Changed to mandatory as this disclosure is considered highly decision-useful for users in relation to undertakings operating in certain sectors. Disclosing information on a transition plan (TP) is conditional to have one that is publicly released. This does not add burden as the plan is already public and the information normally available. Implementing TPs, and disclosing on them, is an area that is normalizing and expected to become increasingly important in future years.</w:t>
            </w:r>
          </w:p>
          <w:p w14:paraId="6AE85C51" w14:textId="77A7D363" w:rsidR="009B7B6B" w:rsidRPr="00B37335" w:rsidRDefault="008715A1" w:rsidP="00092D28">
            <w:pPr>
              <w:spacing w:before="120" w:line="276" w:lineRule="auto"/>
              <w:rPr>
                <w:sz w:val="17"/>
                <w:szCs w:val="17"/>
              </w:rPr>
            </w:pPr>
            <w:r w:rsidRPr="00B37335">
              <w:rPr>
                <w:sz w:val="17"/>
                <w:szCs w:val="17"/>
              </w:rPr>
              <w:t>ESRS G1 Business conduct – Training of procurement team (Amended ESRS G1 paragraph 10 (c)): The revision G1 has consolidated previous scattered datapoints on training in one generic provision, while specifying the target audience considered critical in sustainability (such as the procurement team). The DP is an important information related to management of</w:t>
            </w:r>
            <w:r w:rsidR="009B7B6B" w:rsidRPr="00B37335">
              <w:rPr>
                <w:sz w:val="17"/>
                <w:szCs w:val="17"/>
              </w:rPr>
              <w:t xml:space="preserve"> suppliers’ relationship for which several other DPs have been deleted.</w:t>
            </w:r>
          </w:p>
          <w:p w14:paraId="42D449DF" w14:textId="1FB02D21" w:rsidR="009B7B6B" w:rsidRPr="00F21217" w:rsidRDefault="009B7B6B" w:rsidP="00092D28">
            <w:pPr>
              <w:spacing w:before="120" w:line="276" w:lineRule="auto"/>
              <w:rPr>
                <w:sz w:val="17"/>
                <w:szCs w:val="17"/>
              </w:rPr>
            </w:pPr>
            <w:r w:rsidRPr="00B37335">
              <w:rPr>
                <w:sz w:val="17"/>
                <w:szCs w:val="17"/>
              </w:rPr>
              <w:t xml:space="preserve">ESRS G1 Business conduct – </w:t>
            </w:r>
            <w:r w:rsidR="004D64EC" w:rsidRPr="00B37335">
              <w:rPr>
                <w:sz w:val="17"/>
                <w:szCs w:val="17"/>
              </w:rPr>
              <w:t>confirmed incidents (Amended</w:t>
            </w:r>
            <w:r w:rsidR="004D64EC">
              <w:rPr>
                <w:sz w:val="17"/>
                <w:szCs w:val="17"/>
              </w:rPr>
              <w:t xml:space="preserve"> ESRS G1 paragraph 14) [1] nature of incidents and [2] number of incidents</w:t>
            </w:r>
            <w:r w:rsidR="004E09A4">
              <w:rPr>
                <w:sz w:val="17"/>
                <w:szCs w:val="17"/>
              </w:rPr>
              <w:t>: ESRS G1 did not include any mandatory metric on incidents of corruption and bribery</w:t>
            </w:r>
            <w:r w:rsidR="00374A98">
              <w:rPr>
                <w:sz w:val="17"/>
                <w:szCs w:val="17"/>
              </w:rPr>
              <w:t>, except for SFDR indicators. This provision replaces narrative information about corruption</w:t>
            </w:r>
            <w:r w:rsidR="009117C7">
              <w:rPr>
                <w:sz w:val="17"/>
                <w:szCs w:val="17"/>
              </w:rPr>
              <w:t xml:space="preserve"> and bribery with a quantitative metric. The definition of confirmed incidents is well provided in the Glossary. The required disclosure does not include names or persons involved</w:t>
            </w:r>
            <w:r w:rsidR="00A179CF">
              <w:rPr>
                <w:sz w:val="17"/>
                <w:szCs w:val="17"/>
              </w:rPr>
              <w:t xml:space="preserve"> </w:t>
            </w:r>
            <w:r w:rsidR="00763F61">
              <w:rPr>
                <w:sz w:val="17"/>
                <w:szCs w:val="17"/>
              </w:rPr>
              <w:t xml:space="preserve">nor other recognisable characteristics, so that it does not interfere with any legal process. </w:t>
            </w:r>
          </w:p>
        </w:tc>
      </w:tr>
      <w:tr w:rsidR="001014D7" w14:paraId="391D661A" w14:textId="77777777">
        <w:tc>
          <w:tcPr>
            <w:tcW w:w="9572" w:type="dxa"/>
          </w:tcPr>
          <w:p w14:paraId="6086CC4E" w14:textId="3DA999FD" w:rsidR="001014D7" w:rsidRDefault="001014D7">
            <w:pPr>
              <w:spacing w:line="276" w:lineRule="auto"/>
              <w:rPr>
                <w:sz w:val="17"/>
                <w:szCs w:val="17"/>
              </w:rPr>
            </w:pPr>
            <w:r w:rsidRPr="00FF5136">
              <w:rPr>
                <w:b/>
                <w:bCs/>
                <w:sz w:val="17"/>
                <w:szCs w:val="17"/>
              </w:rPr>
              <w:lastRenderedPageBreak/>
              <w:t>Question</w:t>
            </w:r>
            <w:r>
              <w:rPr>
                <w:sz w:val="17"/>
                <w:szCs w:val="17"/>
              </w:rPr>
              <w:t xml:space="preserve">: </w:t>
            </w:r>
            <w:r w:rsidR="009F7777" w:rsidRPr="009F7777">
              <w:rPr>
                <w:sz w:val="17"/>
                <w:szCs w:val="17"/>
              </w:rPr>
              <w:t>Do you agree that these exceptions to the general rule are appropriate and justified?</w:t>
            </w:r>
          </w:p>
          <w:p w14:paraId="2E58B037" w14:textId="66053C3B" w:rsidR="0012387F" w:rsidRDefault="0012387F" w:rsidP="0012387F">
            <w:pPr>
              <w:spacing w:line="276" w:lineRule="auto"/>
              <w:rPr>
                <w:sz w:val="17"/>
                <w:szCs w:val="17"/>
              </w:rPr>
            </w:pPr>
            <w:r>
              <w:rPr>
                <w:sz w:val="17"/>
                <w:szCs w:val="17"/>
              </w:rPr>
              <w:t>[</w:t>
            </w:r>
            <w:r w:rsidRPr="001018F2">
              <w:rPr>
                <w:sz w:val="17"/>
                <w:szCs w:val="17"/>
              </w:rPr>
              <w:t xml:space="preserve">agree, </w:t>
            </w:r>
            <w:r w:rsidRPr="001018F2">
              <w:rPr>
                <w:sz w:val="17"/>
                <w:szCs w:val="17"/>
                <w:highlight w:val="yellow"/>
              </w:rPr>
              <w:t>partially agree</w:t>
            </w:r>
            <w:r w:rsidRPr="001018F2">
              <w:rPr>
                <w:sz w:val="17"/>
                <w:szCs w:val="17"/>
              </w:rPr>
              <w:t>, disagree</w:t>
            </w:r>
            <w:r>
              <w:rPr>
                <w:sz w:val="17"/>
                <w:szCs w:val="17"/>
              </w:rPr>
              <w:t>].</w:t>
            </w:r>
          </w:p>
          <w:p w14:paraId="5BF84057" w14:textId="77777777" w:rsidR="0012387F" w:rsidRDefault="0012387F">
            <w:pPr>
              <w:spacing w:line="276" w:lineRule="auto"/>
              <w:rPr>
                <w:sz w:val="17"/>
                <w:szCs w:val="17"/>
              </w:rPr>
            </w:pPr>
          </w:p>
          <w:p w14:paraId="73F4D84A" w14:textId="77A9B858" w:rsidR="00C842C4" w:rsidRDefault="003E494B" w:rsidP="00813BF1">
            <w:pPr>
              <w:spacing w:line="276" w:lineRule="auto"/>
              <w:rPr>
                <w:sz w:val="17"/>
                <w:szCs w:val="17"/>
              </w:rPr>
            </w:pPr>
            <w:r w:rsidRPr="002B6C33">
              <w:rPr>
                <w:b/>
                <w:bCs/>
                <w:sz w:val="17"/>
                <w:szCs w:val="17"/>
              </w:rPr>
              <w:t>Insurance Europe response</w:t>
            </w:r>
            <w:r w:rsidR="007E6275">
              <w:rPr>
                <w:sz w:val="17"/>
                <w:szCs w:val="17"/>
              </w:rPr>
              <w:t>:</w:t>
            </w:r>
          </w:p>
          <w:p w14:paraId="368E586E" w14:textId="787EEA06" w:rsidR="00DC6C92" w:rsidRDefault="008350EE" w:rsidP="00A77B91">
            <w:pPr>
              <w:spacing w:before="120" w:line="276" w:lineRule="auto"/>
              <w:rPr>
                <w:sz w:val="17"/>
                <w:szCs w:val="17"/>
              </w:rPr>
            </w:pPr>
            <w:r w:rsidRPr="00920C8A">
              <w:rPr>
                <w:sz w:val="17"/>
                <w:szCs w:val="17"/>
              </w:rPr>
              <w:t>As a general principle, we oppose the introduction of new mandatory datapoints</w:t>
            </w:r>
            <w:r w:rsidR="0057763F">
              <w:rPr>
                <w:sz w:val="17"/>
                <w:szCs w:val="17"/>
              </w:rPr>
              <w:t xml:space="preserve"> as part of EFRAG’s simplification of the ESRS</w:t>
            </w:r>
            <w:r w:rsidRPr="00920C8A">
              <w:rPr>
                <w:sz w:val="17"/>
                <w:szCs w:val="17"/>
              </w:rPr>
              <w:t>. The revised ESRS should focus on simplification, and converting ‘may’ datapoints into ‘shall’ requirements contradicts the European Commission’s mandate. If these datapoints are retained, we offer the following observations:</w:t>
            </w:r>
          </w:p>
          <w:p w14:paraId="3CA79161" w14:textId="28581154" w:rsidR="00C16CC3" w:rsidRPr="009C7149" w:rsidRDefault="00CF266D" w:rsidP="00AF5157">
            <w:pPr>
              <w:spacing w:before="120" w:line="276" w:lineRule="auto"/>
              <w:rPr>
                <w:bCs/>
                <w:sz w:val="17"/>
                <w:szCs w:val="17"/>
              </w:rPr>
            </w:pPr>
            <w:r w:rsidRPr="009C7149">
              <w:rPr>
                <w:bCs/>
                <w:sz w:val="17"/>
                <w:szCs w:val="17"/>
              </w:rPr>
              <w:t>Regarding ESRS E4 – Transition Plans for Biodiversity and Ecosystems,</w:t>
            </w:r>
            <w:r w:rsidR="00EA08B8" w:rsidRPr="009C7149">
              <w:rPr>
                <w:bCs/>
                <w:sz w:val="17"/>
                <w:szCs w:val="17"/>
              </w:rPr>
              <w:t xml:space="preserve"> </w:t>
            </w:r>
            <w:r w:rsidR="007E5CDB" w:rsidRPr="009C7149">
              <w:rPr>
                <w:bCs/>
                <w:sz w:val="17"/>
                <w:szCs w:val="17"/>
              </w:rPr>
              <w:t>although disclosure is only required if a plan has already been publicly released, this approach may result in uneven reporting across sectors and entities, thereby reducing comparability.</w:t>
            </w:r>
            <w:r w:rsidR="00216DB1" w:rsidRPr="009C7149">
              <w:rPr>
                <w:bCs/>
                <w:sz w:val="17"/>
                <w:szCs w:val="17"/>
              </w:rPr>
              <w:t xml:space="preserve"> There is also a risk of implicit pressure on companies—particularly in high-impact sectors—to publish transition plans prematurely, before robust methodologies or sectoral guidance are fully established. As expectations around biodiversity transition planning evolve, it will be important to ensure that future reporting requirements remain proportionate, clear, and aligned with emerging frameworks such as the TNFD.</w:t>
            </w:r>
          </w:p>
          <w:p w14:paraId="0256057E" w14:textId="7EA329EA" w:rsidR="00DC373C" w:rsidRPr="0011590F" w:rsidRDefault="00CF266D" w:rsidP="00AF5157">
            <w:pPr>
              <w:spacing w:before="120" w:line="276" w:lineRule="auto"/>
              <w:rPr>
                <w:sz w:val="17"/>
                <w:szCs w:val="17"/>
              </w:rPr>
            </w:pPr>
            <w:r w:rsidRPr="009C7149">
              <w:rPr>
                <w:bCs/>
                <w:sz w:val="17"/>
                <w:szCs w:val="17"/>
              </w:rPr>
              <w:t xml:space="preserve">ESRS G1 </w:t>
            </w:r>
            <w:r w:rsidR="005D02EB" w:rsidRPr="009C7149">
              <w:rPr>
                <w:bCs/>
                <w:sz w:val="17"/>
                <w:szCs w:val="17"/>
              </w:rPr>
              <w:t>Business</w:t>
            </w:r>
            <w:r w:rsidR="005D02EB" w:rsidRPr="00B37335">
              <w:rPr>
                <w:sz w:val="17"/>
                <w:szCs w:val="17"/>
              </w:rPr>
              <w:t xml:space="preserve"> conduct – confirmed incidents</w:t>
            </w:r>
            <w:r w:rsidR="00C16CC3">
              <w:rPr>
                <w:sz w:val="17"/>
                <w:szCs w:val="17"/>
              </w:rPr>
              <w:t>,</w:t>
            </w:r>
            <w:r w:rsidR="005D02EB">
              <w:rPr>
                <w:sz w:val="17"/>
                <w:szCs w:val="17"/>
              </w:rPr>
              <w:t xml:space="preserve"> </w:t>
            </w:r>
            <w:r w:rsidR="0011590F">
              <w:rPr>
                <w:sz w:val="17"/>
                <w:szCs w:val="17"/>
              </w:rPr>
              <w:t>w</w:t>
            </w:r>
            <w:r w:rsidR="00DC373C" w:rsidRPr="00DC373C">
              <w:rPr>
                <w:sz w:val="17"/>
                <w:szCs w:val="17"/>
              </w:rPr>
              <w:t xml:space="preserve">hile we recognise the importance of addressing corruption and bribery through transparent disclosures, we </w:t>
            </w:r>
            <w:r w:rsidR="00E37A1D">
              <w:rPr>
                <w:sz w:val="17"/>
                <w:szCs w:val="17"/>
              </w:rPr>
              <w:t>suggest</w:t>
            </w:r>
            <w:r w:rsidR="0011590F">
              <w:rPr>
                <w:sz w:val="17"/>
                <w:szCs w:val="17"/>
              </w:rPr>
              <w:t xml:space="preserve"> retain</w:t>
            </w:r>
            <w:r w:rsidR="00E37A1D">
              <w:rPr>
                <w:sz w:val="17"/>
                <w:szCs w:val="17"/>
              </w:rPr>
              <w:t>ing</w:t>
            </w:r>
            <w:r w:rsidR="0011590F">
              <w:rPr>
                <w:sz w:val="17"/>
                <w:szCs w:val="17"/>
              </w:rPr>
              <w:t xml:space="preserve"> the</w:t>
            </w:r>
            <w:r w:rsidR="00DC373C" w:rsidRPr="00DC373C">
              <w:rPr>
                <w:sz w:val="17"/>
                <w:szCs w:val="17"/>
              </w:rPr>
              <w:t xml:space="preserve"> </w:t>
            </w:r>
            <w:r w:rsidR="00DC373C" w:rsidRPr="003A2688">
              <w:rPr>
                <w:sz w:val="17"/>
                <w:szCs w:val="17"/>
              </w:rPr>
              <w:t xml:space="preserve">narrative </w:t>
            </w:r>
            <w:r w:rsidR="00DB6BEA" w:rsidRPr="003A2688">
              <w:rPr>
                <w:sz w:val="17"/>
                <w:szCs w:val="17"/>
              </w:rPr>
              <w:t xml:space="preserve">information </w:t>
            </w:r>
            <w:r w:rsidR="00E37A1D">
              <w:rPr>
                <w:sz w:val="17"/>
                <w:szCs w:val="17"/>
              </w:rPr>
              <w:t>requirement</w:t>
            </w:r>
            <w:r w:rsidR="00E22529">
              <w:rPr>
                <w:sz w:val="17"/>
                <w:szCs w:val="17"/>
              </w:rPr>
              <w:t xml:space="preserve"> </w:t>
            </w:r>
            <w:r w:rsidR="00DC373C" w:rsidRPr="00DC373C">
              <w:rPr>
                <w:sz w:val="17"/>
                <w:szCs w:val="17"/>
              </w:rPr>
              <w:t xml:space="preserve">rather than a quantitative datapoint. Narrative disclosures provide essential context, such as the nature, scale, and remediation of incidents, which are often lost in purely numerical reporting. A simple count of “confirmed incidents” may lack nuance, potentially leading to misleading interpretations—either overstating issues in companies with strong detection and reporting systems or understating risks in those with weaker controls. </w:t>
            </w:r>
          </w:p>
        </w:tc>
      </w:tr>
    </w:tbl>
    <w:p w14:paraId="414B83D1" w14:textId="77777777" w:rsidR="001014D7" w:rsidRDefault="001014D7" w:rsidP="005F5CCF">
      <w:pPr>
        <w:spacing w:after="200" w:line="276" w:lineRule="auto"/>
        <w:rPr>
          <w:sz w:val="17"/>
          <w:szCs w:val="17"/>
        </w:rPr>
      </w:pPr>
    </w:p>
    <w:tbl>
      <w:tblPr>
        <w:tblStyle w:val="Mriekatabuky"/>
        <w:tblW w:w="0" w:type="auto"/>
        <w:tblLook w:val="04A0" w:firstRow="1" w:lastRow="0" w:firstColumn="1" w:lastColumn="0" w:noHBand="0" w:noVBand="1"/>
      </w:tblPr>
      <w:tblGrid>
        <w:gridCol w:w="9572"/>
      </w:tblGrid>
      <w:tr w:rsidR="001014D7" w14:paraId="2EA7D6A5" w14:textId="77777777">
        <w:tc>
          <w:tcPr>
            <w:tcW w:w="9572" w:type="dxa"/>
            <w:shd w:val="clear" w:color="auto" w:fill="595959" w:themeFill="text1" w:themeFillTint="A6"/>
          </w:tcPr>
          <w:p w14:paraId="2F3C12BE" w14:textId="1CA45849" w:rsidR="001014D7" w:rsidRPr="00F92E2F" w:rsidRDefault="001014D7">
            <w:pPr>
              <w:spacing w:line="276" w:lineRule="auto"/>
              <w:rPr>
                <w:b/>
                <w:bCs/>
                <w:color w:val="FFFFFF" w:themeColor="background1"/>
                <w:sz w:val="17"/>
                <w:szCs w:val="17"/>
              </w:rPr>
            </w:pPr>
            <w:r w:rsidRPr="00F92E2F">
              <w:rPr>
                <w:b/>
                <w:bCs/>
                <w:color w:val="FFFFFF" w:themeColor="background1"/>
                <w:sz w:val="17"/>
                <w:szCs w:val="17"/>
              </w:rPr>
              <w:t xml:space="preserve">Question </w:t>
            </w:r>
            <w:r w:rsidR="005C3F4E">
              <w:rPr>
                <w:b/>
                <w:bCs/>
                <w:color w:val="FFFFFF" w:themeColor="background1"/>
                <w:sz w:val="17"/>
                <w:szCs w:val="17"/>
              </w:rPr>
              <w:t>2</w:t>
            </w:r>
            <w:r>
              <w:rPr>
                <w:b/>
                <w:bCs/>
                <w:color w:val="FFFFFF" w:themeColor="background1"/>
                <w:sz w:val="17"/>
                <w:szCs w:val="17"/>
              </w:rPr>
              <w:t>4</w:t>
            </w:r>
            <w:r w:rsidR="009F7777">
              <w:rPr>
                <w:b/>
                <w:bCs/>
                <w:color w:val="FFFFFF" w:themeColor="background1"/>
                <w:sz w:val="17"/>
                <w:szCs w:val="17"/>
              </w:rPr>
              <w:t xml:space="preserve"> on f</w:t>
            </w:r>
            <w:r w:rsidR="009F7777" w:rsidRPr="009F7777">
              <w:rPr>
                <w:b/>
                <w:bCs/>
                <w:color w:val="FFFFFF" w:themeColor="background1"/>
                <w:sz w:val="17"/>
                <w:szCs w:val="17"/>
              </w:rPr>
              <w:t>our new mandatory datapoints (exception)</w:t>
            </w:r>
          </w:p>
        </w:tc>
      </w:tr>
      <w:tr w:rsidR="001014D7" w14:paraId="386A333D" w14:textId="77777777">
        <w:tc>
          <w:tcPr>
            <w:tcW w:w="9572" w:type="dxa"/>
          </w:tcPr>
          <w:p w14:paraId="77E246B0" w14:textId="153F355F" w:rsidR="001014D7" w:rsidRDefault="001014D7">
            <w:pPr>
              <w:spacing w:line="276" w:lineRule="auto"/>
              <w:rPr>
                <w:sz w:val="17"/>
                <w:szCs w:val="17"/>
              </w:rPr>
            </w:pPr>
            <w:r w:rsidRPr="00FF5136">
              <w:rPr>
                <w:b/>
                <w:bCs/>
                <w:sz w:val="17"/>
                <w:szCs w:val="17"/>
              </w:rPr>
              <w:t>Summary of changes</w:t>
            </w:r>
            <w:r>
              <w:rPr>
                <w:sz w:val="17"/>
                <w:szCs w:val="17"/>
              </w:rPr>
              <w:t xml:space="preserve">: </w:t>
            </w:r>
          </w:p>
          <w:p w14:paraId="4BAD5CB9" w14:textId="57A8DDB3" w:rsidR="00E82384" w:rsidRDefault="006974B5" w:rsidP="00477860">
            <w:pPr>
              <w:spacing w:before="120" w:line="276" w:lineRule="auto"/>
              <w:rPr>
                <w:sz w:val="17"/>
                <w:szCs w:val="17"/>
              </w:rPr>
            </w:pPr>
            <w:r>
              <w:rPr>
                <w:sz w:val="17"/>
                <w:szCs w:val="17"/>
              </w:rPr>
              <w:t xml:space="preserve">ESRS 2 General Disclosures – BP1 </w:t>
            </w:r>
            <w:r w:rsidR="00A54196">
              <w:rPr>
                <w:sz w:val="17"/>
                <w:szCs w:val="17"/>
              </w:rPr>
              <w:t>the undertaking shall state that the general requirement of ESRS 1 have been applied for the preparation of its sustainability statement: This may be considered as a new datapoints but replaces several datapoints compared to the Delegated Act. The undertaking now must only state</w:t>
            </w:r>
            <w:r w:rsidR="00286939">
              <w:rPr>
                <w:sz w:val="17"/>
                <w:szCs w:val="17"/>
              </w:rPr>
              <w:t xml:space="preserve"> when certain principles </w:t>
            </w:r>
            <w:r w:rsidR="00F054C8">
              <w:rPr>
                <w:sz w:val="17"/>
                <w:szCs w:val="17"/>
              </w:rPr>
              <w:t xml:space="preserve">were applied and when there is a divergent application </w:t>
            </w:r>
            <w:r w:rsidR="00330B8E">
              <w:rPr>
                <w:sz w:val="17"/>
                <w:szCs w:val="17"/>
              </w:rPr>
              <w:t>from</w:t>
            </w:r>
            <w:r w:rsidR="00F91AF8">
              <w:rPr>
                <w:sz w:val="17"/>
                <w:szCs w:val="17"/>
              </w:rPr>
              <w:t xml:space="preserve"> the general requirements, this </w:t>
            </w:r>
            <w:r w:rsidR="00F91AF8">
              <w:rPr>
                <w:sz w:val="17"/>
                <w:szCs w:val="17"/>
              </w:rPr>
              <w:lastRenderedPageBreak/>
              <w:t>means that it is not disclosed according</w:t>
            </w:r>
            <w:r w:rsidR="00E10919">
              <w:rPr>
                <w:sz w:val="17"/>
                <w:szCs w:val="17"/>
              </w:rPr>
              <w:t xml:space="preserve"> to ESRS 1; examples are time horizons or changes in preparation or presentation of sustainability information.</w:t>
            </w:r>
          </w:p>
          <w:p w14:paraId="7E1EA7CA" w14:textId="2D31572A" w:rsidR="00E82384" w:rsidRPr="00E82384" w:rsidRDefault="00E82384" w:rsidP="00477860">
            <w:pPr>
              <w:spacing w:before="120" w:line="276" w:lineRule="auto"/>
              <w:rPr>
                <w:sz w:val="17"/>
                <w:szCs w:val="17"/>
              </w:rPr>
            </w:pPr>
            <w:r w:rsidRPr="00E82384">
              <w:rPr>
                <w:sz w:val="17"/>
                <w:szCs w:val="17"/>
              </w:rPr>
              <w:t>E2-4 Secondary microplastics resulting from the breakdown of larger plastic items or being unintentionally produced through the life cycle of the product.</w:t>
            </w:r>
            <w:r>
              <w:rPr>
                <w:sz w:val="17"/>
                <w:szCs w:val="17"/>
              </w:rPr>
              <w:t xml:space="preserve"> </w:t>
            </w:r>
            <w:r w:rsidRPr="00E82384">
              <w:rPr>
                <w:sz w:val="17"/>
                <w:szCs w:val="17"/>
              </w:rPr>
              <w:t>Clarification of former ESRS E2 paragraphs 28(b) and AR 20 leading to new added DP.</w:t>
            </w:r>
            <w:r>
              <w:rPr>
                <w:sz w:val="17"/>
                <w:szCs w:val="17"/>
              </w:rPr>
              <w:t xml:space="preserve"> </w:t>
            </w:r>
            <w:r w:rsidRPr="00E82384">
              <w:rPr>
                <w:sz w:val="17"/>
                <w:szCs w:val="17"/>
              </w:rPr>
              <w:t>The amount of secondary microplastics was already required to be reported in ESRS E2 through AR 20, which addressed both primary and secondary microplastics. However, the Q&amp;A process and the outreach analysis highlighted a lack of clarity on the disclosure requirements in relation to primary and secondary microplastics. The addition of a new qualitative datapoint on secondary microplastics, separate from the Set 1 microplastics datapoint, was favoured to improve clarity and simplify the understanding of the microplastics requirements. Secondary microplastics represent the main source of microplastics released into the environment.</w:t>
            </w:r>
          </w:p>
          <w:p w14:paraId="3A36A6A7" w14:textId="4371F2AA" w:rsidR="00E82384" w:rsidRPr="00E82384" w:rsidRDefault="00E82384" w:rsidP="00477860">
            <w:pPr>
              <w:spacing w:before="120" w:line="276" w:lineRule="auto"/>
              <w:rPr>
                <w:sz w:val="17"/>
                <w:szCs w:val="17"/>
              </w:rPr>
            </w:pPr>
            <w:r w:rsidRPr="00E82384">
              <w:rPr>
                <w:sz w:val="17"/>
                <w:szCs w:val="17"/>
              </w:rPr>
              <w:t>E5-4 Percentage of total weight that are critical and strategic raw material</w:t>
            </w:r>
            <w:r>
              <w:rPr>
                <w:sz w:val="17"/>
                <w:szCs w:val="17"/>
              </w:rPr>
              <w:t xml:space="preserve">. </w:t>
            </w:r>
            <w:r w:rsidRPr="00E82384">
              <w:rPr>
                <w:sz w:val="17"/>
                <w:szCs w:val="17"/>
              </w:rPr>
              <w:t>Added draft ESRS E5 paragraph 15(c).</w:t>
            </w:r>
            <w:r>
              <w:rPr>
                <w:sz w:val="17"/>
                <w:szCs w:val="17"/>
              </w:rPr>
              <w:t xml:space="preserve"> </w:t>
            </w:r>
            <w:r w:rsidRPr="00E82384">
              <w:rPr>
                <w:sz w:val="17"/>
                <w:szCs w:val="17"/>
              </w:rPr>
              <w:t>Added for better alignment with recent EU regulatory developments, particularly the Eco-design for Sustainable Product Regulation and Critical Raw Materials Act.</w:t>
            </w:r>
          </w:p>
          <w:p w14:paraId="3EBECA78" w14:textId="184160C2" w:rsidR="00E82384" w:rsidRPr="00F21217" w:rsidRDefault="00E82384" w:rsidP="00F65A22">
            <w:pPr>
              <w:spacing w:before="120" w:after="120" w:line="276" w:lineRule="auto"/>
              <w:rPr>
                <w:sz w:val="17"/>
                <w:szCs w:val="17"/>
              </w:rPr>
            </w:pPr>
            <w:r w:rsidRPr="00E82384">
              <w:rPr>
                <w:sz w:val="17"/>
                <w:szCs w:val="17"/>
              </w:rPr>
              <w:t>E5-5 Percentage and/or total weight for which the final destination is unknown</w:t>
            </w:r>
            <w:r>
              <w:rPr>
                <w:sz w:val="17"/>
                <w:szCs w:val="17"/>
              </w:rPr>
              <w:t xml:space="preserve">. </w:t>
            </w:r>
            <w:r w:rsidRPr="00E82384">
              <w:rPr>
                <w:sz w:val="17"/>
                <w:szCs w:val="17"/>
              </w:rPr>
              <w:t>Added in draft ESRS E5 paragraph 18(e).</w:t>
            </w:r>
            <w:r>
              <w:rPr>
                <w:sz w:val="17"/>
                <w:szCs w:val="17"/>
              </w:rPr>
              <w:t xml:space="preserve"> </w:t>
            </w:r>
            <w:r w:rsidRPr="00E82384">
              <w:rPr>
                <w:sz w:val="17"/>
                <w:szCs w:val="17"/>
              </w:rPr>
              <w:t>Added to allow mass balance of final destination of waste to be completely disclosed, not forcing undertakings to make unreasonable estimations but instead allowing them to disclose on the figures they have and can reasonably document.</w:t>
            </w:r>
          </w:p>
        </w:tc>
      </w:tr>
      <w:tr w:rsidR="001014D7" w14:paraId="7390DC25" w14:textId="77777777">
        <w:tc>
          <w:tcPr>
            <w:tcW w:w="9572" w:type="dxa"/>
          </w:tcPr>
          <w:p w14:paraId="4CC49DA6" w14:textId="7A207E5B" w:rsidR="001014D7" w:rsidRDefault="001014D7">
            <w:pPr>
              <w:spacing w:line="276" w:lineRule="auto"/>
              <w:rPr>
                <w:sz w:val="17"/>
                <w:szCs w:val="17"/>
              </w:rPr>
            </w:pPr>
            <w:r w:rsidRPr="00FF5136">
              <w:rPr>
                <w:b/>
                <w:bCs/>
                <w:sz w:val="17"/>
                <w:szCs w:val="17"/>
              </w:rPr>
              <w:lastRenderedPageBreak/>
              <w:t>Question</w:t>
            </w:r>
            <w:r>
              <w:rPr>
                <w:sz w:val="17"/>
                <w:szCs w:val="17"/>
              </w:rPr>
              <w:t xml:space="preserve">: </w:t>
            </w:r>
            <w:r w:rsidR="007A4F36" w:rsidRPr="007A4F36">
              <w:rPr>
                <w:sz w:val="17"/>
                <w:szCs w:val="17"/>
              </w:rPr>
              <w:t>Do you agree that these exceptions to the general rule are appropriate and justified?</w:t>
            </w:r>
          </w:p>
          <w:p w14:paraId="2DE0CFE2" w14:textId="66C9C7DC" w:rsidR="0012387F" w:rsidRDefault="0012387F" w:rsidP="0012387F">
            <w:pPr>
              <w:spacing w:line="276" w:lineRule="auto"/>
              <w:rPr>
                <w:sz w:val="17"/>
                <w:szCs w:val="17"/>
              </w:rPr>
            </w:pPr>
            <w:r>
              <w:rPr>
                <w:sz w:val="17"/>
                <w:szCs w:val="17"/>
              </w:rPr>
              <w:t>[</w:t>
            </w:r>
            <w:r w:rsidRPr="00C05589">
              <w:rPr>
                <w:sz w:val="17"/>
                <w:szCs w:val="17"/>
              </w:rPr>
              <w:t xml:space="preserve">agree, </w:t>
            </w:r>
            <w:r w:rsidRPr="003D3463">
              <w:rPr>
                <w:sz w:val="17"/>
                <w:szCs w:val="17"/>
                <w:highlight w:val="yellow"/>
              </w:rPr>
              <w:t>partially agree</w:t>
            </w:r>
            <w:r w:rsidRPr="00C05589">
              <w:rPr>
                <w:sz w:val="17"/>
                <w:szCs w:val="17"/>
              </w:rPr>
              <w:t xml:space="preserve">, </w:t>
            </w:r>
            <w:r w:rsidRPr="003D3463">
              <w:rPr>
                <w:sz w:val="17"/>
                <w:szCs w:val="17"/>
              </w:rPr>
              <w:t>disagree</w:t>
            </w:r>
            <w:r w:rsidRPr="00C05589">
              <w:rPr>
                <w:sz w:val="17"/>
                <w:szCs w:val="17"/>
              </w:rPr>
              <w:t>].</w:t>
            </w:r>
          </w:p>
          <w:p w14:paraId="04B5875B" w14:textId="77777777" w:rsidR="0012387F" w:rsidRDefault="0012387F">
            <w:pPr>
              <w:spacing w:line="276" w:lineRule="auto"/>
              <w:rPr>
                <w:sz w:val="17"/>
                <w:szCs w:val="17"/>
              </w:rPr>
            </w:pPr>
          </w:p>
          <w:p w14:paraId="24DAB06A" w14:textId="77777777" w:rsidR="007E6275" w:rsidRDefault="003E494B" w:rsidP="007E6275">
            <w:pPr>
              <w:spacing w:line="276" w:lineRule="auto"/>
              <w:rPr>
                <w:sz w:val="17"/>
                <w:szCs w:val="17"/>
              </w:rPr>
            </w:pPr>
            <w:r w:rsidRPr="002B6C33">
              <w:rPr>
                <w:b/>
                <w:bCs/>
                <w:sz w:val="17"/>
                <w:szCs w:val="17"/>
              </w:rPr>
              <w:t>Insurance Europe response</w:t>
            </w:r>
            <w:r w:rsidR="007E6275">
              <w:rPr>
                <w:sz w:val="17"/>
                <w:szCs w:val="17"/>
              </w:rPr>
              <w:t>:</w:t>
            </w:r>
          </w:p>
          <w:p w14:paraId="7BE8E3BD" w14:textId="2C810BB9" w:rsidR="004F3664" w:rsidRDefault="00A21528" w:rsidP="00DF32BC">
            <w:pPr>
              <w:spacing w:before="120" w:line="276" w:lineRule="auto"/>
              <w:rPr>
                <w:sz w:val="17"/>
                <w:szCs w:val="17"/>
              </w:rPr>
            </w:pPr>
            <w:r>
              <w:rPr>
                <w:sz w:val="17"/>
                <w:szCs w:val="17"/>
              </w:rPr>
              <w:t>W</w:t>
            </w:r>
            <w:r w:rsidR="004F3664" w:rsidRPr="00F94572">
              <w:rPr>
                <w:sz w:val="17"/>
                <w:szCs w:val="17"/>
              </w:rPr>
              <w:t xml:space="preserve">e oppose the introduction of new mandatory datapoints. The revised ESRS should </w:t>
            </w:r>
            <w:r w:rsidR="003640C7">
              <w:rPr>
                <w:sz w:val="17"/>
                <w:szCs w:val="17"/>
              </w:rPr>
              <w:t>prioritise</w:t>
            </w:r>
            <w:r w:rsidR="004F3664" w:rsidRPr="00F94572">
              <w:rPr>
                <w:sz w:val="17"/>
                <w:szCs w:val="17"/>
              </w:rPr>
              <w:t xml:space="preserve"> simplification, and </w:t>
            </w:r>
            <w:r w:rsidR="003640C7">
              <w:rPr>
                <w:sz w:val="17"/>
                <w:szCs w:val="17"/>
              </w:rPr>
              <w:t>adding</w:t>
            </w:r>
            <w:r w:rsidR="002F556E">
              <w:rPr>
                <w:sz w:val="17"/>
                <w:szCs w:val="17"/>
              </w:rPr>
              <w:t xml:space="preserve"> new mandatory</w:t>
            </w:r>
            <w:r w:rsidR="004F3664" w:rsidRPr="00F94572">
              <w:rPr>
                <w:sz w:val="17"/>
                <w:szCs w:val="17"/>
              </w:rPr>
              <w:t xml:space="preserve"> requirements </w:t>
            </w:r>
            <w:r w:rsidR="003640C7">
              <w:rPr>
                <w:sz w:val="17"/>
                <w:szCs w:val="17"/>
              </w:rPr>
              <w:t>runs counter the</w:t>
            </w:r>
            <w:r w:rsidR="004F3664" w:rsidRPr="00F94572">
              <w:rPr>
                <w:sz w:val="17"/>
                <w:szCs w:val="17"/>
              </w:rPr>
              <w:t xml:space="preserve"> European Commission’s mandate. If these datapoints are retained, we </w:t>
            </w:r>
            <w:r w:rsidR="002F556E">
              <w:rPr>
                <w:sz w:val="17"/>
                <w:szCs w:val="17"/>
              </w:rPr>
              <w:t>recommend</w:t>
            </w:r>
            <w:r w:rsidR="003640C7">
              <w:rPr>
                <w:sz w:val="17"/>
                <w:szCs w:val="17"/>
              </w:rPr>
              <w:t xml:space="preserve"> the following</w:t>
            </w:r>
            <w:r w:rsidR="002F556E">
              <w:rPr>
                <w:sz w:val="17"/>
                <w:szCs w:val="17"/>
              </w:rPr>
              <w:t>:</w:t>
            </w:r>
          </w:p>
          <w:p w14:paraId="2164782D" w14:textId="1D31E7DC" w:rsidR="0035008F" w:rsidRDefault="0035008F" w:rsidP="00DF32BC">
            <w:pPr>
              <w:spacing w:before="120" w:line="276" w:lineRule="auto"/>
              <w:rPr>
                <w:sz w:val="17"/>
                <w:szCs w:val="17"/>
              </w:rPr>
            </w:pPr>
            <w:r w:rsidRPr="0035008F">
              <w:rPr>
                <w:sz w:val="17"/>
                <w:szCs w:val="17"/>
              </w:rPr>
              <w:t xml:space="preserve">Regarding ESRS 2 BP-1, </w:t>
            </w:r>
            <w:r w:rsidR="006C224C" w:rsidRPr="006C224C">
              <w:rPr>
                <w:sz w:val="17"/>
                <w:szCs w:val="17"/>
              </w:rPr>
              <w:t>we acknowledge the consolidation of multiple disclosure requirements into a single statement of compliance. However, we suggest amending BP-1 to provide clearer guidance</w:t>
            </w:r>
            <w:r w:rsidR="006C224C">
              <w:rPr>
                <w:sz w:val="17"/>
                <w:szCs w:val="17"/>
              </w:rPr>
              <w:t xml:space="preserve"> </w:t>
            </w:r>
            <w:r w:rsidRPr="0035008F">
              <w:rPr>
                <w:sz w:val="17"/>
                <w:szCs w:val="17"/>
              </w:rPr>
              <w:t xml:space="preserve">on the </w:t>
            </w:r>
            <w:r w:rsidR="007A5B86">
              <w:rPr>
                <w:sz w:val="17"/>
                <w:szCs w:val="17"/>
              </w:rPr>
              <w:t>definition of “own operation”</w:t>
            </w:r>
            <w:r w:rsidRPr="0035008F">
              <w:rPr>
                <w:sz w:val="17"/>
                <w:szCs w:val="17"/>
              </w:rPr>
              <w:t xml:space="preserve">. </w:t>
            </w:r>
            <w:r w:rsidR="00CC7F6F">
              <w:rPr>
                <w:sz w:val="17"/>
                <w:szCs w:val="17"/>
              </w:rPr>
              <w:t>Our concern is that, w</w:t>
            </w:r>
            <w:r w:rsidR="006C224C" w:rsidRPr="006C224C">
              <w:rPr>
                <w:sz w:val="17"/>
                <w:szCs w:val="17"/>
              </w:rPr>
              <w:t xml:space="preserve">ithout </w:t>
            </w:r>
            <w:r w:rsidR="00CC7F6F">
              <w:rPr>
                <w:sz w:val="17"/>
                <w:szCs w:val="17"/>
              </w:rPr>
              <w:t>such</w:t>
            </w:r>
            <w:r w:rsidR="006C224C" w:rsidRPr="006C224C">
              <w:rPr>
                <w:sz w:val="17"/>
                <w:szCs w:val="17"/>
              </w:rPr>
              <w:t xml:space="preserve"> clarity, </w:t>
            </w:r>
            <w:r w:rsidR="00B6076F">
              <w:rPr>
                <w:sz w:val="17"/>
                <w:szCs w:val="17"/>
              </w:rPr>
              <w:t>some</w:t>
            </w:r>
            <w:r w:rsidRPr="0035008F">
              <w:rPr>
                <w:sz w:val="17"/>
                <w:szCs w:val="17"/>
              </w:rPr>
              <w:t xml:space="preserve"> undertakings </w:t>
            </w:r>
            <w:r w:rsidR="00CE3FA1">
              <w:rPr>
                <w:sz w:val="17"/>
                <w:szCs w:val="17"/>
              </w:rPr>
              <w:t xml:space="preserve">might assume that </w:t>
            </w:r>
            <w:r w:rsidR="000E23FD">
              <w:rPr>
                <w:sz w:val="17"/>
                <w:szCs w:val="17"/>
              </w:rPr>
              <w:t>”own operation”</w:t>
            </w:r>
            <w:r w:rsidR="001F23D7">
              <w:rPr>
                <w:sz w:val="17"/>
                <w:szCs w:val="17"/>
              </w:rPr>
              <w:t xml:space="preserve"> within</w:t>
            </w:r>
            <w:r w:rsidR="00CE3FA1">
              <w:rPr>
                <w:sz w:val="17"/>
                <w:szCs w:val="17"/>
              </w:rPr>
              <w:t xml:space="preserve"> sus</w:t>
            </w:r>
            <w:r w:rsidR="00A833E2">
              <w:rPr>
                <w:sz w:val="17"/>
                <w:szCs w:val="17"/>
              </w:rPr>
              <w:t>tainability reporting scope</w:t>
            </w:r>
            <w:r w:rsidR="00CE3FA1" w:rsidRPr="0035008F">
              <w:rPr>
                <w:sz w:val="17"/>
                <w:szCs w:val="17"/>
              </w:rPr>
              <w:t xml:space="preserve"> </w:t>
            </w:r>
            <w:r w:rsidRPr="0035008F">
              <w:rPr>
                <w:sz w:val="17"/>
                <w:szCs w:val="17"/>
              </w:rPr>
              <w:t>equate the financial consolidation scope, which could lead to inconsistencies.</w:t>
            </w:r>
            <w:r>
              <w:rPr>
                <w:sz w:val="17"/>
                <w:szCs w:val="17"/>
              </w:rPr>
              <w:t xml:space="preserve"> </w:t>
            </w:r>
          </w:p>
          <w:p w14:paraId="7FBC697D" w14:textId="77777777" w:rsidR="00106D9A" w:rsidRPr="00106D9A" w:rsidRDefault="001825A0" w:rsidP="00DF32BC">
            <w:pPr>
              <w:spacing w:before="120" w:line="276" w:lineRule="auto"/>
              <w:rPr>
                <w:sz w:val="17"/>
                <w:szCs w:val="17"/>
              </w:rPr>
            </w:pPr>
            <w:r w:rsidRPr="001825A0">
              <w:rPr>
                <w:sz w:val="17"/>
                <w:szCs w:val="17"/>
              </w:rPr>
              <w:t xml:space="preserve">To further improve </w:t>
            </w:r>
            <w:r w:rsidR="00106D9A" w:rsidRPr="00106D9A">
              <w:rPr>
                <w:sz w:val="17"/>
                <w:szCs w:val="17"/>
              </w:rPr>
              <w:t>clarity and avoid redundancy, we suggest removing the datapoint on value chain coverage (§5b), since Section 5.2 of ESRS 1 already adequately addresses value chain treatment within sustainability reporting—limiting it to the undertaking’s scope of responsibility for PAT and generally excluding it for metrics. This datapoint overlaps with existing provisions (e.g., SBM 3, IRO 1, PAT GDR). Additionally, we advise against using lettered lists (a, b, c, etc.) for provisions, to prevent confusion or misinterpretation as separate datapoints or tagged disclosures.</w:t>
            </w:r>
          </w:p>
          <w:p w14:paraId="5D3C763D" w14:textId="62A96428" w:rsidR="00B87FA2" w:rsidRDefault="00106D9A" w:rsidP="00DF32BC">
            <w:pPr>
              <w:spacing w:before="120" w:line="276" w:lineRule="auto"/>
              <w:rPr>
                <w:sz w:val="17"/>
                <w:szCs w:val="17"/>
              </w:rPr>
            </w:pPr>
            <w:r w:rsidRPr="00106D9A">
              <w:rPr>
                <w:sz w:val="17"/>
                <w:szCs w:val="17"/>
              </w:rPr>
              <w:t xml:space="preserve">Furthermore, we propose deleting BP-2 on phasing in related material topics. Instead, disclosure of phased-in material topics (§6) should be relocated to IRO 2 where applicable, and the specification of phased-in provisions and minimum PAT content (§7) should be aligned with the General Disclosure Requirements (GDR) or ESRS 1 Chapter 10 on transitional provisions. This would better align the standard with CSRD requirements and help reduce </w:t>
            </w:r>
            <w:r w:rsidR="00BB0BA0" w:rsidRPr="00BB0BA0">
              <w:rPr>
                <w:sz w:val="17"/>
                <w:szCs w:val="17"/>
              </w:rPr>
              <w:t>complexity.</w:t>
            </w:r>
          </w:p>
        </w:tc>
      </w:tr>
    </w:tbl>
    <w:p w14:paraId="0F9A5859" w14:textId="77777777" w:rsidR="001014D7" w:rsidRDefault="001014D7" w:rsidP="005F5CCF">
      <w:pPr>
        <w:spacing w:after="200" w:line="276" w:lineRule="auto"/>
        <w:rPr>
          <w:sz w:val="17"/>
          <w:szCs w:val="17"/>
        </w:rPr>
      </w:pPr>
    </w:p>
    <w:tbl>
      <w:tblPr>
        <w:tblStyle w:val="Mriekatabuky"/>
        <w:tblW w:w="0" w:type="auto"/>
        <w:tblLook w:val="04A0" w:firstRow="1" w:lastRow="0" w:firstColumn="1" w:lastColumn="0" w:noHBand="0" w:noVBand="1"/>
      </w:tblPr>
      <w:tblGrid>
        <w:gridCol w:w="9572"/>
      </w:tblGrid>
      <w:tr w:rsidR="001014D7" w14:paraId="4F5D996F" w14:textId="77777777">
        <w:tc>
          <w:tcPr>
            <w:tcW w:w="9572" w:type="dxa"/>
            <w:shd w:val="clear" w:color="auto" w:fill="595959" w:themeFill="text1" w:themeFillTint="A6"/>
          </w:tcPr>
          <w:p w14:paraId="1E7A2802" w14:textId="6FA326CF" w:rsidR="001014D7" w:rsidRPr="00F92E2F" w:rsidRDefault="001014D7">
            <w:pPr>
              <w:spacing w:line="276" w:lineRule="auto"/>
              <w:rPr>
                <w:b/>
                <w:bCs/>
                <w:color w:val="FFFFFF" w:themeColor="background1"/>
                <w:sz w:val="17"/>
                <w:szCs w:val="17"/>
              </w:rPr>
            </w:pPr>
            <w:r w:rsidRPr="00F92E2F">
              <w:rPr>
                <w:b/>
                <w:bCs/>
                <w:color w:val="FFFFFF" w:themeColor="background1"/>
                <w:sz w:val="17"/>
                <w:szCs w:val="17"/>
              </w:rPr>
              <w:t xml:space="preserve">Question </w:t>
            </w:r>
            <w:r w:rsidR="005C3F4E">
              <w:rPr>
                <w:b/>
                <w:bCs/>
                <w:color w:val="FFFFFF" w:themeColor="background1"/>
                <w:sz w:val="17"/>
                <w:szCs w:val="17"/>
              </w:rPr>
              <w:t>2</w:t>
            </w:r>
            <w:r>
              <w:rPr>
                <w:b/>
                <w:bCs/>
                <w:color w:val="FFFFFF" w:themeColor="background1"/>
                <w:sz w:val="17"/>
                <w:szCs w:val="17"/>
              </w:rPr>
              <w:t>5</w:t>
            </w:r>
            <w:r w:rsidR="007A4F36">
              <w:rPr>
                <w:b/>
                <w:bCs/>
                <w:color w:val="FFFFFF" w:themeColor="background1"/>
                <w:sz w:val="17"/>
                <w:szCs w:val="17"/>
              </w:rPr>
              <w:t xml:space="preserve"> on the e</w:t>
            </w:r>
            <w:r w:rsidR="007A4F36" w:rsidRPr="007A4F36">
              <w:rPr>
                <w:b/>
                <w:bCs/>
                <w:color w:val="FFFFFF" w:themeColor="background1"/>
                <w:sz w:val="17"/>
                <w:szCs w:val="17"/>
              </w:rPr>
              <w:t>mphasis on ESRS being a “fair presentation” reporting framework</w:t>
            </w:r>
          </w:p>
        </w:tc>
      </w:tr>
      <w:tr w:rsidR="001014D7" w14:paraId="1ED59341" w14:textId="77777777">
        <w:tc>
          <w:tcPr>
            <w:tcW w:w="9572" w:type="dxa"/>
          </w:tcPr>
          <w:p w14:paraId="54D426D1" w14:textId="34EF3E5D" w:rsidR="001014D7" w:rsidRDefault="001014D7">
            <w:pPr>
              <w:spacing w:line="276" w:lineRule="auto"/>
              <w:rPr>
                <w:sz w:val="17"/>
                <w:szCs w:val="17"/>
              </w:rPr>
            </w:pPr>
            <w:r w:rsidRPr="00FF5136">
              <w:rPr>
                <w:b/>
                <w:bCs/>
                <w:sz w:val="17"/>
                <w:szCs w:val="17"/>
              </w:rPr>
              <w:t>Summary of changes</w:t>
            </w:r>
            <w:r>
              <w:rPr>
                <w:sz w:val="17"/>
                <w:szCs w:val="17"/>
              </w:rPr>
              <w:t xml:space="preserve">: </w:t>
            </w:r>
          </w:p>
          <w:p w14:paraId="65538F5E" w14:textId="47FFDF45" w:rsidR="007A4F36" w:rsidRDefault="007A4F36" w:rsidP="00947796">
            <w:pPr>
              <w:spacing w:before="120" w:line="276" w:lineRule="auto"/>
              <w:rPr>
                <w:sz w:val="17"/>
                <w:szCs w:val="17"/>
              </w:rPr>
            </w:pPr>
            <w:r w:rsidRPr="007A4F36">
              <w:rPr>
                <w:sz w:val="17"/>
                <w:szCs w:val="17"/>
              </w:rPr>
              <w:t xml:space="preserve">The Amendments clarify that ESRS is a fair presentation reporting framework, as it is for IFRS S1 and S2, with the expectation that this will support a more effective functioning of the materiality filter and reduce the check list mentality associated to the adoption of a compliance approach. Adopting fair presentation is expected to support a reduction in the unnecessary reported information and of the documentation needed to show that omitted datapoints are not material. The majority of the EFRAG SRB members consider that ESRS </w:t>
            </w:r>
            <w:r w:rsidRPr="007A4F36">
              <w:rPr>
                <w:sz w:val="17"/>
                <w:szCs w:val="17"/>
              </w:rPr>
              <w:lastRenderedPageBreak/>
              <w:t xml:space="preserve">was already conceived as a fair presentation framework and interpret the CSRD as requiring it. A minority of the EFRAG SRB members think that the CSRD does not require fair presentation. They think that adopting fair presentation is not a simplification, due to the difficulty of exercising judgement of what is needed to fulfil the requirement, in particular for impact materiality where there </w:t>
            </w:r>
            <w:r w:rsidR="005C44A1" w:rsidRPr="007A4F36">
              <w:rPr>
                <w:sz w:val="17"/>
                <w:szCs w:val="17"/>
              </w:rPr>
              <w:t>is</w:t>
            </w:r>
            <w:r w:rsidRPr="007A4F36">
              <w:rPr>
                <w:sz w:val="17"/>
                <w:szCs w:val="17"/>
              </w:rPr>
              <w:t xml:space="preserve"> less established reporting practice. They think that the Amendments may result in increased legal risks and audit costs.</w:t>
            </w:r>
          </w:p>
          <w:p w14:paraId="69E2048D" w14:textId="1226BAA2" w:rsidR="001014D7" w:rsidRPr="00F21217" w:rsidRDefault="006E03FC" w:rsidP="00947796">
            <w:pPr>
              <w:spacing w:after="120" w:line="276" w:lineRule="auto"/>
              <w:rPr>
                <w:sz w:val="17"/>
                <w:szCs w:val="17"/>
              </w:rPr>
            </w:pPr>
            <w:r>
              <w:rPr>
                <w:sz w:val="17"/>
                <w:szCs w:val="17"/>
              </w:rPr>
              <w:t xml:space="preserve">Under ESRS 1 Chapter 2, </w:t>
            </w:r>
            <w:r w:rsidRPr="006E03FC">
              <w:rPr>
                <w:sz w:val="17"/>
                <w:szCs w:val="17"/>
              </w:rPr>
              <w:t>Fair presentation requires the undertaking to apply the qualitative characteristics of information, as defined and described in Appendix B, i.e.: (a) relevance and faithful representation (fundamental characteristics); and (b) comparability, verifiability and understandability (enhancing characteristics)</w:t>
            </w:r>
            <w:r w:rsidR="0073286A">
              <w:rPr>
                <w:sz w:val="17"/>
                <w:szCs w:val="17"/>
              </w:rPr>
              <w:t>.</w:t>
            </w:r>
          </w:p>
        </w:tc>
      </w:tr>
      <w:tr w:rsidR="001014D7" w14:paraId="5A3159A0" w14:textId="77777777">
        <w:tc>
          <w:tcPr>
            <w:tcW w:w="9572" w:type="dxa"/>
          </w:tcPr>
          <w:p w14:paraId="183235CC" w14:textId="72E5D39B" w:rsidR="001014D7" w:rsidRPr="007968F2" w:rsidRDefault="001014D7">
            <w:pPr>
              <w:spacing w:line="276" w:lineRule="auto"/>
              <w:rPr>
                <w:sz w:val="17"/>
                <w:szCs w:val="17"/>
              </w:rPr>
            </w:pPr>
            <w:r w:rsidRPr="00FF5136">
              <w:rPr>
                <w:b/>
                <w:bCs/>
                <w:sz w:val="17"/>
                <w:szCs w:val="17"/>
              </w:rPr>
              <w:lastRenderedPageBreak/>
              <w:t>Question</w:t>
            </w:r>
            <w:r>
              <w:rPr>
                <w:sz w:val="17"/>
                <w:szCs w:val="17"/>
              </w:rPr>
              <w:t xml:space="preserve">: </w:t>
            </w:r>
            <w:r w:rsidR="007968F2" w:rsidRPr="007968F2">
              <w:rPr>
                <w:sz w:val="17"/>
                <w:szCs w:val="17"/>
              </w:rPr>
              <w:t xml:space="preserve">Do you agree that explicitly requiring to adopt fair presentation in preparing ESRS sustainability statements will support a more effective functioning of the materiality filter, therefore </w:t>
            </w:r>
            <w:r w:rsidR="000A6AC9" w:rsidRPr="007968F2">
              <w:rPr>
                <w:sz w:val="17"/>
                <w:szCs w:val="17"/>
              </w:rPr>
              <w:t>enable</w:t>
            </w:r>
            <w:r w:rsidR="007968F2" w:rsidRPr="007968F2">
              <w:rPr>
                <w:sz w:val="17"/>
                <w:szCs w:val="17"/>
              </w:rPr>
              <w:t xml:space="preserve"> more relevant reporting and </w:t>
            </w:r>
            <w:r w:rsidR="00636A1B" w:rsidRPr="007968F2">
              <w:rPr>
                <w:sz w:val="17"/>
                <w:szCs w:val="17"/>
              </w:rPr>
              <w:t>reduce</w:t>
            </w:r>
            <w:r w:rsidR="007968F2" w:rsidRPr="007968F2">
              <w:rPr>
                <w:sz w:val="17"/>
                <w:szCs w:val="17"/>
              </w:rPr>
              <w:t xml:space="preserve"> the risk of excessive reported information?</w:t>
            </w:r>
          </w:p>
          <w:p w14:paraId="594687A2" w14:textId="0E788A38" w:rsidR="0012387F" w:rsidRDefault="0012387F" w:rsidP="0012387F">
            <w:pPr>
              <w:spacing w:line="276" w:lineRule="auto"/>
              <w:rPr>
                <w:sz w:val="17"/>
                <w:szCs w:val="17"/>
              </w:rPr>
            </w:pPr>
            <w:r>
              <w:rPr>
                <w:sz w:val="17"/>
                <w:szCs w:val="17"/>
              </w:rPr>
              <w:t>[</w:t>
            </w:r>
            <w:r w:rsidRPr="005C44A1">
              <w:rPr>
                <w:sz w:val="17"/>
                <w:szCs w:val="17"/>
              </w:rPr>
              <w:t xml:space="preserve">agree, </w:t>
            </w:r>
            <w:r w:rsidRPr="005C44A1">
              <w:rPr>
                <w:sz w:val="17"/>
                <w:szCs w:val="17"/>
                <w:highlight w:val="yellow"/>
              </w:rPr>
              <w:t>partially agree</w:t>
            </w:r>
            <w:r w:rsidRPr="005C44A1">
              <w:rPr>
                <w:sz w:val="17"/>
                <w:szCs w:val="17"/>
              </w:rPr>
              <w:t>, disagree</w:t>
            </w:r>
            <w:r>
              <w:rPr>
                <w:sz w:val="17"/>
                <w:szCs w:val="17"/>
              </w:rPr>
              <w:t>].</w:t>
            </w:r>
          </w:p>
          <w:p w14:paraId="5E602214" w14:textId="77777777" w:rsidR="0012387F" w:rsidRDefault="0012387F">
            <w:pPr>
              <w:spacing w:line="276" w:lineRule="auto"/>
              <w:rPr>
                <w:sz w:val="17"/>
                <w:szCs w:val="17"/>
              </w:rPr>
            </w:pPr>
          </w:p>
          <w:p w14:paraId="66C036F2" w14:textId="77777777" w:rsidR="007E6275" w:rsidRDefault="003E494B" w:rsidP="007E6275">
            <w:pPr>
              <w:spacing w:line="276" w:lineRule="auto"/>
              <w:rPr>
                <w:sz w:val="17"/>
                <w:szCs w:val="17"/>
              </w:rPr>
            </w:pPr>
            <w:r w:rsidRPr="002B6C33">
              <w:rPr>
                <w:b/>
                <w:bCs/>
                <w:sz w:val="17"/>
                <w:szCs w:val="17"/>
              </w:rPr>
              <w:t>Insurance Europe response</w:t>
            </w:r>
            <w:r w:rsidR="007E6275">
              <w:rPr>
                <w:sz w:val="17"/>
                <w:szCs w:val="17"/>
              </w:rPr>
              <w:t>:</w:t>
            </w:r>
          </w:p>
          <w:p w14:paraId="1BBA78D6" w14:textId="6B1A5BBB" w:rsidR="003C369F" w:rsidRDefault="003C369F">
            <w:pPr>
              <w:spacing w:before="120"/>
              <w:rPr>
                <w:sz w:val="17"/>
                <w:szCs w:val="17"/>
              </w:rPr>
            </w:pPr>
            <w:r w:rsidRPr="003C369F">
              <w:rPr>
                <w:sz w:val="17"/>
                <w:szCs w:val="17"/>
              </w:rPr>
              <w:t>We acknowledge that explicitly requiring the adoption of fair presentation in preparing ESRS sustainability statements aims to support a more effective functioning of the materiality filter</w:t>
            </w:r>
            <w:r w:rsidR="00EE3D1F">
              <w:rPr>
                <w:sz w:val="17"/>
                <w:szCs w:val="17"/>
              </w:rPr>
              <w:t>. However,</w:t>
            </w:r>
            <w:r w:rsidRPr="003C369F">
              <w:rPr>
                <w:sz w:val="17"/>
                <w:szCs w:val="17"/>
              </w:rPr>
              <w:t xml:space="preserve"> we believe that several important concerns remain unresolved and warrant further attention.</w:t>
            </w:r>
          </w:p>
          <w:p w14:paraId="30A7C8D5" w14:textId="4FF9C00D" w:rsidR="00E17FAA" w:rsidRDefault="00455599">
            <w:pPr>
              <w:spacing w:before="120"/>
              <w:rPr>
                <w:sz w:val="17"/>
                <w:szCs w:val="17"/>
              </w:rPr>
            </w:pPr>
            <w:r w:rsidRPr="00455599">
              <w:rPr>
                <w:sz w:val="17"/>
                <w:szCs w:val="17"/>
              </w:rPr>
              <w:t>While we support the ambition behind this definition, we are concerned that, in practice, its application could reintroduce a de facto compliance-based approach. Specifically, the formalisation of fair presentation—even if intended to discourage a checklist mentality—may lead preparers and auditors to adopt conservative interpretations of “completeness,” “accuracy,” and “verifiability” to mitigate legal and assurance risks. This could increase reporting burdens without necessarily improving the usefulness or relevance of the information disclosed</w:t>
            </w:r>
            <w:r w:rsidR="00E17FAA" w:rsidRPr="00E17FAA">
              <w:rPr>
                <w:sz w:val="17"/>
                <w:szCs w:val="17"/>
              </w:rPr>
              <w:t>.</w:t>
            </w:r>
          </w:p>
          <w:p w14:paraId="41CDCE46" w14:textId="7203E5DF" w:rsidR="00EA404A" w:rsidRPr="00447057" w:rsidRDefault="00EE3D1F">
            <w:pPr>
              <w:spacing w:before="120"/>
              <w:rPr>
                <w:sz w:val="17"/>
                <w:szCs w:val="17"/>
              </w:rPr>
            </w:pPr>
            <w:r>
              <w:rPr>
                <w:sz w:val="17"/>
                <w:szCs w:val="17"/>
              </w:rPr>
              <w:t>W</w:t>
            </w:r>
            <w:r w:rsidRPr="00EE3D1F">
              <w:rPr>
                <w:sz w:val="17"/>
                <w:szCs w:val="17"/>
              </w:rPr>
              <w:t xml:space="preserve">e also see challenges in applying the concept of fair presentation—particularly the requirement to provide complete, neutral, and accurate information—to inherently uncertain and forward-looking disclosures. Many sustainability-related metrics and narratives rely on estimates, evolving methodologies, or scenario analysis. In such contexts, “accuracy” and “verifiability” should not be interpreted as requiring precision in an absolute sense. Without further </w:t>
            </w:r>
            <w:r w:rsidR="00601C45">
              <w:rPr>
                <w:sz w:val="17"/>
                <w:szCs w:val="17"/>
              </w:rPr>
              <w:t>clarity</w:t>
            </w:r>
            <w:r w:rsidRPr="00EE3D1F">
              <w:rPr>
                <w:sz w:val="17"/>
                <w:szCs w:val="17"/>
              </w:rPr>
              <w:t>, the current definition risks creating unrealistic expectations regarding what can be reported and assured</w:t>
            </w:r>
            <w:r w:rsidR="00EA404A" w:rsidRPr="00EA404A">
              <w:rPr>
                <w:sz w:val="17"/>
                <w:szCs w:val="17"/>
              </w:rPr>
              <w:t>.</w:t>
            </w:r>
          </w:p>
          <w:p w14:paraId="027EEC06" w14:textId="26DDD360" w:rsidR="00537194" w:rsidRPr="003F6751" w:rsidRDefault="003820B6" w:rsidP="00685620">
            <w:pPr>
              <w:spacing w:before="120"/>
              <w:rPr>
                <w:sz w:val="17"/>
                <w:szCs w:val="17"/>
              </w:rPr>
            </w:pPr>
            <w:r w:rsidRPr="003820B6">
              <w:rPr>
                <w:bCs/>
                <w:sz w:val="17"/>
                <w:szCs w:val="17"/>
              </w:rPr>
              <w:t xml:space="preserve">Finally, we stress the need for clarification that </w:t>
            </w:r>
            <w:r w:rsidRPr="003820B6">
              <w:rPr>
                <w:bCs/>
                <w:i/>
                <w:iCs/>
                <w:sz w:val="17"/>
                <w:szCs w:val="17"/>
              </w:rPr>
              <w:t>fair presentation</w:t>
            </w:r>
            <w:r w:rsidRPr="003820B6">
              <w:rPr>
                <w:bCs/>
                <w:sz w:val="17"/>
                <w:szCs w:val="17"/>
              </w:rPr>
              <w:t xml:space="preserve"> does not imply disclosures must be “true” in an absolute or static sense. It should be made explicit that the concept aligns with the nature of limited assurance under the CSRD. This is essential to ensure that preparers are not held to an unreasonably high evidentiary standard, particularly when reporting on complex, forward-looking, or qualitative matters</w:t>
            </w:r>
            <w:r w:rsidR="00EA404A" w:rsidRPr="00447057">
              <w:rPr>
                <w:bCs/>
                <w:sz w:val="17"/>
                <w:szCs w:val="17"/>
              </w:rPr>
              <w:t>.</w:t>
            </w:r>
          </w:p>
        </w:tc>
      </w:tr>
    </w:tbl>
    <w:p w14:paraId="058A1CA9" w14:textId="77777777" w:rsidR="001014D7" w:rsidRDefault="001014D7" w:rsidP="005F5CCF">
      <w:pPr>
        <w:spacing w:after="200" w:line="276" w:lineRule="auto"/>
        <w:rPr>
          <w:sz w:val="17"/>
          <w:szCs w:val="17"/>
        </w:rPr>
      </w:pPr>
    </w:p>
    <w:tbl>
      <w:tblPr>
        <w:tblStyle w:val="Mriekatabuky"/>
        <w:tblW w:w="0" w:type="auto"/>
        <w:tblLook w:val="04A0" w:firstRow="1" w:lastRow="0" w:firstColumn="1" w:lastColumn="0" w:noHBand="0" w:noVBand="1"/>
      </w:tblPr>
      <w:tblGrid>
        <w:gridCol w:w="9572"/>
      </w:tblGrid>
      <w:tr w:rsidR="001014D7" w14:paraId="02CF67D9" w14:textId="77777777">
        <w:tc>
          <w:tcPr>
            <w:tcW w:w="9572" w:type="dxa"/>
            <w:shd w:val="clear" w:color="auto" w:fill="595959" w:themeFill="text1" w:themeFillTint="A6"/>
          </w:tcPr>
          <w:p w14:paraId="4FC63AED" w14:textId="743EA7EC" w:rsidR="001014D7" w:rsidRPr="00F92E2F" w:rsidRDefault="001014D7">
            <w:pPr>
              <w:spacing w:line="276" w:lineRule="auto"/>
              <w:rPr>
                <w:b/>
                <w:bCs/>
                <w:color w:val="FFFFFF" w:themeColor="background1"/>
                <w:sz w:val="17"/>
                <w:szCs w:val="17"/>
              </w:rPr>
            </w:pPr>
            <w:r w:rsidRPr="00F92E2F">
              <w:rPr>
                <w:b/>
                <w:bCs/>
                <w:color w:val="FFFFFF" w:themeColor="background1"/>
                <w:sz w:val="17"/>
                <w:szCs w:val="17"/>
              </w:rPr>
              <w:t xml:space="preserve">Question </w:t>
            </w:r>
            <w:r w:rsidR="005C3F4E">
              <w:rPr>
                <w:b/>
                <w:bCs/>
                <w:color w:val="FFFFFF" w:themeColor="background1"/>
                <w:sz w:val="17"/>
                <w:szCs w:val="17"/>
              </w:rPr>
              <w:t>2</w:t>
            </w:r>
            <w:r>
              <w:rPr>
                <w:b/>
                <w:bCs/>
                <w:color w:val="FFFFFF" w:themeColor="background1"/>
                <w:sz w:val="17"/>
                <w:szCs w:val="17"/>
              </w:rPr>
              <w:t>6</w:t>
            </w:r>
            <w:r w:rsidR="007968F2">
              <w:rPr>
                <w:b/>
                <w:bCs/>
                <w:color w:val="FFFFFF" w:themeColor="background1"/>
                <w:sz w:val="17"/>
                <w:szCs w:val="17"/>
              </w:rPr>
              <w:t xml:space="preserve"> on the e</w:t>
            </w:r>
            <w:r w:rsidR="007968F2" w:rsidRPr="007968F2">
              <w:rPr>
                <w:b/>
                <w:bCs/>
                <w:color w:val="FFFFFF" w:themeColor="background1"/>
                <w:sz w:val="17"/>
                <w:szCs w:val="17"/>
              </w:rPr>
              <w:t>xception for Financial Institutions' Absolute climate reduction Targets</w:t>
            </w:r>
          </w:p>
        </w:tc>
      </w:tr>
      <w:tr w:rsidR="001014D7" w14:paraId="124C2C65" w14:textId="77777777">
        <w:tc>
          <w:tcPr>
            <w:tcW w:w="9572" w:type="dxa"/>
          </w:tcPr>
          <w:p w14:paraId="69CFA9D3" w14:textId="11683B80" w:rsidR="001014D7" w:rsidRDefault="001014D7">
            <w:pPr>
              <w:spacing w:line="276" w:lineRule="auto"/>
              <w:rPr>
                <w:sz w:val="17"/>
                <w:szCs w:val="17"/>
              </w:rPr>
            </w:pPr>
            <w:r w:rsidRPr="00FF5136">
              <w:rPr>
                <w:b/>
                <w:bCs/>
                <w:sz w:val="17"/>
                <w:szCs w:val="17"/>
              </w:rPr>
              <w:t>Summary of changes</w:t>
            </w:r>
            <w:r>
              <w:rPr>
                <w:sz w:val="17"/>
                <w:szCs w:val="17"/>
              </w:rPr>
              <w:t xml:space="preserve">: </w:t>
            </w:r>
          </w:p>
          <w:p w14:paraId="5EB2F41F" w14:textId="3F692C54" w:rsidR="001014D7" w:rsidRPr="00F21217" w:rsidRDefault="007968F2" w:rsidP="005134C3">
            <w:pPr>
              <w:spacing w:before="120" w:after="120" w:line="276" w:lineRule="auto"/>
              <w:rPr>
                <w:sz w:val="17"/>
                <w:szCs w:val="17"/>
              </w:rPr>
            </w:pPr>
            <w:r w:rsidRPr="007968F2">
              <w:rPr>
                <w:sz w:val="17"/>
                <w:szCs w:val="17"/>
              </w:rPr>
              <w:t xml:space="preserve">One of the implementation challenges noted by financial institutions relates to the requirement in ESRS E1 paragraph 26(a). This requires, when the undertaking has adopted </w:t>
            </w:r>
            <w:r w:rsidRPr="009C7149">
              <w:rPr>
                <w:sz w:val="17"/>
                <w:szCs w:val="17"/>
              </w:rPr>
              <w:t>GHG emissions intensity targets in conjunction with AR12 (“when only setting intensity targets”), to disclose also the associated absolute values” (refer also to Basis for Conclusions (BfC) Chapter 8). EFRAG SRB and SR TEG discussed whether an exception would be needed for insurance, banking and asset management sectors, but they decided that it would be appropriate to receive specific feedback before concluding</w:t>
            </w:r>
            <w:r w:rsidRPr="007968F2">
              <w:rPr>
                <w:sz w:val="17"/>
                <w:szCs w:val="17"/>
              </w:rPr>
              <w:t xml:space="preserve">. Those that support the exception argue that this information is not useful. They think that while for fossil fuel sectors gradual de-commissioning is foreseen, emphasising the role of absolute targets for lenders and investors in all sectors would provide the wrong incentive, as high-emission sectors are those in need of transition financing. They also consider that estimating the absolute targets would require multiple assumptions (such as about the composition of the portfolios, the production capacity, the market shares and the level of emission intensity), making results unreliable and thus not leading to meaningful disclosures. Those who oppose this exception note that complex estimates are common to all sectors. They also note also that both the information types of intensity and absolute targets </w:t>
            </w:r>
            <w:r w:rsidRPr="007968F2">
              <w:rPr>
                <w:sz w:val="17"/>
                <w:szCs w:val="17"/>
              </w:rPr>
              <w:lastRenderedPageBreak/>
              <w:t>are needed for a proper understanding of the undertaking’s progress on climate and banks are no exception in this case. Intensity targets, while capturing efficiency, may mask rising emission levels. Absolute targets capture the total impact but fail to take into account the effect of business growth. They finally note that an exception only for financial institutions would result in an unlevel playing position for the other sectors.    </w:t>
            </w:r>
          </w:p>
        </w:tc>
      </w:tr>
      <w:tr w:rsidR="001014D7" w14:paraId="060798BC" w14:textId="77777777">
        <w:tc>
          <w:tcPr>
            <w:tcW w:w="9572" w:type="dxa"/>
          </w:tcPr>
          <w:p w14:paraId="51816F5F" w14:textId="77777777" w:rsidR="001014D7" w:rsidRDefault="001014D7">
            <w:pPr>
              <w:spacing w:line="276" w:lineRule="auto"/>
              <w:rPr>
                <w:sz w:val="17"/>
                <w:szCs w:val="17"/>
              </w:rPr>
            </w:pPr>
            <w:r w:rsidRPr="00FF5136">
              <w:rPr>
                <w:b/>
                <w:bCs/>
                <w:sz w:val="17"/>
                <w:szCs w:val="17"/>
              </w:rPr>
              <w:lastRenderedPageBreak/>
              <w:t>Question</w:t>
            </w:r>
            <w:r>
              <w:rPr>
                <w:sz w:val="17"/>
                <w:szCs w:val="17"/>
              </w:rPr>
              <w:t xml:space="preserve">: </w:t>
            </w:r>
          </w:p>
          <w:p w14:paraId="6D9A6753" w14:textId="020CD7E2" w:rsidR="0012387F" w:rsidRDefault="005C62EE" w:rsidP="0012387F">
            <w:pPr>
              <w:spacing w:line="276" w:lineRule="auto"/>
              <w:rPr>
                <w:sz w:val="17"/>
                <w:szCs w:val="17"/>
              </w:rPr>
            </w:pPr>
            <w:r>
              <w:rPr>
                <w:sz w:val="17"/>
                <w:szCs w:val="17"/>
              </w:rPr>
              <w:t xml:space="preserve">I </w:t>
            </w:r>
            <w:r w:rsidR="0012387F">
              <w:rPr>
                <w:sz w:val="17"/>
                <w:szCs w:val="17"/>
              </w:rPr>
              <w:t>[</w:t>
            </w:r>
            <w:r w:rsidR="0012387F" w:rsidRPr="002A38B7">
              <w:rPr>
                <w:sz w:val="17"/>
                <w:szCs w:val="17"/>
                <w:highlight w:val="yellow"/>
              </w:rPr>
              <w:t>agree</w:t>
            </w:r>
            <w:r>
              <w:rPr>
                <w:sz w:val="17"/>
                <w:szCs w:val="17"/>
                <w:highlight w:val="yellow"/>
              </w:rPr>
              <w:t xml:space="preserve"> </w:t>
            </w:r>
            <w:r w:rsidRPr="00CC493A">
              <w:rPr>
                <w:sz w:val="17"/>
                <w:szCs w:val="17"/>
              </w:rPr>
              <w:t xml:space="preserve">/ </w:t>
            </w:r>
            <w:r w:rsidR="0012387F" w:rsidRPr="00CC493A">
              <w:rPr>
                <w:sz w:val="17"/>
                <w:szCs w:val="17"/>
              </w:rPr>
              <w:t>disagree</w:t>
            </w:r>
            <w:r w:rsidR="0012387F">
              <w:rPr>
                <w:sz w:val="17"/>
                <w:szCs w:val="17"/>
              </w:rPr>
              <w:t xml:space="preserve">] </w:t>
            </w:r>
            <w:r w:rsidRPr="005C62EE">
              <w:rPr>
                <w:sz w:val="17"/>
                <w:szCs w:val="17"/>
              </w:rPr>
              <w:t>that financial institutions should be exempted from disclosing climate absolute GHG emission values targets when they have only set intensity targets</w:t>
            </w:r>
            <w:r w:rsidR="00003005">
              <w:rPr>
                <w:sz w:val="17"/>
                <w:szCs w:val="17"/>
              </w:rPr>
              <w:t>.</w:t>
            </w:r>
          </w:p>
          <w:p w14:paraId="7E367391" w14:textId="77777777" w:rsidR="0012387F" w:rsidRDefault="0012387F">
            <w:pPr>
              <w:spacing w:line="276" w:lineRule="auto"/>
              <w:rPr>
                <w:sz w:val="17"/>
                <w:szCs w:val="17"/>
              </w:rPr>
            </w:pPr>
          </w:p>
          <w:p w14:paraId="718C06CC" w14:textId="77777777" w:rsidR="007E6275" w:rsidRDefault="003E494B" w:rsidP="007E6275">
            <w:pPr>
              <w:spacing w:line="276" w:lineRule="auto"/>
              <w:rPr>
                <w:sz w:val="17"/>
                <w:szCs w:val="17"/>
              </w:rPr>
            </w:pPr>
            <w:r w:rsidRPr="002B6C33">
              <w:rPr>
                <w:b/>
                <w:bCs/>
                <w:sz w:val="17"/>
                <w:szCs w:val="17"/>
              </w:rPr>
              <w:t>Insurance Europe response</w:t>
            </w:r>
            <w:r w:rsidR="007E6275">
              <w:rPr>
                <w:sz w:val="17"/>
                <w:szCs w:val="17"/>
              </w:rPr>
              <w:t>:</w:t>
            </w:r>
          </w:p>
          <w:p w14:paraId="0F4FDE16" w14:textId="4EB9CB6B" w:rsidR="00B87FA2" w:rsidRPr="0047728E" w:rsidRDefault="00191542" w:rsidP="00F3588B">
            <w:pPr>
              <w:spacing w:before="120" w:line="276" w:lineRule="auto"/>
              <w:rPr>
                <w:sz w:val="17"/>
                <w:szCs w:val="17"/>
              </w:rPr>
            </w:pPr>
            <w:r w:rsidRPr="00191542">
              <w:rPr>
                <w:sz w:val="17"/>
                <w:szCs w:val="17"/>
              </w:rPr>
              <w:t>Insurance Europe agrees that financial institutions should be exempted from disclosing absolute GHG emissions targets when only intensity targets have been set. This exemption is particularly relevant for insurers, given that their emissions are mostly indirect and arise from investment and underwriting activities rather than direct operations. Estimating absolute emission targets in this context requires extensive assumptions and complex modelling across diverse portfolios, resulting in outputs with low reliability and limited added value for users.</w:t>
            </w:r>
          </w:p>
        </w:tc>
      </w:tr>
    </w:tbl>
    <w:p w14:paraId="17B9D8FE" w14:textId="77777777" w:rsidR="001014D7" w:rsidRDefault="001014D7" w:rsidP="005F5CCF">
      <w:pPr>
        <w:spacing w:after="200" w:line="276" w:lineRule="auto"/>
        <w:rPr>
          <w:sz w:val="17"/>
          <w:szCs w:val="17"/>
        </w:rPr>
      </w:pPr>
    </w:p>
    <w:tbl>
      <w:tblPr>
        <w:tblStyle w:val="Mriekatabuky"/>
        <w:tblW w:w="0" w:type="auto"/>
        <w:tblLook w:val="04A0" w:firstRow="1" w:lastRow="0" w:firstColumn="1" w:lastColumn="0" w:noHBand="0" w:noVBand="1"/>
      </w:tblPr>
      <w:tblGrid>
        <w:gridCol w:w="9572"/>
      </w:tblGrid>
      <w:tr w:rsidR="001014D7" w14:paraId="645988CE" w14:textId="77777777">
        <w:tc>
          <w:tcPr>
            <w:tcW w:w="9572" w:type="dxa"/>
            <w:shd w:val="clear" w:color="auto" w:fill="595959" w:themeFill="text1" w:themeFillTint="A6"/>
          </w:tcPr>
          <w:p w14:paraId="3ED3F48D" w14:textId="4726E6DD" w:rsidR="001014D7" w:rsidRPr="00F92E2F" w:rsidRDefault="001014D7">
            <w:pPr>
              <w:spacing w:line="276" w:lineRule="auto"/>
              <w:rPr>
                <w:b/>
                <w:bCs/>
                <w:color w:val="FFFFFF" w:themeColor="background1"/>
                <w:sz w:val="17"/>
                <w:szCs w:val="17"/>
              </w:rPr>
            </w:pPr>
            <w:r w:rsidRPr="00F92E2F">
              <w:rPr>
                <w:b/>
                <w:bCs/>
                <w:color w:val="FFFFFF" w:themeColor="background1"/>
                <w:sz w:val="17"/>
                <w:szCs w:val="17"/>
              </w:rPr>
              <w:t xml:space="preserve">Question </w:t>
            </w:r>
            <w:r w:rsidR="005C3F4E">
              <w:rPr>
                <w:b/>
                <w:bCs/>
                <w:color w:val="FFFFFF" w:themeColor="background1"/>
                <w:sz w:val="17"/>
                <w:szCs w:val="17"/>
              </w:rPr>
              <w:t>2</w:t>
            </w:r>
            <w:r>
              <w:rPr>
                <w:b/>
                <w:bCs/>
                <w:color w:val="FFFFFF" w:themeColor="background1"/>
                <w:sz w:val="17"/>
                <w:szCs w:val="17"/>
              </w:rPr>
              <w:t>7</w:t>
            </w:r>
            <w:r w:rsidR="00396F37">
              <w:rPr>
                <w:b/>
                <w:bCs/>
                <w:color w:val="FFFFFF" w:themeColor="background1"/>
                <w:sz w:val="17"/>
                <w:szCs w:val="17"/>
              </w:rPr>
              <w:t xml:space="preserve"> on </w:t>
            </w:r>
            <w:r w:rsidR="00396F37" w:rsidRPr="00396F37">
              <w:rPr>
                <w:b/>
                <w:bCs/>
                <w:color w:val="FFFFFF" w:themeColor="background1"/>
                <w:sz w:val="17"/>
                <w:szCs w:val="17"/>
              </w:rPr>
              <w:t>ESRS S1: New threshold for reporting metrics disaggregated at country level</w:t>
            </w:r>
          </w:p>
        </w:tc>
      </w:tr>
      <w:tr w:rsidR="001014D7" w14:paraId="56D8CAB1" w14:textId="77777777">
        <w:tc>
          <w:tcPr>
            <w:tcW w:w="9572" w:type="dxa"/>
          </w:tcPr>
          <w:p w14:paraId="59E240E5" w14:textId="66BF69ED" w:rsidR="001014D7" w:rsidRDefault="001014D7">
            <w:pPr>
              <w:spacing w:line="276" w:lineRule="auto"/>
              <w:rPr>
                <w:sz w:val="17"/>
                <w:szCs w:val="17"/>
              </w:rPr>
            </w:pPr>
            <w:r w:rsidRPr="00FF5136">
              <w:rPr>
                <w:b/>
                <w:bCs/>
                <w:sz w:val="17"/>
                <w:szCs w:val="17"/>
              </w:rPr>
              <w:t>Summary of changes</w:t>
            </w:r>
            <w:r>
              <w:rPr>
                <w:sz w:val="17"/>
                <w:szCs w:val="17"/>
              </w:rPr>
              <w:t xml:space="preserve">: </w:t>
            </w:r>
          </w:p>
          <w:p w14:paraId="597E0FF7" w14:textId="77777777" w:rsidR="00396F37" w:rsidRDefault="00396F37" w:rsidP="009E1EA3">
            <w:pPr>
              <w:spacing w:before="120" w:line="276" w:lineRule="auto"/>
              <w:rPr>
                <w:sz w:val="17"/>
                <w:szCs w:val="17"/>
              </w:rPr>
            </w:pPr>
            <w:r w:rsidRPr="00396F37">
              <w:rPr>
                <w:sz w:val="17"/>
                <w:szCs w:val="17"/>
              </w:rPr>
              <w:t>Amended ESRS S1 changes the threshold for the requirement to disaggregate the metrics for Characteristics of the undertaking’s employees, collective bargaining coverage and social dialogue in the European Economic Area (S1-5 and S1-7 of Amended ESRS S1). Refer also to Basis for Conclusions (BfC) Chapter 8. Instead of being defined based on at least 50 employees by head count representing at least 10% of the total number of employees, the requirement is now to disaggregate the metrics for the top 10 largest countries by employee headcount, to the extent that there are more than 50 employees in those countries. A minority of EFRAG SRB members noted that this change could trigger, in some cases, an increase in the number of countries to report on for these two disclosures, and so an increased burden to prepare the information. The majority of EFRAG SRB members supported the change because the current requirement has led to limited information available by country. In addition, the information is usually easily accessible, so the burden to prepare the information per the new requirement is estimated to be limited.</w:t>
            </w:r>
          </w:p>
          <w:p w14:paraId="57E066E9" w14:textId="4B500FE1" w:rsidR="001014D7" w:rsidRPr="00F21217" w:rsidRDefault="00396F37" w:rsidP="009E1EA3">
            <w:pPr>
              <w:spacing w:after="120" w:line="276" w:lineRule="auto"/>
              <w:rPr>
                <w:sz w:val="17"/>
                <w:szCs w:val="17"/>
              </w:rPr>
            </w:pPr>
            <w:r w:rsidRPr="009E1EA3">
              <w:rPr>
                <w:i/>
                <w:iCs/>
                <w:sz w:val="17"/>
                <w:szCs w:val="17"/>
              </w:rPr>
              <w:t>If you intend to provide feedback also on Part 3 of this questionnaire, please note that by answering this question, to avoid duplication of input, you will not be allowed to include comments on DR ESRS S1-5 and ESRS S1-7 in Part 3. Your comments on those provisions will only be provided here</w:t>
            </w:r>
            <w:r w:rsidRPr="00396F37">
              <w:rPr>
                <w:sz w:val="17"/>
                <w:szCs w:val="17"/>
              </w:rPr>
              <w:t>.</w:t>
            </w:r>
          </w:p>
        </w:tc>
      </w:tr>
      <w:tr w:rsidR="001014D7" w14:paraId="4360579B" w14:textId="77777777">
        <w:tc>
          <w:tcPr>
            <w:tcW w:w="9572" w:type="dxa"/>
          </w:tcPr>
          <w:p w14:paraId="50A404C1" w14:textId="5DAD8FFA" w:rsidR="001014D7" w:rsidRPr="00396F37" w:rsidRDefault="001014D7" w:rsidP="00396F37">
            <w:pPr>
              <w:spacing w:line="276" w:lineRule="auto"/>
              <w:rPr>
                <w:sz w:val="17"/>
                <w:szCs w:val="17"/>
              </w:rPr>
            </w:pPr>
            <w:r w:rsidRPr="00FF5136">
              <w:rPr>
                <w:b/>
                <w:bCs/>
                <w:sz w:val="17"/>
                <w:szCs w:val="17"/>
              </w:rPr>
              <w:t>Question</w:t>
            </w:r>
            <w:r>
              <w:rPr>
                <w:sz w:val="17"/>
                <w:szCs w:val="17"/>
              </w:rPr>
              <w:t xml:space="preserve">: </w:t>
            </w:r>
            <w:r w:rsidR="00396F37" w:rsidRPr="00396F37">
              <w:rPr>
                <w:sz w:val="17"/>
                <w:szCs w:val="17"/>
              </w:rPr>
              <w:t>Do you agree with the change to the threshold for country-by-country disclosure for the DRs ESRS S1-5 and ESRS S1-7? </w:t>
            </w:r>
          </w:p>
          <w:p w14:paraId="3F573A1A" w14:textId="02028505" w:rsidR="0012387F" w:rsidRDefault="0012387F" w:rsidP="0012387F">
            <w:pPr>
              <w:spacing w:line="276" w:lineRule="auto"/>
              <w:rPr>
                <w:sz w:val="17"/>
                <w:szCs w:val="17"/>
              </w:rPr>
            </w:pPr>
            <w:r>
              <w:rPr>
                <w:sz w:val="17"/>
                <w:szCs w:val="17"/>
              </w:rPr>
              <w:t>[</w:t>
            </w:r>
            <w:r w:rsidRPr="009D3684">
              <w:rPr>
                <w:sz w:val="17"/>
                <w:szCs w:val="17"/>
              </w:rPr>
              <w:t>agree</w:t>
            </w:r>
            <w:r w:rsidRPr="002A38B7">
              <w:rPr>
                <w:sz w:val="17"/>
                <w:szCs w:val="17"/>
                <w:highlight w:val="yellow"/>
              </w:rPr>
              <w:t xml:space="preserve">, </w:t>
            </w:r>
            <w:r w:rsidRPr="001243F2">
              <w:rPr>
                <w:sz w:val="17"/>
                <w:szCs w:val="17"/>
                <w:highlight w:val="yellow"/>
              </w:rPr>
              <w:t xml:space="preserve">partially agree, </w:t>
            </w:r>
            <w:r w:rsidRPr="009D3684">
              <w:rPr>
                <w:sz w:val="17"/>
                <w:szCs w:val="17"/>
              </w:rPr>
              <w:t>disagree</w:t>
            </w:r>
            <w:r>
              <w:rPr>
                <w:sz w:val="17"/>
                <w:szCs w:val="17"/>
              </w:rPr>
              <w:t>].</w:t>
            </w:r>
          </w:p>
          <w:p w14:paraId="77F43134" w14:textId="77777777" w:rsidR="0012387F" w:rsidRDefault="0012387F">
            <w:pPr>
              <w:spacing w:line="276" w:lineRule="auto"/>
              <w:rPr>
                <w:sz w:val="17"/>
                <w:szCs w:val="17"/>
              </w:rPr>
            </w:pPr>
          </w:p>
          <w:p w14:paraId="6E10A042" w14:textId="317BA366" w:rsidR="00B87FA2" w:rsidRPr="007E6275" w:rsidRDefault="003E494B" w:rsidP="00B87FA2">
            <w:pPr>
              <w:spacing w:line="276" w:lineRule="auto"/>
              <w:rPr>
                <w:sz w:val="17"/>
                <w:szCs w:val="17"/>
              </w:rPr>
            </w:pPr>
            <w:r w:rsidRPr="002B6C33">
              <w:rPr>
                <w:b/>
                <w:bCs/>
                <w:sz w:val="17"/>
                <w:szCs w:val="17"/>
              </w:rPr>
              <w:t>Insurance Europe response</w:t>
            </w:r>
            <w:r w:rsidR="007E6275">
              <w:rPr>
                <w:sz w:val="17"/>
                <w:szCs w:val="17"/>
              </w:rPr>
              <w:t>:</w:t>
            </w:r>
          </w:p>
          <w:p w14:paraId="7910A6FC" w14:textId="3F2E44CB" w:rsidR="000F6718" w:rsidRPr="000F6718" w:rsidRDefault="000F6718" w:rsidP="000F6718">
            <w:pPr>
              <w:spacing w:before="120" w:after="120" w:line="276" w:lineRule="auto"/>
              <w:rPr>
                <w:rFonts w:eastAsia="Verdana" w:cs="Verdana"/>
                <w:sz w:val="17"/>
                <w:szCs w:val="17"/>
              </w:rPr>
            </w:pPr>
            <w:r w:rsidRPr="000F6718">
              <w:rPr>
                <w:rFonts w:eastAsia="Verdana" w:cs="Verdana"/>
                <w:sz w:val="17"/>
                <w:szCs w:val="17"/>
              </w:rPr>
              <w:t>We support efforts to improve the availability and comparability of country-level social data where it is relevant for users. The shift in threshold for country-by-country disclosure in ESRS S1-5 and S1-7</w:t>
            </w:r>
            <w:r w:rsidR="009D3684">
              <w:rPr>
                <w:rFonts w:eastAsia="Verdana" w:cs="Verdana"/>
                <w:sz w:val="17"/>
                <w:szCs w:val="17"/>
              </w:rPr>
              <w:t xml:space="preserve"> h</w:t>
            </w:r>
            <w:r w:rsidRPr="000F6718">
              <w:rPr>
                <w:rFonts w:eastAsia="Verdana" w:cs="Verdana"/>
                <w:sz w:val="17"/>
                <w:szCs w:val="17"/>
              </w:rPr>
              <w:t>as the potential to improve transparency without fundamentally altering the scope of disclosures for most undertakings.</w:t>
            </w:r>
          </w:p>
          <w:p w14:paraId="0FA900AA" w14:textId="21EEF7DD" w:rsidR="00051C25" w:rsidRDefault="000F6718" w:rsidP="00307DD4">
            <w:pPr>
              <w:spacing w:before="120" w:after="120" w:line="276" w:lineRule="auto"/>
            </w:pPr>
            <w:r w:rsidRPr="000F6718">
              <w:rPr>
                <w:rFonts w:eastAsia="Verdana" w:cs="Verdana"/>
                <w:sz w:val="17"/>
                <w:szCs w:val="17"/>
              </w:rPr>
              <w:t xml:space="preserve">While we understand that information on headcount </w:t>
            </w:r>
            <w:r w:rsidR="00F1783B" w:rsidRPr="00F1783B">
              <w:rPr>
                <w:rFonts w:eastAsia="Verdana" w:cs="Verdana"/>
                <w:sz w:val="17"/>
                <w:szCs w:val="17"/>
              </w:rPr>
              <w:t>by country is often available internally, preparing consistent and assurance-ready disclosures—especially on collective bargaining coverage and social dialogue—may require considerable additional effort. We therefore encourage EFRAG to further evaluate the practical implications of this change, particularly for companies with decentrali</w:t>
            </w:r>
            <w:r w:rsidR="002C14F6">
              <w:rPr>
                <w:rFonts w:eastAsia="Verdana" w:cs="Verdana"/>
                <w:sz w:val="17"/>
                <w:szCs w:val="17"/>
              </w:rPr>
              <w:t>s</w:t>
            </w:r>
            <w:r w:rsidR="00F1783B" w:rsidRPr="00F1783B">
              <w:rPr>
                <w:rFonts w:eastAsia="Verdana" w:cs="Verdana"/>
                <w:sz w:val="17"/>
                <w:szCs w:val="17"/>
              </w:rPr>
              <w:t>ed HR systems or operations across jurisdictions with varying labo</w:t>
            </w:r>
            <w:r w:rsidR="00F1783B">
              <w:rPr>
                <w:rFonts w:eastAsia="Verdana" w:cs="Verdana"/>
                <w:sz w:val="17"/>
                <w:szCs w:val="17"/>
              </w:rPr>
              <w:t>u</w:t>
            </w:r>
            <w:r w:rsidR="00F1783B" w:rsidRPr="00F1783B">
              <w:rPr>
                <w:rFonts w:eastAsia="Verdana" w:cs="Verdana"/>
                <w:sz w:val="17"/>
                <w:szCs w:val="17"/>
              </w:rPr>
              <w:t>r regulations.</w:t>
            </w:r>
            <w:r w:rsidR="00051C25" w:rsidRPr="00051C25">
              <w:t xml:space="preserve"> </w:t>
            </w:r>
          </w:p>
          <w:p w14:paraId="55E4BE2B" w14:textId="536D5278" w:rsidR="00C0173D" w:rsidRPr="00FF5B8C" w:rsidRDefault="00AF4B8D" w:rsidP="00307DD4">
            <w:pPr>
              <w:spacing w:before="120" w:after="120" w:line="276" w:lineRule="auto"/>
              <w:rPr>
                <w:rFonts w:eastAsia="Verdana" w:cs="Verdana"/>
                <w:sz w:val="17"/>
                <w:szCs w:val="17"/>
              </w:rPr>
            </w:pPr>
            <w:r w:rsidRPr="00AF4B8D">
              <w:rPr>
                <w:rFonts w:eastAsia="Verdana" w:cs="Verdana"/>
                <w:sz w:val="17"/>
                <w:szCs w:val="17"/>
              </w:rPr>
              <w:t>Finally, we suggest reviewing and streamlining the wording of the standard—especially in §§5, 9, 11, 19, and 21—to eliminate redundancies and reduce the interpretative</w:t>
            </w:r>
            <w:r w:rsidR="00FC1945" w:rsidRPr="00FC1945">
              <w:rPr>
                <w:rFonts w:eastAsia="Verdana" w:cs="Verdana"/>
                <w:sz w:val="17"/>
                <w:szCs w:val="17"/>
              </w:rPr>
              <w:t xml:space="preserve"> burden.</w:t>
            </w:r>
          </w:p>
        </w:tc>
      </w:tr>
    </w:tbl>
    <w:p w14:paraId="48C4BEAE" w14:textId="77777777" w:rsidR="001014D7" w:rsidRDefault="001014D7" w:rsidP="005F5CCF">
      <w:pPr>
        <w:spacing w:after="200" w:line="276" w:lineRule="auto"/>
        <w:rPr>
          <w:sz w:val="17"/>
          <w:szCs w:val="17"/>
        </w:rPr>
      </w:pPr>
    </w:p>
    <w:tbl>
      <w:tblPr>
        <w:tblStyle w:val="Mriekatabuky"/>
        <w:tblW w:w="0" w:type="auto"/>
        <w:tblLook w:val="04A0" w:firstRow="1" w:lastRow="0" w:firstColumn="1" w:lastColumn="0" w:noHBand="0" w:noVBand="1"/>
      </w:tblPr>
      <w:tblGrid>
        <w:gridCol w:w="9572"/>
      </w:tblGrid>
      <w:tr w:rsidR="001014D7" w14:paraId="7C02464A" w14:textId="77777777">
        <w:tc>
          <w:tcPr>
            <w:tcW w:w="9572" w:type="dxa"/>
            <w:shd w:val="clear" w:color="auto" w:fill="595959" w:themeFill="text1" w:themeFillTint="A6"/>
          </w:tcPr>
          <w:p w14:paraId="2166B389" w14:textId="7FD5C9CC" w:rsidR="001014D7" w:rsidRPr="00F92E2F" w:rsidRDefault="001014D7">
            <w:pPr>
              <w:spacing w:line="276" w:lineRule="auto"/>
              <w:rPr>
                <w:b/>
                <w:bCs/>
                <w:color w:val="FFFFFF" w:themeColor="background1"/>
                <w:sz w:val="17"/>
                <w:szCs w:val="17"/>
              </w:rPr>
            </w:pPr>
            <w:r w:rsidRPr="00F92E2F">
              <w:rPr>
                <w:b/>
                <w:bCs/>
                <w:color w:val="FFFFFF" w:themeColor="background1"/>
                <w:sz w:val="17"/>
                <w:szCs w:val="17"/>
              </w:rPr>
              <w:t xml:space="preserve">Question </w:t>
            </w:r>
            <w:r w:rsidR="005C3F4E">
              <w:rPr>
                <w:b/>
                <w:bCs/>
                <w:color w:val="FFFFFF" w:themeColor="background1"/>
                <w:sz w:val="17"/>
                <w:szCs w:val="17"/>
              </w:rPr>
              <w:t>2</w:t>
            </w:r>
            <w:r w:rsidR="00B34559">
              <w:rPr>
                <w:b/>
                <w:bCs/>
                <w:color w:val="FFFFFF" w:themeColor="background1"/>
                <w:sz w:val="17"/>
                <w:szCs w:val="17"/>
              </w:rPr>
              <w:t>8</w:t>
            </w:r>
            <w:r w:rsidR="00396F37">
              <w:rPr>
                <w:b/>
                <w:bCs/>
                <w:color w:val="FFFFFF" w:themeColor="background1"/>
                <w:sz w:val="17"/>
                <w:szCs w:val="17"/>
              </w:rPr>
              <w:t xml:space="preserve"> on </w:t>
            </w:r>
            <w:r w:rsidR="00396F37" w:rsidRPr="00396F37">
              <w:rPr>
                <w:b/>
                <w:bCs/>
                <w:color w:val="FFFFFF" w:themeColor="background1"/>
                <w:sz w:val="17"/>
                <w:szCs w:val="17"/>
              </w:rPr>
              <w:t>ESRS S1: Calculation approach to adequate wages outside the European Union (EU)</w:t>
            </w:r>
          </w:p>
        </w:tc>
      </w:tr>
      <w:tr w:rsidR="001014D7" w14:paraId="45FFA9DB" w14:textId="77777777">
        <w:tc>
          <w:tcPr>
            <w:tcW w:w="9572" w:type="dxa"/>
          </w:tcPr>
          <w:p w14:paraId="7E4F7592" w14:textId="584F8D6D" w:rsidR="001014D7" w:rsidRDefault="001014D7">
            <w:pPr>
              <w:spacing w:line="276" w:lineRule="auto"/>
              <w:rPr>
                <w:sz w:val="17"/>
                <w:szCs w:val="17"/>
              </w:rPr>
            </w:pPr>
            <w:r w:rsidRPr="00FF5136">
              <w:rPr>
                <w:b/>
                <w:bCs/>
                <w:sz w:val="17"/>
                <w:szCs w:val="17"/>
              </w:rPr>
              <w:lastRenderedPageBreak/>
              <w:t>Summary of changes</w:t>
            </w:r>
            <w:r>
              <w:rPr>
                <w:sz w:val="17"/>
                <w:szCs w:val="17"/>
              </w:rPr>
              <w:t xml:space="preserve">: </w:t>
            </w:r>
          </w:p>
          <w:p w14:paraId="30CF857F" w14:textId="77777777" w:rsidR="002E5935" w:rsidRDefault="002E5935" w:rsidP="00A025AF">
            <w:pPr>
              <w:spacing w:before="120" w:line="276" w:lineRule="auto"/>
              <w:rPr>
                <w:sz w:val="17"/>
                <w:szCs w:val="17"/>
              </w:rPr>
            </w:pPr>
            <w:r w:rsidRPr="002E5935">
              <w:rPr>
                <w:sz w:val="17"/>
                <w:szCs w:val="17"/>
              </w:rPr>
              <w:t>The Amended ESRS S1 reflects an amended methodology for the calculation of non-EU adequate wages set out in the Application Requirements (ESRS S1 AR 22). This change draws on language from different parts of the agreement on the issue of wage policies, including living wages, adopted by the ILO Governing Body in 2024, after the ESRS Delegated Act was adopted. A minority of EFRAG SRB members flagged three interrelated concerns: (1) the reference to wage-setting principles risks disclosures of minimum wages that fall well-below an adequate wage standard, (2) the hierarchy requires companies to only assess relevant living wage data sets as a last resort, and (3) the DR/AR does not require companies to disclose which prong of the methodology is used, which leads to lack of comparability.</w:t>
            </w:r>
          </w:p>
          <w:p w14:paraId="495E696F" w14:textId="36899148" w:rsidR="001014D7" w:rsidRPr="00F21217" w:rsidRDefault="002E5935" w:rsidP="00C87D31">
            <w:pPr>
              <w:spacing w:after="120" w:line="276" w:lineRule="auto"/>
              <w:rPr>
                <w:sz w:val="17"/>
                <w:szCs w:val="17"/>
              </w:rPr>
            </w:pPr>
            <w:r w:rsidRPr="002E5935">
              <w:rPr>
                <w:sz w:val="17"/>
                <w:szCs w:val="17"/>
              </w:rPr>
              <w:t xml:space="preserve">In consideration of the complexity of this issue, EFRAG is running a targeted field test and is interested in involving a diversified sample of companies. This entails participating in dedicated working sessions with EFRAG Secretariat where the company is expected to present how the revised methodology is feasible and relevant in practice (refer to the non-EU hierarchy described in ESRS S1 paragraph AR 22 (b) i) to iii) to ensure transparency and comparability on this issue. A dedicated questionnaire will be sent directly to the companies participating in the test to allow for their preparation. The working sessions will take place between 8 and 26 September. To confirm your interest in participating to the field test on Adequate Wage please send an email to </w:t>
            </w:r>
            <w:hyperlink r:id="rId17" w:history="1">
              <w:r w:rsidR="008B057C" w:rsidRPr="00CF6144">
                <w:rPr>
                  <w:rStyle w:val="Hypertextovprepojenie"/>
                  <w:sz w:val="17"/>
                  <w:szCs w:val="17"/>
                </w:rPr>
                <w:t>fieldtestadeqwages@efrag.org</w:t>
              </w:r>
            </w:hyperlink>
            <w:r w:rsidR="008B057C">
              <w:rPr>
                <w:sz w:val="17"/>
                <w:szCs w:val="17"/>
              </w:rPr>
              <w:t xml:space="preserve"> </w:t>
            </w:r>
            <w:r w:rsidRPr="002E5935">
              <w:rPr>
                <w:sz w:val="17"/>
                <w:szCs w:val="17"/>
              </w:rPr>
              <w:t>by August 18, 2025.</w:t>
            </w:r>
          </w:p>
        </w:tc>
      </w:tr>
      <w:tr w:rsidR="001014D7" w14:paraId="0DC4142C" w14:textId="77777777">
        <w:tc>
          <w:tcPr>
            <w:tcW w:w="9572" w:type="dxa"/>
          </w:tcPr>
          <w:p w14:paraId="72DC9DC5" w14:textId="39A2E281" w:rsidR="001014D7" w:rsidRPr="002E5935" w:rsidRDefault="001014D7" w:rsidP="002E5935">
            <w:pPr>
              <w:spacing w:line="276" w:lineRule="auto"/>
              <w:rPr>
                <w:sz w:val="17"/>
                <w:szCs w:val="17"/>
              </w:rPr>
            </w:pPr>
            <w:r w:rsidRPr="00FF5136">
              <w:rPr>
                <w:b/>
                <w:bCs/>
                <w:sz w:val="17"/>
                <w:szCs w:val="17"/>
              </w:rPr>
              <w:t>Question</w:t>
            </w:r>
            <w:r>
              <w:rPr>
                <w:sz w:val="17"/>
                <w:szCs w:val="17"/>
              </w:rPr>
              <w:t xml:space="preserve">: </w:t>
            </w:r>
            <w:r w:rsidR="002E5935" w:rsidRPr="002E5935">
              <w:rPr>
                <w:sz w:val="17"/>
                <w:szCs w:val="17"/>
              </w:rPr>
              <w:t>Do you agree with the proposed change to the methodology for the calculation of non-EU adequate wages in ESRS S1?</w:t>
            </w:r>
          </w:p>
          <w:p w14:paraId="149D79A4" w14:textId="624812B5" w:rsidR="0012387F" w:rsidRDefault="0012387F" w:rsidP="0012387F">
            <w:pPr>
              <w:spacing w:line="276" w:lineRule="auto"/>
              <w:rPr>
                <w:sz w:val="17"/>
                <w:szCs w:val="17"/>
              </w:rPr>
            </w:pPr>
            <w:r>
              <w:rPr>
                <w:sz w:val="17"/>
                <w:szCs w:val="17"/>
              </w:rPr>
              <w:t>[</w:t>
            </w:r>
            <w:r w:rsidRPr="06D2E812">
              <w:rPr>
                <w:sz w:val="17"/>
                <w:szCs w:val="17"/>
              </w:rPr>
              <w:t xml:space="preserve">agree, </w:t>
            </w:r>
            <w:r w:rsidRPr="002A38B7">
              <w:rPr>
                <w:sz w:val="17"/>
                <w:szCs w:val="17"/>
                <w:highlight w:val="yellow"/>
              </w:rPr>
              <w:t xml:space="preserve">partially agree, </w:t>
            </w:r>
            <w:r w:rsidRPr="06D2E812">
              <w:rPr>
                <w:sz w:val="17"/>
                <w:szCs w:val="17"/>
              </w:rPr>
              <w:t>disagree</w:t>
            </w:r>
            <w:r>
              <w:rPr>
                <w:sz w:val="17"/>
                <w:szCs w:val="17"/>
              </w:rPr>
              <w:t>].</w:t>
            </w:r>
          </w:p>
          <w:p w14:paraId="0B0277AF" w14:textId="77777777" w:rsidR="0012387F" w:rsidRDefault="0012387F">
            <w:pPr>
              <w:spacing w:line="276" w:lineRule="auto"/>
              <w:rPr>
                <w:sz w:val="17"/>
                <w:szCs w:val="17"/>
              </w:rPr>
            </w:pPr>
          </w:p>
          <w:p w14:paraId="48594C45" w14:textId="77777777" w:rsidR="007E6275" w:rsidRDefault="003E494B" w:rsidP="007E6275">
            <w:pPr>
              <w:spacing w:line="276" w:lineRule="auto"/>
              <w:rPr>
                <w:sz w:val="17"/>
                <w:szCs w:val="17"/>
              </w:rPr>
            </w:pPr>
            <w:r w:rsidRPr="002B6C33">
              <w:rPr>
                <w:b/>
                <w:bCs/>
                <w:sz w:val="17"/>
                <w:szCs w:val="17"/>
              </w:rPr>
              <w:t>Insurance Europe response</w:t>
            </w:r>
            <w:r w:rsidR="007E6275">
              <w:rPr>
                <w:sz w:val="17"/>
                <w:szCs w:val="17"/>
              </w:rPr>
              <w:t>:</w:t>
            </w:r>
          </w:p>
          <w:p w14:paraId="66B79777" w14:textId="1012ADD9" w:rsidR="00F12577" w:rsidRPr="00F12577" w:rsidRDefault="00F12577" w:rsidP="00F12577">
            <w:pPr>
              <w:spacing w:before="120" w:line="276" w:lineRule="auto"/>
              <w:rPr>
                <w:rFonts w:eastAsia="Verdana" w:cs="Verdana"/>
                <w:sz w:val="17"/>
                <w:szCs w:val="17"/>
              </w:rPr>
            </w:pPr>
            <w:r w:rsidRPr="00F12577">
              <w:rPr>
                <w:rFonts w:eastAsia="Verdana" w:cs="Verdana"/>
                <w:sz w:val="17"/>
                <w:szCs w:val="17"/>
              </w:rPr>
              <w:t xml:space="preserve">We support the objective of promoting fair and transparent wage </w:t>
            </w:r>
            <w:r w:rsidR="008906FF" w:rsidRPr="00F12577">
              <w:rPr>
                <w:rFonts w:eastAsia="Verdana" w:cs="Verdana"/>
                <w:sz w:val="17"/>
                <w:szCs w:val="17"/>
              </w:rPr>
              <w:t>practices and</w:t>
            </w:r>
            <w:r w:rsidRPr="00F12577">
              <w:rPr>
                <w:rFonts w:eastAsia="Verdana" w:cs="Verdana"/>
                <w:sz w:val="17"/>
                <w:szCs w:val="17"/>
              </w:rPr>
              <w:t xml:space="preserve"> welcome the reference to international frameworks. The amended methodology for calculating non-EU adequate wages under ESRS S1 AR 22 introduces a more structured approach that recognises jurisdictional wage-setting mechanisms, while also aligning with global expectations on living wages.</w:t>
            </w:r>
          </w:p>
          <w:p w14:paraId="58491676" w14:textId="77777777" w:rsidR="008C1DA9" w:rsidRDefault="008C1DA9" w:rsidP="00B2559A">
            <w:pPr>
              <w:spacing w:before="120" w:line="276" w:lineRule="auto"/>
              <w:rPr>
                <w:rFonts w:eastAsia="Verdana" w:cs="Verdana"/>
                <w:sz w:val="17"/>
                <w:szCs w:val="17"/>
              </w:rPr>
            </w:pPr>
            <w:r w:rsidRPr="008C1DA9">
              <w:rPr>
                <w:rFonts w:eastAsia="Verdana" w:cs="Verdana"/>
                <w:sz w:val="17"/>
                <w:szCs w:val="17"/>
              </w:rPr>
              <w:t>However, we have concerns about the practical implementation and comparability of the proposed hierarchy. In particular, the absence of a requirement to disclose which prong of the methodology is applied may result in inconsistent and non-comparable disclosures across undertakings. Moreover, positioning living wage data as a fallback, rather than a primary benchmark, may reduce the relevance of disclosures in jurisdictions where statutory wages fall below adequacy thresholds.</w:t>
            </w:r>
            <w:r>
              <w:rPr>
                <w:rFonts w:eastAsia="Verdana" w:cs="Verdana"/>
                <w:sz w:val="17"/>
                <w:szCs w:val="17"/>
              </w:rPr>
              <w:t xml:space="preserve"> </w:t>
            </w:r>
          </w:p>
          <w:p w14:paraId="3668CFBC" w14:textId="77777777" w:rsidR="00756C47" w:rsidRPr="00756C47" w:rsidRDefault="00756C47" w:rsidP="00756C47">
            <w:pPr>
              <w:spacing w:before="120" w:line="276" w:lineRule="auto"/>
              <w:rPr>
                <w:rFonts w:eastAsia="Verdana" w:cs="Verdana"/>
                <w:sz w:val="17"/>
                <w:szCs w:val="17"/>
              </w:rPr>
            </w:pPr>
            <w:r w:rsidRPr="00756C47">
              <w:rPr>
                <w:rFonts w:eastAsia="Verdana" w:cs="Verdana"/>
                <w:sz w:val="17"/>
                <w:szCs w:val="17"/>
              </w:rPr>
              <w:t>Pending the outcome of the ongoing field test, we also recommend that the requirement to disclose non-EU adequate wages be made voluntary or phased in. This would allow time to ensure feasibility, promote consistency, and avoid misleading disclosures based on minimum wage data alone.</w:t>
            </w:r>
          </w:p>
          <w:p w14:paraId="7C240AED" w14:textId="4970636E" w:rsidR="00174F39" w:rsidRPr="00756C47" w:rsidRDefault="00756C47" w:rsidP="00B2559A">
            <w:pPr>
              <w:spacing w:before="120" w:line="276" w:lineRule="auto"/>
              <w:rPr>
                <w:rFonts w:eastAsia="Verdana" w:cs="Verdana"/>
                <w:sz w:val="17"/>
                <w:szCs w:val="17"/>
              </w:rPr>
            </w:pPr>
            <w:r w:rsidRPr="00756C47">
              <w:rPr>
                <w:rFonts w:eastAsia="Verdana" w:cs="Verdana"/>
                <w:sz w:val="17"/>
                <w:szCs w:val="17"/>
              </w:rPr>
              <w:t>Finally, in line with our broader feedback on social disclosures, we reiterate the importance of reporting the gender pay gap on an adjusted basis, with a breakdown by employee category, to ensure the information is meaningful and comparable.</w:t>
            </w:r>
          </w:p>
        </w:tc>
      </w:tr>
    </w:tbl>
    <w:p w14:paraId="40308B8F" w14:textId="77777777" w:rsidR="001014D7" w:rsidRDefault="001014D7" w:rsidP="005F5CCF">
      <w:pPr>
        <w:spacing w:after="200" w:line="276" w:lineRule="auto"/>
        <w:rPr>
          <w:sz w:val="17"/>
          <w:szCs w:val="17"/>
        </w:rPr>
      </w:pPr>
    </w:p>
    <w:tbl>
      <w:tblPr>
        <w:tblStyle w:val="Mriekatabuky"/>
        <w:tblW w:w="0" w:type="auto"/>
        <w:tblLook w:val="04A0" w:firstRow="1" w:lastRow="0" w:firstColumn="1" w:lastColumn="0" w:noHBand="0" w:noVBand="1"/>
      </w:tblPr>
      <w:tblGrid>
        <w:gridCol w:w="9572"/>
      </w:tblGrid>
      <w:tr w:rsidR="001014D7" w14:paraId="30414778" w14:textId="77777777">
        <w:tc>
          <w:tcPr>
            <w:tcW w:w="9572" w:type="dxa"/>
            <w:shd w:val="clear" w:color="auto" w:fill="595959" w:themeFill="text1" w:themeFillTint="A6"/>
          </w:tcPr>
          <w:p w14:paraId="5687BBED" w14:textId="1DCCFEBE" w:rsidR="001014D7" w:rsidRPr="00F92E2F" w:rsidRDefault="001014D7">
            <w:pPr>
              <w:spacing w:line="276" w:lineRule="auto"/>
              <w:rPr>
                <w:b/>
                <w:bCs/>
                <w:color w:val="FFFFFF" w:themeColor="background1"/>
                <w:sz w:val="17"/>
                <w:szCs w:val="17"/>
              </w:rPr>
            </w:pPr>
            <w:r w:rsidRPr="00F92E2F">
              <w:rPr>
                <w:b/>
                <w:bCs/>
                <w:color w:val="FFFFFF" w:themeColor="background1"/>
                <w:sz w:val="17"/>
                <w:szCs w:val="17"/>
              </w:rPr>
              <w:t xml:space="preserve">Question </w:t>
            </w:r>
            <w:r w:rsidR="005C3F4E">
              <w:rPr>
                <w:b/>
                <w:bCs/>
                <w:color w:val="FFFFFF" w:themeColor="background1"/>
                <w:sz w:val="17"/>
                <w:szCs w:val="17"/>
              </w:rPr>
              <w:t>2</w:t>
            </w:r>
            <w:r w:rsidR="00B34559">
              <w:rPr>
                <w:b/>
                <w:bCs/>
                <w:color w:val="FFFFFF" w:themeColor="background1"/>
                <w:sz w:val="17"/>
                <w:szCs w:val="17"/>
              </w:rPr>
              <w:t>9</w:t>
            </w:r>
            <w:r w:rsidR="002E5935">
              <w:rPr>
                <w:b/>
                <w:bCs/>
                <w:color w:val="FFFFFF" w:themeColor="background1"/>
                <w:sz w:val="17"/>
                <w:szCs w:val="17"/>
              </w:rPr>
              <w:t xml:space="preserve"> on </w:t>
            </w:r>
            <w:r w:rsidR="002E5935" w:rsidRPr="002E5935">
              <w:rPr>
                <w:b/>
                <w:bCs/>
                <w:color w:val="FFFFFF" w:themeColor="background1"/>
                <w:sz w:val="17"/>
                <w:szCs w:val="17"/>
              </w:rPr>
              <w:t>SFDR and other EU datapoints in Appendix B of Amended ESRS 2</w:t>
            </w:r>
          </w:p>
        </w:tc>
      </w:tr>
      <w:tr w:rsidR="001014D7" w14:paraId="049C5D7D" w14:textId="77777777">
        <w:tc>
          <w:tcPr>
            <w:tcW w:w="9572" w:type="dxa"/>
          </w:tcPr>
          <w:p w14:paraId="535F8E4D" w14:textId="78736DFB" w:rsidR="001014D7" w:rsidRDefault="001014D7">
            <w:pPr>
              <w:spacing w:line="276" w:lineRule="auto"/>
              <w:rPr>
                <w:sz w:val="17"/>
                <w:szCs w:val="17"/>
              </w:rPr>
            </w:pPr>
            <w:r w:rsidRPr="00FF5136">
              <w:rPr>
                <w:b/>
                <w:bCs/>
                <w:sz w:val="17"/>
                <w:szCs w:val="17"/>
              </w:rPr>
              <w:t>Summary of changes</w:t>
            </w:r>
            <w:r>
              <w:rPr>
                <w:sz w:val="17"/>
                <w:szCs w:val="17"/>
              </w:rPr>
              <w:t xml:space="preserve">: </w:t>
            </w:r>
          </w:p>
          <w:p w14:paraId="39F5A818" w14:textId="6EE8241E" w:rsidR="002E3729" w:rsidRDefault="002E3729" w:rsidP="007E1F83">
            <w:pPr>
              <w:spacing w:before="120" w:line="276" w:lineRule="auto"/>
              <w:rPr>
                <w:sz w:val="17"/>
                <w:szCs w:val="17"/>
              </w:rPr>
            </w:pPr>
            <w:r w:rsidRPr="002E3729">
              <w:rPr>
                <w:sz w:val="17"/>
                <w:szCs w:val="17"/>
              </w:rPr>
              <w:t xml:space="preserve">The Omnibus proposals have not changed the general objective of supporting the creation of the data infrastructure necessary for implementing the Sustainable Finance Disclosure Regulation (SFDR). Input from investors confirms the need to implement the correct flow of information from their investee. </w:t>
            </w:r>
            <w:r w:rsidR="005C5628" w:rsidRPr="002E3729">
              <w:rPr>
                <w:sz w:val="17"/>
                <w:szCs w:val="17"/>
              </w:rPr>
              <w:t>However,</w:t>
            </w:r>
            <w:r w:rsidRPr="002E3729">
              <w:rPr>
                <w:sz w:val="17"/>
                <w:szCs w:val="17"/>
              </w:rPr>
              <w:t xml:space="preserve"> evidence also suggests some of the Principal Adverse Indicators (PAI) are not considered relevant in practice. As part of the systematic review of the datapoints for their reduction, EFRAG has assessed the relevance of the SFDR PAIs, as well as the level of coverage of them resulting from the general datapoint reduction.</w:t>
            </w:r>
            <w:r w:rsidRPr="002E3729">
              <w:rPr>
                <w:sz w:val="17"/>
                <w:szCs w:val="17"/>
              </w:rPr>
              <w:br/>
              <w:t>Appendix 4 of the Basis for Conclusions (BfC) illustrates how the EU datapoints in Appendix B of ESRS 2 (now Appendix A of Amended ESRS 2) have been modified.</w:t>
            </w:r>
          </w:p>
          <w:p w14:paraId="4BA8FDA1" w14:textId="4296E03E" w:rsidR="002E3729" w:rsidRDefault="002E3729" w:rsidP="007E1F83">
            <w:pPr>
              <w:spacing w:before="120" w:line="276" w:lineRule="auto"/>
              <w:rPr>
                <w:sz w:val="17"/>
                <w:szCs w:val="17"/>
              </w:rPr>
            </w:pPr>
            <w:r w:rsidRPr="002E3729">
              <w:rPr>
                <w:sz w:val="17"/>
                <w:szCs w:val="17"/>
              </w:rPr>
              <w:t>The key changes for Environmental standards (ESRS E1-E5) are: </w:t>
            </w:r>
          </w:p>
          <w:p w14:paraId="510BF396" w14:textId="77777777" w:rsidR="007E1F83" w:rsidRDefault="002E3729" w:rsidP="00A14BA6">
            <w:pPr>
              <w:pStyle w:val="Odsekzoznamu"/>
              <w:numPr>
                <w:ilvl w:val="0"/>
                <w:numId w:val="9"/>
              </w:numPr>
              <w:spacing w:line="276" w:lineRule="auto"/>
              <w:rPr>
                <w:sz w:val="17"/>
                <w:szCs w:val="17"/>
              </w:rPr>
            </w:pPr>
            <w:r w:rsidRPr="007E1F83">
              <w:rPr>
                <w:sz w:val="17"/>
                <w:szCs w:val="17"/>
              </w:rPr>
              <w:lastRenderedPageBreak/>
              <w:t>8 SFDR PAI sensitive DPs have been deleted but they were either overlapping with other DPs or can be derived from other information (E1-5, para.38, 40-43; E1-6 para44, 53-55; E3-1, para 14; E3-4, para 29; E5-5 para 37 (d) and 39)</w:t>
            </w:r>
          </w:p>
          <w:p w14:paraId="33214924" w14:textId="0EFE68ED" w:rsidR="002E3729" w:rsidRPr="007E1F83" w:rsidRDefault="002E3729" w:rsidP="00A14BA6">
            <w:pPr>
              <w:pStyle w:val="Odsekzoznamu"/>
              <w:numPr>
                <w:ilvl w:val="0"/>
                <w:numId w:val="9"/>
              </w:numPr>
              <w:spacing w:line="276" w:lineRule="auto"/>
              <w:rPr>
                <w:sz w:val="17"/>
                <w:szCs w:val="17"/>
              </w:rPr>
            </w:pPr>
            <w:r w:rsidRPr="007E1F83">
              <w:rPr>
                <w:sz w:val="17"/>
                <w:szCs w:val="17"/>
              </w:rPr>
              <w:t>1 SFDR PAI sensitive DPs in Appendix B (indicator number 12 Table #2 of Annex) was removed, following EFRAG’s approach of reducing the content provisions related to PAT under topical standards. This refers to the topic of marine resources, which is not in scope of ESRS E3.</w:t>
            </w:r>
          </w:p>
          <w:p w14:paraId="621301E1" w14:textId="493648E2" w:rsidR="002E3729" w:rsidRDefault="002E3729" w:rsidP="007E1F83">
            <w:pPr>
              <w:spacing w:before="120" w:line="276" w:lineRule="auto"/>
              <w:rPr>
                <w:sz w:val="17"/>
                <w:szCs w:val="17"/>
              </w:rPr>
            </w:pPr>
            <w:r w:rsidRPr="002E3729">
              <w:rPr>
                <w:sz w:val="17"/>
                <w:szCs w:val="17"/>
              </w:rPr>
              <w:t xml:space="preserve">The key changes for </w:t>
            </w:r>
            <w:r w:rsidR="005C5628" w:rsidRPr="002E3729">
              <w:rPr>
                <w:sz w:val="17"/>
                <w:szCs w:val="17"/>
              </w:rPr>
              <w:t>social</w:t>
            </w:r>
            <w:r w:rsidRPr="002E3729">
              <w:rPr>
                <w:sz w:val="17"/>
                <w:szCs w:val="17"/>
              </w:rPr>
              <w:t xml:space="preserve"> standards (ESRS S1-S4) are: </w:t>
            </w:r>
          </w:p>
          <w:p w14:paraId="339A03A4" w14:textId="2C220FA5" w:rsidR="007E1F83" w:rsidRDefault="007E1F83" w:rsidP="00A14BA6">
            <w:pPr>
              <w:pStyle w:val="Odsekzoznamu"/>
              <w:numPr>
                <w:ilvl w:val="0"/>
                <w:numId w:val="10"/>
              </w:numPr>
              <w:spacing w:line="276" w:lineRule="auto"/>
              <w:rPr>
                <w:sz w:val="17"/>
                <w:szCs w:val="17"/>
              </w:rPr>
            </w:pPr>
            <w:r w:rsidRPr="007E1F83">
              <w:rPr>
                <w:sz w:val="17"/>
                <w:szCs w:val="17"/>
              </w:rPr>
              <w:t>T</w:t>
            </w:r>
            <w:r w:rsidR="002E3729" w:rsidRPr="007E1F83">
              <w:rPr>
                <w:sz w:val="17"/>
                <w:szCs w:val="17"/>
              </w:rPr>
              <w:t>his was a consolidation exercise. Firstly, for the policies related to human rights and for the alignment with UNGP and OECD MNE Guidelines (two SFDR PAI number 9 Table #3 and Indicator number 11 Table #1 of Annex 1), eight datapoints from the four Social standards have been merged into a “human rights policy” in ESRS 2 GDPR-P, for the four affected stakeholder groups. Secondly, the indicator in relation to severe human rights cases (SFDR PAI number 14 of Table #3 and number 10 of Table #1 of Annex 1) have been merged into one and it is maintained across the four Social standards.</w:t>
            </w:r>
          </w:p>
          <w:p w14:paraId="254A4A92" w14:textId="7724524A" w:rsidR="002E3729" w:rsidRPr="007E1F83" w:rsidRDefault="007E1F83" w:rsidP="00A14BA6">
            <w:pPr>
              <w:pStyle w:val="Odsekzoznamu"/>
              <w:numPr>
                <w:ilvl w:val="0"/>
                <w:numId w:val="10"/>
              </w:numPr>
              <w:spacing w:line="276" w:lineRule="auto"/>
              <w:rPr>
                <w:sz w:val="17"/>
                <w:szCs w:val="17"/>
              </w:rPr>
            </w:pPr>
            <w:r>
              <w:rPr>
                <w:sz w:val="17"/>
                <w:szCs w:val="17"/>
              </w:rPr>
              <w:t>A</w:t>
            </w:r>
            <w:r w:rsidR="002E3729" w:rsidRPr="007E1F83">
              <w:rPr>
                <w:sz w:val="17"/>
                <w:szCs w:val="17"/>
              </w:rPr>
              <w:t xml:space="preserve"> small number of amendments on the scope has taken place for SFDR PAI Indicator 3 of Table #3 in relation to days lost. Fatalities (ESRS S1-13) has been deleted from its scope. The scope of revised human rights incidents datapoint (ESRS S1-16, S2-3, S3-3, S4-3) is now clarified.</w:t>
            </w:r>
          </w:p>
          <w:p w14:paraId="427C5DDC" w14:textId="77777777" w:rsidR="002E3729" w:rsidRDefault="002E3729" w:rsidP="007E1F83">
            <w:pPr>
              <w:spacing w:before="120" w:line="276" w:lineRule="auto"/>
              <w:rPr>
                <w:sz w:val="17"/>
                <w:szCs w:val="17"/>
              </w:rPr>
            </w:pPr>
            <w:r w:rsidRPr="002E3729">
              <w:rPr>
                <w:sz w:val="17"/>
                <w:szCs w:val="17"/>
              </w:rPr>
              <w:t>There were no changes in the ESRS G1.</w:t>
            </w:r>
          </w:p>
          <w:p w14:paraId="13E2F34C" w14:textId="53BEDA4D" w:rsidR="002E3729" w:rsidRPr="00F21217" w:rsidRDefault="002E3729" w:rsidP="007E1F83">
            <w:pPr>
              <w:spacing w:before="120" w:after="120" w:line="276" w:lineRule="auto"/>
              <w:rPr>
                <w:sz w:val="17"/>
                <w:szCs w:val="17"/>
              </w:rPr>
            </w:pPr>
            <w:r w:rsidRPr="002E3729">
              <w:rPr>
                <w:sz w:val="17"/>
                <w:szCs w:val="17"/>
              </w:rPr>
              <w:t>In conclusion, despite the general significant reduction in DPs, the coverage of SFDR PAI has been only marginally reduced and thanks to a limited number of amendments, the relevance of the corresponding information is increased.</w:t>
            </w:r>
          </w:p>
        </w:tc>
      </w:tr>
      <w:tr w:rsidR="001014D7" w14:paraId="14475B06" w14:textId="77777777">
        <w:tc>
          <w:tcPr>
            <w:tcW w:w="9572" w:type="dxa"/>
          </w:tcPr>
          <w:p w14:paraId="6E861209" w14:textId="70EB4B09" w:rsidR="001014D7" w:rsidRPr="00797A68" w:rsidRDefault="001014D7">
            <w:pPr>
              <w:spacing w:line="276" w:lineRule="auto"/>
              <w:rPr>
                <w:sz w:val="17"/>
                <w:szCs w:val="17"/>
              </w:rPr>
            </w:pPr>
            <w:r w:rsidRPr="00FF5136">
              <w:rPr>
                <w:b/>
                <w:bCs/>
                <w:sz w:val="17"/>
                <w:szCs w:val="17"/>
              </w:rPr>
              <w:lastRenderedPageBreak/>
              <w:t>Question</w:t>
            </w:r>
            <w:r>
              <w:rPr>
                <w:sz w:val="17"/>
                <w:szCs w:val="17"/>
              </w:rPr>
              <w:t xml:space="preserve">: </w:t>
            </w:r>
            <w:r w:rsidR="00797A68" w:rsidRPr="00797A68">
              <w:rPr>
                <w:sz w:val="17"/>
                <w:szCs w:val="17"/>
              </w:rPr>
              <w:t>Do you agree with the way the SFDR PAI have been incorporated in the Amended ESRS? You are invited to explain the reason why you agree or disagree and to provide your suggestions for improvements or alternative simplification proposals, if any.</w:t>
            </w:r>
          </w:p>
          <w:p w14:paraId="286EC6ED" w14:textId="26FF2735" w:rsidR="003A770A" w:rsidRDefault="003A770A" w:rsidP="003A770A">
            <w:pPr>
              <w:spacing w:line="276" w:lineRule="auto"/>
              <w:rPr>
                <w:sz w:val="17"/>
                <w:szCs w:val="17"/>
              </w:rPr>
            </w:pPr>
            <w:r>
              <w:rPr>
                <w:sz w:val="17"/>
                <w:szCs w:val="17"/>
              </w:rPr>
              <w:t>[</w:t>
            </w:r>
            <w:r w:rsidRPr="009B7E5A">
              <w:rPr>
                <w:sz w:val="17"/>
                <w:szCs w:val="17"/>
              </w:rPr>
              <w:t>agree</w:t>
            </w:r>
            <w:r w:rsidRPr="002A38B7">
              <w:rPr>
                <w:sz w:val="17"/>
                <w:szCs w:val="17"/>
                <w:highlight w:val="yellow"/>
              </w:rPr>
              <w:t xml:space="preserve">, </w:t>
            </w:r>
            <w:r w:rsidRPr="009B7E5A">
              <w:rPr>
                <w:sz w:val="17"/>
                <w:szCs w:val="17"/>
                <w:highlight w:val="yellow"/>
              </w:rPr>
              <w:t>partially agree,</w:t>
            </w:r>
            <w:r w:rsidRPr="06D2E812">
              <w:rPr>
                <w:sz w:val="17"/>
                <w:szCs w:val="17"/>
              </w:rPr>
              <w:t xml:space="preserve"> disagree</w:t>
            </w:r>
            <w:r>
              <w:rPr>
                <w:sz w:val="17"/>
                <w:szCs w:val="17"/>
              </w:rPr>
              <w:t>]</w:t>
            </w:r>
            <w:r w:rsidR="00D84A86">
              <w:rPr>
                <w:sz w:val="17"/>
                <w:szCs w:val="17"/>
              </w:rPr>
              <w:t>.</w:t>
            </w:r>
          </w:p>
          <w:p w14:paraId="3C90754C" w14:textId="178CCEFD" w:rsidR="003A770A" w:rsidRDefault="003A770A">
            <w:pPr>
              <w:spacing w:line="276" w:lineRule="auto"/>
              <w:rPr>
                <w:sz w:val="17"/>
                <w:szCs w:val="17"/>
              </w:rPr>
            </w:pPr>
          </w:p>
          <w:p w14:paraId="41FB333A" w14:textId="0149437E" w:rsidR="003F515A" w:rsidRPr="007E6275" w:rsidRDefault="003E494B" w:rsidP="00A35CC0">
            <w:pPr>
              <w:spacing w:line="276" w:lineRule="auto"/>
              <w:rPr>
                <w:sz w:val="17"/>
                <w:szCs w:val="17"/>
              </w:rPr>
            </w:pPr>
            <w:r w:rsidRPr="002B6C33">
              <w:rPr>
                <w:b/>
                <w:bCs/>
                <w:sz w:val="17"/>
                <w:szCs w:val="17"/>
              </w:rPr>
              <w:t>Insurance Europe response</w:t>
            </w:r>
            <w:r w:rsidR="007E6275">
              <w:rPr>
                <w:sz w:val="17"/>
                <w:szCs w:val="17"/>
              </w:rPr>
              <w:t>:</w:t>
            </w:r>
          </w:p>
          <w:p w14:paraId="4FDF296E" w14:textId="372384B4" w:rsidR="00530D14" w:rsidRPr="00530D14" w:rsidRDefault="00530D14" w:rsidP="00530D14">
            <w:pPr>
              <w:spacing w:before="120" w:line="276" w:lineRule="auto"/>
              <w:rPr>
                <w:sz w:val="17"/>
                <w:szCs w:val="17"/>
              </w:rPr>
            </w:pPr>
            <w:r w:rsidRPr="00530D14">
              <w:rPr>
                <w:sz w:val="17"/>
                <w:szCs w:val="17"/>
              </w:rPr>
              <w:t>We support the general objective of maintaining alignment between the ESRS and SFDR frameworks</w:t>
            </w:r>
            <w:r w:rsidR="001570F6">
              <w:rPr>
                <w:sz w:val="17"/>
                <w:szCs w:val="17"/>
              </w:rPr>
              <w:t>.</w:t>
            </w:r>
            <w:r w:rsidRPr="00530D14">
              <w:rPr>
                <w:sz w:val="17"/>
                <w:szCs w:val="17"/>
              </w:rPr>
              <w:t xml:space="preserve"> The continued incorporation of SFDR Principal Adverse Impacts (PAIs) into the ESRS is therefore essential to meet investor needs and regulatory consistency.</w:t>
            </w:r>
          </w:p>
          <w:p w14:paraId="3F454D28" w14:textId="1108E6B7" w:rsidR="00530D14" w:rsidRPr="00530D14" w:rsidRDefault="00530D14" w:rsidP="00530D14">
            <w:pPr>
              <w:spacing w:before="120" w:line="276" w:lineRule="auto"/>
              <w:rPr>
                <w:sz w:val="17"/>
                <w:szCs w:val="17"/>
              </w:rPr>
            </w:pPr>
            <w:r w:rsidRPr="00530D14">
              <w:rPr>
                <w:sz w:val="17"/>
                <w:szCs w:val="17"/>
              </w:rPr>
              <w:t>We welcome the careful review undertaken by EFRAG and acknowledge that several deletions or consolidations of SFDR-related datapoints were justified, particularly where information was duplicated, could be derived from other disclosures, or lacked material relevance.</w:t>
            </w:r>
          </w:p>
          <w:p w14:paraId="60ADDC75" w14:textId="7F705B6D" w:rsidR="00530D14" w:rsidRPr="00530D14" w:rsidRDefault="00530D14" w:rsidP="00530D14">
            <w:pPr>
              <w:spacing w:before="120" w:line="276" w:lineRule="auto"/>
              <w:rPr>
                <w:sz w:val="17"/>
                <w:szCs w:val="17"/>
              </w:rPr>
            </w:pPr>
            <w:r w:rsidRPr="00530D14">
              <w:rPr>
                <w:sz w:val="17"/>
                <w:szCs w:val="17"/>
              </w:rPr>
              <w:t xml:space="preserve">However, we note that the materiality of certain SFDR PAIs remains variable in practice, and the final set of retained datapoints may still include indicators that are not relevant for all undertakings. In this context, we reiterate our broader position that alignment with SFDR should not override the principle of materiality in sustainability reporting. The mere presence of an SFDR PAI should not automatically translate into a mandatory ESRS </w:t>
            </w:r>
            <w:r w:rsidR="00ED4F6E" w:rsidRPr="00530D14">
              <w:rPr>
                <w:sz w:val="17"/>
                <w:szCs w:val="17"/>
              </w:rPr>
              <w:t>datapoint</w:t>
            </w:r>
            <w:r w:rsidRPr="00530D14">
              <w:rPr>
                <w:sz w:val="17"/>
                <w:szCs w:val="17"/>
              </w:rPr>
              <w:t xml:space="preserve"> unless it is material to the undertaking.</w:t>
            </w:r>
          </w:p>
          <w:p w14:paraId="69E14A5A" w14:textId="3B63D284" w:rsidR="00C73B15" w:rsidRDefault="00530D14" w:rsidP="009522A2">
            <w:pPr>
              <w:spacing w:before="120" w:line="276" w:lineRule="auto"/>
              <w:rPr>
                <w:sz w:val="17"/>
                <w:szCs w:val="17"/>
              </w:rPr>
            </w:pPr>
            <w:r w:rsidRPr="00530D14">
              <w:rPr>
                <w:sz w:val="17"/>
                <w:szCs w:val="17"/>
              </w:rPr>
              <w:t>We also caution that several indicators, particularly in the environmental standards (E1–E5), may still require complex methodologies or granular data that could challenge reporting entities, particularly smaller or less mature companies. Where possible, implementation guidance should accompany the more technical PAIs to ensure clarity and consistency in application.</w:t>
            </w:r>
          </w:p>
          <w:p w14:paraId="7DBB44B2" w14:textId="476E6452" w:rsidR="00166FDA" w:rsidRPr="002B3938" w:rsidRDefault="00D36491" w:rsidP="009522A2">
            <w:pPr>
              <w:spacing w:before="120" w:line="276" w:lineRule="auto"/>
              <w:rPr>
                <w:sz w:val="17"/>
                <w:szCs w:val="17"/>
              </w:rPr>
            </w:pPr>
            <w:r w:rsidRPr="00D36491">
              <w:rPr>
                <w:sz w:val="17"/>
                <w:szCs w:val="17"/>
              </w:rPr>
              <w:t>Finally, it is important to take into account the forthcoming review of the SFDR, which may result in the removal of certain PAI indicators considered less relevant. If such indicators are no longer mandatory, this should be reflected in a streamlined set of corresponding ESRS datapoints for financial institutions. To ensure consistency over time, this could be achieved by establishing an explicit dynamic link between the ESRS and the SFDR PAIs, allowing the standards to evolve in line with future regulatory changes.</w:t>
            </w:r>
          </w:p>
        </w:tc>
      </w:tr>
    </w:tbl>
    <w:p w14:paraId="4B033EA9" w14:textId="77777777" w:rsidR="001014D7" w:rsidRDefault="001014D7" w:rsidP="005F5CCF">
      <w:pPr>
        <w:spacing w:after="200" w:line="276" w:lineRule="auto"/>
        <w:rPr>
          <w:sz w:val="17"/>
          <w:szCs w:val="17"/>
        </w:rPr>
      </w:pPr>
    </w:p>
    <w:tbl>
      <w:tblPr>
        <w:tblStyle w:val="Mriekatabuky"/>
        <w:tblW w:w="0" w:type="auto"/>
        <w:tblLook w:val="04A0" w:firstRow="1" w:lastRow="0" w:firstColumn="1" w:lastColumn="0" w:noHBand="0" w:noVBand="1"/>
      </w:tblPr>
      <w:tblGrid>
        <w:gridCol w:w="9572"/>
      </w:tblGrid>
      <w:tr w:rsidR="001014D7" w14:paraId="3F9E6770" w14:textId="77777777">
        <w:tc>
          <w:tcPr>
            <w:tcW w:w="9572" w:type="dxa"/>
            <w:shd w:val="clear" w:color="auto" w:fill="595959" w:themeFill="text1" w:themeFillTint="A6"/>
          </w:tcPr>
          <w:p w14:paraId="2B3F8A03" w14:textId="5A045166" w:rsidR="001014D7" w:rsidRPr="00F92E2F" w:rsidRDefault="001014D7">
            <w:pPr>
              <w:spacing w:line="276" w:lineRule="auto"/>
              <w:rPr>
                <w:b/>
                <w:bCs/>
                <w:color w:val="FFFFFF" w:themeColor="background1"/>
                <w:sz w:val="17"/>
                <w:szCs w:val="17"/>
              </w:rPr>
            </w:pPr>
            <w:r w:rsidRPr="00F92E2F">
              <w:rPr>
                <w:b/>
                <w:bCs/>
                <w:color w:val="FFFFFF" w:themeColor="background1"/>
                <w:sz w:val="17"/>
                <w:szCs w:val="17"/>
              </w:rPr>
              <w:t xml:space="preserve">Question </w:t>
            </w:r>
            <w:r w:rsidR="005C3F4E">
              <w:rPr>
                <w:b/>
                <w:bCs/>
                <w:color w:val="FFFFFF" w:themeColor="background1"/>
                <w:sz w:val="17"/>
                <w:szCs w:val="17"/>
              </w:rPr>
              <w:t>3</w:t>
            </w:r>
            <w:r w:rsidR="00B34559">
              <w:rPr>
                <w:b/>
                <w:bCs/>
                <w:color w:val="FFFFFF" w:themeColor="background1"/>
                <w:sz w:val="17"/>
                <w:szCs w:val="17"/>
              </w:rPr>
              <w:t>0</w:t>
            </w:r>
            <w:r w:rsidR="00797A68">
              <w:rPr>
                <w:b/>
                <w:bCs/>
                <w:color w:val="FFFFFF" w:themeColor="background1"/>
                <w:sz w:val="17"/>
                <w:szCs w:val="17"/>
              </w:rPr>
              <w:t xml:space="preserve"> on </w:t>
            </w:r>
            <w:r w:rsidR="00797A68" w:rsidRPr="00797A68">
              <w:rPr>
                <w:b/>
                <w:bCs/>
                <w:color w:val="FFFFFF" w:themeColor="background1"/>
                <w:sz w:val="17"/>
                <w:szCs w:val="17"/>
              </w:rPr>
              <w:t>ESRS E4 DR E4-4: Application requirement to guide undertakings in setting biodiversity- and ecosystems-related targe</w:t>
            </w:r>
            <w:r w:rsidR="00797A68">
              <w:rPr>
                <w:b/>
                <w:bCs/>
                <w:color w:val="FFFFFF" w:themeColor="background1"/>
                <w:sz w:val="17"/>
                <w:szCs w:val="17"/>
              </w:rPr>
              <w:t>ts</w:t>
            </w:r>
          </w:p>
        </w:tc>
      </w:tr>
      <w:tr w:rsidR="001014D7" w14:paraId="274A01F9" w14:textId="77777777">
        <w:tc>
          <w:tcPr>
            <w:tcW w:w="9572" w:type="dxa"/>
          </w:tcPr>
          <w:p w14:paraId="3AF2FF11" w14:textId="7F4F3782" w:rsidR="001014D7" w:rsidRDefault="001014D7">
            <w:pPr>
              <w:spacing w:line="276" w:lineRule="auto"/>
              <w:rPr>
                <w:sz w:val="17"/>
                <w:szCs w:val="17"/>
              </w:rPr>
            </w:pPr>
            <w:r w:rsidRPr="00FF5136">
              <w:rPr>
                <w:b/>
                <w:bCs/>
                <w:sz w:val="17"/>
                <w:szCs w:val="17"/>
              </w:rPr>
              <w:lastRenderedPageBreak/>
              <w:t>Summary of changes</w:t>
            </w:r>
            <w:r>
              <w:rPr>
                <w:sz w:val="17"/>
                <w:szCs w:val="17"/>
              </w:rPr>
              <w:t xml:space="preserve">: </w:t>
            </w:r>
          </w:p>
          <w:p w14:paraId="172FFEAD" w14:textId="0DE0EC78" w:rsidR="00797A68" w:rsidRPr="00F21217" w:rsidRDefault="00797A68" w:rsidP="00192CB7">
            <w:pPr>
              <w:spacing w:before="120" w:after="120" w:line="276" w:lineRule="auto"/>
              <w:rPr>
                <w:sz w:val="17"/>
                <w:szCs w:val="17"/>
              </w:rPr>
            </w:pPr>
            <w:r w:rsidRPr="00797A68">
              <w:rPr>
                <w:sz w:val="17"/>
                <w:szCs w:val="17"/>
              </w:rPr>
              <w:t>As part of the simplification process, E4-4 (targets) disclosure specifications and application requirements have been mostly removed. In this context, methodological guidance for companies to what biodiversity and ecosystems-related targets can cover would be helpful.  ESRS 1, E4 AR 26</w:t>
            </w:r>
            <w:r w:rsidR="00192CB7">
              <w:rPr>
                <w:sz w:val="17"/>
                <w:szCs w:val="17"/>
              </w:rPr>
              <w:t>,</w:t>
            </w:r>
            <w:r w:rsidRPr="00797A68">
              <w:rPr>
                <w:sz w:val="17"/>
                <w:szCs w:val="17"/>
              </w:rPr>
              <w:t xml:space="preserve"> outlines aspects that targets can address, including in relation to the size of areas protected or restored, the recreation of natural surfaces or the number of company sites whose ecological integrity has been approved. While this AR could be kept in the revised ESRS E4, some stakeholders highlighted that it could be further reviewed to better reflect latest trends in the evolving methodological landscape related to biodiversity and a stronger alignment with relevant content from science-based frameworks such as SBTN.</w:t>
            </w:r>
          </w:p>
        </w:tc>
      </w:tr>
      <w:tr w:rsidR="001014D7" w14:paraId="28514CB3" w14:textId="77777777">
        <w:tc>
          <w:tcPr>
            <w:tcW w:w="9572" w:type="dxa"/>
          </w:tcPr>
          <w:p w14:paraId="5EC2AB7D" w14:textId="1B4C6452" w:rsidR="001014D7" w:rsidRDefault="001014D7">
            <w:pPr>
              <w:spacing w:line="276" w:lineRule="auto"/>
              <w:rPr>
                <w:sz w:val="17"/>
                <w:szCs w:val="17"/>
              </w:rPr>
            </w:pPr>
            <w:r w:rsidRPr="00FF5136">
              <w:rPr>
                <w:b/>
                <w:bCs/>
                <w:sz w:val="17"/>
                <w:szCs w:val="17"/>
              </w:rPr>
              <w:t>Question</w:t>
            </w:r>
            <w:r>
              <w:rPr>
                <w:sz w:val="17"/>
                <w:szCs w:val="17"/>
              </w:rPr>
              <w:t xml:space="preserve">: </w:t>
            </w:r>
            <w:r w:rsidR="00797A68" w:rsidRPr="00797A68">
              <w:rPr>
                <w:sz w:val="17"/>
                <w:szCs w:val="17"/>
              </w:rPr>
              <w:t>Do you agree with the review of AR 26 in Amended ESRS E4?</w:t>
            </w:r>
          </w:p>
          <w:p w14:paraId="6D39CC4C" w14:textId="258FE0F7" w:rsidR="003A770A" w:rsidRDefault="003A770A" w:rsidP="003A770A">
            <w:pPr>
              <w:spacing w:line="276" w:lineRule="auto"/>
              <w:rPr>
                <w:sz w:val="17"/>
                <w:szCs w:val="17"/>
              </w:rPr>
            </w:pPr>
            <w:r>
              <w:rPr>
                <w:sz w:val="17"/>
                <w:szCs w:val="17"/>
              </w:rPr>
              <w:t>[</w:t>
            </w:r>
            <w:r w:rsidRPr="00A2413B">
              <w:rPr>
                <w:sz w:val="17"/>
                <w:szCs w:val="17"/>
              </w:rPr>
              <w:t xml:space="preserve">agree, </w:t>
            </w:r>
            <w:r w:rsidRPr="00A2413B">
              <w:rPr>
                <w:sz w:val="17"/>
                <w:szCs w:val="17"/>
                <w:highlight w:val="yellow"/>
              </w:rPr>
              <w:t>partially agree,</w:t>
            </w:r>
            <w:r w:rsidRPr="06D2E812">
              <w:rPr>
                <w:sz w:val="17"/>
                <w:szCs w:val="17"/>
              </w:rPr>
              <w:t xml:space="preserve"> disagree</w:t>
            </w:r>
            <w:r>
              <w:rPr>
                <w:sz w:val="17"/>
                <w:szCs w:val="17"/>
              </w:rPr>
              <w:t>].</w:t>
            </w:r>
          </w:p>
          <w:p w14:paraId="282CB834" w14:textId="77777777" w:rsidR="003A770A" w:rsidRDefault="003A770A">
            <w:pPr>
              <w:spacing w:line="276" w:lineRule="auto"/>
              <w:rPr>
                <w:sz w:val="17"/>
                <w:szCs w:val="17"/>
              </w:rPr>
            </w:pPr>
          </w:p>
          <w:p w14:paraId="56A36474" w14:textId="41DA798F" w:rsidR="00C73B15" w:rsidRPr="007E6275" w:rsidRDefault="003E494B" w:rsidP="00C73B15">
            <w:pPr>
              <w:spacing w:line="276" w:lineRule="auto"/>
              <w:rPr>
                <w:sz w:val="17"/>
                <w:szCs w:val="17"/>
              </w:rPr>
            </w:pPr>
            <w:r w:rsidRPr="002B6C33">
              <w:rPr>
                <w:b/>
                <w:bCs/>
                <w:sz w:val="17"/>
                <w:szCs w:val="17"/>
              </w:rPr>
              <w:t>Insurance Europe response</w:t>
            </w:r>
            <w:r w:rsidR="007E6275">
              <w:rPr>
                <w:sz w:val="17"/>
                <w:szCs w:val="17"/>
              </w:rPr>
              <w:t>:</w:t>
            </w:r>
          </w:p>
          <w:p w14:paraId="705DE890" w14:textId="2B61ED11" w:rsidR="00911A72" w:rsidRPr="00911A72" w:rsidRDefault="00911A72" w:rsidP="00911A72">
            <w:pPr>
              <w:spacing w:before="120" w:line="276" w:lineRule="auto"/>
              <w:rPr>
                <w:rFonts w:eastAsia="Verdana" w:cs="Verdana"/>
                <w:sz w:val="17"/>
                <w:szCs w:val="17"/>
              </w:rPr>
            </w:pPr>
            <w:r w:rsidRPr="00911A72">
              <w:rPr>
                <w:rFonts w:eastAsia="Verdana" w:cs="Verdana"/>
                <w:sz w:val="17"/>
                <w:szCs w:val="17"/>
              </w:rPr>
              <w:t>We support the review of AR 26 in Amended ESRS E4, insofar as it contributes to the overall simplification of the standard and maintains a degree of methodological guidance that can assist undertakings in defining relevant biodiversity and ecosystem-related targets.</w:t>
            </w:r>
          </w:p>
          <w:p w14:paraId="5DAFD95E" w14:textId="4EDBCB48" w:rsidR="00911A72" w:rsidRPr="00911A72" w:rsidRDefault="00911A72" w:rsidP="00911A72">
            <w:pPr>
              <w:spacing w:before="120" w:line="276" w:lineRule="auto"/>
              <w:rPr>
                <w:rFonts w:eastAsia="Verdana" w:cs="Verdana"/>
                <w:sz w:val="17"/>
                <w:szCs w:val="17"/>
              </w:rPr>
            </w:pPr>
            <w:r w:rsidRPr="00911A72">
              <w:rPr>
                <w:rFonts w:eastAsia="Verdana" w:cs="Verdana"/>
                <w:sz w:val="17"/>
                <w:szCs w:val="17"/>
              </w:rPr>
              <w:t xml:space="preserve">However, we recommend that EFRAG </w:t>
            </w:r>
            <w:r w:rsidR="006315F8">
              <w:rPr>
                <w:rFonts w:eastAsia="Verdana" w:cs="Verdana"/>
                <w:sz w:val="17"/>
                <w:szCs w:val="17"/>
              </w:rPr>
              <w:t>does not attempt to integrate immature methodologies</w:t>
            </w:r>
            <w:r w:rsidRPr="00911A72">
              <w:rPr>
                <w:rFonts w:eastAsia="Verdana" w:cs="Verdana"/>
                <w:sz w:val="17"/>
                <w:szCs w:val="17"/>
              </w:rPr>
              <w:t xml:space="preserve"> in the biodiversity reporting landscape</w:t>
            </w:r>
            <w:r w:rsidR="006315F8">
              <w:rPr>
                <w:rFonts w:eastAsia="Verdana" w:cs="Verdana"/>
                <w:sz w:val="17"/>
                <w:szCs w:val="17"/>
              </w:rPr>
              <w:t xml:space="preserve"> in the ESRS</w:t>
            </w:r>
            <w:r w:rsidRPr="00911A72">
              <w:rPr>
                <w:rFonts w:eastAsia="Verdana" w:cs="Verdana"/>
                <w:sz w:val="17"/>
                <w:szCs w:val="17"/>
              </w:rPr>
              <w:t xml:space="preserve">, including relevant science-based frameworks such as the Science Based Targets Network (SBTN). While we acknowledge the value of consistency with Set 1 and the simplification objectives, the fast-evolving methodological context </w:t>
            </w:r>
            <w:r w:rsidR="005828DE">
              <w:rPr>
                <w:rFonts w:eastAsia="Verdana" w:cs="Verdana"/>
                <w:sz w:val="17"/>
                <w:szCs w:val="17"/>
              </w:rPr>
              <w:t>means that more time is needed for those methodo</w:t>
            </w:r>
            <w:r w:rsidR="00096372">
              <w:rPr>
                <w:rFonts w:eastAsia="Verdana" w:cs="Verdana"/>
                <w:sz w:val="17"/>
                <w:szCs w:val="17"/>
              </w:rPr>
              <w:t>logies to mature before being integrated in the ESRS</w:t>
            </w:r>
            <w:r w:rsidRPr="00911A72">
              <w:rPr>
                <w:rFonts w:eastAsia="Verdana" w:cs="Verdana"/>
                <w:sz w:val="17"/>
                <w:szCs w:val="17"/>
              </w:rPr>
              <w:t>.</w:t>
            </w:r>
          </w:p>
          <w:p w14:paraId="3E32CB22" w14:textId="6E61D28A" w:rsidR="00911A72" w:rsidRPr="00911A72" w:rsidRDefault="00C84006" w:rsidP="00911A72">
            <w:pPr>
              <w:spacing w:before="120" w:line="276" w:lineRule="auto"/>
              <w:rPr>
                <w:rFonts w:eastAsia="Verdana" w:cs="Verdana"/>
                <w:sz w:val="17"/>
                <w:szCs w:val="17"/>
              </w:rPr>
            </w:pPr>
            <w:r>
              <w:rPr>
                <w:rFonts w:eastAsia="Verdana" w:cs="Verdana"/>
                <w:sz w:val="17"/>
                <w:szCs w:val="17"/>
              </w:rPr>
              <w:t>We</w:t>
            </w:r>
            <w:r w:rsidR="00911A72" w:rsidRPr="00911A72">
              <w:rPr>
                <w:rFonts w:eastAsia="Verdana" w:cs="Verdana"/>
                <w:sz w:val="17"/>
                <w:szCs w:val="17"/>
              </w:rPr>
              <w:t xml:space="preserve"> also note that the application requirements should retain flexibility and avoid turning into de facto mandatory expectations. AR 26 should remain illustrative and optional in nature, supporting undertakings in understanding what targets may cover without implying standardised metrics.</w:t>
            </w:r>
          </w:p>
          <w:p w14:paraId="5D3A801A" w14:textId="23C5826D" w:rsidR="00C73B15" w:rsidRPr="00542834" w:rsidRDefault="0097556A" w:rsidP="008619A2">
            <w:pPr>
              <w:spacing w:before="120" w:line="276" w:lineRule="auto"/>
              <w:rPr>
                <w:rFonts w:eastAsia="Verdana" w:cs="Verdana"/>
                <w:sz w:val="17"/>
                <w:szCs w:val="17"/>
              </w:rPr>
            </w:pPr>
            <w:r w:rsidRPr="0097556A">
              <w:rPr>
                <w:rFonts w:eastAsia="Verdana" w:cs="Verdana"/>
                <w:sz w:val="17"/>
                <w:szCs w:val="17"/>
              </w:rPr>
              <w:t xml:space="preserve">We </w:t>
            </w:r>
            <w:r w:rsidR="0014710F">
              <w:rPr>
                <w:rFonts w:eastAsia="Verdana" w:cs="Verdana"/>
                <w:sz w:val="17"/>
                <w:szCs w:val="17"/>
              </w:rPr>
              <w:t>are</w:t>
            </w:r>
            <w:r w:rsidRPr="0097556A">
              <w:rPr>
                <w:rFonts w:eastAsia="Verdana" w:cs="Verdana"/>
                <w:sz w:val="17"/>
                <w:szCs w:val="17"/>
              </w:rPr>
              <w:t xml:space="preserve"> concern</w:t>
            </w:r>
            <w:r w:rsidR="0014710F">
              <w:rPr>
                <w:rFonts w:eastAsia="Verdana" w:cs="Verdana"/>
                <w:sz w:val="17"/>
                <w:szCs w:val="17"/>
              </w:rPr>
              <w:t>ed</w:t>
            </w:r>
            <w:r w:rsidRPr="0097556A">
              <w:rPr>
                <w:rFonts w:eastAsia="Verdana" w:cs="Verdana"/>
                <w:sz w:val="17"/>
                <w:szCs w:val="17"/>
              </w:rPr>
              <w:t xml:space="preserve"> about excessive granularity in ESRS E4, particularly regarding site-specific disclosures, such as the location of material IROs (§20a). Such requirements can be disproportionately burdensome for companies operating across diverse jurisdictions or complex supply chains. In this context, guidance under AR 26 should promote proportionality and scalability in reporting practices.</w:t>
            </w:r>
          </w:p>
        </w:tc>
      </w:tr>
    </w:tbl>
    <w:p w14:paraId="3B61770B" w14:textId="77777777" w:rsidR="00B34559" w:rsidRDefault="00B34559" w:rsidP="005F5CCF">
      <w:pPr>
        <w:spacing w:after="200" w:line="276" w:lineRule="auto"/>
        <w:rPr>
          <w:sz w:val="17"/>
          <w:szCs w:val="17"/>
        </w:rPr>
      </w:pPr>
    </w:p>
    <w:tbl>
      <w:tblPr>
        <w:tblStyle w:val="Mriekatabuky"/>
        <w:tblW w:w="0" w:type="auto"/>
        <w:tblLook w:val="04A0" w:firstRow="1" w:lastRow="0" w:firstColumn="1" w:lastColumn="0" w:noHBand="0" w:noVBand="1"/>
      </w:tblPr>
      <w:tblGrid>
        <w:gridCol w:w="9572"/>
      </w:tblGrid>
      <w:tr w:rsidR="00B34559" w14:paraId="022D3091" w14:textId="77777777">
        <w:tc>
          <w:tcPr>
            <w:tcW w:w="9572" w:type="dxa"/>
            <w:shd w:val="clear" w:color="auto" w:fill="595959" w:themeFill="text1" w:themeFillTint="A6"/>
          </w:tcPr>
          <w:p w14:paraId="05900C1C" w14:textId="6CAA011D" w:rsidR="00B34559" w:rsidRPr="00F92E2F" w:rsidRDefault="00B34559">
            <w:pPr>
              <w:spacing w:line="276" w:lineRule="auto"/>
              <w:rPr>
                <w:b/>
                <w:bCs/>
                <w:color w:val="FFFFFF" w:themeColor="background1"/>
                <w:sz w:val="17"/>
                <w:szCs w:val="17"/>
              </w:rPr>
            </w:pPr>
            <w:r w:rsidRPr="00F92E2F">
              <w:rPr>
                <w:b/>
                <w:bCs/>
                <w:color w:val="FFFFFF" w:themeColor="background1"/>
                <w:sz w:val="17"/>
                <w:szCs w:val="17"/>
              </w:rPr>
              <w:t xml:space="preserve">Question </w:t>
            </w:r>
            <w:r w:rsidR="005C3F4E">
              <w:rPr>
                <w:b/>
                <w:bCs/>
                <w:color w:val="FFFFFF" w:themeColor="background1"/>
                <w:sz w:val="17"/>
                <w:szCs w:val="17"/>
              </w:rPr>
              <w:t>3</w:t>
            </w:r>
            <w:r>
              <w:rPr>
                <w:b/>
                <w:bCs/>
                <w:color w:val="FFFFFF" w:themeColor="background1"/>
                <w:sz w:val="17"/>
                <w:szCs w:val="17"/>
              </w:rPr>
              <w:t>1</w:t>
            </w:r>
            <w:r w:rsidR="006B2368">
              <w:rPr>
                <w:b/>
                <w:bCs/>
                <w:color w:val="FFFFFF" w:themeColor="background1"/>
                <w:sz w:val="17"/>
                <w:szCs w:val="17"/>
              </w:rPr>
              <w:t xml:space="preserve"> on </w:t>
            </w:r>
            <w:r w:rsidR="006B2368" w:rsidRPr="006B2368">
              <w:rPr>
                <w:b/>
                <w:bCs/>
                <w:color w:val="FFFFFF" w:themeColor="background1"/>
                <w:sz w:val="17"/>
                <w:szCs w:val="17"/>
              </w:rPr>
              <w:t>ESRS S1 DR15: Gender pay gap</w:t>
            </w:r>
          </w:p>
        </w:tc>
      </w:tr>
      <w:tr w:rsidR="00B34559" w14:paraId="3033DC9E" w14:textId="77777777">
        <w:tc>
          <w:tcPr>
            <w:tcW w:w="9572" w:type="dxa"/>
          </w:tcPr>
          <w:p w14:paraId="1AACEC77" w14:textId="1D1163D9" w:rsidR="00B34559" w:rsidRDefault="00B34559">
            <w:pPr>
              <w:spacing w:line="276" w:lineRule="auto"/>
              <w:rPr>
                <w:sz w:val="17"/>
                <w:szCs w:val="17"/>
              </w:rPr>
            </w:pPr>
            <w:r w:rsidRPr="00FF5136">
              <w:rPr>
                <w:b/>
                <w:bCs/>
                <w:sz w:val="17"/>
                <w:szCs w:val="17"/>
              </w:rPr>
              <w:t>Summary of changes</w:t>
            </w:r>
            <w:r>
              <w:rPr>
                <w:sz w:val="17"/>
                <w:szCs w:val="17"/>
              </w:rPr>
              <w:t xml:space="preserve">: </w:t>
            </w:r>
          </w:p>
          <w:p w14:paraId="76F85723" w14:textId="706E6F7C" w:rsidR="00B34559" w:rsidRPr="00F21217" w:rsidRDefault="006B2368" w:rsidP="00A35CC0">
            <w:pPr>
              <w:spacing w:before="120" w:line="276" w:lineRule="auto"/>
              <w:rPr>
                <w:sz w:val="17"/>
                <w:szCs w:val="17"/>
              </w:rPr>
            </w:pPr>
            <w:r w:rsidRPr="006B2368">
              <w:rPr>
                <w:sz w:val="17"/>
                <w:szCs w:val="17"/>
              </w:rPr>
              <w:t>Some of the feedback obtained during the public outreach on the Remuneration metrics (ESRS S1-15), which are derived from the SFDR PAI, was to revisit the gender pay gap ratios and consider replacing it by the adjusted gender pay by employee category or, in some cases, by country. The gender pay gap metric in set 1 is aligned with the Pay Transparency Directive, (EU) 2023/970, where the unadjusted ratio is required as a global percentage and the adjusted gender pay gap by employee category is a voluntary (“may”) datapoint.</w:t>
            </w:r>
            <w:r w:rsidRPr="006B2368">
              <w:rPr>
                <w:sz w:val="17"/>
                <w:szCs w:val="17"/>
              </w:rPr>
              <w:br/>
              <w:t>The voluntary datapoint of adjusted gender pay gap by employee ratio has not been included in Amended ESRS S1, following careful analysis and consideration of the EFRAG SRB where the pros and cons of changing the basis for gender pay gap were weighted. The conclusion reached was to maintain the global unadjusted pay gap and delete the adjusted gender pay gap by employee ratio that is a voluntary datapoint in set 1. The deletion of voluntary datapoints obey to the general approach in the revised architecture.</w:t>
            </w:r>
          </w:p>
        </w:tc>
      </w:tr>
      <w:tr w:rsidR="00B34559" w14:paraId="25ABE952" w14:textId="77777777" w:rsidTr="00086FDC">
        <w:trPr>
          <w:trHeight w:val="3408"/>
        </w:trPr>
        <w:tc>
          <w:tcPr>
            <w:tcW w:w="9572" w:type="dxa"/>
          </w:tcPr>
          <w:p w14:paraId="409331CF" w14:textId="7CF9627B" w:rsidR="00B34559" w:rsidRPr="006B2368" w:rsidRDefault="00B34559" w:rsidP="006B2368">
            <w:pPr>
              <w:spacing w:line="276" w:lineRule="auto"/>
              <w:rPr>
                <w:sz w:val="17"/>
                <w:szCs w:val="17"/>
              </w:rPr>
            </w:pPr>
            <w:r w:rsidRPr="00FF5136">
              <w:rPr>
                <w:b/>
                <w:bCs/>
                <w:sz w:val="17"/>
                <w:szCs w:val="17"/>
              </w:rPr>
              <w:lastRenderedPageBreak/>
              <w:t>Question</w:t>
            </w:r>
            <w:r>
              <w:rPr>
                <w:sz w:val="17"/>
                <w:szCs w:val="17"/>
              </w:rPr>
              <w:t xml:space="preserve">: </w:t>
            </w:r>
            <w:r w:rsidR="006B2368" w:rsidRPr="006B2368">
              <w:rPr>
                <w:sz w:val="17"/>
                <w:szCs w:val="17"/>
              </w:rPr>
              <w:t>Do you agree with the deletion of the voluntary datapoint on adjusted gender pay gap?</w:t>
            </w:r>
          </w:p>
          <w:p w14:paraId="69EAAE49" w14:textId="1DC0ADC9" w:rsidR="003A770A" w:rsidRDefault="003A770A" w:rsidP="003A770A">
            <w:pPr>
              <w:spacing w:line="276" w:lineRule="auto"/>
              <w:rPr>
                <w:sz w:val="17"/>
                <w:szCs w:val="17"/>
              </w:rPr>
            </w:pPr>
            <w:r>
              <w:rPr>
                <w:sz w:val="17"/>
                <w:szCs w:val="17"/>
              </w:rPr>
              <w:t>[</w:t>
            </w:r>
            <w:r w:rsidRPr="06D2E812">
              <w:rPr>
                <w:sz w:val="17"/>
                <w:szCs w:val="17"/>
              </w:rPr>
              <w:t xml:space="preserve">agree, </w:t>
            </w:r>
            <w:r w:rsidRPr="00B57FCA">
              <w:rPr>
                <w:sz w:val="17"/>
                <w:szCs w:val="17"/>
                <w:highlight w:val="yellow"/>
              </w:rPr>
              <w:t>partially agree,</w:t>
            </w:r>
            <w:r w:rsidRPr="002A38B7">
              <w:rPr>
                <w:sz w:val="17"/>
                <w:szCs w:val="17"/>
                <w:highlight w:val="yellow"/>
              </w:rPr>
              <w:t xml:space="preserve"> </w:t>
            </w:r>
            <w:r w:rsidRPr="00B57FCA">
              <w:rPr>
                <w:sz w:val="17"/>
                <w:szCs w:val="17"/>
              </w:rPr>
              <w:t>disagree</w:t>
            </w:r>
            <w:r>
              <w:rPr>
                <w:sz w:val="17"/>
                <w:szCs w:val="17"/>
              </w:rPr>
              <w:t>].</w:t>
            </w:r>
          </w:p>
          <w:p w14:paraId="265C418F" w14:textId="77777777" w:rsidR="003A770A" w:rsidRDefault="003A770A">
            <w:pPr>
              <w:spacing w:line="276" w:lineRule="auto"/>
              <w:rPr>
                <w:sz w:val="17"/>
                <w:szCs w:val="17"/>
              </w:rPr>
            </w:pPr>
          </w:p>
          <w:p w14:paraId="0D2924B6" w14:textId="77777777" w:rsidR="007E6275" w:rsidRDefault="003E494B" w:rsidP="007E6275">
            <w:pPr>
              <w:spacing w:line="276" w:lineRule="auto"/>
              <w:rPr>
                <w:sz w:val="17"/>
                <w:szCs w:val="17"/>
              </w:rPr>
            </w:pPr>
            <w:r w:rsidRPr="002B6C33">
              <w:rPr>
                <w:b/>
                <w:bCs/>
                <w:sz w:val="17"/>
                <w:szCs w:val="17"/>
              </w:rPr>
              <w:t>Insurance Europe response</w:t>
            </w:r>
            <w:r w:rsidR="007E6275">
              <w:rPr>
                <w:sz w:val="17"/>
                <w:szCs w:val="17"/>
              </w:rPr>
              <w:t>:</w:t>
            </w:r>
          </w:p>
          <w:p w14:paraId="61B54C23" w14:textId="5589A78A" w:rsidR="0092776A" w:rsidRDefault="00745CC5" w:rsidP="001A739B">
            <w:pPr>
              <w:spacing w:before="120" w:line="276" w:lineRule="auto"/>
              <w:rPr>
                <w:rFonts w:eastAsia="Verdana"/>
                <w:sz w:val="17"/>
                <w:szCs w:val="17"/>
              </w:rPr>
            </w:pPr>
            <w:r w:rsidRPr="00745CC5">
              <w:rPr>
                <w:rFonts w:eastAsia="Verdana"/>
                <w:sz w:val="17"/>
                <w:szCs w:val="17"/>
              </w:rPr>
              <w:t xml:space="preserve">We acknowledge the rationale for the deletion of the voluntary datapoint on the adjusted gender pay gap by employee category in ESRS S1, as part of EFRAG’s broader approach to reduce the number of datapoints and simplify the standards. </w:t>
            </w:r>
          </w:p>
          <w:p w14:paraId="08B24129" w14:textId="34963D73" w:rsidR="0092776A" w:rsidRDefault="00745CC5" w:rsidP="001A739B">
            <w:pPr>
              <w:spacing w:before="120" w:line="276" w:lineRule="auto"/>
              <w:rPr>
                <w:rFonts w:eastAsia="Verdana"/>
                <w:sz w:val="17"/>
                <w:szCs w:val="17"/>
              </w:rPr>
            </w:pPr>
            <w:r w:rsidRPr="00745CC5">
              <w:rPr>
                <w:rFonts w:eastAsia="Verdana"/>
                <w:sz w:val="17"/>
                <w:szCs w:val="17"/>
              </w:rPr>
              <w:t>However, we note that the adjusted gender pay gap offers valuable insights into pay equity within organisations by accounting for relevant contextual factors such as employee category or country. While its voluntary nature in the previous standard allowed for flexibility, its complete removal may limit the ability of undertakings—especially those with advanced internal practices—to communicate more meaningful and comparable information on gender pay equity.</w:t>
            </w:r>
          </w:p>
          <w:p w14:paraId="1AC8583A" w14:textId="1623DE30" w:rsidR="0092776A" w:rsidRDefault="00745CC5" w:rsidP="001A739B">
            <w:pPr>
              <w:spacing w:before="120" w:line="276" w:lineRule="auto"/>
              <w:rPr>
                <w:rFonts w:eastAsia="Verdana"/>
                <w:sz w:val="17"/>
                <w:szCs w:val="17"/>
              </w:rPr>
            </w:pPr>
            <w:r w:rsidRPr="00745CC5">
              <w:rPr>
                <w:rFonts w:eastAsia="Verdana"/>
                <w:sz w:val="17"/>
                <w:szCs w:val="17"/>
              </w:rPr>
              <w:t>We therefore encourage EFRAG to explore whether such datapoints—particularly those offering enhanced insight when material—could be reinstated in a non-binding format, such as the Non-Mandatory Implementation Guidance (NMIG). This would preserve the opportunity for more granular reporting without conflicting with the simplification objectives.</w:t>
            </w:r>
          </w:p>
          <w:p w14:paraId="50A35976" w14:textId="58499AE6" w:rsidR="00D81FDB" w:rsidRPr="00745CC5" w:rsidRDefault="00745CC5" w:rsidP="001A739B">
            <w:pPr>
              <w:spacing w:before="120" w:line="276" w:lineRule="auto"/>
              <w:rPr>
                <w:rFonts w:eastAsia="Verdana"/>
                <w:sz w:val="17"/>
                <w:szCs w:val="17"/>
              </w:rPr>
            </w:pPr>
            <w:r w:rsidRPr="00745CC5">
              <w:rPr>
                <w:rFonts w:eastAsia="Verdana"/>
                <w:sz w:val="17"/>
                <w:szCs w:val="17"/>
              </w:rPr>
              <w:t>While we support efforts to reduce complexity, we believe that optional datapoints with high relevance to key social topics such as pay equity should not be excluded entirely from the reporting architecture.</w:t>
            </w:r>
          </w:p>
        </w:tc>
      </w:tr>
    </w:tbl>
    <w:p w14:paraId="700EDF0E" w14:textId="77777777" w:rsidR="00B34559" w:rsidRDefault="00B34559" w:rsidP="005F5CCF">
      <w:pPr>
        <w:spacing w:after="200" w:line="276" w:lineRule="auto"/>
        <w:rPr>
          <w:sz w:val="17"/>
          <w:szCs w:val="17"/>
        </w:rPr>
      </w:pPr>
    </w:p>
    <w:tbl>
      <w:tblPr>
        <w:tblStyle w:val="Mriekatabuky"/>
        <w:tblW w:w="0" w:type="auto"/>
        <w:tblLook w:val="04A0" w:firstRow="1" w:lastRow="0" w:firstColumn="1" w:lastColumn="0" w:noHBand="0" w:noVBand="1"/>
      </w:tblPr>
      <w:tblGrid>
        <w:gridCol w:w="9572"/>
      </w:tblGrid>
      <w:tr w:rsidR="00B34559" w14:paraId="6E5816DC" w14:textId="77777777">
        <w:tc>
          <w:tcPr>
            <w:tcW w:w="9572" w:type="dxa"/>
            <w:shd w:val="clear" w:color="auto" w:fill="595959" w:themeFill="text1" w:themeFillTint="A6"/>
          </w:tcPr>
          <w:p w14:paraId="7039A411" w14:textId="12EC9161" w:rsidR="00B34559" w:rsidRPr="00F92E2F" w:rsidRDefault="00B34559">
            <w:pPr>
              <w:spacing w:line="276" w:lineRule="auto"/>
              <w:rPr>
                <w:b/>
                <w:bCs/>
                <w:color w:val="FFFFFF" w:themeColor="background1"/>
                <w:sz w:val="17"/>
                <w:szCs w:val="17"/>
              </w:rPr>
            </w:pPr>
            <w:r w:rsidRPr="00F92E2F">
              <w:rPr>
                <w:b/>
                <w:bCs/>
                <w:color w:val="FFFFFF" w:themeColor="background1"/>
                <w:sz w:val="17"/>
                <w:szCs w:val="17"/>
              </w:rPr>
              <w:t xml:space="preserve">Question </w:t>
            </w:r>
            <w:r w:rsidR="005C3F4E">
              <w:rPr>
                <w:b/>
                <w:bCs/>
                <w:color w:val="FFFFFF" w:themeColor="background1"/>
                <w:sz w:val="17"/>
                <w:szCs w:val="17"/>
              </w:rPr>
              <w:t>3</w:t>
            </w:r>
            <w:r>
              <w:rPr>
                <w:b/>
                <w:bCs/>
                <w:color w:val="FFFFFF" w:themeColor="background1"/>
                <w:sz w:val="17"/>
                <w:szCs w:val="17"/>
              </w:rPr>
              <w:t>2</w:t>
            </w:r>
            <w:r w:rsidR="006B2368">
              <w:rPr>
                <w:b/>
                <w:bCs/>
                <w:color w:val="FFFFFF" w:themeColor="background1"/>
                <w:sz w:val="17"/>
                <w:szCs w:val="17"/>
              </w:rPr>
              <w:t xml:space="preserve"> on </w:t>
            </w:r>
            <w:r w:rsidR="006B2368" w:rsidRPr="006B2368">
              <w:rPr>
                <w:b/>
                <w:bCs/>
                <w:color w:val="FFFFFF" w:themeColor="background1"/>
                <w:sz w:val="17"/>
                <w:szCs w:val="17"/>
              </w:rPr>
              <w:t>ESRS G1 DR G1-2 and G1-6: Payment practices</w:t>
            </w:r>
          </w:p>
        </w:tc>
      </w:tr>
      <w:tr w:rsidR="00B34559" w14:paraId="704BBB9D" w14:textId="77777777">
        <w:tc>
          <w:tcPr>
            <w:tcW w:w="9572" w:type="dxa"/>
          </w:tcPr>
          <w:p w14:paraId="4471EB56" w14:textId="3F304BC8" w:rsidR="00B34559" w:rsidRDefault="00B34559">
            <w:pPr>
              <w:spacing w:line="276" w:lineRule="auto"/>
              <w:rPr>
                <w:sz w:val="17"/>
                <w:szCs w:val="17"/>
              </w:rPr>
            </w:pPr>
            <w:r w:rsidRPr="00FF5136">
              <w:rPr>
                <w:b/>
                <w:bCs/>
                <w:sz w:val="17"/>
                <w:szCs w:val="17"/>
              </w:rPr>
              <w:t>Summary of changes</w:t>
            </w:r>
            <w:r>
              <w:rPr>
                <w:sz w:val="17"/>
                <w:szCs w:val="17"/>
              </w:rPr>
              <w:t xml:space="preserve">: </w:t>
            </w:r>
          </w:p>
          <w:p w14:paraId="615E0DFE" w14:textId="0F057A96" w:rsidR="00B34559" w:rsidRPr="00F21217" w:rsidRDefault="00C02691" w:rsidP="00C1691E">
            <w:pPr>
              <w:spacing w:before="120" w:after="120" w:line="276" w:lineRule="auto"/>
              <w:rPr>
                <w:sz w:val="17"/>
                <w:szCs w:val="17"/>
              </w:rPr>
            </w:pPr>
            <w:r w:rsidRPr="00C02691">
              <w:rPr>
                <w:sz w:val="17"/>
                <w:szCs w:val="17"/>
              </w:rPr>
              <w:t>The revision of ESRS G1 has led -among others - to the deletion of former paragraphs 14 and 33(a), addressing "payment practices" (within the context of management of relationship with suppliers). These datapoints have been replaced by the PAT provisions and an additional specification for SMEs in paragraph 33(b). However, this deletion may still reduce visibility on how undertakings engage with and support SMEs.</w:t>
            </w:r>
          </w:p>
        </w:tc>
      </w:tr>
      <w:tr w:rsidR="00B34559" w14:paraId="783849F6" w14:textId="77777777">
        <w:tc>
          <w:tcPr>
            <w:tcW w:w="9572" w:type="dxa"/>
          </w:tcPr>
          <w:p w14:paraId="6559CDF4" w14:textId="4BC89820" w:rsidR="00B34559" w:rsidRPr="00C02691" w:rsidRDefault="00B34559" w:rsidP="00C02691">
            <w:pPr>
              <w:spacing w:line="276" w:lineRule="auto"/>
              <w:rPr>
                <w:sz w:val="17"/>
                <w:szCs w:val="17"/>
              </w:rPr>
            </w:pPr>
            <w:r w:rsidRPr="00FF5136">
              <w:rPr>
                <w:b/>
                <w:bCs/>
                <w:sz w:val="17"/>
                <w:szCs w:val="17"/>
              </w:rPr>
              <w:t>Question</w:t>
            </w:r>
            <w:r>
              <w:rPr>
                <w:sz w:val="17"/>
                <w:szCs w:val="17"/>
              </w:rPr>
              <w:t xml:space="preserve">: </w:t>
            </w:r>
            <w:r w:rsidR="00C02691" w:rsidRPr="00C02691">
              <w:rPr>
                <w:sz w:val="17"/>
                <w:szCs w:val="17"/>
              </w:rPr>
              <w:t>Is the current replacement/formulation sufficient to meet the objectives of the CSRD in respect to the protection of SME's?</w:t>
            </w:r>
          </w:p>
          <w:p w14:paraId="413EE5CD" w14:textId="653C668C" w:rsidR="003A770A" w:rsidRDefault="003A770A" w:rsidP="003A770A">
            <w:pPr>
              <w:spacing w:line="276" w:lineRule="auto"/>
              <w:rPr>
                <w:sz w:val="17"/>
                <w:szCs w:val="17"/>
              </w:rPr>
            </w:pPr>
            <w:r>
              <w:rPr>
                <w:sz w:val="17"/>
                <w:szCs w:val="17"/>
              </w:rPr>
              <w:t>[</w:t>
            </w:r>
            <w:r w:rsidRPr="06D2E812">
              <w:rPr>
                <w:sz w:val="17"/>
                <w:szCs w:val="17"/>
              </w:rPr>
              <w:t>agree</w:t>
            </w:r>
            <w:r w:rsidRPr="002A38B7">
              <w:rPr>
                <w:sz w:val="17"/>
                <w:szCs w:val="17"/>
                <w:highlight w:val="yellow"/>
              </w:rPr>
              <w:t xml:space="preserve">, partially agree, </w:t>
            </w:r>
            <w:r w:rsidRPr="06D2E812">
              <w:rPr>
                <w:sz w:val="17"/>
                <w:szCs w:val="17"/>
              </w:rPr>
              <w:t>disagree</w:t>
            </w:r>
            <w:r w:rsidR="00A91443">
              <w:rPr>
                <w:sz w:val="17"/>
                <w:szCs w:val="17"/>
              </w:rPr>
              <w:t>]</w:t>
            </w:r>
            <w:r w:rsidR="00AB551B">
              <w:rPr>
                <w:sz w:val="17"/>
                <w:szCs w:val="17"/>
              </w:rPr>
              <w:t xml:space="preserve"> </w:t>
            </w:r>
          </w:p>
          <w:p w14:paraId="398042A9" w14:textId="77777777" w:rsidR="003A770A" w:rsidRDefault="003A770A">
            <w:pPr>
              <w:spacing w:line="276" w:lineRule="auto"/>
              <w:rPr>
                <w:sz w:val="17"/>
                <w:szCs w:val="17"/>
                <w:highlight w:val="cyan"/>
              </w:rPr>
            </w:pPr>
          </w:p>
          <w:p w14:paraId="295EE582" w14:textId="77777777" w:rsidR="007E6275" w:rsidRDefault="003E494B" w:rsidP="007E6275">
            <w:pPr>
              <w:spacing w:line="276" w:lineRule="auto"/>
              <w:rPr>
                <w:sz w:val="17"/>
                <w:szCs w:val="17"/>
              </w:rPr>
            </w:pPr>
            <w:r w:rsidRPr="002B6C33">
              <w:rPr>
                <w:b/>
                <w:bCs/>
                <w:sz w:val="17"/>
                <w:szCs w:val="17"/>
              </w:rPr>
              <w:t>Insurance Europe response</w:t>
            </w:r>
            <w:r w:rsidR="007E6275">
              <w:rPr>
                <w:sz w:val="17"/>
                <w:szCs w:val="17"/>
              </w:rPr>
              <w:t>:</w:t>
            </w:r>
          </w:p>
          <w:p w14:paraId="246956EB" w14:textId="20BE3B09" w:rsidR="00C73B15" w:rsidRPr="00083BBD" w:rsidRDefault="00083BBD" w:rsidP="00535343">
            <w:pPr>
              <w:spacing w:before="120" w:line="276" w:lineRule="auto"/>
              <w:rPr>
                <w:rFonts w:eastAsia="Verdana" w:cs="Verdana"/>
                <w:sz w:val="17"/>
                <w:szCs w:val="17"/>
              </w:rPr>
            </w:pPr>
            <w:r w:rsidRPr="00083BBD">
              <w:rPr>
                <w:rFonts w:eastAsia="Verdana" w:cs="Verdana"/>
                <w:sz w:val="17"/>
                <w:szCs w:val="17"/>
              </w:rPr>
              <w:t xml:space="preserve">We welcome the inclusion of paragraph 33(b) in the revised ESRS G1, which introduces a clear requirement to disclose standard payment terms by supplier category, including SMEs, and the percentage of payments aligned with those terms. </w:t>
            </w:r>
          </w:p>
        </w:tc>
      </w:tr>
    </w:tbl>
    <w:p w14:paraId="145A88AA" w14:textId="77777777" w:rsidR="00B34559" w:rsidRDefault="00B34559" w:rsidP="005F5CCF">
      <w:pPr>
        <w:spacing w:after="200" w:line="276" w:lineRule="auto"/>
        <w:rPr>
          <w:sz w:val="17"/>
          <w:szCs w:val="17"/>
        </w:rPr>
      </w:pPr>
    </w:p>
    <w:tbl>
      <w:tblPr>
        <w:tblStyle w:val="Mriekatabuky"/>
        <w:tblW w:w="0" w:type="auto"/>
        <w:tblLook w:val="04A0" w:firstRow="1" w:lastRow="0" w:firstColumn="1" w:lastColumn="0" w:noHBand="0" w:noVBand="1"/>
      </w:tblPr>
      <w:tblGrid>
        <w:gridCol w:w="9572"/>
      </w:tblGrid>
      <w:tr w:rsidR="00B34559" w14:paraId="2FF0CFF5" w14:textId="77777777">
        <w:tc>
          <w:tcPr>
            <w:tcW w:w="9572" w:type="dxa"/>
            <w:shd w:val="clear" w:color="auto" w:fill="595959" w:themeFill="text1" w:themeFillTint="A6"/>
          </w:tcPr>
          <w:p w14:paraId="17CD0977" w14:textId="34BC553E" w:rsidR="00B34559" w:rsidRPr="00F92E2F" w:rsidRDefault="00B34559">
            <w:pPr>
              <w:spacing w:line="276" w:lineRule="auto"/>
              <w:rPr>
                <w:b/>
                <w:bCs/>
                <w:color w:val="FFFFFF" w:themeColor="background1"/>
                <w:sz w:val="17"/>
                <w:szCs w:val="17"/>
              </w:rPr>
            </w:pPr>
            <w:r w:rsidRPr="00F92E2F">
              <w:rPr>
                <w:b/>
                <w:bCs/>
                <w:color w:val="FFFFFF" w:themeColor="background1"/>
                <w:sz w:val="17"/>
                <w:szCs w:val="17"/>
              </w:rPr>
              <w:t xml:space="preserve">Question </w:t>
            </w:r>
            <w:r w:rsidR="005C3F4E">
              <w:rPr>
                <w:b/>
                <w:bCs/>
                <w:color w:val="FFFFFF" w:themeColor="background1"/>
                <w:sz w:val="17"/>
                <w:szCs w:val="17"/>
              </w:rPr>
              <w:t>3</w:t>
            </w:r>
            <w:r>
              <w:rPr>
                <w:b/>
                <w:bCs/>
                <w:color w:val="FFFFFF" w:themeColor="background1"/>
                <w:sz w:val="17"/>
                <w:szCs w:val="17"/>
              </w:rPr>
              <w:t>3</w:t>
            </w:r>
            <w:r w:rsidR="00BD1DC5">
              <w:rPr>
                <w:b/>
                <w:bCs/>
                <w:color w:val="FFFFFF" w:themeColor="background1"/>
                <w:sz w:val="17"/>
                <w:szCs w:val="17"/>
              </w:rPr>
              <w:t xml:space="preserve">: </w:t>
            </w:r>
            <w:r w:rsidR="00BD1DC5" w:rsidRPr="00BD1DC5">
              <w:rPr>
                <w:b/>
                <w:bCs/>
                <w:color w:val="FFFFFF" w:themeColor="background1"/>
                <w:sz w:val="17"/>
                <w:szCs w:val="17"/>
              </w:rPr>
              <w:t>Overall feedback per standard</w:t>
            </w:r>
          </w:p>
        </w:tc>
      </w:tr>
      <w:tr w:rsidR="00B34559" w14:paraId="51B70E38" w14:textId="77777777">
        <w:tc>
          <w:tcPr>
            <w:tcW w:w="9572" w:type="dxa"/>
          </w:tcPr>
          <w:p w14:paraId="4466A68C" w14:textId="3AD80A3A" w:rsidR="00B34559" w:rsidRDefault="00B34559">
            <w:pPr>
              <w:spacing w:line="276" w:lineRule="auto"/>
              <w:rPr>
                <w:sz w:val="17"/>
                <w:szCs w:val="17"/>
              </w:rPr>
            </w:pPr>
            <w:r w:rsidRPr="00FF5136">
              <w:rPr>
                <w:b/>
                <w:bCs/>
                <w:sz w:val="17"/>
                <w:szCs w:val="17"/>
              </w:rPr>
              <w:t>Summary of changes</w:t>
            </w:r>
            <w:r>
              <w:rPr>
                <w:sz w:val="17"/>
                <w:szCs w:val="17"/>
              </w:rPr>
              <w:t xml:space="preserve">: </w:t>
            </w:r>
          </w:p>
          <w:p w14:paraId="61FC5E37" w14:textId="2FBE90F3" w:rsidR="00BD1DC5" w:rsidRPr="00BD1DC5" w:rsidRDefault="00BD1DC5" w:rsidP="00A91443">
            <w:pPr>
              <w:spacing w:before="120" w:line="276" w:lineRule="auto"/>
              <w:rPr>
                <w:sz w:val="17"/>
                <w:szCs w:val="17"/>
              </w:rPr>
            </w:pPr>
            <w:r w:rsidRPr="00BD1DC5">
              <w:rPr>
                <w:sz w:val="17"/>
                <w:szCs w:val="17"/>
              </w:rPr>
              <w:t>The 12 ESRS Standards have been simplified. The Glossary (Annex II to the 2023 ESRS Delegated Act) has been amended to reflect the changes in the Standards. This includes the reduction of datapoints, the clarification of several provisions that created implementation issues, the enhancement of readability and streamlining of their structure and content. Amendments to the 12 Standards have been designed and implemented to achieve a substantial reduction in reporting efforts, while maintaining the core content that is needed to meet the objectives of the European Green Deal.</w:t>
            </w:r>
          </w:p>
          <w:p w14:paraId="75B1941F" w14:textId="263D6BE3" w:rsidR="00BD1DC5" w:rsidRPr="00BD1DC5" w:rsidRDefault="00BD1DC5" w:rsidP="00D479FB">
            <w:pPr>
              <w:spacing w:before="120" w:line="276" w:lineRule="auto"/>
              <w:rPr>
                <w:sz w:val="17"/>
                <w:szCs w:val="17"/>
              </w:rPr>
            </w:pPr>
            <w:r w:rsidRPr="00BD1DC5">
              <w:rPr>
                <w:sz w:val="17"/>
                <w:szCs w:val="17"/>
              </w:rPr>
              <w:t>Please note the following requirements that were not changed in the Amended ESRS as recommended by the EC representatives, as they are subject to ongoing developments on level 1 regulation:</w:t>
            </w:r>
          </w:p>
          <w:p w14:paraId="388C67BE" w14:textId="77777777" w:rsidR="00BD1DC5" w:rsidRPr="00BD1DC5" w:rsidRDefault="00BD1DC5" w:rsidP="00CA2178">
            <w:pPr>
              <w:spacing w:line="276" w:lineRule="auto"/>
              <w:ind w:left="708"/>
              <w:rPr>
                <w:sz w:val="17"/>
                <w:szCs w:val="17"/>
              </w:rPr>
            </w:pPr>
            <w:r w:rsidRPr="00BD1DC5">
              <w:rPr>
                <w:sz w:val="17"/>
                <w:szCs w:val="17"/>
              </w:rPr>
              <w:t xml:space="preserve">1. Definition of value chain for financial institutions (ESRS 1); </w:t>
            </w:r>
          </w:p>
          <w:p w14:paraId="7D74AEE0" w14:textId="77777777" w:rsidR="00BD1DC5" w:rsidRPr="00BD1DC5" w:rsidRDefault="00BD1DC5" w:rsidP="00CA2178">
            <w:pPr>
              <w:spacing w:line="276" w:lineRule="auto"/>
              <w:ind w:left="708"/>
              <w:rPr>
                <w:sz w:val="17"/>
                <w:szCs w:val="17"/>
              </w:rPr>
            </w:pPr>
            <w:r w:rsidRPr="00BD1DC5">
              <w:rPr>
                <w:sz w:val="17"/>
                <w:szCs w:val="17"/>
              </w:rPr>
              <w:t>2. Exemption from consolidating subsidiaries by undertakings that are financial holdings (ESRS 1);</w:t>
            </w:r>
          </w:p>
          <w:p w14:paraId="0065B2D4" w14:textId="77777777" w:rsidR="00BD1DC5" w:rsidRPr="00BD1DC5" w:rsidRDefault="00BD1DC5" w:rsidP="00CA2178">
            <w:pPr>
              <w:spacing w:line="276" w:lineRule="auto"/>
              <w:ind w:left="708"/>
              <w:rPr>
                <w:sz w:val="17"/>
                <w:szCs w:val="17"/>
              </w:rPr>
            </w:pPr>
            <w:r w:rsidRPr="00BD1DC5">
              <w:rPr>
                <w:sz w:val="17"/>
                <w:szCs w:val="17"/>
              </w:rPr>
              <w:t>3. Relief for omission of confidential/sensitive information (ESRS 1);</w:t>
            </w:r>
          </w:p>
          <w:p w14:paraId="588A0E69" w14:textId="77777777" w:rsidR="00BD1DC5" w:rsidRPr="00BD1DC5" w:rsidRDefault="00BD1DC5" w:rsidP="00CA2178">
            <w:pPr>
              <w:spacing w:line="276" w:lineRule="auto"/>
              <w:ind w:left="708"/>
              <w:rPr>
                <w:sz w:val="17"/>
                <w:szCs w:val="17"/>
              </w:rPr>
            </w:pPr>
            <w:r w:rsidRPr="00BD1DC5">
              <w:rPr>
                <w:sz w:val="17"/>
                <w:szCs w:val="17"/>
              </w:rPr>
              <w:t>4. Phasing-in provisions (ESRS 1);</w:t>
            </w:r>
          </w:p>
          <w:p w14:paraId="311019B5" w14:textId="3B95573E" w:rsidR="00477D3F" w:rsidRPr="00F21217" w:rsidRDefault="00BD1DC5" w:rsidP="00FA5BE2">
            <w:pPr>
              <w:spacing w:after="120" w:line="276" w:lineRule="auto"/>
              <w:ind w:left="709"/>
              <w:rPr>
                <w:sz w:val="17"/>
                <w:szCs w:val="17"/>
              </w:rPr>
            </w:pPr>
            <w:r w:rsidRPr="00BD1DC5">
              <w:rPr>
                <w:sz w:val="17"/>
                <w:szCs w:val="17"/>
              </w:rPr>
              <w:lastRenderedPageBreak/>
              <w:t>5. Clarify the meaning of ‘“compatibility with 1.5 degrees’” for the Transition Plans disclosure (ESRS E1).</w:t>
            </w:r>
          </w:p>
        </w:tc>
      </w:tr>
      <w:tr w:rsidR="00B34559" w14:paraId="585D28C3" w14:textId="77777777">
        <w:tc>
          <w:tcPr>
            <w:tcW w:w="9572" w:type="dxa"/>
          </w:tcPr>
          <w:p w14:paraId="7D3646CC" w14:textId="77777777" w:rsidR="00FA5BE2" w:rsidRDefault="00B34559" w:rsidP="003541F2">
            <w:pPr>
              <w:spacing w:line="276" w:lineRule="auto"/>
              <w:rPr>
                <w:sz w:val="17"/>
                <w:szCs w:val="17"/>
              </w:rPr>
            </w:pPr>
            <w:r w:rsidRPr="00FF5136">
              <w:rPr>
                <w:b/>
                <w:bCs/>
                <w:sz w:val="17"/>
                <w:szCs w:val="17"/>
              </w:rPr>
              <w:lastRenderedPageBreak/>
              <w:t>Question</w:t>
            </w:r>
            <w:r>
              <w:rPr>
                <w:sz w:val="17"/>
                <w:szCs w:val="17"/>
              </w:rPr>
              <w:t xml:space="preserve">: </w:t>
            </w:r>
            <w:r w:rsidR="00477D3F" w:rsidRPr="00477D3F">
              <w:rPr>
                <w:sz w:val="17"/>
                <w:szCs w:val="17"/>
              </w:rPr>
              <w:t>Do you agree that the proposed Amended ESRS strikes an appropriate balance between the need for significant simplification and meeting the core objectives of the European Green Deal?</w:t>
            </w:r>
            <w:r w:rsidR="00FA5BE2">
              <w:rPr>
                <w:sz w:val="17"/>
                <w:szCs w:val="17"/>
              </w:rPr>
              <w:t xml:space="preserve"> </w:t>
            </w:r>
          </w:p>
          <w:p w14:paraId="7F44A97D" w14:textId="5E407A9F" w:rsidR="00477D3F" w:rsidRPr="00477D3F" w:rsidRDefault="00FA5BE2" w:rsidP="003541F2">
            <w:pPr>
              <w:spacing w:line="276" w:lineRule="auto"/>
              <w:rPr>
                <w:sz w:val="17"/>
                <w:szCs w:val="17"/>
              </w:rPr>
            </w:pPr>
            <w:r w:rsidRPr="00FA5BE2">
              <w:rPr>
                <w:i/>
                <w:iCs/>
                <w:sz w:val="17"/>
                <w:szCs w:val="17"/>
              </w:rPr>
              <w:t xml:space="preserve">You can access the Exposure Drafts of the Revised ESRS and the amended Glossary at </w:t>
            </w:r>
            <w:r w:rsidRPr="00F178F3">
              <w:rPr>
                <w:i/>
                <w:iCs/>
                <w:sz w:val="17"/>
                <w:szCs w:val="17"/>
              </w:rPr>
              <w:t>this </w:t>
            </w:r>
            <w:hyperlink r:id="rId18" w:tgtFrame="_blank" w:history="1">
              <w:r w:rsidRPr="00F178F3">
                <w:rPr>
                  <w:rStyle w:val="Hypertextovprepojenie"/>
                  <w:i/>
                  <w:iCs/>
                  <w:sz w:val="17"/>
                  <w:szCs w:val="17"/>
                </w:rPr>
                <w:t>link</w:t>
              </w:r>
            </w:hyperlink>
            <w:r w:rsidRPr="00F178F3">
              <w:rPr>
                <w:i/>
                <w:iCs/>
                <w:sz w:val="17"/>
                <w:szCs w:val="17"/>
              </w:rPr>
              <w:t>.</w:t>
            </w:r>
            <w:r w:rsidR="00F178F3" w:rsidRPr="00F178F3">
              <w:rPr>
                <w:i/>
                <w:iCs/>
                <w:sz w:val="17"/>
                <w:szCs w:val="17"/>
              </w:rPr>
              <w:t xml:space="preserve"> In case you would like to see the rationale behind the amendments, you can access the Log of Amendments and the markup of the Annex II (Glossary) at this </w:t>
            </w:r>
            <w:hyperlink r:id="rId19" w:tgtFrame="_blank" w:history="1">
              <w:r w:rsidR="00F178F3" w:rsidRPr="00F178F3">
                <w:rPr>
                  <w:rStyle w:val="Hypertextovprepojenie"/>
                  <w:i/>
                  <w:iCs/>
                  <w:sz w:val="17"/>
                  <w:szCs w:val="17"/>
                </w:rPr>
                <w:t>link</w:t>
              </w:r>
            </w:hyperlink>
            <w:r w:rsidR="00F178F3" w:rsidRPr="00F178F3">
              <w:rPr>
                <w:i/>
                <w:iCs/>
                <w:sz w:val="17"/>
                <w:szCs w:val="17"/>
              </w:rPr>
              <w:t>.</w:t>
            </w:r>
          </w:p>
          <w:p w14:paraId="66BE7B49" w14:textId="08271168" w:rsidR="00B34559" w:rsidRDefault="00B34559">
            <w:pPr>
              <w:spacing w:line="276" w:lineRule="auto"/>
              <w:rPr>
                <w:sz w:val="17"/>
                <w:szCs w:val="17"/>
              </w:rPr>
            </w:pPr>
          </w:p>
          <w:p w14:paraId="348C97A1" w14:textId="5EF44174" w:rsidR="003A770A" w:rsidRDefault="00B93EFB" w:rsidP="003A770A">
            <w:pPr>
              <w:spacing w:line="276" w:lineRule="auto"/>
              <w:rPr>
                <w:sz w:val="17"/>
                <w:szCs w:val="17"/>
              </w:rPr>
            </w:pPr>
            <w:r>
              <w:rPr>
                <w:sz w:val="17"/>
                <w:szCs w:val="17"/>
              </w:rPr>
              <w:t>ESRS 1 [agree</w:t>
            </w:r>
            <w:r w:rsidR="00FE6819">
              <w:rPr>
                <w:sz w:val="17"/>
                <w:szCs w:val="17"/>
              </w:rPr>
              <w:t xml:space="preserve"> /</w:t>
            </w:r>
            <w:r>
              <w:rPr>
                <w:sz w:val="17"/>
                <w:szCs w:val="17"/>
              </w:rPr>
              <w:t xml:space="preserve"> </w:t>
            </w:r>
            <w:r w:rsidR="00511831" w:rsidRPr="00511831">
              <w:rPr>
                <w:sz w:val="17"/>
                <w:szCs w:val="17"/>
              </w:rPr>
              <w:t>partially agree and partially disagree</w:t>
            </w:r>
            <w:r w:rsidR="00FE6819">
              <w:rPr>
                <w:sz w:val="17"/>
                <w:szCs w:val="17"/>
              </w:rPr>
              <w:t xml:space="preserve"> /</w:t>
            </w:r>
            <w:r w:rsidR="00511831">
              <w:rPr>
                <w:sz w:val="17"/>
                <w:szCs w:val="17"/>
              </w:rPr>
              <w:t xml:space="preserve"> disagree]</w:t>
            </w:r>
          </w:p>
          <w:p w14:paraId="64AE6B75" w14:textId="1AE4FC57" w:rsidR="00511831" w:rsidRDefault="00511831" w:rsidP="00511831">
            <w:pPr>
              <w:spacing w:line="276" w:lineRule="auto"/>
              <w:rPr>
                <w:sz w:val="17"/>
                <w:szCs w:val="17"/>
              </w:rPr>
            </w:pPr>
            <w:r>
              <w:rPr>
                <w:sz w:val="17"/>
                <w:szCs w:val="17"/>
              </w:rPr>
              <w:t xml:space="preserve">ESRS 2 </w:t>
            </w:r>
            <w:r w:rsidR="00FE6819">
              <w:rPr>
                <w:sz w:val="17"/>
                <w:szCs w:val="17"/>
              </w:rPr>
              <w:t xml:space="preserve">[agree / </w:t>
            </w:r>
            <w:r w:rsidR="00FE6819" w:rsidRPr="00511831">
              <w:rPr>
                <w:sz w:val="17"/>
                <w:szCs w:val="17"/>
              </w:rPr>
              <w:t>partially agree and partially disagree</w:t>
            </w:r>
            <w:r w:rsidR="00FE6819">
              <w:rPr>
                <w:sz w:val="17"/>
                <w:szCs w:val="17"/>
              </w:rPr>
              <w:t xml:space="preserve"> / disagree]</w:t>
            </w:r>
          </w:p>
          <w:p w14:paraId="2038CC47" w14:textId="7938AF2A" w:rsidR="00511831" w:rsidRDefault="00511831" w:rsidP="00511831">
            <w:pPr>
              <w:spacing w:line="276" w:lineRule="auto"/>
              <w:rPr>
                <w:sz w:val="17"/>
                <w:szCs w:val="17"/>
              </w:rPr>
            </w:pPr>
            <w:r>
              <w:rPr>
                <w:sz w:val="17"/>
                <w:szCs w:val="17"/>
              </w:rPr>
              <w:t xml:space="preserve">ESRS E1 </w:t>
            </w:r>
            <w:r w:rsidR="00FE6819">
              <w:rPr>
                <w:sz w:val="17"/>
                <w:szCs w:val="17"/>
              </w:rPr>
              <w:t xml:space="preserve">[agree / </w:t>
            </w:r>
            <w:r w:rsidR="00FE6819" w:rsidRPr="00511831">
              <w:rPr>
                <w:sz w:val="17"/>
                <w:szCs w:val="17"/>
              </w:rPr>
              <w:t>partially agree and partially disagree</w:t>
            </w:r>
            <w:r w:rsidR="00FE6819">
              <w:rPr>
                <w:sz w:val="17"/>
                <w:szCs w:val="17"/>
              </w:rPr>
              <w:t xml:space="preserve"> / disagree]</w:t>
            </w:r>
          </w:p>
          <w:p w14:paraId="5CE8BF1C" w14:textId="631467EC" w:rsidR="00511831" w:rsidRDefault="00511831" w:rsidP="00511831">
            <w:pPr>
              <w:spacing w:line="276" w:lineRule="auto"/>
              <w:rPr>
                <w:sz w:val="17"/>
                <w:szCs w:val="17"/>
              </w:rPr>
            </w:pPr>
            <w:r>
              <w:rPr>
                <w:sz w:val="17"/>
                <w:szCs w:val="17"/>
              </w:rPr>
              <w:t xml:space="preserve">ESRS E2 </w:t>
            </w:r>
            <w:r w:rsidR="00FE6819">
              <w:rPr>
                <w:sz w:val="17"/>
                <w:szCs w:val="17"/>
              </w:rPr>
              <w:t xml:space="preserve">[agree / </w:t>
            </w:r>
            <w:r w:rsidR="00FE6819" w:rsidRPr="00511831">
              <w:rPr>
                <w:sz w:val="17"/>
                <w:szCs w:val="17"/>
              </w:rPr>
              <w:t>partially agree and partially disagree</w:t>
            </w:r>
            <w:r w:rsidR="00FE6819">
              <w:rPr>
                <w:sz w:val="17"/>
                <w:szCs w:val="17"/>
              </w:rPr>
              <w:t xml:space="preserve"> / disagree]</w:t>
            </w:r>
          </w:p>
          <w:p w14:paraId="44373030" w14:textId="5D641393" w:rsidR="00511831" w:rsidRDefault="00511831" w:rsidP="00511831">
            <w:pPr>
              <w:spacing w:line="276" w:lineRule="auto"/>
              <w:rPr>
                <w:sz w:val="17"/>
                <w:szCs w:val="17"/>
              </w:rPr>
            </w:pPr>
            <w:r>
              <w:rPr>
                <w:sz w:val="17"/>
                <w:szCs w:val="17"/>
              </w:rPr>
              <w:t xml:space="preserve">ESRS E3 </w:t>
            </w:r>
            <w:r w:rsidR="00FE6819">
              <w:rPr>
                <w:sz w:val="17"/>
                <w:szCs w:val="17"/>
              </w:rPr>
              <w:t xml:space="preserve">[agree / </w:t>
            </w:r>
            <w:r w:rsidR="00FE6819" w:rsidRPr="00511831">
              <w:rPr>
                <w:sz w:val="17"/>
                <w:szCs w:val="17"/>
              </w:rPr>
              <w:t>partially agree and partially disagree</w:t>
            </w:r>
            <w:r w:rsidR="00FE6819">
              <w:rPr>
                <w:sz w:val="17"/>
                <w:szCs w:val="17"/>
              </w:rPr>
              <w:t xml:space="preserve"> / disagree]</w:t>
            </w:r>
          </w:p>
          <w:p w14:paraId="09729CB5" w14:textId="08291409" w:rsidR="00511831" w:rsidRDefault="00511831" w:rsidP="00511831">
            <w:pPr>
              <w:spacing w:line="276" w:lineRule="auto"/>
              <w:rPr>
                <w:sz w:val="17"/>
                <w:szCs w:val="17"/>
              </w:rPr>
            </w:pPr>
            <w:r>
              <w:rPr>
                <w:sz w:val="17"/>
                <w:szCs w:val="17"/>
              </w:rPr>
              <w:t xml:space="preserve">ESRS E4 </w:t>
            </w:r>
            <w:r w:rsidR="00FE6819">
              <w:rPr>
                <w:sz w:val="17"/>
                <w:szCs w:val="17"/>
              </w:rPr>
              <w:t xml:space="preserve">[agree / </w:t>
            </w:r>
            <w:r w:rsidR="00FE6819" w:rsidRPr="00511831">
              <w:rPr>
                <w:sz w:val="17"/>
                <w:szCs w:val="17"/>
              </w:rPr>
              <w:t>partially agree and partially disagree</w:t>
            </w:r>
            <w:r w:rsidR="00FE6819">
              <w:rPr>
                <w:sz w:val="17"/>
                <w:szCs w:val="17"/>
              </w:rPr>
              <w:t xml:space="preserve"> / disagree]</w:t>
            </w:r>
          </w:p>
          <w:p w14:paraId="5126E827" w14:textId="2A89BE29" w:rsidR="00511831" w:rsidRDefault="00511831" w:rsidP="00511831">
            <w:pPr>
              <w:spacing w:line="276" w:lineRule="auto"/>
              <w:rPr>
                <w:sz w:val="17"/>
                <w:szCs w:val="17"/>
              </w:rPr>
            </w:pPr>
            <w:r>
              <w:rPr>
                <w:sz w:val="17"/>
                <w:szCs w:val="17"/>
              </w:rPr>
              <w:t xml:space="preserve">ESRS E5 </w:t>
            </w:r>
            <w:r w:rsidR="00FE6819">
              <w:rPr>
                <w:sz w:val="17"/>
                <w:szCs w:val="17"/>
              </w:rPr>
              <w:t xml:space="preserve">[agree / </w:t>
            </w:r>
            <w:r w:rsidR="00FE6819" w:rsidRPr="00511831">
              <w:rPr>
                <w:sz w:val="17"/>
                <w:szCs w:val="17"/>
              </w:rPr>
              <w:t>partially agree and partially disagree</w:t>
            </w:r>
            <w:r w:rsidR="00FE6819">
              <w:rPr>
                <w:sz w:val="17"/>
                <w:szCs w:val="17"/>
              </w:rPr>
              <w:t xml:space="preserve"> / disagree]</w:t>
            </w:r>
          </w:p>
          <w:p w14:paraId="40CFE81F" w14:textId="175889B6" w:rsidR="00511831" w:rsidRDefault="00511831" w:rsidP="00511831">
            <w:pPr>
              <w:spacing w:line="276" w:lineRule="auto"/>
              <w:rPr>
                <w:sz w:val="17"/>
                <w:szCs w:val="17"/>
              </w:rPr>
            </w:pPr>
            <w:r>
              <w:rPr>
                <w:sz w:val="17"/>
                <w:szCs w:val="17"/>
              </w:rPr>
              <w:t xml:space="preserve">ESRS </w:t>
            </w:r>
            <w:r w:rsidR="00FE6819">
              <w:rPr>
                <w:sz w:val="17"/>
                <w:szCs w:val="17"/>
              </w:rPr>
              <w:t>S1</w:t>
            </w:r>
            <w:r>
              <w:rPr>
                <w:sz w:val="17"/>
                <w:szCs w:val="17"/>
              </w:rPr>
              <w:t xml:space="preserve"> </w:t>
            </w:r>
            <w:r w:rsidR="00FE6819">
              <w:rPr>
                <w:sz w:val="17"/>
                <w:szCs w:val="17"/>
              </w:rPr>
              <w:t xml:space="preserve">[agree / </w:t>
            </w:r>
            <w:r w:rsidR="00FE6819" w:rsidRPr="00511831">
              <w:rPr>
                <w:sz w:val="17"/>
                <w:szCs w:val="17"/>
              </w:rPr>
              <w:t>partially agree and partially disagree</w:t>
            </w:r>
            <w:r w:rsidR="00FE6819">
              <w:rPr>
                <w:sz w:val="17"/>
                <w:szCs w:val="17"/>
              </w:rPr>
              <w:t xml:space="preserve"> / disagree]</w:t>
            </w:r>
          </w:p>
          <w:p w14:paraId="0371BA9F" w14:textId="51EE3761" w:rsidR="00511831" w:rsidRDefault="00511831" w:rsidP="00511831">
            <w:pPr>
              <w:spacing w:line="276" w:lineRule="auto"/>
              <w:rPr>
                <w:sz w:val="17"/>
                <w:szCs w:val="17"/>
              </w:rPr>
            </w:pPr>
            <w:r>
              <w:rPr>
                <w:sz w:val="17"/>
                <w:szCs w:val="17"/>
              </w:rPr>
              <w:t xml:space="preserve">ESRS </w:t>
            </w:r>
            <w:r w:rsidR="00FE6819">
              <w:rPr>
                <w:sz w:val="17"/>
                <w:szCs w:val="17"/>
              </w:rPr>
              <w:t>S2</w:t>
            </w:r>
            <w:r>
              <w:rPr>
                <w:sz w:val="17"/>
                <w:szCs w:val="17"/>
              </w:rPr>
              <w:t xml:space="preserve"> </w:t>
            </w:r>
            <w:r w:rsidR="00FE6819">
              <w:rPr>
                <w:sz w:val="17"/>
                <w:szCs w:val="17"/>
              </w:rPr>
              <w:t xml:space="preserve">[agree / </w:t>
            </w:r>
            <w:r w:rsidR="00FE6819" w:rsidRPr="00511831">
              <w:rPr>
                <w:sz w:val="17"/>
                <w:szCs w:val="17"/>
              </w:rPr>
              <w:t>partially agree and partially disagree</w:t>
            </w:r>
            <w:r w:rsidR="00FE6819">
              <w:rPr>
                <w:sz w:val="17"/>
                <w:szCs w:val="17"/>
              </w:rPr>
              <w:t xml:space="preserve"> / disagree]</w:t>
            </w:r>
          </w:p>
          <w:p w14:paraId="529DB1DC" w14:textId="4BBEBE36" w:rsidR="00511831" w:rsidRDefault="00511831" w:rsidP="00511831">
            <w:pPr>
              <w:spacing w:line="276" w:lineRule="auto"/>
              <w:rPr>
                <w:sz w:val="17"/>
                <w:szCs w:val="17"/>
              </w:rPr>
            </w:pPr>
            <w:r>
              <w:rPr>
                <w:sz w:val="17"/>
                <w:szCs w:val="17"/>
              </w:rPr>
              <w:t xml:space="preserve">ESRS </w:t>
            </w:r>
            <w:r w:rsidR="00FE6819">
              <w:rPr>
                <w:sz w:val="17"/>
                <w:szCs w:val="17"/>
              </w:rPr>
              <w:t>S3</w:t>
            </w:r>
            <w:r>
              <w:rPr>
                <w:sz w:val="17"/>
                <w:szCs w:val="17"/>
              </w:rPr>
              <w:t xml:space="preserve"> </w:t>
            </w:r>
            <w:r w:rsidR="00FE6819">
              <w:rPr>
                <w:sz w:val="17"/>
                <w:szCs w:val="17"/>
              </w:rPr>
              <w:t xml:space="preserve">[agree / </w:t>
            </w:r>
            <w:r w:rsidR="00FE6819" w:rsidRPr="00511831">
              <w:rPr>
                <w:sz w:val="17"/>
                <w:szCs w:val="17"/>
              </w:rPr>
              <w:t>partially agree and partially disagree</w:t>
            </w:r>
            <w:r w:rsidR="00FE6819">
              <w:rPr>
                <w:sz w:val="17"/>
                <w:szCs w:val="17"/>
              </w:rPr>
              <w:t xml:space="preserve"> / disagree]</w:t>
            </w:r>
          </w:p>
          <w:p w14:paraId="2431A3E5" w14:textId="43AEB087" w:rsidR="00511831" w:rsidRDefault="00511831" w:rsidP="00511831">
            <w:pPr>
              <w:spacing w:line="276" w:lineRule="auto"/>
              <w:rPr>
                <w:sz w:val="17"/>
                <w:szCs w:val="17"/>
              </w:rPr>
            </w:pPr>
            <w:r>
              <w:rPr>
                <w:sz w:val="17"/>
                <w:szCs w:val="17"/>
              </w:rPr>
              <w:t xml:space="preserve">ESRS </w:t>
            </w:r>
            <w:r w:rsidR="00FE6819">
              <w:rPr>
                <w:sz w:val="17"/>
                <w:szCs w:val="17"/>
              </w:rPr>
              <w:t>S4</w:t>
            </w:r>
            <w:r>
              <w:rPr>
                <w:sz w:val="17"/>
                <w:szCs w:val="17"/>
              </w:rPr>
              <w:t xml:space="preserve"> </w:t>
            </w:r>
            <w:r w:rsidR="00FE6819">
              <w:rPr>
                <w:sz w:val="17"/>
                <w:szCs w:val="17"/>
              </w:rPr>
              <w:t xml:space="preserve">[agree / </w:t>
            </w:r>
            <w:r w:rsidR="00FE6819" w:rsidRPr="00511831">
              <w:rPr>
                <w:sz w:val="17"/>
                <w:szCs w:val="17"/>
              </w:rPr>
              <w:t>partially agree and partially disagree</w:t>
            </w:r>
            <w:r w:rsidR="00FE6819">
              <w:rPr>
                <w:sz w:val="17"/>
                <w:szCs w:val="17"/>
              </w:rPr>
              <w:t xml:space="preserve"> / disagree]</w:t>
            </w:r>
          </w:p>
          <w:p w14:paraId="2878435D" w14:textId="1CA85CBC" w:rsidR="00511831" w:rsidRDefault="00511831" w:rsidP="00511831">
            <w:pPr>
              <w:spacing w:line="276" w:lineRule="auto"/>
              <w:rPr>
                <w:sz w:val="17"/>
                <w:szCs w:val="17"/>
              </w:rPr>
            </w:pPr>
            <w:r>
              <w:rPr>
                <w:sz w:val="17"/>
                <w:szCs w:val="17"/>
              </w:rPr>
              <w:t xml:space="preserve">ESRS </w:t>
            </w:r>
            <w:r w:rsidR="00FE6819">
              <w:rPr>
                <w:sz w:val="17"/>
                <w:szCs w:val="17"/>
              </w:rPr>
              <w:t>G1</w:t>
            </w:r>
            <w:r>
              <w:rPr>
                <w:sz w:val="17"/>
                <w:szCs w:val="17"/>
              </w:rPr>
              <w:t xml:space="preserve"> </w:t>
            </w:r>
            <w:r w:rsidR="00FE6819">
              <w:rPr>
                <w:sz w:val="17"/>
                <w:szCs w:val="17"/>
              </w:rPr>
              <w:t xml:space="preserve">[agree / </w:t>
            </w:r>
            <w:r w:rsidR="00FE6819" w:rsidRPr="00511831">
              <w:rPr>
                <w:sz w:val="17"/>
                <w:szCs w:val="17"/>
              </w:rPr>
              <w:t>partially agree and partially disagree</w:t>
            </w:r>
            <w:r w:rsidR="00FE6819">
              <w:rPr>
                <w:sz w:val="17"/>
                <w:szCs w:val="17"/>
              </w:rPr>
              <w:t xml:space="preserve"> / disagree]</w:t>
            </w:r>
          </w:p>
          <w:p w14:paraId="7A62CE40" w14:textId="7E2D8F13" w:rsidR="00511831" w:rsidRDefault="00FE6819" w:rsidP="00511831">
            <w:pPr>
              <w:spacing w:line="276" w:lineRule="auto"/>
              <w:rPr>
                <w:sz w:val="17"/>
                <w:szCs w:val="17"/>
              </w:rPr>
            </w:pPr>
            <w:r>
              <w:rPr>
                <w:sz w:val="17"/>
                <w:szCs w:val="17"/>
              </w:rPr>
              <w:t>Glossary</w:t>
            </w:r>
            <w:r w:rsidR="00511831">
              <w:rPr>
                <w:sz w:val="17"/>
                <w:szCs w:val="17"/>
              </w:rPr>
              <w:t xml:space="preserve"> </w:t>
            </w:r>
            <w:r>
              <w:rPr>
                <w:sz w:val="17"/>
                <w:szCs w:val="17"/>
              </w:rPr>
              <w:t xml:space="preserve">[agree / </w:t>
            </w:r>
            <w:r w:rsidRPr="00511831">
              <w:rPr>
                <w:sz w:val="17"/>
                <w:szCs w:val="17"/>
              </w:rPr>
              <w:t>partially agree and partially disagree</w:t>
            </w:r>
            <w:r>
              <w:rPr>
                <w:sz w:val="17"/>
                <w:szCs w:val="17"/>
              </w:rPr>
              <w:t xml:space="preserve"> / disagree]</w:t>
            </w:r>
          </w:p>
          <w:p w14:paraId="2252FC86" w14:textId="77777777" w:rsidR="00511831" w:rsidRDefault="00511831" w:rsidP="003A770A">
            <w:pPr>
              <w:spacing w:line="276" w:lineRule="auto"/>
              <w:rPr>
                <w:sz w:val="17"/>
                <w:szCs w:val="17"/>
              </w:rPr>
            </w:pPr>
          </w:p>
          <w:p w14:paraId="619D1D04" w14:textId="77777777" w:rsidR="003A770A" w:rsidRDefault="003A770A">
            <w:pPr>
              <w:spacing w:line="276" w:lineRule="auto"/>
              <w:rPr>
                <w:sz w:val="17"/>
                <w:szCs w:val="17"/>
              </w:rPr>
            </w:pPr>
          </w:p>
          <w:p w14:paraId="466D8D9A" w14:textId="77777777" w:rsidR="007E6275" w:rsidRDefault="003E494B" w:rsidP="007E6275">
            <w:pPr>
              <w:spacing w:line="276" w:lineRule="auto"/>
              <w:rPr>
                <w:sz w:val="17"/>
                <w:szCs w:val="17"/>
              </w:rPr>
            </w:pPr>
            <w:r w:rsidRPr="002B6C33">
              <w:rPr>
                <w:b/>
                <w:bCs/>
                <w:sz w:val="17"/>
                <w:szCs w:val="17"/>
              </w:rPr>
              <w:t>Insurance Europe response</w:t>
            </w:r>
            <w:r w:rsidR="007E6275">
              <w:rPr>
                <w:sz w:val="17"/>
                <w:szCs w:val="17"/>
              </w:rPr>
              <w:t>:</w:t>
            </w:r>
          </w:p>
          <w:p w14:paraId="76A94F89" w14:textId="4F322C83" w:rsidR="00C73B15" w:rsidRDefault="0069491F">
            <w:pPr>
              <w:spacing w:line="276" w:lineRule="auto"/>
              <w:rPr>
                <w:sz w:val="17"/>
                <w:szCs w:val="17"/>
              </w:rPr>
            </w:pPr>
            <w:r>
              <w:rPr>
                <w:sz w:val="17"/>
                <w:szCs w:val="17"/>
              </w:rPr>
              <w:t>[</w:t>
            </w:r>
            <w:r w:rsidR="00D82E85" w:rsidRPr="00D82E85">
              <w:rPr>
                <w:sz w:val="17"/>
                <w:szCs w:val="17"/>
              </w:rPr>
              <w:t>In this question</w:t>
            </w:r>
            <w:r w:rsidR="00D82E85">
              <w:rPr>
                <w:sz w:val="17"/>
                <w:szCs w:val="17"/>
              </w:rPr>
              <w:t xml:space="preserve">, respondents </w:t>
            </w:r>
            <w:r w:rsidR="00D82E85" w:rsidRPr="00D82E85">
              <w:rPr>
                <w:sz w:val="17"/>
                <w:szCs w:val="17"/>
              </w:rPr>
              <w:t xml:space="preserve">are allowed to provide </w:t>
            </w:r>
            <w:r w:rsidR="000216CA">
              <w:rPr>
                <w:sz w:val="17"/>
                <w:szCs w:val="17"/>
              </w:rPr>
              <w:t xml:space="preserve">their </w:t>
            </w:r>
            <w:r w:rsidR="00D82E85" w:rsidRPr="00D82E85">
              <w:rPr>
                <w:sz w:val="17"/>
                <w:szCs w:val="17"/>
              </w:rPr>
              <w:t>overall opinion on the level of simplifications achieved per each standard</w:t>
            </w:r>
            <w:r w:rsidR="000216CA">
              <w:rPr>
                <w:sz w:val="17"/>
                <w:szCs w:val="17"/>
              </w:rPr>
              <w:t xml:space="preserve">, </w:t>
            </w:r>
            <w:r w:rsidR="00D82E85" w:rsidRPr="00D82E85">
              <w:rPr>
                <w:sz w:val="17"/>
                <w:szCs w:val="17"/>
              </w:rPr>
              <w:t>choos</w:t>
            </w:r>
            <w:r w:rsidR="000216CA">
              <w:rPr>
                <w:sz w:val="17"/>
                <w:szCs w:val="17"/>
              </w:rPr>
              <w:t>ing</w:t>
            </w:r>
            <w:r w:rsidR="00D82E85" w:rsidRPr="00D82E85">
              <w:rPr>
                <w:sz w:val="17"/>
                <w:szCs w:val="17"/>
              </w:rPr>
              <w:t xml:space="preserve"> to reply to one or more of the Standards.</w:t>
            </w:r>
            <w:r>
              <w:rPr>
                <w:sz w:val="17"/>
                <w:szCs w:val="17"/>
              </w:rPr>
              <w:t>]</w:t>
            </w:r>
          </w:p>
        </w:tc>
      </w:tr>
    </w:tbl>
    <w:p w14:paraId="4C8EA7ED" w14:textId="77777777" w:rsidR="00B34559" w:rsidRDefault="00B34559" w:rsidP="005F5CCF">
      <w:pPr>
        <w:spacing w:after="200" w:line="276" w:lineRule="auto"/>
        <w:rPr>
          <w:sz w:val="17"/>
          <w:szCs w:val="17"/>
        </w:rPr>
      </w:pPr>
    </w:p>
    <w:p w14:paraId="195E9FAF" w14:textId="7EC09EDB" w:rsidR="00ED194E" w:rsidRDefault="00ED194E" w:rsidP="005F5CCF">
      <w:pPr>
        <w:spacing w:after="200" w:line="276" w:lineRule="auto"/>
        <w:rPr>
          <w:b/>
          <w:bCs/>
          <w:sz w:val="17"/>
          <w:szCs w:val="17"/>
          <w:u w:val="single"/>
        </w:rPr>
      </w:pPr>
      <w:r w:rsidRPr="00D771F6">
        <w:rPr>
          <w:b/>
          <w:bCs/>
          <w:sz w:val="17"/>
          <w:szCs w:val="17"/>
          <w:u w:val="single"/>
        </w:rPr>
        <w:t>Part 3: Detailed Feedback</w:t>
      </w:r>
    </w:p>
    <w:p w14:paraId="79A0CBE0" w14:textId="26FE89F7" w:rsidR="00871C64" w:rsidRDefault="00D042DE" w:rsidP="00871C64">
      <w:pPr>
        <w:spacing w:after="200" w:line="276" w:lineRule="auto"/>
        <w:rPr>
          <w:sz w:val="17"/>
          <w:szCs w:val="17"/>
        </w:rPr>
      </w:pPr>
      <w:r w:rsidRPr="00D042DE">
        <w:rPr>
          <w:sz w:val="17"/>
          <w:szCs w:val="17"/>
        </w:rPr>
        <w:t>In this part (optional) you can select to provide your opinion on the level of simplification achieved for one or more DR (or chapter in case of ESRS 1) and to provide your comments on the corresponding paragraphs of the 12 Amended ESRS Standards.</w:t>
      </w:r>
    </w:p>
    <w:p w14:paraId="2A077B46" w14:textId="142C171D" w:rsidR="007E6275" w:rsidRDefault="003E494B" w:rsidP="007E6275">
      <w:pPr>
        <w:spacing w:line="276" w:lineRule="auto"/>
        <w:rPr>
          <w:sz w:val="17"/>
          <w:szCs w:val="17"/>
        </w:rPr>
      </w:pPr>
      <w:r w:rsidRPr="002B6C33">
        <w:rPr>
          <w:b/>
          <w:bCs/>
          <w:sz w:val="17"/>
          <w:szCs w:val="17"/>
        </w:rPr>
        <w:t>Insurance Europe respons</w:t>
      </w:r>
      <w:r w:rsidRPr="003E494B">
        <w:rPr>
          <w:b/>
          <w:bCs/>
          <w:sz w:val="17"/>
          <w:szCs w:val="17"/>
        </w:rPr>
        <w:t>e</w:t>
      </w:r>
      <w:r w:rsidR="007E6275" w:rsidRPr="003E494B">
        <w:rPr>
          <w:sz w:val="17"/>
          <w:szCs w:val="17"/>
        </w:rPr>
        <w:t>:</w:t>
      </w:r>
    </w:p>
    <w:p w14:paraId="033E1FAC" w14:textId="77777777" w:rsidR="007E6275" w:rsidRPr="00D042DE" w:rsidRDefault="007E6275" w:rsidP="007E6275">
      <w:pPr>
        <w:spacing w:line="276" w:lineRule="auto"/>
        <w:rPr>
          <w:sz w:val="17"/>
          <w:szCs w:val="17"/>
        </w:rPr>
      </w:pPr>
    </w:p>
    <w:tbl>
      <w:tblPr>
        <w:tblStyle w:val="Mriekatabuky"/>
        <w:tblW w:w="0" w:type="auto"/>
        <w:tblLook w:val="04A0" w:firstRow="1" w:lastRow="0" w:firstColumn="1" w:lastColumn="0" w:noHBand="0" w:noVBand="1"/>
      </w:tblPr>
      <w:tblGrid>
        <w:gridCol w:w="1980"/>
        <w:gridCol w:w="7592"/>
      </w:tblGrid>
      <w:tr w:rsidR="00A61EBD" w:rsidRPr="00A61EBD" w14:paraId="0E0D3942" w14:textId="77777777" w:rsidTr="004B2127">
        <w:tc>
          <w:tcPr>
            <w:tcW w:w="1980" w:type="dxa"/>
            <w:shd w:val="clear" w:color="auto" w:fill="595959" w:themeFill="text1" w:themeFillTint="A6"/>
          </w:tcPr>
          <w:p w14:paraId="25D2A3C4" w14:textId="5250E093" w:rsidR="00087738" w:rsidRPr="00A61EBD" w:rsidRDefault="00A61EBD" w:rsidP="00087738">
            <w:pPr>
              <w:spacing w:line="276" w:lineRule="auto"/>
              <w:rPr>
                <w:b/>
                <w:bCs/>
                <w:color w:val="FFFFFF" w:themeColor="background1"/>
                <w:sz w:val="17"/>
                <w:szCs w:val="17"/>
              </w:rPr>
            </w:pPr>
            <w:r w:rsidRPr="00A61EBD">
              <w:rPr>
                <w:b/>
                <w:bCs/>
                <w:color w:val="FFFFFF" w:themeColor="background1"/>
                <w:sz w:val="17"/>
                <w:szCs w:val="17"/>
              </w:rPr>
              <w:t>ESRS standards</w:t>
            </w:r>
          </w:p>
        </w:tc>
        <w:tc>
          <w:tcPr>
            <w:tcW w:w="7592" w:type="dxa"/>
            <w:shd w:val="clear" w:color="auto" w:fill="595959" w:themeFill="text1" w:themeFillTint="A6"/>
          </w:tcPr>
          <w:p w14:paraId="1CE165DB" w14:textId="0ECC81BB" w:rsidR="00087738" w:rsidRPr="00A61EBD" w:rsidRDefault="00A61EBD" w:rsidP="00087738">
            <w:pPr>
              <w:spacing w:line="276" w:lineRule="auto"/>
              <w:rPr>
                <w:b/>
                <w:bCs/>
                <w:color w:val="FFFFFF" w:themeColor="background1"/>
                <w:sz w:val="17"/>
                <w:szCs w:val="17"/>
              </w:rPr>
            </w:pPr>
            <w:r w:rsidRPr="00A61EBD">
              <w:rPr>
                <w:b/>
                <w:bCs/>
                <w:color w:val="FFFFFF" w:themeColor="background1"/>
                <w:sz w:val="17"/>
                <w:szCs w:val="17"/>
              </w:rPr>
              <w:t>Comments at chapter or DR level</w:t>
            </w:r>
          </w:p>
        </w:tc>
      </w:tr>
      <w:tr w:rsidR="00087738" w14:paraId="71E2CA7E" w14:textId="77777777" w:rsidTr="004B2127">
        <w:tc>
          <w:tcPr>
            <w:tcW w:w="1980" w:type="dxa"/>
          </w:tcPr>
          <w:p w14:paraId="2C5A6362" w14:textId="0BB99683" w:rsidR="00087738" w:rsidRDefault="00172ABE" w:rsidP="00087738">
            <w:pPr>
              <w:spacing w:line="276" w:lineRule="auto"/>
              <w:rPr>
                <w:sz w:val="17"/>
                <w:szCs w:val="17"/>
              </w:rPr>
            </w:pPr>
            <w:r>
              <w:rPr>
                <w:sz w:val="17"/>
                <w:szCs w:val="17"/>
              </w:rPr>
              <w:t>ESRS 1</w:t>
            </w:r>
          </w:p>
        </w:tc>
        <w:tc>
          <w:tcPr>
            <w:tcW w:w="7592" w:type="dxa"/>
          </w:tcPr>
          <w:p w14:paraId="22A3683E" w14:textId="2D5DE4DE" w:rsidR="00087738" w:rsidRDefault="00523867" w:rsidP="00087738">
            <w:pPr>
              <w:spacing w:line="276" w:lineRule="auto"/>
              <w:rPr>
                <w:sz w:val="17"/>
                <w:szCs w:val="17"/>
              </w:rPr>
            </w:pPr>
            <w:r w:rsidRPr="00A66F69">
              <w:rPr>
                <w:b/>
                <w:bCs/>
                <w:sz w:val="17"/>
                <w:szCs w:val="17"/>
              </w:rPr>
              <w:t>ESRS 1 §53</w:t>
            </w:r>
            <w:r w:rsidRPr="00A66F69">
              <w:rPr>
                <w:sz w:val="17"/>
                <w:szCs w:val="17"/>
              </w:rPr>
              <w:t xml:space="preserve"> </w:t>
            </w:r>
            <w:r w:rsidR="00A66F69" w:rsidRPr="00A66F69">
              <w:rPr>
                <w:sz w:val="17"/>
                <w:szCs w:val="17"/>
              </w:rPr>
              <w:t>(previously §102) on the level of aggregation, disaggregation and group reporting</w:t>
            </w:r>
            <w:r w:rsidR="00CF7E40">
              <w:rPr>
                <w:sz w:val="17"/>
                <w:szCs w:val="17"/>
              </w:rPr>
              <w:t xml:space="preserve"> has been amended but not deleted. </w:t>
            </w:r>
            <w:r w:rsidR="00CF7E40" w:rsidRPr="00996C16">
              <w:rPr>
                <w:sz w:val="17"/>
                <w:szCs w:val="17"/>
              </w:rPr>
              <w:t>We suggest</w:t>
            </w:r>
            <w:r w:rsidR="0031226F">
              <w:rPr>
                <w:sz w:val="17"/>
                <w:szCs w:val="17"/>
              </w:rPr>
              <w:t xml:space="preserve"> </w:t>
            </w:r>
            <w:r w:rsidR="00346075">
              <w:rPr>
                <w:sz w:val="17"/>
                <w:szCs w:val="17"/>
              </w:rPr>
              <w:t>deleting this datapoint</w:t>
            </w:r>
            <w:r w:rsidR="00E838A2">
              <w:rPr>
                <w:sz w:val="17"/>
                <w:szCs w:val="17"/>
              </w:rPr>
              <w:t xml:space="preserve"> to reduce complexity</w:t>
            </w:r>
            <w:r w:rsidR="00257968">
              <w:rPr>
                <w:sz w:val="17"/>
                <w:szCs w:val="17"/>
              </w:rPr>
              <w:t xml:space="preserve"> and unnecessary reporting burden</w:t>
            </w:r>
            <w:r w:rsidR="009F4E9E">
              <w:rPr>
                <w:sz w:val="17"/>
                <w:szCs w:val="17"/>
              </w:rPr>
              <w:t xml:space="preserve">. </w:t>
            </w:r>
          </w:p>
        </w:tc>
      </w:tr>
      <w:tr w:rsidR="00B54BA7" w14:paraId="7B7AE85A" w14:textId="77777777" w:rsidTr="004B2127">
        <w:tc>
          <w:tcPr>
            <w:tcW w:w="1980" w:type="dxa"/>
          </w:tcPr>
          <w:p w14:paraId="4F01E0A0" w14:textId="0F7D2E7C" w:rsidR="00B54BA7" w:rsidRDefault="00B54BA7" w:rsidP="00087738">
            <w:pPr>
              <w:spacing w:line="276" w:lineRule="auto"/>
              <w:rPr>
                <w:sz w:val="17"/>
                <w:szCs w:val="17"/>
              </w:rPr>
            </w:pPr>
            <w:r>
              <w:rPr>
                <w:sz w:val="17"/>
                <w:szCs w:val="17"/>
              </w:rPr>
              <w:t>ESRS 1</w:t>
            </w:r>
          </w:p>
        </w:tc>
        <w:tc>
          <w:tcPr>
            <w:tcW w:w="7592" w:type="dxa"/>
          </w:tcPr>
          <w:p w14:paraId="16133F95" w14:textId="4C1EBE55" w:rsidR="00B54BA7" w:rsidRPr="00A66F69" w:rsidRDefault="00B54BA7" w:rsidP="00087738">
            <w:pPr>
              <w:spacing w:line="276" w:lineRule="auto"/>
              <w:rPr>
                <w:b/>
                <w:bCs/>
                <w:sz w:val="17"/>
                <w:szCs w:val="17"/>
              </w:rPr>
            </w:pPr>
            <w:r w:rsidRPr="00B54BA7">
              <w:rPr>
                <w:b/>
                <w:bCs/>
                <w:sz w:val="17"/>
                <w:szCs w:val="17"/>
              </w:rPr>
              <w:t>ESRS 1 §58</w:t>
            </w:r>
            <w:r>
              <w:rPr>
                <w:sz w:val="17"/>
                <w:szCs w:val="17"/>
              </w:rPr>
              <w:t xml:space="preserve">: </w:t>
            </w:r>
            <w:r w:rsidR="008F53E1">
              <w:rPr>
                <w:sz w:val="17"/>
                <w:szCs w:val="17"/>
              </w:rPr>
              <w:t>it</w:t>
            </w:r>
            <w:r w:rsidRPr="00BC76E8">
              <w:rPr>
                <w:sz w:val="17"/>
                <w:szCs w:val="17"/>
              </w:rPr>
              <w:t xml:space="preserve"> still directly links due diligence processes to the identification of </w:t>
            </w:r>
            <w:r w:rsidRPr="00B54BA7">
              <w:rPr>
                <w:sz w:val="17"/>
                <w:szCs w:val="17"/>
              </w:rPr>
              <w:t>negative material impacts</w:t>
            </w:r>
            <w:r w:rsidRPr="00BC76E8">
              <w:rPr>
                <w:sz w:val="17"/>
                <w:szCs w:val="17"/>
              </w:rPr>
              <w:t xml:space="preserve">. This formulation risks suggesting that the existence of due diligence automatically results in material disclosures. We recommend clarifying that due diligence processes inform the assessment of material impacts but do not predetermine materiality outcomes. </w:t>
            </w:r>
          </w:p>
        </w:tc>
      </w:tr>
      <w:tr w:rsidR="001C20B0" w14:paraId="04B5A344" w14:textId="77777777" w:rsidTr="004B2127">
        <w:tc>
          <w:tcPr>
            <w:tcW w:w="1980" w:type="dxa"/>
          </w:tcPr>
          <w:p w14:paraId="574DF49D" w14:textId="7C160D03" w:rsidR="001C20B0" w:rsidRDefault="001C20B0" w:rsidP="00087738">
            <w:pPr>
              <w:spacing w:line="276" w:lineRule="auto"/>
              <w:rPr>
                <w:sz w:val="17"/>
                <w:szCs w:val="17"/>
              </w:rPr>
            </w:pPr>
            <w:r>
              <w:rPr>
                <w:sz w:val="17"/>
                <w:szCs w:val="17"/>
              </w:rPr>
              <w:t>ESRS 1</w:t>
            </w:r>
          </w:p>
        </w:tc>
        <w:tc>
          <w:tcPr>
            <w:tcW w:w="7592" w:type="dxa"/>
          </w:tcPr>
          <w:p w14:paraId="64AE1056" w14:textId="34A385BB" w:rsidR="001C20B0" w:rsidRPr="001C20B0" w:rsidRDefault="001C20B0" w:rsidP="00087738">
            <w:pPr>
              <w:spacing w:line="276" w:lineRule="auto"/>
              <w:rPr>
                <w:sz w:val="17"/>
                <w:szCs w:val="17"/>
              </w:rPr>
            </w:pPr>
            <w:r w:rsidRPr="00B54BA7">
              <w:rPr>
                <w:b/>
                <w:bCs/>
                <w:sz w:val="17"/>
                <w:szCs w:val="17"/>
              </w:rPr>
              <w:t>ESRS 1 §</w:t>
            </w:r>
            <w:r w:rsidRPr="001C20B0">
              <w:rPr>
                <w:b/>
                <w:bCs/>
                <w:sz w:val="17"/>
                <w:szCs w:val="17"/>
              </w:rPr>
              <w:t>§</w:t>
            </w:r>
            <w:r>
              <w:rPr>
                <w:b/>
                <w:bCs/>
                <w:sz w:val="17"/>
                <w:szCs w:val="17"/>
              </w:rPr>
              <w:t xml:space="preserve">58 and 60 </w:t>
            </w:r>
            <w:r>
              <w:rPr>
                <w:sz w:val="17"/>
                <w:szCs w:val="17"/>
              </w:rPr>
              <w:t xml:space="preserve">(previously </w:t>
            </w:r>
            <w:r w:rsidRPr="00A66F69">
              <w:rPr>
                <w:sz w:val="17"/>
                <w:szCs w:val="17"/>
              </w:rPr>
              <w:t>§§</w:t>
            </w:r>
            <w:r>
              <w:rPr>
                <w:sz w:val="17"/>
                <w:szCs w:val="17"/>
              </w:rPr>
              <w:t xml:space="preserve"> 62 and 63) have been amended but </w:t>
            </w:r>
            <w:r w:rsidR="00215B25">
              <w:rPr>
                <w:sz w:val="17"/>
                <w:szCs w:val="17"/>
              </w:rPr>
              <w:t>do still not clarify</w:t>
            </w:r>
            <w:r w:rsidR="00BE1DCB">
              <w:rPr>
                <w:sz w:val="17"/>
                <w:szCs w:val="17"/>
              </w:rPr>
              <w:t xml:space="preserve"> the appropriate treatment of leased assets</w:t>
            </w:r>
            <w:r w:rsidR="00294CF2">
              <w:rPr>
                <w:sz w:val="17"/>
                <w:szCs w:val="17"/>
              </w:rPr>
              <w:t>. We recommend amending it accordingly, to ensure</w:t>
            </w:r>
            <w:r w:rsidR="005B76D5">
              <w:rPr>
                <w:sz w:val="17"/>
                <w:szCs w:val="17"/>
              </w:rPr>
              <w:t xml:space="preserve"> consistency and avoid over-interpretation in reporting practices. </w:t>
            </w:r>
          </w:p>
        </w:tc>
      </w:tr>
      <w:tr w:rsidR="006A7FB2" w14:paraId="6D058F8C" w14:textId="77777777" w:rsidTr="004B2127">
        <w:tc>
          <w:tcPr>
            <w:tcW w:w="1980" w:type="dxa"/>
          </w:tcPr>
          <w:p w14:paraId="7A096157" w14:textId="465FD920" w:rsidR="006A7FB2" w:rsidRDefault="006A7FB2" w:rsidP="00087738">
            <w:pPr>
              <w:spacing w:line="276" w:lineRule="auto"/>
              <w:rPr>
                <w:sz w:val="17"/>
                <w:szCs w:val="17"/>
              </w:rPr>
            </w:pPr>
            <w:r>
              <w:rPr>
                <w:sz w:val="17"/>
                <w:szCs w:val="17"/>
              </w:rPr>
              <w:t>ESRS 1</w:t>
            </w:r>
          </w:p>
        </w:tc>
        <w:tc>
          <w:tcPr>
            <w:tcW w:w="7592" w:type="dxa"/>
          </w:tcPr>
          <w:p w14:paraId="54E840AA" w14:textId="3AE1BA0F" w:rsidR="006A7FB2" w:rsidRPr="006A7FB2" w:rsidRDefault="006A7FB2" w:rsidP="00087738">
            <w:pPr>
              <w:spacing w:line="276" w:lineRule="auto"/>
              <w:rPr>
                <w:sz w:val="17"/>
                <w:szCs w:val="17"/>
              </w:rPr>
            </w:pPr>
            <w:r w:rsidRPr="006A7FB2">
              <w:rPr>
                <w:b/>
                <w:bCs/>
                <w:sz w:val="17"/>
                <w:szCs w:val="17"/>
              </w:rPr>
              <w:t>ESRS 1</w:t>
            </w:r>
            <w:r w:rsidR="00255545">
              <w:rPr>
                <w:b/>
                <w:bCs/>
                <w:sz w:val="17"/>
                <w:szCs w:val="17"/>
              </w:rPr>
              <w:t xml:space="preserve"> </w:t>
            </w:r>
            <w:r w:rsidRPr="006A7FB2">
              <w:rPr>
                <w:b/>
                <w:bCs/>
                <w:sz w:val="17"/>
                <w:szCs w:val="17"/>
              </w:rPr>
              <w:t>§81</w:t>
            </w:r>
            <w:r>
              <w:rPr>
                <w:sz w:val="17"/>
                <w:szCs w:val="17"/>
              </w:rPr>
              <w:t xml:space="preserve"> </w:t>
            </w:r>
            <w:r w:rsidRPr="00F4006E">
              <w:rPr>
                <w:sz w:val="17"/>
                <w:szCs w:val="17"/>
              </w:rPr>
              <w:t xml:space="preserve">still mandates the </w:t>
            </w:r>
            <w:r w:rsidRPr="006A7FB2">
              <w:rPr>
                <w:sz w:val="17"/>
                <w:szCs w:val="17"/>
              </w:rPr>
              <w:t>annual reassessment</w:t>
            </w:r>
            <w:r w:rsidRPr="00F4006E">
              <w:rPr>
                <w:sz w:val="17"/>
                <w:szCs w:val="17"/>
              </w:rPr>
              <w:t xml:space="preserve"> of materiality for all quantitative metrics, even if no change in material topics has occurred.</w:t>
            </w:r>
            <w:r>
              <w:rPr>
                <w:sz w:val="17"/>
                <w:szCs w:val="17"/>
              </w:rPr>
              <w:t xml:space="preserve"> </w:t>
            </w:r>
            <w:r w:rsidRPr="00F4006E">
              <w:rPr>
                <w:sz w:val="17"/>
                <w:szCs w:val="17"/>
              </w:rPr>
              <w:t xml:space="preserve">We propose recommending the deletion of this requirement or clarifying that reassessment is only necessary when </w:t>
            </w:r>
            <w:r>
              <w:rPr>
                <w:sz w:val="17"/>
                <w:szCs w:val="17"/>
              </w:rPr>
              <w:t>material</w:t>
            </w:r>
            <w:r w:rsidRPr="00F4006E">
              <w:rPr>
                <w:sz w:val="17"/>
                <w:szCs w:val="17"/>
              </w:rPr>
              <w:t xml:space="preserve"> changes occur.</w:t>
            </w:r>
          </w:p>
        </w:tc>
      </w:tr>
      <w:tr w:rsidR="00707487" w14:paraId="494A7A5B" w14:textId="77777777" w:rsidTr="004B2127">
        <w:tc>
          <w:tcPr>
            <w:tcW w:w="1980" w:type="dxa"/>
          </w:tcPr>
          <w:p w14:paraId="698B1EDE" w14:textId="70E4A8B3" w:rsidR="00707487" w:rsidRDefault="00707487" w:rsidP="00087738">
            <w:pPr>
              <w:spacing w:line="276" w:lineRule="auto"/>
              <w:rPr>
                <w:sz w:val="17"/>
                <w:szCs w:val="17"/>
              </w:rPr>
            </w:pPr>
            <w:r>
              <w:rPr>
                <w:sz w:val="17"/>
                <w:szCs w:val="17"/>
              </w:rPr>
              <w:t>ESRS 2</w:t>
            </w:r>
          </w:p>
        </w:tc>
        <w:tc>
          <w:tcPr>
            <w:tcW w:w="7592" w:type="dxa"/>
          </w:tcPr>
          <w:p w14:paraId="192C0863" w14:textId="555129BE" w:rsidR="00707487" w:rsidRPr="00BF5468" w:rsidRDefault="00707487" w:rsidP="00087738">
            <w:pPr>
              <w:spacing w:line="276" w:lineRule="auto"/>
              <w:rPr>
                <w:b/>
                <w:bCs/>
                <w:sz w:val="17"/>
                <w:szCs w:val="17"/>
              </w:rPr>
            </w:pPr>
            <w:r w:rsidRPr="00707487">
              <w:rPr>
                <w:b/>
                <w:bCs/>
                <w:sz w:val="17"/>
                <w:szCs w:val="17"/>
              </w:rPr>
              <w:t xml:space="preserve">SBM-1 §17 </w:t>
            </w:r>
            <w:r w:rsidRPr="00770FC9">
              <w:rPr>
                <w:sz w:val="17"/>
                <w:szCs w:val="17"/>
              </w:rPr>
              <w:t>(previously §40) on key elements of strategy related to IROs</w:t>
            </w:r>
            <w:r w:rsidR="00770FC9">
              <w:rPr>
                <w:sz w:val="17"/>
                <w:szCs w:val="17"/>
              </w:rPr>
              <w:t xml:space="preserve"> has been amended but not deleted. </w:t>
            </w:r>
            <w:r w:rsidR="00D6302A" w:rsidRPr="00996C16">
              <w:rPr>
                <w:sz w:val="17"/>
                <w:szCs w:val="17"/>
              </w:rPr>
              <w:t>We suggest</w:t>
            </w:r>
            <w:r w:rsidR="00D6302A">
              <w:rPr>
                <w:sz w:val="17"/>
                <w:szCs w:val="17"/>
              </w:rPr>
              <w:t xml:space="preserve"> deleting this datapoint to reduce complexity and unnecessary reporting burden.</w:t>
            </w:r>
          </w:p>
        </w:tc>
      </w:tr>
      <w:tr w:rsidR="00770FC9" w14:paraId="00186959" w14:textId="77777777" w:rsidTr="004B2127">
        <w:tc>
          <w:tcPr>
            <w:tcW w:w="1980" w:type="dxa"/>
          </w:tcPr>
          <w:p w14:paraId="2A8F963B" w14:textId="2D0401D2" w:rsidR="00770FC9" w:rsidRDefault="00770FC9" w:rsidP="00087738">
            <w:pPr>
              <w:spacing w:line="276" w:lineRule="auto"/>
              <w:rPr>
                <w:sz w:val="17"/>
                <w:szCs w:val="17"/>
              </w:rPr>
            </w:pPr>
            <w:r>
              <w:rPr>
                <w:sz w:val="17"/>
                <w:szCs w:val="17"/>
              </w:rPr>
              <w:lastRenderedPageBreak/>
              <w:t>ESRS 2</w:t>
            </w:r>
          </w:p>
        </w:tc>
        <w:tc>
          <w:tcPr>
            <w:tcW w:w="7592" w:type="dxa"/>
          </w:tcPr>
          <w:p w14:paraId="61832B13" w14:textId="19EDAFE0" w:rsidR="00770FC9" w:rsidRPr="00770FC9" w:rsidRDefault="00770FC9" w:rsidP="00770FC9">
            <w:pPr>
              <w:rPr>
                <w:sz w:val="17"/>
                <w:szCs w:val="17"/>
              </w:rPr>
            </w:pPr>
            <w:r w:rsidRPr="00770FC9">
              <w:rPr>
                <w:b/>
                <w:bCs/>
                <w:sz w:val="17"/>
                <w:szCs w:val="17"/>
              </w:rPr>
              <w:t xml:space="preserve">SBM-2 §20 </w:t>
            </w:r>
            <w:r w:rsidRPr="00D43A11">
              <w:rPr>
                <w:sz w:val="17"/>
                <w:szCs w:val="17"/>
              </w:rPr>
              <w:t>(</w:t>
            </w:r>
            <w:r>
              <w:rPr>
                <w:sz w:val="17"/>
                <w:szCs w:val="17"/>
              </w:rPr>
              <w:t>previously</w:t>
            </w:r>
            <w:r w:rsidRPr="00D43A11">
              <w:rPr>
                <w:sz w:val="17"/>
                <w:szCs w:val="17"/>
              </w:rPr>
              <w:t xml:space="preserve"> §</w:t>
            </w:r>
            <w:r>
              <w:rPr>
                <w:sz w:val="17"/>
                <w:szCs w:val="17"/>
              </w:rPr>
              <w:t>45</w:t>
            </w:r>
            <w:r w:rsidRPr="00D43A11">
              <w:rPr>
                <w:sz w:val="17"/>
                <w:szCs w:val="17"/>
              </w:rPr>
              <w:t>)</w:t>
            </w:r>
            <w:r>
              <w:rPr>
                <w:sz w:val="17"/>
                <w:szCs w:val="17"/>
              </w:rPr>
              <w:t xml:space="preserve"> on interests and views of stakeholders has been amended but not deleted. </w:t>
            </w:r>
            <w:r w:rsidR="00D6302A" w:rsidRPr="00996C16">
              <w:rPr>
                <w:sz w:val="17"/>
                <w:szCs w:val="17"/>
              </w:rPr>
              <w:t>We suggest</w:t>
            </w:r>
            <w:r w:rsidR="00D6302A">
              <w:rPr>
                <w:sz w:val="17"/>
                <w:szCs w:val="17"/>
              </w:rPr>
              <w:t xml:space="preserve"> deleting this datapoint to reduce complexity and unnecessary reporting burden.</w:t>
            </w:r>
          </w:p>
        </w:tc>
      </w:tr>
      <w:tr w:rsidR="00450A56" w14:paraId="199CB605" w14:textId="77777777" w:rsidTr="004B2127">
        <w:tc>
          <w:tcPr>
            <w:tcW w:w="1980" w:type="dxa"/>
          </w:tcPr>
          <w:p w14:paraId="24765FEF" w14:textId="4B1949E0" w:rsidR="00450A56" w:rsidRDefault="00450A56" w:rsidP="00087738">
            <w:pPr>
              <w:spacing w:line="276" w:lineRule="auto"/>
              <w:rPr>
                <w:sz w:val="17"/>
                <w:szCs w:val="17"/>
              </w:rPr>
            </w:pPr>
            <w:r>
              <w:rPr>
                <w:sz w:val="17"/>
                <w:szCs w:val="17"/>
              </w:rPr>
              <w:t>ESRS 2</w:t>
            </w:r>
          </w:p>
        </w:tc>
        <w:tc>
          <w:tcPr>
            <w:tcW w:w="7592" w:type="dxa"/>
          </w:tcPr>
          <w:p w14:paraId="6C4B2378" w14:textId="241E552D" w:rsidR="00450A56" w:rsidRPr="00450A56" w:rsidRDefault="00450A56" w:rsidP="00770FC9">
            <w:pPr>
              <w:rPr>
                <w:sz w:val="17"/>
                <w:szCs w:val="17"/>
              </w:rPr>
            </w:pPr>
            <w:r w:rsidRPr="00450A56">
              <w:rPr>
                <w:b/>
                <w:bCs/>
                <w:sz w:val="17"/>
                <w:szCs w:val="17"/>
              </w:rPr>
              <w:t>SBM-3 §22</w:t>
            </w:r>
            <w:r w:rsidRPr="00D43A11">
              <w:rPr>
                <w:sz w:val="17"/>
                <w:szCs w:val="17"/>
              </w:rPr>
              <w:t xml:space="preserve"> (</w:t>
            </w:r>
            <w:r>
              <w:rPr>
                <w:sz w:val="17"/>
                <w:szCs w:val="17"/>
              </w:rPr>
              <w:t>previously</w:t>
            </w:r>
            <w:r w:rsidRPr="00D43A11">
              <w:rPr>
                <w:sz w:val="17"/>
                <w:szCs w:val="17"/>
              </w:rPr>
              <w:t xml:space="preserve"> §</w:t>
            </w:r>
            <w:r>
              <w:rPr>
                <w:sz w:val="17"/>
                <w:szCs w:val="17"/>
              </w:rPr>
              <w:t>48</w:t>
            </w:r>
            <w:r w:rsidRPr="00D43A11">
              <w:rPr>
                <w:sz w:val="17"/>
                <w:szCs w:val="17"/>
              </w:rPr>
              <w:t>)</w:t>
            </w:r>
            <w:r>
              <w:rPr>
                <w:sz w:val="17"/>
                <w:szCs w:val="17"/>
              </w:rPr>
              <w:t xml:space="preserve"> on the interaction of material IROs with business model has been amended but not deleted. </w:t>
            </w:r>
            <w:r w:rsidR="000F0F67" w:rsidRPr="00996C16">
              <w:rPr>
                <w:sz w:val="17"/>
                <w:szCs w:val="17"/>
              </w:rPr>
              <w:t>We suggest</w:t>
            </w:r>
            <w:r w:rsidR="000F0F67">
              <w:rPr>
                <w:sz w:val="17"/>
                <w:szCs w:val="17"/>
              </w:rPr>
              <w:t xml:space="preserve"> deleting this datapoint to reduce complexity and unnecessary reporting burden.</w:t>
            </w:r>
          </w:p>
        </w:tc>
      </w:tr>
      <w:tr w:rsidR="00450A56" w14:paraId="2FD23795" w14:textId="77777777" w:rsidTr="004B2127">
        <w:tc>
          <w:tcPr>
            <w:tcW w:w="1980" w:type="dxa"/>
          </w:tcPr>
          <w:p w14:paraId="1A6E6616" w14:textId="2433E653" w:rsidR="00450A56" w:rsidRDefault="00450A56" w:rsidP="00087738">
            <w:pPr>
              <w:spacing w:line="276" w:lineRule="auto"/>
              <w:rPr>
                <w:sz w:val="17"/>
                <w:szCs w:val="17"/>
              </w:rPr>
            </w:pPr>
            <w:r>
              <w:rPr>
                <w:sz w:val="17"/>
                <w:szCs w:val="17"/>
              </w:rPr>
              <w:t>ESRS 2</w:t>
            </w:r>
          </w:p>
        </w:tc>
        <w:tc>
          <w:tcPr>
            <w:tcW w:w="7592" w:type="dxa"/>
          </w:tcPr>
          <w:p w14:paraId="184F2885" w14:textId="23E1D1D7" w:rsidR="00450A56" w:rsidRPr="00450A56" w:rsidRDefault="00450A56" w:rsidP="00770FC9">
            <w:pPr>
              <w:rPr>
                <w:sz w:val="17"/>
                <w:szCs w:val="17"/>
              </w:rPr>
            </w:pPr>
            <w:r w:rsidRPr="00450A56">
              <w:rPr>
                <w:b/>
                <w:bCs/>
                <w:sz w:val="17"/>
                <w:szCs w:val="17"/>
              </w:rPr>
              <w:t>IRO-1 §26</w:t>
            </w:r>
            <w:r w:rsidRPr="00D43A11">
              <w:rPr>
                <w:sz w:val="17"/>
                <w:szCs w:val="17"/>
              </w:rPr>
              <w:t xml:space="preserve"> (</w:t>
            </w:r>
            <w:r>
              <w:rPr>
                <w:sz w:val="17"/>
                <w:szCs w:val="17"/>
              </w:rPr>
              <w:t>previously</w:t>
            </w:r>
            <w:r w:rsidRPr="00D43A11">
              <w:rPr>
                <w:sz w:val="17"/>
                <w:szCs w:val="17"/>
              </w:rPr>
              <w:t xml:space="preserve"> §</w:t>
            </w:r>
            <w:r>
              <w:rPr>
                <w:sz w:val="17"/>
                <w:szCs w:val="17"/>
              </w:rPr>
              <w:t>53</w:t>
            </w:r>
            <w:r w:rsidRPr="00D43A11">
              <w:rPr>
                <w:sz w:val="17"/>
                <w:szCs w:val="17"/>
              </w:rPr>
              <w:t>)</w:t>
            </w:r>
            <w:r>
              <w:rPr>
                <w:sz w:val="17"/>
                <w:szCs w:val="17"/>
              </w:rPr>
              <w:t xml:space="preserve"> on description of </w:t>
            </w:r>
            <w:r w:rsidR="00157F43" w:rsidRPr="00157F43">
              <w:rPr>
                <w:sz w:val="17"/>
                <w:szCs w:val="17"/>
              </w:rPr>
              <w:t xml:space="preserve">whether and how the process </w:t>
            </w:r>
            <w:r w:rsidR="00157F43">
              <w:rPr>
                <w:sz w:val="17"/>
                <w:szCs w:val="17"/>
              </w:rPr>
              <w:t xml:space="preserve">to identify and assess IROs and material information to be reported </w:t>
            </w:r>
            <w:r w:rsidR="00157F43" w:rsidRPr="00157F43">
              <w:rPr>
                <w:sz w:val="17"/>
                <w:szCs w:val="17"/>
              </w:rPr>
              <w:t>has changed compared to the prior reporting period</w:t>
            </w:r>
            <w:r w:rsidR="00157F43">
              <w:rPr>
                <w:sz w:val="17"/>
                <w:szCs w:val="17"/>
              </w:rPr>
              <w:t xml:space="preserve"> </w:t>
            </w:r>
            <w:r>
              <w:rPr>
                <w:sz w:val="17"/>
                <w:szCs w:val="17"/>
              </w:rPr>
              <w:t xml:space="preserve">has been amended but not deleted. </w:t>
            </w:r>
            <w:r w:rsidR="000F0F67" w:rsidRPr="00996C16">
              <w:rPr>
                <w:sz w:val="17"/>
                <w:szCs w:val="17"/>
              </w:rPr>
              <w:t>We suggest</w:t>
            </w:r>
            <w:r w:rsidR="000F0F67">
              <w:rPr>
                <w:sz w:val="17"/>
                <w:szCs w:val="17"/>
              </w:rPr>
              <w:t xml:space="preserve"> deleting this datapoint to reduce complexity and unnecessary reporting burden.</w:t>
            </w:r>
          </w:p>
        </w:tc>
      </w:tr>
      <w:tr w:rsidR="00523867" w14:paraId="5F5C34FD" w14:textId="77777777" w:rsidTr="004B2127">
        <w:tc>
          <w:tcPr>
            <w:tcW w:w="1980" w:type="dxa"/>
          </w:tcPr>
          <w:p w14:paraId="4B17AABE" w14:textId="6DDEE99D" w:rsidR="00523867" w:rsidRPr="00523867" w:rsidRDefault="00523867" w:rsidP="00087738">
            <w:pPr>
              <w:spacing w:line="276" w:lineRule="auto"/>
              <w:rPr>
                <w:b/>
                <w:bCs/>
                <w:sz w:val="17"/>
                <w:szCs w:val="17"/>
              </w:rPr>
            </w:pPr>
            <w:r>
              <w:rPr>
                <w:sz w:val="17"/>
                <w:szCs w:val="17"/>
              </w:rPr>
              <w:t>ESRS 2</w:t>
            </w:r>
          </w:p>
        </w:tc>
        <w:tc>
          <w:tcPr>
            <w:tcW w:w="7592" w:type="dxa"/>
          </w:tcPr>
          <w:p w14:paraId="65FE1443" w14:textId="2B0995C3" w:rsidR="00523867" w:rsidRPr="00523867" w:rsidRDefault="00523867" w:rsidP="00523867">
            <w:pPr>
              <w:rPr>
                <w:sz w:val="17"/>
                <w:szCs w:val="17"/>
              </w:rPr>
            </w:pPr>
            <w:r w:rsidRPr="00523867">
              <w:rPr>
                <w:b/>
                <w:bCs/>
                <w:sz w:val="17"/>
                <w:szCs w:val="17"/>
              </w:rPr>
              <w:t>GDR-P §34</w:t>
            </w:r>
            <w:r w:rsidRPr="00D43A11">
              <w:rPr>
                <w:sz w:val="17"/>
                <w:szCs w:val="17"/>
              </w:rPr>
              <w:t xml:space="preserve"> (</w:t>
            </w:r>
            <w:r>
              <w:rPr>
                <w:sz w:val="17"/>
                <w:szCs w:val="17"/>
              </w:rPr>
              <w:t>previously</w:t>
            </w:r>
            <w:r w:rsidRPr="00D43A11">
              <w:rPr>
                <w:sz w:val="17"/>
                <w:szCs w:val="17"/>
              </w:rPr>
              <w:t xml:space="preserve"> </w:t>
            </w:r>
            <w:r>
              <w:rPr>
                <w:sz w:val="17"/>
                <w:szCs w:val="17"/>
              </w:rPr>
              <w:t>M</w:t>
            </w:r>
            <w:r w:rsidRPr="00D43A11">
              <w:rPr>
                <w:sz w:val="17"/>
                <w:szCs w:val="17"/>
              </w:rPr>
              <w:t>DR-P §</w:t>
            </w:r>
            <w:r>
              <w:rPr>
                <w:sz w:val="17"/>
                <w:szCs w:val="17"/>
              </w:rPr>
              <w:t>65</w:t>
            </w:r>
            <w:r w:rsidRPr="00D43A11">
              <w:rPr>
                <w:sz w:val="17"/>
                <w:szCs w:val="17"/>
              </w:rPr>
              <w:t>)</w:t>
            </w:r>
            <w:r>
              <w:rPr>
                <w:sz w:val="17"/>
                <w:szCs w:val="17"/>
              </w:rPr>
              <w:t xml:space="preserve"> on policies adopted to manage IROs has been amended but not deleted. </w:t>
            </w:r>
            <w:r w:rsidR="007F2BC2" w:rsidRPr="00996C16">
              <w:rPr>
                <w:sz w:val="17"/>
                <w:szCs w:val="17"/>
              </w:rPr>
              <w:t>We suggest</w:t>
            </w:r>
            <w:r w:rsidR="007F2BC2">
              <w:rPr>
                <w:sz w:val="17"/>
                <w:szCs w:val="17"/>
              </w:rPr>
              <w:t xml:space="preserve"> deleting this datapoint to reduce complexity and unnecessary reporting burden.</w:t>
            </w:r>
          </w:p>
        </w:tc>
      </w:tr>
      <w:tr w:rsidR="00523867" w14:paraId="581E17AF" w14:textId="77777777" w:rsidTr="004B2127">
        <w:tc>
          <w:tcPr>
            <w:tcW w:w="1980" w:type="dxa"/>
          </w:tcPr>
          <w:p w14:paraId="602FE3D4" w14:textId="1BB512EA" w:rsidR="00523867" w:rsidRDefault="00523867" w:rsidP="00087738">
            <w:pPr>
              <w:spacing w:line="276" w:lineRule="auto"/>
              <w:rPr>
                <w:sz w:val="17"/>
                <w:szCs w:val="17"/>
              </w:rPr>
            </w:pPr>
            <w:r>
              <w:rPr>
                <w:sz w:val="17"/>
                <w:szCs w:val="17"/>
              </w:rPr>
              <w:t>ESRS 2</w:t>
            </w:r>
          </w:p>
        </w:tc>
        <w:tc>
          <w:tcPr>
            <w:tcW w:w="7592" w:type="dxa"/>
          </w:tcPr>
          <w:p w14:paraId="28441D20" w14:textId="70D6D7F2" w:rsidR="00523867" w:rsidRDefault="00433A82" w:rsidP="00523867">
            <w:pPr>
              <w:rPr>
                <w:sz w:val="17"/>
                <w:szCs w:val="17"/>
              </w:rPr>
            </w:pPr>
            <w:r w:rsidRPr="00523867">
              <w:rPr>
                <w:b/>
                <w:bCs/>
                <w:sz w:val="17"/>
                <w:szCs w:val="17"/>
              </w:rPr>
              <w:t>GDR-A §37</w:t>
            </w:r>
            <w:r w:rsidRPr="00523867">
              <w:rPr>
                <w:sz w:val="17"/>
                <w:szCs w:val="17"/>
              </w:rPr>
              <w:t xml:space="preserve"> (previously MDR-A §68) </w:t>
            </w:r>
            <w:r w:rsidR="00523867" w:rsidRPr="00523867">
              <w:rPr>
                <w:sz w:val="17"/>
                <w:szCs w:val="17"/>
              </w:rPr>
              <w:t>on key actions to manage IROs</w:t>
            </w:r>
            <w:r w:rsidR="00523867">
              <w:rPr>
                <w:sz w:val="17"/>
                <w:szCs w:val="17"/>
              </w:rPr>
              <w:t xml:space="preserve"> has been amended but not deleted. </w:t>
            </w:r>
            <w:r w:rsidR="007F2BC2" w:rsidRPr="00996C16">
              <w:rPr>
                <w:sz w:val="17"/>
                <w:szCs w:val="17"/>
              </w:rPr>
              <w:t>We suggest</w:t>
            </w:r>
            <w:r w:rsidR="007F2BC2">
              <w:rPr>
                <w:sz w:val="17"/>
                <w:szCs w:val="17"/>
              </w:rPr>
              <w:t xml:space="preserve"> deleting this datapoint to reduce complexity and unnecessary reporting burden.</w:t>
            </w:r>
          </w:p>
        </w:tc>
      </w:tr>
      <w:tr w:rsidR="00433A82" w14:paraId="25E06E3D" w14:textId="77777777" w:rsidTr="004B2127">
        <w:tc>
          <w:tcPr>
            <w:tcW w:w="1980" w:type="dxa"/>
          </w:tcPr>
          <w:p w14:paraId="3BED4CD9" w14:textId="3BBFA86F" w:rsidR="00433A82" w:rsidRDefault="00433A82" w:rsidP="00087738">
            <w:pPr>
              <w:spacing w:line="276" w:lineRule="auto"/>
              <w:rPr>
                <w:sz w:val="17"/>
                <w:szCs w:val="17"/>
              </w:rPr>
            </w:pPr>
            <w:r>
              <w:rPr>
                <w:sz w:val="17"/>
                <w:szCs w:val="17"/>
              </w:rPr>
              <w:t>ESRS 2</w:t>
            </w:r>
          </w:p>
        </w:tc>
        <w:tc>
          <w:tcPr>
            <w:tcW w:w="7592" w:type="dxa"/>
          </w:tcPr>
          <w:p w14:paraId="19A9E5C5" w14:textId="0ECE06C2" w:rsidR="00433A82" w:rsidRPr="00523867" w:rsidRDefault="00433A82" w:rsidP="00523867">
            <w:pPr>
              <w:rPr>
                <w:b/>
                <w:bCs/>
                <w:sz w:val="17"/>
                <w:szCs w:val="17"/>
              </w:rPr>
            </w:pPr>
            <w:r w:rsidRPr="00523867">
              <w:rPr>
                <w:b/>
                <w:bCs/>
                <w:sz w:val="17"/>
                <w:szCs w:val="17"/>
              </w:rPr>
              <w:t>GDR-A §3</w:t>
            </w:r>
            <w:r>
              <w:rPr>
                <w:b/>
                <w:bCs/>
                <w:sz w:val="17"/>
                <w:szCs w:val="17"/>
              </w:rPr>
              <w:t>8</w:t>
            </w:r>
            <w:r w:rsidRPr="00523867">
              <w:rPr>
                <w:sz w:val="17"/>
                <w:szCs w:val="17"/>
              </w:rPr>
              <w:t xml:space="preserve"> (previously MDR-A §6</w:t>
            </w:r>
            <w:r>
              <w:rPr>
                <w:sz w:val="17"/>
                <w:szCs w:val="17"/>
              </w:rPr>
              <w:t>9</w:t>
            </w:r>
            <w:r w:rsidRPr="00523867">
              <w:rPr>
                <w:sz w:val="17"/>
                <w:szCs w:val="17"/>
              </w:rPr>
              <w:t>)</w:t>
            </w:r>
            <w:r w:rsidR="00482BFA">
              <w:rPr>
                <w:sz w:val="17"/>
                <w:szCs w:val="17"/>
              </w:rPr>
              <w:t xml:space="preserve"> w</w:t>
            </w:r>
            <w:r w:rsidR="00482BFA" w:rsidRPr="00482BFA">
              <w:rPr>
                <w:sz w:val="17"/>
                <w:szCs w:val="17"/>
              </w:rPr>
              <w:t>here significant resources (operational and/or capital expenditure) have been or are expected to be allocated to the implementation of the key actions</w:t>
            </w:r>
            <w:r w:rsidR="00482BFA">
              <w:rPr>
                <w:sz w:val="17"/>
                <w:szCs w:val="17"/>
              </w:rPr>
              <w:t xml:space="preserve"> has been amended but not removed. We suggest deleting</w:t>
            </w:r>
            <w:r w:rsidR="00687BB5">
              <w:rPr>
                <w:sz w:val="17"/>
                <w:szCs w:val="17"/>
              </w:rPr>
              <w:t xml:space="preserve"> this datapoint, as </w:t>
            </w:r>
            <w:r w:rsidR="00BB4831">
              <w:rPr>
                <w:sz w:val="17"/>
                <w:szCs w:val="17"/>
              </w:rPr>
              <w:t>it risks disclosing sensitive business information</w:t>
            </w:r>
            <w:r w:rsidR="00E53CFA">
              <w:rPr>
                <w:sz w:val="17"/>
                <w:szCs w:val="17"/>
              </w:rPr>
              <w:t>.</w:t>
            </w:r>
          </w:p>
        </w:tc>
      </w:tr>
      <w:tr w:rsidR="00523867" w14:paraId="2CC1A098" w14:textId="77777777" w:rsidTr="004B2127">
        <w:tc>
          <w:tcPr>
            <w:tcW w:w="1980" w:type="dxa"/>
          </w:tcPr>
          <w:p w14:paraId="2C41872C" w14:textId="0CA35D9F" w:rsidR="00523867" w:rsidRDefault="00523867" w:rsidP="00087738">
            <w:pPr>
              <w:spacing w:line="276" w:lineRule="auto"/>
              <w:rPr>
                <w:sz w:val="17"/>
                <w:szCs w:val="17"/>
              </w:rPr>
            </w:pPr>
            <w:r>
              <w:rPr>
                <w:sz w:val="17"/>
                <w:szCs w:val="17"/>
              </w:rPr>
              <w:t>ESRS 2</w:t>
            </w:r>
          </w:p>
        </w:tc>
        <w:tc>
          <w:tcPr>
            <w:tcW w:w="7592" w:type="dxa"/>
          </w:tcPr>
          <w:p w14:paraId="68EB7A59" w14:textId="5E0D760D" w:rsidR="00523867" w:rsidRPr="00523867" w:rsidRDefault="00523867" w:rsidP="00523867">
            <w:pPr>
              <w:rPr>
                <w:sz w:val="17"/>
                <w:szCs w:val="17"/>
              </w:rPr>
            </w:pPr>
            <w:r w:rsidRPr="00523867">
              <w:rPr>
                <w:b/>
                <w:bCs/>
                <w:sz w:val="17"/>
                <w:szCs w:val="17"/>
              </w:rPr>
              <w:t>GDR-T §§43 and 44</w:t>
            </w:r>
            <w:r w:rsidRPr="00D43A11">
              <w:rPr>
                <w:sz w:val="17"/>
                <w:szCs w:val="17"/>
              </w:rPr>
              <w:t xml:space="preserve"> (</w:t>
            </w:r>
            <w:r>
              <w:rPr>
                <w:sz w:val="17"/>
                <w:szCs w:val="17"/>
              </w:rPr>
              <w:t>previously</w:t>
            </w:r>
            <w:r w:rsidRPr="00D43A11">
              <w:rPr>
                <w:sz w:val="17"/>
                <w:szCs w:val="17"/>
              </w:rPr>
              <w:t xml:space="preserve"> </w:t>
            </w:r>
            <w:r>
              <w:rPr>
                <w:sz w:val="17"/>
                <w:szCs w:val="17"/>
              </w:rPr>
              <w:t>M</w:t>
            </w:r>
            <w:r w:rsidRPr="00D43A11">
              <w:rPr>
                <w:sz w:val="17"/>
                <w:szCs w:val="17"/>
              </w:rPr>
              <w:t>DR-T §§</w:t>
            </w:r>
            <w:r>
              <w:rPr>
                <w:sz w:val="17"/>
                <w:szCs w:val="17"/>
              </w:rPr>
              <w:t>80</w:t>
            </w:r>
            <w:r w:rsidRPr="00D43A11">
              <w:rPr>
                <w:sz w:val="17"/>
                <w:szCs w:val="17"/>
              </w:rPr>
              <w:t xml:space="preserve"> and </w:t>
            </w:r>
            <w:r>
              <w:rPr>
                <w:sz w:val="17"/>
                <w:szCs w:val="17"/>
              </w:rPr>
              <w:t>81</w:t>
            </w:r>
            <w:r w:rsidRPr="00D43A11">
              <w:rPr>
                <w:sz w:val="17"/>
                <w:szCs w:val="17"/>
              </w:rPr>
              <w:t>)</w:t>
            </w:r>
            <w:r>
              <w:rPr>
                <w:sz w:val="17"/>
                <w:szCs w:val="17"/>
              </w:rPr>
              <w:t xml:space="preserve"> on quantitative targets have been amended but not deleted. </w:t>
            </w:r>
            <w:r w:rsidR="007F2BC2" w:rsidRPr="00996C16">
              <w:rPr>
                <w:sz w:val="17"/>
                <w:szCs w:val="17"/>
              </w:rPr>
              <w:t>We suggest</w:t>
            </w:r>
            <w:r w:rsidR="007F2BC2">
              <w:rPr>
                <w:sz w:val="17"/>
                <w:szCs w:val="17"/>
              </w:rPr>
              <w:t xml:space="preserve"> deleting this datapoint to reduce complexity and unnecessary reporting burden.</w:t>
            </w:r>
          </w:p>
        </w:tc>
      </w:tr>
      <w:tr w:rsidR="00172ABE" w14:paraId="24917E6B" w14:textId="77777777" w:rsidTr="004B2127">
        <w:tc>
          <w:tcPr>
            <w:tcW w:w="1980" w:type="dxa"/>
          </w:tcPr>
          <w:p w14:paraId="6C6EC9F0" w14:textId="479B999C" w:rsidR="00172ABE" w:rsidRDefault="00172ABE" w:rsidP="00087738">
            <w:pPr>
              <w:spacing w:line="276" w:lineRule="auto"/>
              <w:rPr>
                <w:sz w:val="17"/>
                <w:szCs w:val="17"/>
              </w:rPr>
            </w:pPr>
            <w:r>
              <w:rPr>
                <w:sz w:val="17"/>
                <w:szCs w:val="17"/>
              </w:rPr>
              <w:t>ESRS E1</w:t>
            </w:r>
          </w:p>
        </w:tc>
        <w:tc>
          <w:tcPr>
            <w:tcW w:w="7592" w:type="dxa"/>
          </w:tcPr>
          <w:p w14:paraId="7145F9EA" w14:textId="0C54E377" w:rsidR="00172ABE" w:rsidRDefault="006B375C" w:rsidP="00087738">
            <w:pPr>
              <w:spacing w:line="276" w:lineRule="auto"/>
              <w:rPr>
                <w:sz w:val="17"/>
                <w:szCs w:val="17"/>
              </w:rPr>
            </w:pPr>
            <w:r>
              <w:rPr>
                <w:sz w:val="17"/>
                <w:szCs w:val="17"/>
              </w:rPr>
              <w:t>…</w:t>
            </w:r>
          </w:p>
        </w:tc>
      </w:tr>
      <w:tr w:rsidR="00320AAA" w14:paraId="5D105DF0" w14:textId="77777777" w:rsidTr="004B2127">
        <w:tc>
          <w:tcPr>
            <w:tcW w:w="1980" w:type="dxa"/>
          </w:tcPr>
          <w:p w14:paraId="0C03B089" w14:textId="55DF304C" w:rsidR="00320AAA" w:rsidRDefault="00320AAA" w:rsidP="00320AAA">
            <w:pPr>
              <w:spacing w:line="276" w:lineRule="auto"/>
              <w:rPr>
                <w:sz w:val="17"/>
                <w:szCs w:val="17"/>
              </w:rPr>
            </w:pPr>
            <w:r>
              <w:rPr>
                <w:sz w:val="17"/>
                <w:szCs w:val="17"/>
              </w:rPr>
              <w:t>ESRS E2</w:t>
            </w:r>
          </w:p>
        </w:tc>
        <w:tc>
          <w:tcPr>
            <w:tcW w:w="7592" w:type="dxa"/>
          </w:tcPr>
          <w:p w14:paraId="04982D59" w14:textId="3398A0D8" w:rsidR="00320AAA" w:rsidRDefault="006B375C" w:rsidP="00320AAA">
            <w:pPr>
              <w:spacing w:line="276" w:lineRule="auto"/>
              <w:rPr>
                <w:sz w:val="17"/>
                <w:szCs w:val="17"/>
              </w:rPr>
            </w:pPr>
            <w:r>
              <w:rPr>
                <w:sz w:val="17"/>
                <w:szCs w:val="17"/>
              </w:rPr>
              <w:t>…</w:t>
            </w:r>
          </w:p>
        </w:tc>
      </w:tr>
      <w:tr w:rsidR="00320AAA" w14:paraId="3ACF7E37" w14:textId="77777777" w:rsidTr="004B2127">
        <w:tc>
          <w:tcPr>
            <w:tcW w:w="1980" w:type="dxa"/>
          </w:tcPr>
          <w:p w14:paraId="528B0AC7" w14:textId="1144A852" w:rsidR="00320AAA" w:rsidRDefault="00320AAA" w:rsidP="00320AAA">
            <w:pPr>
              <w:spacing w:line="276" w:lineRule="auto"/>
              <w:rPr>
                <w:sz w:val="17"/>
                <w:szCs w:val="17"/>
              </w:rPr>
            </w:pPr>
            <w:r>
              <w:rPr>
                <w:sz w:val="17"/>
                <w:szCs w:val="17"/>
              </w:rPr>
              <w:t>ESRS E3</w:t>
            </w:r>
          </w:p>
        </w:tc>
        <w:tc>
          <w:tcPr>
            <w:tcW w:w="7592" w:type="dxa"/>
          </w:tcPr>
          <w:p w14:paraId="3B294F2E" w14:textId="015F3D7D" w:rsidR="00320AAA" w:rsidRDefault="006B375C" w:rsidP="00320AAA">
            <w:pPr>
              <w:spacing w:line="276" w:lineRule="auto"/>
              <w:rPr>
                <w:sz w:val="17"/>
                <w:szCs w:val="17"/>
              </w:rPr>
            </w:pPr>
            <w:r>
              <w:rPr>
                <w:sz w:val="17"/>
                <w:szCs w:val="17"/>
              </w:rPr>
              <w:t>…</w:t>
            </w:r>
          </w:p>
        </w:tc>
      </w:tr>
      <w:tr w:rsidR="00320AAA" w14:paraId="6D26ABAC" w14:textId="77777777" w:rsidTr="004B2127">
        <w:tc>
          <w:tcPr>
            <w:tcW w:w="1980" w:type="dxa"/>
          </w:tcPr>
          <w:p w14:paraId="6D888D9E" w14:textId="777A22EC" w:rsidR="00320AAA" w:rsidRDefault="00320AAA" w:rsidP="00320AAA">
            <w:pPr>
              <w:spacing w:line="276" w:lineRule="auto"/>
              <w:rPr>
                <w:sz w:val="17"/>
                <w:szCs w:val="17"/>
              </w:rPr>
            </w:pPr>
            <w:r>
              <w:rPr>
                <w:sz w:val="17"/>
                <w:szCs w:val="17"/>
              </w:rPr>
              <w:t>ESRS E4</w:t>
            </w:r>
          </w:p>
        </w:tc>
        <w:tc>
          <w:tcPr>
            <w:tcW w:w="7592" w:type="dxa"/>
          </w:tcPr>
          <w:p w14:paraId="2AADEB3F" w14:textId="3DC68EAC" w:rsidR="00320AAA" w:rsidRDefault="006B375C" w:rsidP="00320AAA">
            <w:pPr>
              <w:spacing w:line="276" w:lineRule="auto"/>
              <w:rPr>
                <w:sz w:val="17"/>
                <w:szCs w:val="17"/>
              </w:rPr>
            </w:pPr>
            <w:r>
              <w:rPr>
                <w:sz w:val="17"/>
                <w:szCs w:val="17"/>
              </w:rPr>
              <w:t>…</w:t>
            </w:r>
          </w:p>
        </w:tc>
      </w:tr>
      <w:tr w:rsidR="00320AAA" w14:paraId="2DE0E3A9" w14:textId="77777777" w:rsidTr="004B2127">
        <w:tc>
          <w:tcPr>
            <w:tcW w:w="1980" w:type="dxa"/>
          </w:tcPr>
          <w:p w14:paraId="1E960195" w14:textId="0B19B06D" w:rsidR="00320AAA" w:rsidRDefault="00320AAA" w:rsidP="00320AAA">
            <w:pPr>
              <w:spacing w:line="276" w:lineRule="auto"/>
              <w:rPr>
                <w:sz w:val="17"/>
                <w:szCs w:val="17"/>
              </w:rPr>
            </w:pPr>
            <w:r>
              <w:rPr>
                <w:sz w:val="17"/>
                <w:szCs w:val="17"/>
              </w:rPr>
              <w:t>ESRS E5</w:t>
            </w:r>
          </w:p>
        </w:tc>
        <w:tc>
          <w:tcPr>
            <w:tcW w:w="7592" w:type="dxa"/>
          </w:tcPr>
          <w:p w14:paraId="7BC77503" w14:textId="055C210D" w:rsidR="00320AAA" w:rsidRDefault="006B375C" w:rsidP="00320AAA">
            <w:pPr>
              <w:spacing w:line="276" w:lineRule="auto"/>
              <w:rPr>
                <w:sz w:val="17"/>
                <w:szCs w:val="17"/>
              </w:rPr>
            </w:pPr>
            <w:r>
              <w:rPr>
                <w:sz w:val="17"/>
                <w:szCs w:val="17"/>
              </w:rPr>
              <w:t>…</w:t>
            </w:r>
          </w:p>
        </w:tc>
      </w:tr>
      <w:tr w:rsidR="00320AAA" w14:paraId="5DF20493" w14:textId="77777777" w:rsidTr="004B2127">
        <w:tc>
          <w:tcPr>
            <w:tcW w:w="1980" w:type="dxa"/>
          </w:tcPr>
          <w:p w14:paraId="6A5675F0" w14:textId="4FD4F16A" w:rsidR="00320AAA" w:rsidRDefault="00320AAA" w:rsidP="00320AAA">
            <w:pPr>
              <w:spacing w:line="276" w:lineRule="auto"/>
              <w:rPr>
                <w:sz w:val="17"/>
                <w:szCs w:val="17"/>
              </w:rPr>
            </w:pPr>
            <w:r>
              <w:rPr>
                <w:sz w:val="17"/>
                <w:szCs w:val="17"/>
              </w:rPr>
              <w:t>ESRS S1</w:t>
            </w:r>
          </w:p>
        </w:tc>
        <w:tc>
          <w:tcPr>
            <w:tcW w:w="7592" w:type="dxa"/>
          </w:tcPr>
          <w:p w14:paraId="11F77938" w14:textId="3A6C9004" w:rsidR="00320AAA" w:rsidRDefault="006B375C" w:rsidP="00320AAA">
            <w:pPr>
              <w:spacing w:line="276" w:lineRule="auto"/>
              <w:rPr>
                <w:sz w:val="17"/>
                <w:szCs w:val="17"/>
              </w:rPr>
            </w:pPr>
            <w:r>
              <w:rPr>
                <w:sz w:val="17"/>
                <w:szCs w:val="17"/>
              </w:rPr>
              <w:t>…</w:t>
            </w:r>
          </w:p>
        </w:tc>
      </w:tr>
      <w:tr w:rsidR="00320AAA" w14:paraId="04A74BB7" w14:textId="77777777" w:rsidTr="004B2127">
        <w:tc>
          <w:tcPr>
            <w:tcW w:w="1980" w:type="dxa"/>
          </w:tcPr>
          <w:p w14:paraId="44371566" w14:textId="0861AF36" w:rsidR="00320AAA" w:rsidRDefault="00320AAA" w:rsidP="00320AAA">
            <w:pPr>
              <w:spacing w:line="276" w:lineRule="auto"/>
              <w:rPr>
                <w:sz w:val="17"/>
                <w:szCs w:val="17"/>
              </w:rPr>
            </w:pPr>
            <w:r>
              <w:rPr>
                <w:sz w:val="17"/>
                <w:szCs w:val="17"/>
              </w:rPr>
              <w:t>ESRS S2</w:t>
            </w:r>
          </w:p>
        </w:tc>
        <w:tc>
          <w:tcPr>
            <w:tcW w:w="7592" w:type="dxa"/>
          </w:tcPr>
          <w:p w14:paraId="103CB98F" w14:textId="71DDCE4E" w:rsidR="00320AAA" w:rsidRDefault="006B375C" w:rsidP="00320AAA">
            <w:pPr>
              <w:spacing w:line="276" w:lineRule="auto"/>
              <w:rPr>
                <w:sz w:val="17"/>
                <w:szCs w:val="17"/>
              </w:rPr>
            </w:pPr>
            <w:r>
              <w:rPr>
                <w:sz w:val="17"/>
                <w:szCs w:val="17"/>
              </w:rPr>
              <w:t>…</w:t>
            </w:r>
          </w:p>
        </w:tc>
      </w:tr>
      <w:tr w:rsidR="00320AAA" w14:paraId="09B5A44C" w14:textId="77777777" w:rsidTr="004B2127">
        <w:tc>
          <w:tcPr>
            <w:tcW w:w="1980" w:type="dxa"/>
          </w:tcPr>
          <w:p w14:paraId="292D46BC" w14:textId="31816B28" w:rsidR="00320AAA" w:rsidRDefault="00320AAA" w:rsidP="00320AAA">
            <w:pPr>
              <w:spacing w:line="276" w:lineRule="auto"/>
              <w:rPr>
                <w:sz w:val="17"/>
                <w:szCs w:val="17"/>
              </w:rPr>
            </w:pPr>
            <w:r>
              <w:rPr>
                <w:sz w:val="17"/>
                <w:szCs w:val="17"/>
              </w:rPr>
              <w:t>ESRS S3</w:t>
            </w:r>
          </w:p>
        </w:tc>
        <w:tc>
          <w:tcPr>
            <w:tcW w:w="7592" w:type="dxa"/>
          </w:tcPr>
          <w:p w14:paraId="48FF6AEB" w14:textId="654072E8" w:rsidR="00320AAA" w:rsidRDefault="006B375C" w:rsidP="00320AAA">
            <w:pPr>
              <w:spacing w:line="276" w:lineRule="auto"/>
              <w:rPr>
                <w:sz w:val="17"/>
                <w:szCs w:val="17"/>
              </w:rPr>
            </w:pPr>
            <w:r>
              <w:rPr>
                <w:sz w:val="17"/>
                <w:szCs w:val="17"/>
              </w:rPr>
              <w:t>…</w:t>
            </w:r>
          </w:p>
        </w:tc>
      </w:tr>
      <w:tr w:rsidR="00320AAA" w14:paraId="72587CAA" w14:textId="77777777" w:rsidTr="004B2127">
        <w:tc>
          <w:tcPr>
            <w:tcW w:w="1980" w:type="dxa"/>
          </w:tcPr>
          <w:p w14:paraId="2F34B9E3" w14:textId="4AC94957" w:rsidR="00320AAA" w:rsidRDefault="00320AAA" w:rsidP="00320AAA">
            <w:pPr>
              <w:spacing w:line="276" w:lineRule="auto"/>
              <w:rPr>
                <w:sz w:val="17"/>
                <w:szCs w:val="17"/>
              </w:rPr>
            </w:pPr>
            <w:r>
              <w:rPr>
                <w:sz w:val="17"/>
                <w:szCs w:val="17"/>
              </w:rPr>
              <w:t>ESRS S4</w:t>
            </w:r>
          </w:p>
        </w:tc>
        <w:tc>
          <w:tcPr>
            <w:tcW w:w="7592" w:type="dxa"/>
          </w:tcPr>
          <w:p w14:paraId="14CC07EB" w14:textId="74850FC3" w:rsidR="00320AAA" w:rsidRDefault="006B375C" w:rsidP="00320AAA">
            <w:pPr>
              <w:spacing w:line="276" w:lineRule="auto"/>
              <w:rPr>
                <w:sz w:val="17"/>
                <w:szCs w:val="17"/>
              </w:rPr>
            </w:pPr>
            <w:r>
              <w:rPr>
                <w:sz w:val="17"/>
                <w:szCs w:val="17"/>
              </w:rPr>
              <w:t>…</w:t>
            </w:r>
          </w:p>
        </w:tc>
      </w:tr>
      <w:tr w:rsidR="00320AAA" w14:paraId="21F08397" w14:textId="77777777" w:rsidTr="004B2127">
        <w:tc>
          <w:tcPr>
            <w:tcW w:w="1980" w:type="dxa"/>
          </w:tcPr>
          <w:p w14:paraId="27F7732A" w14:textId="044D1444" w:rsidR="00320AAA" w:rsidRDefault="00320AAA" w:rsidP="00320AAA">
            <w:pPr>
              <w:spacing w:line="276" w:lineRule="auto"/>
              <w:rPr>
                <w:sz w:val="17"/>
                <w:szCs w:val="17"/>
              </w:rPr>
            </w:pPr>
            <w:r>
              <w:rPr>
                <w:sz w:val="17"/>
                <w:szCs w:val="17"/>
              </w:rPr>
              <w:t>ESRS G1</w:t>
            </w:r>
          </w:p>
        </w:tc>
        <w:tc>
          <w:tcPr>
            <w:tcW w:w="7592" w:type="dxa"/>
          </w:tcPr>
          <w:p w14:paraId="5B09CC53" w14:textId="2FBA91BE" w:rsidR="00320AAA" w:rsidRDefault="006B375C" w:rsidP="00320AAA">
            <w:pPr>
              <w:spacing w:line="276" w:lineRule="auto"/>
              <w:rPr>
                <w:sz w:val="17"/>
                <w:szCs w:val="17"/>
              </w:rPr>
            </w:pPr>
            <w:r>
              <w:rPr>
                <w:sz w:val="17"/>
                <w:szCs w:val="17"/>
              </w:rPr>
              <w:t>…</w:t>
            </w:r>
          </w:p>
        </w:tc>
      </w:tr>
    </w:tbl>
    <w:p w14:paraId="7ED036DE" w14:textId="77777777" w:rsidR="00B34559" w:rsidRDefault="00B34559" w:rsidP="00087738">
      <w:pPr>
        <w:spacing w:line="276" w:lineRule="auto"/>
        <w:rPr>
          <w:sz w:val="17"/>
          <w:szCs w:val="17"/>
        </w:rPr>
      </w:pPr>
    </w:p>
    <w:p w14:paraId="101C71C7" w14:textId="77777777" w:rsidR="00D45FBE" w:rsidRDefault="00D45FBE" w:rsidP="005F5CCF">
      <w:pPr>
        <w:spacing w:after="200" w:line="276" w:lineRule="auto"/>
        <w:rPr>
          <w:sz w:val="17"/>
          <w:szCs w:val="17"/>
        </w:rPr>
      </w:pPr>
    </w:p>
    <w:p w14:paraId="712C36B4" w14:textId="77777777" w:rsidR="00320AAA" w:rsidRDefault="00320AAA" w:rsidP="00320AAA">
      <w:pPr>
        <w:spacing w:line="276" w:lineRule="auto"/>
        <w:rPr>
          <w:sz w:val="17"/>
          <w:szCs w:val="17"/>
        </w:rPr>
      </w:pPr>
    </w:p>
    <w:p w14:paraId="33D24D73" w14:textId="77777777" w:rsidR="00320AAA" w:rsidRDefault="00320AAA" w:rsidP="005F5CCF">
      <w:pPr>
        <w:spacing w:after="200" w:line="276" w:lineRule="auto"/>
        <w:rPr>
          <w:sz w:val="17"/>
          <w:szCs w:val="17"/>
        </w:rPr>
      </w:pPr>
    </w:p>
    <w:sectPr w:rsidR="00320AAA" w:rsidSect="0016089A">
      <w:headerReference w:type="default" r:id="rId20"/>
      <w:footerReference w:type="default" r:id="rId21"/>
      <w:headerReference w:type="first" r:id="rId22"/>
      <w:footerReference w:type="first" r:id="rId23"/>
      <w:pgSz w:w="11907" w:h="16839" w:code="9"/>
      <w:pgMar w:top="2410" w:right="907" w:bottom="1253" w:left="1418" w:header="709" w:footer="1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7D779" w14:textId="77777777" w:rsidR="0037102B" w:rsidRDefault="0037102B" w:rsidP="0016089A">
      <w:pPr>
        <w:spacing w:line="240" w:lineRule="auto"/>
      </w:pPr>
      <w:r>
        <w:separator/>
      </w:r>
    </w:p>
  </w:endnote>
  <w:endnote w:type="continuationSeparator" w:id="0">
    <w:p w14:paraId="11FC055E" w14:textId="77777777" w:rsidR="0037102B" w:rsidRDefault="0037102B" w:rsidP="00160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alibri"/>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0AA7" w14:textId="77777777" w:rsidR="00CB7858" w:rsidRPr="008E38C2" w:rsidRDefault="00E20C68" w:rsidP="00E20C68">
    <w:pPr>
      <w:framePr w:w="708" w:h="391" w:hRule="exact" w:hSpace="181" w:wrap="around" w:vAnchor="page" w:hAnchor="page" w:x="10320" w:y="16111" w:anchorLock="1"/>
      <w:jc w:val="right"/>
      <w:rPr>
        <w:rFonts w:cs="Tahoma"/>
        <w:color w:val="002957"/>
        <w:sz w:val="16"/>
        <w:szCs w:val="14"/>
      </w:rPr>
    </w:pPr>
    <w:r w:rsidRPr="008E38C2">
      <w:rPr>
        <w:rFonts w:cs="Tahoma"/>
        <w:color w:val="002957"/>
        <w:sz w:val="14"/>
        <w:szCs w:val="12"/>
      </w:rPr>
      <w:fldChar w:fldCharType="begin"/>
    </w:r>
    <w:r w:rsidRPr="008E38C2">
      <w:rPr>
        <w:rFonts w:cs="Tahoma"/>
        <w:color w:val="002957"/>
        <w:sz w:val="14"/>
        <w:szCs w:val="12"/>
      </w:rPr>
      <w:instrText xml:space="preserve"> PAGE   \* MERGEFORMAT </w:instrText>
    </w:r>
    <w:r w:rsidRPr="008E38C2">
      <w:rPr>
        <w:rFonts w:cs="Tahoma"/>
        <w:color w:val="002957"/>
        <w:sz w:val="14"/>
        <w:szCs w:val="12"/>
      </w:rPr>
      <w:fldChar w:fldCharType="separate"/>
    </w:r>
    <w:r w:rsidR="002D5146" w:rsidRPr="008E38C2">
      <w:rPr>
        <w:rFonts w:cs="Tahoma"/>
        <w:noProof/>
        <w:color w:val="002957"/>
        <w:sz w:val="14"/>
        <w:szCs w:val="12"/>
      </w:rPr>
      <w:t>2</w:t>
    </w:r>
    <w:r w:rsidRPr="008E38C2">
      <w:rPr>
        <w:rFonts w:cs="Tahoma"/>
        <w:noProof/>
        <w:color w:val="002957"/>
        <w:sz w:val="14"/>
        <w:szCs w:val="12"/>
      </w:rPr>
      <w:fldChar w:fldCharType="end"/>
    </w:r>
  </w:p>
  <w:p w14:paraId="55F780C8" w14:textId="77777777" w:rsidR="00CB7858" w:rsidRPr="0089179F" w:rsidRDefault="00CB7858">
    <w:pPr>
      <w:tabs>
        <w:tab w:val="right" w:pos="10260"/>
      </w:tabs>
      <w:autoSpaceDE w:val="0"/>
      <w:autoSpaceDN w:val="0"/>
      <w:adjustRightInd w:val="0"/>
      <w:ind w:right="23"/>
      <w:jc w:val="right"/>
      <w:textAlignment w:val="center"/>
      <w:rPr>
        <w:color w:val="00008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97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4111"/>
    </w:tblGrid>
    <w:tr w:rsidR="00FA1719" w14:paraId="2FCD7D2F" w14:textId="77777777" w:rsidTr="004A40C4">
      <w:tc>
        <w:tcPr>
          <w:tcW w:w="5675" w:type="dxa"/>
        </w:tcPr>
        <w:p w14:paraId="6CCA7E3A" w14:textId="77777777" w:rsidR="00C0076E" w:rsidRPr="00353714" w:rsidRDefault="00C0076E" w:rsidP="004A40C4">
          <w:pPr>
            <w:pStyle w:val="CEAFooterauthorinfo"/>
            <w:ind w:left="0"/>
            <w:rPr>
              <w:b w:val="0"/>
              <w:color w:val="002957"/>
              <w:sz w:val="14"/>
              <w:szCs w:val="14"/>
              <w:lang w:val="fr-BE"/>
            </w:rPr>
          </w:pPr>
          <w:r w:rsidRPr="00353714">
            <w:rPr>
              <w:b w:val="0"/>
              <w:color w:val="002957"/>
              <w:sz w:val="14"/>
              <w:szCs w:val="14"/>
              <w:lang w:val="fr-BE"/>
            </w:rPr>
            <w:t xml:space="preserve">Insurance Europe aisbl </w:t>
          </w:r>
          <w:r w:rsidRPr="00CE6BD9">
            <w:rPr>
              <w:b w:val="0"/>
              <w:color w:val="002957"/>
              <w:sz w:val="14"/>
              <w:szCs w:val="14"/>
              <w:lang w:val="pt-PT"/>
            </w:rPr>
            <w:t>•</w:t>
          </w:r>
          <w:r w:rsidRPr="00353714">
            <w:rPr>
              <w:b w:val="0"/>
              <w:color w:val="002957"/>
              <w:sz w:val="14"/>
              <w:szCs w:val="14"/>
              <w:lang w:val="fr-BE"/>
            </w:rPr>
            <w:t xml:space="preserve"> Rue du Champ de Mars 2</w:t>
          </w:r>
          <w:r>
            <w:rPr>
              <w:b w:val="0"/>
              <w:color w:val="002957"/>
              <w:sz w:val="14"/>
              <w:szCs w:val="14"/>
              <w:lang w:val="fr-BE"/>
            </w:rPr>
            <w:t>3</w:t>
          </w:r>
          <w:r w:rsidRPr="00353714">
            <w:rPr>
              <w:b w:val="0"/>
              <w:color w:val="002957"/>
              <w:sz w:val="14"/>
              <w:szCs w:val="14"/>
              <w:lang w:val="fr-BE"/>
            </w:rPr>
            <w:t xml:space="preserve">, </w:t>
          </w:r>
          <w:r>
            <w:rPr>
              <w:b w:val="0"/>
              <w:color w:val="002957"/>
              <w:sz w:val="14"/>
              <w:szCs w:val="14"/>
              <w:lang w:val="fr-BE"/>
            </w:rPr>
            <w:t>B-1050 Brussels</w:t>
          </w:r>
        </w:p>
        <w:p w14:paraId="7D0DC67A" w14:textId="482101E9" w:rsidR="00C0076E" w:rsidRPr="00C0076E" w:rsidRDefault="00C0076E" w:rsidP="004A40C4">
          <w:pPr>
            <w:pStyle w:val="CEAFooterauthorinfo"/>
            <w:ind w:left="0"/>
            <w:rPr>
              <w:b w:val="0"/>
              <w:color w:val="002957"/>
              <w:sz w:val="14"/>
              <w:szCs w:val="14"/>
              <w:lang w:val="pt-PT"/>
            </w:rPr>
          </w:pPr>
          <w:r>
            <w:rPr>
              <w:b w:val="0"/>
              <w:color w:val="002957"/>
              <w:sz w:val="14"/>
              <w:szCs w:val="14"/>
              <w:lang w:val="pt-PT"/>
            </w:rPr>
            <w:t>Tel:  • E-mail: Gobet@insuranceeurope.eu</w:t>
          </w:r>
        </w:p>
      </w:tc>
      <w:tc>
        <w:tcPr>
          <w:tcW w:w="4111" w:type="dxa"/>
        </w:tcPr>
        <w:p w14:paraId="14843AB9" w14:textId="261C0F9C" w:rsidR="00C0076E" w:rsidRDefault="00F15E1B" w:rsidP="004A40C4">
          <w:pPr>
            <w:pStyle w:val="CEAFooterauthorinfo"/>
            <w:ind w:left="0"/>
            <w:jc w:val="left"/>
            <w:rPr>
              <w:b w:val="0"/>
              <w:color w:val="002957"/>
              <w:sz w:val="14"/>
              <w:szCs w:val="14"/>
            </w:rPr>
          </w:pPr>
          <w:r w:rsidRPr="00F15E1B">
            <w:rPr>
              <w:b w:val="0"/>
              <w:color w:val="002957"/>
              <w:sz w:val="14"/>
              <w:szCs w:val="14"/>
            </w:rPr>
            <w:t>© Insurance Europe. Confidential, internal document. Not for distribution, all rights reserved.</w:t>
          </w:r>
        </w:p>
      </w:tc>
    </w:tr>
  </w:tbl>
  <w:p w14:paraId="52B6B284" w14:textId="77777777" w:rsidR="00C0076E" w:rsidRDefault="00C0076E">
    <w:pPr>
      <w:pStyle w:val="CEAFooterauthorinfo"/>
      <w:ind w:left="0"/>
      <w:rPr>
        <w:rFonts w:cs="Frutiger LT Std 55 Roman"/>
        <w:b w:val="0"/>
        <w:color w:val="82C55B"/>
        <w:sz w:val="14"/>
        <w:szCs w:val="14"/>
        <w:lang w:val="pt-PT"/>
      </w:rPr>
    </w:pPr>
  </w:p>
  <w:p w14:paraId="3CB87459" w14:textId="35532B73" w:rsidR="00776725" w:rsidRPr="00DD395E" w:rsidRDefault="00776725">
    <w:pPr>
      <w:pStyle w:val="CEAFooterauthorinfo"/>
      <w:ind w:left="0"/>
      <w:rPr>
        <w:rFonts w:cs="Frutiger LT Std 55 Roman"/>
        <w:b w:val="0"/>
        <w:color w:val="82C55B"/>
        <w:sz w:val="14"/>
        <w:szCs w:val="14"/>
        <w:lang w:val="pt-PT"/>
      </w:rPr>
    </w:pPr>
    <w:r w:rsidRPr="00DD395E">
      <w:rPr>
        <w:rFonts w:cs="Frutiger LT Std 55 Roman"/>
        <w:b w:val="0"/>
        <w:color w:val="82C55B"/>
        <w:sz w:val="14"/>
        <w:szCs w:val="14"/>
        <w:lang w:val="pt-PT"/>
      </w:rPr>
      <w:t>www.insuranceeurope.eu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9FC2C" w14:textId="77777777" w:rsidR="0037102B" w:rsidRDefault="0037102B" w:rsidP="0016089A">
      <w:pPr>
        <w:spacing w:line="240" w:lineRule="auto"/>
      </w:pPr>
      <w:r>
        <w:separator/>
      </w:r>
    </w:p>
  </w:footnote>
  <w:footnote w:type="continuationSeparator" w:id="0">
    <w:p w14:paraId="1C747746" w14:textId="77777777" w:rsidR="0037102B" w:rsidRDefault="0037102B" w:rsidP="001608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6DB8D" w14:textId="77777777" w:rsidR="00CB7858" w:rsidRPr="000846C0" w:rsidRDefault="00CB7858">
    <w:pPr>
      <w:pStyle w:val="Noparagraphstyle"/>
      <w:jc w:val="right"/>
      <w:rPr>
        <w:sz w:val="18"/>
        <w:szCs w:val="18"/>
      </w:rPr>
    </w:pPr>
  </w:p>
  <w:p w14:paraId="74718C28" w14:textId="77777777" w:rsidR="00CB7858" w:rsidRPr="00CE6BD9" w:rsidRDefault="001C366D">
    <w:pPr>
      <w:pStyle w:val="Noparagraphstyle"/>
      <w:jc w:val="right"/>
      <w:rPr>
        <w:rFonts w:ascii="Arial" w:hAnsi="Arial" w:cs="Arial"/>
        <w:i/>
        <w:iCs/>
        <w:color w:val="034EA2"/>
      </w:rPr>
    </w:pPr>
    <w:r>
      <w:tab/>
    </w:r>
  </w:p>
  <w:p w14:paraId="431AD5DD" w14:textId="77777777" w:rsidR="00CB7858" w:rsidRDefault="001C366D">
    <w:pPr>
      <w:pStyle w:val="Hlavika"/>
      <w:tabs>
        <w:tab w:val="clear" w:pos="4320"/>
        <w:tab w:val="clear" w:pos="8640"/>
        <w:tab w:val="center" w:pos="0"/>
        <w:tab w:val="right" w:pos="10440"/>
      </w:tabs>
      <w:jc w:val="right"/>
      <w:rPr>
        <w:b/>
        <w:color w:val="034EA2"/>
        <w:sz w:val="40"/>
        <w:szCs w:val="40"/>
      </w:rPr>
    </w:pPr>
    <w:r w:rsidRPr="00763D6E">
      <w:rPr>
        <w:b/>
        <w:noProof/>
        <w:sz w:val="40"/>
        <w:szCs w:val="40"/>
        <w:lang w:val="en-US"/>
      </w:rPr>
      <w:drawing>
        <wp:anchor distT="0" distB="0" distL="114300" distR="114300" simplePos="0" relativeHeight="251658241" behindDoc="0" locked="0" layoutInCell="1" allowOverlap="1" wp14:anchorId="42212B25" wp14:editId="0D81137F">
          <wp:simplePos x="0" y="0"/>
          <wp:positionH relativeFrom="page">
            <wp:posOffset>521970</wp:posOffset>
          </wp:positionH>
          <wp:positionV relativeFrom="page">
            <wp:posOffset>521970</wp:posOffset>
          </wp:positionV>
          <wp:extent cx="1457325" cy="895350"/>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sidRPr="005C0D74">
      <w:rPr>
        <w:b/>
        <w:color w:val="034EA2"/>
        <w:sz w:val="28"/>
        <w:szCs w:val="28"/>
      </w:rPr>
      <w:t xml:space="preserve"> </w:t>
    </w:r>
  </w:p>
  <w:p w14:paraId="778B5886" w14:textId="77777777" w:rsidR="00CB7858" w:rsidRDefault="00CB7858">
    <w:pPr>
      <w:pStyle w:val="Noparagraphsty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7B76" w14:textId="77777777" w:rsidR="00CB7858" w:rsidRPr="00CE615B" w:rsidRDefault="001C366D">
    <w:pPr>
      <w:pStyle w:val="Noparagraphstyle"/>
      <w:tabs>
        <w:tab w:val="left" w:pos="-1800"/>
      </w:tabs>
      <w:jc w:val="right"/>
      <w:rPr>
        <w:rFonts w:ascii="Verdana" w:hAnsi="Verdana"/>
        <w:sz w:val="22"/>
        <w:szCs w:val="22"/>
      </w:rPr>
    </w:pPr>
    <w:r w:rsidRPr="00CE615B">
      <w:rPr>
        <w:rFonts w:ascii="Verdana" w:hAnsi="Verdana"/>
        <w:sz w:val="18"/>
        <w:szCs w:val="18"/>
      </w:rPr>
      <w:br/>
    </w:r>
  </w:p>
  <w:p w14:paraId="0DB4CF59" w14:textId="446C2EA4" w:rsidR="00CB7858" w:rsidRPr="00CF35FD" w:rsidRDefault="001B3EA9" w:rsidP="004361E4">
    <w:pPr>
      <w:pStyle w:val="Noparagraphstyle"/>
      <w:tabs>
        <w:tab w:val="left" w:pos="-1800"/>
      </w:tabs>
      <w:jc w:val="right"/>
      <w:rPr>
        <w:b/>
        <w:color w:val="002957"/>
        <w:sz w:val="36"/>
        <w:szCs w:val="36"/>
      </w:rPr>
    </w:pPr>
    <w:r>
      <w:rPr>
        <w:rFonts w:ascii="Verdana" w:hAnsi="Verdana"/>
        <w:color w:val="002957"/>
        <w:sz w:val="36"/>
        <w:szCs w:val="36"/>
      </w:rPr>
      <w:t>Memo for</w:t>
    </w:r>
    <w:r w:rsidR="001C366D" w:rsidRPr="00CF35FD">
      <w:rPr>
        <w:b/>
        <w:noProof/>
        <w:color w:val="002957"/>
        <w:sz w:val="36"/>
        <w:szCs w:val="36"/>
        <w:lang w:val="en-US"/>
      </w:rPr>
      <w:drawing>
        <wp:anchor distT="0" distB="0" distL="114300" distR="114300" simplePos="0" relativeHeight="251658240" behindDoc="0" locked="0" layoutInCell="1" allowOverlap="1" wp14:anchorId="73A57463" wp14:editId="2D6EE75D">
          <wp:simplePos x="0" y="0"/>
          <wp:positionH relativeFrom="page">
            <wp:posOffset>523875</wp:posOffset>
          </wp:positionH>
          <wp:positionV relativeFrom="page">
            <wp:posOffset>523875</wp:posOffset>
          </wp:positionV>
          <wp:extent cx="1457325" cy="895350"/>
          <wp:effectExtent l="19050" t="0" r="0" b="0"/>
          <wp:wrapSquare wrapText="bothSides"/>
          <wp:docPr id="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r w:rsidR="004361E4">
      <w:rPr>
        <w:rFonts w:ascii="Verdana" w:hAnsi="Verdana"/>
        <w:color w:val="002957"/>
        <w:sz w:val="36"/>
        <w:szCs w:val="36"/>
      </w:rPr>
      <w:t xml:space="preserve"> </w:t>
    </w:r>
    <w:r w:rsidR="00281288">
      <w:rPr>
        <w:rFonts w:ascii="Verdana" w:hAnsi="Verdana"/>
        <w:color w:val="002957"/>
        <w:sz w:val="36"/>
        <w:szCs w:val="36"/>
      </w:rPr>
      <w:t>feedback</w:t>
    </w:r>
  </w:p>
  <w:p w14:paraId="6C833C81" w14:textId="2CBC8E84" w:rsidR="00875154" w:rsidRDefault="00875154" w:rsidP="00875154">
    <w:pPr>
      <w:jc w:val="right"/>
      <w:rPr>
        <w:b/>
        <w:i/>
        <w:color w:val="002957"/>
        <w:sz w:val="32"/>
        <w:szCs w:val="32"/>
      </w:rPr>
    </w:pPr>
  </w:p>
  <w:p w14:paraId="01B52364" w14:textId="77777777" w:rsidR="00CB7858" w:rsidRPr="002A5F53" w:rsidRDefault="00CB7858">
    <w:pPr>
      <w:pStyle w:val="CEADocumentTitle"/>
      <w:tabs>
        <w:tab w:val="clear" w:pos="10440"/>
      </w:tabs>
      <w:rPr>
        <w:b w:val="0"/>
        <w:color w:val="002957"/>
        <w:sz w:val="36"/>
        <w:szCs w:val="36"/>
      </w:rPr>
    </w:pPr>
  </w:p>
  <w:p w14:paraId="1D1B76FE" w14:textId="77777777" w:rsidR="00BB76FB" w:rsidRPr="00CE6BD9" w:rsidRDefault="00BB76FB" w:rsidP="00875154">
    <w:pPr>
      <w:pStyle w:val="CEADraft"/>
      <w:jc w:val="both"/>
      <w:rPr>
        <w:color w:val="auto"/>
      </w:rPr>
    </w:pPr>
    <w:bookmarkStart w:id="0" w:name="Draft1st"/>
    <w:bookmarkEnd w:id="0"/>
  </w:p>
  <w:p w14:paraId="41B0A293" w14:textId="77777777" w:rsidR="00CB7858" w:rsidRPr="00CE6BD9" w:rsidRDefault="00CB7858">
    <w:pPr>
      <w:pStyle w:val="BodyText-CEA"/>
      <w:jc w:val="left"/>
    </w:pPr>
    <w:bookmarkStart w:id="1" w:name="Header"/>
  </w:p>
  <w:tbl>
    <w:tblPr>
      <w:tblW w:w="0" w:type="auto"/>
      <w:tblInd w:w="-1026" w:type="dxa"/>
      <w:tblLook w:val="04A0" w:firstRow="1" w:lastRow="0" w:firstColumn="1" w:lastColumn="0" w:noHBand="0" w:noVBand="1"/>
    </w:tblPr>
    <w:tblGrid>
      <w:gridCol w:w="1012"/>
      <w:gridCol w:w="9596"/>
    </w:tblGrid>
    <w:tr w:rsidR="00947D4C" w14:paraId="50F6D303" w14:textId="77777777" w:rsidTr="00D45FBE">
      <w:trPr>
        <w:trHeight w:val="289"/>
      </w:trPr>
      <w:tc>
        <w:tcPr>
          <w:tcW w:w="1012" w:type="dxa"/>
        </w:tcPr>
        <w:p w14:paraId="3059CA01" w14:textId="77777777" w:rsidR="00CB7858" w:rsidRPr="00CE6BD9" w:rsidRDefault="001C366D">
          <w:pPr>
            <w:pStyle w:val="CEALabel"/>
            <w:rPr>
              <w:b w:val="0"/>
              <w:color w:val="002957"/>
              <w:sz w:val="17"/>
              <w:szCs w:val="17"/>
            </w:rPr>
          </w:pPr>
          <w:r w:rsidRPr="00CE6BD9">
            <w:rPr>
              <w:b w:val="0"/>
              <w:color w:val="002957"/>
              <w:sz w:val="17"/>
              <w:szCs w:val="17"/>
            </w:rPr>
            <w:t>To:</w:t>
          </w:r>
        </w:p>
      </w:tc>
      <w:tc>
        <w:tcPr>
          <w:tcW w:w="9596" w:type="dxa"/>
          <w:vAlign w:val="bottom"/>
        </w:tcPr>
        <w:p w14:paraId="7FA751B7" w14:textId="4B763EF2" w:rsidR="00CB7858" w:rsidRPr="001D1C85" w:rsidRDefault="00610C71" w:rsidP="00D45FBE">
          <w:pPr>
            <w:ind w:left="-90"/>
            <w:jc w:val="left"/>
            <w:rPr>
              <w:color w:val="002957"/>
              <w:sz w:val="17"/>
              <w:szCs w:val="17"/>
            </w:rPr>
          </w:pPr>
          <w:r>
            <w:rPr>
              <w:color w:val="002957"/>
              <w:sz w:val="17"/>
              <w:szCs w:val="17"/>
            </w:rPr>
            <w:t>Corporate Reporting - Investments &amp; Sustainable Finance WG</w:t>
          </w:r>
        </w:p>
      </w:tc>
    </w:tr>
    <w:tr w:rsidR="00947D4C" w14:paraId="1B5225C1" w14:textId="77777777" w:rsidTr="00D45FBE">
      <w:trPr>
        <w:trHeight w:hRule="exact" w:val="288"/>
      </w:trPr>
      <w:tc>
        <w:tcPr>
          <w:tcW w:w="1012" w:type="dxa"/>
          <w:vAlign w:val="center"/>
        </w:tcPr>
        <w:p w14:paraId="280A0BE8" w14:textId="77777777" w:rsidR="00CB7858" w:rsidRPr="00CE6BD9" w:rsidRDefault="001C366D">
          <w:pPr>
            <w:pStyle w:val="CEALabel"/>
            <w:rPr>
              <w:b w:val="0"/>
              <w:color w:val="002957"/>
              <w:sz w:val="17"/>
              <w:szCs w:val="17"/>
            </w:rPr>
          </w:pPr>
          <w:r w:rsidRPr="00CE6BD9">
            <w:rPr>
              <w:b w:val="0"/>
              <w:color w:val="002957"/>
              <w:sz w:val="17"/>
              <w:szCs w:val="17"/>
            </w:rPr>
            <w:t>From:</w:t>
          </w:r>
        </w:p>
      </w:tc>
      <w:tc>
        <w:tcPr>
          <w:tcW w:w="9596" w:type="dxa"/>
          <w:vAlign w:val="bottom"/>
        </w:tcPr>
        <w:p w14:paraId="247799C0" w14:textId="1737AD50" w:rsidR="00CB7858" w:rsidRPr="001D1C85" w:rsidRDefault="006144C2" w:rsidP="00D45FBE">
          <w:pPr>
            <w:tabs>
              <w:tab w:val="left" w:pos="1755"/>
            </w:tabs>
            <w:ind w:left="-90"/>
            <w:jc w:val="left"/>
            <w:rPr>
              <w:color w:val="002957"/>
              <w:sz w:val="17"/>
              <w:szCs w:val="17"/>
            </w:rPr>
          </w:pPr>
          <w:bookmarkStart w:id="2" w:name="AuthSep"/>
          <w:bookmarkEnd w:id="2"/>
          <w:r>
            <w:rPr>
              <w:color w:val="002957"/>
              <w:sz w:val="17"/>
              <w:szCs w:val="17"/>
            </w:rPr>
            <w:t>P</w:t>
          </w:r>
          <w:r w:rsidR="00281288">
            <w:rPr>
              <w:color w:val="002957"/>
              <w:sz w:val="17"/>
              <w:szCs w:val="17"/>
            </w:rPr>
            <w:t>hilippe Angelis</w:t>
          </w:r>
          <w:r w:rsidR="00923157">
            <w:rPr>
              <w:color w:val="002957"/>
              <w:sz w:val="17"/>
              <w:szCs w:val="17"/>
            </w:rPr>
            <w:t xml:space="preserve"> </w:t>
          </w:r>
        </w:p>
      </w:tc>
    </w:tr>
    <w:tr w:rsidR="00947D4C" w14:paraId="15FE1C48" w14:textId="77777777" w:rsidTr="00D45FBE">
      <w:trPr>
        <w:trHeight w:hRule="exact" w:val="288"/>
      </w:trPr>
      <w:tc>
        <w:tcPr>
          <w:tcW w:w="1012" w:type="dxa"/>
          <w:vAlign w:val="center"/>
        </w:tcPr>
        <w:p w14:paraId="67936BE9" w14:textId="77777777" w:rsidR="00CB7858" w:rsidRPr="00CE6BD9" w:rsidRDefault="001C366D">
          <w:pPr>
            <w:pStyle w:val="CEALabel"/>
            <w:rPr>
              <w:b w:val="0"/>
              <w:color w:val="002957"/>
              <w:sz w:val="17"/>
              <w:szCs w:val="17"/>
            </w:rPr>
          </w:pPr>
          <w:r w:rsidRPr="00CE6BD9">
            <w:rPr>
              <w:b w:val="0"/>
              <w:color w:val="002957"/>
              <w:sz w:val="17"/>
              <w:szCs w:val="17"/>
            </w:rPr>
            <w:t>Date:</w:t>
          </w:r>
        </w:p>
      </w:tc>
      <w:tc>
        <w:tcPr>
          <w:tcW w:w="9596" w:type="dxa"/>
          <w:vAlign w:val="bottom"/>
        </w:tcPr>
        <w:p w14:paraId="1D9FC966" w14:textId="6B24E16C" w:rsidR="00CB7858" w:rsidRPr="001D1C85" w:rsidRDefault="00610C71" w:rsidP="00D45FBE">
          <w:pPr>
            <w:ind w:left="-90"/>
            <w:jc w:val="left"/>
            <w:rPr>
              <w:color w:val="002957"/>
              <w:sz w:val="17"/>
              <w:szCs w:val="17"/>
            </w:rPr>
          </w:pPr>
          <w:r>
            <w:rPr>
              <w:color w:val="002957"/>
              <w:sz w:val="17"/>
              <w:szCs w:val="17"/>
            </w:rPr>
            <w:t>01-08-2025</w:t>
          </w:r>
        </w:p>
      </w:tc>
    </w:tr>
    <w:tr w:rsidR="00947D4C" w14:paraId="71D95BA4" w14:textId="77777777" w:rsidTr="00D45FBE">
      <w:trPr>
        <w:trHeight w:hRule="exact" w:val="288"/>
      </w:trPr>
      <w:tc>
        <w:tcPr>
          <w:tcW w:w="1012" w:type="dxa"/>
          <w:vAlign w:val="center"/>
        </w:tcPr>
        <w:p w14:paraId="508FC1E8" w14:textId="77777777" w:rsidR="00CB7858" w:rsidRPr="00CE6BD9" w:rsidRDefault="001C366D">
          <w:pPr>
            <w:pStyle w:val="CEALabel"/>
            <w:rPr>
              <w:b w:val="0"/>
              <w:color w:val="002957"/>
              <w:sz w:val="17"/>
              <w:szCs w:val="17"/>
            </w:rPr>
          </w:pPr>
          <w:r w:rsidRPr="00CE6BD9">
            <w:rPr>
              <w:b w:val="0"/>
              <w:color w:val="002957"/>
              <w:sz w:val="17"/>
              <w:szCs w:val="17"/>
            </w:rPr>
            <w:t>Reference:</w:t>
          </w:r>
        </w:p>
      </w:tc>
      <w:tc>
        <w:tcPr>
          <w:tcW w:w="9596" w:type="dxa"/>
          <w:vAlign w:val="bottom"/>
        </w:tcPr>
        <w:sdt>
          <w:sdtPr>
            <w:rPr>
              <w:color w:val="002957"/>
              <w:sz w:val="17"/>
              <w:szCs w:val="17"/>
            </w:rPr>
            <w:id w:val="-1487076316"/>
            <w:placeholder>
              <w:docPart w:val="DefaultPlaceholder_-1854013440"/>
            </w:placeholder>
            <w15:dataBinding w:prefixMappings="xmlns:ns0='http://schemas.microsoft.com/office/2006/metadata/properties' xmlns:ns1='http://www.w3.org/2001/XMLSchema-instance' xmlns:ns2='http://schemas.microsoft.com/office/infopath/2007/PartnerControls' xmlns:ns3='ba225275-dfdd-4507-9cb6-b247f9a8bd33' xmlns:ns4='bf2322bd-6ea8-47f2-a340-10b5092f2000' " w:xpath="/ns0:properties[1]/documentManagement[1]/*[local-name() = 'Reference'][1]" w:storeItemID="{16BE8AC2-BC04-484A-AE5F-6753D3DE5469}"/>
          </w:sdtPr>
          <w:sdtEndPr/>
          <w:sdtContent>
            <w:p w14:paraId="360ED39F" w14:textId="07BA4D0E" w:rsidR="00CB7858" w:rsidRPr="001D1C85" w:rsidRDefault="00EA68E8" w:rsidP="00D45FBE">
              <w:pPr>
                <w:ind w:left="-90"/>
                <w:jc w:val="left"/>
                <w:rPr>
                  <w:color w:val="002957"/>
                  <w:sz w:val="17"/>
                  <w:szCs w:val="17"/>
                </w:rPr>
              </w:pPr>
              <w:r>
                <w:rPr>
                  <w:color w:val="002957"/>
                  <w:sz w:val="17"/>
                  <w:szCs w:val="17"/>
                </w:rPr>
                <w:t>add ref number</w:t>
              </w:r>
            </w:p>
          </w:sdtContent>
        </w:sdt>
      </w:tc>
    </w:tr>
    <w:tr w:rsidR="00947D4C" w14:paraId="0277A5AC" w14:textId="7C28D1F2" w:rsidTr="00D45FBE">
      <w:trPr>
        <w:trHeight w:hRule="exact" w:val="288"/>
      </w:trPr>
      <w:tc>
        <w:tcPr>
          <w:tcW w:w="1012" w:type="dxa"/>
          <w:vAlign w:val="center"/>
        </w:tcPr>
        <w:p w14:paraId="3A9D9D76" w14:textId="77777777" w:rsidR="00CB7858" w:rsidRPr="00CE6BD9" w:rsidRDefault="00CB7858">
          <w:pPr>
            <w:pStyle w:val="CEALabel"/>
            <w:rPr>
              <w:b w:val="0"/>
              <w:color w:val="002957"/>
              <w:sz w:val="17"/>
              <w:szCs w:val="17"/>
            </w:rPr>
          </w:pPr>
        </w:p>
      </w:tc>
      <w:tc>
        <w:tcPr>
          <w:tcW w:w="9596" w:type="dxa"/>
          <w:vAlign w:val="bottom"/>
        </w:tcPr>
        <w:p w14:paraId="4BAE8D83" w14:textId="77777777" w:rsidR="00CB7858" w:rsidRPr="001D1C85" w:rsidRDefault="00CB7858" w:rsidP="00D45FBE">
          <w:pPr>
            <w:ind w:left="-90"/>
            <w:jc w:val="left"/>
            <w:rPr>
              <w:color w:val="002957"/>
              <w:sz w:val="17"/>
              <w:szCs w:val="17"/>
            </w:rPr>
          </w:pPr>
        </w:p>
      </w:tc>
    </w:tr>
    <w:tr w:rsidR="00947D4C" w14:paraId="3C6A10CF" w14:textId="77777777" w:rsidTr="00D45FBE">
      <w:trPr>
        <w:trHeight w:hRule="exact" w:val="288"/>
      </w:trPr>
      <w:tc>
        <w:tcPr>
          <w:tcW w:w="1012" w:type="dxa"/>
          <w:vAlign w:val="center"/>
        </w:tcPr>
        <w:p w14:paraId="431B6B1C" w14:textId="77777777" w:rsidR="00CB7858" w:rsidRPr="00CE6BD9" w:rsidRDefault="001C366D">
          <w:pPr>
            <w:pStyle w:val="CEALabel"/>
            <w:rPr>
              <w:b w:val="0"/>
              <w:color w:val="002957"/>
              <w:sz w:val="17"/>
              <w:szCs w:val="17"/>
            </w:rPr>
          </w:pPr>
          <w:r w:rsidRPr="00CE6BD9">
            <w:rPr>
              <w:b w:val="0"/>
              <w:color w:val="002957"/>
              <w:sz w:val="17"/>
              <w:szCs w:val="17"/>
            </w:rPr>
            <w:t>Subject:</w:t>
          </w:r>
        </w:p>
      </w:tc>
      <w:tc>
        <w:tcPr>
          <w:tcW w:w="9596" w:type="dxa"/>
          <w:vAlign w:val="bottom"/>
        </w:tcPr>
        <w:p w14:paraId="0DE8F0C9" w14:textId="7ED7EA62" w:rsidR="00CB7858" w:rsidRPr="00CE6BD9" w:rsidRDefault="00B3068D" w:rsidP="00D45FBE">
          <w:pPr>
            <w:pStyle w:val="CEASubjectLine"/>
            <w:ind w:left="-90"/>
            <w:jc w:val="left"/>
            <w:rPr>
              <w:b w:val="0"/>
              <w:color w:val="002957"/>
              <w:sz w:val="17"/>
              <w:szCs w:val="17"/>
            </w:rPr>
          </w:pPr>
          <w:sdt>
            <w:sdtPr>
              <w:rPr>
                <w:b w:val="0"/>
                <w:color w:val="002957"/>
                <w:sz w:val="17"/>
                <w:szCs w:val="17"/>
              </w:rPr>
              <w:alias w:val="Title"/>
              <w:tag w:val=""/>
              <w:id w:val="1845366650"/>
              <w:placeholder>
                <w:docPart w:val="584EF38CAE9A4F80AF2F6FA01859F6AD"/>
              </w:placeholder>
              <w:dataBinding w:prefixMappings="xmlns:ns0='http://purl.org/dc/elements/1.1/' xmlns:ns1='http://schemas.openxmlformats.org/package/2006/metadata/core-properties' " w:xpath="/ns1:coreProperties[1]/ns0:title[1]" w:storeItemID="{6C3C8BC8-F283-45AE-878A-BAB7291924A1}"/>
              <w:text/>
            </w:sdtPr>
            <w:sdtEndPr/>
            <w:sdtContent>
              <w:r w:rsidR="00463654">
                <w:rPr>
                  <w:b w:val="0"/>
                  <w:color w:val="002957"/>
                  <w:sz w:val="17"/>
                  <w:szCs w:val="17"/>
                </w:rPr>
                <w:t>First Draft response - ESRS Set 1 Consultation</w:t>
              </w:r>
            </w:sdtContent>
          </w:sdt>
          <w:bookmarkEnd w:id="1"/>
        </w:p>
      </w:tc>
    </w:tr>
  </w:tbl>
  <w:p w14:paraId="4C139B1B" w14:textId="77777777" w:rsidR="00CB7858" w:rsidRPr="00CE6BD9" w:rsidRDefault="00CB7858">
    <w:pPr>
      <w:pStyle w:val="Noparagraphstyle"/>
      <w:rPr>
        <w:rFonts w:ascii="Verdana" w:hAnsi="Verdana" w:cs="Arial"/>
        <w:i/>
        <w:iCs/>
        <w:color w:val="034EA2"/>
      </w:rPr>
    </w:pPr>
  </w:p>
  <w:p w14:paraId="273246B5" w14:textId="77777777" w:rsidR="00CB7858" w:rsidRDefault="00CB785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44"/>
    <w:multiLevelType w:val="multilevel"/>
    <w:tmpl w:val="F4E2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F6841"/>
    <w:multiLevelType w:val="multilevel"/>
    <w:tmpl w:val="B6B0081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C1A50"/>
    <w:multiLevelType w:val="multilevel"/>
    <w:tmpl w:val="F4E2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F19B0"/>
    <w:multiLevelType w:val="multilevel"/>
    <w:tmpl w:val="F4E2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B6AE0"/>
    <w:multiLevelType w:val="multilevel"/>
    <w:tmpl w:val="F4E2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4071E"/>
    <w:multiLevelType w:val="hybridMultilevel"/>
    <w:tmpl w:val="87F2D9AA"/>
    <w:lvl w:ilvl="0" w:tplc="2FD42A22">
      <w:start w:val="165"/>
      <w:numFmt w:val="bullet"/>
      <w:pStyle w:val="IEBullet-Level2"/>
      <w:lvlText w:val=""/>
      <w:lvlJc w:val="left"/>
      <w:pPr>
        <w:ind w:left="1080" w:hanging="360"/>
      </w:pPr>
      <w:rPr>
        <w:rFonts w:ascii="Wingdings" w:hAnsi="Wingdings" w:hint="default"/>
        <w:color w:val="82C55B"/>
        <w:position w:val="-2"/>
        <w:sz w:val="22"/>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110F2D56"/>
    <w:multiLevelType w:val="multilevel"/>
    <w:tmpl w:val="D480C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AA5190"/>
    <w:multiLevelType w:val="multilevel"/>
    <w:tmpl w:val="9A04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E3674C"/>
    <w:multiLevelType w:val="multilevel"/>
    <w:tmpl w:val="F4E2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F4093"/>
    <w:multiLevelType w:val="hybridMultilevel"/>
    <w:tmpl w:val="2376B47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14280666"/>
    <w:multiLevelType w:val="multilevel"/>
    <w:tmpl w:val="F4E2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9957D2"/>
    <w:multiLevelType w:val="multilevel"/>
    <w:tmpl w:val="F4E2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C343ED"/>
    <w:multiLevelType w:val="hybridMultilevel"/>
    <w:tmpl w:val="0FD0EE7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9045B0A"/>
    <w:multiLevelType w:val="multilevel"/>
    <w:tmpl w:val="F4E2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D91DD7"/>
    <w:multiLevelType w:val="multilevel"/>
    <w:tmpl w:val="B6B0081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453447"/>
    <w:multiLevelType w:val="multilevel"/>
    <w:tmpl w:val="85627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933336"/>
    <w:multiLevelType w:val="multilevel"/>
    <w:tmpl w:val="F4E2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E27782"/>
    <w:multiLevelType w:val="multilevel"/>
    <w:tmpl w:val="85627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647C57"/>
    <w:multiLevelType w:val="hybridMultilevel"/>
    <w:tmpl w:val="E97A8EC4"/>
    <w:lvl w:ilvl="0" w:tplc="87680084">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74C574B"/>
    <w:multiLevelType w:val="multilevel"/>
    <w:tmpl w:val="48904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153738"/>
    <w:multiLevelType w:val="hybridMultilevel"/>
    <w:tmpl w:val="78222396"/>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94583F"/>
    <w:multiLevelType w:val="multilevel"/>
    <w:tmpl w:val="F4E2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FD533B"/>
    <w:multiLevelType w:val="multilevel"/>
    <w:tmpl w:val="F4E2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6A3868"/>
    <w:multiLevelType w:val="multilevel"/>
    <w:tmpl w:val="65CC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A86E2C"/>
    <w:multiLevelType w:val="multilevel"/>
    <w:tmpl w:val="85627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C92FDA"/>
    <w:multiLevelType w:val="hybridMultilevel"/>
    <w:tmpl w:val="C4965F86"/>
    <w:lvl w:ilvl="0" w:tplc="8768008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399A0D7F"/>
    <w:multiLevelType w:val="multilevel"/>
    <w:tmpl w:val="EA3C8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0457F1"/>
    <w:multiLevelType w:val="multilevel"/>
    <w:tmpl w:val="ED1E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7E1B56"/>
    <w:multiLevelType w:val="hybridMultilevel"/>
    <w:tmpl w:val="81D691F8"/>
    <w:lvl w:ilvl="0" w:tplc="8768008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47E4D85"/>
    <w:multiLevelType w:val="hybridMultilevel"/>
    <w:tmpl w:val="CAB05164"/>
    <w:lvl w:ilvl="0" w:tplc="20C482DC">
      <w:start w:val="165"/>
      <w:numFmt w:val="bullet"/>
      <w:pStyle w:val="IEBullet-Level3"/>
      <w:lvlText w:val=""/>
      <w:lvlJc w:val="left"/>
      <w:pPr>
        <w:ind w:left="2673" w:hanging="360"/>
      </w:pPr>
      <w:rPr>
        <w:rFonts w:ascii="Wingdings" w:hAnsi="Wingdings" w:hint="default"/>
        <w:color w:val="002957"/>
        <w:position w:val="-2"/>
        <w:sz w:val="18"/>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30" w15:restartNumberingAfterBreak="0">
    <w:nsid w:val="46F97FDA"/>
    <w:multiLevelType w:val="hybridMultilevel"/>
    <w:tmpl w:val="6A3865AE"/>
    <w:lvl w:ilvl="0" w:tplc="1000000F">
      <w:start w:val="1"/>
      <w:numFmt w:val="decimal"/>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31" w15:restartNumberingAfterBreak="0">
    <w:nsid w:val="49CB41BB"/>
    <w:multiLevelType w:val="multilevel"/>
    <w:tmpl w:val="85627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4D204A"/>
    <w:multiLevelType w:val="multilevel"/>
    <w:tmpl w:val="EA0C7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2716B3"/>
    <w:multiLevelType w:val="multilevel"/>
    <w:tmpl w:val="F4E2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14087B"/>
    <w:multiLevelType w:val="multilevel"/>
    <w:tmpl w:val="F4E2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7E4EB4"/>
    <w:multiLevelType w:val="hybridMultilevel"/>
    <w:tmpl w:val="1E3C356A"/>
    <w:lvl w:ilvl="0" w:tplc="333ABDDC">
      <w:numFmt w:val="bullet"/>
      <w:lvlText w:val="-"/>
      <w:lvlJc w:val="left"/>
      <w:pPr>
        <w:ind w:left="720" w:hanging="360"/>
      </w:pPr>
      <w:rPr>
        <w:rFonts w:ascii="Aptos" w:eastAsia="DengXian" w:hAnsi="Aptos"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6" w15:restartNumberingAfterBreak="0">
    <w:nsid w:val="584C2F49"/>
    <w:multiLevelType w:val="multilevel"/>
    <w:tmpl w:val="865E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5F7E64"/>
    <w:multiLevelType w:val="multilevel"/>
    <w:tmpl w:val="F4E2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10092B"/>
    <w:multiLevelType w:val="multilevel"/>
    <w:tmpl w:val="CFF8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5D2FD0"/>
    <w:multiLevelType w:val="multilevel"/>
    <w:tmpl w:val="F4E2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9C37D0"/>
    <w:multiLevelType w:val="multilevel"/>
    <w:tmpl w:val="B2643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9E2B88"/>
    <w:multiLevelType w:val="hybridMultilevel"/>
    <w:tmpl w:val="BB52DF06"/>
    <w:lvl w:ilvl="0" w:tplc="AB7A1D0C">
      <w:start w:val="165"/>
      <w:numFmt w:val="bullet"/>
      <w:pStyle w:val="IEBullet-Level1"/>
      <w:lvlText w:val=""/>
      <w:lvlJc w:val="left"/>
      <w:pPr>
        <w:ind w:left="720" w:hanging="360"/>
      </w:pPr>
      <w:rPr>
        <w:rFonts w:ascii="Wingdings" w:hAnsi="Wingdings" w:hint="default"/>
        <w:color w:val="002957"/>
        <w:position w:val="-2"/>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B4F05D5"/>
    <w:multiLevelType w:val="multilevel"/>
    <w:tmpl w:val="C848E8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B264C1"/>
    <w:multiLevelType w:val="hybridMultilevel"/>
    <w:tmpl w:val="992E0A7C"/>
    <w:lvl w:ilvl="0" w:tplc="21ECD41A">
      <w:start w:val="2"/>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BD33CD0"/>
    <w:multiLevelType w:val="hybridMultilevel"/>
    <w:tmpl w:val="4D763C8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5" w15:restartNumberingAfterBreak="0">
    <w:nsid w:val="6C3F73BF"/>
    <w:multiLevelType w:val="hybridMultilevel"/>
    <w:tmpl w:val="58DA142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6" w15:restartNumberingAfterBreak="0">
    <w:nsid w:val="6CD62BD6"/>
    <w:multiLevelType w:val="multilevel"/>
    <w:tmpl w:val="F4E2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E72A79"/>
    <w:multiLevelType w:val="multilevel"/>
    <w:tmpl w:val="2C785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D7B57D5"/>
    <w:multiLevelType w:val="multilevel"/>
    <w:tmpl w:val="B41A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4813B7"/>
    <w:multiLevelType w:val="multilevel"/>
    <w:tmpl w:val="FDBA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E9A6AB6"/>
    <w:multiLevelType w:val="multilevel"/>
    <w:tmpl w:val="85627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50B653F"/>
    <w:multiLevelType w:val="multilevel"/>
    <w:tmpl w:val="F4E21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8075B6"/>
    <w:multiLevelType w:val="multilevel"/>
    <w:tmpl w:val="F4E2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23524B"/>
    <w:multiLevelType w:val="multilevel"/>
    <w:tmpl w:val="79F05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AFB5366"/>
    <w:multiLevelType w:val="multilevel"/>
    <w:tmpl w:val="85627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DD35A35"/>
    <w:multiLevelType w:val="multilevel"/>
    <w:tmpl w:val="F982B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3552453">
    <w:abstractNumId w:val="41"/>
  </w:num>
  <w:num w:numId="2" w16cid:durableId="533348462">
    <w:abstractNumId w:val="5"/>
  </w:num>
  <w:num w:numId="3" w16cid:durableId="116409788">
    <w:abstractNumId w:val="29"/>
  </w:num>
  <w:num w:numId="4" w16cid:durableId="589317619">
    <w:abstractNumId w:val="15"/>
  </w:num>
  <w:num w:numId="5" w16cid:durableId="1684815701">
    <w:abstractNumId w:val="24"/>
  </w:num>
  <w:num w:numId="6" w16cid:durableId="260528084">
    <w:abstractNumId w:val="17"/>
  </w:num>
  <w:num w:numId="7" w16cid:durableId="1415786494">
    <w:abstractNumId w:val="31"/>
  </w:num>
  <w:num w:numId="8" w16cid:durableId="764618837">
    <w:abstractNumId w:val="54"/>
  </w:num>
  <w:num w:numId="9" w16cid:durableId="967200583">
    <w:abstractNumId w:val="9"/>
  </w:num>
  <w:num w:numId="10" w16cid:durableId="355470272">
    <w:abstractNumId w:val="45"/>
  </w:num>
  <w:num w:numId="11" w16cid:durableId="1776441004">
    <w:abstractNumId w:val="14"/>
  </w:num>
  <w:num w:numId="12" w16cid:durableId="1652250098">
    <w:abstractNumId w:val="47"/>
  </w:num>
  <w:num w:numId="13" w16cid:durableId="2019457178">
    <w:abstractNumId w:val="33"/>
  </w:num>
  <w:num w:numId="14" w16cid:durableId="545530185">
    <w:abstractNumId w:val="10"/>
  </w:num>
  <w:num w:numId="15" w16cid:durableId="1693267089">
    <w:abstractNumId w:val="42"/>
  </w:num>
  <w:num w:numId="16" w16cid:durableId="939801357">
    <w:abstractNumId w:val="53"/>
  </w:num>
  <w:num w:numId="17" w16cid:durableId="621762406">
    <w:abstractNumId w:val="50"/>
  </w:num>
  <w:num w:numId="18" w16cid:durableId="1035890819">
    <w:abstractNumId w:val="7"/>
  </w:num>
  <w:num w:numId="19" w16cid:durableId="21563645">
    <w:abstractNumId w:val="49"/>
  </w:num>
  <w:num w:numId="20" w16cid:durableId="2073693450">
    <w:abstractNumId w:val="48"/>
  </w:num>
  <w:num w:numId="21" w16cid:durableId="1731735038">
    <w:abstractNumId w:val="38"/>
  </w:num>
  <w:num w:numId="22" w16cid:durableId="1869757296">
    <w:abstractNumId w:val="36"/>
  </w:num>
  <w:num w:numId="23" w16cid:durableId="929198759">
    <w:abstractNumId w:val="27"/>
  </w:num>
  <w:num w:numId="24" w16cid:durableId="1841312754">
    <w:abstractNumId w:val="23"/>
  </w:num>
  <w:num w:numId="25" w16cid:durableId="2114084658">
    <w:abstractNumId w:val="51"/>
  </w:num>
  <w:num w:numId="26" w16cid:durableId="447699980">
    <w:abstractNumId w:val="20"/>
  </w:num>
  <w:num w:numId="27" w16cid:durableId="276371983">
    <w:abstractNumId w:val="34"/>
  </w:num>
  <w:num w:numId="28" w16cid:durableId="1100105431">
    <w:abstractNumId w:val="22"/>
  </w:num>
  <w:num w:numId="29" w16cid:durableId="848251955">
    <w:abstractNumId w:val="21"/>
  </w:num>
  <w:num w:numId="30" w16cid:durableId="1837191025">
    <w:abstractNumId w:val="46"/>
  </w:num>
  <w:num w:numId="31" w16cid:durableId="843202038">
    <w:abstractNumId w:val="2"/>
  </w:num>
  <w:num w:numId="32" w16cid:durableId="2068916199">
    <w:abstractNumId w:val="43"/>
  </w:num>
  <w:num w:numId="33" w16cid:durableId="283121832">
    <w:abstractNumId w:val="0"/>
  </w:num>
  <w:num w:numId="34" w16cid:durableId="1651446675">
    <w:abstractNumId w:val="16"/>
  </w:num>
  <w:num w:numId="35" w16cid:durableId="153767372">
    <w:abstractNumId w:val="26"/>
  </w:num>
  <w:num w:numId="36" w16cid:durableId="1160272257">
    <w:abstractNumId w:val="19"/>
  </w:num>
  <w:num w:numId="37" w16cid:durableId="171531372">
    <w:abstractNumId w:val="52"/>
  </w:num>
  <w:num w:numId="38" w16cid:durableId="578561838">
    <w:abstractNumId w:val="40"/>
  </w:num>
  <w:num w:numId="39" w16cid:durableId="1186212276">
    <w:abstractNumId w:val="32"/>
  </w:num>
  <w:num w:numId="40" w16cid:durableId="1347515198">
    <w:abstractNumId w:val="11"/>
  </w:num>
  <w:num w:numId="41" w16cid:durableId="133374438">
    <w:abstractNumId w:val="37"/>
  </w:num>
  <w:num w:numId="42" w16cid:durableId="703213954">
    <w:abstractNumId w:val="55"/>
  </w:num>
  <w:num w:numId="43" w16cid:durableId="1479300303">
    <w:abstractNumId w:val="4"/>
  </w:num>
  <w:num w:numId="44" w16cid:durableId="1806658538">
    <w:abstractNumId w:val="39"/>
  </w:num>
  <w:num w:numId="45" w16cid:durableId="419986403">
    <w:abstractNumId w:val="3"/>
  </w:num>
  <w:num w:numId="46" w16cid:durableId="1670135165">
    <w:abstractNumId w:val="13"/>
  </w:num>
  <w:num w:numId="47" w16cid:durableId="226454914">
    <w:abstractNumId w:val="8"/>
  </w:num>
  <w:num w:numId="48" w16cid:durableId="1096705343">
    <w:abstractNumId w:val="1"/>
  </w:num>
  <w:num w:numId="49" w16cid:durableId="2095587946">
    <w:abstractNumId w:val="44"/>
  </w:num>
  <w:num w:numId="50" w16cid:durableId="1958170428">
    <w:abstractNumId w:val="6"/>
  </w:num>
  <w:num w:numId="51" w16cid:durableId="616302008">
    <w:abstractNumId w:val="12"/>
  </w:num>
  <w:num w:numId="52" w16cid:durableId="468472000">
    <w:abstractNumId w:val="18"/>
  </w:num>
  <w:num w:numId="53" w16cid:durableId="2045594684">
    <w:abstractNumId w:val="25"/>
  </w:num>
  <w:num w:numId="54" w16cid:durableId="1558129794">
    <w:abstractNumId w:val="28"/>
  </w:num>
  <w:num w:numId="55" w16cid:durableId="1905598067">
    <w:abstractNumId w:val="30"/>
  </w:num>
  <w:num w:numId="56" w16cid:durableId="1161772332">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735"/>
    <w:rsid w:val="0000013A"/>
    <w:rsid w:val="000006E5"/>
    <w:rsid w:val="000009D6"/>
    <w:rsid w:val="00000BB3"/>
    <w:rsid w:val="00000F22"/>
    <w:rsid w:val="00001387"/>
    <w:rsid w:val="00001691"/>
    <w:rsid w:val="0000198B"/>
    <w:rsid w:val="0000207F"/>
    <w:rsid w:val="00002842"/>
    <w:rsid w:val="00002AA8"/>
    <w:rsid w:val="00003005"/>
    <w:rsid w:val="00003699"/>
    <w:rsid w:val="00003BAC"/>
    <w:rsid w:val="00003CE0"/>
    <w:rsid w:val="00004583"/>
    <w:rsid w:val="000048AB"/>
    <w:rsid w:val="00004985"/>
    <w:rsid w:val="00004A76"/>
    <w:rsid w:val="00005F37"/>
    <w:rsid w:val="000063C3"/>
    <w:rsid w:val="00007089"/>
    <w:rsid w:val="00007215"/>
    <w:rsid w:val="0000760B"/>
    <w:rsid w:val="00010227"/>
    <w:rsid w:val="000105EF"/>
    <w:rsid w:val="00010982"/>
    <w:rsid w:val="00010AD7"/>
    <w:rsid w:val="000113A3"/>
    <w:rsid w:val="0001165C"/>
    <w:rsid w:val="00011E5F"/>
    <w:rsid w:val="000120F7"/>
    <w:rsid w:val="00012480"/>
    <w:rsid w:val="000124E0"/>
    <w:rsid w:val="00012860"/>
    <w:rsid w:val="00012BEB"/>
    <w:rsid w:val="00012D8A"/>
    <w:rsid w:val="000131B9"/>
    <w:rsid w:val="000134E7"/>
    <w:rsid w:val="00013B1C"/>
    <w:rsid w:val="0001465E"/>
    <w:rsid w:val="0001471A"/>
    <w:rsid w:val="00014FE1"/>
    <w:rsid w:val="0001507E"/>
    <w:rsid w:val="00015142"/>
    <w:rsid w:val="000152DB"/>
    <w:rsid w:val="00015467"/>
    <w:rsid w:val="00015B03"/>
    <w:rsid w:val="00015B49"/>
    <w:rsid w:val="00016332"/>
    <w:rsid w:val="0001635B"/>
    <w:rsid w:val="00016A1F"/>
    <w:rsid w:val="00016C70"/>
    <w:rsid w:val="00016CC0"/>
    <w:rsid w:val="00017414"/>
    <w:rsid w:val="00017729"/>
    <w:rsid w:val="0001780A"/>
    <w:rsid w:val="0001790E"/>
    <w:rsid w:val="00017DDA"/>
    <w:rsid w:val="00017FE1"/>
    <w:rsid w:val="000204EA"/>
    <w:rsid w:val="0002069B"/>
    <w:rsid w:val="00020F3F"/>
    <w:rsid w:val="0002120E"/>
    <w:rsid w:val="000216CA"/>
    <w:rsid w:val="00021FD9"/>
    <w:rsid w:val="0002231E"/>
    <w:rsid w:val="0002290F"/>
    <w:rsid w:val="000229B7"/>
    <w:rsid w:val="00022C8F"/>
    <w:rsid w:val="00022E29"/>
    <w:rsid w:val="000236EC"/>
    <w:rsid w:val="0002390C"/>
    <w:rsid w:val="00024AEC"/>
    <w:rsid w:val="00025504"/>
    <w:rsid w:val="0002559E"/>
    <w:rsid w:val="0002660F"/>
    <w:rsid w:val="0002794A"/>
    <w:rsid w:val="00027E7A"/>
    <w:rsid w:val="000300E8"/>
    <w:rsid w:val="00031239"/>
    <w:rsid w:val="000317B1"/>
    <w:rsid w:val="000318C8"/>
    <w:rsid w:val="000318EB"/>
    <w:rsid w:val="000319C0"/>
    <w:rsid w:val="00031BAE"/>
    <w:rsid w:val="0003207D"/>
    <w:rsid w:val="00032DC8"/>
    <w:rsid w:val="00032EA1"/>
    <w:rsid w:val="00033FEB"/>
    <w:rsid w:val="000341AD"/>
    <w:rsid w:val="000350C6"/>
    <w:rsid w:val="0003548B"/>
    <w:rsid w:val="0003570B"/>
    <w:rsid w:val="0003695A"/>
    <w:rsid w:val="0003753E"/>
    <w:rsid w:val="000379D4"/>
    <w:rsid w:val="00037C16"/>
    <w:rsid w:val="00037E3F"/>
    <w:rsid w:val="00037FB0"/>
    <w:rsid w:val="00040571"/>
    <w:rsid w:val="00041539"/>
    <w:rsid w:val="00041D68"/>
    <w:rsid w:val="00041E19"/>
    <w:rsid w:val="000425E1"/>
    <w:rsid w:val="00042D55"/>
    <w:rsid w:val="00042DB0"/>
    <w:rsid w:val="00044247"/>
    <w:rsid w:val="000446F7"/>
    <w:rsid w:val="00044BDA"/>
    <w:rsid w:val="00044EDA"/>
    <w:rsid w:val="00044F5E"/>
    <w:rsid w:val="000455ED"/>
    <w:rsid w:val="00045A80"/>
    <w:rsid w:val="00045B90"/>
    <w:rsid w:val="00046586"/>
    <w:rsid w:val="000470BC"/>
    <w:rsid w:val="00047130"/>
    <w:rsid w:val="00047154"/>
    <w:rsid w:val="000473D2"/>
    <w:rsid w:val="00047464"/>
    <w:rsid w:val="0005009B"/>
    <w:rsid w:val="00050344"/>
    <w:rsid w:val="00050CB6"/>
    <w:rsid w:val="00050D46"/>
    <w:rsid w:val="000517A4"/>
    <w:rsid w:val="00051C25"/>
    <w:rsid w:val="00051C9C"/>
    <w:rsid w:val="0005214A"/>
    <w:rsid w:val="000522F5"/>
    <w:rsid w:val="0005250C"/>
    <w:rsid w:val="00053284"/>
    <w:rsid w:val="000532B1"/>
    <w:rsid w:val="000542C5"/>
    <w:rsid w:val="000550F0"/>
    <w:rsid w:val="00055321"/>
    <w:rsid w:val="0005655D"/>
    <w:rsid w:val="000566A6"/>
    <w:rsid w:val="00056805"/>
    <w:rsid w:val="00056E2A"/>
    <w:rsid w:val="00057599"/>
    <w:rsid w:val="00060617"/>
    <w:rsid w:val="0006067B"/>
    <w:rsid w:val="00060728"/>
    <w:rsid w:val="00060C1A"/>
    <w:rsid w:val="00061007"/>
    <w:rsid w:val="000611C3"/>
    <w:rsid w:val="000616F2"/>
    <w:rsid w:val="000621B3"/>
    <w:rsid w:val="00062642"/>
    <w:rsid w:val="000641B1"/>
    <w:rsid w:val="0006426B"/>
    <w:rsid w:val="0006471F"/>
    <w:rsid w:val="00065419"/>
    <w:rsid w:val="00065428"/>
    <w:rsid w:val="00065497"/>
    <w:rsid w:val="00065531"/>
    <w:rsid w:val="000655AC"/>
    <w:rsid w:val="00066508"/>
    <w:rsid w:val="00066E4E"/>
    <w:rsid w:val="00067449"/>
    <w:rsid w:val="00070725"/>
    <w:rsid w:val="000715C0"/>
    <w:rsid w:val="00072663"/>
    <w:rsid w:val="00073CFC"/>
    <w:rsid w:val="00074EAB"/>
    <w:rsid w:val="00074F17"/>
    <w:rsid w:val="0007519C"/>
    <w:rsid w:val="000754AD"/>
    <w:rsid w:val="00075CAD"/>
    <w:rsid w:val="00075D5F"/>
    <w:rsid w:val="0007649C"/>
    <w:rsid w:val="000767DE"/>
    <w:rsid w:val="00076A60"/>
    <w:rsid w:val="00076E4C"/>
    <w:rsid w:val="00077269"/>
    <w:rsid w:val="000772F1"/>
    <w:rsid w:val="00077857"/>
    <w:rsid w:val="00080423"/>
    <w:rsid w:val="000806CA"/>
    <w:rsid w:val="00081A63"/>
    <w:rsid w:val="0008264C"/>
    <w:rsid w:val="00083099"/>
    <w:rsid w:val="000831AB"/>
    <w:rsid w:val="000834AF"/>
    <w:rsid w:val="000835BB"/>
    <w:rsid w:val="000838CF"/>
    <w:rsid w:val="00083BBD"/>
    <w:rsid w:val="00083F4B"/>
    <w:rsid w:val="00084786"/>
    <w:rsid w:val="0008545C"/>
    <w:rsid w:val="00085BC5"/>
    <w:rsid w:val="00085F37"/>
    <w:rsid w:val="00086ABA"/>
    <w:rsid w:val="00086CDF"/>
    <w:rsid w:val="00086FDC"/>
    <w:rsid w:val="00087738"/>
    <w:rsid w:val="00087EA4"/>
    <w:rsid w:val="00090156"/>
    <w:rsid w:val="000903F4"/>
    <w:rsid w:val="000905FC"/>
    <w:rsid w:val="000908C9"/>
    <w:rsid w:val="00090FBA"/>
    <w:rsid w:val="00091055"/>
    <w:rsid w:val="0009143A"/>
    <w:rsid w:val="00091647"/>
    <w:rsid w:val="00091677"/>
    <w:rsid w:val="00092218"/>
    <w:rsid w:val="0009261C"/>
    <w:rsid w:val="00092D28"/>
    <w:rsid w:val="00093467"/>
    <w:rsid w:val="000934A8"/>
    <w:rsid w:val="00093550"/>
    <w:rsid w:val="00094935"/>
    <w:rsid w:val="00095091"/>
    <w:rsid w:val="0009525A"/>
    <w:rsid w:val="00095679"/>
    <w:rsid w:val="0009589B"/>
    <w:rsid w:val="00095BBB"/>
    <w:rsid w:val="00095DF6"/>
    <w:rsid w:val="00095EA7"/>
    <w:rsid w:val="000962E4"/>
    <w:rsid w:val="00096372"/>
    <w:rsid w:val="00096414"/>
    <w:rsid w:val="00096C65"/>
    <w:rsid w:val="00097361"/>
    <w:rsid w:val="000973AA"/>
    <w:rsid w:val="00097DCB"/>
    <w:rsid w:val="000A01C1"/>
    <w:rsid w:val="000A051F"/>
    <w:rsid w:val="000A07B3"/>
    <w:rsid w:val="000A10C1"/>
    <w:rsid w:val="000A161D"/>
    <w:rsid w:val="000A1A06"/>
    <w:rsid w:val="000A1EDF"/>
    <w:rsid w:val="000A1EE8"/>
    <w:rsid w:val="000A1F62"/>
    <w:rsid w:val="000A2195"/>
    <w:rsid w:val="000A23CB"/>
    <w:rsid w:val="000A2576"/>
    <w:rsid w:val="000A26FD"/>
    <w:rsid w:val="000A2949"/>
    <w:rsid w:val="000A3213"/>
    <w:rsid w:val="000A3282"/>
    <w:rsid w:val="000A3487"/>
    <w:rsid w:val="000A3956"/>
    <w:rsid w:val="000A3CEC"/>
    <w:rsid w:val="000A4319"/>
    <w:rsid w:val="000A4B7A"/>
    <w:rsid w:val="000A4DA6"/>
    <w:rsid w:val="000A5213"/>
    <w:rsid w:val="000A53D2"/>
    <w:rsid w:val="000A5BEB"/>
    <w:rsid w:val="000A62DF"/>
    <w:rsid w:val="000A6911"/>
    <w:rsid w:val="000A6A7A"/>
    <w:rsid w:val="000A6AC9"/>
    <w:rsid w:val="000A6B79"/>
    <w:rsid w:val="000A7420"/>
    <w:rsid w:val="000A7885"/>
    <w:rsid w:val="000B033D"/>
    <w:rsid w:val="000B074A"/>
    <w:rsid w:val="000B1185"/>
    <w:rsid w:val="000B1293"/>
    <w:rsid w:val="000B1A2A"/>
    <w:rsid w:val="000B1D97"/>
    <w:rsid w:val="000B1F28"/>
    <w:rsid w:val="000B2961"/>
    <w:rsid w:val="000B2C65"/>
    <w:rsid w:val="000B30B9"/>
    <w:rsid w:val="000B35E6"/>
    <w:rsid w:val="000B37D4"/>
    <w:rsid w:val="000B41F1"/>
    <w:rsid w:val="000B466B"/>
    <w:rsid w:val="000B4A40"/>
    <w:rsid w:val="000B511C"/>
    <w:rsid w:val="000B59B1"/>
    <w:rsid w:val="000B5EAC"/>
    <w:rsid w:val="000B5F14"/>
    <w:rsid w:val="000B6977"/>
    <w:rsid w:val="000B6AD8"/>
    <w:rsid w:val="000B72FC"/>
    <w:rsid w:val="000B76A7"/>
    <w:rsid w:val="000B7B6E"/>
    <w:rsid w:val="000B7B97"/>
    <w:rsid w:val="000C016D"/>
    <w:rsid w:val="000C0714"/>
    <w:rsid w:val="000C095E"/>
    <w:rsid w:val="000C0E6F"/>
    <w:rsid w:val="000C1DAE"/>
    <w:rsid w:val="000C1F5D"/>
    <w:rsid w:val="000C24E0"/>
    <w:rsid w:val="000C388F"/>
    <w:rsid w:val="000C3B98"/>
    <w:rsid w:val="000C3EA8"/>
    <w:rsid w:val="000C400B"/>
    <w:rsid w:val="000C4A94"/>
    <w:rsid w:val="000C4D56"/>
    <w:rsid w:val="000C54F7"/>
    <w:rsid w:val="000C5BED"/>
    <w:rsid w:val="000C5E33"/>
    <w:rsid w:val="000C5FEA"/>
    <w:rsid w:val="000C62CB"/>
    <w:rsid w:val="000C686D"/>
    <w:rsid w:val="000C6961"/>
    <w:rsid w:val="000C6A8F"/>
    <w:rsid w:val="000C6C02"/>
    <w:rsid w:val="000C6F6E"/>
    <w:rsid w:val="000C7391"/>
    <w:rsid w:val="000C7636"/>
    <w:rsid w:val="000C76FC"/>
    <w:rsid w:val="000C7E23"/>
    <w:rsid w:val="000D0808"/>
    <w:rsid w:val="000D17FD"/>
    <w:rsid w:val="000D1C15"/>
    <w:rsid w:val="000D2774"/>
    <w:rsid w:val="000D282B"/>
    <w:rsid w:val="000D287D"/>
    <w:rsid w:val="000D2A03"/>
    <w:rsid w:val="000D2BA7"/>
    <w:rsid w:val="000D314B"/>
    <w:rsid w:val="000D31BA"/>
    <w:rsid w:val="000D368D"/>
    <w:rsid w:val="000D37FF"/>
    <w:rsid w:val="000D4E77"/>
    <w:rsid w:val="000D54B1"/>
    <w:rsid w:val="000D5F53"/>
    <w:rsid w:val="000D5FDD"/>
    <w:rsid w:val="000D65C1"/>
    <w:rsid w:val="000D693B"/>
    <w:rsid w:val="000D6A18"/>
    <w:rsid w:val="000D6D25"/>
    <w:rsid w:val="000D716C"/>
    <w:rsid w:val="000D75E8"/>
    <w:rsid w:val="000D7A0E"/>
    <w:rsid w:val="000D7DCC"/>
    <w:rsid w:val="000D7E30"/>
    <w:rsid w:val="000D7E78"/>
    <w:rsid w:val="000E0245"/>
    <w:rsid w:val="000E07CC"/>
    <w:rsid w:val="000E0FB9"/>
    <w:rsid w:val="000E1D67"/>
    <w:rsid w:val="000E22F6"/>
    <w:rsid w:val="000E2348"/>
    <w:rsid w:val="000E23FD"/>
    <w:rsid w:val="000E2828"/>
    <w:rsid w:val="000E297E"/>
    <w:rsid w:val="000E2A88"/>
    <w:rsid w:val="000E31C5"/>
    <w:rsid w:val="000E4AB0"/>
    <w:rsid w:val="000E4B09"/>
    <w:rsid w:val="000E4D56"/>
    <w:rsid w:val="000E5168"/>
    <w:rsid w:val="000E54E7"/>
    <w:rsid w:val="000E550B"/>
    <w:rsid w:val="000E58AA"/>
    <w:rsid w:val="000E5BB2"/>
    <w:rsid w:val="000E646F"/>
    <w:rsid w:val="000E648E"/>
    <w:rsid w:val="000E73F4"/>
    <w:rsid w:val="000E788D"/>
    <w:rsid w:val="000E78B1"/>
    <w:rsid w:val="000E78CC"/>
    <w:rsid w:val="000E7C09"/>
    <w:rsid w:val="000F0AF7"/>
    <w:rsid w:val="000F0D37"/>
    <w:rsid w:val="000F0F67"/>
    <w:rsid w:val="000F11CC"/>
    <w:rsid w:val="000F203A"/>
    <w:rsid w:val="000F257B"/>
    <w:rsid w:val="000F2598"/>
    <w:rsid w:val="000F2F68"/>
    <w:rsid w:val="000F300E"/>
    <w:rsid w:val="000F3033"/>
    <w:rsid w:val="000F497C"/>
    <w:rsid w:val="000F4EE6"/>
    <w:rsid w:val="000F500C"/>
    <w:rsid w:val="000F5447"/>
    <w:rsid w:val="000F5702"/>
    <w:rsid w:val="000F5846"/>
    <w:rsid w:val="000F59F1"/>
    <w:rsid w:val="000F5B41"/>
    <w:rsid w:val="000F643D"/>
    <w:rsid w:val="000F6718"/>
    <w:rsid w:val="000F6930"/>
    <w:rsid w:val="000F73EA"/>
    <w:rsid w:val="000F798B"/>
    <w:rsid w:val="000F7EA1"/>
    <w:rsid w:val="000F7F66"/>
    <w:rsid w:val="000F7FF1"/>
    <w:rsid w:val="001001A1"/>
    <w:rsid w:val="0010031F"/>
    <w:rsid w:val="0010094A"/>
    <w:rsid w:val="00100963"/>
    <w:rsid w:val="00100AB7"/>
    <w:rsid w:val="00100E12"/>
    <w:rsid w:val="001014D7"/>
    <w:rsid w:val="001018F2"/>
    <w:rsid w:val="00101DB4"/>
    <w:rsid w:val="0010237B"/>
    <w:rsid w:val="00102AB6"/>
    <w:rsid w:val="001034CC"/>
    <w:rsid w:val="001038DC"/>
    <w:rsid w:val="00103A01"/>
    <w:rsid w:val="0010401C"/>
    <w:rsid w:val="001040FE"/>
    <w:rsid w:val="001042E2"/>
    <w:rsid w:val="001045CE"/>
    <w:rsid w:val="00104CBC"/>
    <w:rsid w:val="00104D27"/>
    <w:rsid w:val="001053B0"/>
    <w:rsid w:val="00105E23"/>
    <w:rsid w:val="00105F6C"/>
    <w:rsid w:val="0010627E"/>
    <w:rsid w:val="001066F8"/>
    <w:rsid w:val="00106855"/>
    <w:rsid w:val="00106D9A"/>
    <w:rsid w:val="0010740E"/>
    <w:rsid w:val="00107622"/>
    <w:rsid w:val="001076E0"/>
    <w:rsid w:val="001105E6"/>
    <w:rsid w:val="00110AF4"/>
    <w:rsid w:val="001110DE"/>
    <w:rsid w:val="00111284"/>
    <w:rsid w:val="001117CE"/>
    <w:rsid w:val="00111D21"/>
    <w:rsid w:val="0011258C"/>
    <w:rsid w:val="001126E4"/>
    <w:rsid w:val="00112A22"/>
    <w:rsid w:val="00113C9E"/>
    <w:rsid w:val="00113D6D"/>
    <w:rsid w:val="00114426"/>
    <w:rsid w:val="001144A4"/>
    <w:rsid w:val="001145A4"/>
    <w:rsid w:val="0011590F"/>
    <w:rsid w:val="00115CAA"/>
    <w:rsid w:val="00116784"/>
    <w:rsid w:val="00116C92"/>
    <w:rsid w:val="00116F4D"/>
    <w:rsid w:val="00117102"/>
    <w:rsid w:val="0011765B"/>
    <w:rsid w:val="00117FCD"/>
    <w:rsid w:val="00120353"/>
    <w:rsid w:val="001208A8"/>
    <w:rsid w:val="00120D00"/>
    <w:rsid w:val="00120DDC"/>
    <w:rsid w:val="0012177A"/>
    <w:rsid w:val="00121F48"/>
    <w:rsid w:val="001226AC"/>
    <w:rsid w:val="00122E2E"/>
    <w:rsid w:val="00122F0C"/>
    <w:rsid w:val="0012354B"/>
    <w:rsid w:val="0012387F"/>
    <w:rsid w:val="001238A2"/>
    <w:rsid w:val="00123CD2"/>
    <w:rsid w:val="00123EA8"/>
    <w:rsid w:val="00123ED7"/>
    <w:rsid w:val="001243F2"/>
    <w:rsid w:val="00124F81"/>
    <w:rsid w:val="0012536A"/>
    <w:rsid w:val="001255D5"/>
    <w:rsid w:val="00125A7B"/>
    <w:rsid w:val="00125F39"/>
    <w:rsid w:val="00125FBB"/>
    <w:rsid w:val="0012609E"/>
    <w:rsid w:val="0012697F"/>
    <w:rsid w:val="00127FCD"/>
    <w:rsid w:val="00130210"/>
    <w:rsid w:val="001303BE"/>
    <w:rsid w:val="00130595"/>
    <w:rsid w:val="00130863"/>
    <w:rsid w:val="00130B64"/>
    <w:rsid w:val="00130D3A"/>
    <w:rsid w:val="00130F1D"/>
    <w:rsid w:val="0013111C"/>
    <w:rsid w:val="001312D9"/>
    <w:rsid w:val="001323CD"/>
    <w:rsid w:val="0013265D"/>
    <w:rsid w:val="00132916"/>
    <w:rsid w:val="00133428"/>
    <w:rsid w:val="00133973"/>
    <w:rsid w:val="00133B88"/>
    <w:rsid w:val="00133E55"/>
    <w:rsid w:val="00134118"/>
    <w:rsid w:val="001341F6"/>
    <w:rsid w:val="0013486D"/>
    <w:rsid w:val="00134FAE"/>
    <w:rsid w:val="0013529D"/>
    <w:rsid w:val="001359E2"/>
    <w:rsid w:val="00136340"/>
    <w:rsid w:val="00136CA7"/>
    <w:rsid w:val="00136CCD"/>
    <w:rsid w:val="001371AC"/>
    <w:rsid w:val="00137613"/>
    <w:rsid w:val="0013784B"/>
    <w:rsid w:val="001416EE"/>
    <w:rsid w:val="0014189C"/>
    <w:rsid w:val="00141D60"/>
    <w:rsid w:val="00142A6E"/>
    <w:rsid w:val="00142D1D"/>
    <w:rsid w:val="00142FDF"/>
    <w:rsid w:val="00144A93"/>
    <w:rsid w:val="0014570E"/>
    <w:rsid w:val="0014597C"/>
    <w:rsid w:val="00145D9C"/>
    <w:rsid w:val="00146007"/>
    <w:rsid w:val="00146527"/>
    <w:rsid w:val="00146AF8"/>
    <w:rsid w:val="00146FF7"/>
    <w:rsid w:val="0014710F"/>
    <w:rsid w:val="00147E02"/>
    <w:rsid w:val="00150E2E"/>
    <w:rsid w:val="0015138D"/>
    <w:rsid w:val="001516BC"/>
    <w:rsid w:val="001516C4"/>
    <w:rsid w:val="001518F6"/>
    <w:rsid w:val="00151BC6"/>
    <w:rsid w:val="00151D44"/>
    <w:rsid w:val="00152474"/>
    <w:rsid w:val="00152A0E"/>
    <w:rsid w:val="00152AEE"/>
    <w:rsid w:val="00152BFD"/>
    <w:rsid w:val="001550BF"/>
    <w:rsid w:val="00155829"/>
    <w:rsid w:val="00155A8C"/>
    <w:rsid w:val="00155EC7"/>
    <w:rsid w:val="00156493"/>
    <w:rsid w:val="00156F22"/>
    <w:rsid w:val="001570F6"/>
    <w:rsid w:val="00157275"/>
    <w:rsid w:val="00157C54"/>
    <w:rsid w:val="00157F43"/>
    <w:rsid w:val="0016089A"/>
    <w:rsid w:val="00160EEA"/>
    <w:rsid w:val="00161D60"/>
    <w:rsid w:val="00162163"/>
    <w:rsid w:val="0016234D"/>
    <w:rsid w:val="00162B36"/>
    <w:rsid w:val="001639EC"/>
    <w:rsid w:val="00163B49"/>
    <w:rsid w:val="0016410C"/>
    <w:rsid w:val="00164389"/>
    <w:rsid w:val="001647F3"/>
    <w:rsid w:val="00165243"/>
    <w:rsid w:val="00165274"/>
    <w:rsid w:val="0016531B"/>
    <w:rsid w:val="001654E4"/>
    <w:rsid w:val="001655E9"/>
    <w:rsid w:val="00165818"/>
    <w:rsid w:val="00165AC7"/>
    <w:rsid w:val="00165F4B"/>
    <w:rsid w:val="00165FA1"/>
    <w:rsid w:val="00166767"/>
    <w:rsid w:val="00166E39"/>
    <w:rsid w:val="00166FDA"/>
    <w:rsid w:val="00167C36"/>
    <w:rsid w:val="001709B6"/>
    <w:rsid w:val="00170BDB"/>
    <w:rsid w:val="00170C38"/>
    <w:rsid w:val="00171899"/>
    <w:rsid w:val="00171B2A"/>
    <w:rsid w:val="00171B59"/>
    <w:rsid w:val="001722CC"/>
    <w:rsid w:val="00172330"/>
    <w:rsid w:val="0017264E"/>
    <w:rsid w:val="001728D5"/>
    <w:rsid w:val="00172990"/>
    <w:rsid w:val="00172A0B"/>
    <w:rsid w:val="00172ABE"/>
    <w:rsid w:val="00172B5F"/>
    <w:rsid w:val="00172F0D"/>
    <w:rsid w:val="001730A6"/>
    <w:rsid w:val="00174179"/>
    <w:rsid w:val="001746B9"/>
    <w:rsid w:val="00174E15"/>
    <w:rsid w:val="00174F39"/>
    <w:rsid w:val="00175053"/>
    <w:rsid w:val="00176147"/>
    <w:rsid w:val="00176CBF"/>
    <w:rsid w:val="001771AC"/>
    <w:rsid w:val="00177D49"/>
    <w:rsid w:val="001800D9"/>
    <w:rsid w:val="00180913"/>
    <w:rsid w:val="00180D1D"/>
    <w:rsid w:val="00181B01"/>
    <w:rsid w:val="001822B5"/>
    <w:rsid w:val="0018231E"/>
    <w:rsid w:val="001825A0"/>
    <w:rsid w:val="0018296B"/>
    <w:rsid w:val="00182CFD"/>
    <w:rsid w:val="00182D96"/>
    <w:rsid w:val="0018333F"/>
    <w:rsid w:val="001836A2"/>
    <w:rsid w:val="00183988"/>
    <w:rsid w:val="00183E14"/>
    <w:rsid w:val="001842CF"/>
    <w:rsid w:val="00184D18"/>
    <w:rsid w:val="00185C8A"/>
    <w:rsid w:val="00186299"/>
    <w:rsid w:val="001865B2"/>
    <w:rsid w:val="00186770"/>
    <w:rsid w:val="00186E9A"/>
    <w:rsid w:val="00187431"/>
    <w:rsid w:val="00190206"/>
    <w:rsid w:val="00190EEC"/>
    <w:rsid w:val="00191542"/>
    <w:rsid w:val="001918ED"/>
    <w:rsid w:val="00191907"/>
    <w:rsid w:val="00191A12"/>
    <w:rsid w:val="00191BD8"/>
    <w:rsid w:val="00191D75"/>
    <w:rsid w:val="00192817"/>
    <w:rsid w:val="00192CB7"/>
    <w:rsid w:val="00193633"/>
    <w:rsid w:val="001936A9"/>
    <w:rsid w:val="00194FB9"/>
    <w:rsid w:val="00195888"/>
    <w:rsid w:val="00195AC2"/>
    <w:rsid w:val="001969B9"/>
    <w:rsid w:val="00196A62"/>
    <w:rsid w:val="00196B72"/>
    <w:rsid w:val="00196D10"/>
    <w:rsid w:val="00197147"/>
    <w:rsid w:val="00197206"/>
    <w:rsid w:val="00197309"/>
    <w:rsid w:val="001974E4"/>
    <w:rsid w:val="0019755A"/>
    <w:rsid w:val="001A033D"/>
    <w:rsid w:val="001A03CD"/>
    <w:rsid w:val="001A141F"/>
    <w:rsid w:val="001A160C"/>
    <w:rsid w:val="001A1712"/>
    <w:rsid w:val="001A1990"/>
    <w:rsid w:val="001A1D7E"/>
    <w:rsid w:val="001A2369"/>
    <w:rsid w:val="001A2408"/>
    <w:rsid w:val="001A27BC"/>
    <w:rsid w:val="001A2BC3"/>
    <w:rsid w:val="001A2CC0"/>
    <w:rsid w:val="001A3442"/>
    <w:rsid w:val="001A3C11"/>
    <w:rsid w:val="001A42FD"/>
    <w:rsid w:val="001A4337"/>
    <w:rsid w:val="001A45BD"/>
    <w:rsid w:val="001A4A70"/>
    <w:rsid w:val="001A516A"/>
    <w:rsid w:val="001A57A3"/>
    <w:rsid w:val="001A5812"/>
    <w:rsid w:val="001A5EE7"/>
    <w:rsid w:val="001A612E"/>
    <w:rsid w:val="001A68ED"/>
    <w:rsid w:val="001A6F5D"/>
    <w:rsid w:val="001A739B"/>
    <w:rsid w:val="001A77A9"/>
    <w:rsid w:val="001A77CE"/>
    <w:rsid w:val="001A780E"/>
    <w:rsid w:val="001A790D"/>
    <w:rsid w:val="001A79EB"/>
    <w:rsid w:val="001A7B91"/>
    <w:rsid w:val="001A7D6C"/>
    <w:rsid w:val="001B130F"/>
    <w:rsid w:val="001B14A2"/>
    <w:rsid w:val="001B15C2"/>
    <w:rsid w:val="001B18C8"/>
    <w:rsid w:val="001B1DE5"/>
    <w:rsid w:val="001B27A2"/>
    <w:rsid w:val="001B28D1"/>
    <w:rsid w:val="001B2D83"/>
    <w:rsid w:val="001B2F6C"/>
    <w:rsid w:val="001B2FB8"/>
    <w:rsid w:val="001B331E"/>
    <w:rsid w:val="001B34BA"/>
    <w:rsid w:val="001B3EA9"/>
    <w:rsid w:val="001B4040"/>
    <w:rsid w:val="001B4D5B"/>
    <w:rsid w:val="001B514D"/>
    <w:rsid w:val="001B66DB"/>
    <w:rsid w:val="001B7425"/>
    <w:rsid w:val="001B7990"/>
    <w:rsid w:val="001B7BFD"/>
    <w:rsid w:val="001B7F9D"/>
    <w:rsid w:val="001C0027"/>
    <w:rsid w:val="001C02F4"/>
    <w:rsid w:val="001C0728"/>
    <w:rsid w:val="001C0A5A"/>
    <w:rsid w:val="001C0C3D"/>
    <w:rsid w:val="001C0DC4"/>
    <w:rsid w:val="001C0F2E"/>
    <w:rsid w:val="001C1676"/>
    <w:rsid w:val="001C19E3"/>
    <w:rsid w:val="001C1A27"/>
    <w:rsid w:val="001C1E88"/>
    <w:rsid w:val="001C20B0"/>
    <w:rsid w:val="001C227A"/>
    <w:rsid w:val="001C252D"/>
    <w:rsid w:val="001C26D6"/>
    <w:rsid w:val="001C279D"/>
    <w:rsid w:val="001C29A1"/>
    <w:rsid w:val="001C32C2"/>
    <w:rsid w:val="001C32F3"/>
    <w:rsid w:val="001C366D"/>
    <w:rsid w:val="001C3E1F"/>
    <w:rsid w:val="001C4967"/>
    <w:rsid w:val="001C4F0A"/>
    <w:rsid w:val="001C50D5"/>
    <w:rsid w:val="001C54BF"/>
    <w:rsid w:val="001C57A9"/>
    <w:rsid w:val="001C6D3C"/>
    <w:rsid w:val="001C6FAE"/>
    <w:rsid w:val="001C710B"/>
    <w:rsid w:val="001C7154"/>
    <w:rsid w:val="001C73F0"/>
    <w:rsid w:val="001C78CD"/>
    <w:rsid w:val="001D091F"/>
    <w:rsid w:val="001D169A"/>
    <w:rsid w:val="001D16C5"/>
    <w:rsid w:val="001D16FE"/>
    <w:rsid w:val="001D208E"/>
    <w:rsid w:val="001D22F3"/>
    <w:rsid w:val="001D2847"/>
    <w:rsid w:val="001D2989"/>
    <w:rsid w:val="001D3FA0"/>
    <w:rsid w:val="001D3FB5"/>
    <w:rsid w:val="001D3FBC"/>
    <w:rsid w:val="001D4D3F"/>
    <w:rsid w:val="001D50F0"/>
    <w:rsid w:val="001D51DF"/>
    <w:rsid w:val="001D5269"/>
    <w:rsid w:val="001D5899"/>
    <w:rsid w:val="001D6BFE"/>
    <w:rsid w:val="001D6C8D"/>
    <w:rsid w:val="001D7D22"/>
    <w:rsid w:val="001E056F"/>
    <w:rsid w:val="001E1157"/>
    <w:rsid w:val="001E1BFA"/>
    <w:rsid w:val="001E2001"/>
    <w:rsid w:val="001E20B7"/>
    <w:rsid w:val="001E270C"/>
    <w:rsid w:val="001E2C0E"/>
    <w:rsid w:val="001E302C"/>
    <w:rsid w:val="001E34D7"/>
    <w:rsid w:val="001E37D6"/>
    <w:rsid w:val="001E40D5"/>
    <w:rsid w:val="001E441B"/>
    <w:rsid w:val="001E45C6"/>
    <w:rsid w:val="001E45F1"/>
    <w:rsid w:val="001E539D"/>
    <w:rsid w:val="001E54B5"/>
    <w:rsid w:val="001E584D"/>
    <w:rsid w:val="001E5F75"/>
    <w:rsid w:val="001E7032"/>
    <w:rsid w:val="001E7C34"/>
    <w:rsid w:val="001E7C98"/>
    <w:rsid w:val="001F02B7"/>
    <w:rsid w:val="001F036D"/>
    <w:rsid w:val="001F0B18"/>
    <w:rsid w:val="001F0C24"/>
    <w:rsid w:val="001F0FD4"/>
    <w:rsid w:val="001F0FEE"/>
    <w:rsid w:val="001F145E"/>
    <w:rsid w:val="001F1911"/>
    <w:rsid w:val="001F218B"/>
    <w:rsid w:val="001F22ED"/>
    <w:rsid w:val="001F23D7"/>
    <w:rsid w:val="001F2722"/>
    <w:rsid w:val="001F2B16"/>
    <w:rsid w:val="001F2EFD"/>
    <w:rsid w:val="001F358B"/>
    <w:rsid w:val="001F3752"/>
    <w:rsid w:val="001F3BB9"/>
    <w:rsid w:val="001F3EC3"/>
    <w:rsid w:val="001F3EF8"/>
    <w:rsid w:val="001F40CF"/>
    <w:rsid w:val="001F4172"/>
    <w:rsid w:val="001F4528"/>
    <w:rsid w:val="001F5648"/>
    <w:rsid w:val="001F5BA8"/>
    <w:rsid w:val="001F649B"/>
    <w:rsid w:val="001F6660"/>
    <w:rsid w:val="001F6B52"/>
    <w:rsid w:val="001F6F71"/>
    <w:rsid w:val="001F7223"/>
    <w:rsid w:val="001F751E"/>
    <w:rsid w:val="001F7DC1"/>
    <w:rsid w:val="0020012C"/>
    <w:rsid w:val="0020073A"/>
    <w:rsid w:val="00200E6F"/>
    <w:rsid w:val="00201A1E"/>
    <w:rsid w:val="00201A27"/>
    <w:rsid w:val="00201AF4"/>
    <w:rsid w:val="00201E74"/>
    <w:rsid w:val="0020236E"/>
    <w:rsid w:val="002026FB"/>
    <w:rsid w:val="002036A5"/>
    <w:rsid w:val="0020547A"/>
    <w:rsid w:val="0020584B"/>
    <w:rsid w:val="00205E82"/>
    <w:rsid w:val="002068CE"/>
    <w:rsid w:val="0020694C"/>
    <w:rsid w:val="002104F6"/>
    <w:rsid w:val="00210DD7"/>
    <w:rsid w:val="0021103B"/>
    <w:rsid w:val="0021133A"/>
    <w:rsid w:val="002123EF"/>
    <w:rsid w:val="00212AC7"/>
    <w:rsid w:val="00212CF3"/>
    <w:rsid w:val="002138C0"/>
    <w:rsid w:val="00213C7A"/>
    <w:rsid w:val="00214142"/>
    <w:rsid w:val="00214698"/>
    <w:rsid w:val="0021488B"/>
    <w:rsid w:val="00214A36"/>
    <w:rsid w:val="00214FEB"/>
    <w:rsid w:val="0021563E"/>
    <w:rsid w:val="00215B25"/>
    <w:rsid w:val="00215DEA"/>
    <w:rsid w:val="00215F3D"/>
    <w:rsid w:val="002165AD"/>
    <w:rsid w:val="00216DB1"/>
    <w:rsid w:val="0021725C"/>
    <w:rsid w:val="0021744D"/>
    <w:rsid w:val="00220744"/>
    <w:rsid w:val="00221BF8"/>
    <w:rsid w:val="0022271A"/>
    <w:rsid w:val="00222856"/>
    <w:rsid w:val="0022303D"/>
    <w:rsid w:val="00223386"/>
    <w:rsid w:val="002233F1"/>
    <w:rsid w:val="0022346C"/>
    <w:rsid w:val="00223637"/>
    <w:rsid w:val="0022389C"/>
    <w:rsid w:val="002243A1"/>
    <w:rsid w:val="002248E5"/>
    <w:rsid w:val="00224E6D"/>
    <w:rsid w:val="0022513F"/>
    <w:rsid w:val="00225271"/>
    <w:rsid w:val="002253E2"/>
    <w:rsid w:val="002258CF"/>
    <w:rsid w:val="00225F7A"/>
    <w:rsid w:val="00226250"/>
    <w:rsid w:val="00226342"/>
    <w:rsid w:val="0022646E"/>
    <w:rsid w:val="0022665D"/>
    <w:rsid w:val="002268E7"/>
    <w:rsid w:val="00226B65"/>
    <w:rsid w:val="002302C2"/>
    <w:rsid w:val="002306AA"/>
    <w:rsid w:val="002307DC"/>
    <w:rsid w:val="00230FC2"/>
    <w:rsid w:val="00231150"/>
    <w:rsid w:val="0023236F"/>
    <w:rsid w:val="002329D6"/>
    <w:rsid w:val="00232EF1"/>
    <w:rsid w:val="00232F13"/>
    <w:rsid w:val="002332C4"/>
    <w:rsid w:val="0023437B"/>
    <w:rsid w:val="00234A5D"/>
    <w:rsid w:val="0023553C"/>
    <w:rsid w:val="00235E0D"/>
    <w:rsid w:val="00235FF9"/>
    <w:rsid w:val="00236019"/>
    <w:rsid w:val="002366BE"/>
    <w:rsid w:val="00236F36"/>
    <w:rsid w:val="0024012E"/>
    <w:rsid w:val="0024153E"/>
    <w:rsid w:val="0024161A"/>
    <w:rsid w:val="00241E28"/>
    <w:rsid w:val="00242746"/>
    <w:rsid w:val="00242BD3"/>
    <w:rsid w:val="00242EB2"/>
    <w:rsid w:val="002432B1"/>
    <w:rsid w:val="00244CEF"/>
    <w:rsid w:val="00244E4F"/>
    <w:rsid w:val="0024627C"/>
    <w:rsid w:val="002468D0"/>
    <w:rsid w:val="00246DA7"/>
    <w:rsid w:val="00247161"/>
    <w:rsid w:val="00247C3B"/>
    <w:rsid w:val="00247CD6"/>
    <w:rsid w:val="00247F15"/>
    <w:rsid w:val="0025074C"/>
    <w:rsid w:val="00250800"/>
    <w:rsid w:val="00250999"/>
    <w:rsid w:val="00250EC9"/>
    <w:rsid w:val="00251234"/>
    <w:rsid w:val="00251376"/>
    <w:rsid w:val="002513D9"/>
    <w:rsid w:val="00251BBC"/>
    <w:rsid w:val="00251BF4"/>
    <w:rsid w:val="00251E65"/>
    <w:rsid w:val="002521AB"/>
    <w:rsid w:val="0025274E"/>
    <w:rsid w:val="00252D1E"/>
    <w:rsid w:val="00252D3F"/>
    <w:rsid w:val="00253118"/>
    <w:rsid w:val="00253956"/>
    <w:rsid w:val="00253BD3"/>
    <w:rsid w:val="00253F1B"/>
    <w:rsid w:val="0025457E"/>
    <w:rsid w:val="002552D3"/>
    <w:rsid w:val="00255545"/>
    <w:rsid w:val="00255622"/>
    <w:rsid w:val="00255B24"/>
    <w:rsid w:val="002569C1"/>
    <w:rsid w:val="00256BF4"/>
    <w:rsid w:val="00256C26"/>
    <w:rsid w:val="0025716C"/>
    <w:rsid w:val="002576FD"/>
    <w:rsid w:val="00257968"/>
    <w:rsid w:val="00257F87"/>
    <w:rsid w:val="0026062B"/>
    <w:rsid w:val="0026078F"/>
    <w:rsid w:val="0026196F"/>
    <w:rsid w:val="0026217E"/>
    <w:rsid w:val="0026225C"/>
    <w:rsid w:val="00262340"/>
    <w:rsid w:val="00262E2F"/>
    <w:rsid w:val="00262E5A"/>
    <w:rsid w:val="00262F8B"/>
    <w:rsid w:val="002636E1"/>
    <w:rsid w:val="00263925"/>
    <w:rsid w:val="002639EF"/>
    <w:rsid w:val="00263A05"/>
    <w:rsid w:val="00264BC7"/>
    <w:rsid w:val="002660B6"/>
    <w:rsid w:val="00266637"/>
    <w:rsid w:val="002667D6"/>
    <w:rsid w:val="00266A60"/>
    <w:rsid w:val="0026733F"/>
    <w:rsid w:val="002679F0"/>
    <w:rsid w:val="00267FA9"/>
    <w:rsid w:val="00270701"/>
    <w:rsid w:val="0027098D"/>
    <w:rsid w:val="0027198B"/>
    <w:rsid w:val="00271F55"/>
    <w:rsid w:val="002724F6"/>
    <w:rsid w:val="00272C97"/>
    <w:rsid w:val="00272ECC"/>
    <w:rsid w:val="002733E2"/>
    <w:rsid w:val="00273639"/>
    <w:rsid w:val="00273F4F"/>
    <w:rsid w:val="0027409A"/>
    <w:rsid w:val="002742E9"/>
    <w:rsid w:val="0027537F"/>
    <w:rsid w:val="002757BC"/>
    <w:rsid w:val="00275EF9"/>
    <w:rsid w:val="00275FEA"/>
    <w:rsid w:val="002763D0"/>
    <w:rsid w:val="0027682A"/>
    <w:rsid w:val="002773BB"/>
    <w:rsid w:val="0027778C"/>
    <w:rsid w:val="00277B49"/>
    <w:rsid w:val="00277DDF"/>
    <w:rsid w:val="00277EEF"/>
    <w:rsid w:val="00280429"/>
    <w:rsid w:val="0028046A"/>
    <w:rsid w:val="00280936"/>
    <w:rsid w:val="00280BEE"/>
    <w:rsid w:val="00280DE7"/>
    <w:rsid w:val="00281288"/>
    <w:rsid w:val="002818AD"/>
    <w:rsid w:val="0028418A"/>
    <w:rsid w:val="00284A80"/>
    <w:rsid w:val="00284C24"/>
    <w:rsid w:val="00284D2E"/>
    <w:rsid w:val="00284FFE"/>
    <w:rsid w:val="002851EC"/>
    <w:rsid w:val="00285ABB"/>
    <w:rsid w:val="00285B8A"/>
    <w:rsid w:val="00285FC6"/>
    <w:rsid w:val="00286205"/>
    <w:rsid w:val="0028621C"/>
    <w:rsid w:val="002868AA"/>
    <w:rsid w:val="00286939"/>
    <w:rsid w:val="00287357"/>
    <w:rsid w:val="0028760D"/>
    <w:rsid w:val="00287FF4"/>
    <w:rsid w:val="002904CC"/>
    <w:rsid w:val="00290718"/>
    <w:rsid w:val="00290B97"/>
    <w:rsid w:val="002910F0"/>
    <w:rsid w:val="00291103"/>
    <w:rsid w:val="00291966"/>
    <w:rsid w:val="00291ED2"/>
    <w:rsid w:val="00291F80"/>
    <w:rsid w:val="002921D6"/>
    <w:rsid w:val="00292451"/>
    <w:rsid w:val="00292778"/>
    <w:rsid w:val="0029392B"/>
    <w:rsid w:val="00293DCE"/>
    <w:rsid w:val="002940B9"/>
    <w:rsid w:val="00294214"/>
    <w:rsid w:val="0029427D"/>
    <w:rsid w:val="00294372"/>
    <w:rsid w:val="00294B7A"/>
    <w:rsid w:val="00294CF2"/>
    <w:rsid w:val="00295F80"/>
    <w:rsid w:val="0029647F"/>
    <w:rsid w:val="0029659D"/>
    <w:rsid w:val="00296BA5"/>
    <w:rsid w:val="00296E6E"/>
    <w:rsid w:val="002A0660"/>
    <w:rsid w:val="002A0A9C"/>
    <w:rsid w:val="002A0C74"/>
    <w:rsid w:val="002A0E4F"/>
    <w:rsid w:val="002A15F4"/>
    <w:rsid w:val="002A1838"/>
    <w:rsid w:val="002A27CF"/>
    <w:rsid w:val="002A29DC"/>
    <w:rsid w:val="002A2A1D"/>
    <w:rsid w:val="002A2F17"/>
    <w:rsid w:val="002A38B7"/>
    <w:rsid w:val="002A3CDF"/>
    <w:rsid w:val="002A41BC"/>
    <w:rsid w:val="002A57B6"/>
    <w:rsid w:val="002A5832"/>
    <w:rsid w:val="002A5FED"/>
    <w:rsid w:val="002A623E"/>
    <w:rsid w:val="002A63B4"/>
    <w:rsid w:val="002A6419"/>
    <w:rsid w:val="002A6CA1"/>
    <w:rsid w:val="002A6F24"/>
    <w:rsid w:val="002A78E3"/>
    <w:rsid w:val="002A7AC7"/>
    <w:rsid w:val="002B0366"/>
    <w:rsid w:val="002B0477"/>
    <w:rsid w:val="002B047B"/>
    <w:rsid w:val="002B04F9"/>
    <w:rsid w:val="002B1680"/>
    <w:rsid w:val="002B18D0"/>
    <w:rsid w:val="002B265B"/>
    <w:rsid w:val="002B2A5B"/>
    <w:rsid w:val="002B3203"/>
    <w:rsid w:val="002B3938"/>
    <w:rsid w:val="002B3FC3"/>
    <w:rsid w:val="002B3FF3"/>
    <w:rsid w:val="002B40C3"/>
    <w:rsid w:val="002B5470"/>
    <w:rsid w:val="002B56C8"/>
    <w:rsid w:val="002B61D0"/>
    <w:rsid w:val="002B6C33"/>
    <w:rsid w:val="002B6E44"/>
    <w:rsid w:val="002B7562"/>
    <w:rsid w:val="002B7B2A"/>
    <w:rsid w:val="002B7F08"/>
    <w:rsid w:val="002C0724"/>
    <w:rsid w:val="002C09A7"/>
    <w:rsid w:val="002C1013"/>
    <w:rsid w:val="002C14F6"/>
    <w:rsid w:val="002C1B24"/>
    <w:rsid w:val="002C1C43"/>
    <w:rsid w:val="002C2009"/>
    <w:rsid w:val="002C211B"/>
    <w:rsid w:val="002C24EE"/>
    <w:rsid w:val="002C28DB"/>
    <w:rsid w:val="002C2D21"/>
    <w:rsid w:val="002C2E5D"/>
    <w:rsid w:val="002C3964"/>
    <w:rsid w:val="002C44B5"/>
    <w:rsid w:val="002C4F4C"/>
    <w:rsid w:val="002C5A5C"/>
    <w:rsid w:val="002C5C96"/>
    <w:rsid w:val="002C5CAB"/>
    <w:rsid w:val="002C6558"/>
    <w:rsid w:val="002C69FA"/>
    <w:rsid w:val="002C6B66"/>
    <w:rsid w:val="002C6C84"/>
    <w:rsid w:val="002C6E96"/>
    <w:rsid w:val="002C7240"/>
    <w:rsid w:val="002C7483"/>
    <w:rsid w:val="002C770C"/>
    <w:rsid w:val="002C7D49"/>
    <w:rsid w:val="002D04F2"/>
    <w:rsid w:val="002D0669"/>
    <w:rsid w:val="002D0A94"/>
    <w:rsid w:val="002D0DCC"/>
    <w:rsid w:val="002D13EF"/>
    <w:rsid w:val="002D1C70"/>
    <w:rsid w:val="002D1F43"/>
    <w:rsid w:val="002D1F47"/>
    <w:rsid w:val="002D232C"/>
    <w:rsid w:val="002D33A1"/>
    <w:rsid w:val="002D3CED"/>
    <w:rsid w:val="002D3E26"/>
    <w:rsid w:val="002D485A"/>
    <w:rsid w:val="002D4E76"/>
    <w:rsid w:val="002D5146"/>
    <w:rsid w:val="002D6113"/>
    <w:rsid w:val="002D67B9"/>
    <w:rsid w:val="002D6816"/>
    <w:rsid w:val="002D7233"/>
    <w:rsid w:val="002D729F"/>
    <w:rsid w:val="002D7554"/>
    <w:rsid w:val="002D7F54"/>
    <w:rsid w:val="002E05E2"/>
    <w:rsid w:val="002E072E"/>
    <w:rsid w:val="002E0AFC"/>
    <w:rsid w:val="002E0F75"/>
    <w:rsid w:val="002E12BF"/>
    <w:rsid w:val="002E2387"/>
    <w:rsid w:val="002E2682"/>
    <w:rsid w:val="002E2B41"/>
    <w:rsid w:val="002E2B50"/>
    <w:rsid w:val="002E30B8"/>
    <w:rsid w:val="002E3729"/>
    <w:rsid w:val="002E373E"/>
    <w:rsid w:val="002E4679"/>
    <w:rsid w:val="002E4AE3"/>
    <w:rsid w:val="002E5510"/>
    <w:rsid w:val="002E559A"/>
    <w:rsid w:val="002E5935"/>
    <w:rsid w:val="002E624E"/>
    <w:rsid w:val="002E68B3"/>
    <w:rsid w:val="002E718D"/>
    <w:rsid w:val="002E75A2"/>
    <w:rsid w:val="002F0594"/>
    <w:rsid w:val="002F0C70"/>
    <w:rsid w:val="002F1293"/>
    <w:rsid w:val="002F1389"/>
    <w:rsid w:val="002F1C4A"/>
    <w:rsid w:val="002F1EAF"/>
    <w:rsid w:val="002F38F5"/>
    <w:rsid w:val="002F3A67"/>
    <w:rsid w:val="002F3EA7"/>
    <w:rsid w:val="002F4014"/>
    <w:rsid w:val="002F4BD5"/>
    <w:rsid w:val="002F4FF3"/>
    <w:rsid w:val="002F556E"/>
    <w:rsid w:val="002F5BD3"/>
    <w:rsid w:val="002F5DAC"/>
    <w:rsid w:val="002F6A77"/>
    <w:rsid w:val="002F749E"/>
    <w:rsid w:val="002F7626"/>
    <w:rsid w:val="00300431"/>
    <w:rsid w:val="0030050C"/>
    <w:rsid w:val="003008F0"/>
    <w:rsid w:val="003012C4"/>
    <w:rsid w:val="00301586"/>
    <w:rsid w:val="00301B20"/>
    <w:rsid w:val="00301C73"/>
    <w:rsid w:val="00302B14"/>
    <w:rsid w:val="00302EB8"/>
    <w:rsid w:val="00303020"/>
    <w:rsid w:val="003033C1"/>
    <w:rsid w:val="0030368C"/>
    <w:rsid w:val="0030394E"/>
    <w:rsid w:val="00303DC6"/>
    <w:rsid w:val="00303EB8"/>
    <w:rsid w:val="00304E31"/>
    <w:rsid w:val="00304E35"/>
    <w:rsid w:val="0030519E"/>
    <w:rsid w:val="0030541D"/>
    <w:rsid w:val="00305642"/>
    <w:rsid w:val="00305888"/>
    <w:rsid w:val="00305C38"/>
    <w:rsid w:val="00305E00"/>
    <w:rsid w:val="0030683B"/>
    <w:rsid w:val="003068C6"/>
    <w:rsid w:val="00306F44"/>
    <w:rsid w:val="003072E6"/>
    <w:rsid w:val="003076A5"/>
    <w:rsid w:val="0030783A"/>
    <w:rsid w:val="0030787D"/>
    <w:rsid w:val="00307975"/>
    <w:rsid w:val="00307BEF"/>
    <w:rsid w:val="00307DD4"/>
    <w:rsid w:val="00307EB1"/>
    <w:rsid w:val="003107BD"/>
    <w:rsid w:val="00310A49"/>
    <w:rsid w:val="00310E41"/>
    <w:rsid w:val="00310F5F"/>
    <w:rsid w:val="003114FD"/>
    <w:rsid w:val="003115A7"/>
    <w:rsid w:val="003117EC"/>
    <w:rsid w:val="00311CC2"/>
    <w:rsid w:val="00312166"/>
    <w:rsid w:val="0031226F"/>
    <w:rsid w:val="003126CF"/>
    <w:rsid w:val="00312BA9"/>
    <w:rsid w:val="00312ECE"/>
    <w:rsid w:val="003138BF"/>
    <w:rsid w:val="00313BA3"/>
    <w:rsid w:val="00314BFC"/>
    <w:rsid w:val="00314DCF"/>
    <w:rsid w:val="00314F00"/>
    <w:rsid w:val="00315072"/>
    <w:rsid w:val="003151A4"/>
    <w:rsid w:val="003151C0"/>
    <w:rsid w:val="00315599"/>
    <w:rsid w:val="00316458"/>
    <w:rsid w:val="003164AA"/>
    <w:rsid w:val="00316D8F"/>
    <w:rsid w:val="00317014"/>
    <w:rsid w:val="0031713F"/>
    <w:rsid w:val="00320015"/>
    <w:rsid w:val="00320873"/>
    <w:rsid w:val="00320AAA"/>
    <w:rsid w:val="00320D8E"/>
    <w:rsid w:val="0032126B"/>
    <w:rsid w:val="00321CA5"/>
    <w:rsid w:val="003226E2"/>
    <w:rsid w:val="00323004"/>
    <w:rsid w:val="003231F7"/>
    <w:rsid w:val="003238EC"/>
    <w:rsid w:val="00323C48"/>
    <w:rsid w:val="00323E89"/>
    <w:rsid w:val="003242FC"/>
    <w:rsid w:val="00324426"/>
    <w:rsid w:val="003246BE"/>
    <w:rsid w:val="00324700"/>
    <w:rsid w:val="00324A0A"/>
    <w:rsid w:val="00324D3F"/>
    <w:rsid w:val="0032516E"/>
    <w:rsid w:val="003251C9"/>
    <w:rsid w:val="00325C73"/>
    <w:rsid w:val="0032647B"/>
    <w:rsid w:val="00326C52"/>
    <w:rsid w:val="00326D47"/>
    <w:rsid w:val="00326D78"/>
    <w:rsid w:val="003272B1"/>
    <w:rsid w:val="00327340"/>
    <w:rsid w:val="003306B8"/>
    <w:rsid w:val="003306EF"/>
    <w:rsid w:val="00330B8E"/>
    <w:rsid w:val="00330CCD"/>
    <w:rsid w:val="00330EC3"/>
    <w:rsid w:val="00332515"/>
    <w:rsid w:val="00333263"/>
    <w:rsid w:val="00333791"/>
    <w:rsid w:val="003342E1"/>
    <w:rsid w:val="0033478D"/>
    <w:rsid w:val="00334C46"/>
    <w:rsid w:val="00334CD2"/>
    <w:rsid w:val="00334F29"/>
    <w:rsid w:val="003350D6"/>
    <w:rsid w:val="00335A56"/>
    <w:rsid w:val="00335ED0"/>
    <w:rsid w:val="00335FF7"/>
    <w:rsid w:val="00336117"/>
    <w:rsid w:val="003362E9"/>
    <w:rsid w:val="003364AC"/>
    <w:rsid w:val="003368A2"/>
    <w:rsid w:val="00336BF7"/>
    <w:rsid w:val="00341132"/>
    <w:rsid w:val="003412FD"/>
    <w:rsid w:val="00341346"/>
    <w:rsid w:val="00341625"/>
    <w:rsid w:val="00341B03"/>
    <w:rsid w:val="00342405"/>
    <w:rsid w:val="00342AA5"/>
    <w:rsid w:val="0034337F"/>
    <w:rsid w:val="00343806"/>
    <w:rsid w:val="00343B5A"/>
    <w:rsid w:val="0034401B"/>
    <w:rsid w:val="00344145"/>
    <w:rsid w:val="003444CE"/>
    <w:rsid w:val="00344DD7"/>
    <w:rsid w:val="0034513A"/>
    <w:rsid w:val="00345DF5"/>
    <w:rsid w:val="00345E08"/>
    <w:rsid w:val="00346075"/>
    <w:rsid w:val="003463DA"/>
    <w:rsid w:val="00346525"/>
    <w:rsid w:val="003466CF"/>
    <w:rsid w:val="0035008F"/>
    <w:rsid w:val="003503A8"/>
    <w:rsid w:val="00350426"/>
    <w:rsid w:val="0035070B"/>
    <w:rsid w:val="00350864"/>
    <w:rsid w:val="00350F99"/>
    <w:rsid w:val="00351173"/>
    <w:rsid w:val="00351D6B"/>
    <w:rsid w:val="00352228"/>
    <w:rsid w:val="003525A6"/>
    <w:rsid w:val="003527B4"/>
    <w:rsid w:val="0035286A"/>
    <w:rsid w:val="00353121"/>
    <w:rsid w:val="00353571"/>
    <w:rsid w:val="00353714"/>
    <w:rsid w:val="00353FAD"/>
    <w:rsid w:val="00354011"/>
    <w:rsid w:val="003541F2"/>
    <w:rsid w:val="00354B3D"/>
    <w:rsid w:val="003552B7"/>
    <w:rsid w:val="0035537C"/>
    <w:rsid w:val="00355865"/>
    <w:rsid w:val="00355D1E"/>
    <w:rsid w:val="00355FCB"/>
    <w:rsid w:val="00356129"/>
    <w:rsid w:val="00356339"/>
    <w:rsid w:val="00357030"/>
    <w:rsid w:val="003571F7"/>
    <w:rsid w:val="003575B2"/>
    <w:rsid w:val="003577E9"/>
    <w:rsid w:val="003602DC"/>
    <w:rsid w:val="003604BB"/>
    <w:rsid w:val="00360901"/>
    <w:rsid w:val="00360C38"/>
    <w:rsid w:val="00360D63"/>
    <w:rsid w:val="003617E7"/>
    <w:rsid w:val="00362132"/>
    <w:rsid w:val="00362283"/>
    <w:rsid w:val="003622B1"/>
    <w:rsid w:val="003625EC"/>
    <w:rsid w:val="003627DD"/>
    <w:rsid w:val="003632AA"/>
    <w:rsid w:val="00363A43"/>
    <w:rsid w:val="00363D22"/>
    <w:rsid w:val="003640C7"/>
    <w:rsid w:val="00364CB6"/>
    <w:rsid w:val="00364E42"/>
    <w:rsid w:val="00365B1B"/>
    <w:rsid w:val="003665D6"/>
    <w:rsid w:val="003677E8"/>
    <w:rsid w:val="00367D3D"/>
    <w:rsid w:val="0037006D"/>
    <w:rsid w:val="00370505"/>
    <w:rsid w:val="0037102B"/>
    <w:rsid w:val="00371DB1"/>
    <w:rsid w:val="00371FA2"/>
    <w:rsid w:val="00372697"/>
    <w:rsid w:val="00372B5C"/>
    <w:rsid w:val="00372DC6"/>
    <w:rsid w:val="0037319F"/>
    <w:rsid w:val="00373CBF"/>
    <w:rsid w:val="00374432"/>
    <w:rsid w:val="00374668"/>
    <w:rsid w:val="00374A98"/>
    <w:rsid w:val="003759DD"/>
    <w:rsid w:val="00375ABE"/>
    <w:rsid w:val="003773EE"/>
    <w:rsid w:val="00377703"/>
    <w:rsid w:val="00377A39"/>
    <w:rsid w:val="00380228"/>
    <w:rsid w:val="00380B0D"/>
    <w:rsid w:val="0038135E"/>
    <w:rsid w:val="00381385"/>
    <w:rsid w:val="00381423"/>
    <w:rsid w:val="00381AC4"/>
    <w:rsid w:val="00382048"/>
    <w:rsid w:val="003820B6"/>
    <w:rsid w:val="0038210B"/>
    <w:rsid w:val="00383334"/>
    <w:rsid w:val="00383817"/>
    <w:rsid w:val="003838CB"/>
    <w:rsid w:val="00383EC0"/>
    <w:rsid w:val="003848AF"/>
    <w:rsid w:val="00385006"/>
    <w:rsid w:val="003851B8"/>
    <w:rsid w:val="003851C5"/>
    <w:rsid w:val="0038567D"/>
    <w:rsid w:val="00385E70"/>
    <w:rsid w:val="00385EE2"/>
    <w:rsid w:val="0038660F"/>
    <w:rsid w:val="00386D06"/>
    <w:rsid w:val="00386EDB"/>
    <w:rsid w:val="00386EEB"/>
    <w:rsid w:val="003872BD"/>
    <w:rsid w:val="0038766B"/>
    <w:rsid w:val="00390DB3"/>
    <w:rsid w:val="0039100B"/>
    <w:rsid w:val="00391239"/>
    <w:rsid w:val="00391A8B"/>
    <w:rsid w:val="00391CFF"/>
    <w:rsid w:val="00391E66"/>
    <w:rsid w:val="00392257"/>
    <w:rsid w:val="0039238A"/>
    <w:rsid w:val="0039287E"/>
    <w:rsid w:val="00393286"/>
    <w:rsid w:val="003949BE"/>
    <w:rsid w:val="00394AD5"/>
    <w:rsid w:val="00394B27"/>
    <w:rsid w:val="003956BF"/>
    <w:rsid w:val="0039611A"/>
    <w:rsid w:val="00396B4D"/>
    <w:rsid w:val="00396F37"/>
    <w:rsid w:val="00397470"/>
    <w:rsid w:val="003A026A"/>
    <w:rsid w:val="003A02E6"/>
    <w:rsid w:val="003A095F"/>
    <w:rsid w:val="003A0A21"/>
    <w:rsid w:val="003A0CB2"/>
    <w:rsid w:val="003A1D03"/>
    <w:rsid w:val="003A1F17"/>
    <w:rsid w:val="003A2152"/>
    <w:rsid w:val="003A2688"/>
    <w:rsid w:val="003A2EC8"/>
    <w:rsid w:val="003A3349"/>
    <w:rsid w:val="003A3CD8"/>
    <w:rsid w:val="003A3DAB"/>
    <w:rsid w:val="003A5422"/>
    <w:rsid w:val="003A6379"/>
    <w:rsid w:val="003A6739"/>
    <w:rsid w:val="003A69E7"/>
    <w:rsid w:val="003A73CD"/>
    <w:rsid w:val="003A770A"/>
    <w:rsid w:val="003A78B6"/>
    <w:rsid w:val="003A7CFB"/>
    <w:rsid w:val="003B0928"/>
    <w:rsid w:val="003B09B1"/>
    <w:rsid w:val="003B0E16"/>
    <w:rsid w:val="003B1005"/>
    <w:rsid w:val="003B1BE3"/>
    <w:rsid w:val="003B2196"/>
    <w:rsid w:val="003B298E"/>
    <w:rsid w:val="003B2DA9"/>
    <w:rsid w:val="003B33AC"/>
    <w:rsid w:val="003B4284"/>
    <w:rsid w:val="003B4B61"/>
    <w:rsid w:val="003B5194"/>
    <w:rsid w:val="003B546F"/>
    <w:rsid w:val="003B55C2"/>
    <w:rsid w:val="003B5EAF"/>
    <w:rsid w:val="003B6385"/>
    <w:rsid w:val="003C00E5"/>
    <w:rsid w:val="003C0367"/>
    <w:rsid w:val="003C0B2E"/>
    <w:rsid w:val="003C0F51"/>
    <w:rsid w:val="003C16B9"/>
    <w:rsid w:val="003C1D49"/>
    <w:rsid w:val="003C2034"/>
    <w:rsid w:val="003C3691"/>
    <w:rsid w:val="003C369F"/>
    <w:rsid w:val="003C36C1"/>
    <w:rsid w:val="003C39A3"/>
    <w:rsid w:val="003C3BE4"/>
    <w:rsid w:val="003C415E"/>
    <w:rsid w:val="003C4ABD"/>
    <w:rsid w:val="003C528D"/>
    <w:rsid w:val="003C55ED"/>
    <w:rsid w:val="003C567C"/>
    <w:rsid w:val="003C6A08"/>
    <w:rsid w:val="003C6FB8"/>
    <w:rsid w:val="003C7068"/>
    <w:rsid w:val="003C7935"/>
    <w:rsid w:val="003C7A5A"/>
    <w:rsid w:val="003C7E6B"/>
    <w:rsid w:val="003D0642"/>
    <w:rsid w:val="003D0B5B"/>
    <w:rsid w:val="003D0C4E"/>
    <w:rsid w:val="003D0DD8"/>
    <w:rsid w:val="003D1080"/>
    <w:rsid w:val="003D1371"/>
    <w:rsid w:val="003D1563"/>
    <w:rsid w:val="003D1813"/>
    <w:rsid w:val="003D21E3"/>
    <w:rsid w:val="003D267B"/>
    <w:rsid w:val="003D2A64"/>
    <w:rsid w:val="003D2AEC"/>
    <w:rsid w:val="003D3463"/>
    <w:rsid w:val="003D3A8B"/>
    <w:rsid w:val="003D3E5A"/>
    <w:rsid w:val="003D3FD8"/>
    <w:rsid w:val="003D4037"/>
    <w:rsid w:val="003D4435"/>
    <w:rsid w:val="003D45D9"/>
    <w:rsid w:val="003D4678"/>
    <w:rsid w:val="003D47F0"/>
    <w:rsid w:val="003D4945"/>
    <w:rsid w:val="003D4DBC"/>
    <w:rsid w:val="003D4DF4"/>
    <w:rsid w:val="003D4F7F"/>
    <w:rsid w:val="003D5594"/>
    <w:rsid w:val="003D56F1"/>
    <w:rsid w:val="003D57F5"/>
    <w:rsid w:val="003D59AE"/>
    <w:rsid w:val="003D6273"/>
    <w:rsid w:val="003D65CC"/>
    <w:rsid w:val="003D6F18"/>
    <w:rsid w:val="003E0CCA"/>
    <w:rsid w:val="003E11A4"/>
    <w:rsid w:val="003E1368"/>
    <w:rsid w:val="003E178B"/>
    <w:rsid w:val="003E1901"/>
    <w:rsid w:val="003E198E"/>
    <w:rsid w:val="003E1BCA"/>
    <w:rsid w:val="003E1D09"/>
    <w:rsid w:val="003E1D76"/>
    <w:rsid w:val="003E24EF"/>
    <w:rsid w:val="003E267D"/>
    <w:rsid w:val="003E2B9D"/>
    <w:rsid w:val="003E2EF1"/>
    <w:rsid w:val="003E31B8"/>
    <w:rsid w:val="003E406C"/>
    <w:rsid w:val="003E445D"/>
    <w:rsid w:val="003E45FF"/>
    <w:rsid w:val="003E4630"/>
    <w:rsid w:val="003E494B"/>
    <w:rsid w:val="003E4D40"/>
    <w:rsid w:val="003E5574"/>
    <w:rsid w:val="003E5A20"/>
    <w:rsid w:val="003E5B11"/>
    <w:rsid w:val="003E6580"/>
    <w:rsid w:val="003E690B"/>
    <w:rsid w:val="003E7170"/>
    <w:rsid w:val="003E72B0"/>
    <w:rsid w:val="003E7662"/>
    <w:rsid w:val="003E78B5"/>
    <w:rsid w:val="003E7C00"/>
    <w:rsid w:val="003E7EF3"/>
    <w:rsid w:val="003E7F17"/>
    <w:rsid w:val="003E7F7F"/>
    <w:rsid w:val="003F013E"/>
    <w:rsid w:val="003F02EE"/>
    <w:rsid w:val="003F04F8"/>
    <w:rsid w:val="003F0995"/>
    <w:rsid w:val="003F09E8"/>
    <w:rsid w:val="003F0A73"/>
    <w:rsid w:val="003F0E6E"/>
    <w:rsid w:val="003F1259"/>
    <w:rsid w:val="003F16DF"/>
    <w:rsid w:val="003F2081"/>
    <w:rsid w:val="003F2262"/>
    <w:rsid w:val="003F25B7"/>
    <w:rsid w:val="003F266B"/>
    <w:rsid w:val="003F2C40"/>
    <w:rsid w:val="003F479C"/>
    <w:rsid w:val="003F515A"/>
    <w:rsid w:val="003F5652"/>
    <w:rsid w:val="003F5DAB"/>
    <w:rsid w:val="003F5DEE"/>
    <w:rsid w:val="003F60E7"/>
    <w:rsid w:val="003F6649"/>
    <w:rsid w:val="003F6751"/>
    <w:rsid w:val="003F712A"/>
    <w:rsid w:val="003F76C1"/>
    <w:rsid w:val="00400E7F"/>
    <w:rsid w:val="00401522"/>
    <w:rsid w:val="004016D6"/>
    <w:rsid w:val="00402029"/>
    <w:rsid w:val="00402C45"/>
    <w:rsid w:val="0040330A"/>
    <w:rsid w:val="00403A7E"/>
    <w:rsid w:val="00403ADB"/>
    <w:rsid w:val="004042DC"/>
    <w:rsid w:val="004043C5"/>
    <w:rsid w:val="00405000"/>
    <w:rsid w:val="00405474"/>
    <w:rsid w:val="004062EA"/>
    <w:rsid w:val="00406F35"/>
    <w:rsid w:val="00407A4D"/>
    <w:rsid w:val="0041061B"/>
    <w:rsid w:val="004107ED"/>
    <w:rsid w:val="00410B04"/>
    <w:rsid w:val="00410FB1"/>
    <w:rsid w:val="0041124E"/>
    <w:rsid w:val="004113B2"/>
    <w:rsid w:val="0041199E"/>
    <w:rsid w:val="00411B41"/>
    <w:rsid w:val="00411DFF"/>
    <w:rsid w:val="004121F1"/>
    <w:rsid w:val="0041243F"/>
    <w:rsid w:val="00412E85"/>
    <w:rsid w:val="00414413"/>
    <w:rsid w:val="00414643"/>
    <w:rsid w:val="00414A90"/>
    <w:rsid w:val="0041519E"/>
    <w:rsid w:val="004153D9"/>
    <w:rsid w:val="004157C0"/>
    <w:rsid w:val="00415AB5"/>
    <w:rsid w:val="00417109"/>
    <w:rsid w:val="00417DA3"/>
    <w:rsid w:val="0041B835"/>
    <w:rsid w:val="004208EF"/>
    <w:rsid w:val="00420EF4"/>
    <w:rsid w:val="00420F7B"/>
    <w:rsid w:val="00421122"/>
    <w:rsid w:val="004213B6"/>
    <w:rsid w:val="0042209E"/>
    <w:rsid w:val="00422480"/>
    <w:rsid w:val="00422862"/>
    <w:rsid w:val="00423446"/>
    <w:rsid w:val="00423620"/>
    <w:rsid w:val="0042378C"/>
    <w:rsid w:val="0042390C"/>
    <w:rsid w:val="00423980"/>
    <w:rsid w:val="00423AD8"/>
    <w:rsid w:val="004241EF"/>
    <w:rsid w:val="0042421F"/>
    <w:rsid w:val="00424707"/>
    <w:rsid w:val="00425312"/>
    <w:rsid w:val="00425634"/>
    <w:rsid w:val="00425945"/>
    <w:rsid w:val="00426710"/>
    <w:rsid w:val="00426AE9"/>
    <w:rsid w:val="00426D76"/>
    <w:rsid w:val="00426D9E"/>
    <w:rsid w:val="0042760D"/>
    <w:rsid w:val="004279E2"/>
    <w:rsid w:val="00427EE4"/>
    <w:rsid w:val="00430A18"/>
    <w:rsid w:val="00433586"/>
    <w:rsid w:val="00433A82"/>
    <w:rsid w:val="0043407E"/>
    <w:rsid w:val="00434908"/>
    <w:rsid w:val="00434AEC"/>
    <w:rsid w:val="00434E40"/>
    <w:rsid w:val="0043548E"/>
    <w:rsid w:val="00435956"/>
    <w:rsid w:val="004361E4"/>
    <w:rsid w:val="00436E28"/>
    <w:rsid w:val="00436E35"/>
    <w:rsid w:val="004374BA"/>
    <w:rsid w:val="00437F50"/>
    <w:rsid w:val="0044041C"/>
    <w:rsid w:val="00440433"/>
    <w:rsid w:val="00440517"/>
    <w:rsid w:val="004409D8"/>
    <w:rsid w:val="00440A1D"/>
    <w:rsid w:val="00440FB7"/>
    <w:rsid w:val="00440FEE"/>
    <w:rsid w:val="00441977"/>
    <w:rsid w:val="004419A5"/>
    <w:rsid w:val="00442120"/>
    <w:rsid w:val="004422F0"/>
    <w:rsid w:val="00442FF2"/>
    <w:rsid w:val="00443ACF"/>
    <w:rsid w:val="00443CDD"/>
    <w:rsid w:val="00443DB4"/>
    <w:rsid w:val="00443FD3"/>
    <w:rsid w:val="00444364"/>
    <w:rsid w:val="00444E82"/>
    <w:rsid w:val="00445429"/>
    <w:rsid w:val="00445476"/>
    <w:rsid w:val="00445ACF"/>
    <w:rsid w:val="00445E93"/>
    <w:rsid w:val="00445ECB"/>
    <w:rsid w:val="0044629F"/>
    <w:rsid w:val="00446F57"/>
    <w:rsid w:val="00447057"/>
    <w:rsid w:val="004471A2"/>
    <w:rsid w:val="00447500"/>
    <w:rsid w:val="00450399"/>
    <w:rsid w:val="0045058C"/>
    <w:rsid w:val="0045088B"/>
    <w:rsid w:val="004509E7"/>
    <w:rsid w:val="00450A56"/>
    <w:rsid w:val="00450CC0"/>
    <w:rsid w:val="00450CC8"/>
    <w:rsid w:val="00452911"/>
    <w:rsid w:val="00452C11"/>
    <w:rsid w:val="00452D2E"/>
    <w:rsid w:val="00453002"/>
    <w:rsid w:val="004531F6"/>
    <w:rsid w:val="00453612"/>
    <w:rsid w:val="004545D7"/>
    <w:rsid w:val="00454672"/>
    <w:rsid w:val="004546AE"/>
    <w:rsid w:val="004548EF"/>
    <w:rsid w:val="00454D5D"/>
    <w:rsid w:val="00455599"/>
    <w:rsid w:val="004561BA"/>
    <w:rsid w:val="004565FD"/>
    <w:rsid w:val="00456709"/>
    <w:rsid w:val="004567EF"/>
    <w:rsid w:val="00456849"/>
    <w:rsid w:val="00456878"/>
    <w:rsid w:val="004574CF"/>
    <w:rsid w:val="00457802"/>
    <w:rsid w:val="00457EA2"/>
    <w:rsid w:val="004600DF"/>
    <w:rsid w:val="0046031B"/>
    <w:rsid w:val="004604DF"/>
    <w:rsid w:val="004613F9"/>
    <w:rsid w:val="00461BE5"/>
    <w:rsid w:val="004624B0"/>
    <w:rsid w:val="00462545"/>
    <w:rsid w:val="00462816"/>
    <w:rsid w:val="00462978"/>
    <w:rsid w:val="00462D2B"/>
    <w:rsid w:val="004630A5"/>
    <w:rsid w:val="00463654"/>
    <w:rsid w:val="00464279"/>
    <w:rsid w:val="0046467F"/>
    <w:rsid w:val="004646F7"/>
    <w:rsid w:val="00465739"/>
    <w:rsid w:val="00465822"/>
    <w:rsid w:val="00465C27"/>
    <w:rsid w:val="00465C72"/>
    <w:rsid w:val="00466033"/>
    <w:rsid w:val="0046606E"/>
    <w:rsid w:val="004662B8"/>
    <w:rsid w:val="004665B8"/>
    <w:rsid w:val="004669E4"/>
    <w:rsid w:val="00466B6B"/>
    <w:rsid w:val="00466BE2"/>
    <w:rsid w:val="00467011"/>
    <w:rsid w:val="0046758A"/>
    <w:rsid w:val="004675BD"/>
    <w:rsid w:val="0046785E"/>
    <w:rsid w:val="0047083C"/>
    <w:rsid w:val="00471853"/>
    <w:rsid w:val="00471B6F"/>
    <w:rsid w:val="00471BCB"/>
    <w:rsid w:val="00472122"/>
    <w:rsid w:val="00472E3C"/>
    <w:rsid w:val="00473C63"/>
    <w:rsid w:val="00473E3C"/>
    <w:rsid w:val="00473EAD"/>
    <w:rsid w:val="00474542"/>
    <w:rsid w:val="004755E2"/>
    <w:rsid w:val="004758FE"/>
    <w:rsid w:val="00476167"/>
    <w:rsid w:val="004767AF"/>
    <w:rsid w:val="00476BCC"/>
    <w:rsid w:val="0047728E"/>
    <w:rsid w:val="004775A6"/>
    <w:rsid w:val="00477860"/>
    <w:rsid w:val="00477D3F"/>
    <w:rsid w:val="00480987"/>
    <w:rsid w:val="00480A9B"/>
    <w:rsid w:val="00480E12"/>
    <w:rsid w:val="00480EB4"/>
    <w:rsid w:val="00481AF2"/>
    <w:rsid w:val="00481B22"/>
    <w:rsid w:val="004823FF"/>
    <w:rsid w:val="00482419"/>
    <w:rsid w:val="004826E2"/>
    <w:rsid w:val="004829D1"/>
    <w:rsid w:val="00482AAD"/>
    <w:rsid w:val="00482BFA"/>
    <w:rsid w:val="0048330B"/>
    <w:rsid w:val="0048350F"/>
    <w:rsid w:val="0048388D"/>
    <w:rsid w:val="00483AB4"/>
    <w:rsid w:val="00483C18"/>
    <w:rsid w:val="00483D16"/>
    <w:rsid w:val="00484D2E"/>
    <w:rsid w:val="00485AE6"/>
    <w:rsid w:val="00486091"/>
    <w:rsid w:val="0048698D"/>
    <w:rsid w:val="00486D9A"/>
    <w:rsid w:val="0048752B"/>
    <w:rsid w:val="0048796C"/>
    <w:rsid w:val="004879F6"/>
    <w:rsid w:val="004908CE"/>
    <w:rsid w:val="0049154E"/>
    <w:rsid w:val="004917D9"/>
    <w:rsid w:val="00491F1C"/>
    <w:rsid w:val="00491F83"/>
    <w:rsid w:val="004924DA"/>
    <w:rsid w:val="004932EE"/>
    <w:rsid w:val="00493BD7"/>
    <w:rsid w:val="004953B0"/>
    <w:rsid w:val="00495810"/>
    <w:rsid w:val="00495A6A"/>
    <w:rsid w:val="004960C5"/>
    <w:rsid w:val="00496C37"/>
    <w:rsid w:val="00496C55"/>
    <w:rsid w:val="0049701F"/>
    <w:rsid w:val="004A0812"/>
    <w:rsid w:val="004A1856"/>
    <w:rsid w:val="004A2508"/>
    <w:rsid w:val="004A2F67"/>
    <w:rsid w:val="004A3DA4"/>
    <w:rsid w:val="004A40C4"/>
    <w:rsid w:val="004A40F7"/>
    <w:rsid w:val="004A4AAD"/>
    <w:rsid w:val="004A5349"/>
    <w:rsid w:val="004A5685"/>
    <w:rsid w:val="004A5704"/>
    <w:rsid w:val="004A5E93"/>
    <w:rsid w:val="004A5F34"/>
    <w:rsid w:val="004A628A"/>
    <w:rsid w:val="004A64EB"/>
    <w:rsid w:val="004A67A4"/>
    <w:rsid w:val="004A6810"/>
    <w:rsid w:val="004A7297"/>
    <w:rsid w:val="004A7CD1"/>
    <w:rsid w:val="004A7D64"/>
    <w:rsid w:val="004B0192"/>
    <w:rsid w:val="004B040E"/>
    <w:rsid w:val="004B1A4E"/>
    <w:rsid w:val="004B1C97"/>
    <w:rsid w:val="004B2127"/>
    <w:rsid w:val="004B231A"/>
    <w:rsid w:val="004B232A"/>
    <w:rsid w:val="004B24D8"/>
    <w:rsid w:val="004B2D20"/>
    <w:rsid w:val="004B31E6"/>
    <w:rsid w:val="004B34E7"/>
    <w:rsid w:val="004B379D"/>
    <w:rsid w:val="004B41C6"/>
    <w:rsid w:val="004B41C9"/>
    <w:rsid w:val="004B4B06"/>
    <w:rsid w:val="004B53A8"/>
    <w:rsid w:val="004B6433"/>
    <w:rsid w:val="004B64C4"/>
    <w:rsid w:val="004B6882"/>
    <w:rsid w:val="004B72A8"/>
    <w:rsid w:val="004B7A49"/>
    <w:rsid w:val="004B7A74"/>
    <w:rsid w:val="004B7BC3"/>
    <w:rsid w:val="004B7DC3"/>
    <w:rsid w:val="004C0537"/>
    <w:rsid w:val="004C0DF5"/>
    <w:rsid w:val="004C14D7"/>
    <w:rsid w:val="004C2033"/>
    <w:rsid w:val="004C2083"/>
    <w:rsid w:val="004C2BE1"/>
    <w:rsid w:val="004C2E20"/>
    <w:rsid w:val="004C32E4"/>
    <w:rsid w:val="004C3462"/>
    <w:rsid w:val="004C3619"/>
    <w:rsid w:val="004C3FE8"/>
    <w:rsid w:val="004C4E03"/>
    <w:rsid w:val="004C559E"/>
    <w:rsid w:val="004C567F"/>
    <w:rsid w:val="004C70A1"/>
    <w:rsid w:val="004C727D"/>
    <w:rsid w:val="004C72D7"/>
    <w:rsid w:val="004C7BA7"/>
    <w:rsid w:val="004D0DCD"/>
    <w:rsid w:val="004D1159"/>
    <w:rsid w:val="004D1574"/>
    <w:rsid w:val="004D16E3"/>
    <w:rsid w:val="004D1AA4"/>
    <w:rsid w:val="004D1C41"/>
    <w:rsid w:val="004D2A79"/>
    <w:rsid w:val="004D2EB7"/>
    <w:rsid w:val="004D2FA2"/>
    <w:rsid w:val="004D3837"/>
    <w:rsid w:val="004D3917"/>
    <w:rsid w:val="004D4210"/>
    <w:rsid w:val="004D4308"/>
    <w:rsid w:val="004D4781"/>
    <w:rsid w:val="004D4D02"/>
    <w:rsid w:val="004D4F28"/>
    <w:rsid w:val="004D5C67"/>
    <w:rsid w:val="004D64EC"/>
    <w:rsid w:val="004D6E3B"/>
    <w:rsid w:val="004D6F94"/>
    <w:rsid w:val="004D7336"/>
    <w:rsid w:val="004D78AA"/>
    <w:rsid w:val="004D7F9B"/>
    <w:rsid w:val="004E03C2"/>
    <w:rsid w:val="004E09A4"/>
    <w:rsid w:val="004E148C"/>
    <w:rsid w:val="004E1A90"/>
    <w:rsid w:val="004E1EB5"/>
    <w:rsid w:val="004E25D0"/>
    <w:rsid w:val="004E2848"/>
    <w:rsid w:val="004E2AFF"/>
    <w:rsid w:val="004E3155"/>
    <w:rsid w:val="004E3CB2"/>
    <w:rsid w:val="004E3EF7"/>
    <w:rsid w:val="004E4427"/>
    <w:rsid w:val="004E45D5"/>
    <w:rsid w:val="004E495D"/>
    <w:rsid w:val="004E51E2"/>
    <w:rsid w:val="004E51F5"/>
    <w:rsid w:val="004E5F37"/>
    <w:rsid w:val="004E5F6B"/>
    <w:rsid w:val="004E6128"/>
    <w:rsid w:val="004E6684"/>
    <w:rsid w:val="004E679F"/>
    <w:rsid w:val="004E6DC5"/>
    <w:rsid w:val="004E6EAF"/>
    <w:rsid w:val="004E70AC"/>
    <w:rsid w:val="004E71D0"/>
    <w:rsid w:val="004E746C"/>
    <w:rsid w:val="004E7B4D"/>
    <w:rsid w:val="004E7F80"/>
    <w:rsid w:val="004E7FDD"/>
    <w:rsid w:val="004F0ADD"/>
    <w:rsid w:val="004F0F8B"/>
    <w:rsid w:val="004F1175"/>
    <w:rsid w:val="004F11F3"/>
    <w:rsid w:val="004F1347"/>
    <w:rsid w:val="004F1556"/>
    <w:rsid w:val="004F1840"/>
    <w:rsid w:val="004F187C"/>
    <w:rsid w:val="004F188D"/>
    <w:rsid w:val="004F1C9F"/>
    <w:rsid w:val="004F245E"/>
    <w:rsid w:val="004F28D0"/>
    <w:rsid w:val="004F2D6A"/>
    <w:rsid w:val="004F2EC8"/>
    <w:rsid w:val="004F3664"/>
    <w:rsid w:val="004F38F2"/>
    <w:rsid w:val="004F3977"/>
    <w:rsid w:val="004F3F75"/>
    <w:rsid w:val="004F402A"/>
    <w:rsid w:val="004F40A2"/>
    <w:rsid w:val="004F41BB"/>
    <w:rsid w:val="004F558E"/>
    <w:rsid w:val="004F5656"/>
    <w:rsid w:val="004F5C45"/>
    <w:rsid w:val="004F5D48"/>
    <w:rsid w:val="004F6542"/>
    <w:rsid w:val="004F6643"/>
    <w:rsid w:val="004F67D0"/>
    <w:rsid w:val="004F68EC"/>
    <w:rsid w:val="004F77B9"/>
    <w:rsid w:val="005006C6"/>
    <w:rsid w:val="00500783"/>
    <w:rsid w:val="005010C4"/>
    <w:rsid w:val="005012B7"/>
    <w:rsid w:val="00501341"/>
    <w:rsid w:val="0050140B"/>
    <w:rsid w:val="00501791"/>
    <w:rsid w:val="0050226D"/>
    <w:rsid w:val="005023FA"/>
    <w:rsid w:val="00503507"/>
    <w:rsid w:val="00503784"/>
    <w:rsid w:val="00503D65"/>
    <w:rsid w:val="00504B51"/>
    <w:rsid w:val="00504CE7"/>
    <w:rsid w:val="0050516D"/>
    <w:rsid w:val="00505A0F"/>
    <w:rsid w:val="00505B57"/>
    <w:rsid w:val="005061E3"/>
    <w:rsid w:val="005062AC"/>
    <w:rsid w:val="00506804"/>
    <w:rsid w:val="00506891"/>
    <w:rsid w:val="005073C1"/>
    <w:rsid w:val="00510711"/>
    <w:rsid w:val="00510A86"/>
    <w:rsid w:val="005111D0"/>
    <w:rsid w:val="005115A0"/>
    <w:rsid w:val="00511831"/>
    <w:rsid w:val="00512D27"/>
    <w:rsid w:val="00512FCD"/>
    <w:rsid w:val="005134C3"/>
    <w:rsid w:val="00513BCA"/>
    <w:rsid w:val="005141F1"/>
    <w:rsid w:val="00514284"/>
    <w:rsid w:val="00515554"/>
    <w:rsid w:val="0051557B"/>
    <w:rsid w:val="00515A3B"/>
    <w:rsid w:val="005164A0"/>
    <w:rsid w:val="0051657F"/>
    <w:rsid w:val="00516C59"/>
    <w:rsid w:val="00516FCB"/>
    <w:rsid w:val="0051703F"/>
    <w:rsid w:val="005170BD"/>
    <w:rsid w:val="0051743B"/>
    <w:rsid w:val="00517550"/>
    <w:rsid w:val="00517EEF"/>
    <w:rsid w:val="0052003E"/>
    <w:rsid w:val="00520DAC"/>
    <w:rsid w:val="0052192E"/>
    <w:rsid w:val="00521C58"/>
    <w:rsid w:val="00521C5E"/>
    <w:rsid w:val="005225B2"/>
    <w:rsid w:val="005234E8"/>
    <w:rsid w:val="00523867"/>
    <w:rsid w:val="00523DCC"/>
    <w:rsid w:val="00524074"/>
    <w:rsid w:val="0052472C"/>
    <w:rsid w:val="00524825"/>
    <w:rsid w:val="0052530D"/>
    <w:rsid w:val="00526563"/>
    <w:rsid w:val="00527397"/>
    <w:rsid w:val="00527947"/>
    <w:rsid w:val="0052798C"/>
    <w:rsid w:val="005279BC"/>
    <w:rsid w:val="00527EDC"/>
    <w:rsid w:val="00527F91"/>
    <w:rsid w:val="00530021"/>
    <w:rsid w:val="0053018D"/>
    <w:rsid w:val="005306B8"/>
    <w:rsid w:val="005307A7"/>
    <w:rsid w:val="00530CFD"/>
    <w:rsid w:val="00530D14"/>
    <w:rsid w:val="00531082"/>
    <w:rsid w:val="00531673"/>
    <w:rsid w:val="005318DC"/>
    <w:rsid w:val="00531A24"/>
    <w:rsid w:val="00532927"/>
    <w:rsid w:val="00532F66"/>
    <w:rsid w:val="005332CF"/>
    <w:rsid w:val="005338F0"/>
    <w:rsid w:val="00533CF1"/>
    <w:rsid w:val="005343A4"/>
    <w:rsid w:val="00534EC8"/>
    <w:rsid w:val="00534F86"/>
    <w:rsid w:val="00535343"/>
    <w:rsid w:val="00535D74"/>
    <w:rsid w:val="00535F9F"/>
    <w:rsid w:val="00536099"/>
    <w:rsid w:val="005364B0"/>
    <w:rsid w:val="00536D5F"/>
    <w:rsid w:val="00536DB3"/>
    <w:rsid w:val="00536DB8"/>
    <w:rsid w:val="00537194"/>
    <w:rsid w:val="00540072"/>
    <w:rsid w:val="0054047B"/>
    <w:rsid w:val="005410BA"/>
    <w:rsid w:val="00541A1F"/>
    <w:rsid w:val="00541CF0"/>
    <w:rsid w:val="0054203B"/>
    <w:rsid w:val="005421D2"/>
    <w:rsid w:val="005422A2"/>
    <w:rsid w:val="00542834"/>
    <w:rsid w:val="0054320F"/>
    <w:rsid w:val="00543CF7"/>
    <w:rsid w:val="00543D09"/>
    <w:rsid w:val="00544166"/>
    <w:rsid w:val="005449D5"/>
    <w:rsid w:val="00545053"/>
    <w:rsid w:val="005453FC"/>
    <w:rsid w:val="0054690C"/>
    <w:rsid w:val="00546D9C"/>
    <w:rsid w:val="005474B5"/>
    <w:rsid w:val="0054760B"/>
    <w:rsid w:val="0054765C"/>
    <w:rsid w:val="0054784F"/>
    <w:rsid w:val="00547D18"/>
    <w:rsid w:val="00550283"/>
    <w:rsid w:val="0055029C"/>
    <w:rsid w:val="00550575"/>
    <w:rsid w:val="00550FA1"/>
    <w:rsid w:val="00551719"/>
    <w:rsid w:val="00551F64"/>
    <w:rsid w:val="00552228"/>
    <w:rsid w:val="005525A7"/>
    <w:rsid w:val="005525E4"/>
    <w:rsid w:val="00552796"/>
    <w:rsid w:val="00552CFD"/>
    <w:rsid w:val="0055300A"/>
    <w:rsid w:val="00553323"/>
    <w:rsid w:val="005534FF"/>
    <w:rsid w:val="00553564"/>
    <w:rsid w:val="005537AC"/>
    <w:rsid w:val="00553AB1"/>
    <w:rsid w:val="00553DAF"/>
    <w:rsid w:val="00554170"/>
    <w:rsid w:val="0055480A"/>
    <w:rsid w:val="00554EFE"/>
    <w:rsid w:val="0055530F"/>
    <w:rsid w:val="00555806"/>
    <w:rsid w:val="00555AE0"/>
    <w:rsid w:val="00555C53"/>
    <w:rsid w:val="005574AB"/>
    <w:rsid w:val="0055769A"/>
    <w:rsid w:val="005576D6"/>
    <w:rsid w:val="005577E0"/>
    <w:rsid w:val="00557B00"/>
    <w:rsid w:val="00557CE1"/>
    <w:rsid w:val="00560499"/>
    <w:rsid w:val="00560FB7"/>
    <w:rsid w:val="005615E6"/>
    <w:rsid w:val="005616DC"/>
    <w:rsid w:val="005625D0"/>
    <w:rsid w:val="0056268B"/>
    <w:rsid w:val="0056274C"/>
    <w:rsid w:val="0056326B"/>
    <w:rsid w:val="00563454"/>
    <w:rsid w:val="0056355C"/>
    <w:rsid w:val="0056371E"/>
    <w:rsid w:val="00563938"/>
    <w:rsid w:val="0056518D"/>
    <w:rsid w:val="005651FB"/>
    <w:rsid w:val="00565913"/>
    <w:rsid w:val="00566070"/>
    <w:rsid w:val="00566090"/>
    <w:rsid w:val="00566ADB"/>
    <w:rsid w:val="00566D77"/>
    <w:rsid w:val="00566F38"/>
    <w:rsid w:val="00567B90"/>
    <w:rsid w:val="00570479"/>
    <w:rsid w:val="00570F08"/>
    <w:rsid w:val="00571192"/>
    <w:rsid w:val="00571504"/>
    <w:rsid w:val="0057182C"/>
    <w:rsid w:val="00571EE8"/>
    <w:rsid w:val="00572D4D"/>
    <w:rsid w:val="00573A49"/>
    <w:rsid w:val="00573D1B"/>
    <w:rsid w:val="0057418F"/>
    <w:rsid w:val="00574448"/>
    <w:rsid w:val="005744E1"/>
    <w:rsid w:val="005748B2"/>
    <w:rsid w:val="00574EA3"/>
    <w:rsid w:val="005752BD"/>
    <w:rsid w:val="005757AD"/>
    <w:rsid w:val="00575A6A"/>
    <w:rsid w:val="00575DAF"/>
    <w:rsid w:val="00575EA7"/>
    <w:rsid w:val="0057629A"/>
    <w:rsid w:val="005763CA"/>
    <w:rsid w:val="00576878"/>
    <w:rsid w:val="00576EBE"/>
    <w:rsid w:val="0057763F"/>
    <w:rsid w:val="00577A61"/>
    <w:rsid w:val="005801F4"/>
    <w:rsid w:val="005804B5"/>
    <w:rsid w:val="00580B1B"/>
    <w:rsid w:val="00580D88"/>
    <w:rsid w:val="005815A6"/>
    <w:rsid w:val="005828DE"/>
    <w:rsid w:val="00582D4C"/>
    <w:rsid w:val="00583204"/>
    <w:rsid w:val="0058380B"/>
    <w:rsid w:val="00583C43"/>
    <w:rsid w:val="005848F0"/>
    <w:rsid w:val="005849F6"/>
    <w:rsid w:val="00584D03"/>
    <w:rsid w:val="00584EE1"/>
    <w:rsid w:val="0058641F"/>
    <w:rsid w:val="00586420"/>
    <w:rsid w:val="0058670C"/>
    <w:rsid w:val="00586F1E"/>
    <w:rsid w:val="0059069B"/>
    <w:rsid w:val="00590FD7"/>
    <w:rsid w:val="00591477"/>
    <w:rsid w:val="005917A9"/>
    <w:rsid w:val="005918AB"/>
    <w:rsid w:val="00591FB4"/>
    <w:rsid w:val="005921AE"/>
    <w:rsid w:val="005921CA"/>
    <w:rsid w:val="00592540"/>
    <w:rsid w:val="00592741"/>
    <w:rsid w:val="00592C1C"/>
    <w:rsid w:val="00593943"/>
    <w:rsid w:val="00594DEC"/>
    <w:rsid w:val="00596227"/>
    <w:rsid w:val="0059648D"/>
    <w:rsid w:val="00596991"/>
    <w:rsid w:val="00596CFE"/>
    <w:rsid w:val="00596E56"/>
    <w:rsid w:val="00596EA9"/>
    <w:rsid w:val="005972C4"/>
    <w:rsid w:val="0059747D"/>
    <w:rsid w:val="005978AD"/>
    <w:rsid w:val="005978B1"/>
    <w:rsid w:val="00597949"/>
    <w:rsid w:val="00597D01"/>
    <w:rsid w:val="005A073D"/>
    <w:rsid w:val="005A0CE2"/>
    <w:rsid w:val="005A109E"/>
    <w:rsid w:val="005A114E"/>
    <w:rsid w:val="005A191F"/>
    <w:rsid w:val="005A2D54"/>
    <w:rsid w:val="005A45AF"/>
    <w:rsid w:val="005A4E4A"/>
    <w:rsid w:val="005A529C"/>
    <w:rsid w:val="005A5D6C"/>
    <w:rsid w:val="005A5E23"/>
    <w:rsid w:val="005A6417"/>
    <w:rsid w:val="005A64A9"/>
    <w:rsid w:val="005A65C5"/>
    <w:rsid w:val="005A6914"/>
    <w:rsid w:val="005A73A9"/>
    <w:rsid w:val="005B0015"/>
    <w:rsid w:val="005B106F"/>
    <w:rsid w:val="005B10A0"/>
    <w:rsid w:val="005B13F4"/>
    <w:rsid w:val="005B19E4"/>
    <w:rsid w:val="005B1CCA"/>
    <w:rsid w:val="005B1D79"/>
    <w:rsid w:val="005B1DB1"/>
    <w:rsid w:val="005B1E70"/>
    <w:rsid w:val="005B20B3"/>
    <w:rsid w:val="005B2452"/>
    <w:rsid w:val="005B264E"/>
    <w:rsid w:val="005B3124"/>
    <w:rsid w:val="005B34A5"/>
    <w:rsid w:val="005B34E6"/>
    <w:rsid w:val="005B35E3"/>
    <w:rsid w:val="005B40E4"/>
    <w:rsid w:val="005B4718"/>
    <w:rsid w:val="005B558A"/>
    <w:rsid w:val="005B5C05"/>
    <w:rsid w:val="005B5F4F"/>
    <w:rsid w:val="005B63C1"/>
    <w:rsid w:val="005B646D"/>
    <w:rsid w:val="005B7123"/>
    <w:rsid w:val="005B760B"/>
    <w:rsid w:val="005B76D5"/>
    <w:rsid w:val="005B7AAA"/>
    <w:rsid w:val="005B7BBE"/>
    <w:rsid w:val="005B7CC9"/>
    <w:rsid w:val="005C021E"/>
    <w:rsid w:val="005C165E"/>
    <w:rsid w:val="005C1674"/>
    <w:rsid w:val="005C232C"/>
    <w:rsid w:val="005C2CE6"/>
    <w:rsid w:val="005C2D55"/>
    <w:rsid w:val="005C35F0"/>
    <w:rsid w:val="005C3F4E"/>
    <w:rsid w:val="005C40FD"/>
    <w:rsid w:val="005C412B"/>
    <w:rsid w:val="005C44A1"/>
    <w:rsid w:val="005C497C"/>
    <w:rsid w:val="005C4AFD"/>
    <w:rsid w:val="005C5628"/>
    <w:rsid w:val="005C5916"/>
    <w:rsid w:val="005C5E34"/>
    <w:rsid w:val="005C62EE"/>
    <w:rsid w:val="005C63B1"/>
    <w:rsid w:val="005C6FD2"/>
    <w:rsid w:val="005C7563"/>
    <w:rsid w:val="005C78B9"/>
    <w:rsid w:val="005C7EA1"/>
    <w:rsid w:val="005D0054"/>
    <w:rsid w:val="005D0196"/>
    <w:rsid w:val="005D02EB"/>
    <w:rsid w:val="005D04AD"/>
    <w:rsid w:val="005D09E7"/>
    <w:rsid w:val="005D0C35"/>
    <w:rsid w:val="005D103A"/>
    <w:rsid w:val="005D104C"/>
    <w:rsid w:val="005D138B"/>
    <w:rsid w:val="005D168C"/>
    <w:rsid w:val="005D1D91"/>
    <w:rsid w:val="005D21AC"/>
    <w:rsid w:val="005D24C4"/>
    <w:rsid w:val="005D2848"/>
    <w:rsid w:val="005D2F82"/>
    <w:rsid w:val="005D30E0"/>
    <w:rsid w:val="005D3260"/>
    <w:rsid w:val="005D36F8"/>
    <w:rsid w:val="005D39D7"/>
    <w:rsid w:val="005D472B"/>
    <w:rsid w:val="005D4A0B"/>
    <w:rsid w:val="005D4C91"/>
    <w:rsid w:val="005D4FE0"/>
    <w:rsid w:val="005D527D"/>
    <w:rsid w:val="005D53D9"/>
    <w:rsid w:val="005D5768"/>
    <w:rsid w:val="005D671A"/>
    <w:rsid w:val="005D6EC0"/>
    <w:rsid w:val="005D75D5"/>
    <w:rsid w:val="005D77D8"/>
    <w:rsid w:val="005D7AA4"/>
    <w:rsid w:val="005E00DE"/>
    <w:rsid w:val="005E033C"/>
    <w:rsid w:val="005E0BC3"/>
    <w:rsid w:val="005E15B7"/>
    <w:rsid w:val="005E15E5"/>
    <w:rsid w:val="005E1C3A"/>
    <w:rsid w:val="005E27B3"/>
    <w:rsid w:val="005E3169"/>
    <w:rsid w:val="005E34D5"/>
    <w:rsid w:val="005E3B1D"/>
    <w:rsid w:val="005E465D"/>
    <w:rsid w:val="005E4A84"/>
    <w:rsid w:val="005E4F85"/>
    <w:rsid w:val="005E5211"/>
    <w:rsid w:val="005E5A95"/>
    <w:rsid w:val="005E6192"/>
    <w:rsid w:val="005E6656"/>
    <w:rsid w:val="005E6661"/>
    <w:rsid w:val="005F000E"/>
    <w:rsid w:val="005F0D8D"/>
    <w:rsid w:val="005F0DD5"/>
    <w:rsid w:val="005F0EEB"/>
    <w:rsid w:val="005F1135"/>
    <w:rsid w:val="005F11FB"/>
    <w:rsid w:val="005F16C2"/>
    <w:rsid w:val="005F1A5D"/>
    <w:rsid w:val="005F1B69"/>
    <w:rsid w:val="005F259D"/>
    <w:rsid w:val="005F2A48"/>
    <w:rsid w:val="005F3187"/>
    <w:rsid w:val="005F31F5"/>
    <w:rsid w:val="005F37CB"/>
    <w:rsid w:val="005F38CA"/>
    <w:rsid w:val="005F3EE5"/>
    <w:rsid w:val="005F41E1"/>
    <w:rsid w:val="005F4876"/>
    <w:rsid w:val="005F4A1E"/>
    <w:rsid w:val="005F4C05"/>
    <w:rsid w:val="005F4F3E"/>
    <w:rsid w:val="005F5148"/>
    <w:rsid w:val="005F5B2D"/>
    <w:rsid w:val="005F5CCF"/>
    <w:rsid w:val="005F5D19"/>
    <w:rsid w:val="005F5E4B"/>
    <w:rsid w:val="005F6170"/>
    <w:rsid w:val="005F6253"/>
    <w:rsid w:val="005F626E"/>
    <w:rsid w:val="005F65D0"/>
    <w:rsid w:val="005F7C5D"/>
    <w:rsid w:val="00600EFF"/>
    <w:rsid w:val="00601C45"/>
    <w:rsid w:val="0060226F"/>
    <w:rsid w:val="0060246C"/>
    <w:rsid w:val="006028E8"/>
    <w:rsid w:val="00602943"/>
    <w:rsid w:val="006029D0"/>
    <w:rsid w:val="00602A22"/>
    <w:rsid w:val="00602AF6"/>
    <w:rsid w:val="00602C19"/>
    <w:rsid w:val="00602D75"/>
    <w:rsid w:val="00602DFB"/>
    <w:rsid w:val="00603108"/>
    <w:rsid w:val="00603C2C"/>
    <w:rsid w:val="00603F5D"/>
    <w:rsid w:val="00604145"/>
    <w:rsid w:val="00604410"/>
    <w:rsid w:val="0060472D"/>
    <w:rsid w:val="006049F0"/>
    <w:rsid w:val="00605A69"/>
    <w:rsid w:val="00605B7B"/>
    <w:rsid w:val="00605BBD"/>
    <w:rsid w:val="0060625B"/>
    <w:rsid w:val="006063B0"/>
    <w:rsid w:val="006065DD"/>
    <w:rsid w:val="00606622"/>
    <w:rsid w:val="00606AA2"/>
    <w:rsid w:val="0060710D"/>
    <w:rsid w:val="006078C1"/>
    <w:rsid w:val="00607E18"/>
    <w:rsid w:val="0061039B"/>
    <w:rsid w:val="00610A04"/>
    <w:rsid w:val="00610A9E"/>
    <w:rsid w:val="00610C71"/>
    <w:rsid w:val="006111CB"/>
    <w:rsid w:val="0061155A"/>
    <w:rsid w:val="00611560"/>
    <w:rsid w:val="006115AE"/>
    <w:rsid w:val="0061172A"/>
    <w:rsid w:val="00611734"/>
    <w:rsid w:val="006118F7"/>
    <w:rsid w:val="00612345"/>
    <w:rsid w:val="00612AFD"/>
    <w:rsid w:val="00612BDE"/>
    <w:rsid w:val="00612E46"/>
    <w:rsid w:val="0061378D"/>
    <w:rsid w:val="00613F0B"/>
    <w:rsid w:val="006144C2"/>
    <w:rsid w:val="006153BA"/>
    <w:rsid w:val="00615559"/>
    <w:rsid w:val="00615678"/>
    <w:rsid w:val="00615B8C"/>
    <w:rsid w:val="00617C18"/>
    <w:rsid w:val="00620521"/>
    <w:rsid w:val="006208B3"/>
    <w:rsid w:val="0062136D"/>
    <w:rsid w:val="0062152E"/>
    <w:rsid w:val="00621AC1"/>
    <w:rsid w:val="00621EC7"/>
    <w:rsid w:val="00621F22"/>
    <w:rsid w:val="006222CF"/>
    <w:rsid w:val="00622D5F"/>
    <w:rsid w:val="00622EAE"/>
    <w:rsid w:val="006231A8"/>
    <w:rsid w:val="0062330D"/>
    <w:rsid w:val="00623A5F"/>
    <w:rsid w:val="00623E0E"/>
    <w:rsid w:val="00624348"/>
    <w:rsid w:val="00624496"/>
    <w:rsid w:val="00624502"/>
    <w:rsid w:val="00624725"/>
    <w:rsid w:val="006251FE"/>
    <w:rsid w:val="00626822"/>
    <w:rsid w:val="00627046"/>
    <w:rsid w:val="00627246"/>
    <w:rsid w:val="0062749C"/>
    <w:rsid w:val="006274DB"/>
    <w:rsid w:val="00627D15"/>
    <w:rsid w:val="006315F8"/>
    <w:rsid w:val="00631A85"/>
    <w:rsid w:val="00633348"/>
    <w:rsid w:val="0063348C"/>
    <w:rsid w:val="0063361A"/>
    <w:rsid w:val="00633820"/>
    <w:rsid w:val="00633AF8"/>
    <w:rsid w:val="00633B09"/>
    <w:rsid w:val="0063418D"/>
    <w:rsid w:val="00634697"/>
    <w:rsid w:val="006347C2"/>
    <w:rsid w:val="00635117"/>
    <w:rsid w:val="00635835"/>
    <w:rsid w:val="00635AF0"/>
    <w:rsid w:val="00635B6E"/>
    <w:rsid w:val="00635BE3"/>
    <w:rsid w:val="00635D72"/>
    <w:rsid w:val="00635EA3"/>
    <w:rsid w:val="00636027"/>
    <w:rsid w:val="006361DC"/>
    <w:rsid w:val="006362B9"/>
    <w:rsid w:val="00636717"/>
    <w:rsid w:val="00636A1B"/>
    <w:rsid w:val="00637917"/>
    <w:rsid w:val="00637EB3"/>
    <w:rsid w:val="00640BC6"/>
    <w:rsid w:val="006417A1"/>
    <w:rsid w:val="00641885"/>
    <w:rsid w:val="006418DF"/>
    <w:rsid w:val="00641A8F"/>
    <w:rsid w:val="00641AC8"/>
    <w:rsid w:val="006422AC"/>
    <w:rsid w:val="006428EE"/>
    <w:rsid w:val="00642D4B"/>
    <w:rsid w:val="006431A4"/>
    <w:rsid w:val="0064350E"/>
    <w:rsid w:val="006437E7"/>
    <w:rsid w:val="006438E9"/>
    <w:rsid w:val="00644BE7"/>
    <w:rsid w:val="0064511A"/>
    <w:rsid w:val="00645CA4"/>
    <w:rsid w:val="00645FCC"/>
    <w:rsid w:val="00646349"/>
    <w:rsid w:val="006469D4"/>
    <w:rsid w:val="00646C17"/>
    <w:rsid w:val="006470C3"/>
    <w:rsid w:val="00647ABF"/>
    <w:rsid w:val="00647DB4"/>
    <w:rsid w:val="006501F3"/>
    <w:rsid w:val="00650374"/>
    <w:rsid w:val="00650B74"/>
    <w:rsid w:val="006510CD"/>
    <w:rsid w:val="00651473"/>
    <w:rsid w:val="006515DB"/>
    <w:rsid w:val="00651610"/>
    <w:rsid w:val="0065202F"/>
    <w:rsid w:val="0065218F"/>
    <w:rsid w:val="0065278A"/>
    <w:rsid w:val="00652B80"/>
    <w:rsid w:val="00653039"/>
    <w:rsid w:val="0065403A"/>
    <w:rsid w:val="006540D1"/>
    <w:rsid w:val="00654FBC"/>
    <w:rsid w:val="00655076"/>
    <w:rsid w:val="0065539B"/>
    <w:rsid w:val="006556FE"/>
    <w:rsid w:val="00655D22"/>
    <w:rsid w:val="00656CF0"/>
    <w:rsid w:val="0065730D"/>
    <w:rsid w:val="006574D9"/>
    <w:rsid w:val="006579CC"/>
    <w:rsid w:val="00657B70"/>
    <w:rsid w:val="00657BE9"/>
    <w:rsid w:val="00657C49"/>
    <w:rsid w:val="00657D04"/>
    <w:rsid w:val="00660085"/>
    <w:rsid w:val="00660803"/>
    <w:rsid w:val="00662459"/>
    <w:rsid w:val="0066317A"/>
    <w:rsid w:val="006640A2"/>
    <w:rsid w:val="006645C9"/>
    <w:rsid w:val="00664B89"/>
    <w:rsid w:val="006651F9"/>
    <w:rsid w:val="0066544B"/>
    <w:rsid w:val="006658AB"/>
    <w:rsid w:val="00666305"/>
    <w:rsid w:val="006663DD"/>
    <w:rsid w:val="0066646A"/>
    <w:rsid w:val="006668D5"/>
    <w:rsid w:val="00667714"/>
    <w:rsid w:val="0067032A"/>
    <w:rsid w:val="00670742"/>
    <w:rsid w:val="00671339"/>
    <w:rsid w:val="0067147C"/>
    <w:rsid w:val="00671563"/>
    <w:rsid w:val="00671FA9"/>
    <w:rsid w:val="00672CF7"/>
    <w:rsid w:val="00672D8A"/>
    <w:rsid w:val="00672F2B"/>
    <w:rsid w:val="006730C5"/>
    <w:rsid w:val="00673D47"/>
    <w:rsid w:val="006742D6"/>
    <w:rsid w:val="006742DA"/>
    <w:rsid w:val="0067443B"/>
    <w:rsid w:val="00674CE1"/>
    <w:rsid w:val="00674F85"/>
    <w:rsid w:val="00675342"/>
    <w:rsid w:val="006766D7"/>
    <w:rsid w:val="00676A2A"/>
    <w:rsid w:val="00677E02"/>
    <w:rsid w:val="00677E75"/>
    <w:rsid w:val="0068068A"/>
    <w:rsid w:val="00680CFE"/>
    <w:rsid w:val="00680E4F"/>
    <w:rsid w:val="006811B0"/>
    <w:rsid w:val="00681FFE"/>
    <w:rsid w:val="006823D0"/>
    <w:rsid w:val="006830D9"/>
    <w:rsid w:val="006832FD"/>
    <w:rsid w:val="00683E0B"/>
    <w:rsid w:val="00684006"/>
    <w:rsid w:val="0068406E"/>
    <w:rsid w:val="00684529"/>
    <w:rsid w:val="0068495A"/>
    <w:rsid w:val="00684CAD"/>
    <w:rsid w:val="0068554E"/>
    <w:rsid w:val="006855DD"/>
    <w:rsid w:val="00685620"/>
    <w:rsid w:val="0068577D"/>
    <w:rsid w:val="006867FE"/>
    <w:rsid w:val="00686A4E"/>
    <w:rsid w:val="0068763C"/>
    <w:rsid w:val="00687902"/>
    <w:rsid w:val="00687AA8"/>
    <w:rsid w:val="00687BB5"/>
    <w:rsid w:val="006903AB"/>
    <w:rsid w:val="006904EB"/>
    <w:rsid w:val="00690D02"/>
    <w:rsid w:val="00690F07"/>
    <w:rsid w:val="00691027"/>
    <w:rsid w:val="0069175A"/>
    <w:rsid w:val="0069216C"/>
    <w:rsid w:val="006927A5"/>
    <w:rsid w:val="00692BA2"/>
    <w:rsid w:val="00693558"/>
    <w:rsid w:val="0069364E"/>
    <w:rsid w:val="006938E5"/>
    <w:rsid w:val="00693CF5"/>
    <w:rsid w:val="0069403D"/>
    <w:rsid w:val="006945BA"/>
    <w:rsid w:val="0069491F"/>
    <w:rsid w:val="00694DB4"/>
    <w:rsid w:val="00695396"/>
    <w:rsid w:val="006955AA"/>
    <w:rsid w:val="006955C5"/>
    <w:rsid w:val="006958AC"/>
    <w:rsid w:val="006969D8"/>
    <w:rsid w:val="00696AA3"/>
    <w:rsid w:val="00696DF3"/>
    <w:rsid w:val="006974B5"/>
    <w:rsid w:val="006A0745"/>
    <w:rsid w:val="006A0BA3"/>
    <w:rsid w:val="006A150C"/>
    <w:rsid w:val="006A2431"/>
    <w:rsid w:val="006A2629"/>
    <w:rsid w:val="006A2690"/>
    <w:rsid w:val="006A26B9"/>
    <w:rsid w:val="006A2B8A"/>
    <w:rsid w:val="006A2EA8"/>
    <w:rsid w:val="006A2EC2"/>
    <w:rsid w:val="006A3614"/>
    <w:rsid w:val="006A38EC"/>
    <w:rsid w:val="006A3E33"/>
    <w:rsid w:val="006A4054"/>
    <w:rsid w:val="006A54F4"/>
    <w:rsid w:val="006A5D58"/>
    <w:rsid w:val="006A5E82"/>
    <w:rsid w:val="006A5F4C"/>
    <w:rsid w:val="006A66DD"/>
    <w:rsid w:val="006A699F"/>
    <w:rsid w:val="006A6FE8"/>
    <w:rsid w:val="006A70D3"/>
    <w:rsid w:val="006A7283"/>
    <w:rsid w:val="006A7FB2"/>
    <w:rsid w:val="006B05C8"/>
    <w:rsid w:val="006B09F6"/>
    <w:rsid w:val="006B111E"/>
    <w:rsid w:val="006B11FF"/>
    <w:rsid w:val="006B170C"/>
    <w:rsid w:val="006B1D3D"/>
    <w:rsid w:val="006B1F2E"/>
    <w:rsid w:val="006B202B"/>
    <w:rsid w:val="006B2368"/>
    <w:rsid w:val="006B2758"/>
    <w:rsid w:val="006B2B55"/>
    <w:rsid w:val="006B2C26"/>
    <w:rsid w:val="006B2FBD"/>
    <w:rsid w:val="006B3074"/>
    <w:rsid w:val="006B375C"/>
    <w:rsid w:val="006B3CA9"/>
    <w:rsid w:val="006B4A0D"/>
    <w:rsid w:val="006B4C56"/>
    <w:rsid w:val="006B5150"/>
    <w:rsid w:val="006B634F"/>
    <w:rsid w:val="006B7175"/>
    <w:rsid w:val="006B72AD"/>
    <w:rsid w:val="006B790E"/>
    <w:rsid w:val="006C0CEF"/>
    <w:rsid w:val="006C224C"/>
    <w:rsid w:val="006C2259"/>
    <w:rsid w:val="006C28D8"/>
    <w:rsid w:val="006C2CFD"/>
    <w:rsid w:val="006C3033"/>
    <w:rsid w:val="006C30F6"/>
    <w:rsid w:val="006C37E1"/>
    <w:rsid w:val="006C3D7C"/>
    <w:rsid w:val="006C3FDB"/>
    <w:rsid w:val="006C4166"/>
    <w:rsid w:val="006C471F"/>
    <w:rsid w:val="006C474B"/>
    <w:rsid w:val="006C4819"/>
    <w:rsid w:val="006C5174"/>
    <w:rsid w:val="006C555E"/>
    <w:rsid w:val="006C5ABF"/>
    <w:rsid w:val="006C5F14"/>
    <w:rsid w:val="006C70B4"/>
    <w:rsid w:val="006C7815"/>
    <w:rsid w:val="006C7E74"/>
    <w:rsid w:val="006C7F8C"/>
    <w:rsid w:val="006D0621"/>
    <w:rsid w:val="006D0F28"/>
    <w:rsid w:val="006D1360"/>
    <w:rsid w:val="006D149C"/>
    <w:rsid w:val="006D1666"/>
    <w:rsid w:val="006D2075"/>
    <w:rsid w:val="006D28C3"/>
    <w:rsid w:val="006D29A2"/>
    <w:rsid w:val="006D2A1B"/>
    <w:rsid w:val="006D2D2D"/>
    <w:rsid w:val="006D3904"/>
    <w:rsid w:val="006D40FC"/>
    <w:rsid w:val="006D41BF"/>
    <w:rsid w:val="006D42E4"/>
    <w:rsid w:val="006D478F"/>
    <w:rsid w:val="006D47BF"/>
    <w:rsid w:val="006D4921"/>
    <w:rsid w:val="006D52CE"/>
    <w:rsid w:val="006D5947"/>
    <w:rsid w:val="006D5C66"/>
    <w:rsid w:val="006D5C6B"/>
    <w:rsid w:val="006D5C91"/>
    <w:rsid w:val="006D6026"/>
    <w:rsid w:val="006D6040"/>
    <w:rsid w:val="006D67EF"/>
    <w:rsid w:val="006D7240"/>
    <w:rsid w:val="006D7516"/>
    <w:rsid w:val="006E03FC"/>
    <w:rsid w:val="006E08CC"/>
    <w:rsid w:val="006E0D4E"/>
    <w:rsid w:val="006E13D2"/>
    <w:rsid w:val="006E17BE"/>
    <w:rsid w:val="006E1899"/>
    <w:rsid w:val="006E1D11"/>
    <w:rsid w:val="006E25BB"/>
    <w:rsid w:val="006E25E4"/>
    <w:rsid w:val="006E2635"/>
    <w:rsid w:val="006E2780"/>
    <w:rsid w:val="006E29B3"/>
    <w:rsid w:val="006E2A4B"/>
    <w:rsid w:val="006E2B33"/>
    <w:rsid w:val="006E308D"/>
    <w:rsid w:val="006E423A"/>
    <w:rsid w:val="006E4988"/>
    <w:rsid w:val="006E4D09"/>
    <w:rsid w:val="006E4EB6"/>
    <w:rsid w:val="006E52F3"/>
    <w:rsid w:val="006E56DE"/>
    <w:rsid w:val="006E57CB"/>
    <w:rsid w:val="006E6015"/>
    <w:rsid w:val="006E61BF"/>
    <w:rsid w:val="006E6783"/>
    <w:rsid w:val="006E6996"/>
    <w:rsid w:val="006E6CF4"/>
    <w:rsid w:val="006E7224"/>
    <w:rsid w:val="006E7B3E"/>
    <w:rsid w:val="006F0C05"/>
    <w:rsid w:val="006F1332"/>
    <w:rsid w:val="006F178C"/>
    <w:rsid w:val="006F1D54"/>
    <w:rsid w:val="006F21A2"/>
    <w:rsid w:val="006F2CBE"/>
    <w:rsid w:val="006F2E9A"/>
    <w:rsid w:val="006F4249"/>
    <w:rsid w:val="006F435C"/>
    <w:rsid w:val="006F4551"/>
    <w:rsid w:val="006F4E1F"/>
    <w:rsid w:val="006F578C"/>
    <w:rsid w:val="006F578E"/>
    <w:rsid w:val="006F597A"/>
    <w:rsid w:val="006F7731"/>
    <w:rsid w:val="0070012A"/>
    <w:rsid w:val="00700560"/>
    <w:rsid w:val="0070065E"/>
    <w:rsid w:val="00700A5B"/>
    <w:rsid w:val="00700CA4"/>
    <w:rsid w:val="00700E9E"/>
    <w:rsid w:val="00701196"/>
    <w:rsid w:val="00701422"/>
    <w:rsid w:val="007014FD"/>
    <w:rsid w:val="00701664"/>
    <w:rsid w:val="00702C6A"/>
    <w:rsid w:val="00705317"/>
    <w:rsid w:val="00706263"/>
    <w:rsid w:val="0070679D"/>
    <w:rsid w:val="007067E0"/>
    <w:rsid w:val="00706C1D"/>
    <w:rsid w:val="00707487"/>
    <w:rsid w:val="00707818"/>
    <w:rsid w:val="007104D7"/>
    <w:rsid w:val="0071056F"/>
    <w:rsid w:val="00710C08"/>
    <w:rsid w:val="00710E97"/>
    <w:rsid w:val="007118AA"/>
    <w:rsid w:val="007119AA"/>
    <w:rsid w:val="00711F4C"/>
    <w:rsid w:val="00712054"/>
    <w:rsid w:val="00712266"/>
    <w:rsid w:val="007129D3"/>
    <w:rsid w:val="00713242"/>
    <w:rsid w:val="007137FB"/>
    <w:rsid w:val="00713B39"/>
    <w:rsid w:val="00714916"/>
    <w:rsid w:val="0071562B"/>
    <w:rsid w:val="00715ADA"/>
    <w:rsid w:val="00716229"/>
    <w:rsid w:val="0071653D"/>
    <w:rsid w:val="00716ECD"/>
    <w:rsid w:val="007171B4"/>
    <w:rsid w:val="007178E7"/>
    <w:rsid w:val="0072048D"/>
    <w:rsid w:val="00720757"/>
    <w:rsid w:val="00720AAD"/>
    <w:rsid w:val="00720AB8"/>
    <w:rsid w:val="00720D93"/>
    <w:rsid w:val="007211CE"/>
    <w:rsid w:val="00722512"/>
    <w:rsid w:val="00723547"/>
    <w:rsid w:val="00723567"/>
    <w:rsid w:val="00723758"/>
    <w:rsid w:val="00723827"/>
    <w:rsid w:val="0072396A"/>
    <w:rsid w:val="00723C08"/>
    <w:rsid w:val="00724A7B"/>
    <w:rsid w:val="00724DDE"/>
    <w:rsid w:val="00724F0A"/>
    <w:rsid w:val="007250BE"/>
    <w:rsid w:val="00725B94"/>
    <w:rsid w:val="00726138"/>
    <w:rsid w:val="00726144"/>
    <w:rsid w:val="00726A2A"/>
    <w:rsid w:val="007277B4"/>
    <w:rsid w:val="00727863"/>
    <w:rsid w:val="00727FFB"/>
    <w:rsid w:val="00730196"/>
    <w:rsid w:val="00730618"/>
    <w:rsid w:val="0073078C"/>
    <w:rsid w:val="00730904"/>
    <w:rsid w:val="00730B13"/>
    <w:rsid w:val="00731792"/>
    <w:rsid w:val="00731D19"/>
    <w:rsid w:val="00732255"/>
    <w:rsid w:val="007322D6"/>
    <w:rsid w:val="00732322"/>
    <w:rsid w:val="0073286A"/>
    <w:rsid w:val="00734273"/>
    <w:rsid w:val="00734907"/>
    <w:rsid w:val="007350FE"/>
    <w:rsid w:val="0073538F"/>
    <w:rsid w:val="00736078"/>
    <w:rsid w:val="00740037"/>
    <w:rsid w:val="00740A24"/>
    <w:rsid w:val="00740EB0"/>
    <w:rsid w:val="00740FB9"/>
    <w:rsid w:val="007418B5"/>
    <w:rsid w:val="007418E3"/>
    <w:rsid w:val="00741A2D"/>
    <w:rsid w:val="00741CD5"/>
    <w:rsid w:val="007423B9"/>
    <w:rsid w:val="00742E6D"/>
    <w:rsid w:val="007430F3"/>
    <w:rsid w:val="0074369C"/>
    <w:rsid w:val="00743D3A"/>
    <w:rsid w:val="0074403B"/>
    <w:rsid w:val="00744528"/>
    <w:rsid w:val="0074487D"/>
    <w:rsid w:val="007453EC"/>
    <w:rsid w:val="00745CC5"/>
    <w:rsid w:val="007462DD"/>
    <w:rsid w:val="00746C21"/>
    <w:rsid w:val="00746D60"/>
    <w:rsid w:val="00746D7D"/>
    <w:rsid w:val="00746ECA"/>
    <w:rsid w:val="00746F15"/>
    <w:rsid w:val="007471B4"/>
    <w:rsid w:val="00747DAC"/>
    <w:rsid w:val="007501B1"/>
    <w:rsid w:val="0075038A"/>
    <w:rsid w:val="00750827"/>
    <w:rsid w:val="00750CDC"/>
    <w:rsid w:val="00751811"/>
    <w:rsid w:val="00751884"/>
    <w:rsid w:val="00751BB2"/>
    <w:rsid w:val="007522EA"/>
    <w:rsid w:val="00752DB5"/>
    <w:rsid w:val="00752F7C"/>
    <w:rsid w:val="00754735"/>
    <w:rsid w:val="00754C47"/>
    <w:rsid w:val="007551F9"/>
    <w:rsid w:val="007557B9"/>
    <w:rsid w:val="00755DA0"/>
    <w:rsid w:val="007566A0"/>
    <w:rsid w:val="00756C47"/>
    <w:rsid w:val="00756D17"/>
    <w:rsid w:val="00756FBC"/>
    <w:rsid w:val="007571E0"/>
    <w:rsid w:val="007572B5"/>
    <w:rsid w:val="0075784B"/>
    <w:rsid w:val="007579B5"/>
    <w:rsid w:val="00757B96"/>
    <w:rsid w:val="00760AAB"/>
    <w:rsid w:val="0076108D"/>
    <w:rsid w:val="007612A2"/>
    <w:rsid w:val="00761383"/>
    <w:rsid w:val="00761E4B"/>
    <w:rsid w:val="007639EF"/>
    <w:rsid w:val="00763CC5"/>
    <w:rsid w:val="00763F61"/>
    <w:rsid w:val="007646EF"/>
    <w:rsid w:val="0076499D"/>
    <w:rsid w:val="007649E7"/>
    <w:rsid w:val="007653B7"/>
    <w:rsid w:val="00765A74"/>
    <w:rsid w:val="00765B76"/>
    <w:rsid w:val="00765F30"/>
    <w:rsid w:val="007672D4"/>
    <w:rsid w:val="00767987"/>
    <w:rsid w:val="00767F03"/>
    <w:rsid w:val="00767FFC"/>
    <w:rsid w:val="00770FC9"/>
    <w:rsid w:val="00771B16"/>
    <w:rsid w:val="00772450"/>
    <w:rsid w:val="00772477"/>
    <w:rsid w:val="007732A0"/>
    <w:rsid w:val="0077343A"/>
    <w:rsid w:val="00773632"/>
    <w:rsid w:val="00774484"/>
    <w:rsid w:val="00774893"/>
    <w:rsid w:val="00774A78"/>
    <w:rsid w:val="00774B40"/>
    <w:rsid w:val="00774CC8"/>
    <w:rsid w:val="00774D43"/>
    <w:rsid w:val="007751C0"/>
    <w:rsid w:val="00775234"/>
    <w:rsid w:val="00775636"/>
    <w:rsid w:val="00775B3A"/>
    <w:rsid w:val="00775EB9"/>
    <w:rsid w:val="00776725"/>
    <w:rsid w:val="00777050"/>
    <w:rsid w:val="007776A2"/>
    <w:rsid w:val="007779FE"/>
    <w:rsid w:val="00777DCA"/>
    <w:rsid w:val="007802EA"/>
    <w:rsid w:val="00781411"/>
    <w:rsid w:val="00781567"/>
    <w:rsid w:val="0078195F"/>
    <w:rsid w:val="00782038"/>
    <w:rsid w:val="00782716"/>
    <w:rsid w:val="007831C7"/>
    <w:rsid w:val="0078341C"/>
    <w:rsid w:val="007834D4"/>
    <w:rsid w:val="00783A9E"/>
    <w:rsid w:val="00783C8D"/>
    <w:rsid w:val="007841AC"/>
    <w:rsid w:val="007847DD"/>
    <w:rsid w:val="00784828"/>
    <w:rsid w:val="00784B01"/>
    <w:rsid w:val="00784DA4"/>
    <w:rsid w:val="0078563B"/>
    <w:rsid w:val="00785A8B"/>
    <w:rsid w:val="00786867"/>
    <w:rsid w:val="00787691"/>
    <w:rsid w:val="00787848"/>
    <w:rsid w:val="00787919"/>
    <w:rsid w:val="007901C9"/>
    <w:rsid w:val="007901E2"/>
    <w:rsid w:val="007917CC"/>
    <w:rsid w:val="00792875"/>
    <w:rsid w:val="007929CD"/>
    <w:rsid w:val="00792C16"/>
    <w:rsid w:val="00792C97"/>
    <w:rsid w:val="00792FAE"/>
    <w:rsid w:val="00793567"/>
    <w:rsid w:val="007940D5"/>
    <w:rsid w:val="00794828"/>
    <w:rsid w:val="0079503D"/>
    <w:rsid w:val="007952AA"/>
    <w:rsid w:val="00795514"/>
    <w:rsid w:val="00795550"/>
    <w:rsid w:val="007959B7"/>
    <w:rsid w:val="00795ECB"/>
    <w:rsid w:val="00796221"/>
    <w:rsid w:val="0079662F"/>
    <w:rsid w:val="007968F2"/>
    <w:rsid w:val="00796FC4"/>
    <w:rsid w:val="007972AF"/>
    <w:rsid w:val="00797A68"/>
    <w:rsid w:val="00797C4D"/>
    <w:rsid w:val="007A0714"/>
    <w:rsid w:val="007A14F6"/>
    <w:rsid w:val="007A1C2A"/>
    <w:rsid w:val="007A2DA9"/>
    <w:rsid w:val="007A2FFC"/>
    <w:rsid w:val="007A3387"/>
    <w:rsid w:val="007A3701"/>
    <w:rsid w:val="007A3712"/>
    <w:rsid w:val="007A3F48"/>
    <w:rsid w:val="007A420D"/>
    <w:rsid w:val="007A4562"/>
    <w:rsid w:val="007A4F36"/>
    <w:rsid w:val="007A5009"/>
    <w:rsid w:val="007A5A07"/>
    <w:rsid w:val="007A5B86"/>
    <w:rsid w:val="007A60FC"/>
    <w:rsid w:val="007A620D"/>
    <w:rsid w:val="007A6361"/>
    <w:rsid w:val="007A65C7"/>
    <w:rsid w:val="007A6AB6"/>
    <w:rsid w:val="007A761E"/>
    <w:rsid w:val="007A78B4"/>
    <w:rsid w:val="007A7C5F"/>
    <w:rsid w:val="007A7D43"/>
    <w:rsid w:val="007B0123"/>
    <w:rsid w:val="007B0724"/>
    <w:rsid w:val="007B084D"/>
    <w:rsid w:val="007B0AD7"/>
    <w:rsid w:val="007B12BB"/>
    <w:rsid w:val="007B1C55"/>
    <w:rsid w:val="007B2666"/>
    <w:rsid w:val="007B2FAA"/>
    <w:rsid w:val="007B2FE7"/>
    <w:rsid w:val="007B35B5"/>
    <w:rsid w:val="007B3AD3"/>
    <w:rsid w:val="007B3CDD"/>
    <w:rsid w:val="007B5B03"/>
    <w:rsid w:val="007B5C66"/>
    <w:rsid w:val="007B62D2"/>
    <w:rsid w:val="007B7C3B"/>
    <w:rsid w:val="007B7F3A"/>
    <w:rsid w:val="007B7FF6"/>
    <w:rsid w:val="007C0824"/>
    <w:rsid w:val="007C0BB6"/>
    <w:rsid w:val="007C0EA2"/>
    <w:rsid w:val="007C1003"/>
    <w:rsid w:val="007C1874"/>
    <w:rsid w:val="007C1991"/>
    <w:rsid w:val="007C2761"/>
    <w:rsid w:val="007C2AA7"/>
    <w:rsid w:val="007C40E9"/>
    <w:rsid w:val="007C4241"/>
    <w:rsid w:val="007C46B0"/>
    <w:rsid w:val="007C4C2E"/>
    <w:rsid w:val="007C4ED8"/>
    <w:rsid w:val="007C5BAD"/>
    <w:rsid w:val="007C69C9"/>
    <w:rsid w:val="007C75FF"/>
    <w:rsid w:val="007C7F7F"/>
    <w:rsid w:val="007D079F"/>
    <w:rsid w:val="007D0A38"/>
    <w:rsid w:val="007D0D6B"/>
    <w:rsid w:val="007D16AF"/>
    <w:rsid w:val="007D1715"/>
    <w:rsid w:val="007D1AC7"/>
    <w:rsid w:val="007D2106"/>
    <w:rsid w:val="007D2266"/>
    <w:rsid w:val="007D32C0"/>
    <w:rsid w:val="007D3B54"/>
    <w:rsid w:val="007D3FA9"/>
    <w:rsid w:val="007D46CA"/>
    <w:rsid w:val="007D4E39"/>
    <w:rsid w:val="007D5179"/>
    <w:rsid w:val="007D5E42"/>
    <w:rsid w:val="007D6673"/>
    <w:rsid w:val="007D6766"/>
    <w:rsid w:val="007D7214"/>
    <w:rsid w:val="007D72C2"/>
    <w:rsid w:val="007D74F6"/>
    <w:rsid w:val="007D7CF1"/>
    <w:rsid w:val="007E0724"/>
    <w:rsid w:val="007E0DE1"/>
    <w:rsid w:val="007E1080"/>
    <w:rsid w:val="007E1744"/>
    <w:rsid w:val="007E18C1"/>
    <w:rsid w:val="007E1A58"/>
    <w:rsid w:val="007E1F83"/>
    <w:rsid w:val="007E23C7"/>
    <w:rsid w:val="007E2CFD"/>
    <w:rsid w:val="007E35A7"/>
    <w:rsid w:val="007E3AEB"/>
    <w:rsid w:val="007E425F"/>
    <w:rsid w:val="007E4296"/>
    <w:rsid w:val="007E48AB"/>
    <w:rsid w:val="007E4D02"/>
    <w:rsid w:val="007E5CDB"/>
    <w:rsid w:val="007E5E68"/>
    <w:rsid w:val="007E6275"/>
    <w:rsid w:val="007E6336"/>
    <w:rsid w:val="007E6DEB"/>
    <w:rsid w:val="007E7265"/>
    <w:rsid w:val="007E72C9"/>
    <w:rsid w:val="007E7588"/>
    <w:rsid w:val="007E79F4"/>
    <w:rsid w:val="007E7A1B"/>
    <w:rsid w:val="007E7BED"/>
    <w:rsid w:val="007E7BF7"/>
    <w:rsid w:val="007E7E16"/>
    <w:rsid w:val="007E7ECF"/>
    <w:rsid w:val="007F0A2A"/>
    <w:rsid w:val="007F20FA"/>
    <w:rsid w:val="007F2AA1"/>
    <w:rsid w:val="007F2BC2"/>
    <w:rsid w:val="007F2D0D"/>
    <w:rsid w:val="007F3AF3"/>
    <w:rsid w:val="007F5A9F"/>
    <w:rsid w:val="007F60EA"/>
    <w:rsid w:val="007F676F"/>
    <w:rsid w:val="007F67D8"/>
    <w:rsid w:val="007F6980"/>
    <w:rsid w:val="007F6C9C"/>
    <w:rsid w:val="007F6CDE"/>
    <w:rsid w:val="007F7477"/>
    <w:rsid w:val="007F7565"/>
    <w:rsid w:val="00800B78"/>
    <w:rsid w:val="00800ED3"/>
    <w:rsid w:val="00801521"/>
    <w:rsid w:val="00801C98"/>
    <w:rsid w:val="00801E98"/>
    <w:rsid w:val="008023D6"/>
    <w:rsid w:val="00802859"/>
    <w:rsid w:val="008030B0"/>
    <w:rsid w:val="008034A2"/>
    <w:rsid w:val="00803835"/>
    <w:rsid w:val="00803CCB"/>
    <w:rsid w:val="00804021"/>
    <w:rsid w:val="00804D88"/>
    <w:rsid w:val="00804F17"/>
    <w:rsid w:val="00805475"/>
    <w:rsid w:val="00805A80"/>
    <w:rsid w:val="00805F8D"/>
    <w:rsid w:val="00806B63"/>
    <w:rsid w:val="008079B8"/>
    <w:rsid w:val="00807EDA"/>
    <w:rsid w:val="00810056"/>
    <w:rsid w:val="00810159"/>
    <w:rsid w:val="008101F9"/>
    <w:rsid w:val="008102BA"/>
    <w:rsid w:val="008104AE"/>
    <w:rsid w:val="00810531"/>
    <w:rsid w:val="008105FE"/>
    <w:rsid w:val="00811169"/>
    <w:rsid w:val="008112FF"/>
    <w:rsid w:val="00811925"/>
    <w:rsid w:val="00812596"/>
    <w:rsid w:val="008129C7"/>
    <w:rsid w:val="00812C54"/>
    <w:rsid w:val="00812DAC"/>
    <w:rsid w:val="00812E6A"/>
    <w:rsid w:val="00813547"/>
    <w:rsid w:val="00813B5C"/>
    <w:rsid w:val="00813BF1"/>
    <w:rsid w:val="008144F2"/>
    <w:rsid w:val="00814ADD"/>
    <w:rsid w:val="008155A4"/>
    <w:rsid w:val="00815A54"/>
    <w:rsid w:val="00815BF8"/>
    <w:rsid w:val="008161D9"/>
    <w:rsid w:val="0081731C"/>
    <w:rsid w:val="00817399"/>
    <w:rsid w:val="00817679"/>
    <w:rsid w:val="008202CB"/>
    <w:rsid w:val="00820875"/>
    <w:rsid w:val="00820928"/>
    <w:rsid w:val="0082235C"/>
    <w:rsid w:val="00822B33"/>
    <w:rsid w:val="0082374A"/>
    <w:rsid w:val="008237CF"/>
    <w:rsid w:val="00823EE2"/>
    <w:rsid w:val="00824726"/>
    <w:rsid w:val="00824919"/>
    <w:rsid w:val="00824BCB"/>
    <w:rsid w:val="00824D53"/>
    <w:rsid w:val="00824D9A"/>
    <w:rsid w:val="00824EBC"/>
    <w:rsid w:val="008250C0"/>
    <w:rsid w:val="00825E29"/>
    <w:rsid w:val="00825F74"/>
    <w:rsid w:val="00825FF5"/>
    <w:rsid w:val="00826E96"/>
    <w:rsid w:val="0082762B"/>
    <w:rsid w:val="00827B25"/>
    <w:rsid w:val="00830106"/>
    <w:rsid w:val="00830E38"/>
    <w:rsid w:val="00831220"/>
    <w:rsid w:val="00831FB0"/>
    <w:rsid w:val="0083203B"/>
    <w:rsid w:val="00832140"/>
    <w:rsid w:val="00832AB5"/>
    <w:rsid w:val="008338C1"/>
    <w:rsid w:val="00833A8F"/>
    <w:rsid w:val="00833BD8"/>
    <w:rsid w:val="00833DB8"/>
    <w:rsid w:val="00834B77"/>
    <w:rsid w:val="00834D7E"/>
    <w:rsid w:val="008350EE"/>
    <w:rsid w:val="0083579A"/>
    <w:rsid w:val="00835A0D"/>
    <w:rsid w:val="00836D1B"/>
    <w:rsid w:val="00836E56"/>
    <w:rsid w:val="0083764E"/>
    <w:rsid w:val="00837FD2"/>
    <w:rsid w:val="008402D2"/>
    <w:rsid w:val="00840522"/>
    <w:rsid w:val="008408E4"/>
    <w:rsid w:val="00840F36"/>
    <w:rsid w:val="00841159"/>
    <w:rsid w:val="00841217"/>
    <w:rsid w:val="008413C9"/>
    <w:rsid w:val="0084159E"/>
    <w:rsid w:val="008420E8"/>
    <w:rsid w:val="00842745"/>
    <w:rsid w:val="00843072"/>
    <w:rsid w:val="00843144"/>
    <w:rsid w:val="00843887"/>
    <w:rsid w:val="008439F4"/>
    <w:rsid w:val="00843BC6"/>
    <w:rsid w:val="00843F51"/>
    <w:rsid w:val="008441D4"/>
    <w:rsid w:val="008441DD"/>
    <w:rsid w:val="00844A08"/>
    <w:rsid w:val="00844C28"/>
    <w:rsid w:val="00844ED1"/>
    <w:rsid w:val="00845E43"/>
    <w:rsid w:val="00845E7A"/>
    <w:rsid w:val="008463A8"/>
    <w:rsid w:val="00846867"/>
    <w:rsid w:val="00846FC8"/>
    <w:rsid w:val="00847801"/>
    <w:rsid w:val="00847B3D"/>
    <w:rsid w:val="00850ACF"/>
    <w:rsid w:val="00850FCA"/>
    <w:rsid w:val="0085127E"/>
    <w:rsid w:val="00851396"/>
    <w:rsid w:val="0085177B"/>
    <w:rsid w:val="00852CB1"/>
    <w:rsid w:val="008535D8"/>
    <w:rsid w:val="00854579"/>
    <w:rsid w:val="008545CC"/>
    <w:rsid w:val="008553A9"/>
    <w:rsid w:val="0085579A"/>
    <w:rsid w:val="008560A9"/>
    <w:rsid w:val="00856330"/>
    <w:rsid w:val="00856CDE"/>
    <w:rsid w:val="00856CF2"/>
    <w:rsid w:val="00856D82"/>
    <w:rsid w:val="00856EE2"/>
    <w:rsid w:val="0085741F"/>
    <w:rsid w:val="00857745"/>
    <w:rsid w:val="008577EC"/>
    <w:rsid w:val="00857BA0"/>
    <w:rsid w:val="00857F3D"/>
    <w:rsid w:val="00860948"/>
    <w:rsid w:val="00860F1A"/>
    <w:rsid w:val="00861303"/>
    <w:rsid w:val="0086155F"/>
    <w:rsid w:val="00861938"/>
    <w:rsid w:val="008619A2"/>
    <w:rsid w:val="008625DB"/>
    <w:rsid w:val="00862CB4"/>
    <w:rsid w:val="00862D36"/>
    <w:rsid w:val="008631E8"/>
    <w:rsid w:val="00863748"/>
    <w:rsid w:val="008645FC"/>
    <w:rsid w:val="0086508C"/>
    <w:rsid w:val="00865494"/>
    <w:rsid w:val="008657D3"/>
    <w:rsid w:val="00866A18"/>
    <w:rsid w:val="0087007A"/>
    <w:rsid w:val="00870690"/>
    <w:rsid w:val="0087095A"/>
    <w:rsid w:val="00871052"/>
    <w:rsid w:val="008715A1"/>
    <w:rsid w:val="00871C64"/>
    <w:rsid w:val="008724D9"/>
    <w:rsid w:val="00872590"/>
    <w:rsid w:val="00872AD9"/>
    <w:rsid w:val="00872B93"/>
    <w:rsid w:val="00872BA7"/>
    <w:rsid w:val="00872DAC"/>
    <w:rsid w:val="008733CD"/>
    <w:rsid w:val="00873446"/>
    <w:rsid w:val="008739BE"/>
    <w:rsid w:val="00873AF5"/>
    <w:rsid w:val="008741F9"/>
    <w:rsid w:val="00874396"/>
    <w:rsid w:val="00874C6B"/>
    <w:rsid w:val="00875154"/>
    <w:rsid w:val="008751AC"/>
    <w:rsid w:val="008752A0"/>
    <w:rsid w:val="008752A3"/>
    <w:rsid w:val="00875B86"/>
    <w:rsid w:val="008765FE"/>
    <w:rsid w:val="00877121"/>
    <w:rsid w:val="00877564"/>
    <w:rsid w:val="00877C93"/>
    <w:rsid w:val="0088087E"/>
    <w:rsid w:val="00880AAC"/>
    <w:rsid w:val="00880B96"/>
    <w:rsid w:val="00880F11"/>
    <w:rsid w:val="0088112B"/>
    <w:rsid w:val="008820D6"/>
    <w:rsid w:val="00882BD4"/>
    <w:rsid w:val="00883627"/>
    <w:rsid w:val="00883FD8"/>
    <w:rsid w:val="00884354"/>
    <w:rsid w:val="008845C7"/>
    <w:rsid w:val="00884BB8"/>
    <w:rsid w:val="00884CE6"/>
    <w:rsid w:val="0088679A"/>
    <w:rsid w:val="00886A22"/>
    <w:rsid w:val="008870D1"/>
    <w:rsid w:val="0088714C"/>
    <w:rsid w:val="00887684"/>
    <w:rsid w:val="0088776D"/>
    <w:rsid w:val="008906FF"/>
    <w:rsid w:val="0089088D"/>
    <w:rsid w:val="008908D5"/>
    <w:rsid w:val="00890A0F"/>
    <w:rsid w:val="008911B6"/>
    <w:rsid w:val="00891319"/>
    <w:rsid w:val="008915B8"/>
    <w:rsid w:val="00891BEE"/>
    <w:rsid w:val="00891F6E"/>
    <w:rsid w:val="00892419"/>
    <w:rsid w:val="00892469"/>
    <w:rsid w:val="00892819"/>
    <w:rsid w:val="008932FB"/>
    <w:rsid w:val="008937E4"/>
    <w:rsid w:val="00893A59"/>
    <w:rsid w:val="00893C6F"/>
    <w:rsid w:val="00894205"/>
    <w:rsid w:val="0089486E"/>
    <w:rsid w:val="00895632"/>
    <w:rsid w:val="0089626C"/>
    <w:rsid w:val="00896299"/>
    <w:rsid w:val="0089687E"/>
    <w:rsid w:val="00896E6F"/>
    <w:rsid w:val="00896F79"/>
    <w:rsid w:val="0089752B"/>
    <w:rsid w:val="00897531"/>
    <w:rsid w:val="0089781D"/>
    <w:rsid w:val="008A0A30"/>
    <w:rsid w:val="008A1331"/>
    <w:rsid w:val="008A1462"/>
    <w:rsid w:val="008A1514"/>
    <w:rsid w:val="008A174B"/>
    <w:rsid w:val="008A19BE"/>
    <w:rsid w:val="008A25E8"/>
    <w:rsid w:val="008A2741"/>
    <w:rsid w:val="008A2F10"/>
    <w:rsid w:val="008A32E7"/>
    <w:rsid w:val="008A3CFB"/>
    <w:rsid w:val="008A41B0"/>
    <w:rsid w:val="008A41B4"/>
    <w:rsid w:val="008A4575"/>
    <w:rsid w:val="008A468A"/>
    <w:rsid w:val="008A48CC"/>
    <w:rsid w:val="008A4EC2"/>
    <w:rsid w:val="008A5116"/>
    <w:rsid w:val="008A5955"/>
    <w:rsid w:val="008A5F62"/>
    <w:rsid w:val="008A63F7"/>
    <w:rsid w:val="008A6BD4"/>
    <w:rsid w:val="008A79B3"/>
    <w:rsid w:val="008A7DFE"/>
    <w:rsid w:val="008A7F23"/>
    <w:rsid w:val="008B04A1"/>
    <w:rsid w:val="008B057C"/>
    <w:rsid w:val="008B0FF0"/>
    <w:rsid w:val="008B153B"/>
    <w:rsid w:val="008B2756"/>
    <w:rsid w:val="008B2B69"/>
    <w:rsid w:val="008B321E"/>
    <w:rsid w:val="008B3658"/>
    <w:rsid w:val="008B449B"/>
    <w:rsid w:val="008B463C"/>
    <w:rsid w:val="008B5250"/>
    <w:rsid w:val="008B5964"/>
    <w:rsid w:val="008B5D59"/>
    <w:rsid w:val="008B5E78"/>
    <w:rsid w:val="008B6A47"/>
    <w:rsid w:val="008B6E64"/>
    <w:rsid w:val="008B7309"/>
    <w:rsid w:val="008B7365"/>
    <w:rsid w:val="008B7FDC"/>
    <w:rsid w:val="008C0E33"/>
    <w:rsid w:val="008C0E85"/>
    <w:rsid w:val="008C116B"/>
    <w:rsid w:val="008C12FA"/>
    <w:rsid w:val="008C1507"/>
    <w:rsid w:val="008C1C4B"/>
    <w:rsid w:val="008C1DA9"/>
    <w:rsid w:val="008C215D"/>
    <w:rsid w:val="008C2282"/>
    <w:rsid w:val="008C228A"/>
    <w:rsid w:val="008C25C6"/>
    <w:rsid w:val="008C281B"/>
    <w:rsid w:val="008C2FEE"/>
    <w:rsid w:val="008C37D0"/>
    <w:rsid w:val="008C398C"/>
    <w:rsid w:val="008C3994"/>
    <w:rsid w:val="008C41CD"/>
    <w:rsid w:val="008C42F1"/>
    <w:rsid w:val="008C452F"/>
    <w:rsid w:val="008C475C"/>
    <w:rsid w:val="008C485D"/>
    <w:rsid w:val="008C5667"/>
    <w:rsid w:val="008C653C"/>
    <w:rsid w:val="008C6617"/>
    <w:rsid w:val="008C6862"/>
    <w:rsid w:val="008C6EB4"/>
    <w:rsid w:val="008C7455"/>
    <w:rsid w:val="008C7685"/>
    <w:rsid w:val="008C7867"/>
    <w:rsid w:val="008C796E"/>
    <w:rsid w:val="008C7DDE"/>
    <w:rsid w:val="008D064A"/>
    <w:rsid w:val="008D0B77"/>
    <w:rsid w:val="008D1A16"/>
    <w:rsid w:val="008D28EA"/>
    <w:rsid w:val="008D29E3"/>
    <w:rsid w:val="008D2F18"/>
    <w:rsid w:val="008D38D0"/>
    <w:rsid w:val="008D3FA2"/>
    <w:rsid w:val="008D4933"/>
    <w:rsid w:val="008D4C53"/>
    <w:rsid w:val="008D4CC7"/>
    <w:rsid w:val="008D4DFE"/>
    <w:rsid w:val="008D532A"/>
    <w:rsid w:val="008D5387"/>
    <w:rsid w:val="008D59E3"/>
    <w:rsid w:val="008D60DA"/>
    <w:rsid w:val="008D63A0"/>
    <w:rsid w:val="008D63CD"/>
    <w:rsid w:val="008D659C"/>
    <w:rsid w:val="008D699C"/>
    <w:rsid w:val="008D6D1C"/>
    <w:rsid w:val="008D7194"/>
    <w:rsid w:val="008D7267"/>
    <w:rsid w:val="008D72B2"/>
    <w:rsid w:val="008D751E"/>
    <w:rsid w:val="008E0240"/>
    <w:rsid w:val="008E029C"/>
    <w:rsid w:val="008E0E99"/>
    <w:rsid w:val="008E1420"/>
    <w:rsid w:val="008E18DC"/>
    <w:rsid w:val="008E252E"/>
    <w:rsid w:val="008E2740"/>
    <w:rsid w:val="008E2B6E"/>
    <w:rsid w:val="008E2C4A"/>
    <w:rsid w:val="008E2E9B"/>
    <w:rsid w:val="008E3871"/>
    <w:rsid w:val="008E38C2"/>
    <w:rsid w:val="008E3D1E"/>
    <w:rsid w:val="008E40E5"/>
    <w:rsid w:val="008E4129"/>
    <w:rsid w:val="008E4844"/>
    <w:rsid w:val="008E4D9F"/>
    <w:rsid w:val="008E4DEF"/>
    <w:rsid w:val="008E4FC8"/>
    <w:rsid w:val="008E5640"/>
    <w:rsid w:val="008E5CF5"/>
    <w:rsid w:val="008E5E76"/>
    <w:rsid w:val="008E73C8"/>
    <w:rsid w:val="008E76D8"/>
    <w:rsid w:val="008E7814"/>
    <w:rsid w:val="008E7B35"/>
    <w:rsid w:val="008E7D9E"/>
    <w:rsid w:val="008F09E5"/>
    <w:rsid w:val="008F0B35"/>
    <w:rsid w:val="008F0B6C"/>
    <w:rsid w:val="008F1077"/>
    <w:rsid w:val="008F1091"/>
    <w:rsid w:val="008F136B"/>
    <w:rsid w:val="008F1D8A"/>
    <w:rsid w:val="008F221C"/>
    <w:rsid w:val="008F237C"/>
    <w:rsid w:val="008F2F9E"/>
    <w:rsid w:val="008F3C32"/>
    <w:rsid w:val="008F40F4"/>
    <w:rsid w:val="008F418E"/>
    <w:rsid w:val="008F42AE"/>
    <w:rsid w:val="008F4385"/>
    <w:rsid w:val="008F45D8"/>
    <w:rsid w:val="008F47A4"/>
    <w:rsid w:val="008F48A1"/>
    <w:rsid w:val="008F4AB1"/>
    <w:rsid w:val="008F5347"/>
    <w:rsid w:val="008F53E1"/>
    <w:rsid w:val="008F5707"/>
    <w:rsid w:val="008F6311"/>
    <w:rsid w:val="008F6709"/>
    <w:rsid w:val="008F6837"/>
    <w:rsid w:val="008F6980"/>
    <w:rsid w:val="008F7739"/>
    <w:rsid w:val="008F7972"/>
    <w:rsid w:val="00900B1B"/>
    <w:rsid w:val="00900F58"/>
    <w:rsid w:val="0090160D"/>
    <w:rsid w:val="00901675"/>
    <w:rsid w:val="00901B0A"/>
    <w:rsid w:val="00901FEB"/>
    <w:rsid w:val="0090214A"/>
    <w:rsid w:val="00902671"/>
    <w:rsid w:val="009028C3"/>
    <w:rsid w:val="00902BDE"/>
    <w:rsid w:val="0090385F"/>
    <w:rsid w:val="00903C1E"/>
    <w:rsid w:val="0090418F"/>
    <w:rsid w:val="00905E76"/>
    <w:rsid w:val="00906362"/>
    <w:rsid w:val="0090654C"/>
    <w:rsid w:val="00906F3E"/>
    <w:rsid w:val="009070ED"/>
    <w:rsid w:val="00907DE5"/>
    <w:rsid w:val="00907FAE"/>
    <w:rsid w:val="0091055E"/>
    <w:rsid w:val="00910648"/>
    <w:rsid w:val="00910753"/>
    <w:rsid w:val="00911245"/>
    <w:rsid w:val="009117C7"/>
    <w:rsid w:val="00911A72"/>
    <w:rsid w:val="00912296"/>
    <w:rsid w:val="00912839"/>
    <w:rsid w:val="00912C1F"/>
    <w:rsid w:val="00912E17"/>
    <w:rsid w:val="00912F22"/>
    <w:rsid w:val="0091397E"/>
    <w:rsid w:val="00914486"/>
    <w:rsid w:val="009150EE"/>
    <w:rsid w:val="009155AF"/>
    <w:rsid w:val="0091574F"/>
    <w:rsid w:val="00915771"/>
    <w:rsid w:val="009158BD"/>
    <w:rsid w:val="009158DA"/>
    <w:rsid w:val="00915A90"/>
    <w:rsid w:val="00916192"/>
    <w:rsid w:val="0091649C"/>
    <w:rsid w:val="00916D88"/>
    <w:rsid w:val="00916F57"/>
    <w:rsid w:val="009173E6"/>
    <w:rsid w:val="00917769"/>
    <w:rsid w:val="00917B48"/>
    <w:rsid w:val="009201D0"/>
    <w:rsid w:val="00920C8A"/>
    <w:rsid w:val="009218B0"/>
    <w:rsid w:val="0092269E"/>
    <w:rsid w:val="00922823"/>
    <w:rsid w:val="00922F6F"/>
    <w:rsid w:val="00923157"/>
    <w:rsid w:val="00923303"/>
    <w:rsid w:val="00923BFD"/>
    <w:rsid w:val="00923FC6"/>
    <w:rsid w:val="00924D36"/>
    <w:rsid w:val="0092519A"/>
    <w:rsid w:val="009258E7"/>
    <w:rsid w:val="009258EF"/>
    <w:rsid w:val="009258F1"/>
    <w:rsid w:val="00925C8E"/>
    <w:rsid w:val="00925F1E"/>
    <w:rsid w:val="00926129"/>
    <w:rsid w:val="0092627F"/>
    <w:rsid w:val="00926BAA"/>
    <w:rsid w:val="00926CD9"/>
    <w:rsid w:val="00927395"/>
    <w:rsid w:val="0092776A"/>
    <w:rsid w:val="009278CB"/>
    <w:rsid w:val="00927968"/>
    <w:rsid w:val="00927AC7"/>
    <w:rsid w:val="00930990"/>
    <w:rsid w:val="00930A54"/>
    <w:rsid w:val="00930BC7"/>
    <w:rsid w:val="00930E22"/>
    <w:rsid w:val="00930F40"/>
    <w:rsid w:val="00931168"/>
    <w:rsid w:val="00932217"/>
    <w:rsid w:val="0093239A"/>
    <w:rsid w:val="009324F5"/>
    <w:rsid w:val="009338DB"/>
    <w:rsid w:val="00934825"/>
    <w:rsid w:val="009349F6"/>
    <w:rsid w:val="00934A65"/>
    <w:rsid w:val="00935710"/>
    <w:rsid w:val="00935AB7"/>
    <w:rsid w:val="00937758"/>
    <w:rsid w:val="00937C17"/>
    <w:rsid w:val="00937DC0"/>
    <w:rsid w:val="00937F0D"/>
    <w:rsid w:val="00940107"/>
    <w:rsid w:val="00940986"/>
    <w:rsid w:val="00940C10"/>
    <w:rsid w:val="00940DB9"/>
    <w:rsid w:val="009411D4"/>
    <w:rsid w:val="009415C1"/>
    <w:rsid w:val="0094175E"/>
    <w:rsid w:val="00941E40"/>
    <w:rsid w:val="00941E57"/>
    <w:rsid w:val="00942060"/>
    <w:rsid w:val="00942874"/>
    <w:rsid w:val="00943211"/>
    <w:rsid w:val="00944879"/>
    <w:rsid w:val="00944C5A"/>
    <w:rsid w:val="00944F90"/>
    <w:rsid w:val="00945877"/>
    <w:rsid w:val="009458E8"/>
    <w:rsid w:val="00945EF1"/>
    <w:rsid w:val="00946622"/>
    <w:rsid w:val="00946A76"/>
    <w:rsid w:val="00947586"/>
    <w:rsid w:val="00947796"/>
    <w:rsid w:val="00947A65"/>
    <w:rsid w:val="00947B1B"/>
    <w:rsid w:val="00947C70"/>
    <w:rsid w:val="00947D4C"/>
    <w:rsid w:val="00947DAB"/>
    <w:rsid w:val="00950737"/>
    <w:rsid w:val="00951045"/>
    <w:rsid w:val="00951073"/>
    <w:rsid w:val="0095123A"/>
    <w:rsid w:val="00951DA8"/>
    <w:rsid w:val="009522A2"/>
    <w:rsid w:val="0095249C"/>
    <w:rsid w:val="00952AB3"/>
    <w:rsid w:val="00952B76"/>
    <w:rsid w:val="009538CC"/>
    <w:rsid w:val="00953AED"/>
    <w:rsid w:val="00953E59"/>
    <w:rsid w:val="00953F41"/>
    <w:rsid w:val="0095456F"/>
    <w:rsid w:val="00954830"/>
    <w:rsid w:val="009554CC"/>
    <w:rsid w:val="009558EB"/>
    <w:rsid w:val="0095598A"/>
    <w:rsid w:val="009561B2"/>
    <w:rsid w:val="00956B69"/>
    <w:rsid w:val="00956E90"/>
    <w:rsid w:val="009574C3"/>
    <w:rsid w:val="0096052A"/>
    <w:rsid w:val="00960F22"/>
    <w:rsid w:val="009612ED"/>
    <w:rsid w:val="00961B2A"/>
    <w:rsid w:val="0096296A"/>
    <w:rsid w:val="009629A7"/>
    <w:rsid w:val="00962DFB"/>
    <w:rsid w:val="00963BFD"/>
    <w:rsid w:val="00964198"/>
    <w:rsid w:val="00964357"/>
    <w:rsid w:val="0096479D"/>
    <w:rsid w:val="00964AE8"/>
    <w:rsid w:val="00965879"/>
    <w:rsid w:val="00965A60"/>
    <w:rsid w:val="00965F91"/>
    <w:rsid w:val="00965FD3"/>
    <w:rsid w:val="0096624B"/>
    <w:rsid w:val="009662E8"/>
    <w:rsid w:val="00966440"/>
    <w:rsid w:val="009679FF"/>
    <w:rsid w:val="00970984"/>
    <w:rsid w:val="009711AC"/>
    <w:rsid w:val="009718A0"/>
    <w:rsid w:val="00971A6F"/>
    <w:rsid w:val="00971D41"/>
    <w:rsid w:val="00972A1D"/>
    <w:rsid w:val="00972CD3"/>
    <w:rsid w:val="00973F3C"/>
    <w:rsid w:val="00974850"/>
    <w:rsid w:val="00974882"/>
    <w:rsid w:val="009748A2"/>
    <w:rsid w:val="00974B39"/>
    <w:rsid w:val="00974C11"/>
    <w:rsid w:val="00974CC5"/>
    <w:rsid w:val="00974DFF"/>
    <w:rsid w:val="0097556A"/>
    <w:rsid w:val="0097561E"/>
    <w:rsid w:val="0097588E"/>
    <w:rsid w:val="00975E6E"/>
    <w:rsid w:val="0097678C"/>
    <w:rsid w:val="0097699D"/>
    <w:rsid w:val="00976A8B"/>
    <w:rsid w:val="00976C12"/>
    <w:rsid w:val="009779BD"/>
    <w:rsid w:val="00977F3C"/>
    <w:rsid w:val="00980141"/>
    <w:rsid w:val="0098079D"/>
    <w:rsid w:val="00980AF1"/>
    <w:rsid w:val="00980C0F"/>
    <w:rsid w:val="00982632"/>
    <w:rsid w:val="00982AD5"/>
    <w:rsid w:val="00982D99"/>
    <w:rsid w:val="00983258"/>
    <w:rsid w:val="009832AC"/>
    <w:rsid w:val="00983998"/>
    <w:rsid w:val="0098443B"/>
    <w:rsid w:val="00984B72"/>
    <w:rsid w:val="00984F0C"/>
    <w:rsid w:val="009853DB"/>
    <w:rsid w:val="00986214"/>
    <w:rsid w:val="00986A0A"/>
    <w:rsid w:val="00987090"/>
    <w:rsid w:val="00987823"/>
    <w:rsid w:val="00987B23"/>
    <w:rsid w:val="00987FBB"/>
    <w:rsid w:val="0099017C"/>
    <w:rsid w:val="009902F2"/>
    <w:rsid w:val="0099052A"/>
    <w:rsid w:val="00991084"/>
    <w:rsid w:val="009912D4"/>
    <w:rsid w:val="00991B28"/>
    <w:rsid w:val="00992021"/>
    <w:rsid w:val="00992595"/>
    <w:rsid w:val="00992BC4"/>
    <w:rsid w:val="00993448"/>
    <w:rsid w:val="0099352D"/>
    <w:rsid w:val="00993933"/>
    <w:rsid w:val="00994D14"/>
    <w:rsid w:val="00995C4A"/>
    <w:rsid w:val="00996C16"/>
    <w:rsid w:val="00996E1D"/>
    <w:rsid w:val="009974CB"/>
    <w:rsid w:val="00997E4E"/>
    <w:rsid w:val="009A0243"/>
    <w:rsid w:val="009A0572"/>
    <w:rsid w:val="009A07E8"/>
    <w:rsid w:val="009A0B21"/>
    <w:rsid w:val="009A2152"/>
    <w:rsid w:val="009A22C0"/>
    <w:rsid w:val="009A23CE"/>
    <w:rsid w:val="009A2445"/>
    <w:rsid w:val="009A2B65"/>
    <w:rsid w:val="009A2FB3"/>
    <w:rsid w:val="009A365B"/>
    <w:rsid w:val="009A371A"/>
    <w:rsid w:val="009A3753"/>
    <w:rsid w:val="009A3E6C"/>
    <w:rsid w:val="009A3F18"/>
    <w:rsid w:val="009A5FAC"/>
    <w:rsid w:val="009A6BA0"/>
    <w:rsid w:val="009B007A"/>
    <w:rsid w:val="009B0168"/>
    <w:rsid w:val="009B050F"/>
    <w:rsid w:val="009B0883"/>
    <w:rsid w:val="009B0C60"/>
    <w:rsid w:val="009B0CA1"/>
    <w:rsid w:val="009B155A"/>
    <w:rsid w:val="009B1A1F"/>
    <w:rsid w:val="009B2B16"/>
    <w:rsid w:val="009B2B35"/>
    <w:rsid w:val="009B3E62"/>
    <w:rsid w:val="009B3EE0"/>
    <w:rsid w:val="009B40AA"/>
    <w:rsid w:val="009B40B8"/>
    <w:rsid w:val="009B4119"/>
    <w:rsid w:val="009B49AA"/>
    <w:rsid w:val="009B4D28"/>
    <w:rsid w:val="009B4EF5"/>
    <w:rsid w:val="009B67CB"/>
    <w:rsid w:val="009B696E"/>
    <w:rsid w:val="009B6B4A"/>
    <w:rsid w:val="009B6F72"/>
    <w:rsid w:val="009B748E"/>
    <w:rsid w:val="009B7566"/>
    <w:rsid w:val="009B7B6B"/>
    <w:rsid w:val="009B7C54"/>
    <w:rsid w:val="009B7E5A"/>
    <w:rsid w:val="009C002B"/>
    <w:rsid w:val="009C01D3"/>
    <w:rsid w:val="009C1440"/>
    <w:rsid w:val="009C1DC9"/>
    <w:rsid w:val="009C1E06"/>
    <w:rsid w:val="009C20CB"/>
    <w:rsid w:val="009C2408"/>
    <w:rsid w:val="009C250B"/>
    <w:rsid w:val="009C2B89"/>
    <w:rsid w:val="009C2F1F"/>
    <w:rsid w:val="009C38B4"/>
    <w:rsid w:val="009C3A7D"/>
    <w:rsid w:val="009C41BD"/>
    <w:rsid w:val="009C463D"/>
    <w:rsid w:val="009C4695"/>
    <w:rsid w:val="009C4929"/>
    <w:rsid w:val="009C5473"/>
    <w:rsid w:val="009C5735"/>
    <w:rsid w:val="009C5CE1"/>
    <w:rsid w:val="009C612A"/>
    <w:rsid w:val="009C6446"/>
    <w:rsid w:val="009C6A63"/>
    <w:rsid w:val="009C6E1E"/>
    <w:rsid w:val="009C7149"/>
    <w:rsid w:val="009C72E4"/>
    <w:rsid w:val="009C73F2"/>
    <w:rsid w:val="009C75CE"/>
    <w:rsid w:val="009C7E27"/>
    <w:rsid w:val="009D0354"/>
    <w:rsid w:val="009D0780"/>
    <w:rsid w:val="009D179C"/>
    <w:rsid w:val="009D1ED1"/>
    <w:rsid w:val="009D1F33"/>
    <w:rsid w:val="009D2168"/>
    <w:rsid w:val="009D22E5"/>
    <w:rsid w:val="009D27D8"/>
    <w:rsid w:val="009D34C8"/>
    <w:rsid w:val="009D3684"/>
    <w:rsid w:val="009D3D3E"/>
    <w:rsid w:val="009D3D93"/>
    <w:rsid w:val="009D40C7"/>
    <w:rsid w:val="009D41B4"/>
    <w:rsid w:val="009D4A1F"/>
    <w:rsid w:val="009D5146"/>
    <w:rsid w:val="009D642A"/>
    <w:rsid w:val="009D6473"/>
    <w:rsid w:val="009D64AC"/>
    <w:rsid w:val="009D6706"/>
    <w:rsid w:val="009D6798"/>
    <w:rsid w:val="009D69C3"/>
    <w:rsid w:val="009D76E5"/>
    <w:rsid w:val="009E0BE2"/>
    <w:rsid w:val="009E1846"/>
    <w:rsid w:val="009E18C9"/>
    <w:rsid w:val="009E1C63"/>
    <w:rsid w:val="009E1EA3"/>
    <w:rsid w:val="009E31A7"/>
    <w:rsid w:val="009E32FD"/>
    <w:rsid w:val="009E38D7"/>
    <w:rsid w:val="009E3DA8"/>
    <w:rsid w:val="009E3FB8"/>
    <w:rsid w:val="009E4C10"/>
    <w:rsid w:val="009E4E18"/>
    <w:rsid w:val="009E5768"/>
    <w:rsid w:val="009E5891"/>
    <w:rsid w:val="009E5C39"/>
    <w:rsid w:val="009E5F34"/>
    <w:rsid w:val="009E66D7"/>
    <w:rsid w:val="009E6920"/>
    <w:rsid w:val="009E7B9B"/>
    <w:rsid w:val="009E7C75"/>
    <w:rsid w:val="009E7DF5"/>
    <w:rsid w:val="009F077A"/>
    <w:rsid w:val="009F12A6"/>
    <w:rsid w:val="009F13CA"/>
    <w:rsid w:val="009F15D4"/>
    <w:rsid w:val="009F2575"/>
    <w:rsid w:val="009F2A3F"/>
    <w:rsid w:val="009F2D45"/>
    <w:rsid w:val="009F3073"/>
    <w:rsid w:val="009F32B2"/>
    <w:rsid w:val="009F33E2"/>
    <w:rsid w:val="009F3537"/>
    <w:rsid w:val="009F365E"/>
    <w:rsid w:val="009F37EE"/>
    <w:rsid w:val="009F3F56"/>
    <w:rsid w:val="009F4C92"/>
    <w:rsid w:val="009F4E9E"/>
    <w:rsid w:val="009F52A1"/>
    <w:rsid w:val="009F53E3"/>
    <w:rsid w:val="009F55CC"/>
    <w:rsid w:val="009F58F1"/>
    <w:rsid w:val="009F5DFB"/>
    <w:rsid w:val="009F68FF"/>
    <w:rsid w:val="009F69CD"/>
    <w:rsid w:val="009F76A1"/>
    <w:rsid w:val="009F7777"/>
    <w:rsid w:val="00A002AE"/>
    <w:rsid w:val="00A00CCE"/>
    <w:rsid w:val="00A01CB2"/>
    <w:rsid w:val="00A02275"/>
    <w:rsid w:val="00A0228C"/>
    <w:rsid w:val="00A025AF"/>
    <w:rsid w:val="00A02803"/>
    <w:rsid w:val="00A02BD6"/>
    <w:rsid w:val="00A02EF4"/>
    <w:rsid w:val="00A03018"/>
    <w:rsid w:val="00A036A6"/>
    <w:rsid w:val="00A036F2"/>
    <w:rsid w:val="00A03800"/>
    <w:rsid w:val="00A0405C"/>
    <w:rsid w:val="00A04550"/>
    <w:rsid w:val="00A04567"/>
    <w:rsid w:val="00A0485D"/>
    <w:rsid w:val="00A0505C"/>
    <w:rsid w:val="00A054E2"/>
    <w:rsid w:val="00A05563"/>
    <w:rsid w:val="00A05575"/>
    <w:rsid w:val="00A06422"/>
    <w:rsid w:val="00A06B79"/>
    <w:rsid w:val="00A075B0"/>
    <w:rsid w:val="00A076CB"/>
    <w:rsid w:val="00A10BA8"/>
    <w:rsid w:val="00A11005"/>
    <w:rsid w:val="00A1110C"/>
    <w:rsid w:val="00A11439"/>
    <w:rsid w:val="00A115A9"/>
    <w:rsid w:val="00A118EE"/>
    <w:rsid w:val="00A11962"/>
    <w:rsid w:val="00A11EB6"/>
    <w:rsid w:val="00A125F3"/>
    <w:rsid w:val="00A1294F"/>
    <w:rsid w:val="00A133ED"/>
    <w:rsid w:val="00A13637"/>
    <w:rsid w:val="00A137F1"/>
    <w:rsid w:val="00A13D99"/>
    <w:rsid w:val="00A1435D"/>
    <w:rsid w:val="00A1457C"/>
    <w:rsid w:val="00A14750"/>
    <w:rsid w:val="00A14B8F"/>
    <w:rsid w:val="00A14B91"/>
    <w:rsid w:val="00A14BA6"/>
    <w:rsid w:val="00A14D6B"/>
    <w:rsid w:val="00A17077"/>
    <w:rsid w:val="00A170E1"/>
    <w:rsid w:val="00A179CF"/>
    <w:rsid w:val="00A17D4D"/>
    <w:rsid w:val="00A201AC"/>
    <w:rsid w:val="00A21029"/>
    <w:rsid w:val="00A21528"/>
    <w:rsid w:val="00A227FD"/>
    <w:rsid w:val="00A2331B"/>
    <w:rsid w:val="00A234AA"/>
    <w:rsid w:val="00A2413B"/>
    <w:rsid w:val="00A24157"/>
    <w:rsid w:val="00A246CE"/>
    <w:rsid w:val="00A248CD"/>
    <w:rsid w:val="00A24A35"/>
    <w:rsid w:val="00A24D25"/>
    <w:rsid w:val="00A24DA0"/>
    <w:rsid w:val="00A24DB0"/>
    <w:rsid w:val="00A24E0F"/>
    <w:rsid w:val="00A25666"/>
    <w:rsid w:val="00A25CFE"/>
    <w:rsid w:val="00A25EA4"/>
    <w:rsid w:val="00A26664"/>
    <w:rsid w:val="00A26E34"/>
    <w:rsid w:val="00A27169"/>
    <w:rsid w:val="00A2719F"/>
    <w:rsid w:val="00A27DB2"/>
    <w:rsid w:val="00A30B51"/>
    <w:rsid w:val="00A30B95"/>
    <w:rsid w:val="00A31543"/>
    <w:rsid w:val="00A325DF"/>
    <w:rsid w:val="00A32D2B"/>
    <w:rsid w:val="00A33B57"/>
    <w:rsid w:val="00A3400B"/>
    <w:rsid w:val="00A34414"/>
    <w:rsid w:val="00A344C5"/>
    <w:rsid w:val="00A35CC0"/>
    <w:rsid w:val="00A35E39"/>
    <w:rsid w:val="00A36176"/>
    <w:rsid w:val="00A366F5"/>
    <w:rsid w:val="00A36881"/>
    <w:rsid w:val="00A370BF"/>
    <w:rsid w:val="00A37DAF"/>
    <w:rsid w:val="00A4062F"/>
    <w:rsid w:val="00A407F8"/>
    <w:rsid w:val="00A40FDC"/>
    <w:rsid w:val="00A4178A"/>
    <w:rsid w:val="00A42A3E"/>
    <w:rsid w:val="00A42BAF"/>
    <w:rsid w:val="00A42BCF"/>
    <w:rsid w:val="00A42F90"/>
    <w:rsid w:val="00A43303"/>
    <w:rsid w:val="00A43B12"/>
    <w:rsid w:val="00A43DAD"/>
    <w:rsid w:val="00A44869"/>
    <w:rsid w:val="00A45016"/>
    <w:rsid w:val="00A46F53"/>
    <w:rsid w:val="00A46FD5"/>
    <w:rsid w:val="00A50461"/>
    <w:rsid w:val="00A51408"/>
    <w:rsid w:val="00A524F2"/>
    <w:rsid w:val="00A53208"/>
    <w:rsid w:val="00A537A6"/>
    <w:rsid w:val="00A53A63"/>
    <w:rsid w:val="00A53F4E"/>
    <w:rsid w:val="00A54196"/>
    <w:rsid w:val="00A543A6"/>
    <w:rsid w:val="00A550A2"/>
    <w:rsid w:val="00A550C1"/>
    <w:rsid w:val="00A5521A"/>
    <w:rsid w:val="00A55CD3"/>
    <w:rsid w:val="00A55CFD"/>
    <w:rsid w:val="00A55D24"/>
    <w:rsid w:val="00A566B7"/>
    <w:rsid w:val="00A57253"/>
    <w:rsid w:val="00A57420"/>
    <w:rsid w:val="00A57B59"/>
    <w:rsid w:val="00A57C7A"/>
    <w:rsid w:val="00A607D8"/>
    <w:rsid w:val="00A6084E"/>
    <w:rsid w:val="00A60BAE"/>
    <w:rsid w:val="00A60DEC"/>
    <w:rsid w:val="00A61187"/>
    <w:rsid w:val="00A619CA"/>
    <w:rsid w:val="00A61EBD"/>
    <w:rsid w:val="00A61F92"/>
    <w:rsid w:val="00A621BC"/>
    <w:rsid w:val="00A629DD"/>
    <w:rsid w:val="00A63735"/>
    <w:rsid w:val="00A63A1C"/>
    <w:rsid w:val="00A6435F"/>
    <w:rsid w:val="00A647C7"/>
    <w:rsid w:val="00A64E2C"/>
    <w:rsid w:val="00A650F6"/>
    <w:rsid w:val="00A65B96"/>
    <w:rsid w:val="00A65D37"/>
    <w:rsid w:val="00A65E40"/>
    <w:rsid w:val="00A65FD1"/>
    <w:rsid w:val="00A6665D"/>
    <w:rsid w:val="00A66876"/>
    <w:rsid w:val="00A66DEB"/>
    <w:rsid w:val="00A66F69"/>
    <w:rsid w:val="00A670EC"/>
    <w:rsid w:val="00A67519"/>
    <w:rsid w:val="00A67723"/>
    <w:rsid w:val="00A67D39"/>
    <w:rsid w:val="00A67D47"/>
    <w:rsid w:val="00A67DD9"/>
    <w:rsid w:val="00A700AF"/>
    <w:rsid w:val="00A700D2"/>
    <w:rsid w:val="00A701B1"/>
    <w:rsid w:val="00A7050A"/>
    <w:rsid w:val="00A70BCA"/>
    <w:rsid w:val="00A711B2"/>
    <w:rsid w:val="00A714C1"/>
    <w:rsid w:val="00A718A2"/>
    <w:rsid w:val="00A71912"/>
    <w:rsid w:val="00A724E5"/>
    <w:rsid w:val="00A72793"/>
    <w:rsid w:val="00A72E47"/>
    <w:rsid w:val="00A73779"/>
    <w:rsid w:val="00A737DA"/>
    <w:rsid w:val="00A748C4"/>
    <w:rsid w:val="00A749AC"/>
    <w:rsid w:val="00A74A4D"/>
    <w:rsid w:val="00A76437"/>
    <w:rsid w:val="00A77594"/>
    <w:rsid w:val="00A77B91"/>
    <w:rsid w:val="00A77BCF"/>
    <w:rsid w:val="00A8047F"/>
    <w:rsid w:val="00A804C3"/>
    <w:rsid w:val="00A80916"/>
    <w:rsid w:val="00A81608"/>
    <w:rsid w:val="00A81B8D"/>
    <w:rsid w:val="00A81C0D"/>
    <w:rsid w:val="00A8244F"/>
    <w:rsid w:val="00A8294E"/>
    <w:rsid w:val="00A82FB9"/>
    <w:rsid w:val="00A833E2"/>
    <w:rsid w:val="00A83618"/>
    <w:rsid w:val="00A83895"/>
    <w:rsid w:val="00A83CA0"/>
    <w:rsid w:val="00A84085"/>
    <w:rsid w:val="00A84EDE"/>
    <w:rsid w:val="00A85435"/>
    <w:rsid w:val="00A85D7C"/>
    <w:rsid w:val="00A85E42"/>
    <w:rsid w:val="00A86502"/>
    <w:rsid w:val="00A86702"/>
    <w:rsid w:val="00A86FF8"/>
    <w:rsid w:val="00A87A73"/>
    <w:rsid w:val="00A87A8D"/>
    <w:rsid w:val="00A87CC4"/>
    <w:rsid w:val="00A911DD"/>
    <w:rsid w:val="00A91443"/>
    <w:rsid w:val="00A9275E"/>
    <w:rsid w:val="00A92845"/>
    <w:rsid w:val="00A93203"/>
    <w:rsid w:val="00A94519"/>
    <w:rsid w:val="00A946F5"/>
    <w:rsid w:val="00A95E5F"/>
    <w:rsid w:val="00A960E0"/>
    <w:rsid w:val="00A96BE5"/>
    <w:rsid w:val="00A97053"/>
    <w:rsid w:val="00A97C6C"/>
    <w:rsid w:val="00AA017D"/>
    <w:rsid w:val="00AA022A"/>
    <w:rsid w:val="00AA0257"/>
    <w:rsid w:val="00AA08B8"/>
    <w:rsid w:val="00AA090E"/>
    <w:rsid w:val="00AA1456"/>
    <w:rsid w:val="00AA1764"/>
    <w:rsid w:val="00AA2944"/>
    <w:rsid w:val="00AA2ECF"/>
    <w:rsid w:val="00AA35F8"/>
    <w:rsid w:val="00AA46AB"/>
    <w:rsid w:val="00AA4788"/>
    <w:rsid w:val="00AA4CC2"/>
    <w:rsid w:val="00AA5463"/>
    <w:rsid w:val="00AA5DA7"/>
    <w:rsid w:val="00AA6369"/>
    <w:rsid w:val="00AA6607"/>
    <w:rsid w:val="00AA694D"/>
    <w:rsid w:val="00AA6D9F"/>
    <w:rsid w:val="00AA6E87"/>
    <w:rsid w:val="00AA70BD"/>
    <w:rsid w:val="00AA746A"/>
    <w:rsid w:val="00AA7DDF"/>
    <w:rsid w:val="00AA7FE5"/>
    <w:rsid w:val="00AB01B4"/>
    <w:rsid w:val="00AB0670"/>
    <w:rsid w:val="00AB08DF"/>
    <w:rsid w:val="00AB0E99"/>
    <w:rsid w:val="00AB1516"/>
    <w:rsid w:val="00AB1A48"/>
    <w:rsid w:val="00AB253F"/>
    <w:rsid w:val="00AB2954"/>
    <w:rsid w:val="00AB2A56"/>
    <w:rsid w:val="00AB310C"/>
    <w:rsid w:val="00AB33D1"/>
    <w:rsid w:val="00AB3883"/>
    <w:rsid w:val="00AB41E9"/>
    <w:rsid w:val="00AB4E6A"/>
    <w:rsid w:val="00AB551B"/>
    <w:rsid w:val="00AC034B"/>
    <w:rsid w:val="00AC07BB"/>
    <w:rsid w:val="00AC10E8"/>
    <w:rsid w:val="00AC19EC"/>
    <w:rsid w:val="00AC1B7A"/>
    <w:rsid w:val="00AC1C34"/>
    <w:rsid w:val="00AC1E79"/>
    <w:rsid w:val="00AC212B"/>
    <w:rsid w:val="00AC2A32"/>
    <w:rsid w:val="00AC2B8D"/>
    <w:rsid w:val="00AC2BCE"/>
    <w:rsid w:val="00AC2EED"/>
    <w:rsid w:val="00AC3180"/>
    <w:rsid w:val="00AC31B5"/>
    <w:rsid w:val="00AC33A3"/>
    <w:rsid w:val="00AC359E"/>
    <w:rsid w:val="00AC3D00"/>
    <w:rsid w:val="00AC4390"/>
    <w:rsid w:val="00AC4DFC"/>
    <w:rsid w:val="00AC50E1"/>
    <w:rsid w:val="00AC5CA7"/>
    <w:rsid w:val="00AC64F4"/>
    <w:rsid w:val="00AC670F"/>
    <w:rsid w:val="00AC6CA8"/>
    <w:rsid w:val="00AC7ABA"/>
    <w:rsid w:val="00AC7B08"/>
    <w:rsid w:val="00AD08D3"/>
    <w:rsid w:val="00AD0A85"/>
    <w:rsid w:val="00AD0D31"/>
    <w:rsid w:val="00AD187C"/>
    <w:rsid w:val="00AD2351"/>
    <w:rsid w:val="00AD24CF"/>
    <w:rsid w:val="00AD3398"/>
    <w:rsid w:val="00AD385B"/>
    <w:rsid w:val="00AD3B7C"/>
    <w:rsid w:val="00AD3E03"/>
    <w:rsid w:val="00AD4429"/>
    <w:rsid w:val="00AD47AF"/>
    <w:rsid w:val="00AD4C03"/>
    <w:rsid w:val="00AD5173"/>
    <w:rsid w:val="00AD51A4"/>
    <w:rsid w:val="00AD57D1"/>
    <w:rsid w:val="00AD593F"/>
    <w:rsid w:val="00AD5F11"/>
    <w:rsid w:val="00AD6430"/>
    <w:rsid w:val="00AD650B"/>
    <w:rsid w:val="00AD68FB"/>
    <w:rsid w:val="00AD6A2A"/>
    <w:rsid w:val="00AD6BF9"/>
    <w:rsid w:val="00AD6D21"/>
    <w:rsid w:val="00AD7063"/>
    <w:rsid w:val="00AD7546"/>
    <w:rsid w:val="00AD7772"/>
    <w:rsid w:val="00AD778A"/>
    <w:rsid w:val="00AD7F7F"/>
    <w:rsid w:val="00AE025F"/>
    <w:rsid w:val="00AE0520"/>
    <w:rsid w:val="00AE0BD6"/>
    <w:rsid w:val="00AE166F"/>
    <w:rsid w:val="00AE174B"/>
    <w:rsid w:val="00AE19A5"/>
    <w:rsid w:val="00AE1D46"/>
    <w:rsid w:val="00AE1DAE"/>
    <w:rsid w:val="00AE2279"/>
    <w:rsid w:val="00AE25B4"/>
    <w:rsid w:val="00AE2CFB"/>
    <w:rsid w:val="00AE2F49"/>
    <w:rsid w:val="00AE46A5"/>
    <w:rsid w:val="00AE488B"/>
    <w:rsid w:val="00AE48B5"/>
    <w:rsid w:val="00AE4E02"/>
    <w:rsid w:val="00AE4FD1"/>
    <w:rsid w:val="00AE526D"/>
    <w:rsid w:val="00AE607C"/>
    <w:rsid w:val="00AE6236"/>
    <w:rsid w:val="00AE6277"/>
    <w:rsid w:val="00AE67EB"/>
    <w:rsid w:val="00AE6D0B"/>
    <w:rsid w:val="00AE7A77"/>
    <w:rsid w:val="00AE7B44"/>
    <w:rsid w:val="00AE7EAB"/>
    <w:rsid w:val="00AE7FB0"/>
    <w:rsid w:val="00AF01C1"/>
    <w:rsid w:val="00AF0F8D"/>
    <w:rsid w:val="00AF1901"/>
    <w:rsid w:val="00AF1ACD"/>
    <w:rsid w:val="00AF1DB1"/>
    <w:rsid w:val="00AF26EB"/>
    <w:rsid w:val="00AF28E4"/>
    <w:rsid w:val="00AF2BF1"/>
    <w:rsid w:val="00AF3123"/>
    <w:rsid w:val="00AF333C"/>
    <w:rsid w:val="00AF3655"/>
    <w:rsid w:val="00AF3E19"/>
    <w:rsid w:val="00AF408D"/>
    <w:rsid w:val="00AF4B8D"/>
    <w:rsid w:val="00AF4D90"/>
    <w:rsid w:val="00AF4EAA"/>
    <w:rsid w:val="00AF5115"/>
    <w:rsid w:val="00AF5157"/>
    <w:rsid w:val="00AF58B6"/>
    <w:rsid w:val="00AF5F3F"/>
    <w:rsid w:val="00AF6021"/>
    <w:rsid w:val="00AF64D8"/>
    <w:rsid w:val="00AF7149"/>
    <w:rsid w:val="00AF7A11"/>
    <w:rsid w:val="00AF7BA7"/>
    <w:rsid w:val="00B00541"/>
    <w:rsid w:val="00B00C10"/>
    <w:rsid w:val="00B01814"/>
    <w:rsid w:val="00B01CAF"/>
    <w:rsid w:val="00B01EED"/>
    <w:rsid w:val="00B02E82"/>
    <w:rsid w:val="00B035DE"/>
    <w:rsid w:val="00B04C60"/>
    <w:rsid w:val="00B04DA8"/>
    <w:rsid w:val="00B05205"/>
    <w:rsid w:val="00B053F3"/>
    <w:rsid w:val="00B054EE"/>
    <w:rsid w:val="00B07964"/>
    <w:rsid w:val="00B1005C"/>
    <w:rsid w:val="00B10147"/>
    <w:rsid w:val="00B110DB"/>
    <w:rsid w:val="00B1194D"/>
    <w:rsid w:val="00B11988"/>
    <w:rsid w:val="00B11CC0"/>
    <w:rsid w:val="00B11F54"/>
    <w:rsid w:val="00B12D6B"/>
    <w:rsid w:val="00B13572"/>
    <w:rsid w:val="00B13BDA"/>
    <w:rsid w:val="00B13E3C"/>
    <w:rsid w:val="00B1472B"/>
    <w:rsid w:val="00B149EB"/>
    <w:rsid w:val="00B14A1D"/>
    <w:rsid w:val="00B14F6D"/>
    <w:rsid w:val="00B15BBE"/>
    <w:rsid w:val="00B15CDC"/>
    <w:rsid w:val="00B1623C"/>
    <w:rsid w:val="00B16DFA"/>
    <w:rsid w:val="00B16FB6"/>
    <w:rsid w:val="00B173F0"/>
    <w:rsid w:val="00B177AF"/>
    <w:rsid w:val="00B178CE"/>
    <w:rsid w:val="00B20401"/>
    <w:rsid w:val="00B204C9"/>
    <w:rsid w:val="00B20736"/>
    <w:rsid w:val="00B20FDE"/>
    <w:rsid w:val="00B21653"/>
    <w:rsid w:val="00B21A69"/>
    <w:rsid w:val="00B21B4F"/>
    <w:rsid w:val="00B21BC0"/>
    <w:rsid w:val="00B22216"/>
    <w:rsid w:val="00B2250A"/>
    <w:rsid w:val="00B22ED3"/>
    <w:rsid w:val="00B23418"/>
    <w:rsid w:val="00B23F52"/>
    <w:rsid w:val="00B240B1"/>
    <w:rsid w:val="00B243FE"/>
    <w:rsid w:val="00B24B17"/>
    <w:rsid w:val="00B253DF"/>
    <w:rsid w:val="00B2559A"/>
    <w:rsid w:val="00B255F1"/>
    <w:rsid w:val="00B25B13"/>
    <w:rsid w:val="00B25C1C"/>
    <w:rsid w:val="00B25D97"/>
    <w:rsid w:val="00B25F79"/>
    <w:rsid w:val="00B263E2"/>
    <w:rsid w:val="00B2651A"/>
    <w:rsid w:val="00B26C22"/>
    <w:rsid w:val="00B27E3C"/>
    <w:rsid w:val="00B27E9D"/>
    <w:rsid w:val="00B3068D"/>
    <w:rsid w:val="00B3087A"/>
    <w:rsid w:val="00B30AFB"/>
    <w:rsid w:val="00B30C3A"/>
    <w:rsid w:val="00B3160C"/>
    <w:rsid w:val="00B3196C"/>
    <w:rsid w:val="00B32257"/>
    <w:rsid w:val="00B326A8"/>
    <w:rsid w:val="00B3279D"/>
    <w:rsid w:val="00B329B7"/>
    <w:rsid w:val="00B332C1"/>
    <w:rsid w:val="00B33321"/>
    <w:rsid w:val="00B33451"/>
    <w:rsid w:val="00B33C5A"/>
    <w:rsid w:val="00B3443D"/>
    <w:rsid w:val="00B34559"/>
    <w:rsid w:val="00B345C8"/>
    <w:rsid w:val="00B34747"/>
    <w:rsid w:val="00B34801"/>
    <w:rsid w:val="00B35489"/>
    <w:rsid w:val="00B358DC"/>
    <w:rsid w:val="00B35F45"/>
    <w:rsid w:val="00B36190"/>
    <w:rsid w:val="00B36764"/>
    <w:rsid w:val="00B37037"/>
    <w:rsid w:val="00B37335"/>
    <w:rsid w:val="00B37860"/>
    <w:rsid w:val="00B4007E"/>
    <w:rsid w:val="00B400CE"/>
    <w:rsid w:val="00B40105"/>
    <w:rsid w:val="00B4054D"/>
    <w:rsid w:val="00B40FBC"/>
    <w:rsid w:val="00B413D0"/>
    <w:rsid w:val="00B4192A"/>
    <w:rsid w:val="00B41977"/>
    <w:rsid w:val="00B41EA4"/>
    <w:rsid w:val="00B42162"/>
    <w:rsid w:val="00B4271B"/>
    <w:rsid w:val="00B43141"/>
    <w:rsid w:val="00B43381"/>
    <w:rsid w:val="00B43590"/>
    <w:rsid w:val="00B43AD4"/>
    <w:rsid w:val="00B43B5D"/>
    <w:rsid w:val="00B44513"/>
    <w:rsid w:val="00B44DBB"/>
    <w:rsid w:val="00B4538C"/>
    <w:rsid w:val="00B4544B"/>
    <w:rsid w:val="00B45884"/>
    <w:rsid w:val="00B458BB"/>
    <w:rsid w:val="00B46357"/>
    <w:rsid w:val="00B4639A"/>
    <w:rsid w:val="00B46597"/>
    <w:rsid w:val="00B46E4E"/>
    <w:rsid w:val="00B471A7"/>
    <w:rsid w:val="00B4721E"/>
    <w:rsid w:val="00B4741D"/>
    <w:rsid w:val="00B479A8"/>
    <w:rsid w:val="00B47AA7"/>
    <w:rsid w:val="00B508AD"/>
    <w:rsid w:val="00B50F60"/>
    <w:rsid w:val="00B51617"/>
    <w:rsid w:val="00B51B48"/>
    <w:rsid w:val="00B523C8"/>
    <w:rsid w:val="00B529CB"/>
    <w:rsid w:val="00B52CCA"/>
    <w:rsid w:val="00B531ED"/>
    <w:rsid w:val="00B53205"/>
    <w:rsid w:val="00B53C1D"/>
    <w:rsid w:val="00B53DB2"/>
    <w:rsid w:val="00B54B0B"/>
    <w:rsid w:val="00B54BA7"/>
    <w:rsid w:val="00B57038"/>
    <w:rsid w:val="00B5704B"/>
    <w:rsid w:val="00B57808"/>
    <w:rsid w:val="00B57FCA"/>
    <w:rsid w:val="00B60327"/>
    <w:rsid w:val="00B60732"/>
    <w:rsid w:val="00B6076F"/>
    <w:rsid w:val="00B607E0"/>
    <w:rsid w:val="00B60EDF"/>
    <w:rsid w:val="00B611CB"/>
    <w:rsid w:val="00B61459"/>
    <w:rsid w:val="00B616EC"/>
    <w:rsid w:val="00B61979"/>
    <w:rsid w:val="00B61A40"/>
    <w:rsid w:val="00B61BA6"/>
    <w:rsid w:val="00B61F14"/>
    <w:rsid w:val="00B620BC"/>
    <w:rsid w:val="00B62340"/>
    <w:rsid w:val="00B629D0"/>
    <w:rsid w:val="00B6308C"/>
    <w:rsid w:val="00B63255"/>
    <w:rsid w:val="00B63567"/>
    <w:rsid w:val="00B63824"/>
    <w:rsid w:val="00B63A04"/>
    <w:rsid w:val="00B63F54"/>
    <w:rsid w:val="00B64091"/>
    <w:rsid w:val="00B6429F"/>
    <w:rsid w:val="00B6501E"/>
    <w:rsid w:val="00B650FD"/>
    <w:rsid w:val="00B65442"/>
    <w:rsid w:val="00B6553A"/>
    <w:rsid w:val="00B65681"/>
    <w:rsid w:val="00B65A62"/>
    <w:rsid w:val="00B65B4C"/>
    <w:rsid w:val="00B65C12"/>
    <w:rsid w:val="00B66131"/>
    <w:rsid w:val="00B662D1"/>
    <w:rsid w:val="00B66D42"/>
    <w:rsid w:val="00B679F8"/>
    <w:rsid w:val="00B67F22"/>
    <w:rsid w:val="00B70074"/>
    <w:rsid w:val="00B709C1"/>
    <w:rsid w:val="00B70B0F"/>
    <w:rsid w:val="00B71834"/>
    <w:rsid w:val="00B72A23"/>
    <w:rsid w:val="00B72CDE"/>
    <w:rsid w:val="00B72E8C"/>
    <w:rsid w:val="00B7327A"/>
    <w:rsid w:val="00B734B8"/>
    <w:rsid w:val="00B74140"/>
    <w:rsid w:val="00B74D1F"/>
    <w:rsid w:val="00B75033"/>
    <w:rsid w:val="00B751BA"/>
    <w:rsid w:val="00B756C9"/>
    <w:rsid w:val="00B758C7"/>
    <w:rsid w:val="00B759CA"/>
    <w:rsid w:val="00B7601C"/>
    <w:rsid w:val="00B76A54"/>
    <w:rsid w:val="00B76CDD"/>
    <w:rsid w:val="00B76EED"/>
    <w:rsid w:val="00B76FA3"/>
    <w:rsid w:val="00B77696"/>
    <w:rsid w:val="00B77DC8"/>
    <w:rsid w:val="00B80663"/>
    <w:rsid w:val="00B8073A"/>
    <w:rsid w:val="00B80A64"/>
    <w:rsid w:val="00B80C4F"/>
    <w:rsid w:val="00B80CB7"/>
    <w:rsid w:val="00B81255"/>
    <w:rsid w:val="00B81868"/>
    <w:rsid w:val="00B818A1"/>
    <w:rsid w:val="00B81D9F"/>
    <w:rsid w:val="00B82966"/>
    <w:rsid w:val="00B82B86"/>
    <w:rsid w:val="00B83C3D"/>
    <w:rsid w:val="00B83E41"/>
    <w:rsid w:val="00B845EB"/>
    <w:rsid w:val="00B84663"/>
    <w:rsid w:val="00B8480D"/>
    <w:rsid w:val="00B85081"/>
    <w:rsid w:val="00B85AF8"/>
    <w:rsid w:val="00B85CE6"/>
    <w:rsid w:val="00B85F5A"/>
    <w:rsid w:val="00B86437"/>
    <w:rsid w:val="00B865DB"/>
    <w:rsid w:val="00B87626"/>
    <w:rsid w:val="00B877AE"/>
    <w:rsid w:val="00B87B0E"/>
    <w:rsid w:val="00B87FA2"/>
    <w:rsid w:val="00B9019B"/>
    <w:rsid w:val="00B9025E"/>
    <w:rsid w:val="00B90391"/>
    <w:rsid w:val="00B90427"/>
    <w:rsid w:val="00B90DE6"/>
    <w:rsid w:val="00B9109A"/>
    <w:rsid w:val="00B910DD"/>
    <w:rsid w:val="00B919E8"/>
    <w:rsid w:val="00B91A87"/>
    <w:rsid w:val="00B91EED"/>
    <w:rsid w:val="00B925B4"/>
    <w:rsid w:val="00B92E11"/>
    <w:rsid w:val="00B93EFB"/>
    <w:rsid w:val="00B9516E"/>
    <w:rsid w:val="00B95531"/>
    <w:rsid w:val="00B9586D"/>
    <w:rsid w:val="00B96512"/>
    <w:rsid w:val="00B96CE9"/>
    <w:rsid w:val="00B972D8"/>
    <w:rsid w:val="00B9765E"/>
    <w:rsid w:val="00B976D5"/>
    <w:rsid w:val="00B977AA"/>
    <w:rsid w:val="00B97913"/>
    <w:rsid w:val="00B97FE7"/>
    <w:rsid w:val="00BA07D2"/>
    <w:rsid w:val="00BA1051"/>
    <w:rsid w:val="00BA10CD"/>
    <w:rsid w:val="00BA1360"/>
    <w:rsid w:val="00BA20FB"/>
    <w:rsid w:val="00BA2391"/>
    <w:rsid w:val="00BA2465"/>
    <w:rsid w:val="00BA2930"/>
    <w:rsid w:val="00BA2DD6"/>
    <w:rsid w:val="00BA3238"/>
    <w:rsid w:val="00BA32BE"/>
    <w:rsid w:val="00BA361F"/>
    <w:rsid w:val="00BA42AA"/>
    <w:rsid w:val="00BA4693"/>
    <w:rsid w:val="00BA4D86"/>
    <w:rsid w:val="00BA5A52"/>
    <w:rsid w:val="00BA63DB"/>
    <w:rsid w:val="00BA6B58"/>
    <w:rsid w:val="00BB0695"/>
    <w:rsid w:val="00BB0848"/>
    <w:rsid w:val="00BB0BA0"/>
    <w:rsid w:val="00BB0CC9"/>
    <w:rsid w:val="00BB0FB5"/>
    <w:rsid w:val="00BB1655"/>
    <w:rsid w:val="00BB18AA"/>
    <w:rsid w:val="00BB1A3C"/>
    <w:rsid w:val="00BB1F54"/>
    <w:rsid w:val="00BB242A"/>
    <w:rsid w:val="00BB2956"/>
    <w:rsid w:val="00BB2A3A"/>
    <w:rsid w:val="00BB46A4"/>
    <w:rsid w:val="00BB4831"/>
    <w:rsid w:val="00BB49B3"/>
    <w:rsid w:val="00BB4C6B"/>
    <w:rsid w:val="00BB53A7"/>
    <w:rsid w:val="00BB55CA"/>
    <w:rsid w:val="00BB58B6"/>
    <w:rsid w:val="00BB5EE3"/>
    <w:rsid w:val="00BB60B6"/>
    <w:rsid w:val="00BB663B"/>
    <w:rsid w:val="00BB76FB"/>
    <w:rsid w:val="00BB7909"/>
    <w:rsid w:val="00BC00B5"/>
    <w:rsid w:val="00BC00D8"/>
    <w:rsid w:val="00BC081C"/>
    <w:rsid w:val="00BC0CF6"/>
    <w:rsid w:val="00BC1196"/>
    <w:rsid w:val="00BC14B5"/>
    <w:rsid w:val="00BC17C3"/>
    <w:rsid w:val="00BC190E"/>
    <w:rsid w:val="00BC1986"/>
    <w:rsid w:val="00BC1EF2"/>
    <w:rsid w:val="00BC245A"/>
    <w:rsid w:val="00BC3063"/>
    <w:rsid w:val="00BC42F9"/>
    <w:rsid w:val="00BC4BBB"/>
    <w:rsid w:val="00BC53CA"/>
    <w:rsid w:val="00BC5FED"/>
    <w:rsid w:val="00BC601C"/>
    <w:rsid w:val="00BC6C35"/>
    <w:rsid w:val="00BC6F28"/>
    <w:rsid w:val="00BC7000"/>
    <w:rsid w:val="00BC76E8"/>
    <w:rsid w:val="00BC77B6"/>
    <w:rsid w:val="00BC7978"/>
    <w:rsid w:val="00BC7E98"/>
    <w:rsid w:val="00BD01BB"/>
    <w:rsid w:val="00BD025F"/>
    <w:rsid w:val="00BD0A0A"/>
    <w:rsid w:val="00BD1DC5"/>
    <w:rsid w:val="00BD232A"/>
    <w:rsid w:val="00BD26CF"/>
    <w:rsid w:val="00BD430E"/>
    <w:rsid w:val="00BD489B"/>
    <w:rsid w:val="00BD4AFE"/>
    <w:rsid w:val="00BD556E"/>
    <w:rsid w:val="00BD5581"/>
    <w:rsid w:val="00BD59F7"/>
    <w:rsid w:val="00BD633C"/>
    <w:rsid w:val="00BD63BB"/>
    <w:rsid w:val="00BD64AB"/>
    <w:rsid w:val="00BD6FCD"/>
    <w:rsid w:val="00BD7113"/>
    <w:rsid w:val="00BD71BE"/>
    <w:rsid w:val="00BD76FB"/>
    <w:rsid w:val="00BD7922"/>
    <w:rsid w:val="00BD7B98"/>
    <w:rsid w:val="00BE03C1"/>
    <w:rsid w:val="00BE083F"/>
    <w:rsid w:val="00BE0B38"/>
    <w:rsid w:val="00BE10B6"/>
    <w:rsid w:val="00BE1440"/>
    <w:rsid w:val="00BE1717"/>
    <w:rsid w:val="00BE1C11"/>
    <w:rsid w:val="00BE1DCB"/>
    <w:rsid w:val="00BE1F1D"/>
    <w:rsid w:val="00BE1FBB"/>
    <w:rsid w:val="00BE35E9"/>
    <w:rsid w:val="00BE380E"/>
    <w:rsid w:val="00BE40C4"/>
    <w:rsid w:val="00BE4403"/>
    <w:rsid w:val="00BE4532"/>
    <w:rsid w:val="00BE4D12"/>
    <w:rsid w:val="00BE4EE9"/>
    <w:rsid w:val="00BE4F5F"/>
    <w:rsid w:val="00BE5345"/>
    <w:rsid w:val="00BE5C9E"/>
    <w:rsid w:val="00BE6DF8"/>
    <w:rsid w:val="00BE6F93"/>
    <w:rsid w:val="00BE6FB9"/>
    <w:rsid w:val="00BE6FEF"/>
    <w:rsid w:val="00BE7C17"/>
    <w:rsid w:val="00BF0A23"/>
    <w:rsid w:val="00BF159E"/>
    <w:rsid w:val="00BF2B84"/>
    <w:rsid w:val="00BF324D"/>
    <w:rsid w:val="00BF33C0"/>
    <w:rsid w:val="00BF415D"/>
    <w:rsid w:val="00BF4519"/>
    <w:rsid w:val="00BF5468"/>
    <w:rsid w:val="00BF6134"/>
    <w:rsid w:val="00BF718B"/>
    <w:rsid w:val="00BF7AE2"/>
    <w:rsid w:val="00C0076E"/>
    <w:rsid w:val="00C00CC9"/>
    <w:rsid w:val="00C01267"/>
    <w:rsid w:val="00C0173D"/>
    <w:rsid w:val="00C01942"/>
    <w:rsid w:val="00C019C8"/>
    <w:rsid w:val="00C01BB3"/>
    <w:rsid w:val="00C01D89"/>
    <w:rsid w:val="00C020CA"/>
    <w:rsid w:val="00C02488"/>
    <w:rsid w:val="00C02691"/>
    <w:rsid w:val="00C0269B"/>
    <w:rsid w:val="00C03200"/>
    <w:rsid w:val="00C03366"/>
    <w:rsid w:val="00C037E9"/>
    <w:rsid w:val="00C04E91"/>
    <w:rsid w:val="00C05589"/>
    <w:rsid w:val="00C066BF"/>
    <w:rsid w:val="00C071D9"/>
    <w:rsid w:val="00C07DFE"/>
    <w:rsid w:val="00C1007D"/>
    <w:rsid w:val="00C101EF"/>
    <w:rsid w:val="00C102BA"/>
    <w:rsid w:val="00C119FC"/>
    <w:rsid w:val="00C134C1"/>
    <w:rsid w:val="00C13ABE"/>
    <w:rsid w:val="00C1529E"/>
    <w:rsid w:val="00C1671B"/>
    <w:rsid w:val="00C1691E"/>
    <w:rsid w:val="00C1694A"/>
    <w:rsid w:val="00C16CC3"/>
    <w:rsid w:val="00C1738D"/>
    <w:rsid w:val="00C17F32"/>
    <w:rsid w:val="00C20727"/>
    <w:rsid w:val="00C20CE8"/>
    <w:rsid w:val="00C20E95"/>
    <w:rsid w:val="00C20FCB"/>
    <w:rsid w:val="00C21511"/>
    <w:rsid w:val="00C21963"/>
    <w:rsid w:val="00C21BCB"/>
    <w:rsid w:val="00C222EE"/>
    <w:rsid w:val="00C224F7"/>
    <w:rsid w:val="00C22BEC"/>
    <w:rsid w:val="00C2306B"/>
    <w:rsid w:val="00C23317"/>
    <w:rsid w:val="00C23488"/>
    <w:rsid w:val="00C23AE4"/>
    <w:rsid w:val="00C245CD"/>
    <w:rsid w:val="00C24BF4"/>
    <w:rsid w:val="00C25307"/>
    <w:rsid w:val="00C25A41"/>
    <w:rsid w:val="00C260C7"/>
    <w:rsid w:val="00C261AC"/>
    <w:rsid w:val="00C263A4"/>
    <w:rsid w:val="00C265D4"/>
    <w:rsid w:val="00C26B9C"/>
    <w:rsid w:val="00C27106"/>
    <w:rsid w:val="00C279F1"/>
    <w:rsid w:val="00C27F14"/>
    <w:rsid w:val="00C30526"/>
    <w:rsid w:val="00C311B0"/>
    <w:rsid w:val="00C319A4"/>
    <w:rsid w:val="00C326E5"/>
    <w:rsid w:val="00C329C2"/>
    <w:rsid w:val="00C32C84"/>
    <w:rsid w:val="00C332C7"/>
    <w:rsid w:val="00C3345C"/>
    <w:rsid w:val="00C3395F"/>
    <w:rsid w:val="00C33CFB"/>
    <w:rsid w:val="00C345C5"/>
    <w:rsid w:val="00C348CB"/>
    <w:rsid w:val="00C34971"/>
    <w:rsid w:val="00C349BA"/>
    <w:rsid w:val="00C351FE"/>
    <w:rsid w:val="00C358F1"/>
    <w:rsid w:val="00C35B4A"/>
    <w:rsid w:val="00C35C03"/>
    <w:rsid w:val="00C36377"/>
    <w:rsid w:val="00C37BCE"/>
    <w:rsid w:val="00C37BF9"/>
    <w:rsid w:val="00C4068E"/>
    <w:rsid w:val="00C40782"/>
    <w:rsid w:val="00C40983"/>
    <w:rsid w:val="00C41014"/>
    <w:rsid w:val="00C41335"/>
    <w:rsid w:val="00C4199A"/>
    <w:rsid w:val="00C41B29"/>
    <w:rsid w:val="00C41B8E"/>
    <w:rsid w:val="00C42F44"/>
    <w:rsid w:val="00C43140"/>
    <w:rsid w:val="00C431DA"/>
    <w:rsid w:val="00C437B8"/>
    <w:rsid w:val="00C444D8"/>
    <w:rsid w:val="00C44F1D"/>
    <w:rsid w:val="00C452B3"/>
    <w:rsid w:val="00C45908"/>
    <w:rsid w:val="00C45A2F"/>
    <w:rsid w:val="00C45CD4"/>
    <w:rsid w:val="00C461E1"/>
    <w:rsid w:val="00C46547"/>
    <w:rsid w:val="00C46EA7"/>
    <w:rsid w:val="00C476D0"/>
    <w:rsid w:val="00C476E4"/>
    <w:rsid w:val="00C47B55"/>
    <w:rsid w:val="00C47F6E"/>
    <w:rsid w:val="00C5042F"/>
    <w:rsid w:val="00C5080C"/>
    <w:rsid w:val="00C50952"/>
    <w:rsid w:val="00C50B98"/>
    <w:rsid w:val="00C510AA"/>
    <w:rsid w:val="00C514D1"/>
    <w:rsid w:val="00C51A0C"/>
    <w:rsid w:val="00C51C4A"/>
    <w:rsid w:val="00C52063"/>
    <w:rsid w:val="00C521ED"/>
    <w:rsid w:val="00C52C7B"/>
    <w:rsid w:val="00C52FC9"/>
    <w:rsid w:val="00C53175"/>
    <w:rsid w:val="00C5387F"/>
    <w:rsid w:val="00C5417F"/>
    <w:rsid w:val="00C5420A"/>
    <w:rsid w:val="00C54B92"/>
    <w:rsid w:val="00C55DBA"/>
    <w:rsid w:val="00C56264"/>
    <w:rsid w:val="00C56479"/>
    <w:rsid w:val="00C56534"/>
    <w:rsid w:val="00C566F5"/>
    <w:rsid w:val="00C567F1"/>
    <w:rsid w:val="00C56B1D"/>
    <w:rsid w:val="00C56FCA"/>
    <w:rsid w:val="00C57B27"/>
    <w:rsid w:val="00C57DF3"/>
    <w:rsid w:val="00C60025"/>
    <w:rsid w:val="00C6084A"/>
    <w:rsid w:val="00C60F48"/>
    <w:rsid w:val="00C611BC"/>
    <w:rsid w:val="00C616CE"/>
    <w:rsid w:val="00C61AD3"/>
    <w:rsid w:val="00C623CB"/>
    <w:rsid w:val="00C63D95"/>
    <w:rsid w:val="00C63DB3"/>
    <w:rsid w:val="00C63F88"/>
    <w:rsid w:val="00C641E2"/>
    <w:rsid w:val="00C64512"/>
    <w:rsid w:val="00C64E29"/>
    <w:rsid w:val="00C64EB7"/>
    <w:rsid w:val="00C64F1E"/>
    <w:rsid w:val="00C65B53"/>
    <w:rsid w:val="00C66CEF"/>
    <w:rsid w:val="00C6732C"/>
    <w:rsid w:val="00C6764C"/>
    <w:rsid w:val="00C677DF"/>
    <w:rsid w:val="00C67997"/>
    <w:rsid w:val="00C6F51E"/>
    <w:rsid w:val="00C70068"/>
    <w:rsid w:val="00C70ED6"/>
    <w:rsid w:val="00C7112A"/>
    <w:rsid w:val="00C71A4E"/>
    <w:rsid w:val="00C72206"/>
    <w:rsid w:val="00C72218"/>
    <w:rsid w:val="00C72C2B"/>
    <w:rsid w:val="00C72E53"/>
    <w:rsid w:val="00C733B4"/>
    <w:rsid w:val="00C73B15"/>
    <w:rsid w:val="00C74984"/>
    <w:rsid w:val="00C75394"/>
    <w:rsid w:val="00C754B4"/>
    <w:rsid w:val="00C757E7"/>
    <w:rsid w:val="00C75946"/>
    <w:rsid w:val="00C75BF0"/>
    <w:rsid w:val="00C76061"/>
    <w:rsid w:val="00C771B6"/>
    <w:rsid w:val="00C800CF"/>
    <w:rsid w:val="00C8014E"/>
    <w:rsid w:val="00C805AA"/>
    <w:rsid w:val="00C8062C"/>
    <w:rsid w:val="00C807BE"/>
    <w:rsid w:val="00C8082A"/>
    <w:rsid w:val="00C80C30"/>
    <w:rsid w:val="00C81337"/>
    <w:rsid w:val="00C8167F"/>
    <w:rsid w:val="00C8253D"/>
    <w:rsid w:val="00C83329"/>
    <w:rsid w:val="00C83886"/>
    <w:rsid w:val="00C84006"/>
    <w:rsid w:val="00C841E6"/>
    <w:rsid w:val="00C842C4"/>
    <w:rsid w:val="00C8437B"/>
    <w:rsid w:val="00C84389"/>
    <w:rsid w:val="00C84A05"/>
    <w:rsid w:val="00C84AE8"/>
    <w:rsid w:val="00C850B7"/>
    <w:rsid w:val="00C8521E"/>
    <w:rsid w:val="00C865E7"/>
    <w:rsid w:val="00C86DC9"/>
    <w:rsid w:val="00C872CA"/>
    <w:rsid w:val="00C87D31"/>
    <w:rsid w:val="00C90444"/>
    <w:rsid w:val="00C904B9"/>
    <w:rsid w:val="00C90539"/>
    <w:rsid w:val="00C90AEA"/>
    <w:rsid w:val="00C90B32"/>
    <w:rsid w:val="00C90DB0"/>
    <w:rsid w:val="00C90E28"/>
    <w:rsid w:val="00C91635"/>
    <w:rsid w:val="00C91672"/>
    <w:rsid w:val="00C918FF"/>
    <w:rsid w:val="00C9243E"/>
    <w:rsid w:val="00C926F2"/>
    <w:rsid w:val="00C928D2"/>
    <w:rsid w:val="00C9321B"/>
    <w:rsid w:val="00C933FE"/>
    <w:rsid w:val="00C93589"/>
    <w:rsid w:val="00C93B6D"/>
    <w:rsid w:val="00C94344"/>
    <w:rsid w:val="00C94374"/>
    <w:rsid w:val="00C9551C"/>
    <w:rsid w:val="00C9552A"/>
    <w:rsid w:val="00C96486"/>
    <w:rsid w:val="00C973B0"/>
    <w:rsid w:val="00C9760A"/>
    <w:rsid w:val="00C97DE3"/>
    <w:rsid w:val="00CA008A"/>
    <w:rsid w:val="00CA0102"/>
    <w:rsid w:val="00CA060C"/>
    <w:rsid w:val="00CA0722"/>
    <w:rsid w:val="00CA0B16"/>
    <w:rsid w:val="00CA112D"/>
    <w:rsid w:val="00CA1533"/>
    <w:rsid w:val="00CA1E13"/>
    <w:rsid w:val="00CA1EC0"/>
    <w:rsid w:val="00CA1EF9"/>
    <w:rsid w:val="00CA2178"/>
    <w:rsid w:val="00CA228F"/>
    <w:rsid w:val="00CA24D2"/>
    <w:rsid w:val="00CA2677"/>
    <w:rsid w:val="00CA27C9"/>
    <w:rsid w:val="00CA40F3"/>
    <w:rsid w:val="00CA4BEA"/>
    <w:rsid w:val="00CA4FCB"/>
    <w:rsid w:val="00CA53D4"/>
    <w:rsid w:val="00CA556A"/>
    <w:rsid w:val="00CA5795"/>
    <w:rsid w:val="00CA5B73"/>
    <w:rsid w:val="00CA66C8"/>
    <w:rsid w:val="00CA6C47"/>
    <w:rsid w:val="00CA785B"/>
    <w:rsid w:val="00CA79C3"/>
    <w:rsid w:val="00CA7CCB"/>
    <w:rsid w:val="00CB0C76"/>
    <w:rsid w:val="00CB18F0"/>
    <w:rsid w:val="00CB1CD5"/>
    <w:rsid w:val="00CB1D6B"/>
    <w:rsid w:val="00CB3CBA"/>
    <w:rsid w:val="00CB3D44"/>
    <w:rsid w:val="00CB3D6E"/>
    <w:rsid w:val="00CB43A7"/>
    <w:rsid w:val="00CB486B"/>
    <w:rsid w:val="00CB4B93"/>
    <w:rsid w:val="00CB5018"/>
    <w:rsid w:val="00CB5207"/>
    <w:rsid w:val="00CB52B1"/>
    <w:rsid w:val="00CB553F"/>
    <w:rsid w:val="00CB58F8"/>
    <w:rsid w:val="00CB59E0"/>
    <w:rsid w:val="00CB5A52"/>
    <w:rsid w:val="00CB6762"/>
    <w:rsid w:val="00CB742E"/>
    <w:rsid w:val="00CB7858"/>
    <w:rsid w:val="00CC0029"/>
    <w:rsid w:val="00CC09A6"/>
    <w:rsid w:val="00CC0AF2"/>
    <w:rsid w:val="00CC0B05"/>
    <w:rsid w:val="00CC0C9C"/>
    <w:rsid w:val="00CC1452"/>
    <w:rsid w:val="00CC1AFE"/>
    <w:rsid w:val="00CC2114"/>
    <w:rsid w:val="00CC2D1D"/>
    <w:rsid w:val="00CC2D3D"/>
    <w:rsid w:val="00CC2E8B"/>
    <w:rsid w:val="00CC2F09"/>
    <w:rsid w:val="00CC3821"/>
    <w:rsid w:val="00CC443A"/>
    <w:rsid w:val="00CC493A"/>
    <w:rsid w:val="00CC63BA"/>
    <w:rsid w:val="00CC68CB"/>
    <w:rsid w:val="00CC6904"/>
    <w:rsid w:val="00CC6A94"/>
    <w:rsid w:val="00CC768A"/>
    <w:rsid w:val="00CC7D5B"/>
    <w:rsid w:val="00CC7D5F"/>
    <w:rsid w:val="00CC7ED6"/>
    <w:rsid w:val="00CC7F6F"/>
    <w:rsid w:val="00CD0201"/>
    <w:rsid w:val="00CD092A"/>
    <w:rsid w:val="00CD10A4"/>
    <w:rsid w:val="00CD113E"/>
    <w:rsid w:val="00CD143F"/>
    <w:rsid w:val="00CD1905"/>
    <w:rsid w:val="00CD19D4"/>
    <w:rsid w:val="00CD1A14"/>
    <w:rsid w:val="00CD1E43"/>
    <w:rsid w:val="00CD2248"/>
    <w:rsid w:val="00CD2448"/>
    <w:rsid w:val="00CD3421"/>
    <w:rsid w:val="00CD34B5"/>
    <w:rsid w:val="00CD3ACB"/>
    <w:rsid w:val="00CD3D03"/>
    <w:rsid w:val="00CD43A9"/>
    <w:rsid w:val="00CD44D2"/>
    <w:rsid w:val="00CD474D"/>
    <w:rsid w:val="00CD5DB9"/>
    <w:rsid w:val="00CD6644"/>
    <w:rsid w:val="00CD696F"/>
    <w:rsid w:val="00CD6C52"/>
    <w:rsid w:val="00CD745B"/>
    <w:rsid w:val="00CD74C8"/>
    <w:rsid w:val="00CD7FB9"/>
    <w:rsid w:val="00CE0298"/>
    <w:rsid w:val="00CE080E"/>
    <w:rsid w:val="00CE09F4"/>
    <w:rsid w:val="00CE0B62"/>
    <w:rsid w:val="00CE0BEF"/>
    <w:rsid w:val="00CE11F1"/>
    <w:rsid w:val="00CE139A"/>
    <w:rsid w:val="00CE15AF"/>
    <w:rsid w:val="00CE1C16"/>
    <w:rsid w:val="00CE22BF"/>
    <w:rsid w:val="00CE2320"/>
    <w:rsid w:val="00CE27BC"/>
    <w:rsid w:val="00CE288C"/>
    <w:rsid w:val="00CE2F7A"/>
    <w:rsid w:val="00CE3090"/>
    <w:rsid w:val="00CE3F48"/>
    <w:rsid w:val="00CE3FA1"/>
    <w:rsid w:val="00CE416D"/>
    <w:rsid w:val="00CE42C8"/>
    <w:rsid w:val="00CE5662"/>
    <w:rsid w:val="00CE5BA0"/>
    <w:rsid w:val="00CE5DEE"/>
    <w:rsid w:val="00CE6035"/>
    <w:rsid w:val="00CE607D"/>
    <w:rsid w:val="00CE6539"/>
    <w:rsid w:val="00CE669E"/>
    <w:rsid w:val="00CE6766"/>
    <w:rsid w:val="00CE6CB5"/>
    <w:rsid w:val="00CE7F19"/>
    <w:rsid w:val="00CF0463"/>
    <w:rsid w:val="00CF0563"/>
    <w:rsid w:val="00CF0B09"/>
    <w:rsid w:val="00CF12CB"/>
    <w:rsid w:val="00CF22BF"/>
    <w:rsid w:val="00CF266D"/>
    <w:rsid w:val="00CF2C4E"/>
    <w:rsid w:val="00CF2C83"/>
    <w:rsid w:val="00CF36CE"/>
    <w:rsid w:val="00CF37EC"/>
    <w:rsid w:val="00CF3A03"/>
    <w:rsid w:val="00CF3B32"/>
    <w:rsid w:val="00CF40A0"/>
    <w:rsid w:val="00CF46CC"/>
    <w:rsid w:val="00CF47F5"/>
    <w:rsid w:val="00CF4C11"/>
    <w:rsid w:val="00CF501D"/>
    <w:rsid w:val="00CF5830"/>
    <w:rsid w:val="00CF5E19"/>
    <w:rsid w:val="00CF5E41"/>
    <w:rsid w:val="00CF6AA7"/>
    <w:rsid w:val="00CF6F5D"/>
    <w:rsid w:val="00CF6FBD"/>
    <w:rsid w:val="00CF6FDA"/>
    <w:rsid w:val="00CF723A"/>
    <w:rsid w:val="00CF7275"/>
    <w:rsid w:val="00CF7A61"/>
    <w:rsid w:val="00CF7B26"/>
    <w:rsid w:val="00CF7E40"/>
    <w:rsid w:val="00D0047F"/>
    <w:rsid w:val="00D00538"/>
    <w:rsid w:val="00D0168E"/>
    <w:rsid w:val="00D0175A"/>
    <w:rsid w:val="00D01B69"/>
    <w:rsid w:val="00D022CF"/>
    <w:rsid w:val="00D0233D"/>
    <w:rsid w:val="00D02A63"/>
    <w:rsid w:val="00D02AA8"/>
    <w:rsid w:val="00D032FF"/>
    <w:rsid w:val="00D03570"/>
    <w:rsid w:val="00D04067"/>
    <w:rsid w:val="00D042DE"/>
    <w:rsid w:val="00D04B2C"/>
    <w:rsid w:val="00D04CDB"/>
    <w:rsid w:val="00D04DEC"/>
    <w:rsid w:val="00D051F9"/>
    <w:rsid w:val="00D05F64"/>
    <w:rsid w:val="00D06425"/>
    <w:rsid w:val="00D07A91"/>
    <w:rsid w:val="00D07D0E"/>
    <w:rsid w:val="00D100A2"/>
    <w:rsid w:val="00D110C3"/>
    <w:rsid w:val="00D111B4"/>
    <w:rsid w:val="00D112C8"/>
    <w:rsid w:val="00D115AE"/>
    <w:rsid w:val="00D119BD"/>
    <w:rsid w:val="00D11CAD"/>
    <w:rsid w:val="00D12212"/>
    <w:rsid w:val="00D1227A"/>
    <w:rsid w:val="00D13DC9"/>
    <w:rsid w:val="00D141E3"/>
    <w:rsid w:val="00D1488E"/>
    <w:rsid w:val="00D149C5"/>
    <w:rsid w:val="00D14C26"/>
    <w:rsid w:val="00D14FE9"/>
    <w:rsid w:val="00D1551D"/>
    <w:rsid w:val="00D15AD4"/>
    <w:rsid w:val="00D163C1"/>
    <w:rsid w:val="00D16F22"/>
    <w:rsid w:val="00D1702C"/>
    <w:rsid w:val="00D17A20"/>
    <w:rsid w:val="00D17A29"/>
    <w:rsid w:val="00D2015B"/>
    <w:rsid w:val="00D20178"/>
    <w:rsid w:val="00D21791"/>
    <w:rsid w:val="00D21814"/>
    <w:rsid w:val="00D222A2"/>
    <w:rsid w:val="00D224D4"/>
    <w:rsid w:val="00D232F0"/>
    <w:rsid w:val="00D23443"/>
    <w:rsid w:val="00D2362C"/>
    <w:rsid w:val="00D23743"/>
    <w:rsid w:val="00D23CE2"/>
    <w:rsid w:val="00D2431D"/>
    <w:rsid w:val="00D24394"/>
    <w:rsid w:val="00D246C1"/>
    <w:rsid w:val="00D2502B"/>
    <w:rsid w:val="00D25636"/>
    <w:rsid w:val="00D25DE7"/>
    <w:rsid w:val="00D25E0C"/>
    <w:rsid w:val="00D25E28"/>
    <w:rsid w:val="00D265E4"/>
    <w:rsid w:val="00D26CEC"/>
    <w:rsid w:val="00D270DE"/>
    <w:rsid w:val="00D305EC"/>
    <w:rsid w:val="00D310CE"/>
    <w:rsid w:val="00D3114C"/>
    <w:rsid w:val="00D316A1"/>
    <w:rsid w:val="00D32EC9"/>
    <w:rsid w:val="00D35282"/>
    <w:rsid w:val="00D352FB"/>
    <w:rsid w:val="00D35652"/>
    <w:rsid w:val="00D35A54"/>
    <w:rsid w:val="00D35D3D"/>
    <w:rsid w:val="00D35F94"/>
    <w:rsid w:val="00D36325"/>
    <w:rsid w:val="00D36491"/>
    <w:rsid w:val="00D36EA9"/>
    <w:rsid w:val="00D36FD4"/>
    <w:rsid w:val="00D374BB"/>
    <w:rsid w:val="00D37682"/>
    <w:rsid w:val="00D37C0C"/>
    <w:rsid w:val="00D404D6"/>
    <w:rsid w:val="00D40603"/>
    <w:rsid w:val="00D411D3"/>
    <w:rsid w:val="00D41B0F"/>
    <w:rsid w:val="00D4223B"/>
    <w:rsid w:val="00D42CD8"/>
    <w:rsid w:val="00D435DA"/>
    <w:rsid w:val="00D43895"/>
    <w:rsid w:val="00D43BB9"/>
    <w:rsid w:val="00D43E4D"/>
    <w:rsid w:val="00D43EFC"/>
    <w:rsid w:val="00D44584"/>
    <w:rsid w:val="00D44751"/>
    <w:rsid w:val="00D4499E"/>
    <w:rsid w:val="00D44F6F"/>
    <w:rsid w:val="00D4515B"/>
    <w:rsid w:val="00D456B5"/>
    <w:rsid w:val="00D45FBE"/>
    <w:rsid w:val="00D464C6"/>
    <w:rsid w:val="00D46840"/>
    <w:rsid w:val="00D4694D"/>
    <w:rsid w:val="00D4783F"/>
    <w:rsid w:val="00D478BF"/>
    <w:rsid w:val="00D479FB"/>
    <w:rsid w:val="00D47C9A"/>
    <w:rsid w:val="00D47CF3"/>
    <w:rsid w:val="00D47D93"/>
    <w:rsid w:val="00D50B2F"/>
    <w:rsid w:val="00D50E67"/>
    <w:rsid w:val="00D5110C"/>
    <w:rsid w:val="00D51969"/>
    <w:rsid w:val="00D52179"/>
    <w:rsid w:val="00D524CB"/>
    <w:rsid w:val="00D52C93"/>
    <w:rsid w:val="00D53106"/>
    <w:rsid w:val="00D53253"/>
    <w:rsid w:val="00D5385B"/>
    <w:rsid w:val="00D54451"/>
    <w:rsid w:val="00D54789"/>
    <w:rsid w:val="00D5484F"/>
    <w:rsid w:val="00D558C1"/>
    <w:rsid w:val="00D55B0A"/>
    <w:rsid w:val="00D55BF8"/>
    <w:rsid w:val="00D55CA7"/>
    <w:rsid w:val="00D56026"/>
    <w:rsid w:val="00D56884"/>
    <w:rsid w:val="00D56CB5"/>
    <w:rsid w:val="00D57312"/>
    <w:rsid w:val="00D57BEC"/>
    <w:rsid w:val="00D57E14"/>
    <w:rsid w:val="00D60FDD"/>
    <w:rsid w:val="00D6166C"/>
    <w:rsid w:val="00D61B8F"/>
    <w:rsid w:val="00D62663"/>
    <w:rsid w:val="00D62B83"/>
    <w:rsid w:val="00D62F4E"/>
    <w:rsid w:val="00D6302A"/>
    <w:rsid w:val="00D635F5"/>
    <w:rsid w:val="00D63EC7"/>
    <w:rsid w:val="00D64055"/>
    <w:rsid w:val="00D6428F"/>
    <w:rsid w:val="00D647BE"/>
    <w:rsid w:val="00D64B15"/>
    <w:rsid w:val="00D64BF8"/>
    <w:rsid w:val="00D64C5E"/>
    <w:rsid w:val="00D65BCE"/>
    <w:rsid w:val="00D66935"/>
    <w:rsid w:val="00D66DB5"/>
    <w:rsid w:val="00D670D0"/>
    <w:rsid w:val="00D67395"/>
    <w:rsid w:val="00D67809"/>
    <w:rsid w:val="00D67F4C"/>
    <w:rsid w:val="00D71015"/>
    <w:rsid w:val="00D7146F"/>
    <w:rsid w:val="00D71AD4"/>
    <w:rsid w:val="00D724D3"/>
    <w:rsid w:val="00D728F9"/>
    <w:rsid w:val="00D7375F"/>
    <w:rsid w:val="00D73848"/>
    <w:rsid w:val="00D73D26"/>
    <w:rsid w:val="00D742C4"/>
    <w:rsid w:val="00D74C99"/>
    <w:rsid w:val="00D74E21"/>
    <w:rsid w:val="00D74F5B"/>
    <w:rsid w:val="00D750E0"/>
    <w:rsid w:val="00D753EF"/>
    <w:rsid w:val="00D75847"/>
    <w:rsid w:val="00D771F6"/>
    <w:rsid w:val="00D77239"/>
    <w:rsid w:val="00D77B11"/>
    <w:rsid w:val="00D80123"/>
    <w:rsid w:val="00D80496"/>
    <w:rsid w:val="00D8064B"/>
    <w:rsid w:val="00D80C0D"/>
    <w:rsid w:val="00D810BF"/>
    <w:rsid w:val="00D8147A"/>
    <w:rsid w:val="00D81885"/>
    <w:rsid w:val="00D81FDB"/>
    <w:rsid w:val="00D8250C"/>
    <w:rsid w:val="00D82761"/>
    <w:rsid w:val="00D82AA4"/>
    <w:rsid w:val="00D82E85"/>
    <w:rsid w:val="00D8355F"/>
    <w:rsid w:val="00D83DC7"/>
    <w:rsid w:val="00D844B5"/>
    <w:rsid w:val="00D849D5"/>
    <w:rsid w:val="00D84A51"/>
    <w:rsid w:val="00D84A6C"/>
    <w:rsid w:val="00D84A86"/>
    <w:rsid w:val="00D84B7B"/>
    <w:rsid w:val="00D84F16"/>
    <w:rsid w:val="00D84F64"/>
    <w:rsid w:val="00D85593"/>
    <w:rsid w:val="00D86936"/>
    <w:rsid w:val="00D86DB8"/>
    <w:rsid w:val="00D87E3A"/>
    <w:rsid w:val="00D90892"/>
    <w:rsid w:val="00D908D6"/>
    <w:rsid w:val="00D909DC"/>
    <w:rsid w:val="00D90E6C"/>
    <w:rsid w:val="00D9116F"/>
    <w:rsid w:val="00D91358"/>
    <w:rsid w:val="00D9148B"/>
    <w:rsid w:val="00D91625"/>
    <w:rsid w:val="00D91B3B"/>
    <w:rsid w:val="00D92231"/>
    <w:rsid w:val="00D9282E"/>
    <w:rsid w:val="00D92AD7"/>
    <w:rsid w:val="00D92D1E"/>
    <w:rsid w:val="00D92ED9"/>
    <w:rsid w:val="00D93087"/>
    <w:rsid w:val="00D93A48"/>
    <w:rsid w:val="00D9407D"/>
    <w:rsid w:val="00D9461E"/>
    <w:rsid w:val="00D95378"/>
    <w:rsid w:val="00D95E0D"/>
    <w:rsid w:val="00D95F25"/>
    <w:rsid w:val="00D96B10"/>
    <w:rsid w:val="00DA08AC"/>
    <w:rsid w:val="00DA0C9E"/>
    <w:rsid w:val="00DA0DEB"/>
    <w:rsid w:val="00DA14A7"/>
    <w:rsid w:val="00DA1D91"/>
    <w:rsid w:val="00DA291D"/>
    <w:rsid w:val="00DA2A02"/>
    <w:rsid w:val="00DA2CBF"/>
    <w:rsid w:val="00DA2E9F"/>
    <w:rsid w:val="00DA2EF4"/>
    <w:rsid w:val="00DA3F45"/>
    <w:rsid w:val="00DA3FE1"/>
    <w:rsid w:val="00DA4C85"/>
    <w:rsid w:val="00DA5B25"/>
    <w:rsid w:val="00DA5D8D"/>
    <w:rsid w:val="00DA610F"/>
    <w:rsid w:val="00DA62FA"/>
    <w:rsid w:val="00DA6FF4"/>
    <w:rsid w:val="00DA73C0"/>
    <w:rsid w:val="00DA795E"/>
    <w:rsid w:val="00DA7C31"/>
    <w:rsid w:val="00DB00BD"/>
    <w:rsid w:val="00DB0227"/>
    <w:rsid w:val="00DB0F50"/>
    <w:rsid w:val="00DB183E"/>
    <w:rsid w:val="00DB1B20"/>
    <w:rsid w:val="00DB1B57"/>
    <w:rsid w:val="00DB2142"/>
    <w:rsid w:val="00DB2E39"/>
    <w:rsid w:val="00DB33A3"/>
    <w:rsid w:val="00DB3408"/>
    <w:rsid w:val="00DB3F77"/>
    <w:rsid w:val="00DB46CF"/>
    <w:rsid w:val="00DB5A54"/>
    <w:rsid w:val="00DB5F38"/>
    <w:rsid w:val="00DB619D"/>
    <w:rsid w:val="00DB67C5"/>
    <w:rsid w:val="00DB67FC"/>
    <w:rsid w:val="00DB6BEA"/>
    <w:rsid w:val="00DB70A2"/>
    <w:rsid w:val="00DB7530"/>
    <w:rsid w:val="00DB7AE9"/>
    <w:rsid w:val="00DC0704"/>
    <w:rsid w:val="00DC161F"/>
    <w:rsid w:val="00DC196C"/>
    <w:rsid w:val="00DC21A2"/>
    <w:rsid w:val="00DC2527"/>
    <w:rsid w:val="00DC25EE"/>
    <w:rsid w:val="00DC2D80"/>
    <w:rsid w:val="00DC30CE"/>
    <w:rsid w:val="00DC373C"/>
    <w:rsid w:val="00DC3DB4"/>
    <w:rsid w:val="00DC3EBE"/>
    <w:rsid w:val="00DC4410"/>
    <w:rsid w:val="00DC58DB"/>
    <w:rsid w:val="00DC59E7"/>
    <w:rsid w:val="00DC5BDE"/>
    <w:rsid w:val="00DC6612"/>
    <w:rsid w:val="00DC6827"/>
    <w:rsid w:val="00DC6C92"/>
    <w:rsid w:val="00DC6CC8"/>
    <w:rsid w:val="00DC7143"/>
    <w:rsid w:val="00DC7254"/>
    <w:rsid w:val="00DC780E"/>
    <w:rsid w:val="00DD0048"/>
    <w:rsid w:val="00DD058C"/>
    <w:rsid w:val="00DD1295"/>
    <w:rsid w:val="00DD12F7"/>
    <w:rsid w:val="00DD1552"/>
    <w:rsid w:val="00DD21BA"/>
    <w:rsid w:val="00DD22CD"/>
    <w:rsid w:val="00DD2756"/>
    <w:rsid w:val="00DD2A9E"/>
    <w:rsid w:val="00DD325E"/>
    <w:rsid w:val="00DD32EC"/>
    <w:rsid w:val="00DD3411"/>
    <w:rsid w:val="00DD395E"/>
    <w:rsid w:val="00DD3F57"/>
    <w:rsid w:val="00DD4079"/>
    <w:rsid w:val="00DD449D"/>
    <w:rsid w:val="00DD458A"/>
    <w:rsid w:val="00DD6052"/>
    <w:rsid w:val="00DD61D3"/>
    <w:rsid w:val="00DD6B4E"/>
    <w:rsid w:val="00DD7150"/>
    <w:rsid w:val="00DE031A"/>
    <w:rsid w:val="00DE0AB8"/>
    <w:rsid w:val="00DE0B3E"/>
    <w:rsid w:val="00DE0CCD"/>
    <w:rsid w:val="00DE1289"/>
    <w:rsid w:val="00DE14B3"/>
    <w:rsid w:val="00DE224D"/>
    <w:rsid w:val="00DE24F6"/>
    <w:rsid w:val="00DE254D"/>
    <w:rsid w:val="00DE2856"/>
    <w:rsid w:val="00DE28C2"/>
    <w:rsid w:val="00DE2A5E"/>
    <w:rsid w:val="00DE3508"/>
    <w:rsid w:val="00DE4110"/>
    <w:rsid w:val="00DE4A52"/>
    <w:rsid w:val="00DE4A63"/>
    <w:rsid w:val="00DE5C15"/>
    <w:rsid w:val="00DE5DE6"/>
    <w:rsid w:val="00DE621B"/>
    <w:rsid w:val="00DE626B"/>
    <w:rsid w:val="00DE6779"/>
    <w:rsid w:val="00DE6B43"/>
    <w:rsid w:val="00DE6BEE"/>
    <w:rsid w:val="00DE6F6D"/>
    <w:rsid w:val="00DE6F75"/>
    <w:rsid w:val="00DE7119"/>
    <w:rsid w:val="00DE7387"/>
    <w:rsid w:val="00DE73C3"/>
    <w:rsid w:val="00DE74FF"/>
    <w:rsid w:val="00DE7824"/>
    <w:rsid w:val="00DE79AE"/>
    <w:rsid w:val="00DE79BB"/>
    <w:rsid w:val="00DF0229"/>
    <w:rsid w:val="00DF0491"/>
    <w:rsid w:val="00DF06D1"/>
    <w:rsid w:val="00DF14A4"/>
    <w:rsid w:val="00DF14FE"/>
    <w:rsid w:val="00DF2347"/>
    <w:rsid w:val="00DF25B3"/>
    <w:rsid w:val="00DF268B"/>
    <w:rsid w:val="00DF26F5"/>
    <w:rsid w:val="00DF28FB"/>
    <w:rsid w:val="00DF32BC"/>
    <w:rsid w:val="00DF3FBB"/>
    <w:rsid w:val="00DF42D8"/>
    <w:rsid w:val="00DF4529"/>
    <w:rsid w:val="00DF4643"/>
    <w:rsid w:val="00DF56FA"/>
    <w:rsid w:val="00DF59D1"/>
    <w:rsid w:val="00DF5CF1"/>
    <w:rsid w:val="00DF6C2A"/>
    <w:rsid w:val="00DF6EE5"/>
    <w:rsid w:val="00DF6F07"/>
    <w:rsid w:val="00DF7140"/>
    <w:rsid w:val="00DF71C2"/>
    <w:rsid w:val="00DF724F"/>
    <w:rsid w:val="00DF755A"/>
    <w:rsid w:val="00E00B43"/>
    <w:rsid w:val="00E00F63"/>
    <w:rsid w:val="00E020F3"/>
    <w:rsid w:val="00E02631"/>
    <w:rsid w:val="00E0275C"/>
    <w:rsid w:val="00E02A71"/>
    <w:rsid w:val="00E030FE"/>
    <w:rsid w:val="00E03539"/>
    <w:rsid w:val="00E03553"/>
    <w:rsid w:val="00E03760"/>
    <w:rsid w:val="00E0397A"/>
    <w:rsid w:val="00E03E1D"/>
    <w:rsid w:val="00E0435F"/>
    <w:rsid w:val="00E04832"/>
    <w:rsid w:val="00E049C2"/>
    <w:rsid w:val="00E04BC0"/>
    <w:rsid w:val="00E0521A"/>
    <w:rsid w:val="00E059C4"/>
    <w:rsid w:val="00E06FD5"/>
    <w:rsid w:val="00E0714D"/>
    <w:rsid w:val="00E0715D"/>
    <w:rsid w:val="00E071C8"/>
    <w:rsid w:val="00E10919"/>
    <w:rsid w:val="00E11858"/>
    <w:rsid w:val="00E11AFB"/>
    <w:rsid w:val="00E11E66"/>
    <w:rsid w:val="00E11F25"/>
    <w:rsid w:val="00E12420"/>
    <w:rsid w:val="00E12675"/>
    <w:rsid w:val="00E12724"/>
    <w:rsid w:val="00E12FE9"/>
    <w:rsid w:val="00E130C0"/>
    <w:rsid w:val="00E133ED"/>
    <w:rsid w:val="00E13D65"/>
    <w:rsid w:val="00E149CC"/>
    <w:rsid w:val="00E14C96"/>
    <w:rsid w:val="00E16136"/>
    <w:rsid w:val="00E1656C"/>
    <w:rsid w:val="00E175D7"/>
    <w:rsid w:val="00E17FAA"/>
    <w:rsid w:val="00E20007"/>
    <w:rsid w:val="00E2016B"/>
    <w:rsid w:val="00E20A59"/>
    <w:rsid w:val="00E20B3B"/>
    <w:rsid w:val="00E20C68"/>
    <w:rsid w:val="00E20F73"/>
    <w:rsid w:val="00E21060"/>
    <w:rsid w:val="00E21503"/>
    <w:rsid w:val="00E21BB0"/>
    <w:rsid w:val="00E21D8D"/>
    <w:rsid w:val="00E21DA2"/>
    <w:rsid w:val="00E21E68"/>
    <w:rsid w:val="00E220CB"/>
    <w:rsid w:val="00E22529"/>
    <w:rsid w:val="00E22632"/>
    <w:rsid w:val="00E22BCB"/>
    <w:rsid w:val="00E22C57"/>
    <w:rsid w:val="00E22CAE"/>
    <w:rsid w:val="00E22E76"/>
    <w:rsid w:val="00E230A9"/>
    <w:rsid w:val="00E234BE"/>
    <w:rsid w:val="00E2389C"/>
    <w:rsid w:val="00E23DE0"/>
    <w:rsid w:val="00E24B06"/>
    <w:rsid w:val="00E24C72"/>
    <w:rsid w:val="00E255CA"/>
    <w:rsid w:val="00E25697"/>
    <w:rsid w:val="00E25D01"/>
    <w:rsid w:val="00E26237"/>
    <w:rsid w:val="00E263B7"/>
    <w:rsid w:val="00E26465"/>
    <w:rsid w:val="00E26507"/>
    <w:rsid w:val="00E267A2"/>
    <w:rsid w:val="00E26A16"/>
    <w:rsid w:val="00E26B1C"/>
    <w:rsid w:val="00E26E24"/>
    <w:rsid w:val="00E279C8"/>
    <w:rsid w:val="00E27C4F"/>
    <w:rsid w:val="00E30D35"/>
    <w:rsid w:val="00E31225"/>
    <w:rsid w:val="00E312EE"/>
    <w:rsid w:val="00E314C3"/>
    <w:rsid w:val="00E318FF"/>
    <w:rsid w:val="00E31AB1"/>
    <w:rsid w:val="00E323F8"/>
    <w:rsid w:val="00E32722"/>
    <w:rsid w:val="00E3298E"/>
    <w:rsid w:val="00E32D8A"/>
    <w:rsid w:val="00E32DD0"/>
    <w:rsid w:val="00E32F23"/>
    <w:rsid w:val="00E3308C"/>
    <w:rsid w:val="00E330A0"/>
    <w:rsid w:val="00E3341A"/>
    <w:rsid w:val="00E34EC7"/>
    <w:rsid w:val="00E35357"/>
    <w:rsid w:val="00E3627E"/>
    <w:rsid w:val="00E36F8A"/>
    <w:rsid w:val="00E37A1D"/>
    <w:rsid w:val="00E37C71"/>
    <w:rsid w:val="00E409BF"/>
    <w:rsid w:val="00E40AB2"/>
    <w:rsid w:val="00E41242"/>
    <w:rsid w:val="00E417B6"/>
    <w:rsid w:val="00E4265A"/>
    <w:rsid w:val="00E42EE6"/>
    <w:rsid w:val="00E430E5"/>
    <w:rsid w:val="00E43124"/>
    <w:rsid w:val="00E433E5"/>
    <w:rsid w:val="00E4366A"/>
    <w:rsid w:val="00E441E7"/>
    <w:rsid w:val="00E45FB0"/>
    <w:rsid w:val="00E4747D"/>
    <w:rsid w:val="00E47E3A"/>
    <w:rsid w:val="00E50282"/>
    <w:rsid w:val="00E50CFF"/>
    <w:rsid w:val="00E50DA2"/>
    <w:rsid w:val="00E515DB"/>
    <w:rsid w:val="00E517F6"/>
    <w:rsid w:val="00E51847"/>
    <w:rsid w:val="00E51B80"/>
    <w:rsid w:val="00E51C00"/>
    <w:rsid w:val="00E51F81"/>
    <w:rsid w:val="00E520C3"/>
    <w:rsid w:val="00E52283"/>
    <w:rsid w:val="00E52627"/>
    <w:rsid w:val="00E52636"/>
    <w:rsid w:val="00E5293A"/>
    <w:rsid w:val="00E52BFC"/>
    <w:rsid w:val="00E53319"/>
    <w:rsid w:val="00E53488"/>
    <w:rsid w:val="00E53CFA"/>
    <w:rsid w:val="00E54082"/>
    <w:rsid w:val="00E553EA"/>
    <w:rsid w:val="00E5581F"/>
    <w:rsid w:val="00E55977"/>
    <w:rsid w:val="00E55E28"/>
    <w:rsid w:val="00E56224"/>
    <w:rsid w:val="00E5637A"/>
    <w:rsid w:val="00E56699"/>
    <w:rsid w:val="00E56970"/>
    <w:rsid w:val="00E56F69"/>
    <w:rsid w:val="00E5735B"/>
    <w:rsid w:val="00E576AE"/>
    <w:rsid w:val="00E578C2"/>
    <w:rsid w:val="00E57929"/>
    <w:rsid w:val="00E579D1"/>
    <w:rsid w:val="00E57BCA"/>
    <w:rsid w:val="00E6043B"/>
    <w:rsid w:val="00E607CC"/>
    <w:rsid w:val="00E60F2B"/>
    <w:rsid w:val="00E6146D"/>
    <w:rsid w:val="00E618EF"/>
    <w:rsid w:val="00E61DAD"/>
    <w:rsid w:val="00E61E51"/>
    <w:rsid w:val="00E6396E"/>
    <w:rsid w:val="00E63A17"/>
    <w:rsid w:val="00E63FA5"/>
    <w:rsid w:val="00E64772"/>
    <w:rsid w:val="00E64AC1"/>
    <w:rsid w:val="00E64E2A"/>
    <w:rsid w:val="00E653BB"/>
    <w:rsid w:val="00E65656"/>
    <w:rsid w:val="00E66A9E"/>
    <w:rsid w:val="00E66D7A"/>
    <w:rsid w:val="00E67240"/>
    <w:rsid w:val="00E67269"/>
    <w:rsid w:val="00E67375"/>
    <w:rsid w:val="00E67E12"/>
    <w:rsid w:val="00E70C0E"/>
    <w:rsid w:val="00E7115A"/>
    <w:rsid w:val="00E7154D"/>
    <w:rsid w:val="00E71737"/>
    <w:rsid w:val="00E71875"/>
    <w:rsid w:val="00E71C43"/>
    <w:rsid w:val="00E7256C"/>
    <w:rsid w:val="00E72CCB"/>
    <w:rsid w:val="00E72D3F"/>
    <w:rsid w:val="00E72F7C"/>
    <w:rsid w:val="00E733E6"/>
    <w:rsid w:val="00E74129"/>
    <w:rsid w:val="00E75E04"/>
    <w:rsid w:val="00E76C1C"/>
    <w:rsid w:val="00E773EF"/>
    <w:rsid w:val="00E77F99"/>
    <w:rsid w:val="00E802B9"/>
    <w:rsid w:val="00E8033A"/>
    <w:rsid w:val="00E8043C"/>
    <w:rsid w:val="00E8185F"/>
    <w:rsid w:val="00E82384"/>
    <w:rsid w:val="00E824CB"/>
    <w:rsid w:val="00E82691"/>
    <w:rsid w:val="00E82754"/>
    <w:rsid w:val="00E82F74"/>
    <w:rsid w:val="00E832D7"/>
    <w:rsid w:val="00E838A2"/>
    <w:rsid w:val="00E8446F"/>
    <w:rsid w:val="00E84A34"/>
    <w:rsid w:val="00E84BA4"/>
    <w:rsid w:val="00E851BC"/>
    <w:rsid w:val="00E85FB4"/>
    <w:rsid w:val="00E87408"/>
    <w:rsid w:val="00E87491"/>
    <w:rsid w:val="00E876D7"/>
    <w:rsid w:val="00E91709"/>
    <w:rsid w:val="00E91D0A"/>
    <w:rsid w:val="00E93150"/>
    <w:rsid w:val="00E931A4"/>
    <w:rsid w:val="00E93680"/>
    <w:rsid w:val="00E945AA"/>
    <w:rsid w:val="00E9485C"/>
    <w:rsid w:val="00E948E1"/>
    <w:rsid w:val="00E95609"/>
    <w:rsid w:val="00E9595F"/>
    <w:rsid w:val="00E96390"/>
    <w:rsid w:val="00E96626"/>
    <w:rsid w:val="00E9664F"/>
    <w:rsid w:val="00E9682B"/>
    <w:rsid w:val="00E96A17"/>
    <w:rsid w:val="00E96AA1"/>
    <w:rsid w:val="00E97061"/>
    <w:rsid w:val="00E9723E"/>
    <w:rsid w:val="00E97922"/>
    <w:rsid w:val="00EA00C6"/>
    <w:rsid w:val="00EA08B8"/>
    <w:rsid w:val="00EA0C1C"/>
    <w:rsid w:val="00EA0D88"/>
    <w:rsid w:val="00EA10F5"/>
    <w:rsid w:val="00EA1224"/>
    <w:rsid w:val="00EA130A"/>
    <w:rsid w:val="00EA1BC8"/>
    <w:rsid w:val="00EA1EB9"/>
    <w:rsid w:val="00EA39CC"/>
    <w:rsid w:val="00EA3B71"/>
    <w:rsid w:val="00EA404A"/>
    <w:rsid w:val="00EA54B9"/>
    <w:rsid w:val="00EA55E5"/>
    <w:rsid w:val="00EA5619"/>
    <w:rsid w:val="00EA68E8"/>
    <w:rsid w:val="00EA75A8"/>
    <w:rsid w:val="00EA7617"/>
    <w:rsid w:val="00EA7AFE"/>
    <w:rsid w:val="00EB0B46"/>
    <w:rsid w:val="00EB0F17"/>
    <w:rsid w:val="00EB2635"/>
    <w:rsid w:val="00EB45DE"/>
    <w:rsid w:val="00EB4A4C"/>
    <w:rsid w:val="00EB4ED6"/>
    <w:rsid w:val="00EB4F61"/>
    <w:rsid w:val="00EB51CB"/>
    <w:rsid w:val="00EB5D62"/>
    <w:rsid w:val="00EB5FE6"/>
    <w:rsid w:val="00EB64A4"/>
    <w:rsid w:val="00EB7007"/>
    <w:rsid w:val="00EB769B"/>
    <w:rsid w:val="00EB7994"/>
    <w:rsid w:val="00EC0026"/>
    <w:rsid w:val="00EC0354"/>
    <w:rsid w:val="00EC0F66"/>
    <w:rsid w:val="00EC15A5"/>
    <w:rsid w:val="00EC178D"/>
    <w:rsid w:val="00EC1821"/>
    <w:rsid w:val="00EC2407"/>
    <w:rsid w:val="00EC2A5D"/>
    <w:rsid w:val="00EC2AA4"/>
    <w:rsid w:val="00EC3B0A"/>
    <w:rsid w:val="00EC3F04"/>
    <w:rsid w:val="00EC4225"/>
    <w:rsid w:val="00EC43B3"/>
    <w:rsid w:val="00EC4401"/>
    <w:rsid w:val="00EC44E8"/>
    <w:rsid w:val="00EC4814"/>
    <w:rsid w:val="00EC49C6"/>
    <w:rsid w:val="00EC4C7B"/>
    <w:rsid w:val="00EC5B48"/>
    <w:rsid w:val="00EC6103"/>
    <w:rsid w:val="00EC651B"/>
    <w:rsid w:val="00EC67B3"/>
    <w:rsid w:val="00EC70B2"/>
    <w:rsid w:val="00EC7240"/>
    <w:rsid w:val="00EC73B4"/>
    <w:rsid w:val="00EC7415"/>
    <w:rsid w:val="00EC7AFF"/>
    <w:rsid w:val="00EC7EA7"/>
    <w:rsid w:val="00ED0E36"/>
    <w:rsid w:val="00ED0ED7"/>
    <w:rsid w:val="00ED194E"/>
    <w:rsid w:val="00ED250C"/>
    <w:rsid w:val="00ED26C6"/>
    <w:rsid w:val="00ED2743"/>
    <w:rsid w:val="00ED352D"/>
    <w:rsid w:val="00ED355E"/>
    <w:rsid w:val="00ED3DAD"/>
    <w:rsid w:val="00ED47E1"/>
    <w:rsid w:val="00ED4ACD"/>
    <w:rsid w:val="00ED4F6E"/>
    <w:rsid w:val="00ED54F0"/>
    <w:rsid w:val="00ED596B"/>
    <w:rsid w:val="00ED5F29"/>
    <w:rsid w:val="00ED6DE9"/>
    <w:rsid w:val="00ED7737"/>
    <w:rsid w:val="00ED77A6"/>
    <w:rsid w:val="00EE0317"/>
    <w:rsid w:val="00EE0340"/>
    <w:rsid w:val="00EE0699"/>
    <w:rsid w:val="00EE0E75"/>
    <w:rsid w:val="00EE0F73"/>
    <w:rsid w:val="00EE108F"/>
    <w:rsid w:val="00EE10A3"/>
    <w:rsid w:val="00EE18E8"/>
    <w:rsid w:val="00EE1AFA"/>
    <w:rsid w:val="00EE1E76"/>
    <w:rsid w:val="00EE2076"/>
    <w:rsid w:val="00EE2550"/>
    <w:rsid w:val="00EE2875"/>
    <w:rsid w:val="00EE3A94"/>
    <w:rsid w:val="00EE3D1F"/>
    <w:rsid w:val="00EE416E"/>
    <w:rsid w:val="00EE467B"/>
    <w:rsid w:val="00EE4724"/>
    <w:rsid w:val="00EE4A29"/>
    <w:rsid w:val="00EE528F"/>
    <w:rsid w:val="00EE5565"/>
    <w:rsid w:val="00EE5832"/>
    <w:rsid w:val="00EE59D6"/>
    <w:rsid w:val="00EE59F0"/>
    <w:rsid w:val="00EE6367"/>
    <w:rsid w:val="00EE709E"/>
    <w:rsid w:val="00EE741A"/>
    <w:rsid w:val="00EE7D17"/>
    <w:rsid w:val="00EF0201"/>
    <w:rsid w:val="00EF0851"/>
    <w:rsid w:val="00EF153B"/>
    <w:rsid w:val="00EF1E98"/>
    <w:rsid w:val="00EF320C"/>
    <w:rsid w:val="00EF33C5"/>
    <w:rsid w:val="00EF411A"/>
    <w:rsid w:val="00EF4744"/>
    <w:rsid w:val="00EF4BF1"/>
    <w:rsid w:val="00EF4BF7"/>
    <w:rsid w:val="00EF508A"/>
    <w:rsid w:val="00EF5B94"/>
    <w:rsid w:val="00EF5C03"/>
    <w:rsid w:val="00EF628A"/>
    <w:rsid w:val="00EF6C7C"/>
    <w:rsid w:val="00EF6FC5"/>
    <w:rsid w:val="00EF703F"/>
    <w:rsid w:val="00EF709C"/>
    <w:rsid w:val="00EF79EC"/>
    <w:rsid w:val="00EF7FCE"/>
    <w:rsid w:val="00F001F4"/>
    <w:rsid w:val="00F006AD"/>
    <w:rsid w:val="00F01ACD"/>
    <w:rsid w:val="00F01FB5"/>
    <w:rsid w:val="00F02452"/>
    <w:rsid w:val="00F02BB4"/>
    <w:rsid w:val="00F0301C"/>
    <w:rsid w:val="00F03246"/>
    <w:rsid w:val="00F03FC4"/>
    <w:rsid w:val="00F04339"/>
    <w:rsid w:val="00F04855"/>
    <w:rsid w:val="00F04E3B"/>
    <w:rsid w:val="00F054C8"/>
    <w:rsid w:val="00F0565A"/>
    <w:rsid w:val="00F05FA2"/>
    <w:rsid w:val="00F061D7"/>
    <w:rsid w:val="00F06472"/>
    <w:rsid w:val="00F065B9"/>
    <w:rsid w:val="00F06B43"/>
    <w:rsid w:val="00F06F2E"/>
    <w:rsid w:val="00F0742E"/>
    <w:rsid w:val="00F07C2A"/>
    <w:rsid w:val="00F07CAF"/>
    <w:rsid w:val="00F07D9A"/>
    <w:rsid w:val="00F1054D"/>
    <w:rsid w:val="00F10A8C"/>
    <w:rsid w:val="00F10C45"/>
    <w:rsid w:val="00F11065"/>
    <w:rsid w:val="00F120FB"/>
    <w:rsid w:val="00F1249D"/>
    <w:rsid w:val="00F12577"/>
    <w:rsid w:val="00F12F0C"/>
    <w:rsid w:val="00F13079"/>
    <w:rsid w:val="00F13122"/>
    <w:rsid w:val="00F1316C"/>
    <w:rsid w:val="00F135BC"/>
    <w:rsid w:val="00F15056"/>
    <w:rsid w:val="00F150F0"/>
    <w:rsid w:val="00F151A3"/>
    <w:rsid w:val="00F1543F"/>
    <w:rsid w:val="00F155F9"/>
    <w:rsid w:val="00F15BD7"/>
    <w:rsid w:val="00F15E1B"/>
    <w:rsid w:val="00F168B4"/>
    <w:rsid w:val="00F16CE6"/>
    <w:rsid w:val="00F17086"/>
    <w:rsid w:val="00F1742C"/>
    <w:rsid w:val="00F1783B"/>
    <w:rsid w:val="00F178F3"/>
    <w:rsid w:val="00F20159"/>
    <w:rsid w:val="00F2026A"/>
    <w:rsid w:val="00F206AD"/>
    <w:rsid w:val="00F20725"/>
    <w:rsid w:val="00F20A72"/>
    <w:rsid w:val="00F21217"/>
    <w:rsid w:val="00F214AA"/>
    <w:rsid w:val="00F2160A"/>
    <w:rsid w:val="00F2169E"/>
    <w:rsid w:val="00F218FB"/>
    <w:rsid w:val="00F21C1F"/>
    <w:rsid w:val="00F225FF"/>
    <w:rsid w:val="00F22C50"/>
    <w:rsid w:val="00F23362"/>
    <w:rsid w:val="00F2337A"/>
    <w:rsid w:val="00F23C5E"/>
    <w:rsid w:val="00F24557"/>
    <w:rsid w:val="00F24BEF"/>
    <w:rsid w:val="00F24DC2"/>
    <w:rsid w:val="00F25CF5"/>
    <w:rsid w:val="00F2629C"/>
    <w:rsid w:val="00F26EF9"/>
    <w:rsid w:val="00F27183"/>
    <w:rsid w:val="00F27ADA"/>
    <w:rsid w:val="00F30121"/>
    <w:rsid w:val="00F30693"/>
    <w:rsid w:val="00F30C1C"/>
    <w:rsid w:val="00F313F8"/>
    <w:rsid w:val="00F31B47"/>
    <w:rsid w:val="00F32119"/>
    <w:rsid w:val="00F32308"/>
    <w:rsid w:val="00F3231E"/>
    <w:rsid w:val="00F32BD9"/>
    <w:rsid w:val="00F32CC1"/>
    <w:rsid w:val="00F3317E"/>
    <w:rsid w:val="00F33294"/>
    <w:rsid w:val="00F33303"/>
    <w:rsid w:val="00F3412B"/>
    <w:rsid w:val="00F348E6"/>
    <w:rsid w:val="00F34AD8"/>
    <w:rsid w:val="00F351F0"/>
    <w:rsid w:val="00F3569F"/>
    <w:rsid w:val="00F3588B"/>
    <w:rsid w:val="00F359F1"/>
    <w:rsid w:val="00F3605E"/>
    <w:rsid w:val="00F363FE"/>
    <w:rsid w:val="00F3650D"/>
    <w:rsid w:val="00F36574"/>
    <w:rsid w:val="00F36B9B"/>
    <w:rsid w:val="00F372F0"/>
    <w:rsid w:val="00F37B9F"/>
    <w:rsid w:val="00F4006E"/>
    <w:rsid w:val="00F404BD"/>
    <w:rsid w:val="00F40E36"/>
    <w:rsid w:val="00F416E6"/>
    <w:rsid w:val="00F41741"/>
    <w:rsid w:val="00F421D2"/>
    <w:rsid w:val="00F42B7B"/>
    <w:rsid w:val="00F42E66"/>
    <w:rsid w:val="00F43C03"/>
    <w:rsid w:val="00F44836"/>
    <w:rsid w:val="00F44B3D"/>
    <w:rsid w:val="00F44B3E"/>
    <w:rsid w:val="00F44E40"/>
    <w:rsid w:val="00F45114"/>
    <w:rsid w:val="00F4597A"/>
    <w:rsid w:val="00F46248"/>
    <w:rsid w:val="00F4655B"/>
    <w:rsid w:val="00F46A11"/>
    <w:rsid w:val="00F5024A"/>
    <w:rsid w:val="00F50859"/>
    <w:rsid w:val="00F5085E"/>
    <w:rsid w:val="00F50AC7"/>
    <w:rsid w:val="00F51386"/>
    <w:rsid w:val="00F513EC"/>
    <w:rsid w:val="00F518E2"/>
    <w:rsid w:val="00F51A45"/>
    <w:rsid w:val="00F52780"/>
    <w:rsid w:val="00F52E03"/>
    <w:rsid w:val="00F5338D"/>
    <w:rsid w:val="00F53B3B"/>
    <w:rsid w:val="00F53D14"/>
    <w:rsid w:val="00F54DC8"/>
    <w:rsid w:val="00F5519D"/>
    <w:rsid w:val="00F5553C"/>
    <w:rsid w:val="00F56670"/>
    <w:rsid w:val="00F573B0"/>
    <w:rsid w:val="00F6037E"/>
    <w:rsid w:val="00F60A27"/>
    <w:rsid w:val="00F60C33"/>
    <w:rsid w:val="00F60E69"/>
    <w:rsid w:val="00F60EA7"/>
    <w:rsid w:val="00F613C2"/>
    <w:rsid w:val="00F613FC"/>
    <w:rsid w:val="00F61F37"/>
    <w:rsid w:val="00F6200B"/>
    <w:rsid w:val="00F620BF"/>
    <w:rsid w:val="00F62EB2"/>
    <w:rsid w:val="00F6340F"/>
    <w:rsid w:val="00F635A2"/>
    <w:rsid w:val="00F64D09"/>
    <w:rsid w:val="00F64E35"/>
    <w:rsid w:val="00F653B0"/>
    <w:rsid w:val="00F656CD"/>
    <w:rsid w:val="00F65A22"/>
    <w:rsid w:val="00F65F84"/>
    <w:rsid w:val="00F65FD1"/>
    <w:rsid w:val="00F6652A"/>
    <w:rsid w:val="00F66957"/>
    <w:rsid w:val="00F66FD5"/>
    <w:rsid w:val="00F67174"/>
    <w:rsid w:val="00F6747E"/>
    <w:rsid w:val="00F70327"/>
    <w:rsid w:val="00F7115A"/>
    <w:rsid w:val="00F724AC"/>
    <w:rsid w:val="00F725EE"/>
    <w:rsid w:val="00F72987"/>
    <w:rsid w:val="00F73D99"/>
    <w:rsid w:val="00F7414A"/>
    <w:rsid w:val="00F7447E"/>
    <w:rsid w:val="00F74644"/>
    <w:rsid w:val="00F74733"/>
    <w:rsid w:val="00F74F0A"/>
    <w:rsid w:val="00F75184"/>
    <w:rsid w:val="00F761BB"/>
    <w:rsid w:val="00F7771C"/>
    <w:rsid w:val="00F77E04"/>
    <w:rsid w:val="00F8012A"/>
    <w:rsid w:val="00F80659"/>
    <w:rsid w:val="00F8066E"/>
    <w:rsid w:val="00F80901"/>
    <w:rsid w:val="00F80A89"/>
    <w:rsid w:val="00F81222"/>
    <w:rsid w:val="00F818C5"/>
    <w:rsid w:val="00F82E79"/>
    <w:rsid w:val="00F839DE"/>
    <w:rsid w:val="00F83C9A"/>
    <w:rsid w:val="00F84D29"/>
    <w:rsid w:val="00F851F0"/>
    <w:rsid w:val="00F85BD8"/>
    <w:rsid w:val="00F86493"/>
    <w:rsid w:val="00F8687D"/>
    <w:rsid w:val="00F8692C"/>
    <w:rsid w:val="00F869C8"/>
    <w:rsid w:val="00F86BAD"/>
    <w:rsid w:val="00F86F5D"/>
    <w:rsid w:val="00F8705B"/>
    <w:rsid w:val="00F87AF6"/>
    <w:rsid w:val="00F905F6"/>
    <w:rsid w:val="00F90646"/>
    <w:rsid w:val="00F90B77"/>
    <w:rsid w:val="00F90D28"/>
    <w:rsid w:val="00F91AF8"/>
    <w:rsid w:val="00F91F40"/>
    <w:rsid w:val="00F91FB5"/>
    <w:rsid w:val="00F9275F"/>
    <w:rsid w:val="00F9278D"/>
    <w:rsid w:val="00F92A46"/>
    <w:rsid w:val="00F92B24"/>
    <w:rsid w:val="00F92CA6"/>
    <w:rsid w:val="00F92E2F"/>
    <w:rsid w:val="00F93928"/>
    <w:rsid w:val="00F93B2C"/>
    <w:rsid w:val="00F93F87"/>
    <w:rsid w:val="00F94321"/>
    <w:rsid w:val="00F94514"/>
    <w:rsid w:val="00F9499E"/>
    <w:rsid w:val="00F95499"/>
    <w:rsid w:val="00F96B51"/>
    <w:rsid w:val="00F96EC3"/>
    <w:rsid w:val="00F96FCA"/>
    <w:rsid w:val="00F97028"/>
    <w:rsid w:val="00F9710B"/>
    <w:rsid w:val="00F973C3"/>
    <w:rsid w:val="00F97E81"/>
    <w:rsid w:val="00FA0117"/>
    <w:rsid w:val="00FA0710"/>
    <w:rsid w:val="00FA0ACF"/>
    <w:rsid w:val="00FA0AFA"/>
    <w:rsid w:val="00FA142E"/>
    <w:rsid w:val="00FA16A3"/>
    <w:rsid w:val="00FA1719"/>
    <w:rsid w:val="00FA1934"/>
    <w:rsid w:val="00FA1971"/>
    <w:rsid w:val="00FA2158"/>
    <w:rsid w:val="00FA249E"/>
    <w:rsid w:val="00FA2AFF"/>
    <w:rsid w:val="00FA2CEA"/>
    <w:rsid w:val="00FA3299"/>
    <w:rsid w:val="00FA33A4"/>
    <w:rsid w:val="00FA3B0F"/>
    <w:rsid w:val="00FA3F0B"/>
    <w:rsid w:val="00FA44C9"/>
    <w:rsid w:val="00FA453A"/>
    <w:rsid w:val="00FA5AC9"/>
    <w:rsid w:val="00FA5BE2"/>
    <w:rsid w:val="00FA6476"/>
    <w:rsid w:val="00FA6754"/>
    <w:rsid w:val="00FA6D71"/>
    <w:rsid w:val="00FA76D2"/>
    <w:rsid w:val="00FA7AA9"/>
    <w:rsid w:val="00FB00A7"/>
    <w:rsid w:val="00FB0CE4"/>
    <w:rsid w:val="00FB1D55"/>
    <w:rsid w:val="00FB20CF"/>
    <w:rsid w:val="00FB24EE"/>
    <w:rsid w:val="00FB41F2"/>
    <w:rsid w:val="00FB4633"/>
    <w:rsid w:val="00FB500C"/>
    <w:rsid w:val="00FB57B2"/>
    <w:rsid w:val="00FB6087"/>
    <w:rsid w:val="00FB7823"/>
    <w:rsid w:val="00FB7A18"/>
    <w:rsid w:val="00FB7FDE"/>
    <w:rsid w:val="00FC0C7C"/>
    <w:rsid w:val="00FC0EFB"/>
    <w:rsid w:val="00FC1392"/>
    <w:rsid w:val="00FC1473"/>
    <w:rsid w:val="00FC15AA"/>
    <w:rsid w:val="00FC16D9"/>
    <w:rsid w:val="00FC1945"/>
    <w:rsid w:val="00FC1F52"/>
    <w:rsid w:val="00FC2491"/>
    <w:rsid w:val="00FC2BD4"/>
    <w:rsid w:val="00FC2C9B"/>
    <w:rsid w:val="00FC3BB2"/>
    <w:rsid w:val="00FC4327"/>
    <w:rsid w:val="00FC43D8"/>
    <w:rsid w:val="00FC4408"/>
    <w:rsid w:val="00FC4776"/>
    <w:rsid w:val="00FC47D9"/>
    <w:rsid w:val="00FC4A6B"/>
    <w:rsid w:val="00FC4F11"/>
    <w:rsid w:val="00FC5099"/>
    <w:rsid w:val="00FC50CA"/>
    <w:rsid w:val="00FC5533"/>
    <w:rsid w:val="00FC5649"/>
    <w:rsid w:val="00FC61A9"/>
    <w:rsid w:val="00FC6291"/>
    <w:rsid w:val="00FC669B"/>
    <w:rsid w:val="00FC6773"/>
    <w:rsid w:val="00FC70E4"/>
    <w:rsid w:val="00FC7253"/>
    <w:rsid w:val="00FC74A6"/>
    <w:rsid w:val="00FC7584"/>
    <w:rsid w:val="00FC7858"/>
    <w:rsid w:val="00FD10CB"/>
    <w:rsid w:val="00FD1BB0"/>
    <w:rsid w:val="00FD24F9"/>
    <w:rsid w:val="00FD34E5"/>
    <w:rsid w:val="00FD3ABE"/>
    <w:rsid w:val="00FD5463"/>
    <w:rsid w:val="00FD59F0"/>
    <w:rsid w:val="00FD5C53"/>
    <w:rsid w:val="00FD6C5C"/>
    <w:rsid w:val="00FD70AC"/>
    <w:rsid w:val="00FD7182"/>
    <w:rsid w:val="00FD749F"/>
    <w:rsid w:val="00FD7821"/>
    <w:rsid w:val="00FE0A45"/>
    <w:rsid w:val="00FE1001"/>
    <w:rsid w:val="00FE2B4D"/>
    <w:rsid w:val="00FE32A2"/>
    <w:rsid w:val="00FE3502"/>
    <w:rsid w:val="00FE3D07"/>
    <w:rsid w:val="00FE40D1"/>
    <w:rsid w:val="00FE4276"/>
    <w:rsid w:val="00FE4B39"/>
    <w:rsid w:val="00FE5348"/>
    <w:rsid w:val="00FE5A24"/>
    <w:rsid w:val="00FE60A6"/>
    <w:rsid w:val="00FE6819"/>
    <w:rsid w:val="00FE7088"/>
    <w:rsid w:val="00FF0726"/>
    <w:rsid w:val="00FF14FD"/>
    <w:rsid w:val="00FF1620"/>
    <w:rsid w:val="00FF187A"/>
    <w:rsid w:val="00FF19EA"/>
    <w:rsid w:val="00FF1A3C"/>
    <w:rsid w:val="00FF1D55"/>
    <w:rsid w:val="00FF1FA6"/>
    <w:rsid w:val="00FF2B33"/>
    <w:rsid w:val="00FF2C71"/>
    <w:rsid w:val="00FF2C8E"/>
    <w:rsid w:val="00FF2CC9"/>
    <w:rsid w:val="00FF2EC6"/>
    <w:rsid w:val="00FF32F8"/>
    <w:rsid w:val="00FF3431"/>
    <w:rsid w:val="00FF35A8"/>
    <w:rsid w:val="00FF3EBF"/>
    <w:rsid w:val="00FF4E1C"/>
    <w:rsid w:val="00FF4FAE"/>
    <w:rsid w:val="00FF5136"/>
    <w:rsid w:val="00FF5547"/>
    <w:rsid w:val="00FF576F"/>
    <w:rsid w:val="00FF5B8C"/>
    <w:rsid w:val="00FF64E4"/>
    <w:rsid w:val="00FF7146"/>
    <w:rsid w:val="00FF73DB"/>
    <w:rsid w:val="00FF787F"/>
    <w:rsid w:val="03CA572F"/>
    <w:rsid w:val="0412F65D"/>
    <w:rsid w:val="06D2E812"/>
    <w:rsid w:val="07C8A977"/>
    <w:rsid w:val="07F68767"/>
    <w:rsid w:val="0C758EDC"/>
    <w:rsid w:val="112E6991"/>
    <w:rsid w:val="12E19215"/>
    <w:rsid w:val="13A2AB05"/>
    <w:rsid w:val="1FDB2F49"/>
    <w:rsid w:val="213D8230"/>
    <w:rsid w:val="232CE975"/>
    <w:rsid w:val="2944DADA"/>
    <w:rsid w:val="2968404C"/>
    <w:rsid w:val="2DF7E41C"/>
    <w:rsid w:val="2E17F679"/>
    <w:rsid w:val="326F1541"/>
    <w:rsid w:val="32FD74E3"/>
    <w:rsid w:val="34C5704F"/>
    <w:rsid w:val="368DE39D"/>
    <w:rsid w:val="36D09EF3"/>
    <w:rsid w:val="3A4BA74E"/>
    <w:rsid w:val="3B194897"/>
    <w:rsid w:val="3C6A23C7"/>
    <w:rsid w:val="3E33693E"/>
    <w:rsid w:val="3FBF8ADE"/>
    <w:rsid w:val="420916B0"/>
    <w:rsid w:val="42784C89"/>
    <w:rsid w:val="4297E684"/>
    <w:rsid w:val="4613B67B"/>
    <w:rsid w:val="46FF8C73"/>
    <w:rsid w:val="477476A8"/>
    <w:rsid w:val="4905A714"/>
    <w:rsid w:val="4957B6A2"/>
    <w:rsid w:val="4C27939C"/>
    <w:rsid w:val="4E625973"/>
    <w:rsid w:val="4E6C6B40"/>
    <w:rsid w:val="51D63791"/>
    <w:rsid w:val="54D3FD4C"/>
    <w:rsid w:val="5550266D"/>
    <w:rsid w:val="56BFC623"/>
    <w:rsid w:val="56D51320"/>
    <w:rsid w:val="58655E71"/>
    <w:rsid w:val="5A0EF52D"/>
    <w:rsid w:val="5FC539F4"/>
    <w:rsid w:val="6183B479"/>
    <w:rsid w:val="623997FD"/>
    <w:rsid w:val="6C57DC0F"/>
    <w:rsid w:val="707C2D5D"/>
    <w:rsid w:val="72D6C2D3"/>
    <w:rsid w:val="74F3F7F5"/>
    <w:rsid w:val="750D2544"/>
    <w:rsid w:val="761E53BB"/>
    <w:rsid w:val="7771BE27"/>
    <w:rsid w:val="788E39CF"/>
    <w:rsid w:val="7A287B6D"/>
    <w:rsid w:val="7B9827B1"/>
    <w:rsid w:val="7DFDBC6B"/>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D5F03"/>
  <w15:docId w15:val="{7385B922-D405-423B-AB22-C5C270FA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6275"/>
    <w:pPr>
      <w:spacing w:after="0" w:line="288" w:lineRule="auto"/>
      <w:jc w:val="both"/>
    </w:pPr>
    <w:rPr>
      <w:rFonts w:ascii="Verdana" w:eastAsia="Times New Roman" w:hAnsi="Verdana" w:cs="Times New Roman"/>
      <w:sz w:val="20"/>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6089A"/>
    <w:pPr>
      <w:tabs>
        <w:tab w:val="center" w:pos="4320"/>
        <w:tab w:val="right" w:pos="8640"/>
      </w:tabs>
    </w:pPr>
  </w:style>
  <w:style w:type="character" w:customStyle="1" w:styleId="HlavikaChar">
    <w:name w:val="Hlavička Char"/>
    <w:basedOn w:val="Predvolenpsmoodseku"/>
    <w:link w:val="Hlavika"/>
    <w:semiHidden/>
    <w:rsid w:val="0016089A"/>
    <w:rPr>
      <w:rFonts w:ascii="Verdana" w:eastAsia="Times New Roman" w:hAnsi="Verdana" w:cs="Times New Roman"/>
      <w:sz w:val="20"/>
      <w:szCs w:val="24"/>
      <w:lang w:val="en-GB"/>
    </w:rPr>
  </w:style>
  <w:style w:type="paragraph" w:styleId="Pta">
    <w:name w:val="footer"/>
    <w:basedOn w:val="Normlny"/>
    <w:link w:val="PtaChar"/>
    <w:semiHidden/>
    <w:rsid w:val="0016089A"/>
    <w:pPr>
      <w:tabs>
        <w:tab w:val="center" w:pos="4320"/>
        <w:tab w:val="right" w:pos="8640"/>
      </w:tabs>
    </w:pPr>
  </w:style>
  <w:style w:type="character" w:customStyle="1" w:styleId="PtaChar">
    <w:name w:val="Päta Char"/>
    <w:basedOn w:val="Predvolenpsmoodseku"/>
    <w:link w:val="Pta"/>
    <w:semiHidden/>
    <w:rsid w:val="0016089A"/>
    <w:rPr>
      <w:rFonts w:ascii="Verdana" w:eastAsia="Times New Roman" w:hAnsi="Verdana" w:cs="Times New Roman"/>
      <w:sz w:val="20"/>
      <w:szCs w:val="24"/>
      <w:lang w:val="en-GB"/>
    </w:rPr>
  </w:style>
  <w:style w:type="paragraph" w:customStyle="1" w:styleId="Noparagraphstyle">
    <w:name w:val="[No paragraph style]"/>
    <w:semiHidden/>
    <w:rsid w:val="0016089A"/>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6089A"/>
  </w:style>
  <w:style w:type="paragraph" w:customStyle="1" w:styleId="BodyText-CEA">
    <w:name w:val="Body Text - CEA"/>
    <w:basedOn w:val="Normlny"/>
    <w:semiHidden/>
    <w:rsid w:val="0016089A"/>
    <w:pPr>
      <w:autoSpaceDE w:val="0"/>
      <w:autoSpaceDN w:val="0"/>
      <w:adjustRightInd w:val="0"/>
      <w:spacing w:line="24" w:lineRule="atLeast"/>
      <w:jc w:val="right"/>
      <w:textAlignment w:val="center"/>
    </w:pPr>
    <w:rPr>
      <w:rFonts w:cs="Arial"/>
      <w:b/>
      <w:color w:val="034EA2"/>
      <w:w w:val="90"/>
      <w:sz w:val="16"/>
      <w:szCs w:val="16"/>
    </w:rPr>
  </w:style>
  <w:style w:type="character" w:styleId="Zstupntext">
    <w:name w:val="Placeholder Text"/>
    <w:basedOn w:val="Predvolenpsmoodseku"/>
    <w:uiPriority w:val="99"/>
    <w:semiHidden/>
    <w:rsid w:val="0016089A"/>
    <w:rPr>
      <w:color w:val="808080"/>
    </w:rPr>
  </w:style>
  <w:style w:type="paragraph" w:customStyle="1" w:styleId="CEADraft">
    <w:name w:val="CEA Draft"/>
    <w:basedOn w:val="Normlny"/>
    <w:semiHidden/>
    <w:qFormat/>
    <w:rsid w:val="0016089A"/>
    <w:pPr>
      <w:jc w:val="right"/>
    </w:pPr>
    <w:rPr>
      <w:rFonts w:cs="Arial"/>
      <w:b/>
      <w:color w:val="034EA2"/>
      <w:sz w:val="32"/>
      <w:szCs w:val="40"/>
    </w:rPr>
  </w:style>
  <w:style w:type="paragraph" w:customStyle="1" w:styleId="CEAFooterauthorinfo">
    <w:name w:val="CEA Footer (author info)"/>
    <w:basedOn w:val="Normlny"/>
    <w:semiHidden/>
    <w:qFormat/>
    <w:rsid w:val="0016089A"/>
    <w:pPr>
      <w:autoSpaceDE w:val="0"/>
      <w:autoSpaceDN w:val="0"/>
      <w:adjustRightInd w:val="0"/>
      <w:ind w:left="546"/>
      <w:textAlignment w:val="center"/>
    </w:pPr>
    <w:rPr>
      <w:rFonts w:cs="Arial"/>
      <w:b/>
      <w:color w:val="034EA2"/>
      <w:sz w:val="16"/>
      <w:szCs w:val="16"/>
    </w:rPr>
  </w:style>
  <w:style w:type="paragraph" w:customStyle="1" w:styleId="CEALabel">
    <w:name w:val="CEA Label"/>
    <w:basedOn w:val="Normlny"/>
    <w:semiHidden/>
    <w:qFormat/>
    <w:rsid w:val="0016089A"/>
    <w:pPr>
      <w:tabs>
        <w:tab w:val="right" w:pos="360"/>
        <w:tab w:val="left" w:pos="540"/>
      </w:tabs>
      <w:autoSpaceDE w:val="0"/>
      <w:autoSpaceDN w:val="0"/>
      <w:adjustRightInd w:val="0"/>
      <w:spacing w:before="30"/>
      <w:jc w:val="right"/>
      <w:textAlignment w:val="center"/>
    </w:pPr>
    <w:rPr>
      <w:rFonts w:cs="Arial"/>
      <w:b/>
      <w:color w:val="034EA2"/>
      <w:spacing w:val="-4"/>
      <w:w w:val="90"/>
      <w:sz w:val="16"/>
      <w:szCs w:val="16"/>
    </w:rPr>
  </w:style>
  <w:style w:type="paragraph" w:customStyle="1" w:styleId="CEASubjectLine">
    <w:name w:val="CEA Subject Line"/>
    <w:basedOn w:val="Normlny"/>
    <w:semiHidden/>
    <w:qFormat/>
    <w:rsid w:val="0016089A"/>
    <w:rPr>
      <w:rFonts w:cs="Arial"/>
      <w:b/>
      <w:szCs w:val="20"/>
    </w:rPr>
  </w:style>
  <w:style w:type="paragraph" w:customStyle="1" w:styleId="CEADocumentTitle">
    <w:name w:val="CEA Document Title"/>
    <w:basedOn w:val="Hlavika"/>
    <w:semiHidden/>
    <w:qFormat/>
    <w:rsid w:val="0016089A"/>
    <w:pPr>
      <w:tabs>
        <w:tab w:val="clear" w:pos="4320"/>
        <w:tab w:val="clear" w:pos="8640"/>
        <w:tab w:val="center" w:pos="0"/>
        <w:tab w:val="right" w:pos="10440"/>
      </w:tabs>
      <w:jc w:val="right"/>
    </w:pPr>
    <w:rPr>
      <w:b/>
      <w:noProof/>
      <w:color w:val="034EA2"/>
      <w:sz w:val="40"/>
      <w:szCs w:val="40"/>
      <w:lang w:eastAsia="nl-NL"/>
    </w:rPr>
  </w:style>
  <w:style w:type="paragraph" w:customStyle="1" w:styleId="IEStandardHeading">
    <w:name w:val="IE Standard Heading"/>
    <w:basedOn w:val="Normlny"/>
    <w:qFormat/>
    <w:rsid w:val="0016089A"/>
    <w:pPr>
      <w:autoSpaceDE w:val="0"/>
      <w:autoSpaceDN w:val="0"/>
      <w:adjustRightInd w:val="0"/>
      <w:textAlignment w:val="center"/>
    </w:pPr>
    <w:rPr>
      <w:rFonts w:cs="Arial"/>
      <w:color w:val="002957"/>
      <w:szCs w:val="22"/>
    </w:rPr>
  </w:style>
  <w:style w:type="paragraph" w:styleId="Textbubliny">
    <w:name w:val="Balloon Text"/>
    <w:basedOn w:val="Normlny"/>
    <w:link w:val="TextbublinyChar"/>
    <w:uiPriority w:val="99"/>
    <w:semiHidden/>
    <w:unhideWhenUsed/>
    <w:rsid w:val="0016089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6089A"/>
    <w:rPr>
      <w:rFonts w:ascii="Tahoma" w:eastAsia="Times New Roman" w:hAnsi="Tahoma" w:cs="Tahoma"/>
      <w:sz w:val="16"/>
      <w:szCs w:val="16"/>
      <w:lang w:val="en-GB"/>
    </w:rPr>
  </w:style>
  <w:style w:type="paragraph" w:customStyle="1" w:styleId="IEBullet-Level1">
    <w:name w:val="IE Bullet - Level 1"/>
    <w:basedOn w:val="Normlny"/>
    <w:link w:val="IEBullet-Level1Char"/>
    <w:qFormat/>
    <w:rsid w:val="008C452F"/>
    <w:pPr>
      <w:numPr>
        <w:numId w:val="1"/>
      </w:numPr>
      <w:autoSpaceDE w:val="0"/>
      <w:autoSpaceDN w:val="0"/>
      <w:adjustRightInd w:val="0"/>
    </w:pPr>
    <w:rPr>
      <w:rFonts w:cs="Frutiger LT Std 45 Light"/>
      <w:color w:val="000000"/>
      <w:sz w:val="17"/>
      <w:szCs w:val="20"/>
    </w:rPr>
  </w:style>
  <w:style w:type="paragraph" w:customStyle="1" w:styleId="IEBullet-Level2">
    <w:name w:val="IE Bullet - Level 2"/>
    <w:basedOn w:val="IEBullet-Level1"/>
    <w:next w:val="IEBullet-Level3"/>
    <w:qFormat/>
    <w:rsid w:val="008C452F"/>
    <w:pPr>
      <w:numPr>
        <w:numId w:val="2"/>
      </w:numPr>
    </w:pPr>
  </w:style>
  <w:style w:type="paragraph" w:customStyle="1" w:styleId="IEBullet-Level3">
    <w:name w:val="IE Bullet - Level 3"/>
    <w:basedOn w:val="Normlny"/>
    <w:qFormat/>
    <w:rsid w:val="008C452F"/>
    <w:pPr>
      <w:numPr>
        <w:numId w:val="3"/>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1969B9"/>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1969B9"/>
    <w:pPr>
      <w:jc w:val="right"/>
    </w:pPr>
    <w:rPr>
      <w:rFonts w:cs="Frutiger LT Std 55 Roman"/>
      <w:b/>
      <w:color w:val="0032FF"/>
      <w:sz w:val="40"/>
      <w:szCs w:val="40"/>
    </w:rPr>
  </w:style>
  <w:style w:type="paragraph" w:customStyle="1" w:styleId="CEAFootnote">
    <w:name w:val="CEA Footnote"/>
    <w:basedOn w:val="Normlny"/>
    <w:semiHidden/>
    <w:qFormat/>
    <w:rsid w:val="001969B9"/>
    <w:pPr>
      <w:spacing w:line="240" w:lineRule="auto"/>
    </w:pPr>
    <w:rPr>
      <w:sz w:val="16"/>
    </w:rPr>
  </w:style>
  <w:style w:type="character" w:customStyle="1" w:styleId="CEAGraphTitle">
    <w:name w:val="CEA Graph Title"/>
    <w:uiPriority w:val="1"/>
    <w:qFormat/>
    <w:rsid w:val="001969B9"/>
    <w:rPr>
      <w:rFonts w:ascii="Verdana" w:hAnsi="Verdana"/>
      <w:smallCaps w:val="0"/>
      <w:sz w:val="19"/>
      <w:lang w:val="en-GB"/>
    </w:rPr>
  </w:style>
  <w:style w:type="character" w:customStyle="1" w:styleId="CEAGraphX">
    <w:name w:val="CEA Graph X"/>
    <w:uiPriority w:val="1"/>
    <w:qFormat/>
    <w:rsid w:val="001969B9"/>
    <w:rPr>
      <w:rFonts w:ascii="Verdana" w:hAnsi="Verdana"/>
      <w:smallCaps/>
      <w:sz w:val="19"/>
      <w:lang w:val="en-GB"/>
    </w:rPr>
  </w:style>
  <w:style w:type="paragraph" w:customStyle="1" w:styleId="CEAPositionPaperTitle">
    <w:name w:val="CEA Position Paper Title"/>
    <w:basedOn w:val="Normlny"/>
    <w:semiHidden/>
    <w:qFormat/>
    <w:rsid w:val="001969B9"/>
    <w:pPr>
      <w:ind w:left="-27"/>
    </w:pPr>
    <w:rPr>
      <w:b/>
      <w:color w:val="034EA2"/>
      <w:sz w:val="32"/>
      <w:szCs w:val="32"/>
    </w:rPr>
  </w:style>
  <w:style w:type="paragraph" w:customStyle="1" w:styleId="CEAPressReleaseSubtitle">
    <w:name w:val="CEA Press Release Subtitle"/>
    <w:basedOn w:val="Normlny"/>
    <w:semiHidden/>
    <w:qFormat/>
    <w:rsid w:val="001969B9"/>
    <w:rPr>
      <w:sz w:val="22"/>
      <w:szCs w:val="22"/>
    </w:rPr>
  </w:style>
  <w:style w:type="paragraph" w:customStyle="1" w:styleId="CEAPressReleaseTitle">
    <w:name w:val="CEA Press Release Title"/>
    <w:basedOn w:val="Normlny"/>
    <w:semiHidden/>
    <w:qFormat/>
    <w:rsid w:val="001969B9"/>
    <w:pPr>
      <w:autoSpaceDE w:val="0"/>
      <w:autoSpaceDN w:val="0"/>
      <w:adjustRightInd w:val="0"/>
      <w:spacing w:line="240" w:lineRule="auto"/>
    </w:pPr>
    <w:rPr>
      <w:rFonts w:ascii="Frutiger LT Com 45 Light" w:hAnsi="Frutiger LT Com 45 Light"/>
      <w:b/>
      <w:color w:val="034EA2"/>
      <w:sz w:val="36"/>
      <w:szCs w:val="36"/>
    </w:rPr>
  </w:style>
  <w:style w:type="table" w:styleId="Mriekatabuky">
    <w:name w:val="Table Grid"/>
    <w:basedOn w:val="Normlnatabuka"/>
    <w:uiPriority w:val="59"/>
    <w:rsid w:val="00C0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EBullet-Level1Char">
    <w:name w:val="IE Bullet - Level 1 Char"/>
    <w:link w:val="IEBullet-Level1"/>
    <w:locked/>
    <w:rsid w:val="008C452F"/>
    <w:rPr>
      <w:rFonts w:ascii="Verdana" w:eastAsia="Times New Roman" w:hAnsi="Verdana" w:cs="Frutiger LT Std 45 Light"/>
      <w:color w:val="000000"/>
      <w:sz w:val="17"/>
      <w:szCs w:val="20"/>
      <w:lang w:val="en-GB"/>
    </w:rPr>
  </w:style>
  <w:style w:type="character" w:styleId="Hypertextovprepojenie">
    <w:name w:val="Hyperlink"/>
    <w:basedOn w:val="Predvolenpsmoodseku"/>
    <w:uiPriority w:val="99"/>
    <w:unhideWhenUsed/>
    <w:rsid w:val="00D47C9A"/>
    <w:rPr>
      <w:color w:val="0000FF" w:themeColor="hyperlink"/>
      <w:u w:val="single"/>
    </w:rPr>
  </w:style>
  <w:style w:type="character" w:styleId="Nevyrieenzmienka">
    <w:name w:val="Unresolved Mention"/>
    <w:basedOn w:val="Predvolenpsmoodseku"/>
    <w:uiPriority w:val="99"/>
    <w:semiHidden/>
    <w:unhideWhenUsed/>
    <w:rsid w:val="00D47C9A"/>
    <w:rPr>
      <w:color w:val="605E5C"/>
      <w:shd w:val="clear" w:color="auto" w:fill="E1DFDD"/>
    </w:rPr>
  </w:style>
  <w:style w:type="character" w:styleId="PouitHypertextovPrepojenie">
    <w:name w:val="FollowedHyperlink"/>
    <w:basedOn w:val="Predvolenpsmoodseku"/>
    <w:uiPriority w:val="99"/>
    <w:semiHidden/>
    <w:unhideWhenUsed/>
    <w:rsid w:val="0021488B"/>
    <w:rPr>
      <w:color w:val="800080" w:themeColor="followedHyperlink"/>
      <w:u w:val="single"/>
    </w:rPr>
  </w:style>
  <w:style w:type="paragraph" w:styleId="Odsekzoznamu">
    <w:name w:val="List Paragraph"/>
    <w:basedOn w:val="Normlny"/>
    <w:uiPriority w:val="34"/>
    <w:qFormat/>
    <w:rsid w:val="00DD458A"/>
    <w:pPr>
      <w:ind w:left="720"/>
      <w:contextualSpacing/>
    </w:pPr>
  </w:style>
  <w:style w:type="paragraph" w:styleId="Textpoznmkypodiarou">
    <w:name w:val="footnote text"/>
    <w:basedOn w:val="Normlny"/>
    <w:link w:val="TextpoznmkypodiarouChar"/>
    <w:uiPriority w:val="99"/>
    <w:semiHidden/>
    <w:unhideWhenUsed/>
    <w:rsid w:val="0090654C"/>
    <w:pPr>
      <w:spacing w:line="240" w:lineRule="auto"/>
    </w:pPr>
    <w:rPr>
      <w:szCs w:val="20"/>
    </w:rPr>
  </w:style>
  <w:style w:type="character" w:customStyle="1" w:styleId="TextpoznmkypodiarouChar">
    <w:name w:val="Text poznámky pod čiarou Char"/>
    <w:basedOn w:val="Predvolenpsmoodseku"/>
    <w:link w:val="Textpoznmkypodiarou"/>
    <w:uiPriority w:val="99"/>
    <w:semiHidden/>
    <w:rsid w:val="0090654C"/>
    <w:rPr>
      <w:rFonts w:ascii="Verdana" w:eastAsia="Times New Roman" w:hAnsi="Verdana" w:cs="Times New Roman"/>
      <w:sz w:val="20"/>
      <w:szCs w:val="20"/>
      <w:lang w:val="en-GB"/>
    </w:rPr>
  </w:style>
  <w:style w:type="character" w:styleId="Odkaznapoznmkupodiarou">
    <w:name w:val="footnote reference"/>
    <w:basedOn w:val="Predvolenpsmoodseku"/>
    <w:uiPriority w:val="99"/>
    <w:semiHidden/>
    <w:unhideWhenUsed/>
    <w:rsid w:val="0090654C"/>
    <w:rPr>
      <w:vertAlign w:val="superscript"/>
    </w:rPr>
  </w:style>
  <w:style w:type="paragraph" w:styleId="Normlnywebov">
    <w:name w:val="Normal (Web)"/>
    <w:basedOn w:val="Normlny"/>
    <w:uiPriority w:val="99"/>
    <w:semiHidden/>
    <w:unhideWhenUsed/>
    <w:rsid w:val="00391CFF"/>
    <w:rPr>
      <w:rFonts w:ascii="Times New Roman" w:hAnsi="Times New Roman"/>
      <w:sz w:val="24"/>
    </w:rPr>
  </w:style>
  <w:style w:type="character" w:styleId="Odkaznakomentr">
    <w:name w:val="annotation reference"/>
    <w:basedOn w:val="Predvolenpsmoodseku"/>
    <w:uiPriority w:val="99"/>
    <w:semiHidden/>
    <w:unhideWhenUsed/>
    <w:rsid w:val="00947796"/>
    <w:rPr>
      <w:sz w:val="16"/>
      <w:szCs w:val="16"/>
    </w:rPr>
  </w:style>
  <w:style w:type="paragraph" w:styleId="Textkomentra">
    <w:name w:val="annotation text"/>
    <w:basedOn w:val="Normlny"/>
    <w:link w:val="TextkomentraChar"/>
    <w:uiPriority w:val="99"/>
    <w:unhideWhenUsed/>
    <w:rsid w:val="00947796"/>
    <w:pPr>
      <w:spacing w:line="240" w:lineRule="auto"/>
    </w:pPr>
    <w:rPr>
      <w:szCs w:val="20"/>
    </w:rPr>
  </w:style>
  <w:style w:type="character" w:customStyle="1" w:styleId="TextkomentraChar">
    <w:name w:val="Text komentára Char"/>
    <w:basedOn w:val="Predvolenpsmoodseku"/>
    <w:link w:val="Textkomentra"/>
    <w:uiPriority w:val="99"/>
    <w:rsid w:val="00947796"/>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947796"/>
    <w:rPr>
      <w:b/>
      <w:bCs/>
    </w:rPr>
  </w:style>
  <w:style w:type="character" w:customStyle="1" w:styleId="PredmetkomentraChar">
    <w:name w:val="Predmet komentára Char"/>
    <w:basedOn w:val="TextkomentraChar"/>
    <w:link w:val="Predmetkomentra"/>
    <w:uiPriority w:val="99"/>
    <w:semiHidden/>
    <w:rsid w:val="00947796"/>
    <w:rPr>
      <w:rFonts w:ascii="Verdana" w:eastAsia="Times New Roman" w:hAnsi="Verdana" w:cs="Times New Roman"/>
      <w:b/>
      <w:bCs/>
      <w:sz w:val="20"/>
      <w:szCs w:val="20"/>
      <w:lang w:val="en-GB"/>
    </w:rPr>
  </w:style>
  <w:style w:type="character" w:styleId="Zmienka">
    <w:name w:val="Mention"/>
    <w:basedOn w:val="Predvolenpsmoodseku"/>
    <w:uiPriority w:val="99"/>
    <w:unhideWhenUsed/>
    <w:rsid w:val="00530CFD"/>
    <w:rPr>
      <w:color w:val="2B579A"/>
      <w:shd w:val="clear" w:color="auto" w:fill="E1DFDD"/>
    </w:rPr>
  </w:style>
  <w:style w:type="paragraph" w:styleId="Revzia">
    <w:name w:val="Revision"/>
    <w:hidden/>
    <w:uiPriority w:val="99"/>
    <w:semiHidden/>
    <w:rsid w:val="00EE10A3"/>
    <w:pPr>
      <w:spacing w:after="0" w:line="240" w:lineRule="auto"/>
    </w:pPr>
    <w:rPr>
      <w:rFonts w:ascii="Verdana" w:eastAsia="Times New Roman" w:hAnsi="Verdana"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184">
      <w:bodyDiv w:val="1"/>
      <w:marLeft w:val="0"/>
      <w:marRight w:val="0"/>
      <w:marTop w:val="0"/>
      <w:marBottom w:val="0"/>
      <w:divBdr>
        <w:top w:val="none" w:sz="0" w:space="0" w:color="auto"/>
        <w:left w:val="none" w:sz="0" w:space="0" w:color="auto"/>
        <w:bottom w:val="none" w:sz="0" w:space="0" w:color="auto"/>
        <w:right w:val="none" w:sz="0" w:space="0" w:color="auto"/>
      </w:divBdr>
    </w:div>
    <w:div w:id="3679350">
      <w:bodyDiv w:val="1"/>
      <w:marLeft w:val="0"/>
      <w:marRight w:val="0"/>
      <w:marTop w:val="0"/>
      <w:marBottom w:val="0"/>
      <w:divBdr>
        <w:top w:val="none" w:sz="0" w:space="0" w:color="auto"/>
        <w:left w:val="none" w:sz="0" w:space="0" w:color="auto"/>
        <w:bottom w:val="none" w:sz="0" w:space="0" w:color="auto"/>
        <w:right w:val="none" w:sz="0" w:space="0" w:color="auto"/>
      </w:divBdr>
    </w:div>
    <w:div w:id="12416006">
      <w:bodyDiv w:val="1"/>
      <w:marLeft w:val="0"/>
      <w:marRight w:val="0"/>
      <w:marTop w:val="0"/>
      <w:marBottom w:val="0"/>
      <w:divBdr>
        <w:top w:val="none" w:sz="0" w:space="0" w:color="auto"/>
        <w:left w:val="none" w:sz="0" w:space="0" w:color="auto"/>
        <w:bottom w:val="none" w:sz="0" w:space="0" w:color="auto"/>
        <w:right w:val="none" w:sz="0" w:space="0" w:color="auto"/>
      </w:divBdr>
    </w:div>
    <w:div w:id="39403430">
      <w:bodyDiv w:val="1"/>
      <w:marLeft w:val="0"/>
      <w:marRight w:val="0"/>
      <w:marTop w:val="0"/>
      <w:marBottom w:val="0"/>
      <w:divBdr>
        <w:top w:val="none" w:sz="0" w:space="0" w:color="auto"/>
        <w:left w:val="none" w:sz="0" w:space="0" w:color="auto"/>
        <w:bottom w:val="none" w:sz="0" w:space="0" w:color="auto"/>
        <w:right w:val="none" w:sz="0" w:space="0" w:color="auto"/>
      </w:divBdr>
    </w:div>
    <w:div w:id="48262734">
      <w:bodyDiv w:val="1"/>
      <w:marLeft w:val="0"/>
      <w:marRight w:val="0"/>
      <w:marTop w:val="0"/>
      <w:marBottom w:val="0"/>
      <w:divBdr>
        <w:top w:val="none" w:sz="0" w:space="0" w:color="auto"/>
        <w:left w:val="none" w:sz="0" w:space="0" w:color="auto"/>
        <w:bottom w:val="none" w:sz="0" w:space="0" w:color="auto"/>
        <w:right w:val="none" w:sz="0" w:space="0" w:color="auto"/>
      </w:divBdr>
    </w:div>
    <w:div w:id="64256794">
      <w:bodyDiv w:val="1"/>
      <w:marLeft w:val="0"/>
      <w:marRight w:val="0"/>
      <w:marTop w:val="0"/>
      <w:marBottom w:val="0"/>
      <w:divBdr>
        <w:top w:val="none" w:sz="0" w:space="0" w:color="auto"/>
        <w:left w:val="none" w:sz="0" w:space="0" w:color="auto"/>
        <w:bottom w:val="none" w:sz="0" w:space="0" w:color="auto"/>
        <w:right w:val="none" w:sz="0" w:space="0" w:color="auto"/>
      </w:divBdr>
    </w:div>
    <w:div w:id="104471874">
      <w:bodyDiv w:val="1"/>
      <w:marLeft w:val="0"/>
      <w:marRight w:val="0"/>
      <w:marTop w:val="0"/>
      <w:marBottom w:val="0"/>
      <w:divBdr>
        <w:top w:val="none" w:sz="0" w:space="0" w:color="auto"/>
        <w:left w:val="none" w:sz="0" w:space="0" w:color="auto"/>
        <w:bottom w:val="none" w:sz="0" w:space="0" w:color="auto"/>
        <w:right w:val="none" w:sz="0" w:space="0" w:color="auto"/>
      </w:divBdr>
    </w:div>
    <w:div w:id="105587855">
      <w:bodyDiv w:val="1"/>
      <w:marLeft w:val="0"/>
      <w:marRight w:val="0"/>
      <w:marTop w:val="0"/>
      <w:marBottom w:val="0"/>
      <w:divBdr>
        <w:top w:val="none" w:sz="0" w:space="0" w:color="auto"/>
        <w:left w:val="none" w:sz="0" w:space="0" w:color="auto"/>
        <w:bottom w:val="none" w:sz="0" w:space="0" w:color="auto"/>
        <w:right w:val="none" w:sz="0" w:space="0" w:color="auto"/>
      </w:divBdr>
    </w:div>
    <w:div w:id="153760214">
      <w:bodyDiv w:val="1"/>
      <w:marLeft w:val="0"/>
      <w:marRight w:val="0"/>
      <w:marTop w:val="0"/>
      <w:marBottom w:val="0"/>
      <w:divBdr>
        <w:top w:val="none" w:sz="0" w:space="0" w:color="auto"/>
        <w:left w:val="none" w:sz="0" w:space="0" w:color="auto"/>
        <w:bottom w:val="none" w:sz="0" w:space="0" w:color="auto"/>
        <w:right w:val="none" w:sz="0" w:space="0" w:color="auto"/>
      </w:divBdr>
    </w:div>
    <w:div w:id="156724842">
      <w:bodyDiv w:val="1"/>
      <w:marLeft w:val="0"/>
      <w:marRight w:val="0"/>
      <w:marTop w:val="0"/>
      <w:marBottom w:val="0"/>
      <w:divBdr>
        <w:top w:val="none" w:sz="0" w:space="0" w:color="auto"/>
        <w:left w:val="none" w:sz="0" w:space="0" w:color="auto"/>
        <w:bottom w:val="none" w:sz="0" w:space="0" w:color="auto"/>
        <w:right w:val="none" w:sz="0" w:space="0" w:color="auto"/>
      </w:divBdr>
    </w:div>
    <w:div w:id="168954705">
      <w:bodyDiv w:val="1"/>
      <w:marLeft w:val="0"/>
      <w:marRight w:val="0"/>
      <w:marTop w:val="0"/>
      <w:marBottom w:val="0"/>
      <w:divBdr>
        <w:top w:val="none" w:sz="0" w:space="0" w:color="auto"/>
        <w:left w:val="none" w:sz="0" w:space="0" w:color="auto"/>
        <w:bottom w:val="none" w:sz="0" w:space="0" w:color="auto"/>
        <w:right w:val="none" w:sz="0" w:space="0" w:color="auto"/>
      </w:divBdr>
      <w:divsChild>
        <w:div w:id="606039952">
          <w:marLeft w:val="0"/>
          <w:marRight w:val="0"/>
          <w:marTop w:val="0"/>
          <w:marBottom w:val="0"/>
          <w:divBdr>
            <w:top w:val="none" w:sz="0" w:space="0" w:color="auto"/>
            <w:left w:val="none" w:sz="0" w:space="0" w:color="auto"/>
            <w:bottom w:val="none" w:sz="0" w:space="0" w:color="auto"/>
            <w:right w:val="none" w:sz="0" w:space="0" w:color="auto"/>
          </w:divBdr>
        </w:div>
      </w:divsChild>
    </w:div>
    <w:div w:id="191697952">
      <w:bodyDiv w:val="1"/>
      <w:marLeft w:val="0"/>
      <w:marRight w:val="0"/>
      <w:marTop w:val="0"/>
      <w:marBottom w:val="0"/>
      <w:divBdr>
        <w:top w:val="none" w:sz="0" w:space="0" w:color="auto"/>
        <w:left w:val="none" w:sz="0" w:space="0" w:color="auto"/>
        <w:bottom w:val="none" w:sz="0" w:space="0" w:color="auto"/>
        <w:right w:val="none" w:sz="0" w:space="0" w:color="auto"/>
      </w:divBdr>
    </w:div>
    <w:div w:id="199560201">
      <w:bodyDiv w:val="1"/>
      <w:marLeft w:val="0"/>
      <w:marRight w:val="0"/>
      <w:marTop w:val="0"/>
      <w:marBottom w:val="0"/>
      <w:divBdr>
        <w:top w:val="none" w:sz="0" w:space="0" w:color="auto"/>
        <w:left w:val="none" w:sz="0" w:space="0" w:color="auto"/>
        <w:bottom w:val="none" w:sz="0" w:space="0" w:color="auto"/>
        <w:right w:val="none" w:sz="0" w:space="0" w:color="auto"/>
      </w:divBdr>
    </w:div>
    <w:div w:id="210727538">
      <w:bodyDiv w:val="1"/>
      <w:marLeft w:val="0"/>
      <w:marRight w:val="0"/>
      <w:marTop w:val="0"/>
      <w:marBottom w:val="0"/>
      <w:divBdr>
        <w:top w:val="none" w:sz="0" w:space="0" w:color="auto"/>
        <w:left w:val="none" w:sz="0" w:space="0" w:color="auto"/>
        <w:bottom w:val="none" w:sz="0" w:space="0" w:color="auto"/>
        <w:right w:val="none" w:sz="0" w:space="0" w:color="auto"/>
      </w:divBdr>
    </w:div>
    <w:div w:id="220603013">
      <w:bodyDiv w:val="1"/>
      <w:marLeft w:val="0"/>
      <w:marRight w:val="0"/>
      <w:marTop w:val="0"/>
      <w:marBottom w:val="0"/>
      <w:divBdr>
        <w:top w:val="none" w:sz="0" w:space="0" w:color="auto"/>
        <w:left w:val="none" w:sz="0" w:space="0" w:color="auto"/>
        <w:bottom w:val="none" w:sz="0" w:space="0" w:color="auto"/>
        <w:right w:val="none" w:sz="0" w:space="0" w:color="auto"/>
      </w:divBdr>
    </w:div>
    <w:div w:id="256867010">
      <w:bodyDiv w:val="1"/>
      <w:marLeft w:val="0"/>
      <w:marRight w:val="0"/>
      <w:marTop w:val="0"/>
      <w:marBottom w:val="0"/>
      <w:divBdr>
        <w:top w:val="none" w:sz="0" w:space="0" w:color="auto"/>
        <w:left w:val="none" w:sz="0" w:space="0" w:color="auto"/>
        <w:bottom w:val="none" w:sz="0" w:space="0" w:color="auto"/>
        <w:right w:val="none" w:sz="0" w:space="0" w:color="auto"/>
      </w:divBdr>
    </w:div>
    <w:div w:id="261381560">
      <w:bodyDiv w:val="1"/>
      <w:marLeft w:val="0"/>
      <w:marRight w:val="0"/>
      <w:marTop w:val="0"/>
      <w:marBottom w:val="0"/>
      <w:divBdr>
        <w:top w:val="none" w:sz="0" w:space="0" w:color="auto"/>
        <w:left w:val="none" w:sz="0" w:space="0" w:color="auto"/>
        <w:bottom w:val="none" w:sz="0" w:space="0" w:color="auto"/>
        <w:right w:val="none" w:sz="0" w:space="0" w:color="auto"/>
      </w:divBdr>
    </w:div>
    <w:div w:id="263004949">
      <w:bodyDiv w:val="1"/>
      <w:marLeft w:val="0"/>
      <w:marRight w:val="0"/>
      <w:marTop w:val="0"/>
      <w:marBottom w:val="0"/>
      <w:divBdr>
        <w:top w:val="none" w:sz="0" w:space="0" w:color="auto"/>
        <w:left w:val="none" w:sz="0" w:space="0" w:color="auto"/>
        <w:bottom w:val="none" w:sz="0" w:space="0" w:color="auto"/>
        <w:right w:val="none" w:sz="0" w:space="0" w:color="auto"/>
      </w:divBdr>
      <w:divsChild>
        <w:div w:id="593245532">
          <w:marLeft w:val="0"/>
          <w:marRight w:val="0"/>
          <w:marTop w:val="0"/>
          <w:marBottom w:val="0"/>
          <w:divBdr>
            <w:top w:val="none" w:sz="0" w:space="0" w:color="auto"/>
            <w:left w:val="none" w:sz="0" w:space="0" w:color="auto"/>
            <w:bottom w:val="none" w:sz="0" w:space="0" w:color="auto"/>
            <w:right w:val="none" w:sz="0" w:space="0" w:color="auto"/>
          </w:divBdr>
          <w:divsChild>
            <w:div w:id="1238636243">
              <w:marLeft w:val="0"/>
              <w:marRight w:val="0"/>
              <w:marTop w:val="0"/>
              <w:marBottom w:val="0"/>
              <w:divBdr>
                <w:top w:val="none" w:sz="0" w:space="0" w:color="auto"/>
                <w:left w:val="none" w:sz="0" w:space="0" w:color="auto"/>
                <w:bottom w:val="none" w:sz="0" w:space="0" w:color="auto"/>
                <w:right w:val="none" w:sz="0" w:space="0" w:color="auto"/>
              </w:divBdr>
              <w:divsChild>
                <w:div w:id="659499606">
                  <w:marLeft w:val="0"/>
                  <w:marRight w:val="0"/>
                  <w:marTop w:val="0"/>
                  <w:marBottom w:val="0"/>
                  <w:divBdr>
                    <w:top w:val="none" w:sz="0" w:space="0" w:color="auto"/>
                    <w:left w:val="none" w:sz="0" w:space="0" w:color="auto"/>
                    <w:bottom w:val="none" w:sz="0" w:space="0" w:color="auto"/>
                    <w:right w:val="none" w:sz="0" w:space="0" w:color="auto"/>
                  </w:divBdr>
                  <w:divsChild>
                    <w:div w:id="2023240739">
                      <w:marLeft w:val="0"/>
                      <w:marRight w:val="0"/>
                      <w:marTop w:val="0"/>
                      <w:marBottom w:val="0"/>
                      <w:divBdr>
                        <w:top w:val="none" w:sz="0" w:space="0" w:color="auto"/>
                        <w:left w:val="none" w:sz="0" w:space="0" w:color="auto"/>
                        <w:bottom w:val="none" w:sz="0" w:space="0" w:color="auto"/>
                        <w:right w:val="none" w:sz="0" w:space="0" w:color="auto"/>
                      </w:divBdr>
                    </w:div>
                  </w:divsChild>
                </w:div>
                <w:div w:id="2138063146">
                  <w:marLeft w:val="0"/>
                  <w:marRight w:val="0"/>
                  <w:marTop w:val="0"/>
                  <w:marBottom w:val="0"/>
                  <w:divBdr>
                    <w:top w:val="none" w:sz="0" w:space="0" w:color="auto"/>
                    <w:left w:val="none" w:sz="0" w:space="0" w:color="auto"/>
                    <w:bottom w:val="none" w:sz="0" w:space="0" w:color="auto"/>
                    <w:right w:val="none" w:sz="0" w:space="0" w:color="auto"/>
                  </w:divBdr>
                  <w:divsChild>
                    <w:div w:id="1140152730">
                      <w:marLeft w:val="0"/>
                      <w:marRight w:val="0"/>
                      <w:marTop w:val="0"/>
                      <w:marBottom w:val="0"/>
                      <w:divBdr>
                        <w:top w:val="none" w:sz="0" w:space="0" w:color="auto"/>
                        <w:left w:val="none" w:sz="0" w:space="0" w:color="auto"/>
                        <w:bottom w:val="none" w:sz="0" w:space="0" w:color="auto"/>
                        <w:right w:val="none" w:sz="0" w:space="0" w:color="auto"/>
                      </w:divBdr>
                      <w:divsChild>
                        <w:div w:id="1775712415">
                          <w:marLeft w:val="0"/>
                          <w:marRight w:val="0"/>
                          <w:marTop w:val="0"/>
                          <w:marBottom w:val="0"/>
                          <w:divBdr>
                            <w:top w:val="none" w:sz="0" w:space="0" w:color="auto"/>
                            <w:left w:val="none" w:sz="0" w:space="0" w:color="auto"/>
                            <w:bottom w:val="none" w:sz="0" w:space="0" w:color="auto"/>
                            <w:right w:val="none" w:sz="0" w:space="0" w:color="auto"/>
                          </w:divBdr>
                          <w:divsChild>
                            <w:div w:id="18383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548568">
      <w:bodyDiv w:val="1"/>
      <w:marLeft w:val="0"/>
      <w:marRight w:val="0"/>
      <w:marTop w:val="0"/>
      <w:marBottom w:val="0"/>
      <w:divBdr>
        <w:top w:val="none" w:sz="0" w:space="0" w:color="auto"/>
        <w:left w:val="none" w:sz="0" w:space="0" w:color="auto"/>
        <w:bottom w:val="none" w:sz="0" w:space="0" w:color="auto"/>
        <w:right w:val="none" w:sz="0" w:space="0" w:color="auto"/>
      </w:divBdr>
      <w:divsChild>
        <w:div w:id="569389817">
          <w:marLeft w:val="0"/>
          <w:marRight w:val="0"/>
          <w:marTop w:val="0"/>
          <w:marBottom w:val="0"/>
          <w:divBdr>
            <w:top w:val="none" w:sz="0" w:space="0" w:color="auto"/>
            <w:left w:val="none" w:sz="0" w:space="0" w:color="auto"/>
            <w:bottom w:val="none" w:sz="0" w:space="0" w:color="auto"/>
            <w:right w:val="none" w:sz="0" w:space="0" w:color="auto"/>
          </w:divBdr>
        </w:div>
      </w:divsChild>
    </w:div>
    <w:div w:id="273443481">
      <w:bodyDiv w:val="1"/>
      <w:marLeft w:val="0"/>
      <w:marRight w:val="0"/>
      <w:marTop w:val="0"/>
      <w:marBottom w:val="0"/>
      <w:divBdr>
        <w:top w:val="none" w:sz="0" w:space="0" w:color="auto"/>
        <w:left w:val="none" w:sz="0" w:space="0" w:color="auto"/>
        <w:bottom w:val="none" w:sz="0" w:space="0" w:color="auto"/>
        <w:right w:val="none" w:sz="0" w:space="0" w:color="auto"/>
      </w:divBdr>
    </w:div>
    <w:div w:id="275869470">
      <w:bodyDiv w:val="1"/>
      <w:marLeft w:val="0"/>
      <w:marRight w:val="0"/>
      <w:marTop w:val="0"/>
      <w:marBottom w:val="0"/>
      <w:divBdr>
        <w:top w:val="none" w:sz="0" w:space="0" w:color="auto"/>
        <w:left w:val="none" w:sz="0" w:space="0" w:color="auto"/>
        <w:bottom w:val="none" w:sz="0" w:space="0" w:color="auto"/>
        <w:right w:val="none" w:sz="0" w:space="0" w:color="auto"/>
      </w:divBdr>
    </w:div>
    <w:div w:id="284387467">
      <w:bodyDiv w:val="1"/>
      <w:marLeft w:val="0"/>
      <w:marRight w:val="0"/>
      <w:marTop w:val="0"/>
      <w:marBottom w:val="0"/>
      <w:divBdr>
        <w:top w:val="none" w:sz="0" w:space="0" w:color="auto"/>
        <w:left w:val="none" w:sz="0" w:space="0" w:color="auto"/>
        <w:bottom w:val="none" w:sz="0" w:space="0" w:color="auto"/>
        <w:right w:val="none" w:sz="0" w:space="0" w:color="auto"/>
      </w:divBdr>
    </w:div>
    <w:div w:id="291063995">
      <w:bodyDiv w:val="1"/>
      <w:marLeft w:val="0"/>
      <w:marRight w:val="0"/>
      <w:marTop w:val="0"/>
      <w:marBottom w:val="0"/>
      <w:divBdr>
        <w:top w:val="none" w:sz="0" w:space="0" w:color="auto"/>
        <w:left w:val="none" w:sz="0" w:space="0" w:color="auto"/>
        <w:bottom w:val="none" w:sz="0" w:space="0" w:color="auto"/>
        <w:right w:val="none" w:sz="0" w:space="0" w:color="auto"/>
      </w:divBdr>
    </w:div>
    <w:div w:id="302849495">
      <w:bodyDiv w:val="1"/>
      <w:marLeft w:val="0"/>
      <w:marRight w:val="0"/>
      <w:marTop w:val="0"/>
      <w:marBottom w:val="0"/>
      <w:divBdr>
        <w:top w:val="none" w:sz="0" w:space="0" w:color="auto"/>
        <w:left w:val="none" w:sz="0" w:space="0" w:color="auto"/>
        <w:bottom w:val="none" w:sz="0" w:space="0" w:color="auto"/>
        <w:right w:val="none" w:sz="0" w:space="0" w:color="auto"/>
      </w:divBdr>
    </w:div>
    <w:div w:id="321154375">
      <w:bodyDiv w:val="1"/>
      <w:marLeft w:val="0"/>
      <w:marRight w:val="0"/>
      <w:marTop w:val="0"/>
      <w:marBottom w:val="0"/>
      <w:divBdr>
        <w:top w:val="none" w:sz="0" w:space="0" w:color="auto"/>
        <w:left w:val="none" w:sz="0" w:space="0" w:color="auto"/>
        <w:bottom w:val="none" w:sz="0" w:space="0" w:color="auto"/>
        <w:right w:val="none" w:sz="0" w:space="0" w:color="auto"/>
      </w:divBdr>
    </w:div>
    <w:div w:id="322589541">
      <w:bodyDiv w:val="1"/>
      <w:marLeft w:val="0"/>
      <w:marRight w:val="0"/>
      <w:marTop w:val="0"/>
      <w:marBottom w:val="0"/>
      <w:divBdr>
        <w:top w:val="none" w:sz="0" w:space="0" w:color="auto"/>
        <w:left w:val="none" w:sz="0" w:space="0" w:color="auto"/>
        <w:bottom w:val="none" w:sz="0" w:space="0" w:color="auto"/>
        <w:right w:val="none" w:sz="0" w:space="0" w:color="auto"/>
      </w:divBdr>
    </w:div>
    <w:div w:id="335887843">
      <w:bodyDiv w:val="1"/>
      <w:marLeft w:val="0"/>
      <w:marRight w:val="0"/>
      <w:marTop w:val="0"/>
      <w:marBottom w:val="0"/>
      <w:divBdr>
        <w:top w:val="none" w:sz="0" w:space="0" w:color="auto"/>
        <w:left w:val="none" w:sz="0" w:space="0" w:color="auto"/>
        <w:bottom w:val="none" w:sz="0" w:space="0" w:color="auto"/>
        <w:right w:val="none" w:sz="0" w:space="0" w:color="auto"/>
      </w:divBdr>
    </w:div>
    <w:div w:id="346369750">
      <w:bodyDiv w:val="1"/>
      <w:marLeft w:val="0"/>
      <w:marRight w:val="0"/>
      <w:marTop w:val="0"/>
      <w:marBottom w:val="0"/>
      <w:divBdr>
        <w:top w:val="none" w:sz="0" w:space="0" w:color="auto"/>
        <w:left w:val="none" w:sz="0" w:space="0" w:color="auto"/>
        <w:bottom w:val="none" w:sz="0" w:space="0" w:color="auto"/>
        <w:right w:val="none" w:sz="0" w:space="0" w:color="auto"/>
      </w:divBdr>
    </w:div>
    <w:div w:id="348457949">
      <w:bodyDiv w:val="1"/>
      <w:marLeft w:val="0"/>
      <w:marRight w:val="0"/>
      <w:marTop w:val="0"/>
      <w:marBottom w:val="0"/>
      <w:divBdr>
        <w:top w:val="none" w:sz="0" w:space="0" w:color="auto"/>
        <w:left w:val="none" w:sz="0" w:space="0" w:color="auto"/>
        <w:bottom w:val="none" w:sz="0" w:space="0" w:color="auto"/>
        <w:right w:val="none" w:sz="0" w:space="0" w:color="auto"/>
      </w:divBdr>
    </w:div>
    <w:div w:id="348994456">
      <w:bodyDiv w:val="1"/>
      <w:marLeft w:val="0"/>
      <w:marRight w:val="0"/>
      <w:marTop w:val="0"/>
      <w:marBottom w:val="0"/>
      <w:divBdr>
        <w:top w:val="none" w:sz="0" w:space="0" w:color="auto"/>
        <w:left w:val="none" w:sz="0" w:space="0" w:color="auto"/>
        <w:bottom w:val="none" w:sz="0" w:space="0" w:color="auto"/>
        <w:right w:val="none" w:sz="0" w:space="0" w:color="auto"/>
      </w:divBdr>
    </w:div>
    <w:div w:id="349725970">
      <w:bodyDiv w:val="1"/>
      <w:marLeft w:val="0"/>
      <w:marRight w:val="0"/>
      <w:marTop w:val="0"/>
      <w:marBottom w:val="0"/>
      <w:divBdr>
        <w:top w:val="none" w:sz="0" w:space="0" w:color="auto"/>
        <w:left w:val="none" w:sz="0" w:space="0" w:color="auto"/>
        <w:bottom w:val="none" w:sz="0" w:space="0" w:color="auto"/>
        <w:right w:val="none" w:sz="0" w:space="0" w:color="auto"/>
      </w:divBdr>
    </w:div>
    <w:div w:id="368604172">
      <w:bodyDiv w:val="1"/>
      <w:marLeft w:val="0"/>
      <w:marRight w:val="0"/>
      <w:marTop w:val="0"/>
      <w:marBottom w:val="0"/>
      <w:divBdr>
        <w:top w:val="none" w:sz="0" w:space="0" w:color="auto"/>
        <w:left w:val="none" w:sz="0" w:space="0" w:color="auto"/>
        <w:bottom w:val="none" w:sz="0" w:space="0" w:color="auto"/>
        <w:right w:val="none" w:sz="0" w:space="0" w:color="auto"/>
      </w:divBdr>
    </w:div>
    <w:div w:id="383606891">
      <w:bodyDiv w:val="1"/>
      <w:marLeft w:val="0"/>
      <w:marRight w:val="0"/>
      <w:marTop w:val="0"/>
      <w:marBottom w:val="0"/>
      <w:divBdr>
        <w:top w:val="none" w:sz="0" w:space="0" w:color="auto"/>
        <w:left w:val="none" w:sz="0" w:space="0" w:color="auto"/>
        <w:bottom w:val="none" w:sz="0" w:space="0" w:color="auto"/>
        <w:right w:val="none" w:sz="0" w:space="0" w:color="auto"/>
      </w:divBdr>
    </w:div>
    <w:div w:id="384109615">
      <w:bodyDiv w:val="1"/>
      <w:marLeft w:val="0"/>
      <w:marRight w:val="0"/>
      <w:marTop w:val="0"/>
      <w:marBottom w:val="0"/>
      <w:divBdr>
        <w:top w:val="none" w:sz="0" w:space="0" w:color="auto"/>
        <w:left w:val="none" w:sz="0" w:space="0" w:color="auto"/>
        <w:bottom w:val="none" w:sz="0" w:space="0" w:color="auto"/>
        <w:right w:val="none" w:sz="0" w:space="0" w:color="auto"/>
      </w:divBdr>
    </w:div>
    <w:div w:id="394402692">
      <w:bodyDiv w:val="1"/>
      <w:marLeft w:val="0"/>
      <w:marRight w:val="0"/>
      <w:marTop w:val="0"/>
      <w:marBottom w:val="0"/>
      <w:divBdr>
        <w:top w:val="none" w:sz="0" w:space="0" w:color="auto"/>
        <w:left w:val="none" w:sz="0" w:space="0" w:color="auto"/>
        <w:bottom w:val="none" w:sz="0" w:space="0" w:color="auto"/>
        <w:right w:val="none" w:sz="0" w:space="0" w:color="auto"/>
      </w:divBdr>
      <w:divsChild>
        <w:div w:id="232356443">
          <w:marLeft w:val="0"/>
          <w:marRight w:val="0"/>
          <w:marTop w:val="0"/>
          <w:marBottom w:val="0"/>
          <w:divBdr>
            <w:top w:val="none" w:sz="0" w:space="0" w:color="auto"/>
            <w:left w:val="none" w:sz="0" w:space="0" w:color="auto"/>
            <w:bottom w:val="none" w:sz="0" w:space="0" w:color="auto"/>
            <w:right w:val="none" w:sz="0" w:space="0" w:color="auto"/>
          </w:divBdr>
        </w:div>
      </w:divsChild>
    </w:div>
    <w:div w:id="396978316">
      <w:bodyDiv w:val="1"/>
      <w:marLeft w:val="0"/>
      <w:marRight w:val="0"/>
      <w:marTop w:val="0"/>
      <w:marBottom w:val="0"/>
      <w:divBdr>
        <w:top w:val="none" w:sz="0" w:space="0" w:color="auto"/>
        <w:left w:val="none" w:sz="0" w:space="0" w:color="auto"/>
        <w:bottom w:val="none" w:sz="0" w:space="0" w:color="auto"/>
        <w:right w:val="none" w:sz="0" w:space="0" w:color="auto"/>
      </w:divBdr>
      <w:divsChild>
        <w:div w:id="1684429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714644">
      <w:bodyDiv w:val="1"/>
      <w:marLeft w:val="0"/>
      <w:marRight w:val="0"/>
      <w:marTop w:val="0"/>
      <w:marBottom w:val="0"/>
      <w:divBdr>
        <w:top w:val="none" w:sz="0" w:space="0" w:color="auto"/>
        <w:left w:val="none" w:sz="0" w:space="0" w:color="auto"/>
        <w:bottom w:val="none" w:sz="0" w:space="0" w:color="auto"/>
        <w:right w:val="none" w:sz="0" w:space="0" w:color="auto"/>
      </w:divBdr>
    </w:div>
    <w:div w:id="423958948">
      <w:bodyDiv w:val="1"/>
      <w:marLeft w:val="0"/>
      <w:marRight w:val="0"/>
      <w:marTop w:val="0"/>
      <w:marBottom w:val="0"/>
      <w:divBdr>
        <w:top w:val="none" w:sz="0" w:space="0" w:color="auto"/>
        <w:left w:val="none" w:sz="0" w:space="0" w:color="auto"/>
        <w:bottom w:val="none" w:sz="0" w:space="0" w:color="auto"/>
        <w:right w:val="none" w:sz="0" w:space="0" w:color="auto"/>
      </w:divBdr>
    </w:div>
    <w:div w:id="427189949">
      <w:bodyDiv w:val="1"/>
      <w:marLeft w:val="0"/>
      <w:marRight w:val="0"/>
      <w:marTop w:val="0"/>
      <w:marBottom w:val="0"/>
      <w:divBdr>
        <w:top w:val="none" w:sz="0" w:space="0" w:color="auto"/>
        <w:left w:val="none" w:sz="0" w:space="0" w:color="auto"/>
        <w:bottom w:val="none" w:sz="0" w:space="0" w:color="auto"/>
        <w:right w:val="none" w:sz="0" w:space="0" w:color="auto"/>
      </w:divBdr>
    </w:div>
    <w:div w:id="445269889">
      <w:bodyDiv w:val="1"/>
      <w:marLeft w:val="0"/>
      <w:marRight w:val="0"/>
      <w:marTop w:val="0"/>
      <w:marBottom w:val="0"/>
      <w:divBdr>
        <w:top w:val="none" w:sz="0" w:space="0" w:color="auto"/>
        <w:left w:val="none" w:sz="0" w:space="0" w:color="auto"/>
        <w:bottom w:val="none" w:sz="0" w:space="0" w:color="auto"/>
        <w:right w:val="none" w:sz="0" w:space="0" w:color="auto"/>
      </w:divBdr>
    </w:div>
    <w:div w:id="456341414">
      <w:bodyDiv w:val="1"/>
      <w:marLeft w:val="0"/>
      <w:marRight w:val="0"/>
      <w:marTop w:val="0"/>
      <w:marBottom w:val="0"/>
      <w:divBdr>
        <w:top w:val="none" w:sz="0" w:space="0" w:color="auto"/>
        <w:left w:val="none" w:sz="0" w:space="0" w:color="auto"/>
        <w:bottom w:val="none" w:sz="0" w:space="0" w:color="auto"/>
        <w:right w:val="none" w:sz="0" w:space="0" w:color="auto"/>
      </w:divBdr>
    </w:div>
    <w:div w:id="459492636">
      <w:bodyDiv w:val="1"/>
      <w:marLeft w:val="0"/>
      <w:marRight w:val="0"/>
      <w:marTop w:val="0"/>
      <w:marBottom w:val="0"/>
      <w:divBdr>
        <w:top w:val="none" w:sz="0" w:space="0" w:color="auto"/>
        <w:left w:val="none" w:sz="0" w:space="0" w:color="auto"/>
        <w:bottom w:val="none" w:sz="0" w:space="0" w:color="auto"/>
        <w:right w:val="none" w:sz="0" w:space="0" w:color="auto"/>
      </w:divBdr>
    </w:div>
    <w:div w:id="472917326">
      <w:bodyDiv w:val="1"/>
      <w:marLeft w:val="0"/>
      <w:marRight w:val="0"/>
      <w:marTop w:val="0"/>
      <w:marBottom w:val="0"/>
      <w:divBdr>
        <w:top w:val="none" w:sz="0" w:space="0" w:color="auto"/>
        <w:left w:val="none" w:sz="0" w:space="0" w:color="auto"/>
        <w:bottom w:val="none" w:sz="0" w:space="0" w:color="auto"/>
        <w:right w:val="none" w:sz="0" w:space="0" w:color="auto"/>
      </w:divBdr>
    </w:div>
    <w:div w:id="478422076">
      <w:bodyDiv w:val="1"/>
      <w:marLeft w:val="0"/>
      <w:marRight w:val="0"/>
      <w:marTop w:val="0"/>
      <w:marBottom w:val="0"/>
      <w:divBdr>
        <w:top w:val="none" w:sz="0" w:space="0" w:color="auto"/>
        <w:left w:val="none" w:sz="0" w:space="0" w:color="auto"/>
        <w:bottom w:val="none" w:sz="0" w:space="0" w:color="auto"/>
        <w:right w:val="none" w:sz="0" w:space="0" w:color="auto"/>
      </w:divBdr>
    </w:div>
    <w:div w:id="484709672">
      <w:bodyDiv w:val="1"/>
      <w:marLeft w:val="0"/>
      <w:marRight w:val="0"/>
      <w:marTop w:val="0"/>
      <w:marBottom w:val="0"/>
      <w:divBdr>
        <w:top w:val="none" w:sz="0" w:space="0" w:color="auto"/>
        <w:left w:val="none" w:sz="0" w:space="0" w:color="auto"/>
        <w:bottom w:val="none" w:sz="0" w:space="0" w:color="auto"/>
        <w:right w:val="none" w:sz="0" w:space="0" w:color="auto"/>
      </w:divBdr>
    </w:div>
    <w:div w:id="491524714">
      <w:bodyDiv w:val="1"/>
      <w:marLeft w:val="0"/>
      <w:marRight w:val="0"/>
      <w:marTop w:val="0"/>
      <w:marBottom w:val="0"/>
      <w:divBdr>
        <w:top w:val="none" w:sz="0" w:space="0" w:color="auto"/>
        <w:left w:val="none" w:sz="0" w:space="0" w:color="auto"/>
        <w:bottom w:val="none" w:sz="0" w:space="0" w:color="auto"/>
        <w:right w:val="none" w:sz="0" w:space="0" w:color="auto"/>
      </w:divBdr>
    </w:div>
    <w:div w:id="494733302">
      <w:bodyDiv w:val="1"/>
      <w:marLeft w:val="0"/>
      <w:marRight w:val="0"/>
      <w:marTop w:val="0"/>
      <w:marBottom w:val="0"/>
      <w:divBdr>
        <w:top w:val="none" w:sz="0" w:space="0" w:color="auto"/>
        <w:left w:val="none" w:sz="0" w:space="0" w:color="auto"/>
        <w:bottom w:val="none" w:sz="0" w:space="0" w:color="auto"/>
        <w:right w:val="none" w:sz="0" w:space="0" w:color="auto"/>
      </w:divBdr>
    </w:div>
    <w:div w:id="505445149">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
    <w:div w:id="546717811">
      <w:bodyDiv w:val="1"/>
      <w:marLeft w:val="0"/>
      <w:marRight w:val="0"/>
      <w:marTop w:val="0"/>
      <w:marBottom w:val="0"/>
      <w:divBdr>
        <w:top w:val="none" w:sz="0" w:space="0" w:color="auto"/>
        <w:left w:val="none" w:sz="0" w:space="0" w:color="auto"/>
        <w:bottom w:val="none" w:sz="0" w:space="0" w:color="auto"/>
        <w:right w:val="none" w:sz="0" w:space="0" w:color="auto"/>
      </w:divBdr>
    </w:div>
    <w:div w:id="564220587">
      <w:bodyDiv w:val="1"/>
      <w:marLeft w:val="0"/>
      <w:marRight w:val="0"/>
      <w:marTop w:val="0"/>
      <w:marBottom w:val="0"/>
      <w:divBdr>
        <w:top w:val="none" w:sz="0" w:space="0" w:color="auto"/>
        <w:left w:val="none" w:sz="0" w:space="0" w:color="auto"/>
        <w:bottom w:val="none" w:sz="0" w:space="0" w:color="auto"/>
        <w:right w:val="none" w:sz="0" w:space="0" w:color="auto"/>
      </w:divBdr>
    </w:div>
    <w:div w:id="631136859">
      <w:bodyDiv w:val="1"/>
      <w:marLeft w:val="0"/>
      <w:marRight w:val="0"/>
      <w:marTop w:val="0"/>
      <w:marBottom w:val="0"/>
      <w:divBdr>
        <w:top w:val="none" w:sz="0" w:space="0" w:color="auto"/>
        <w:left w:val="none" w:sz="0" w:space="0" w:color="auto"/>
        <w:bottom w:val="none" w:sz="0" w:space="0" w:color="auto"/>
        <w:right w:val="none" w:sz="0" w:space="0" w:color="auto"/>
      </w:divBdr>
      <w:divsChild>
        <w:div w:id="972295393">
          <w:marLeft w:val="0"/>
          <w:marRight w:val="0"/>
          <w:marTop w:val="0"/>
          <w:marBottom w:val="0"/>
          <w:divBdr>
            <w:top w:val="none" w:sz="0" w:space="0" w:color="auto"/>
            <w:left w:val="none" w:sz="0" w:space="0" w:color="auto"/>
            <w:bottom w:val="none" w:sz="0" w:space="0" w:color="auto"/>
            <w:right w:val="none" w:sz="0" w:space="0" w:color="auto"/>
          </w:divBdr>
        </w:div>
      </w:divsChild>
    </w:div>
    <w:div w:id="648439451">
      <w:bodyDiv w:val="1"/>
      <w:marLeft w:val="0"/>
      <w:marRight w:val="0"/>
      <w:marTop w:val="0"/>
      <w:marBottom w:val="0"/>
      <w:divBdr>
        <w:top w:val="none" w:sz="0" w:space="0" w:color="auto"/>
        <w:left w:val="none" w:sz="0" w:space="0" w:color="auto"/>
        <w:bottom w:val="none" w:sz="0" w:space="0" w:color="auto"/>
        <w:right w:val="none" w:sz="0" w:space="0" w:color="auto"/>
      </w:divBdr>
    </w:div>
    <w:div w:id="652491031">
      <w:bodyDiv w:val="1"/>
      <w:marLeft w:val="0"/>
      <w:marRight w:val="0"/>
      <w:marTop w:val="0"/>
      <w:marBottom w:val="0"/>
      <w:divBdr>
        <w:top w:val="none" w:sz="0" w:space="0" w:color="auto"/>
        <w:left w:val="none" w:sz="0" w:space="0" w:color="auto"/>
        <w:bottom w:val="none" w:sz="0" w:space="0" w:color="auto"/>
        <w:right w:val="none" w:sz="0" w:space="0" w:color="auto"/>
      </w:divBdr>
    </w:div>
    <w:div w:id="668796721">
      <w:bodyDiv w:val="1"/>
      <w:marLeft w:val="0"/>
      <w:marRight w:val="0"/>
      <w:marTop w:val="0"/>
      <w:marBottom w:val="0"/>
      <w:divBdr>
        <w:top w:val="none" w:sz="0" w:space="0" w:color="auto"/>
        <w:left w:val="none" w:sz="0" w:space="0" w:color="auto"/>
        <w:bottom w:val="none" w:sz="0" w:space="0" w:color="auto"/>
        <w:right w:val="none" w:sz="0" w:space="0" w:color="auto"/>
      </w:divBdr>
    </w:div>
    <w:div w:id="679239796">
      <w:bodyDiv w:val="1"/>
      <w:marLeft w:val="0"/>
      <w:marRight w:val="0"/>
      <w:marTop w:val="0"/>
      <w:marBottom w:val="0"/>
      <w:divBdr>
        <w:top w:val="none" w:sz="0" w:space="0" w:color="auto"/>
        <w:left w:val="none" w:sz="0" w:space="0" w:color="auto"/>
        <w:bottom w:val="none" w:sz="0" w:space="0" w:color="auto"/>
        <w:right w:val="none" w:sz="0" w:space="0" w:color="auto"/>
      </w:divBdr>
    </w:div>
    <w:div w:id="698551458">
      <w:bodyDiv w:val="1"/>
      <w:marLeft w:val="0"/>
      <w:marRight w:val="0"/>
      <w:marTop w:val="0"/>
      <w:marBottom w:val="0"/>
      <w:divBdr>
        <w:top w:val="none" w:sz="0" w:space="0" w:color="auto"/>
        <w:left w:val="none" w:sz="0" w:space="0" w:color="auto"/>
        <w:bottom w:val="none" w:sz="0" w:space="0" w:color="auto"/>
        <w:right w:val="none" w:sz="0" w:space="0" w:color="auto"/>
      </w:divBdr>
    </w:div>
    <w:div w:id="707685082">
      <w:bodyDiv w:val="1"/>
      <w:marLeft w:val="0"/>
      <w:marRight w:val="0"/>
      <w:marTop w:val="0"/>
      <w:marBottom w:val="0"/>
      <w:divBdr>
        <w:top w:val="none" w:sz="0" w:space="0" w:color="auto"/>
        <w:left w:val="none" w:sz="0" w:space="0" w:color="auto"/>
        <w:bottom w:val="none" w:sz="0" w:space="0" w:color="auto"/>
        <w:right w:val="none" w:sz="0" w:space="0" w:color="auto"/>
      </w:divBdr>
    </w:div>
    <w:div w:id="717050799">
      <w:bodyDiv w:val="1"/>
      <w:marLeft w:val="0"/>
      <w:marRight w:val="0"/>
      <w:marTop w:val="0"/>
      <w:marBottom w:val="0"/>
      <w:divBdr>
        <w:top w:val="none" w:sz="0" w:space="0" w:color="auto"/>
        <w:left w:val="none" w:sz="0" w:space="0" w:color="auto"/>
        <w:bottom w:val="none" w:sz="0" w:space="0" w:color="auto"/>
        <w:right w:val="none" w:sz="0" w:space="0" w:color="auto"/>
      </w:divBdr>
    </w:div>
    <w:div w:id="720447442">
      <w:bodyDiv w:val="1"/>
      <w:marLeft w:val="0"/>
      <w:marRight w:val="0"/>
      <w:marTop w:val="0"/>
      <w:marBottom w:val="0"/>
      <w:divBdr>
        <w:top w:val="none" w:sz="0" w:space="0" w:color="auto"/>
        <w:left w:val="none" w:sz="0" w:space="0" w:color="auto"/>
        <w:bottom w:val="none" w:sz="0" w:space="0" w:color="auto"/>
        <w:right w:val="none" w:sz="0" w:space="0" w:color="auto"/>
      </w:divBdr>
    </w:div>
    <w:div w:id="724912292">
      <w:bodyDiv w:val="1"/>
      <w:marLeft w:val="0"/>
      <w:marRight w:val="0"/>
      <w:marTop w:val="0"/>
      <w:marBottom w:val="0"/>
      <w:divBdr>
        <w:top w:val="none" w:sz="0" w:space="0" w:color="auto"/>
        <w:left w:val="none" w:sz="0" w:space="0" w:color="auto"/>
        <w:bottom w:val="none" w:sz="0" w:space="0" w:color="auto"/>
        <w:right w:val="none" w:sz="0" w:space="0" w:color="auto"/>
      </w:divBdr>
    </w:div>
    <w:div w:id="728265404">
      <w:bodyDiv w:val="1"/>
      <w:marLeft w:val="0"/>
      <w:marRight w:val="0"/>
      <w:marTop w:val="0"/>
      <w:marBottom w:val="0"/>
      <w:divBdr>
        <w:top w:val="none" w:sz="0" w:space="0" w:color="auto"/>
        <w:left w:val="none" w:sz="0" w:space="0" w:color="auto"/>
        <w:bottom w:val="none" w:sz="0" w:space="0" w:color="auto"/>
        <w:right w:val="none" w:sz="0" w:space="0" w:color="auto"/>
      </w:divBdr>
      <w:divsChild>
        <w:div w:id="6950067">
          <w:marLeft w:val="0"/>
          <w:marRight w:val="0"/>
          <w:marTop w:val="0"/>
          <w:marBottom w:val="0"/>
          <w:divBdr>
            <w:top w:val="none" w:sz="0" w:space="0" w:color="auto"/>
            <w:left w:val="none" w:sz="0" w:space="0" w:color="auto"/>
            <w:bottom w:val="none" w:sz="0" w:space="0" w:color="auto"/>
            <w:right w:val="none" w:sz="0" w:space="0" w:color="auto"/>
          </w:divBdr>
          <w:divsChild>
            <w:div w:id="506216963">
              <w:marLeft w:val="0"/>
              <w:marRight w:val="0"/>
              <w:marTop w:val="0"/>
              <w:marBottom w:val="0"/>
              <w:divBdr>
                <w:top w:val="none" w:sz="0" w:space="0" w:color="auto"/>
                <w:left w:val="none" w:sz="0" w:space="0" w:color="auto"/>
                <w:bottom w:val="none" w:sz="0" w:space="0" w:color="auto"/>
                <w:right w:val="none" w:sz="0" w:space="0" w:color="auto"/>
              </w:divBdr>
              <w:divsChild>
                <w:div w:id="251665778">
                  <w:marLeft w:val="0"/>
                  <w:marRight w:val="0"/>
                  <w:marTop w:val="0"/>
                  <w:marBottom w:val="0"/>
                  <w:divBdr>
                    <w:top w:val="none" w:sz="0" w:space="0" w:color="auto"/>
                    <w:left w:val="none" w:sz="0" w:space="0" w:color="auto"/>
                    <w:bottom w:val="none" w:sz="0" w:space="0" w:color="auto"/>
                    <w:right w:val="none" w:sz="0" w:space="0" w:color="auto"/>
                  </w:divBdr>
                  <w:divsChild>
                    <w:div w:id="966396585">
                      <w:marLeft w:val="0"/>
                      <w:marRight w:val="0"/>
                      <w:marTop w:val="0"/>
                      <w:marBottom w:val="0"/>
                      <w:divBdr>
                        <w:top w:val="none" w:sz="0" w:space="0" w:color="auto"/>
                        <w:left w:val="none" w:sz="0" w:space="0" w:color="auto"/>
                        <w:bottom w:val="none" w:sz="0" w:space="0" w:color="auto"/>
                        <w:right w:val="none" w:sz="0" w:space="0" w:color="auto"/>
                      </w:divBdr>
                    </w:div>
                  </w:divsChild>
                </w:div>
                <w:div w:id="1839998733">
                  <w:marLeft w:val="0"/>
                  <w:marRight w:val="0"/>
                  <w:marTop w:val="0"/>
                  <w:marBottom w:val="0"/>
                  <w:divBdr>
                    <w:top w:val="none" w:sz="0" w:space="0" w:color="auto"/>
                    <w:left w:val="none" w:sz="0" w:space="0" w:color="auto"/>
                    <w:bottom w:val="none" w:sz="0" w:space="0" w:color="auto"/>
                    <w:right w:val="none" w:sz="0" w:space="0" w:color="auto"/>
                  </w:divBdr>
                  <w:divsChild>
                    <w:div w:id="1562446791">
                      <w:marLeft w:val="0"/>
                      <w:marRight w:val="0"/>
                      <w:marTop w:val="0"/>
                      <w:marBottom w:val="0"/>
                      <w:divBdr>
                        <w:top w:val="none" w:sz="0" w:space="0" w:color="auto"/>
                        <w:left w:val="none" w:sz="0" w:space="0" w:color="auto"/>
                        <w:bottom w:val="none" w:sz="0" w:space="0" w:color="auto"/>
                        <w:right w:val="none" w:sz="0" w:space="0" w:color="auto"/>
                      </w:divBdr>
                      <w:divsChild>
                        <w:div w:id="1539001358">
                          <w:marLeft w:val="0"/>
                          <w:marRight w:val="0"/>
                          <w:marTop w:val="0"/>
                          <w:marBottom w:val="0"/>
                          <w:divBdr>
                            <w:top w:val="none" w:sz="0" w:space="0" w:color="auto"/>
                            <w:left w:val="none" w:sz="0" w:space="0" w:color="auto"/>
                            <w:bottom w:val="none" w:sz="0" w:space="0" w:color="auto"/>
                            <w:right w:val="none" w:sz="0" w:space="0" w:color="auto"/>
                          </w:divBdr>
                          <w:divsChild>
                            <w:div w:id="47692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661455">
      <w:bodyDiv w:val="1"/>
      <w:marLeft w:val="0"/>
      <w:marRight w:val="0"/>
      <w:marTop w:val="0"/>
      <w:marBottom w:val="0"/>
      <w:divBdr>
        <w:top w:val="none" w:sz="0" w:space="0" w:color="auto"/>
        <w:left w:val="none" w:sz="0" w:space="0" w:color="auto"/>
        <w:bottom w:val="none" w:sz="0" w:space="0" w:color="auto"/>
        <w:right w:val="none" w:sz="0" w:space="0" w:color="auto"/>
      </w:divBdr>
      <w:divsChild>
        <w:div w:id="1727488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335150">
      <w:bodyDiv w:val="1"/>
      <w:marLeft w:val="0"/>
      <w:marRight w:val="0"/>
      <w:marTop w:val="0"/>
      <w:marBottom w:val="0"/>
      <w:divBdr>
        <w:top w:val="none" w:sz="0" w:space="0" w:color="auto"/>
        <w:left w:val="none" w:sz="0" w:space="0" w:color="auto"/>
        <w:bottom w:val="none" w:sz="0" w:space="0" w:color="auto"/>
        <w:right w:val="none" w:sz="0" w:space="0" w:color="auto"/>
      </w:divBdr>
    </w:div>
    <w:div w:id="772169794">
      <w:bodyDiv w:val="1"/>
      <w:marLeft w:val="0"/>
      <w:marRight w:val="0"/>
      <w:marTop w:val="0"/>
      <w:marBottom w:val="0"/>
      <w:divBdr>
        <w:top w:val="none" w:sz="0" w:space="0" w:color="auto"/>
        <w:left w:val="none" w:sz="0" w:space="0" w:color="auto"/>
        <w:bottom w:val="none" w:sz="0" w:space="0" w:color="auto"/>
        <w:right w:val="none" w:sz="0" w:space="0" w:color="auto"/>
      </w:divBdr>
      <w:divsChild>
        <w:div w:id="1969581105">
          <w:marLeft w:val="0"/>
          <w:marRight w:val="0"/>
          <w:marTop w:val="0"/>
          <w:marBottom w:val="0"/>
          <w:divBdr>
            <w:top w:val="none" w:sz="0" w:space="0" w:color="auto"/>
            <w:left w:val="none" w:sz="0" w:space="0" w:color="auto"/>
            <w:bottom w:val="none" w:sz="0" w:space="0" w:color="auto"/>
            <w:right w:val="none" w:sz="0" w:space="0" w:color="auto"/>
          </w:divBdr>
        </w:div>
      </w:divsChild>
    </w:div>
    <w:div w:id="776871020">
      <w:bodyDiv w:val="1"/>
      <w:marLeft w:val="0"/>
      <w:marRight w:val="0"/>
      <w:marTop w:val="0"/>
      <w:marBottom w:val="0"/>
      <w:divBdr>
        <w:top w:val="none" w:sz="0" w:space="0" w:color="auto"/>
        <w:left w:val="none" w:sz="0" w:space="0" w:color="auto"/>
        <w:bottom w:val="none" w:sz="0" w:space="0" w:color="auto"/>
        <w:right w:val="none" w:sz="0" w:space="0" w:color="auto"/>
      </w:divBdr>
    </w:div>
    <w:div w:id="778063910">
      <w:bodyDiv w:val="1"/>
      <w:marLeft w:val="0"/>
      <w:marRight w:val="0"/>
      <w:marTop w:val="0"/>
      <w:marBottom w:val="0"/>
      <w:divBdr>
        <w:top w:val="none" w:sz="0" w:space="0" w:color="auto"/>
        <w:left w:val="none" w:sz="0" w:space="0" w:color="auto"/>
        <w:bottom w:val="none" w:sz="0" w:space="0" w:color="auto"/>
        <w:right w:val="none" w:sz="0" w:space="0" w:color="auto"/>
      </w:divBdr>
    </w:div>
    <w:div w:id="796602310">
      <w:bodyDiv w:val="1"/>
      <w:marLeft w:val="0"/>
      <w:marRight w:val="0"/>
      <w:marTop w:val="0"/>
      <w:marBottom w:val="0"/>
      <w:divBdr>
        <w:top w:val="none" w:sz="0" w:space="0" w:color="auto"/>
        <w:left w:val="none" w:sz="0" w:space="0" w:color="auto"/>
        <w:bottom w:val="none" w:sz="0" w:space="0" w:color="auto"/>
        <w:right w:val="none" w:sz="0" w:space="0" w:color="auto"/>
      </w:divBdr>
      <w:divsChild>
        <w:div w:id="591091499">
          <w:marLeft w:val="0"/>
          <w:marRight w:val="0"/>
          <w:marTop w:val="0"/>
          <w:marBottom w:val="0"/>
          <w:divBdr>
            <w:top w:val="none" w:sz="0" w:space="0" w:color="auto"/>
            <w:left w:val="none" w:sz="0" w:space="0" w:color="auto"/>
            <w:bottom w:val="none" w:sz="0" w:space="0" w:color="auto"/>
            <w:right w:val="none" w:sz="0" w:space="0" w:color="auto"/>
          </w:divBdr>
        </w:div>
      </w:divsChild>
    </w:div>
    <w:div w:id="815420328">
      <w:bodyDiv w:val="1"/>
      <w:marLeft w:val="0"/>
      <w:marRight w:val="0"/>
      <w:marTop w:val="0"/>
      <w:marBottom w:val="0"/>
      <w:divBdr>
        <w:top w:val="none" w:sz="0" w:space="0" w:color="auto"/>
        <w:left w:val="none" w:sz="0" w:space="0" w:color="auto"/>
        <w:bottom w:val="none" w:sz="0" w:space="0" w:color="auto"/>
        <w:right w:val="none" w:sz="0" w:space="0" w:color="auto"/>
      </w:divBdr>
    </w:div>
    <w:div w:id="820581018">
      <w:bodyDiv w:val="1"/>
      <w:marLeft w:val="0"/>
      <w:marRight w:val="0"/>
      <w:marTop w:val="0"/>
      <w:marBottom w:val="0"/>
      <w:divBdr>
        <w:top w:val="none" w:sz="0" w:space="0" w:color="auto"/>
        <w:left w:val="none" w:sz="0" w:space="0" w:color="auto"/>
        <w:bottom w:val="none" w:sz="0" w:space="0" w:color="auto"/>
        <w:right w:val="none" w:sz="0" w:space="0" w:color="auto"/>
      </w:divBdr>
      <w:divsChild>
        <w:div w:id="796684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887790">
      <w:bodyDiv w:val="1"/>
      <w:marLeft w:val="0"/>
      <w:marRight w:val="0"/>
      <w:marTop w:val="0"/>
      <w:marBottom w:val="0"/>
      <w:divBdr>
        <w:top w:val="none" w:sz="0" w:space="0" w:color="auto"/>
        <w:left w:val="none" w:sz="0" w:space="0" w:color="auto"/>
        <w:bottom w:val="none" w:sz="0" w:space="0" w:color="auto"/>
        <w:right w:val="none" w:sz="0" w:space="0" w:color="auto"/>
      </w:divBdr>
    </w:div>
    <w:div w:id="861940536">
      <w:bodyDiv w:val="1"/>
      <w:marLeft w:val="0"/>
      <w:marRight w:val="0"/>
      <w:marTop w:val="0"/>
      <w:marBottom w:val="0"/>
      <w:divBdr>
        <w:top w:val="none" w:sz="0" w:space="0" w:color="auto"/>
        <w:left w:val="none" w:sz="0" w:space="0" w:color="auto"/>
        <w:bottom w:val="none" w:sz="0" w:space="0" w:color="auto"/>
        <w:right w:val="none" w:sz="0" w:space="0" w:color="auto"/>
      </w:divBdr>
    </w:div>
    <w:div w:id="862597747">
      <w:bodyDiv w:val="1"/>
      <w:marLeft w:val="0"/>
      <w:marRight w:val="0"/>
      <w:marTop w:val="0"/>
      <w:marBottom w:val="0"/>
      <w:divBdr>
        <w:top w:val="none" w:sz="0" w:space="0" w:color="auto"/>
        <w:left w:val="none" w:sz="0" w:space="0" w:color="auto"/>
        <w:bottom w:val="none" w:sz="0" w:space="0" w:color="auto"/>
        <w:right w:val="none" w:sz="0" w:space="0" w:color="auto"/>
      </w:divBdr>
    </w:div>
    <w:div w:id="872812341">
      <w:bodyDiv w:val="1"/>
      <w:marLeft w:val="0"/>
      <w:marRight w:val="0"/>
      <w:marTop w:val="0"/>
      <w:marBottom w:val="0"/>
      <w:divBdr>
        <w:top w:val="none" w:sz="0" w:space="0" w:color="auto"/>
        <w:left w:val="none" w:sz="0" w:space="0" w:color="auto"/>
        <w:bottom w:val="none" w:sz="0" w:space="0" w:color="auto"/>
        <w:right w:val="none" w:sz="0" w:space="0" w:color="auto"/>
      </w:divBdr>
    </w:div>
    <w:div w:id="904071166">
      <w:bodyDiv w:val="1"/>
      <w:marLeft w:val="0"/>
      <w:marRight w:val="0"/>
      <w:marTop w:val="0"/>
      <w:marBottom w:val="0"/>
      <w:divBdr>
        <w:top w:val="none" w:sz="0" w:space="0" w:color="auto"/>
        <w:left w:val="none" w:sz="0" w:space="0" w:color="auto"/>
        <w:bottom w:val="none" w:sz="0" w:space="0" w:color="auto"/>
        <w:right w:val="none" w:sz="0" w:space="0" w:color="auto"/>
      </w:divBdr>
      <w:divsChild>
        <w:div w:id="35356078">
          <w:marLeft w:val="0"/>
          <w:marRight w:val="0"/>
          <w:marTop w:val="0"/>
          <w:marBottom w:val="0"/>
          <w:divBdr>
            <w:top w:val="none" w:sz="0" w:space="0" w:color="auto"/>
            <w:left w:val="none" w:sz="0" w:space="0" w:color="auto"/>
            <w:bottom w:val="none" w:sz="0" w:space="0" w:color="auto"/>
            <w:right w:val="none" w:sz="0" w:space="0" w:color="auto"/>
          </w:divBdr>
        </w:div>
      </w:divsChild>
    </w:div>
    <w:div w:id="906840535">
      <w:bodyDiv w:val="1"/>
      <w:marLeft w:val="0"/>
      <w:marRight w:val="0"/>
      <w:marTop w:val="0"/>
      <w:marBottom w:val="0"/>
      <w:divBdr>
        <w:top w:val="none" w:sz="0" w:space="0" w:color="auto"/>
        <w:left w:val="none" w:sz="0" w:space="0" w:color="auto"/>
        <w:bottom w:val="none" w:sz="0" w:space="0" w:color="auto"/>
        <w:right w:val="none" w:sz="0" w:space="0" w:color="auto"/>
      </w:divBdr>
    </w:div>
    <w:div w:id="910120980">
      <w:bodyDiv w:val="1"/>
      <w:marLeft w:val="0"/>
      <w:marRight w:val="0"/>
      <w:marTop w:val="0"/>
      <w:marBottom w:val="0"/>
      <w:divBdr>
        <w:top w:val="none" w:sz="0" w:space="0" w:color="auto"/>
        <w:left w:val="none" w:sz="0" w:space="0" w:color="auto"/>
        <w:bottom w:val="none" w:sz="0" w:space="0" w:color="auto"/>
        <w:right w:val="none" w:sz="0" w:space="0" w:color="auto"/>
      </w:divBdr>
    </w:div>
    <w:div w:id="918448124">
      <w:bodyDiv w:val="1"/>
      <w:marLeft w:val="0"/>
      <w:marRight w:val="0"/>
      <w:marTop w:val="0"/>
      <w:marBottom w:val="0"/>
      <w:divBdr>
        <w:top w:val="none" w:sz="0" w:space="0" w:color="auto"/>
        <w:left w:val="none" w:sz="0" w:space="0" w:color="auto"/>
        <w:bottom w:val="none" w:sz="0" w:space="0" w:color="auto"/>
        <w:right w:val="none" w:sz="0" w:space="0" w:color="auto"/>
      </w:divBdr>
    </w:div>
    <w:div w:id="927926136">
      <w:bodyDiv w:val="1"/>
      <w:marLeft w:val="0"/>
      <w:marRight w:val="0"/>
      <w:marTop w:val="0"/>
      <w:marBottom w:val="0"/>
      <w:divBdr>
        <w:top w:val="none" w:sz="0" w:space="0" w:color="auto"/>
        <w:left w:val="none" w:sz="0" w:space="0" w:color="auto"/>
        <w:bottom w:val="none" w:sz="0" w:space="0" w:color="auto"/>
        <w:right w:val="none" w:sz="0" w:space="0" w:color="auto"/>
      </w:divBdr>
    </w:div>
    <w:div w:id="930627161">
      <w:bodyDiv w:val="1"/>
      <w:marLeft w:val="0"/>
      <w:marRight w:val="0"/>
      <w:marTop w:val="0"/>
      <w:marBottom w:val="0"/>
      <w:divBdr>
        <w:top w:val="none" w:sz="0" w:space="0" w:color="auto"/>
        <w:left w:val="none" w:sz="0" w:space="0" w:color="auto"/>
        <w:bottom w:val="none" w:sz="0" w:space="0" w:color="auto"/>
        <w:right w:val="none" w:sz="0" w:space="0" w:color="auto"/>
      </w:divBdr>
    </w:div>
    <w:div w:id="941765315">
      <w:bodyDiv w:val="1"/>
      <w:marLeft w:val="0"/>
      <w:marRight w:val="0"/>
      <w:marTop w:val="0"/>
      <w:marBottom w:val="0"/>
      <w:divBdr>
        <w:top w:val="none" w:sz="0" w:space="0" w:color="auto"/>
        <w:left w:val="none" w:sz="0" w:space="0" w:color="auto"/>
        <w:bottom w:val="none" w:sz="0" w:space="0" w:color="auto"/>
        <w:right w:val="none" w:sz="0" w:space="0" w:color="auto"/>
      </w:divBdr>
    </w:div>
    <w:div w:id="946742553">
      <w:bodyDiv w:val="1"/>
      <w:marLeft w:val="0"/>
      <w:marRight w:val="0"/>
      <w:marTop w:val="0"/>
      <w:marBottom w:val="0"/>
      <w:divBdr>
        <w:top w:val="none" w:sz="0" w:space="0" w:color="auto"/>
        <w:left w:val="none" w:sz="0" w:space="0" w:color="auto"/>
        <w:bottom w:val="none" w:sz="0" w:space="0" w:color="auto"/>
        <w:right w:val="none" w:sz="0" w:space="0" w:color="auto"/>
      </w:divBdr>
    </w:div>
    <w:div w:id="949092538">
      <w:bodyDiv w:val="1"/>
      <w:marLeft w:val="0"/>
      <w:marRight w:val="0"/>
      <w:marTop w:val="0"/>
      <w:marBottom w:val="0"/>
      <w:divBdr>
        <w:top w:val="none" w:sz="0" w:space="0" w:color="auto"/>
        <w:left w:val="none" w:sz="0" w:space="0" w:color="auto"/>
        <w:bottom w:val="none" w:sz="0" w:space="0" w:color="auto"/>
        <w:right w:val="none" w:sz="0" w:space="0" w:color="auto"/>
      </w:divBdr>
    </w:div>
    <w:div w:id="959264411">
      <w:bodyDiv w:val="1"/>
      <w:marLeft w:val="0"/>
      <w:marRight w:val="0"/>
      <w:marTop w:val="0"/>
      <w:marBottom w:val="0"/>
      <w:divBdr>
        <w:top w:val="none" w:sz="0" w:space="0" w:color="auto"/>
        <w:left w:val="none" w:sz="0" w:space="0" w:color="auto"/>
        <w:bottom w:val="none" w:sz="0" w:space="0" w:color="auto"/>
        <w:right w:val="none" w:sz="0" w:space="0" w:color="auto"/>
      </w:divBdr>
    </w:div>
    <w:div w:id="959342783">
      <w:bodyDiv w:val="1"/>
      <w:marLeft w:val="0"/>
      <w:marRight w:val="0"/>
      <w:marTop w:val="0"/>
      <w:marBottom w:val="0"/>
      <w:divBdr>
        <w:top w:val="none" w:sz="0" w:space="0" w:color="auto"/>
        <w:left w:val="none" w:sz="0" w:space="0" w:color="auto"/>
        <w:bottom w:val="none" w:sz="0" w:space="0" w:color="auto"/>
        <w:right w:val="none" w:sz="0" w:space="0" w:color="auto"/>
      </w:divBdr>
    </w:div>
    <w:div w:id="965544850">
      <w:bodyDiv w:val="1"/>
      <w:marLeft w:val="0"/>
      <w:marRight w:val="0"/>
      <w:marTop w:val="0"/>
      <w:marBottom w:val="0"/>
      <w:divBdr>
        <w:top w:val="none" w:sz="0" w:space="0" w:color="auto"/>
        <w:left w:val="none" w:sz="0" w:space="0" w:color="auto"/>
        <w:bottom w:val="none" w:sz="0" w:space="0" w:color="auto"/>
        <w:right w:val="none" w:sz="0" w:space="0" w:color="auto"/>
      </w:divBdr>
    </w:div>
    <w:div w:id="967466684">
      <w:bodyDiv w:val="1"/>
      <w:marLeft w:val="0"/>
      <w:marRight w:val="0"/>
      <w:marTop w:val="0"/>
      <w:marBottom w:val="0"/>
      <w:divBdr>
        <w:top w:val="none" w:sz="0" w:space="0" w:color="auto"/>
        <w:left w:val="none" w:sz="0" w:space="0" w:color="auto"/>
        <w:bottom w:val="none" w:sz="0" w:space="0" w:color="auto"/>
        <w:right w:val="none" w:sz="0" w:space="0" w:color="auto"/>
      </w:divBdr>
    </w:div>
    <w:div w:id="970288903">
      <w:bodyDiv w:val="1"/>
      <w:marLeft w:val="0"/>
      <w:marRight w:val="0"/>
      <w:marTop w:val="0"/>
      <w:marBottom w:val="0"/>
      <w:divBdr>
        <w:top w:val="none" w:sz="0" w:space="0" w:color="auto"/>
        <w:left w:val="none" w:sz="0" w:space="0" w:color="auto"/>
        <w:bottom w:val="none" w:sz="0" w:space="0" w:color="auto"/>
        <w:right w:val="none" w:sz="0" w:space="0" w:color="auto"/>
      </w:divBdr>
      <w:divsChild>
        <w:div w:id="25328980">
          <w:marLeft w:val="0"/>
          <w:marRight w:val="0"/>
          <w:marTop w:val="0"/>
          <w:marBottom w:val="0"/>
          <w:divBdr>
            <w:top w:val="none" w:sz="0" w:space="0" w:color="auto"/>
            <w:left w:val="none" w:sz="0" w:space="0" w:color="auto"/>
            <w:bottom w:val="none" w:sz="0" w:space="0" w:color="auto"/>
            <w:right w:val="none" w:sz="0" w:space="0" w:color="auto"/>
          </w:divBdr>
        </w:div>
      </w:divsChild>
    </w:div>
    <w:div w:id="1001809043">
      <w:bodyDiv w:val="1"/>
      <w:marLeft w:val="0"/>
      <w:marRight w:val="0"/>
      <w:marTop w:val="0"/>
      <w:marBottom w:val="0"/>
      <w:divBdr>
        <w:top w:val="none" w:sz="0" w:space="0" w:color="auto"/>
        <w:left w:val="none" w:sz="0" w:space="0" w:color="auto"/>
        <w:bottom w:val="none" w:sz="0" w:space="0" w:color="auto"/>
        <w:right w:val="none" w:sz="0" w:space="0" w:color="auto"/>
      </w:divBdr>
    </w:div>
    <w:div w:id="1004550118">
      <w:bodyDiv w:val="1"/>
      <w:marLeft w:val="0"/>
      <w:marRight w:val="0"/>
      <w:marTop w:val="0"/>
      <w:marBottom w:val="0"/>
      <w:divBdr>
        <w:top w:val="none" w:sz="0" w:space="0" w:color="auto"/>
        <w:left w:val="none" w:sz="0" w:space="0" w:color="auto"/>
        <w:bottom w:val="none" w:sz="0" w:space="0" w:color="auto"/>
        <w:right w:val="none" w:sz="0" w:space="0" w:color="auto"/>
      </w:divBdr>
    </w:div>
    <w:div w:id="1023553997">
      <w:bodyDiv w:val="1"/>
      <w:marLeft w:val="0"/>
      <w:marRight w:val="0"/>
      <w:marTop w:val="0"/>
      <w:marBottom w:val="0"/>
      <w:divBdr>
        <w:top w:val="none" w:sz="0" w:space="0" w:color="auto"/>
        <w:left w:val="none" w:sz="0" w:space="0" w:color="auto"/>
        <w:bottom w:val="none" w:sz="0" w:space="0" w:color="auto"/>
        <w:right w:val="none" w:sz="0" w:space="0" w:color="auto"/>
      </w:divBdr>
    </w:div>
    <w:div w:id="1050568863">
      <w:bodyDiv w:val="1"/>
      <w:marLeft w:val="0"/>
      <w:marRight w:val="0"/>
      <w:marTop w:val="0"/>
      <w:marBottom w:val="0"/>
      <w:divBdr>
        <w:top w:val="none" w:sz="0" w:space="0" w:color="auto"/>
        <w:left w:val="none" w:sz="0" w:space="0" w:color="auto"/>
        <w:bottom w:val="none" w:sz="0" w:space="0" w:color="auto"/>
        <w:right w:val="none" w:sz="0" w:space="0" w:color="auto"/>
      </w:divBdr>
    </w:div>
    <w:div w:id="1055157991">
      <w:bodyDiv w:val="1"/>
      <w:marLeft w:val="0"/>
      <w:marRight w:val="0"/>
      <w:marTop w:val="0"/>
      <w:marBottom w:val="0"/>
      <w:divBdr>
        <w:top w:val="none" w:sz="0" w:space="0" w:color="auto"/>
        <w:left w:val="none" w:sz="0" w:space="0" w:color="auto"/>
        <w:bottom w:val="none" w:sz="0" w:space="0" w:color="auto"/>
        <w:right w:val="none" w:sz="0" w:space="0" w:color="auto"/>
      </w:divBdr>
    </w:div>
    <w:div w:id="1093403658">
      <w:bodyDiv w:val="1"/>
      <w:marLeft w:val="0"/>
      <w:marRight w:val="0"/>
      <w:marTop w:val="0"/>
      <w:marBottom w:val="0"/>
      <w:divBdr>
        <w:top w:val="none" w:sz="0" w:space="0" w:color="auto"/>
        <w:left w:val="none" w:sz="0" w:space="0" w:color="auto"/>
        <w:bottom w:val="none" w:sz="0" w:space="0" w:color="auto"/>
        <w:right w:val="none" w:sz="0" w:space="0" w:color="auto"/>
      </w:divBdr>
      <w:divsChild>
        <w:div w:id="487093498">
          <w:marLeft w:val="0"/>
          <w:marRight w:val="0"/>
          <w:marTop w:val="0"/>
          <w:marBottom w:val="0"/>
          <w:divBdr>
            <w:top w:val="none" w:sz="0" w:space="0" w:color="auto"/>
            <w:left w:val="none" w:sz="0" w:space="0" w:color="auto"/>
            <w:bottom w:val="none" w:sz="0" w:space="0" w:color="auto"/>
            <w:right w:val="none" w:sz="0" w:space="0" w:color="auto"/>
          </w:divBdr>
          <w:divsChild>
            <w:div w:id="39911718">
              <w:marLeft w:val="0"/>
              <w:marRight w:val="0"/>
              <w:marTop w:val="0"/>
              <w:marBottom w:val="0"/>
              <w:divBdr>
                <w:top w:val="none" w:sz="0" w:space="0" w:color="auto"/>
                <w:left w:val="none" w:sz="0" w:space="0" w:color="auto"/>
                <w:bottom w:val="none" w:sz="0" w:space="0" w:color="auto"/>
                <w:right w:val="none" w:sz="0" w:space="0" w:color="auto"/>
              </w:divBdr>
              <w:divsChild>
                <w:div w:id="1610963834">
                  <w:marLeft w:val="0"/>
                  <w:marRight w:val="0"/>
                  <w:marTop w:val="0"/>
                  <w:marBottom w:val="0"/>
                  <w:divBdr>
                    <w:top w:val="none" w:sz="0" w:space="0" w:color="auto"/>
                    <w:left w:val="none" w:sz="0" w:space="0" w:color="auto"/>
                    <w:bottom w:val="none" w:sz="0" w:space="0" w:color="auto"/>
                    <w:right w:val="none" w:sz="0" w:space="0" w:color="auto"/>
                  </w:divBdr>
                  <w:divsChild>
                    <w:div w:id="1984433105">
                      <w:marLeft w:val="0"/>
                      <w:marRight w:val="0"/>
                      <w:marTop w:val="0"/>
                      <w:marBottom w:val="0"/>
                      <w:divBdr>
                        <w:top w:val="none" w:sz="0" w:space="0" w:color="auto"/>
                        <w:left w:val="none" w:sz="0" w:space="0" w:color="auto"/>
                        <w:bottom w:val="none" w:sz="0" w:space="0" w:color="auto"/>
                        <w:right w:val="none" w:sz="0" w:space="0" w:color="auto"/>
                      </w:divBdr>
                      <w:divsChild>
                        <w:div w:id="1646163499">
                          <w:marLeft w:val="0"/>
                          <w:marRight w:val="0"/>
                          <w:marTop w:val="0"/>
                          <w:marBottom w:val="0"/>
                          <w:divBdr>
                            <w:top w:val="none" w:sz="0" w:space="0" w:color="auto"/>
                            <w:left w:val="none" w:sz="0" w:space="0" w:color="auto"/>
                            <w:bottom w:val="none" w:sz="0" w:space="0" w:color="auto"/>
                            <w:right w:val="none" w:sz="0" w:space="0" w:color="auto"/>
                          </w:divBdr>
                          <w:divsChild>
                            <w:div w:id="132142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498016">
      <w:bodyDiv w:val="1"/>
      <w:marLeft w:val="0"/>
      <w:marRight w:val="0"/>
      <w:marTop w:val="0"/>
      <w:marBottom w:val="0"/>
      <w:divBdr>
        <w:top w:val="none" w:sz="0" w:space="0" w:color="auto"/>
        <w:left w:val="none" w:sz="0" w:space="0" w:color="auto"/>
        <w:bottom w:val="none" w:sz="0" w:space="0" w:color="auto"/>
        <w:right w:val="none" w:sz="0" w:space="0" w:color="auto"/>
      </w:divBdr>
    </w:div>
    <w:div w:id="1104761256">
      <w:bodyDiv w:val="1"/>
      <w:marLeft w:val="0"/>
      <w:marRight w:val="0"/>
      <w:marTop w:val="0"/>
      <w:marBottom w:val="0"/>
      <w:divBdr>
        <w:top w:val="none" w:sz="0" w:space="0" w:color="auto"/>
        <w:left w:val="none" w:sz="0" w:space="0" w:color="auto"/>
        <w:bottom w:val="none" w:sz="0" w:space="0" w:color="auto"/>
        <w:right w:val="none" w:sz="0" w:space="0" w:color="auto"/>
      </w:divBdr>
    </w:div>
    <w:div w:id="1106774374">
      <w:bodyDiv w:val="1"/>
      <w:marLeft w:val="0"/>
      <w:marRight w:val="0"/>
      <w:marTop w:val="0"/>
      <w:marBottom w:val="0"/>
      <w:divBdr>
        <w:top w:val="none" w:sz="0" w:space="0" w:color="auto"/>
        <w:left w:val="none" w:sz="0" w:space="0" w:color="auto"/>
        <w:bottom w:val="none" w:sz="0" w:space="0" w:color="auto"/>
        <w:right w:val="none" w:sz="0" w:space="0" w:color="auto"/>
      </w:divBdr>
    </w:div>
    <w:div w:id="1124544208">
      <w:bodyDiv w:val="1"/>
      <w:marLeft w:val="0"/>
      <w:marRight w:val="0"/>
      <w:marTop w:val="0"/>
      <w:marBottom w:val="0"/>
      <w:divBdr>
        <w:top w:val="none" w:sz="0" w:space="0" w:color="auto"/>
        <w:left w:val="none" w:sz="0" w:space="0" w:color="auto"/>
        <w:bottom w:val="none" w:sz="0" w:space="0" w:color="auto"/>
        <w:right w:val="none" w:sz="0" w:space="0" w:color="auto"/>
      </w:divBdr>
    </w:div>
    <w:div w:id="1131675668">
      <w:bodyDiv w:val="1"/>
      <w:marLeft w:val="0"/>
      <w:marRight w:val="0"/>
      <w:marTop w:val="0"/>
      <w:marBottom w:val="0"/>
      <w:divBdr>
        <w:top w:val="none" w:sz="0" w:space="0" w:color="auto"/>
        <w:left w:val="none" w:sz="0" w:space="0" w:color="auto"/>
        <w:bottom w:val="none" w:sz="0" w:space="0" w:color="auto"/>
        <w:right w:val="none" w:sz="0" w:space="0" w:color="auto"/>
      </w:divBdr>
    </w:div>
    <w:div w:id="1151170134">
      <w:bodyDiv w:val="1"/>
      <w:marLeft w:val="0"/>
      <w:marRight w:val="0"/>
      <w:marTop w:val="0"/>
      <w:marBottom w:val="0"/>
      <w:divBdr>
        <w:top w:val="none" w:sz="0" w:space="0" w:color="auto"/>
        <w:left w:val="none" w:sz="0" w:space="0" w:color="auto"/>
        <w:bottom w:val="none" w:sz="0" w:space="0" w:color="auto"/>
        <w:right w:val="none" w:sz="0" w:space="0" w:color="auto"/>
      </w:divBdr>
    </w:div>
    <w:div w:id="1153527770">
      <w:bodyDiv w:val="1"/>
      <w:marLeft w:val="0"/>
      <w:marRight w:val="0"/>
      <w:marTop w:val="0"/>
      <w:marBottom w:val="0"/>
      <w:divBdr>
        <w:top w:val="none" w:sz="0" w:space="0" w:color="auto"/>
        <w:left w:val="none" w:sz="0" w:space="0" w:color="auto"/>
        <w:bottom w:val="none" w:sz="0" w:space="0" w:color="auto"/>
        <w:right w:val="none" w:sz="0" w:space="0" w:color="auto"/>
      </w:divBdr>
      <w:divsChild>
        <w:div w:id="1249271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993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7675907">
      <w:bodyDiv w:val="1"/>
      <w:marLeft w:val="0"/>
      <w:marRight w:val="0"/>
      <w:marTop w:val="0"/>
      <w:marBottom w:val="0"/>
      <w:divBdr>
        <w:top w:val="none" w:sz="0" w:space="0" w:color="auto"/>
        <w:left w:val="none" w:sz="0" w:space="0" w:color="auto"/>
        <w:bottom w:val="none" w:sz="0" w:space="0" w:color="auto"/>
        <w:right w:val="none" w:sz="0" w:space="0" w:color="auto"/>
      </w:divBdr>
    </w:div>
    <w:div w:id="1177110226">
      <w:bodyDiv w:val="1"/>
      <w:marLeft w:val="0"/>
      <w:marRight w:val="0"/>
      <w:marTop w:val="0"/>
      <w:marBottom w:val="0"/>
      <w:divBdr>
        <w:top w:val="none" w:sz="0" w:space="0" w:color="auto"/>
        <w:left w:val="none" w:sz="0" w:space="0" w:color="auto"/>
        <w:bottom w:val="none" w:sz="0" w:space="0" w:color="auto"/>
        <w:right w:val="none" w:sz="0" w:space="0" w:color="auto"/>
      </w:divBdr>
    </w:div>
    <w:div w:id="1197886875">
      <w:bodyDiv w:val="1"/>
      <w:marLeft w:val="0"/>
      <w:marRight w:val="0"/>
      <w:marTop w:val="0"/>
      <w:marBottom w:val="0"/>
      <w:divBdr>
        <w:top w:val="none" w:sz="0" w:space="0" w:color="auto"/>
        <w:left w:val="none" w:sz="0" w:space="0" w:color="auto"/>
        <w:bottom w:val="none" w:sz="0" w:space="0" w:color="auto"/>
        <w:right w:val="none" w:sz="0" w:space="0" w:color="auto"/>
      </w:divBdr>
    </w:div>
    <w:div w:id="1200774402">
      <w:bodyDiv w:val="1"/>
      <w:marLeft w:val="0"/>
      <w:marRight w:val="0"/>
      <w:marTop w:val="0"/>
      <w:marBottom w:val="0"/>
      <w:divBdr>
        <w:top w:val="none" w:sz="0" w:space="0" w:color="auto"/>
        <w:left w:val="none" w:sz="0" w:space="0" w:color="auto"/>
        <w:bottom w:val="none" w:sz="0" w:space="0" w:color="auto"/>
        <w:right w:val="none" w:sz="0" w:space="0" w:color="auto"/>
      </w:divBdr>
    </w:div>
    <w:div w:id="1252617119">
      <w:bodyDiv w:val="1"/>
      <w:marLeft w:val="0"/>
      <w:marRight w:val="0"/>
      <w:marTop w:val="0"/>
      <w:marBottom w:val="0"/>
      <w:divBdr>
        <w:top w:val="none" w:sz="0" w:space="0" w:color="auto"/>
        <w:left w:val="none" w:sz="0" w:space="0" w:color="auto"/>
        <w:bottom w:val="none" w:sz="0" w:space="0" w:color="auto"/>
        <w:right w:val="none" w:sz="0" w:space="0" w:color="auto"/>
      </w:divBdr>
    </w:div>
    <w:div w:id="1268847276">
      <w:bodyDiv w:val="1"/>
      <w:marLeft w:val="0"/>
      <w:marRight w:val="0"/>
      <w:marTop w:val="0"/>
      <w:marBottom w:val="0"/>
      <w:divBdr>
        <w:top w:val="none" w:sz="0" w:space="0" w:color="auto"/>
        <w:left w:val="none" w:sz="0" w:space="0" w:color="auto"/>
        <w:bottom w:val="none" w:sz="0" w:space="0" w:color="auto"/>
        <w:right w:val="none" w:sz="0" w:space="0" w:color="auto"/>
      </w:divBdr>
    </w:div>
    <w:div w:id="1280184344">
      <w:bodyDiv w:val="1"/>
      <w:marLeft w:val="0"/>
      <w:marRight w:val="0"/>
      <w:marTop w:val="0"/>
      <w:marBottom w:val="0"/>
      <w:divBdr>
        <w:top w:val="none" w:sz="0" w:space="0" w:color="auto"/>
        <w:left w:val="none" w:sz="0" w:space="0" w:color="auto"/>
        <w:bottom w:val="none" w:sz="0" w:space="0" w:color="auto"/>
        <w:right w:val="none" w:sz="0" w:space="0" w:color="auto"/>
      </w:divBdr>
    </w:div>
    <w:div w:id="1281063784">
      <w:bodyDiv w:val="1"/>
      <w:marLeft w:val="0"/>
      <w:marRight w:val="0"/>
      <w:marTop w:val="0"/>
      <w:marBottom w:val="0"/>
      <w:divBdr>
        <w:top w:val="none" w:sz="0" w:space="0" w:color="auto"/>
        <w:left w:val="none" w:sz="0" w:space="0" w:color="auto"/>
        <w:bottom w:val="none" w:sz="0" w:space="0" w:color="auto"/>
        <w:right w:val="none" w:sz="0" w:space="0" w:color="auto"/>
      </w:divBdr>
    </w:div>
    <w:div w:id="1285891287">
      <w:bodyDiv w:val="1"/>
      <w:marLeft w:val="0"/>
      <w:marRight w:val="0"/>
      <w:marTop w:val="0"/>
      <w:marBottom w:val="0"/>
      <w:divBdr>
        <w:top w:val="none" w:sz="0" w:space="0" w:color="auto"/>
        <w:left w:val="none" w:sz="0" w:space="0" w:color="auto"/>
        <w:bottom w:val="none" w:sz="0" w:space="0" w:color="auto"/>
        <w:right w:val="none" w:sz="0" w:space="0" w:color="auto"/>
      </w:divBdr>
    </w:div>
    <w:div w:id="1292860210">
      <w:bodyDiv w:val="1"/>
      <w:marLeft w:val="0"/>
      <w:marRight w:val="0"/>
      <w:marTop w:val="0"/>
      <w:marBottom w:val="0"/>
      <w:divBdr>
        <w:top w:val="none" w:sz="0" w:space="0" w:color="auto"/>
        <w:left w:val="none" w:sz="0" w:space="0" w:color="auto"/>
        <w:bottom w:val="none" w:sz="0" w:space="0" w:color="auto"/>
        <w:right w:val="none" w:sz="0" w:space="0" w:color="auto"/>
      </w:divBdr>
    </w:div>
    <w:div w:id="1304653393">
      <w:bodyDiv w:val="1"/>
      <w:marLeft w:val="0"/>
      <w:marRight w:val="0"/>
      <w:marTop w:val="0"/>
      <w:marBottom w:val="0"/>
      <w:divBdr>
        <w:top w:val="none" w:sz="0" w:space="0" w:color="auto"/>
        <w:left w:val="none" w:sz="0" w:space="0" w:color="auto"/>
        <w:bottom w:val="none" w:sz="0" w:space="0" w:color="auto"/>
        <w:right w:val="none" w:sz="0" w:space="0" w:color="auto"/>
      </w:divBdr>
    </w:div>
    <w:div w:id="1305810881">
      <w:bodyDiv w:val="1"/>
      <w:marLeft w:val="0"/>
      <w:marRight w:val="0"/>
      <w:marTop w:val="0"/>
      <w:marBottom w:val="0"/>
      <w:divBdr>
        <w:top w:val="none" w:sz="0" w:space="0" w:color="auto"/>
        <w:left w:val="none" w:sz="0" w:space="0" w:color="auto"/>
        <w:bottom w:val="none" w:sz="0" w:space="0" w:color="auto"/>
        <w:right w:val="none" w:sz="0" w:space="0" w:color="auto"/>
      </w:divBdr>
    </w:div>
    <w:div w:id="1307198541">
      <w:bodyDiv w:val="1"/>
      <w:marLeft w:val="0"/>
      <w:marRight w:val="0"/>
      <w:marTop w:val="0"/>
      <w:marBottom w:val="0"/>
      <w:divBdr>
        <w:top w:val="none" w:sz="0" w:space="0" w:color="auto"/>
        <w:left w:val="none" w:sz="0" w:space="0" w:color="auto"/>
        <w:bottom w:val="none" w:sz="0" w:space="0" w:color="auto"/>
        <w:right w:val="none" w:sz="0" w:space="0" w:color="auto"/>
      </w:divBdr>
      <w:divsChild>
        <w:div w:id="585917232">
          <w:marLeft w:val="0"/>
          <w:marRight w:val="0"/>
          <w:marTop w:val="0"/>
          <w:marBottom w:val="0"/>
          <w:divBdr>
            <w:top w:val="none" w:sz="0" w:space="0" w:color="auto"/>
            <w:left w:val="none" w:sz="0" w:space="0" w:color="auto"/>
            <w:bottom w:val="none" w:sz="0" w:space="0" w:color="auto"/>
            <w:right w:val="none" w:sz="0" w:space="0" w:color="auto"/>
          </w:divBdr>
        </w:div>
      </w:divsChild>
    </w:div>
    <w:div w:id="1313101459">
      <w:bodyDiv w:val="1"/>
      <w:marLeft w:val="0"/>
      <w:marRight w:val="0"/>
      <w:marTop w:val="0"/>
      <w:marBottom w:val="0"/>
      <w:divBdr>
        <w:top w:val="none" w:sz="0" w:space="0" w:color="auto"/>
        <w:left w:val="none" w:sz="0" w:space="0" w:color="auto"/>
        <w:bottom w:val="none" w:sz="0" w:space="0" w:color="auto"/>
        <w:right w:val="none" w:sz="0" w:space="0" w:color="auto"/>
      </w:divBdr>
    </w:div>
    <w:div w:id="1313484301">
      <w:bodyDiv w:val="1"/>
      <w:marLeft w:val="0"/>
      <w:marRight w:val="0"/>
      <w:marTop w:val="0"/>
      <w:marBottom w:val="0"/>
      <w:divBdr>
        <w:top w:val="none" w:sz="0" w:space="0" w:color="auto"/>
        <w:left w:val="none" w:sz="0" w:space="0" w:color="auto"/>
        <w:bottom w:val="none" w:sz="0" w:space="0" w:color="auto"/>
        <w:right w:val="none" w:sz="0" w:space="0" w:color="auto"/>
      </w:divBdr>
    </w:div>
    <w:div w:id="1314335668">
      <w:bodyDiv w:val="1"/>
      <w:marLeft w:val="0"/>
      <w:marRight w:val="0"/>
      <w:marTop w:val="0"/>
      <w:marBottom w:val="0"/>
      <w:divBdr>
        <w:top w:val="none" w:sz="0" w:space="0" w:color="auto"/>
        <w:left w:val="none" w:sz="0" w:space="0" w:color="auto"/>
        <w:bottom w:val="none" w:sz="0" w:space="0" w:color="auto"/>
        <w:right w:val="none" w:sz="0" w:space="0" w:color="auto"/>
      </w:divBdr>
    </w:div>
    <w:div w:id="1319074528">
      <w:bodyDiv w:val="1"/>
      <w:marLeft w:val="0"/>
      <w:marRight w:val="0"/>
      <w:marTop w:val="0"/>
      <w:marBottom w:val="0"/>
      <w:divBdr>
        <w:top w:val="none" w:sz="0" w:space="0" w:color="auto"/>
        <w:left w:val="none" w:sz="0" w:space="0" w:color="auto"/>
        <w:bottom w:val="none" w:sz="0" w:space="0" w:color="auto"/>
        <w:right w:val="none" w:sz="0" w:space="0" w:color="auto"/>
      </w:divBdr>
    </w:div>
    <w:div w:id="1330249817">
      <w:bodyDiv w:val="1"/>
      <w:marLeft w:val="0"/>
      <w:marRight w:val="0"/>
      <w:marTop w:val="0"/>
      <w:marBottom w:val="0"/>
      <w:divBdr>
        <w:top w:val="none" w:sz="0" w:space="0" w:color="auto"/>
        <w:left w:val="none" w:sz="0" w:space="0" w:color="auto"/>
        <w:bottom w:val="none" w:sz="0" w:space="0" w:color="auto"/>
        <w:right w:val="none" w:sz="0" w:space="0" w:color="auto"/>
      </w:divBdr>
    </w:div>
    <w:div w:id="1337536699">
      <w:bodyDiv w:val="1"/>
      <w:marLeft w:val="0"/>
      <w:marRight w:val="0"/>
      <w:marTop w:val="0"/>
      <w:marBottom w:val="0"/>
      <w:divBdr>
        <w:top w:val="none" w:sz="0" w:space="0" w:color="auto"/>
        <w:left w:val="none" w:sz="0" w:space="0" w:color="auto"/>
        <w:bottom w:val="none" w:sz="0" w:space="0" w:color="auto"/>
        <w:right w:val="none" w:sz="0" w:space="0" w:color="auto"/>
      </w:divBdr>
    </w:div>
    <w:div w:id="1340736298">
      <w:bodyDiv w:val="1"/>
      <w:marLeft w:val="0"/>
      <w:marRight w:val="0"/>
      <w:marTop w:val="0"/>
      <w:marBottom w:val="0"/>
      <w:divBdr>
        <w:top w:val="none" w:sz="0" w:space="0" w:color="auto"/>
        <w:left w:val="none" w:sz="0" w:space="0" w:color="auto"/>
        <w:bottom w:val="none" w:sz="0" w:space="0" w:color="auto"/>
        <w:right w:val="none" w:sz="0" w:space="0" w:color="auto"/>
      </w:divBdr>
    </w:div>
    <w:div w:id="1351108985">
      <w:bodyDiv w:val="1"/>
      <w:marLeft w:val="0"/>
      <w:marRight w:val="0"/>
      <w:marTop w:val="0"/>
      <w:marBottom w:val="0"/>
      <w:divBdr>
        <w:top w:val="none" w:sz="0" w:space="0" w:color="auto"/>
        <w:left w:val="none" w:sz="0" w:space="0" w:color="auto"/>
        <w:bottom w:val="none" w:sz="0" w:space="0" w:color="auto"/>
        <w:right w:val="none" w:sz="0" w:space="0" w:color="auto"/>
      </w:divBdr>
    </w:div>
    <w:div w:id="1360937369">
      <w:bodyDiv w:val="1"/>
      <w:marLeft w:val="0"/>
      <w:marRight w:val="0"/>
      <w:marTop w:val="0"/>
      <w:marBottom w:val="0"/>
      <w:divBdr>
        <w:top w:val="none" w:sz="0" w:space="0" w:color="auto"/>
        <w:left w:val="none" w:sz="0" w:space="0" w:color="auto"/>
        <w:bottom w:val="none" w:sz="0" w:space="0" w:color="auto"/>
        <w:right w:val="none" w:sz="0" w:space="0" w:color="auto"/>
      </w:divBdr>
    </w:div>
    <w:div w:id="1363944242">
      <w:bodyDiv w:val="1"/>
      <w:marLeft w:val="0"/>
      <w:marRight w:val="0"/>
      <w:marTop w:val="0"/>
      <w:marBottom w:val="0"/>
      <w:divBdr>
        <w:top w:val="none" w:sz="0" w:space="0" w:color="auto"/>
        <w:left w:val="none" w:sz="0" w:space="0" w:color="auto"/>
        <w:bottom w:val="none" w:sz="0" w:space="0" w:color="auto"/>
        <w:right w:val="none" w:sz="0" w:space="0" w:color="auto"/>
      </w:divBdr>
    </w:div>
    <w:div w:id="1372144748">
      <w:bodyDiv w:val="1"/>
      <w:marLeft w:val="0"/>
      <w:marRight w:val="0"/>
      <w:marTop w:val="0"/>
      <w:marBottom w:val="0"/>
      <w:divBdr>
        <w:top w:val="none" w:sz="0" w:space="0" w:color="auto"/>
        <w:left w:val="none" w:sz="0" w:space="0" w:color="auto"/>
        <w:bottom w:val="none" w:sz="0" w:space="0" w:color="auto"/>
        <w:right w:val="none" w:sz="0" w:space="0" w:color="auto"/>
      </w:divBdr>
    </w:div>
    <w:div w:id="1376393929">
      <w:bodyDiv w:val="1"/>
      <w:marLeft w:val="0"/>
      <w:marRight w:val="0"/>
      <w:marTop w:val="0"/>
      <w:marBottom w:val="0"/>
      <w:divBdr>
        <w:top w:val="none" w:sz="0" w:space="0" w:color="auto"/>
        <w:left w:val="none" w:sz="0" w:space="0" w:color="auto"/>
        <w:bottom w:val="none" w:sz="0" w:space="0" w:color="auto"/>
        <w:right w:val="none" w:sz="0" w:space="0" w:color="auto"/>
      </w:divBdr>
    </w:div>
    <w:div w:id="1391541875">
      <w:bodyDiv w:val="1"/>
      <w:marLeft w:val="0"/>
      <w:marRight w:val="0"/>
      <w:marTop w:val="0"/>
      <w:marBottom w:val="0"/>
      <w:divBdr>
        <w:top w:val="none" w:sz="0" w:space="0" w:color="auto"/>
        <w:left w:val="none" w:sz="0" w:space="0" w:color="auto"/>
        <w:bottom w:val="none" w:sz="0" w:space="0" w:color="auto"/>
        <w:right w:val="none" w:sz="0" w:space="0" w:color="auto"/>
      </w:divBdr>
    </w:div>
    <w:div w:id="1392121880">
      <w:bodyDiv w:val="1"/>
      <w:marLeft w:val="0"/>
      <w:marRight w:val="0"/>
      <w:marTop w:val="0"/>
      <w:marBottom w:val="0"/>
      <w:divBdr>
        <w:top w:val="none" w:sz="0" w:space="0" w:color="auto"/>
        <w:left w:val="none" w:sz="0" w:space="0" w:color="auto"/>
        <w:bottom w:val="none" w:sz="0" w:space="0" w:color="auto"/>
        <w:right w:val="none" w:sz="0" w:space="0" w:color="auto"/>
      </w:divBdr>
    </w:div>
    <w:div w:id="1398018080">
      <w:bodyDiv w:val="1"/>
      <w:marLeft w:val="0"/>
      <w:marRight w:val="0"/>
      <w:marTop w:val="0"/>
      <w:marBottom w:val="0"/>
      <w:divBdr>
        <w:top w:val="none" w:sz="0" w:space="0" w:color="auto"/>
        <w:left w:val="none" w:sz="0" w:space="0" w:color="auto"/>
        <w:bottom w:val="none" w:sz="0" w:space="0" w:color="auto"/>
        <w:right w:val="none" w:sz="0" w:space="0" w:color="auto"/>
      </w:divBdr>
    </w:div>
    <w:div w:id="1405293932">
      <w:bodyDiv w:val="1"/>
      <w:marLeft w:val="0"/>
      <w:marRight w:val="0"/>
      <w:marTop w:val="0"/>
      <w:marBottom w:val="0"/>
      <w:divBdr>
        <w:top w:val="none" w:sz="0" w:space="0" w:color="auto"/>
        <w:left w:val="none" w:sz="0" w:space="0" w:color="auto"/>
        <w:bottom w:val="none" w:sz="0" w:space="0" w:color="auto"/>
        <w:right w:val="none" w:sz="0" w:space="0" w:color="auto"/>
      </w:divBdr>
    </w:div>
    <w:div w:id="1406997614">
      <w:bodyDiv w:val="1"/>
      <w:marLeft w:val="0"/>
      <w:marRight w:val="0"/>
      <w:marTop w:val="0"/>
      <w:marBottom w:val="0"/>
      <w:divBdr>
        <w:top w:val="none" w:sz="0" w:space="0" w:color="auto"/>
        <w:left w:val="none" w:sz="0" w:space="0" w:color="auto"/>
        <w:bottom w:val="none" w:sz="0" w:space="0" w:color="auto"/>
        <w:right w:val="none" w:sz="0" w:space="0" w:color="auto"/>
      </w:divBdr>
    </w:div>
    <w:div w:id="1411538279">
      <w:bodyDiv w:val="1"/>
      <w:marLeft w:val="0"/>
      <w:marRight w:val="0"/>
      <w:marTop w:val="0"/>
      <w:marBottom w:val="0"/>
      <w:divBdr>
        <w:top w:val="none" w:sz="0" w:space="0" w:color="auto"/>
        <w:left w:val="none" w:sz="0" w:space="0" w:color="auto"/>
        <w:bottom w:val="none" w:sz="0" w:space="0" w:color="auto"/>
        <w:right w:val="none" w:sz="0" w:space="0" w:color="auto"/>
      </w:divBdr>
    </w:div>
    <w:div w:id="1415661577">
      <w:bodyDiv w:val="1"/>
      <w:marLeft w:val="0"/>
      <w:marRight w:val="0"/>
      <w:marTop w:val="0"/>
      <w:marBottom w:val="0"/>
      <w:divBdr>
        <w:top w:val="none" w:sz="0" w:space="0" w:color="auto"/>
        <w:left w:val="none" w:sz="0" w:space="0" w:color="auto"/>
        <w:bottom w:val="none" w:sz="0" w:space="0" w:color="auto"/>
        <w:right w:val="none" w:sz="0" w:space="0" w:color="auto"/>
      </w:divBdr>
    </w:div>
    <w:div w:id="1419056577">
      <w:bodyDiv w:val="1"/>
      <w:marLeft w:val="0"/>
      <w:marRight w:val="0"/>
      <w:marTop w:val="0"/>
      <w:marBottom w:val="0"/>
      <w:divBdr>
        <w:top w:val="none" w:sz="0" w:space="0" w:color="auto"/>
        <w:left w:val="none" w:sz="0" w:space="0" w:color="auto"/>
        <w:bottom w:val="none" w:sz="0" w:space="0" w:color="auto"/>
        <w:right w:val="none" w:sz="0" w:space="0" w:color="auto"/>
      </w:divBdr>
    </w:div>
    <w:div w:id="1421179973">
      <w:bodyDiv w:val="1"/>
      <w:marLeft w:val="0"/>
      <w:marRight w:val="0"/>
      <w:marTop w:val="0"/>
      <w:marBottom w:val="0"/>
      <w:divBdr>
        <w:top w:val="none" w:sz="0" w:space="0" w:color="auto"/>
        <w:left w:val="none" w:sz="0" w:space="0" w:color="auto"/>
        <w:bottom w:val="none" w:sz="0" w:space="0" w:color="auto"/>
        <w:right w:val="none" w:sz="0" w:space="0" w:color="auto"/>
      </w:divBdr>
    </w:div>
    <w:div w:id="1426531447">
      <w:bodyDiv w:val="1"/>
      <w:marLeft w:val="0"/>
      <w:marRight w:val="0"/>
      <w:marTop w:val="0"/>
      <w:marBottom w:val="0"/>
      <w:divBdr>
        <w:top w:val="none" w:sz="0" w:space="0" w:color="auto"/>
        <w:left w:val="none" w:sz="0" w:space="0" w:color="auto"/>
        <w:bottom w:val="none" w:sz="0" w:space="0" w:color="auto"/>
        <w:right w:val="none" w:sz="0" w:space="0" w:color="auto"/>
      </w:divBdr>
    </w:div>
    <w:div w:id="1426537808">
      <w:bodyDiv w:val="1"/>
      <w:marLeft w:val="0"/>
      <w:marRight w:val="0"/>
      <w:marTop w:val="0"/>
      <w:marBottom w:val="0"/>
      <w:divBdr>
        <w:top w:val="none" w:sz="0" w:space="0" w:color="auto"/>
        <w:left w:val="none" w:sz="0" w:space="0" w:color="auto"/>
        <w:bottom w:val="none" w:sz="0" w:space="0" w:color="auto"/>
        <w:right w:val="none" w:sz="0" w:space="0" w:color="auto"/>
      </w:divBdr>
    </w:div>
    <w:div w:id="1450081153">
      <w:bodyDiv w:val="1"/>
      <w:marLeft w:val="0"/>
      <w:marRight w:val="0"/>
      <w:marTop w:val="0"/>
      <w:marBottom w:val="0"/>
      <w:divBdr>
        <w:top w:val="none" w:sz="0" w:space="0" w:color="auto"/>
        <w:left w:val="none" w:sz="0" w:space="0" w:color="auto"/>
        <w:bottom w:val="none" w:sz="0" w:space="0" w:color="auto"/>
        <w:right w:val="none" w:sz="0" w:space="0" w:color="auto"/>
      </w:divBdr>
    </w:div>
    <w:div w:id="1468165662">
      <w:bodyDiv w:val="1"/>
      <w:marLeft w:val="0"/>
      <w:marRight w:val="0"/>
      <w:marTop w:val="0"/>
      <w:marBottom w:val="0"/>
      <w:divBdr>
        <w:top w:val="none" w:sz="0" w:space="0" w:color="auto"/>
        <w:left w:val="none" w:sz="0" w:space="0" w:color="auto"/>
        <w:bottom w:val="none" w:sz="0" w:space="0" w:color="auto"/>
        <w:right w:val="none" w:sz="0" w:space="0" w:color="auto"/>
      </w:divBdr>
    </w:div>
    <w:div w:id="1470826122">
      <w:bodyDiv w:val="1"/>
      <w:marLeft w:val="0"/>
      <w:marRight w:val="0"/>
      <w:marTop w:val="0"/>
      <w:marBottom w:val="0"/>
      <w:divBdr>
        <w:top w:val="none" w:sz="0" w:space="0" w:color="auto"/>
        <w:left w:val="none" w:sz="0" w:space="0" w:color="auto"/>
        <w:bottom w:val="none" w:sz="0" w:space="0" w:color="auto"/>
        <w:right w:val="none" w:sz="0" w:space="0" w:color="auto"/>
      </w:divBdr>
    </w:div>
    <w:div w:id="1479305154">
      <w:bodyDiv w:val="1"/>
      <w:marLeft w:val="0"/>
      <w:marRight w:val="0"/>
      <w:marTop w:val="0"/>
      <w:marBottom w:val="0"/>
      <w:divBdr>
        <w:top w:val="none" w:sz="0" w:space="0" w:color="auto"/>
        <w:left w:val="none" w:sz="0" w:space="0" w:color="auto"/>
        <w:bottom w:val="none" w:sz="0" w:space="0" w:color="auto"/>
        <w:right w:val="none" w:sz="0" w:space="0" w:color="auto"/>
      </w:divBdr>
      <w:divsChild>
        <w:div w:id="38872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7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659220">
      <w:bodyDiv w:val="1"/>
      <w:marLeft w:val="0"/>
      <w:marRight w:val="0"/>
      <w:marTop w:val="0"/>
      <w:marBottom w:val="0"/>
      <w:divBdr>
        <w:top w:val="none" w:sz="0" w:space="0" w:color="auto"/>
        <w:left w:val="none" w:sz="0" w:space="0" w:color="auto"/>
        <w:bottom w:val="none" w:sz="0" w:space="0" w:color="auto"/>
        <w:right w:val="none" w:sz="0" w:space="0" w:color="auto"/>
      </w:divBdr>
    </w:div>
    <w:div w:id="1485704406">
      <w:bodyDiv w:val="1"/>
      <w:marLeft w:val="0"/>
      <w:marRight w:val="0"/>
      <w:marTop w:val="0"/>
      <w:marBottom w:val="0"/>
      <w:divBdr>
        <w:top w:val="none" w:sz="0" w:space="0" w:color="auto"/>
        <w:left w:val="none" w:sz="0" w:space="0" w:color="auto"/>
        <w:bottom w:val="none" w:sz="0" w:space="0" w:color="auto"/>
        <w:right w:val="none" w:sz="0" w:space="0" w:color="auto"/>
      </w:divBdr>
      <w:divsChild>
        <w:div w:id="70856139">
          <w:marLeft w:val="0"/>
          <w:marRight w:val="0"/>
          <w:marTop w:val="0"/>
          <w:marBottom w:val="0"/>
          <w:divBdr>
            <w:top w:val="none" w:sz="0" w:space="0" w:color="auto"/>
            <w:left w:val="none" w:sz="0" w:space="0" w:color="auto"/>
            <w:bottom w:val="none" w:sz="0" w:space="0" w:color="auto"/>
            <w:right w:val="none" w:sz="0" w:space="0" w:color="auto"/>
          </w:divBdr>
        </w:div>
      </w:divsChild>
    </w:div>
    <w:div w:id="1489053090">
      <w:bodyDiv w:val="1"/>
      <w:marLeft w:val="0"/>
      <w:marRight w:val="0"/>
      <w:marTop w:val="0"/>
      <w:marBottom w:val="0"/>
      <w:divBdr>
        <w:top w:val="none" w:sz="0" w:space="0" w:color="auto"/>
        <w:left w:val="none" w:sz="0" w:space="0" w:color="auto"/>
        <w:bottom w:val="none" w:sz="0" w:space="0" w:color="auto"/>
        <w:right w:val="none" w:sz="0" w:space="0" w:color="auto"/>
      </w:divBdr>
    </w:div>
    <w:div w:id="1495101069">
      <w:bodyDiv w:val="1"/>
      <w:marLeft w:val="0"/>
      <w:marRight w:val="0"/>
      <w:marTop w:val="0"/>
      <w:marBottom w:val="0"/>
      <w:divBdr>
        <w:top w:val="none" w:sz="0" w:space="0" w:color="auto"/>
        <w:left w:val="none" w:sz="0" w:space="0" w:color="auto"/>
        <w:bottom w:val="none" w:sz="0" w:space="0" w:color="auto"/>
        <w:right w:val="none" w:sz="0" w:space="0" w:color="auto"/>
      </w:divBdr>
    </w:div>
    <w:div w:id="1503423604">
      <w:bodyDiv w:val="1"/>
      <w:marLeft w:val="0"/>
      <w:marRight w:val="0"/>
      <w:marTop w:val="0"/>
      <w:marBottom w:val="0"/>
      <w:divBdr>
        <w:top w:val="none" w:sz="0" w:space="0" w:color="auto"/>
        <w:left w:val="none" w:sz="0" w:space="0" w:color="auto"/>
        <w:bottom w:val="none" w:sz="0" w:space="0" w:color="auto"/>
        <w:right w:val="none" w:sz="0" w:space="0" w:color="auto"/>
      </w:divBdr>
    </w:div>
    <w:div w:id="1529097083">
      <w:bodyDiv w:val="1"/>
      <w:marLeft w:val="0"/>
      <w:marRight w:val="0"/>
      <w:marTop w:val="0"/>
      <w:marBottom w:val="0"/>
      <w:divBdr>
        <w:top w:val="none" w:sz="0" w:space="0" w:color="auto"/>
        <w:left w:val="none" w:sz="0" w:space="0" w:color="auto"/>
        <w:bottom w:val="none" w:sz="0" w:space="0" w:color="auto"/>
        <w:right w:val="none" w:sz="0" w:space="0" w:color="auto"/>
      </w:divBdr>
    </w:div>
    <w:div w:id="1534074945">
      <w:bodyDiv w:val="1"/>
      <w:marLeft w:val="0"/>
      <w:marRight w:val="0"/>
      <w:marTop w:val="0"/>
      <w:marBottom w:val="0"/>
      <w:divBdr>
        <w:top w:val="none" w:sz="0" w:space="0" w:color="auto"/>
        <w:left w:val="none" w:sz="0" w:space="0" w:color="auto"/>
        <w:bottom w:val="none" w:sz="0" w:space="0" w:color="auto"/>
        <w:right w:val="none" w:sz="0" w:space="0" w:color="auto"/>
      </w:divBdr>
    </w:div>
    <w:div w:id="1540976702">
      <w:bodyDiv w:val="1"/>
      <w:marLeft w:val="0"/>
      <w:marRight w:val="0"/>
      <w:marTop w:val="0"/>
      <w:marBottom w:val="0"/>
      <w:divBdr>
        <w:top w:val="none" w:sz="0" w:space="0" w:color="auto"/>
        <w:left w:val="none" w:sz="0" w:space="0" w:color="auto"/>
        <w:bottom w:val="none" w:sz="0" w:space="0" w:color="auto"/>
        <w:right w:val="none" w:sz="0" w:space="0" w:color="auto"/>
      </w:divBdr>
    </w:div>
    <w:div w:id="1567447152">
      <w:bodyDiv w:val="1"/>
      <w:marLeft w:val="0"/>
      <w:marRight w:val="0"/>
      <w:marTop w:val="0"/>
      <w:marBottom w:val="0"/>
      <w:divBdr>
        <w:top w:val="none" w:sz="0" w:space="0" w:color="auto"/>
        <w:left w:val="none" w:sz="0" w:space="0" w:color="auto"/>
        <w:bottom w:val="none" w:sz="0" w:space="0" w:color="auto"/>
        <w:right w:val="none" w:sz="0" w:space="0" w:color="auto"/>
      </w:divBdr>
    </w:div>
    <w:div w:id="1579946484">
      <w:bodyDiv w:val="1"/>
      <w:marLeft w:val="0"/>
      <w:marRight w:val="0"/>
      <w:marTop w:val="0"/>
      <w:marBottom w:val="0"/>
      <w:divBdr>
        <w:top w:val="none" w:sz="0" w:space="0" w:color="auto"/>
        <w:left w:val="none" w:sz="0" w:space="0" w:color="auto"/>
        <w:bottom w:val="none" w:sz="0" w:space="0" w:color="auto"/>
        <w:right w:val="none" w:sz="0" w:space="0" w:color="auto"/>
      </w:divBdr>
    </w:div>
    <w:div w:id="1597446801">
      <w:bodyDiv w:val="1"/>
      <w:marLeft w:val="0"/>
      <w:marRight w:val="0"/>
      <w:marTop w:val="0"/>
      <w:marBottom w:val="0"/>
      <w:divBdr>
        <w:top w:val="none" w:sz="0" w:space="0" w:color="auto"/>
        <w:left w:val="none" w:sz="0" w:space="0" w:color="auto"/>
        <w:bottom w:val="none" w:sz="0" w:space="0" w:color="auto"/>
        <w:right w:val="none" w:sz="0" w:space="0" w:color="auto"/>
      </w:divBdr>
    </w:div>
    <w:div w:id="1604260474">
      <w:bodyDiv w:val="1"/>
      <w:marLeft w:val="0"/>
      <w:marRight w:val="0"/>
      <w:marTop w:val="0"/>
      <w:marBottom w:val="0"/>
      <w:divBdr>
        <w:top w:val="none" w:sz="0" w:space="0" w:color="auto"/>
        <w:left w:val="none" w:sz="0" w:space="0" w:color="auto"/>
        <w:bottom w:val="none" w:sz="0" w:space="0" w:color="auto"/>
        <w:right w:val="none" w:sz="0" w:space="0" w:color="auto"/>
      </w:divBdr>
    </w:div>
    <w:div w:id="1605571400">
      <w:bodyDiv w:val="1"/>
      <w:marLeft w:val="0"/>
      <w:marRight w:val="0"/>
      <w:marTop w:val="0"/>
      <w:marBottom w:val="0"/>
      <w:divBdr>
        <w:top w:val="none" w:sz="0" w:space="0" w:color="auto"/>
        <w:left w:val="none" w:sz="0" w:space="0" w:color="auto"/>
        <w:bottom w:val="none" w:sz="0" w:space="0" w:color="auto"/>
        <w:right w:val="none" w:sz="0" w:space="0" w:color="auto"/>
      </w:divBdr>
    </w:div>
    <w:div w:id="1605720829">
      <w:bodyDiv w:val="1"/>
      <w:marLeft w:val="0"/>
      <w:marRight w:val="0"/>
      <w:marTop w:val="0"/>
      <w:marBottom w:val="0"/>
      <w:divBdr>
        <w:top w:val="none" w:sz="0" w:space="0" w:color="auto"/>
        <w:left w:val="none" w:sz="0" w:space="0" w:color="auto"/>
        <w:bottom w:val="none" w:sz="0" w:space="0" w:color="auto"/>
        <w:right w:val="none" w:sz="0" w:space="0" w:color="auto"/>
      </w:divBdr>
    </w:div>
    <w:div w:id="1629120464">
      <w:bodyDiv w:val="1"/>
      <w:marLeft w:val="0"/>
      <w:marRight w:val="0"/>
      <w:marTop w:val="0"/>
      <w:marBottom w:val="0"/>
      <w:divBdr>
        <w:top w:val="none" w:sz="0" w:space="0" w:color="auto"/>
        <w:left w:val="none" w:sz="0" w:space="0" w:color="auto"/>
        <w:bottom w:val="none" w:sz="0" w:space="0" w:color="auto"/>
        <w:right w:val="none" w:sz="0" w:space="0" w:color="auto"/>
      </w:divBdr>
    </w:div>
    <w:div w:id="1648509075">
      <w:bodyDiv w:val="1"/>
      <w:marLeft w:val="0"/>
      <w:marRight w:val="0"/>
      <w:marTop w:val="0"/>
      <w:marBottom w:val="0"/>
      <w:divBdr>
        <w:top w:val="none" w:sz="0" w:space="0" w:color="auto"/>
        <w:left w:val="none" w:sz="0" w:space="0" w:color="auto"/>
        <w:bottom w:val="none" w:sz="0" w:space="0" w:color="auto"/>
        <w:right w:val="none" w:sz="0" w:space="0" w:color="auto"/>
      </w:divBdr>
    </w:div>
    <w:div w:id="1660305689">
      <w:bodyDiv w:val="1"/>
      <w:marLeft w:val="0"/>
      <w:marRight w:val="0"/>
      <w:marTop w:val="0"/>
      <w:marBottom w:val="0"/>
      <w:divBdr>
        <w:top w:val="none" w:sz="0" w:space="0" w:color="auto"/>
        <w:left w:val="none" w:sz="0" w:space="0" w:color="auto"/>
        <w:bottom w:val="none" w:sz="0" w:space="0" w:color="auto"/>
        <w:right w:val="none" w:sz="0" w:space="0" w:color="auto"/>
      </w:divBdr>
    </w:div>
    <w:div w:id="1666664375">
      <w:bodyDiv w:val="1"/>
      <w:marLeft w:val="0"/>
      <w:marRight w:val="0"/>
      <w:marTop w:val="0"/>
      <w:marBottom w:val="0"/>
      <w:divBdr>
        <w:top w:val="none" w:sz="0" w:space="0" w:color="auto"/>
        <w:left w:val="none" w:sz="0" w:space="0" w:color="auto"/>
        <w:bottom w:val="none" w:sz="0" w:space="0" w:color="auto"/>
        <w:right w:val="none" w:sz="0" w:space="0" w:color="auto"/>
      </w:divBdr>
    </w:div>
    <w:div w:id="1667711067">
      <w:bodyDiv w:val="1"/>
      <w:marLeft w:val="0"/>
      <w:marRight w:val="0"/>
      <w:marTop w:val="0"/>
      <w:marBottom w:val="0"/>
      <w:divBdr>
        <w:top w:val="none" w:sz="0" w:space="0" w:color="auto"/>
        <w:left w:val="none" w:sz="0" w:space="0" w:color="auto"/>
        <w:bottom w:val="none" w:sz="0" w:space="0" w:color="auto"/>
        <w:right w:val="none" w:sz="0" w:space="0" w:color="auto"/>
      </w:divBdr>
    </w:div>
    <w:div w:id="1671255556">
      <w:bodyDiv w:val="1"/>
      <w:marLeft w:val="0"/>
      <w:marRight w:val="0"/>
      <w:marTop w:val="0"/>
      <w:marBottom w:val="0"/>
      <w:divBdr>
        <w:top w:val="none" w:sz="0" w:space="0" w:color="auto"/>
        <w:left w:val="none" w:sz="0" w:space="0" w:color="auto"/>
        <w:bottom w:val="none" w:sz="0" w:space="0" w:color="auto"/>
        <w:right w:val="none" w:sz="0" w:space="0" w:color="auto"/>
      </w:divBdr>
    </w:div>
    <w:div w:id="1671445191">
      <w:bodyDiv w:val="1"/>
      <w:marLeft w:val="0"/>
      <w:marRight w:val="0"/>
      <w:marTop w:val="0"/>
      <w:marBottom w:val="0"/>
      <w:divBdr>
        <w:top w:val="none" w:sz="0" w:space="0" w:color="auto"/>
        <w:left w:val="none" w:sz="0" w:space="0" w:color="auto"/>
        <w:bottom w:val="none" w:sz="0" w:space="0" w:color="auto"/>
        <w:right w:val="none" w:sz="0" w:space="0" w:color="auto"/>
      </w:divBdr>
    </w:div>
    <w:div w:id="1686325775">
      <w:bodyDiv w:val="1"/>
      <w:marLeft w:val="0"/>
      <w:marRight w:val="0"/>
      <w:marTop w:val="0"/>
      <w:marBottom w:val="0"/>
      <w:divBdr>
        <w:top w:val="none" w:sz="0" w:space="0" w:color="auto"/>
        <w:left w:val="none" w:sz="0" w:space="0" w:color="auto"/>
        <w:bottom w:val="none" w:sz="0" w:space="0" w:color="auto"/>
        <w:right w:val="none" w:sz="0" w:space="0" w:color="auto"/>
      </w:divBdr>
    </w:div>
    <w:div w:id="1694846098">
      <w:bodyDiv w:val="1"/>
      <w:marLeft w:val="0"/>
      <w:marRight w:val="0"/>
      <w:marTop w:val="0"/>
      <w:marBottom w:val="0"/>
      <w:divBdr>
        <w:top w:val="none" w:sz="0" w:space="0" w:color="auto"/>
        <w:left w:val="none" w:sz="0" w:space="0" w:color="auto"/>
        <w:bottom w:val="none" w:sz="0" w:space="0" w:color="auto"/>
        <w:right w:val="none" w:sz="0" w:space="0" w:color="auto"/>
      </w:divBdr>
    </w:div>
    <w:div w:id="1695308761">
      <w:bodyDiv w:val="1"/>
      <w:marLeft w:val="0"/>
      <w:marRight w:val="0"/>
      <w:marTop w:val="0"/>
      <w:marBottom w:val="0"/>
      <w:divBdr>
        <w:top w:val="none" w:sz="0" w:space="0" w:color="auto"/>
        <w:left w:val="none" w:sz="0" w:space="0" w:color="auto"/>
        <w:bottom w:val="none" w:sz="0" w:space="0" w:color="auto"/>
        <w:right w:val="none" w:sz="0" w:space="0" w:color="auto"/>
      </w:divBdr>
    </w:div>
    <w:div w:id="1711539773">
      <w:bodyDiv w:val="1"/>
      <w:marLeft w:val="0"/>
      <w:marRight w:val="0"/>
      <w:marTop w:val="0"/>
      <w:marBottom w:val="0"/>
      <w:divBdr>
        <w:top w:val="none" w:sz="0" w:space="0" w:color="auto"/>
        <w:left w:val="none" w:sz="0" w:space="0" w:color="auto"/>
        <w:bottom w:val="none" w:sz="0" w:space="0" w:color="auto"/>
        <w:right w:val="none" w:sz="0" w:space="0" w:color="auto"/>
      </w:divBdr>
    </w:div>
    <w:div w:id="1713649098">
      <w:bodyDiv w:val="1"/>
      <w:marLeft w:val="0"/>
      <w:marRight w:val="0"/>
      <w:marTop w:val="0"/>
      <w:marBottom w:val="0"/>
      <w:divBdr>
        <w:top w:val="none" w:sz="0" w:space="0" w:color="auto"/>
        <w:left w:val="none" w:sz="0" w:space="0" w:color="auto"/>
        <w:bottom w:val="none" w:sz="0" w:space="0" w:color="auto"/>
        <w:right w:val="none" w:sz="0" w:space="0" w:color="auto"/>
      </w:divBdr>
    </w:div>
    <w:div w:id="1714033691">
      <w:bodyDiv w:val="1"/>
      <w:marLeft w:val="0"/>
      <w:marRight w:val="0"/>
      <w:marTop w:val="0"/>
      <w:marBottom w:val="0"/>
      <w:divBdr>
        <w:top w:val="none" w:sz="0" w:space="0" w:color="auto"/>
        <w:left w:val="none" w:sz="0" w:space="0" w:color="auto"/>
        <w:bottom w:val="none" w:sz="0" w:space="0" w:color="auto"/>
        <w:right w:val="none" w:sz="0" w:space="0" w:color="auto"/>
      </w:divBdr>
    </w:div>
    <w:div w:id="1715732770">
      <w:bodyDiv w:val="1"/>
      <w:marLeft w:val="0"/>
      <w:marRight w:val="0"/>
      <w:marTop w:val="0"/>
      <w:marBottom w:val="0"/>
      <w:divBdr>
        <w:top w:val="none" w:sz="0" w:space="0" w:color="auto"/>
        <w:left w:val="none" w:sz="0" w:space="0" w:color="auto"/>
        <w:bottom w:val="none" w:sz="0" w:space="0" w:color="auto"/>
        <w:right w:val="none" w:sz="0" w:space="0" w:color="auto"/>
      </w:divBdr>
    </w:div>
    <w:div w:id="1738163707">
      <w:bodyDiv w:val="1"/>
      <w:marLeft w:val="0"/>
      <w:marRight w:val="0"/>
      <w:marTop w:val="0"/>
      <w:marBottom w:val="0"/>
      <w:divBdr>
        <w:top w:val="none" w:sz="0" w:space="0" w:color="auto"/>
        <w:left w:val="none" w:sz="0" w:space="0" w:color="auto"/>
        <w:bottom w:val="none" w:sz="0" w:space="0" w:color="auto"/>
        <w:right w:val="none" w:sz="0" w:space="0" w:color="auto"/>
      </w:divBdr>
    </w:div>
    <w:div w:id="1742169790">
      <w:bodyDiv w:val="1"/>
      <w:marLeft w:val="0"/>
      <w:marRight w:val="0"/>
      <w:marTop w:val="0"/>
      <w:marBottom w:val="0"/>
      <w:divBdr>
        <w:top w:val="none" w:sz="0" w:space="0" w:color="auto"/>
        <w:left w:val="none" w:sz="0" w:space="0" w:color="auto"/>
        <w:bottom w:val="none" w:sz="0" w:space="0" w:color="auto"/>
        <w:right w:val="none" w:sz="0" w:space="0" w:color="auto"/>
      </w:divBdr>
    </w:div>
    <w:div w:id="1755466229">
      <w:bodyDiv w:val="1"/>
      <w:marLeft w:val="0"/>
      <w:marRight w:val="0"/>
      <w:marTop w:val="0"/>
      <w:marBottom w:val="0"/>
      <w:divBdr>
        <w:top w:val="none" w:sz="0" w:space="0" w:color="auto"/>
        <w:left w:val="none" w:sz="0" w:space="0" w:color="auto"/>
        <w:bottom w:val="none" w:sz="0" w:space="0" w:color="auto"/>
        <w:right w:val="none" w:sz="0" w:space="0" w:color="auto"/>
      </w:divBdr>
    </w:div>
    <w:div w:id="1772043618">
      <w:bodyDiv w:val="1"/>
      <w:marLeft w:val="0"/>
      <w:marRight w:val="0"/>
      <w:marTop w:val="0"/>
      <w:marBottom w:val="0"/>
      <w:divBdr>
        <w:top w:val="none" w:sz="0" w:space="0" w:color="auto"/>
        <w:left w:val="none" w:sz="0" w:space="0" w:color="auto"/>
        <w:bottom w:val="none" w:sz="0" w:space="0" w:color="auto"/>
        <w:right w:val="none" w:sz="0" w:space="0" w:color="auto"/>
      </w:divBdr>
    </w:div>
    <w:div w:id="1775512858">
      <w:bodyDiv w:val="1"/>
      <w:marLeft w:val="0"/>
      <w:marRight w:val="0"/>
      <w:marTop w:val="0"/>
      <w:marBottom w:val="0"/>
      <w:divBdr>
        <w:top w:val="none" w:sz="0" w:space="0" w:color="auto"/>
        <w:left w:val="none" w:sz="0" w:space="0" w:color="auto"/>
        <w:bottom w:val="none" w:sz="0" w:space="0" w:color="auto"/>
        <w:right w:val="none" w:sz="0" w:space="0" w:color="auto"/>
      </w:divBdr>
    </w:div>
    <w:div w:id="1778208378">
      <w:bodyDiv w:val="1"/>
      <w:marLeft w:val="0"/>
      <w:marRight w:val="0"/>
      <w:marTop w:val="0"/>
      <w:marBottom w:val="0"/>
      <w:divBdr>
        <w:top w:val="none" w:sz="0" w:space="0" w:color="auto"/>
        <w:left w:val="none" w:sz="0" w:space="0" w:color="auto"/>
        <w:bottom w:val="none" w:sz="0" w:space="0" w:color="auto"/>
        <w:right w:val="none" w:sz="0" w:space="0" w:color="auto"/>
      </w:divBdr>
    </w:div>
    <w:div w:id="1780445915">
      <w:bodyDiv w:val="1"/>
      <w:marLeft w:val="0"/>
      <w:marRight w:val="0"/>
      <w:marTop w:val="0"/>
      <w:marBottom w:val="0"/>
      <w:divBdr>
        <w:top w:val="none" w:sz="0" w:space="0" w:color="auto"/>
        <w:left w:val="none" w:sz="0" w:space="0" w:color="auto"/>
        <w:bottom w:val="none" w:sz="0" w:space="0" w:color="auto"/>
        <w:right w:val="none" w:sz="0" w:space="0" w:color="auto"/>
      </w:divBdr>
    </w:div>
    <w:div w:id="1790276350">
      <w:bodyDiv w:val="1"/>
      <w:marLeft w:val="0"/>
      <w:marRight w:val="0"/>
      <w:marTop w:val="0"/>
      <w:marBottom w:val="0"/>
      <w:divBdr>
        <w:top w:val="none" w:sz="0" w:space="0" w:color="auto"/>
        <w:left w:val="none" w:sz="0" w:space="0" w:color="auto"/>
        <w:bottom w:val="none" w:sz="0" w:space="0" w:color="auto"/>
        <w:right w:val="none" w:sz="0" w:space="0" w:color="auto"/>
      </w:divBdr>
    </w:div>
    <w:div w:id="1792242961">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5489194">
      <w:bodyDiv w:val="1"/>
      <w:marLeft w:val="0"/>
      <w:marRight w:val="0"/>
      <w:marTop w:val="0"/>
      <w:marBottom w:val="0"/>
      <w:divBdr>
        <w:top w:val="none" w:sz="0" w:space="0" w:color="auto"/>
        <w:left w:val="none" w:sz="0" w:space="0" w:color="auto"/>
        <w:bottom w:val="none" w:sz="0" w:space="0" w:color="auto"/>
        <w:right w:val="none" w:sz="0" w:space="0" w:color="auto"/>
      </w:divBdr>
    </w:div>
    <w:div w:id="1820073617">
      <w:bodyDiv w:val="1"/>
      <w:marLeft w:val="0"/>
      <w:marRight w:val="0"/>
      <w:marTop w:val="0"/>
      <w:marBottom w:val="0"/>
      <w:divBdr>
        <w:top w:val="none" w:sz="0" w:space="0" w:color="auto"/>
        <w:left w:val="none" w:sz="0" w:space="0" w:color="auto"/>
        <w:bottom w:val="none" w:sz="0" w:space="0" w:color="auto"/>
        <w:right w:val="none" w:sz="0" w:space="0" w:color="auto"/>
      </w:divBdr>
    </w:div>
    <w:div w:id="1823545759">
      <w:bodyDiv w:val="1"/>
      <w:marLeft w:val="0"/>
      <w:marRight w:val="0"/>
      <w:marTop w:val="0"/>
      <w:marBottom w:val="0"/>
      <w:divBdr>
        <w:top w:val="none" w:sz="0" w:space="0" w:color="auto"/>
        <w:left w:val="none" w:sz="0" w:space="0" w:color="auto"/>
        <w:bottom w:val="none" w:sz="0" w:space="0" w:color="auto"/>
        <w:right w:val="none" w:sz="0" w:space="0" w:color="auto"/>
      </w:divBdr>
    </w:div>
    <w:div w:id="1828013463">
      <w:bodyDiv w:val="1"/>
      <w:marLeft w:val="0"/>
      <w:marRight w:val="0"/>
      <w:marTop w:val="0"/>
      <w:marBottom w:val="0"/>
      <w:divBdr>
        <w:top w:val="none" w:sz="0" w:space="0" w:color="auto"/>
        <w:left w:val="none" w:sz="0" w:space="0" w:color="auto"/>
        <w:bottom w:val="none" w:sz="0" w:space="0" w:color="auto"/>
        <w:right w:val="none" w:sz="0" w:space="0" w:color="auto"/>
      </w:divBdr>
    </w:div>
    <w:div w:id="1829594197">
      <w:bodyDiv w:val="1"/>
      <w:marLeft w:val="0"/>
      <w:marRight w:val="0"/>
      <w:marTop w:val="0"/>
      <w:marBottom w:val="0"/>
      <w:divBdr>
        <w:top w:val="none" w:sz="0" w:space="0" w:color="auto"/>
        <w:left w:val="none" w:sz="0" w:space="0" w:color="auto"/>
        <w:bottom w:val="none" w:sz="0" w:space="0" w:color="auto"/>
        <w:right w:val="none" w:sz="0" w:space="0" w:color="auto"/>
      </w:divBdr>
    </w:div>
    <w:div w:id="1833907064">
      <w:bodyDiv w:val="1"/>
      <w:marLeft w:val="0"/>
      <w:marRight w:val="0"/>
      <w:marTop w:val="0"/>
      <w:marBottom w:val="0"/>
      <w:divBdr>
        <w:top w:val="none" w:sz="0" w:space="0" w:color="auto"/>
        <w:left w:val="none" w:sz="0" w:space="0" w:color="auto"/>
        <w:bottom w:val="none" w:sz="0" w:space="0" w:color="auto"/>
        <w:right w:val="none" w:sz="0" w:space="0" w:color="auto"/>
      </w:divBdr>
    </w:div>
    <w:div w:id="1837766779">
      <w:bodyDiv w:val="1"/>
      <w:marLeft w:val="0"/>
      <w:marRight w:val="0"/>
      <w:marTop w:val="0"/>
      <w:marBottom w:val="0"/>
      <w:divBdr>
        <w:top w:val="none" w:sz="0" w:space="0" w:color="auto"/>
        <w:left w:val="none" w:sz="0" w:space="0" w:color="auto"/>
        <w:bottom w:val="none" w:sz="0" w:space="0" w:color="auto"/>
        <w:right w:val="none" w:sz="0" w:space="0" w:color="auto"/>
      </w:divBdr>
    </w:div>
    <w:div w:id="1842508326">
      <w:bodyDiv w:val="1"/>
      <w:marLeft w:val="0"/>
      <w:marRight w:val="0"/>
      <w:marTop w:val="0"/>
      <w:marBottom w:val="0"/>
      <w:divBdr>
        <w:top w:val="none" w:sz="0" w:space="0" w:color="auto"/>
        <w:left w:val="none" w:sz="0" w:space="0" w:color="auto"/>
        <w:bottom w:val="none" w:sz="0" w:space="0" w:color="auto"/>
        <w:right w:val="none" w:sz="0" w:space="0" w:color="auto"/>
      </w:divBdr>
      <w:divsChild>
        <w:div w:id="1603295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5365417">
      <w:bodyDiv w:val="1"/>
      <w:marLeft w:val="0"/>
      <w:marRight w:val="0"/>
      <w:marTop w:val="0"/>
      <w:marBottom w:val="0"/>
      <w:divBdr>
        <w:top w:val="none" w:sz="0" w:space="0" w:color="auto"/>
        <w:left w:val="none" w:sz="0" w:space="0" w:color="auto"/>
        <w:bottom w:val="none" w:sz="0" w:space="0" w:color="auto"/>
        <w:right w:val="none" w:sz="0" w:space="0" w:color="auto"/>
      </w:divBdr>
    </w:div>
    <w:div w:id="1864592456">
      <w:bodyDiv w:val="1"/>
      <w:marLeft w:val="0"/>
      <w:marRight w:val="0"/>
      <w:marTop w:val="0"/>
      <w:marBottom w:val="0"/>
      <w:divBdr>
        <w:top w:val="none" w:sz="0" w:space="0" w:color="auto"/>
        <w:left w:val="none" w:sz="0" w:space="0" w:color="auto"/>
        <w:bottom w:val="none" w:sz="0" w:space="0" w:color="auto"/>
        <w:right w:val="none" w:sz="0" w:space="0" w:color="auto"/>
      </w:divBdr>
    </w:div>
    <w:div w:id="1865244984">
      <w:bodyDiv w:val="1"/>
      <w:marLeft w:val="0"/>
      <w:marRight w:val="0"/>
      <w:marTop w:val="0"/>
      <w:marBottom w:val="0"/>
      <w:divBdr>
        <w:top w:val="none" w:sz="0" w:space="0" w:color="auto"/>
        <w:left w:val="none" w:sz="0" w:space="0" w:color="auto"/>
        <w:bottom w:val="none" w:sz="0" w:space="0" w:color="auto"/>
        <w:right w:val="none" w:sz="0" w:space="0" w:color="auto"/>
      </w:divBdr>
    </w:div>
    <w:div w:id="1882866325">
      <w:bodyDiv w:val="1"/>
      <w:marLeft w:val="0"/>
      <w:marRight w:val="0"/>
      <w:marTop w:val="0"/>
      <w:marBottom w:val="0"/>
      <w:divBdr>
        <w:top w:val="none" w:sz="0" w:space="0" w:color="auto"/>
        <w:left w:val="none" w:sz="0" w:space="0" w:color="auto"/>
        <w:bottom w:val="none" w:sz="0" w:space="0" w:color="auto"/>
        <w:right w:val="none" w:sz="0" w:space="0" w:color="auto"/>
      </w:divBdr>
    </w:div>
    <w:div w:id="1893232323">
      <w:bodyDiv w:val="1"/>
      <w:marLeft w:val="0"/>
      <w:marRight w:val="0"/>
      <w:marTop w:val="0"/>
      <w:marBottom w:val="0"/>
      <w:divBdr>
        <w:top w:val="none" w:sz="0" w:space="0" w:color="auto"/>
        <w:left w:val="none" w:sz="0" w:space="0" w:color="auto"/>
        <w:bottom w:val="none" w:sz="0" w:space="0" w:color="auto"/>
        <w:right w:val="none" w:sz="0" w:space="0" w:color="auto"/>
      </w:divBdr>
    </w:div>
    <w:div w:id="1894151647">
      <w:bodyDiv w:val="1"/>
      <w:marLeft w:val="0"/>
      <w:marRight w:val="0"/>
      <w:marTop w:val="0"/>
      <w:marBottom w:val="0"/>
      <w:divBdr>
        <w:top w:val="none" w:sz="0" w:space="0" w:color="auto"/>
        <w:left w:val="none" w:sz="0" w:space="0" w:color="auto"/>
        <w:bottom w:val="none" w:sz="0" w:space="0" w:color="auto"/>
        <w:right w:val="none" w:sz="0" w:space="0" w:color="auto"/>
      </w:divBdr>
    </w:div>
    <w:div w:id="1894660876">
      <w:bodyDiv w:val="1"/>
      <w:marLeft w:val="0"/>
      <w:marRight w:val="0"/>
      <w:marTop w:val="0"/>
      <w:marBottom w:val="0"/>
      <w:divBdr>
        <w:top w:val="none" w:sz="0" w:space="0" w:color="auto"/>
        <w:left w:val="none" w:sz="0" w:space="0" w:color="auto"/>
        <w:bottom w:val="none" w:sz="0" w:space="0" w:color="auto"/>
        <w:right w:val="none" w:sz="0" w:space="0" w:color="auto"/>
      </w:divBdr>
    </w:div>
    <w:div w:id="1907495171">
      <w:bodyDiv w:val="1"/>
      <w:marLeft w:val="0"/>
      <w:marRight w:val="0"/>
      <w:marTop w:val="0"/>
      <w:marBottom w:val="0"/>
      <w:divBdr>
        <w:top w:val="none" w:sz="0" w:space="0" w:color="auto"/>
        <w:left w:val="none" w:sz="0" w:space="0" w:color="auto"/>
        <w:bottom w:val="none" w:sz="0" w:space="0" w:color="auto"/>
        <w:right w:val="none" w:sz="0" w:space="0" w:color="auto"/>
      </w:divBdr>
    </w:div>
    <w:div w:id="1911454850">
      <w:bodyDiv w:val="1"/>
      <w:marLeft w:val="0"/>
      <w:marRight w:val="0"/>
      <w:marTop w:val="0"/>
      <w:marBottom w:val="0"/>
      <w:divBdr>
        <w:top w:val="none" w:sz="0" w:space="0" w:color="auto"/>
        <w:left w:val="none" w:sz="0" w:space="0" w:color="auto"/>
        <w:bottom w:val="none" w:sz="0" w:space="0" w:color="auto"/>
        <w:right w:val="none" w:sz="0" w:space="0" w:color="auto"/>
      </w:divBdr>
    </w:div>
    <w:div w:id="1920677211">
      <w:bodyDiv w:val="1"/>
      <w:marLeft w:val="0"/>
      <w:marRight w:val="0"/>
      <w:marTop w:val="0"/>
      <w:marBottom w:val="0"/>
      <w:divBdr>
        <w:top w:val="none" w:sz="0" w:space="0" w:color="auto"/>
        <w:left w:val="none" w:sz="0" w:space="0" w:color="auto"/>
        <w:bottom w:val="none" w:sz="0" w:space="0" w:color="auto"/>
        <w:right w:val="none" w:sz="0" w:space="0" w:color="auto"/>
      </w:divBdr>
    </w:div>
    <w:div w:id="1937902978">
      <w:bodyDiv w:val="1"/>
      <w:marLeft w:val="0"/>
      <w:marRight w:val="0"/>
      <w:marTop w:val="0"/>
      <w:marBottom w:val="0"/>
      <w:divBdr>
        <w:top w:val="none" w:sz="0" w:space="0" w:color="auto"/>
        <w:left w:val="none" w:sz="0" w:space="0" w:color="auto"/>
        <w:bottom w:val="none" w:sz="0" w:space="0" w:color="auto"/>
        <w:right w:val="none" w:sz="0" w:space="0" w:color="auto"/>
      </w:divBdr>
    </w:div>
    <w:div w:id="1952010604">
      <w:bodyDiv w:val="1"/>
      <w:marLeft w:val="0"/>
      <w:marRight w:val="0"/>
      <w:marTop w:val="0"/>
      <w:marBottom w:val="0"/>
      <w:divBdr>
        <w:top w:val="none" w:sz="0" w:space="0" w:color="auto"/>
        <w:left w:val="none" w:sz="0" w:space="0" w:color="auto"/>
        <w:bottom w:val="none" w:sz="0" w:space="0" w:color="auto"/>
        <w:right w:val="none" w:sz="0" w:space="0" w:color="auto"/>
      </w:divBdr>
    </w:div>
    <w:div w:id="1956325030">
      <w:bodyDiv w:val="1"/>
      <w:marLeft w:val="0"/>
      <w:marRight w:val="0"/>
      <w:marTop w:val="0"/>
      <w:marBottom w:val="0"/>
      <w:divBdr>
        <w:top w:val="none" w:sz="0" w:space="0" w:color="auto"/>
        <w:left w:val="none" w:sz="0" w:space="0" w:color="auto"/>
        <w:bottom w:val="none" w:sz="0" w:space="0" w:color="auto"/>
        <w:right w:val="none" w:sz="0" w:space="0" w:color="auto"/>
      </w:divBdr>
    </w:div>
    <w:div w:id="1961260640">
      <w:bodyDiv w:val="1"/>
      <w:marLeft w:val="0"/>
      <w:marRight w:val="0"/>
      <w:marTop w:val="0"/>
      <w:marBottom w:val="0"/>
      <w:divBdr>
        <w:top w:val="none" w:sz="0" w:space="0" w:color="auto"/>
        <w:left w:val="none" w:sz="0" w:space="0" w:color="auto"/>
        <w:bottom w:val="none" w:sz="0" w:space="0" w:color="auto"/>
        <w:right w:val="none" w:sz="0" w:space="0" w:color="auto"/>
      </w:divBdr>
    </w:div>
    <w:div w:id="1962761755">
      <w:bodyDiv w:val="1"/>
      <w:marLeft w:val="0"/>
      <w:marRight w:val="0"/>
      <w:marTop w:val="0"/>
      <w:marBottom w:val="0"/>
      <w:divBdr>
        <w:top w:val="none" w:sz="0" w:space="0" w:color="auto"/>
        <w:left w:val="none" w:sz="0" w:space="0" w:color="auto"/>
        <w:bottom w:val="none" w:sz="0" w:space="0" w:color="auto"/>
        <w:right w:val="none" w:sz="0" w:space="0" w:color="auto"/>
      </w:divBdr>
    </w:div>
    <w:div w:id="1964967366">
      <w:bodyDiv w:val="1"/>
      <w:marLeft w:val="0"/>
      <w:marRight w:val="0"/>
      <w:marTop w:val="0"/>
      <w:marBottom w:val="0"/>
      <w:divBdr>
        <w:top w:val="none" w:sz="0" w:space="0" w:color="auto"/>
        <w:left w:val="none" w:sz="0" w:space="0" w:color="auto"/>
        <w:bottom w:val="none" w:sz="0" w:space="0" w:color="auto"/>
        <w:right w:val="none" w:sz="0" w:space="0" w:color="auto"/>
      </w:divBdr>
    </w:div>
    <w:div w:id="1967539515">
      <w:bodyDiv w:val="1"/>
      <w:marLeft w:val="0"/>
      <w:marRight w:val="0"/>
      <w:marTop w:val="0"/>
      <w:marBottom w:val="0"/>
      <w:divBdr>
        <w:top w:val="none" w:sz="0" w:space="0" w:color="auto"/>
        <w:left w:val="none" w:sz="0" w:space="0" w:color="auto"/>
        <w:bottom w:val="none" w:sz="0" w:space="0" w:color="auto"/>
        <w:right w:val="none" w:sz="0" w:space="0" w:color="auto"/>
      </w:divBdr>
    </w:div>
    <w:div w:id="1970620774">
      <w:bodyDiv w:val="1"/>
      <w:marLeft w:val="0"/>
      <w:marRight w:val="0"/>
      <w:marTop w:val="0"/>
      <w:marBottom w:val="0"/>
      <w:divBdr>
        <w:top w:val="none" w:sz="0" w:space="0" w:color="auto"/>
        <w:left w:val="none" w:sz="0" w:space="0" w:color="auto"/>
        <w:bottom w:val="none" w:sz="0" w:space="0" w:color="auto"/>
        <w:right w:val="none" w:sz="0" w:space="0" w:color="auto"/>
      </w:divBdr>
    </w:div>
    <w:div w:id="1975524966">
      <w:bodyDiv w:val="1"/>
      <w:marLeft w:val="0"/>
      <w:marRight w:val="0"/>
      <w:marTop w:val="0"/>
      <w:marBottom w:val="0"/>
      <w:divBdr>
        <w:top w:val="none" w:sz="0" w:space="0" w:color="auto"/>
        <w:left w:val="none" w:sz="0" w:space="0" w:color="auto"/>
        <w:bottom w:val="none" w:sz="0" w:space="0" w:color="auto"/>
        <w:right w:val="none" w:sz="0" w:space="0" w:color="auto"/>
      </w:divBdr>
    </w:div>
    <w:div w:id="1983075816">
      <w:bodyDiv w:val="1"/>
      <w:marLeft w:val="0"/>
      <w:marRight w:val="0"/>
      <w:marTop w:val="0"/>
      <w:marBottom w:val="0"/>
      <w:divBdr>
        <w:top w:val="none" w:sz="0" w:space="0" w:color="auto"/>
        <w:left w:val="none" w:sz="0" w:space="0" w:color="auto"/>
        <w:bottom w:val="none" w:sz="0" w:space="0" w:color="auto"/>
        <w:right w:val="none" w:sz="0" w:space="0" w:color="auto"/>
      </w:divBdr>
      <w:divsChild>
        <w:div w:id="17775613">
          <w:marLeft w:val="0"/>
          <w:marRight w:val="0"/>
          <w:marTop w:val="0"/>
          <w:marBottom w:val="0"/>
          <w:divBdr>
            <w:top w:val="none" w:sz="0" w:space="0" w:color="auto"/>
            <w:left w:val="none" w:sz="0" w:space="0" w:color="auto"/>
            <w:bottom w:val="none" w:sz="0" w:space="0" w:color="auto"/>
            <w:right w:val="none" w:sz="0" w:space="0" w:color="auto"/>
          </w:divBdr>
        </w:div>
      </w:divsChild>
    </w:div>
    <w:div w:id="1983653425">
      <w:bodyDiv w:val="1"/>
      <w:marLeft w:val="0"/>
      <w:marRight w:val="0"/>
      <w:marTop w:val="0"/>
      <w:marBottom w:val="0"/>
      <w:divBdr>
        <w:top w:val="none" w:sz="0" w:space="0" w:color="auto"/>
        <w:left w:val="none" w:sz="0" w:space="0" w:color="auto"/>
        <w:bottom w:val="none" w:sz="0" w:space="0" w:color="auto"/>
        <w:right w:val="none" w:sz="0" w:space="0" w:color="auto"/>
      </w:divBdr>
    </w:div>
    <w:div w:id="1984381709">
      <w:bodyDiv w:val="1"/>
      <w:marLeft w:val="0"/>
      <w:marRight w:val="0"/>
      <w:marTop w:val="0"/>
      <w:marBottom w:val="0"/>
      <w:divBdr>
        <w:top w:val="none" w:sz="0" w:space="0" w:color="auto"/>
        <w:left w:val="none" w:sz="0" w:space="0" w:color="auto"/>
        <w:bottom w:val="none" w:sz="0" w:space="0" w:color="auto"/>
        <w:right w:val="none" w:sz="0" w:space="0" w:color="auto"/>
      </w:divBdr>
    </w:div>
    <w:div w:id="1998800225">
      <w:bodyDiv w:val="1"/>
      <w:marLeft w:val="0"/>
      <w:marRight w:val="0"/>
      <w:marTop w:val="0"/>
      <w:marBottom w:val="0"/>
      <w:divBdr>
        <w:top w:val="none" w:sz="0" w:space="0" w:color="auto"/>
        <w:left w:val="none" w:sz="0" w:space="0" w:color="auto"/>
        <w:bottom w:val="none" w:sz="0" w:space="0" w:color="auto"/>
        <w:right w:val="none" w:sz="0" w:space="0" w:color="auto"/>
      </w:divBdr>
    </w:div>
    <w:div w:id="2019916439">
      <w:bodyDiv w:val="1"/>
      <w:marLeft w:val="0"/>
      <w:marRight w:val="0"/>
      <w:marTop w:val="0"/>
      <w:marBottom w:val="0"/>
      <w:divBdr>
        <w:top w:val="none" w:sz="0" w:space="0" w:color="auto"/>
        <w:left w:val="none" w:sz="0" w:space="0" w:color="auto"/>
        <w:bottom w:val="none" w:sz="0" w:space="0" w:color="auto"/>
        <w:right w:val="none" w:sz="0" w:space="0" w:color="auto"/>
      </w:divBdr>
    </w:div>
    <w:div w:id="2022048275">
      <w:bodyDiv w:val="1"/>
      <w:marLeft w:val="0"/>
      <w:marRight w:val="0"/>
      <w:marTop w:val="0"/>
      <w:marBottom w:val="0"/>
      <w:divBdr>
        <w:top w:val="none" w:sz="0" w:space="0" w:color="auto"/>
        <w:left w:val="none" w:sz="0" w:space="0" w:color="auto"/>
        <w:bottom w:val="none" w:sz="0" w:space="0" w:color="auto"/>
        <w:right w:val="none" w:sz="0" w:space="0" w:color="auto"/>
      </w:divBdr>
    </w:div>
    <w:div w:id="2036731095">
      <w:bodyDiv w:val="1"/>
      <w:marLeft w:val="0"/>
      <w:marRight w:val="0"/>
      <w:marTop w:val="0"/>
      <w:marBottom w:val="0"/>
      <w:divBdr>
        <w:top w:val="none" w:sz="0" w:space="0" w:color="auto"/>
        <w:left w:val="none" w:sz="0" w:space="0" w:color="auto"/>
        <w:bottom w:val="none" w:sz="0" w:space="0" w:color="auto"/>
        <w:right w:val="none" w:sz="0" w:space="0" w:color="auto"/>
      </w:divBdr>
    </w:div>
    <w:div w:id="2039810473">
      <w:bodyDiv w:val="1"/>
      <w:marLeft w:val="0"/>
      <w:marRight w:val="0"/>
      <w:marTop w:val="0"/>
      <w:marBottom w:val="0"/>
      <w:divBdr>
        <w:top w:val="none" w:sz="0" w:space="0" w:color="auto"/>
        <w:left w:val="none" w:sz="0" w:space="0" w:color="auto"/>
        <w:bottom w:val="none" w:sz="0" w:space="0" w:color="auto"/>
        <w:right w:val="none" w:sz="0" w:space="0" w:color="auto"/>
      </w:divBdr>
    </w:div>
    <w:div w:id="2042825842">
      <w:bodyDiv w:val="1"/>
      <w:marLeft w:val="0"/>
      <w:marRight w:val="0"/>
      <w:marTop w:val="0"/>
      <w:marBottom w:val="0"/>
      <w:divBdr>
        <w:top w:val="none" w:sz="0" w:space="0" w:color="auto"/>
        <w:left w:val="none" w:sz="0" w:space="0" w:color="auto"/>
        <w:bottom w:val="none" w:sz="0" w:space="0" w:color="auto"/>
        <w:right w:val="none" w:sz="0" w:space="0" w:color="auto"/>
      </w:divBdr>
    </w:div>
    <w:div w:id="2044597402">
      <w:bodyDiv w:val="1"/>
      <w:marLeft w:val="0"/>
      <w:marRight w:val="0"/>
      <w:marTop w:val="0"/>
      <w:marBottom w:val="0"/>
      <w:divBdr>
        <w:top w:val="none" w:sz="0" w:space="0" w:color="auto"/>
        <w:left w:val="none" w:sz="0" w:space="0" w:color="auto"/>
        <w:bottom w:val="none" w:sz="0" w:space="0" w:color="auto"/>
        <w:right w:val="none" w:sz="0" w:space="0" w:color="auto"/>
      </w:divBdr>
    </w:div>
    <w:div w:id="2054840520">
      <w:bodyDiv w:val="1"/>
      <w:marLeft w:val="0"/>
      <w:marRight w:val="0"/>
      <w:marTop w:val="0"/>
      <w:marBottom w:val="0"/>
      <w:divBdr>
        <w:top w:val="none" w:sz="0" w:space="0" w:color="auto"/>
        <w:left w:val="none" w:sz="0" w:space="0" w:color="auto"/>
        <w:bottom w:val="none" w:sz="0" w:space="0" w:color="auto"/>
        <w:right w:val="none" w:sz="0" w:space="0" w:color="auto"/>
      </w:divBdr>
    </w:div>
    <w:div w:id="2061902233">
      <w:bodyDiv w:val="1"/>
      <w:marLeft w:val="0"/>
      <w:marRight w:val="0"/>
      <w:marTop w:val="0"/>
      <w:marBottom w:val="0"/>
      <w:divBdr>
        <w:top w:val="none" w:sz="0" w:space="0" w:color="auto"/>
        <w:left w:val="none" w:sz="0" w:space="0" w:color="auto"/>
        <w:bottom w:val="none" w:sz="0" w:space="0" w:color="auto"/>
        <w:right w:val="none" w:sz="0" w:space="0" w:color="auto"/>
      </w:divBdr>
    </w:div>
    <w:div w:id="2069571149">
      <w:bodyDiv w:val="1"/>
      <w:marLeft w:val="0"/>
      <w:marRight w:val="0"/>
      <w:marTop w:val="0"/>
      <w:marBottom w:val="0"/>
      <w:divBdr>
        <w:top w:val="none" w:sz="0" w:space="0" w:color="auto"/>
        <w:left w:val="none" w:sz="0" w:space="0" w:color="auto"/>
        <w:bottom w:val="none" w:sz="0" w:space="0" w:color="auto"/>
        <w:right w:val="none" w:sz="0" w:space="0" w:color="auto"/>
      </w:divBdr>
    </w:div>
    <w:div w:id="2083402274">
      <w:bodyDiv w:val="1"/>
      <w:marLeft w:val="0"/>
      <w:marRight w:val="0"/>
      <w:marTop w:val="0"/>
      <w:marBottom w:val="0"/>
      <w:divBdr>
        <w:top w:val="none" w:sz="0" w:space="0" w:color="auto"/>
        <w:left w:val="none" w:sz="0" w:space="0" w:color="auto"/>
        <w:bottom w:val="none" w:sz="0" w:space="0" w:color="auto"/>
        <w:right w:val="none" w:sz="0" w:space="0" w:color="auto"/>
      </w:divBdr>
    </w:div>
    <w:div w:id="2091611082">
      <w:bodyDiv w:val="1"/>
      <w:marLeft w:val="0"/>
      <w:marRight w:val="0"/>
      <w:marTop w:val="0"/>
      <w:marBottom w:val="0"/>
      <w:divBdr>
        <w:top w:val="none" w:sz="0" w:space="0" w:color="auto"/>
        <w:left w:val="none" w:sz="0" w:space="0" w:color="auto"/>
        <w:bottom w:val="none" w:sz="0" w:space="0" w:color="auto"/>
        <w:right w:val="none" w:sz="0" w:space="0" w:color="auto"/>
      </w:divBdr>
    </w:div>
    <w:div w:id="2100789202">
      <w:bodyDiv w:val="1"/>
      <w:marLeft w:val="0"/>
      <w:marRight w:val="0"/>
      <w:marTop w:val="0"/>
      <w:marBottom w:val="0"/>
      <w:divBdr>
        <w:top w:val="none" w:sz="0" w:space="0" w:color="auto"/>
        <w:left w:val="none" w:sz="0" w:space="0" w:color="auto"/>
        <w:bottom w:val="none" w:sz="0" w:space="0" w:color="auto"/>
        <w:right w:val="none" w:sz="0" w:space="0" w:color="auto"/>
      </w:divBdr>
    </w:div>
    <w:div w:id="2102138545">
      <w:bodyDiv w:val="1"/>
      <w:marLeft w:val="0"/>
      <w:marRight w:val="0"/>
      <w:marTop w:val="0"/>
      <w:marBottom w:val="0"/>
      <w:divBdr>
        <w:top w:val="none" w:sz="0" w:space="0" w:color="auto"/>
        <w:left w:val="none" w:sz="0" w:space="0" w:color="auto"/>
        <w:bottom w:val="none" w:sz="0" w:space="0" w:color="auto"/>
        <w:right w:val="none" w:sz="0" w:space="0" w:color="auto"/>
      </w:divBdr>
      <w:divsChild>
        <w:div w:id="1604261759">
          <w:marLeft w:val="0"/>
          <w:marRight w:val="0"/>
          <w:marTop w:val="0"/>
          <w:marBottom w:val="0"/>
          <w:divBdr>
            <w:top w:val="none" w:sz="0" w:space="0" w:color="auto"/>
            <w:left w:val="none" w:sz="0" w:space="0" w:color="auto"/>
            <w:bottom w:val="none" w:sz="0" w:space="0" w:color="auto"/>
            <w:right w:val="none" w:sz="0" w:space="0" w:color="auto"/>
          </w:divBdr>
          <w:divsChild>
            <w:div w:id="757557912">
              <w:marLeft w:val="0"/>
              <w:marRight w:val="0"/>
              <w:marTop w:val="0"/>
              <w:marBottom w:val="0"/>
              <w:divBdr>
                <w:top w:val="none" w:sz="0" w:space="0" w:color="auto"/>
                <w:left w:val="none" w:sz="0" w:space="0" w:color="auto"/>
                <w:bottom w:val="none" w:sz="0" w:space="0" w:color="auto"/>
                <w:right w:val="none" w:sz="0" w:space="0" w:color="auto"/>
              </w:divBdr>
              <w:divsChild>
                <w:div w:id="1175192491">
                  <w:marLeft w:val="0"/>
                  <w:marRight w:val="0"/>
                  <w:marTop w:val="0"/>
                  <w:marBottom w:val="0"/>
                  <w:divBdr>
                    <w:top w:val="none" w:sz="0" w:space="0" w:color="auto"/>
                    <w:left w:val="none" w:sz="0" w:space="0" w:color="auto"/>
                    <w:bottom w:val="none" w:sz="0" w:space="0" w:color="auto"/>
                    <w:right w:val="none" w:sz="0" w:space="0" w:color="auto"/>
                  </w:divBdr>
                  <w:divsChild>
                    <w:div w:id="1482504998">
                      <w:marLeft w:val="0"/>
                      <w:marRight w:val="0"/>
                      <w:marTop w:val="0"/>
                      <w:marBottom w:val="0"/>
                      <w:divBdr>
                        <w:top w:val="none" w:sz="0" w:space="0" w:color="auto"/>
                        <w:left w:val="none" w:sz="0" w:space="0" w:color="auto"/>
                        <w:bottom w:val="none" w:sz="0" w:space="0" w:color="auto"/>
                        <w:right w:val="none" w:sz="0" w:space="0" w:color="auto"/>
                      </w:divBdr>
                      <w:divsChild>
                        <w:div w:id="1864396093">
                          <w:marLeft w:val="0"/>
                          <w:marRight w:val="0"/>
                          <w:marTop w:val="0"/>
                          <w:marBottom w:val="0"/>
                          <w:divBdr>
                            <w:top w:val="none" w:sz="0" w:space="0" w:color="auto"/>
                            <w:left w:val="none" w:sz="0" w:space="0" w:color="auto"/>
                            <w:bottom w:val="none" w:sz="0" w:space="0" w:color="auto"/>
                            <w:right w:val="none" w:sz="0" w:space="0" w:color="auto"/>
                          </w:divBdr>
                          <w:divsChild>
                            <w:div w:id="21917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205180">
      <w:bodyDiv w:val="1"/>
      <w:marLeft w:val="0"/>
      <w:marRight w:val="0"/>
      <w:marTop w:val="0"/>
      <w:marBottom w:val="0"/>
      <w:divBdr>
        <w:top w:val="none" w:sz="0" w:space="0" w:color="auto"/>
        <w:left w:val="none" w:sz="0" w:space="0" w:color="auto"/>
        <w:bottom w:val="none" w:sz="0" w:space="0" w:color="auto"/>
        <w:right w:val="none" w:sz="0" w:space="0" w:color="auto"/>
      </w:divBdr>
      <w:divsChild>
        <w:div w:id="1372346434">
          <w:marLeft w:val="0"/>
          <w:marRight w:val="0"/>
          <w:marTop w:val="0"/>
          <w:marBottom w:val="0"/>
          <w:divBdr>
            <w:top w:val="none" w:sz="0" w:space="0" w:color="auto"/>
            <w:left w:val="none" w:sz="0" w:space="0" w:color="auto"/>
            <w:bottom w:val="none" w:sz="0" w:space="0" w:color="auto"/>
            <w:right w:val="none" w:sz="0" w:space="0" w:color="auto"/>
          </w:divBdr>
        </w:div>
      </w:divsChild>
    </w:div>
    <w:div w:id="2141723444">
      <w:bodyDiv w:val="1"/>
      <w:marLeft w:val="0"/>
      <w:marRight w:val="0"/>
      <w:marTop w:val="0"/>
      <w:marBottom w:val="0"/>
      <w:divBdr>
        <w:top w:val="none" w:sz="0" w:space="0" w:color="auto"/>
        <w:left w:val="none" w:sz="0" w:space="0" w:color="auto"/>
        <w:bottom w:val="none" w:sz="0" w:space="0" w:color="auto"/>
        <w:right w:val="none" w:sz="0" w:space="0" w:color="auto"/>
      </w:divBdr>
    </w:div>
    <w:div w:id="214716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frag.org/en/amended-esrs-0" TargetMode="External"/><Relationship Id="rId18" Type="http://schemas.openxmlformats.org/officeDocument/2006/relationships/hyperlink" Target="https://www.efrag.org/en/amended-es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urvey.alchemer.eu/s3/90874765/Amended-ESRS-Exposure-Draft-July-2025-Public-Consultation-Survey" TargetMode="External"/><Relationship Id="rId17" Type="http://schemas.openxmlformats.org/officeDocument/2006/relationships/hyperlink" Target="mailto:fieldtestadeqwages@efrag.org"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frag.org/en/media/2944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suranceeurope.sharepoint.com/sites/extranet/Corporate%20Reporting%20%20Investments%20%20Sustainable%20Fina/2025/ECO-CRISF-25-234.pdf?xsdata=MDV8MDJ8R29iZXRAaW5zdXJhbmNlZXVyb3BlLmV1fDBmYTViNjY2NmI4NjQ1MDU4OGQzMDhkZGQwNDhjOTM3fDJmNjBkN2E1NmE3YjRmOTBhMGQ0N2U2YTBlYTVhZTllfDB8MHw2Mzg4OTU3MzMyMzkyOTc0MzF8VW5rbm93bnxUV0ZwYkdac2IzZDhleUpGYlhCMGVVMWhjR2tpT25SeWRXVXNJbFlpT2lJd0xqQXVNREF3TUNJc0lsQWlPaUpYYVc0ek1pSXNJa0ZPSWpvaVRXRnBiQ0lzSWxkVUlqb3lmUT09fDB8fHw%3d&amp;sdata=YWFNdXFCZkJFR0NuY3poR25HcHBZV0gvTzVUZ3BCcGpTTEFQcVVTUDR2MD0%3d&amp;clickparams=eyAiWC1BcHBOYW1lIiA6ICJNaWNyb3NvZnQgT3V0bG9vayIsICJYLUFwcFZlcnNpb24iIDogIjE2LjAuMTg4MjcuMjAyMDIiLCAiT1MiIDogIldpbmRvd3MiIH0%3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nsuranceeurope.sharepoint.com/:w:/r/sites/extranet/Corporate%20Reporting%20%20Investments%20%20Sustainable%20Fina/2025/ECO-CRISF-25-128.docx?d=we99cdfb3a898494989230abc0ecdce21&amp;csf=1&amp;web=1&amp;e=FYtf56"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frag.org/en/media/2946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suranceeurope.sharepoint.com/sites/extranet?meeting=981" TargetMode="External"/><Relationship Id="rId22" Type="http://schemas.openxmlformats.org/officeDocument/2006/relationships/header" Target="header2.xml"/><Relationship Id="rId27"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890B356-CC33-4168-8F4D-D5F340E4F972}">
    <t:Anchor>
      <t:Comment id="1233899674"/>
    </t:Anchor>
    <t:History>
      <t:Event id="{94884C18-6677-4B4C-83D3-5A69C44246EA}" time="2025-08-06T13:55:54.235Z">
        <t:Attribution userId="S::angelis@insuranceeurope.eu::bcf412be-07e0-43a6-b1e5-6ce7c91645c0" userProvider="AD" userName="Philippe Angelis"/>
        <t:Anchor>
          <t:Comment id="1233899674"/>
        </t:Anchor>
        <t:Create/>
      </t:Event>
      <t:Event id="{FBD42CE1-8F16-4374-9DC0-7BE630FCB92C}" time="2025-08-06T13:55:54.235Z">
        <t:Attribution userId="S::angelis@insuranceeurope.eu::bcf412be-07e0-43a6-b1e5-6ce7c91645c0" userProvider="AD" userName="Philippe Angelis"/>
        <t:Anchor>
          <t:Comment id="1233899674"/>
        </t:Anchor>
        <t:Assign userId="S::Gobet@insuranceeurope.eu::f77306ac-1954-4cb3-b6b8-7dc813b67d78" userProvider="AD" userName="Cléa Gobet"/>
      </t:Event>
      <t:Event id="{D9F87738-345C-4D0B-87B9-79009B8685E2}" time="2025-08-06T13:55:54.235Z">
        <t:Attribution userId="S::angelis@insuranceeurope.eu::bcf412be-07e0-43a6-b1e5-6ce7c91645c0" userProvider="AD" userName="Philippe Angelis"/>
        <t:Anchor>
          <t:Comment id="1233899674"/>
        </t:Anchor>
        <t:SetTitle title="@Cléa Gobet difficult to say this as EFRAG is now attempting to define it. We should comment on their proposed definition."/>
      </t:Event>
      <t:Event id="{450F5F17-BC21-4329-BB32-63B4A3BA4C29}" time="2025-08-07T13:52:28.669Z">
        <t:Attribution userId="S::Gobet@insuranceeurope.eu::f77306ac-1954-4cb3-b6b8-7dc813b67d78" userProvider="AD" userName="Cléa Gobet"/>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4EF38CAE9A4F80AF2F6FA01859F6AD"/>
        <w:category>
          <w:name w:val="General"/>
          <w:gallery w:val="placeholder"/>
        </w:category>
        <w:types>
          <w:type w:val="bbPlcHdr"/>
        </w:types>
        <w:behaviors>
          <w:behavior w:val="content"/>
        </w:behaviors>
        <w:guid w:val="{728CBCCC-8DFB-4F0E-A3A0-D9B9750E4ED6}"/>
      </w:docPartPr>
      <w:docPartBody>
        <w:p w:rsidR="00D92B7A" w:rsidRDefault="005F6EC7" w:rsidP="005F6EC7">
          <w:pPr>
            <w:pStyle w:val="584EF38CAE9A4F80AF2F6FA01859F6AD"/>
          </w:pPr>
          <w:r w:rsidRPr="00714930">
            <w:rPr>
              <w:rStyle w:val="Zstupntext"/>
            </w:rPr>
            <w:t>[Reference]</w:t>
          </w:r>
        </w:p>
      </w:docPartBody>
    </w:docPart>
    <w:docPart>
      <w:docPartPr>
        <w:name w:val="DefaultPlaceholder_-1854013440"/>
        <w:category>
          <w:name w:val="General"/>
          <w:gallery w:val="placeholder"/>
        </w:category>
        <w:types>
          <w:type w:val="bbPlcHdr"/>
        </w:types>
        <w:behaviors>
          <w:behavior w:val="content"/>
        </w:behaviors>
        <w:guid w:val="{350E5685-6C96-4FE6-872F-19F6FA4E2ADB}"/>
      </w:docPartPr>
      <w:docPartBody>
        <w:p w:rsidR="003278DF" w:rsidRDefault="005901AA">
          <w:r w:rsidRPr="008C7EEE">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alibri"/>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EC7"/>
    <w:rsid w:val="0003148E"/>
    <w:rsid w:val="00125A37"/>
    <w:rsid w:val="00157260"/>
    <w:rsid w:val="001F0766"/>
    <w:rsid w:val="003278DF"/>
    <w:rsid w:val="003C10C7"/>
    <w:rsid w:val="003E28DA"/>
    <w:rsid w:val="00440517"/>
    <w:rsid w:val="004427E9"/>
    <w:rsid w:val="004567EF"/>
    <w:rsid w:val="0054070F"/>
    <w:rsid w:val="005901AA"/>
    <w:rsid w:val="005D21B1"/>
    <w:rsid w:val="005F6EC7"/>
    <w:rsid w:val="00604410"/>
    <w:rsid w:val="00645C2D"/>
    <w:rsid w:val="006704B4"/>
    <w:rsid w:val="006E08CC"/>
    <w:rsid w:val="00756109"/>
    <w:rsid w:val="007967C7"/>
    <w:rsid w:val="007E1748"/>
    <w:rsid w:val="008324D3"/>
    <w:rsid w:val="00931FEF"/>
    <w:rsid w:val="00956DD0"/>
    <w:rsid w:val="00981EE1"/>
    <w:rsid w:val="009A5F5F"/>
    <w:rsid w:val="009D348E"/>
    <w:rsid w:val="009E0A14"/>
    <w:rsid w:val="00A467DB"/>
    <w:rsid w:val="00A47A5F"/>
    <w:rsid w:val="00AB1078"/>
    <w:rsid w:val="00B16236"/>
    <w:rsid w:val="00B17031"/>
    <w:rsid w:val="00BC5215"/>
    <w:rsid w:val="00C30526"/>
    <w:rsid w:val="00C67B6A"/>
    <w:rsid w:val="00C96AA8"/>
    <w:rsid w:val="00CC0E72"/>
    <w:rsid w:val="00CD0058"/>
    <w:rsid w:val="00CF4325"/>
    <w:rsid w:val="00D728F9"/>
    <w:rsid w:val="00D92B7A"/>
    <w:rsid w:val="00DE73C3"/>
    <w:rsid w:val="00E30A5C"/>
    <w:rsid w:val="00F12596"/>
    <w:rsid w:val="00F674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5901AA"/>
    <w:rPr>
      <w:color w:val="808080"/>
    </w:rPr>
  </w:style>
  <w:style w:type="paragraph" w:customStyle="1" w:styleId="584EF38CAE9A4F80AF2F6FA01859F6AD">
    <w:name w:val="584EF38CAE9A4F80AF2F6FA01859F6AD"/>
    <w:rsid w:val="005F6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adline xmlns="ddee4349-d6c5-476b-a1c6-d791a1a12d6c" xsi:nil="true"/>
    <Feedback_x0020_type xmlns="ddee4349-d6c5-476b-a1c6-d791a1a12d6c" xsi:nil="true"/>
    <Allow_x0020_uploads xmlns="ddee4349-d6c5-476b-a1c6-d791a1a12d6c" xsi:nil="true"/>
    <Allow_x0020_comments xmlns="ddee4349-d6c5-476b-a1c6-d791a1a12d6c" xsi:nil="true"/>
    <Leading_x0020_document xmlns="ddee4349-d6c5-476b-a1c6-d791a1a12d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0CA08016993649B987301C6C20DE93" ma:contentTypeVersion="11" ma:contentTypeDescription="Create a new document." ma:contentTypeScope="" ma:versionID="63ba4a142953e3874a4f611ac23dcbee">
  <xsd:schema xmlns:xsd="http://www.w3.org/2001/XMLSchema" xmlns:xs="http://www.w3.org/2001/XMLSchema" xmlns:p="http://schemas.microsoft.com/office/2006/metadata/properties" xmlns:ns2="ddee4349-d6c5-476b-a1c6-d791a1a12d6c" xmlns:ns3="efa07f0a-2279-4397-9381-96c735bff43a" targetNamespace="http://schemas.microsoft.com/office/2006/metadata/properties" ma:root="true" ma:fieldsID="a7f008d25419cfd282394c9e489fe384" ns2:_="" ns3:_="">
    <xsd:import namespace="ddee4349-d6c5-476b-a1c6-d791a1a12d6c"/>
    <xsd:import namespace="efa07f0a-2279-4397-9381-96c735bff43a"/>
    <xsd:element name="properties">
      <xsd:complexType>
        <xsd:sequence>
          <xsd:element name="documentManagement">
            <xsd:complexType>
              <xsd:all>
                <xsd:element ref="ns2:Feedback_x0020_type" minOccurs="0"/>
                <xsd:element ref="ns2:Allow_x0020_uploads" minOccurs="0"/>
                <xsd:element ref="ns2:Allow_x0020_comments" minOccurs="0"/>
                <xsd:element ref="ns2:Deadline" minOccurs="0"/>
                <xsd:element ref="ns2:Leading_x0020_document"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e4349-d6c5-476b-a1c6-d791a1a12d6c" elementFormDefault="qualified">
    <xsd:import namespace="http://schemas.microsoft.com/office/2006/documentManagement/types"/>
    <xsd:import namespace="http://schemas.microsoft.com/office/infopath/2007/PartnerControls"/>
    <xsd:element name="Feedback_x0020_type" ma:index="8" nillable="true" ma:displayName="Feedback type" ma:internalName="Feedback_x0020_type">
      <xsd:simpleType>
        <xsd:restriction base="dms:Text"/>
      </xsd:simpleType>
    </xsd:element>
    <xsd:element name="Allow_x0020_uploads" ma:index="9" nillable="true" ma:displayName="Allow uploads" ma:internalName="Allow_x0020_uploads">
      <xsd:simpleType>
        <xsd:restriction base="dms:Boolean"/>
      </xsd:simpleType>
    </xsd:element>
    <xsd:element name="Allow_x0020_comments" ma:index="10" nillable="true" ma:displayName="Allow comments" ma:internalName="Allow_x0020_comments">
      <xsd:simpleType>
        <xsd:restriction base="dms:Boolean"/>
      </xsd:simpleType>
    </xsd:element>
    <xsd:element name="Deadline" ma:index="11" nillable="true" ma:displayName="Deadline" ma:internalName="Deadline">
      <xsd:simpleType>
        <xsd:restriction base="dms:DateTime"/>
      </xsd:simpleType>
    </xsd:element>
    <xsd:element name="Leading_x0020_document" ma:index="12" nillable="true" ma:displayName="Leading document" ma:internalName="Leading_x0020_document">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a07f0a-2279-4397-9381-96c735bff4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E09D75-F009-4B9E-BD47-BE2B6EEE60FD}">
  <ds:schemaRefs>
    <ds:schemaRef ds:uri="http://schemas.openxmlformats.org/officeDocument/2006/bibliography"/>
  </ds:schemaRefs>
</ds:datastoreItem>
</file>

<file path=customXml/itemProps2.xml><?xml version="1.0" encoding="utf-8"?>
<ds:datastoreItem xmlns:ds="http://schemas.openxmlformats.org/officeDocument/2006/customXml" ds:itemID="{16BE8AC2-BC04-484A-AE5F-6753D3DE5469}">
  <ds:schemaRefs>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efa07f0a-2279-4397-9381-96c735bff43a"/>
    <ds:schemaRef ds:uri="http://schemas.microsoft.com/office/2006/metadata/properties"/>
    <ds:schemaRef ds:uri="http://purl.org/dc/dcmitype/"/>
    <ds:schemaRef ds:uri="http://schemas.microsoft.com/office/infopath/2007/PartnerControls"/>
    <ds:schemaRef ds:uri="ddee4349-d6c5-476b-a1c6-d791a1a12d6c"/>
  </ds:schemaRefs>
</ds:datastoreItem>
</file>

<file path=customXml/itemProps3.xml><?xml version="1.0" encoding="utf-8"?>
<ds:datastoreItem xmlns:ds="http://schemas.openxmlformats.org/officeDocument/2006/customXml" ds:itemID="{06EDAD42-779E-4491-B5CC-8D203A484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e4349-d6c5-476b-a1c6-d791a1a12d6c"/>
    <ds:schemaRef ds:uri="efa07f0a-2279-4397-9381-96c735bff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543F7-D990-4A6E-8CB8-19DE2D0160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11955</Words>
  <Characters>68146</Characters>
  <Application>Microsoft Office Word</Application>
  <DocSecurity>4</DocSecurity>
  <Lines>567</Lines>
  <Paragraphs>159</Paragraphs>
  <ScaleCrop>false</ScaleCrop>
  <HeadingPairs>
    <vt:vector size="2" baseType="variant">
      <vt:variant>
        <vt:lpstr>Title</vt:lpstr>
      </vt:variant>
      <vt:variant>
        <vt:i4>1</vt:i4>
      </vt:variant>
    </vt:vector>
  </HeadingPairs>
  <TitlesOfParts>
    <vt:vector size="1" baseType="lpstr">
      <vt:lpstr>First Draft response - ESRS Set 1 Consultation</vt:lpstr>
    </vt:vector>
  </TitlesOfParts>
  <Company>Insurance Europe</Company>
  <LinksUpToDate>false</LinksUpToDate>
  <CharactersWithSpaces>79942</CharactersWithSpaces>
  <SharedDoc>false</SharedDoc>
  <HLinks>
    <vt:vector size="102" baseType="variant">
      <vt:variant>
        <vt:i4>917598</vt:i4>
      </vt:variant>
      <vt:variant>
        <vt:i4>24</vt:i4>
      </vt:variant>
      <vt:variant>
        <vt:i4>0</vt:i4>
      </vt:variant>
      <vt:variant>
        <vt:i4>5</vt:i4>
      </vt:variant>
      <vt:variant>
        <vt:lpwstr>https://www.efrag.org/en/media/29462</vt:lpwstr>
      </vt:variant>
      <vt:variant>
        <vt:lpwstr/>
      </vt:variant>
      <vt:variant>
        <vt:i4>4259914</vt:i4>
      </vt:variant>
      <vt:variant>
        <vt:i4>21</vt:i4>
      </vt:variant>
      <vt:variant>
        <vt:i4>0</vt:i4>
      </vt:variant>
      <vt:variant>
        <vt:i4>5</vt:i4>
      </vt:variant>
      <vt:variant>
        <vt:lpwstr>https://www.efrag.org/en/amended-esrs</vt:lpwstr>
      </vt:variant>
      <vt:variant>
        <vt:lpwstr/>
      </vt:variant>
      <vt:variant>
        <vt:i4>1966128</vt:i4>
      </vt:variant>
      <vt:variant>
        <vt:i4>18</vt:i4>
      </vt:variant>
      <vt:variant>
        <vt:i4>0</vt:i4>
      </vt:variant>
      <vt:variant>
        <vt:i4>5</vt:i4>
      </vt:variant>
      <vt:variant>
        <vt:lpwstr>mailto:fieldtestadeqwages@efrag.org</vt:lpwstr>
      </vt:variant>
      <vt:variant>
        <vt:lpwstr/>
      </vt:variant>
      <vt:variant>
        <vt:i4>524380</vt:i4>
      </vt:variant>
      <vt:variant>
        <vt:i4>15</vt:i4>
      </vt:variant>
      <vt:variant>
        <vt:i4>0</vt:i4>
      </vt:variant>
      <vt:variant>
        <vt:i4>5</vt:i4>
      </vt:variant>
      <vt:variant>
        <vt:lpwstr>https://www.efrag.org/en/media/29444</vt:lpwstr>
      </vt:variant>
      <vt:variant>
        <vt:lpwstr/>
      </vt:variant>
      <vt:variant>
        <vt:i4>7602209</vt:i4>
      </vt:variant>
      <vt:variant>
        <vt:i4>12</vt:i4>
      </vt:variant>
      <vt:variant>
        <vt:i4>0</vt:i4>
      </vt:variant>
      <vt:variant>
        <vt:i4>5</vt:i4>
      </vt:variant>
      <vt:variant>
        <vt:lpwstr>https://insuranceeurope.sharepoint.com/:w:/r/sites/extranet/Corporate Reporting  Investments  Sustainable Fina/2025/ECO-CRISF-25-128.docx?d=we99cdfb3a898494989230abc0ecdce21&amp;csf=1&amp;web=1&amp;e=FYtf56</vt:lpwstr>
      </vt:variant>
      <vt:variant>
        <vt:lpwstr/>
      </vt:variant>
      <vt:variant>
        <vt:i4>7864370</vt:i4>
      </vt:variant>
      <vt:variant>
        <vt:i4>9</vt:i4>
      </vt:variant>
      <vt:variant>
        <vt:i4>0</vt:i4>
      </vt:variant>
      <vt:variant>
        <vt:i4>5</vt:i4>
      </vt:variant>
      <vt:variant>
        <vt:lpwstr>https://insuranceeurope.sharepoint.com/sites/extranet/?meeting=981</vt:lpwstr>
      </vt:variant>
      <vt:variant>
        <vt:lpwstr/>
      </vt:variant>
      <vt:variant>
        <vt:i4>7077945</vt:i4>
      </vt:variant>
      <vt:variant>
        <vt:i4>6</vt:i4>
      </vt:variant>
      <vt:variant>
        <vt:i4>0</vt:i4>
      </vt:variant>
      <vt:variant>
        <vt:i4>5</vt:i4>
      </vt:variant>
      <vt:variant>
        <vt:lpwstr>https://www.efrag.org/en/amended-esrs-0</vt:lpwstr>
      </vt:variant>
      <vt:variant>
        <vt:lpwstr/>
      </vt:variant>
      <vt:variant>
        <vt:i4>2687085</vt:i4>
      </vt:variant>
      <vt:variant>
        <vt:i4>3</vt:i4>
      </vt:variant>
      <vt:variant>
        <vt:i4>0</vt:i4>
      </vt:variant>
      <vt:variant>
        <vt:i4>5</vt:i4>
      </vt:variant>
      <vt:variant>
        <vt:lpwstr>https://survey.alchemer.eu/s3/90874765/Amended-ESRS-Exposure-Draft-July-2025-Public-Consultation-Survey</vt:lpwstr>
      </vt:variant>
      <vt:variant>
        <vt:lpwstr/>
      </vt:variant>
      <vt:variant>
        <vt:i4>2293869</vt:i4>
      </vt:variant>
      <vt:variant>
        <vt:i4>0</vt:i4>
      </vt:variant>
      <vt:variant>
        <vt:i4>0</vt:i4>
      </vt:variant>
      <vt:variant>
        <vt:i4>5</vt:i4>
      </vt:variant>
      <vt:variant>
        <vt:lpwstr>https://insuranceeurope.sharepoint.com/sites/extranet/Corporate Reporting  Investments  Sustainable Fina/2025/ECO-CRISF-25-234.pdf?xsdata=MDV8MDJ8R29iZXRAaW5zdXJhbmNlZXVyb3BlLmV1fDBmYTViNjY2NmI4NjQ1MDU4OGQzMDhkZGQwNDhjOTM3fDJmNjBkN2E1NmE3YjRmOTBhMGQ0N2U2YTBlYTVhZTllfDB8MHw2Mzg4OTU3MzMyMzkyOTc0MzF8VW5rbm93bnxUV0ZwYkdac2IzZDhleUpGYlhCMGVVMWhjR2tpT25SeWRXVXNJbFlpT2lJd0xqQXVNREF3TUNJc0lsQWlPaUpYYVc0ek1pSXNJa0ZPSWpvaVRXRnBiQ0lzSWxkVUlqb3lmUT09fDB8fHw%3d&amp;sdata=YWFNdXFCZkJFR0NuY3poR25HcHBZV0gvTzVUZ3BCcGpTTEFQcVVTUDR2MD0%3d&amp;clickparams=eyAiWC1BcHBOYW1lIiA6ICJNaWNyb3NvZnQgT3V0bG9vayIsICJYLUFwcFZlcnNpb24iIDogIjE2LjAuMTg4MjcuMjAyMDIiLCAiT1MiIDogIldpbmRvd3MiIH0%3D</vt:lpwstr>
      </vt:variant>
      <vt:variant>
        <vt:lpwstr/>
      </vt:variant>
      <vt:variant>
        <vt:i4>131128</vt:i4>
      </vt:variant>
      <vt:variant>
        <vt:i4>21</vt:i4>
      </vt:variant>
      <vt:variant>
        <vt:i4>0</vt:i4>
      </vt:variant>
      <vt:variant>
        <vt:i4>5</vt:i4>
      </vt:variant>
      <vt:variant>
        <vt:lpwstr>mailto:angelis@insuranceeurope.eu</vt:lpwstr>
      </vt:variant>
      <vt:variant>
        <vt:lpwstr/>
      </vt:variant>
      <vt:variant>
        <vt:i4>131128</vt:i4>
      </vt:variant>
      <vt:variant>
        <vt:i4>18</vt:i4>
      </vt:variant>
      <vt:variant>
        <vt:i4>0</vt:i4>
      </vt:variant>
      <vt:variant>
        <vt:i4>5</vt:i4>
      </vt:variant>
      <vt:variant>
        <vt:lpwstr>mailto:angelis@insuranceeurope.eu</vt:lpwstr>
      </vt:variant>
      <vt:variant>
        <vt:lpwstr/>
      </vt:variant>
      <vt:variant>
        <vt:i4>6946896</vt:i4>
      </vt:variant>
      <vt:variant>
        <vt:i4>15</vt:i4>
      </vt:variant>
      <vt:variant>
        <vt:i4>0</vt:i4>
      </vt:variant>
      <vt:variant>
        <vt:i4>5</vt:i4>
      </vt:variant>
      <vt:variant>
        <vt:lpwstr>mailto:Gobet@insuranceeurope.eu</vt:lpwstr>
      </vt:variant>
      <vt:variant>
        <vt:lpwstr/>
      </vt:variant>
      <vt:variant>
        <vt:i4>131128</vt:i4>
      </vt:variant>
      <vt:variant>
        <vt:i4>12</vt:i4>
      </vt:variant>
      <vt:variant>
        <vt:i4>0</vt:i4>
      </vt:variant>
      <vt:variant>
        <vt:i4>5</vt:i4>
      </vt:variant>
      <vt:variant>
        <vt:lpwstr>mailto:angelis@insuranceeurope.eu</vt:lpwstr>
      </vt:variant>
      <vt:variant>
        <vt:lpwstr/>
      </vt:variant>
      <vt:variant>
        <vt:i4>6946896</vt:i4>
      </vt:variant>
      <vt:variant>
        <vt:i4>9</vt:i4>
      </vt:variant>
      <vt:variant>
        <vt:i4>0</vt:i4>
      </vt:variant>
      <vt:variant>
        <vt:i4>5</vt:i4>
      </vt:variant>
      <vt:variant>
        <vt:lpwstr>mailto:Gobet@insuranceeurope.eu</vt:lpwstr>
      </vt:variant>
      <vt:variant>
        <vt:lpwstr/>
      </vt:variant>
      <vt:variant>
        <vt:i4>131128</vt:i4>
      </vt:variant>
      <vt:variant>
        <vt:i4>6</vt:i4>
      </vt:variant>
      <vt:variant>
        <vt:i4>0</vt:i4>
      </vt:variant>
      <vt:variant>
        <vt:i4>5</vt:i4>
      </vt:variant>
      <vt:variant>
        <vt:lpwstr>mailto:angelis@insuranceeurope.eu</vt:lpwstr>
      </vt:variant>
      <vt:variant>
        <vt:lpwstr/>
      </vt:variant>
      <vt:variant>
        <vt:i4>131128</vt:i4>
      </vt:variant>
      <vt:variant>
        <vt:i4>3</vt:i4>
      </vt:variant>
      <vt:variant>
        <vt:i4>0</vt:i4>
      </vt:variant>
      <vt:variant>
        <vt:i4>5</vt:i4>
      </vt:variant>
      <vt:variant>
        <vt:lpwstr>mailto:angelis@insuranceeurope.eu</vt:lpwstr>
      </vt:variant>
      <vt:variant>
        <vt:lpwstr/>
      </vt:variant>
      <vt:variant>
        <vt:i4>6946896</vt:i4>
      </vt:variant>
      <vt:variant>
        <vt:i4>0</vt:i4>
      </vt:variant>
      <vt:variant>
        <vt:i4>0</vt:i4>
      </vt:variant>
      <vt:variant>
        <vt:i4>5</vt:i4>
      </vt:variant>
      <vt:variant>
        <vt:lpwstr>mailto:Gobet@insuranceeurope.eu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Draft response - ESRS Set 1 Consultation</dc:title>
  <dc:subject/>
  <dc:creator>Insurance Europe</dc:creator>
  <cp:keywords/>
  <cp:lastModifiedBy>jozef.bachnicek</cp:lastModifiedBy>
  <cp:revision>2</cp:revision>
  <dcterms:created xsi:type="dcterms:W3CDTF">2025-08-12T07:04:00Z</dcterms:created>
  <dcterms:modified xsi:type="dcterms:W3CDTF">2025-08-12T07:04:00Z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0x010100F10CA08016993649B987301C6C20DE93</vt:lpwstr>
  </property>
  <property fmtid="{D5CDD505-2E9C-101B-9397-08002B2CF9AE}" pid="3" name="_dlc_DocIdItemGuid">
    <vt:lpwstr>807015e5-4965-44a9-a54b-51b6e9b5700a</vt:lpwstr>
  </property>
</Properties>
</file>