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50A4" w14:textId="25EF0C84" w:rsidR="00A30A15" w:rsidRPr="00D57144" w:rsidRDefault="00896877" w:rsidP="00E07EA2">
      <w:pPr>
        <w:jc w:val="both"/>
        <w:rPr>
          <w:b/>
          <w:bCs/>
          <w:color w:val="0070C0"/>
          <w:sz w:val="20"/>
          <w:szCs w:val="28"/>
          <w:lang w:val="en-GB"/>
        </w:rPr>
      </w:pPr>
      <w:r>
        <w:rPr>
          <w:b/>
          <w:bCs/>
          <w:color w:val="0070C0"/>
          <w:sz w:val="20"/>
          <w:szCs w:val="28"/>
          <w:lang w:val="en-GB"/>
        </w:rPr>
        <w:t>Draft dividend statement</w:t>
      </w:r>
    </w:p>
    <w:p w14:paraId="2B58CEEE" w14:textId="054DEAEE" w:rsidR="00D91984" w:rsidRDefault="00FA3818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 response to the COVID-19 pandemic, t</w:t>
      </w:r>
      <w:r w:rsidR="00BF1CF6">
        <w:rPr>
          <w:rFonts w:ascii="Verdana" w:hAnsi="Verdana"/>
          <w:sz w:val="17"/>
          <w:szCs w:val="17"/>
        </w:rPr>
        <w:t xml:space="preserve">he European Commission and governments across Europe are taking action to protect citizens and support the economy. </w:t>
      </w:r>
      <w:r w:rsidR="00D95B6E">
        <w:rPr>
          <w:rFonts w:ascii="Verdana" w:hAnsi="Verdana"/>
          <w:sz w:val="17"/>
          <w:szCs w:val="17"/>
        </w:rPr>
        <w:t xml:space="preserve">Insurers are </w:t>
      </w:r>
      <w:r w:rsidR="00AC6D6C">
        <w:rPr>
          <w:rFonts w:ascii="Verdana" w:hAnsi="Verdana"/>
          <w:sz w:val="17"/>
          <w:szCs w:val="17"/>
        </w:rPr>
        <w:t>also doing their utmost</w:t>
      </w:r>
      <w:r w:rsidR="00D95B6E">
        <w:rPr>
          <w:rFonts w:ascii="Verdana" w:hAnsi="Verdana"/>
          <w:sz w:val="17"/>
          <w:szCs w:val="17"/>
        </w:rPr>
        <w:t xml:space="preserve"> in these difficult times to continue to serve their customers</w:t>
      </w:r>
      <w:r w:rsidR="00190E39">
        <w:rPr>
          <w:rFonts w:ascii="Verdana" w:hAnsi="Verdana"/>
          <w:sz w:val="17"/>
          <w:szCs w:val="17"/>
        </w:rPr>
        <w:t xml:space="preserve"> and</w:t>
      </w:r>
      <w:r w:rsidR="00147ADD">
        <w:rPr>
          <w:rFonts w:ascii="Verdana" w:hAnsi="Verdana"/>
          <w:sz w:val="17"/>
          <w:szCs w:val="17"/>
        </w:rPr>
        <w:t xml:space="preserve"> </w:t>
      </w:r>
      <w:r w:rsidR="00896877">
        <w:rPr>
          <w:rFonts w:ascii="Verdana" w:hAnsi="Verdana"/>
          <w:sz w:val="17"/>
          <w:szCs w:val="17"/>
        </w:rPr>
        <w:t xml:space="preserve">to </w:t>
      </w:r>
      <w:r w:rsidR="00147ADD">
        <w:rPr>
          <w:rFonts w:ascii="Verdana" w:hAnsi="Verdana"/>
          <w:sz w:val="17"/>
          <w:szCs w:val="17"/>
        </w:rPr>
        <w:t>support businesses and the economy</w:t>
      </w:r>
      <w:r w:rsidR="00D95B6E">
        <w:rPr>
          <w:rFonts w:ascii="Verdana" w:hAnsi="Verdana"/>
          <w:sz w:val="17"/>
          <w:szCs w:val="17"/>
        </w:rPr>
        <w:t xml:space="preserve">.  </w:t>
      </w:r>
    </w:p>
    <w:p w14:paraId="755D447A" w14:textId="77777777" w:rsidR="00D91984" w:rsidRDefault="00D91984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7904E23C" w14:textId="0893D0B9" w:rsidR="00273FDE" w:rsidRDefault="00596D1D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The European insurance industry therefore </w:t>
      </w:r>
      <w:r w:rsidR="00450FF1">
        <w:rPr>
          <w:rFonts w:ascii="Verdana" w:hAnsi="Verdana"/>
          <w:sz w:val="17"/>
          <w:szCs w:val="17"/>
        </w:rPr>
        <w:t xml:space="preserve">appreciated EIOPA’s 17 March </w:t>
      </w:r>
      <w:r w:rsidR="002657E9">
        <w:rPr>
          <w:rFonts w:ascii="Verdana" w:hAnsi="Verdana"/>
          <w:sz w:val="17"/>
          <w:szCs w:val="17"/>
        </w:rPr>
        <w:t xml:space="preserve">and 1 April </w:t>
      </w:r>
      <w:r w:rsidR="00450FF1">
        <w:rPr>
          <w:rFonts w:ascii="Verdana" w:hAnsi="Verdana"/>
          <w:sz w:val="17"/>
          <w:szCs w:val="17"/>
        </w:rPr>
        <w:t>statement</w:t>
      </w:r>
      <w:r w:rsidR="002657E9">
        <w:rPr>
          <w:rFonts w:ascii="Verdana" w:hAnsi="Verdana"/>
          <w:sz w:val="17"/>
          <w:szCs w:val="17"/>
        </w:rPr>
        <w:t>s</w:t>
      </w:r>
      <w:r w:rsidR="00450FF1">
        <w:rPr>
          <w:rFonts w:ascii="Verdana" w:hAnsi="Verdana"/>
          <w:sz w:val="17"/>
          <w:szCs w:val="17"/>
        </w:rPr>
        <w:t xml:space="preserve"> </w:t>
      </w:r>
      <w:r w:rsidR="002657E9">
        <w:rPr>
          <w:rFonts w:ascii="Verdana" w:hAnsi="Verdana"/>
          <w:sz w:val="17"/>
          <w:szCs w:val="17"/>
        </w:rPr>
        <w:t xml:space="preserve">underlining the </w:t>
      </w:r>
      <w:r w:rsidR="00897632">
        <w:rPr>
          <w:rFonts w:ascii="Verdana" w:hAnsi="Verdana"/>
          <w:sz w:val="17"/>
          <w:szCs w:val="17"/>
        </w:rPr>
        <w:t>strong solvency position of the</w:t>
      </w:r>
      <w:r w:rsidR="002657E9">
        <w:rPr>
          <w:rFonts w:ascii="Verdana" w:hAnsi="Verdana"/>
          <w:sz w:val="17"/>
          <w:szCs w:val="17"/>
        </w:rPr>
        <w:t xml:space="preserve"> industry </w:t>
      </w:r>
      <w:r w:rsidR="00897632">
        <w:rPr>
          <w:rFonts w:ascii="Verdana" w:hAnsi="Verdana"/>
          <w:sz w:val="17"/>
          <w:szCs w:val="17"/>
        </w:rPr>
        <w:t>and</w:t>
      </w:r>
      <w:r w:rsidR="002D573A">
        <w:rPr>
          <w:rFonts w:ascii="Verdana" w:hAnsi="Verdana"/>
          <w:sz w:val="17"/>
          <w:szCs w:val="17"/>
        </w:rPr>
        <w:t xml:space="preserve"> </w:t>
      </w:r>
      <w:r w:rsidR="001B41AE">
        <w:rPr>
          <w:rFonts w:ascii="Verdana" w:hAnsi="Verdana"/>
          <w:sz w:val="17"/>
          <w:szCs w:val="17"/>
        </w:rPr>
        <w:t>acknowledg</w:t>
      </w:r>
      <w:r w:rsidR="00897632">
        <w:rPr>
          <w:rFonts w:ascii="Verdana" w:hAnsi="Verdana"/>
          <w:sz w:val="17"/>
          <w:szCs w:val="17"/>
        </w:rPr>
        <w:t>ing</w:t>
      </w:r>
      <w:r w:rsidR="001B41AE">
        <w:rPr>
          <w:rFonts w:ascii="Verdana" w:hAnsi="Verdana"/>
          <w:sz w:val="17"/>
          <w:szCs w:val="17"/>
        </w:rPr>
        <w:t xml:space="preserve"> the various steps </w:t>
      </w:r>
      <w:r w:rsidR="00224861">
        <w:rPr>
          <w:rFonts w:ascii="Verdana" w:hAnsi="Verdana"/>
          <w:sz w:val="17"/>
          <w:szCs w:val="17"/>
        </w:rPr>
        <w:t xml:space="preserve">insurers have </w:t>
      </w:r>
      <w:r w:rsidR="00450FF1">
        <w:rPr>
          <w:rFonts w:ascii="Verdana" w:hAnsi="Verdana"/>
          <w:sz w:val="17"/>
          <w:szCs w:val="17"/>
        </w:rPr>
        <w:t xml:space="preserve">been </w:t>
      </w:r>
      <w:r w:rsidR="00224861">
        <w:rPr>
          <w:rFonts w:ascii="Verdana" w:hAnsi="Verdana"/>
          <w:sz w:val="17"/>
          <w:szCs w:val="17"/>
        </w:rPr>
        <w:t>tak</w:t>
      </w:r>
      <w:r w:rsidR="00450FF1">
        <w:rPr>
          <w:rFonts w:ascii="Verdana" w:hAnsi="Verdana"/>
          <w:sz w:val="17"/>
          <w:szCs w:val="17"/>
        </w:rPr>
        <w:t>ing</w:t>
      </w:r>
      <w:r w:rsidR="00224861">
        <w:rPr>
          <w:rFonts w:ascii="Verdana" w:hAnsi="Verdana"/>
          <w:sz w:val="17"/>
          <w:szCs w:val="17"/>
        </w:rPr>
        <w:t xml:space="preserve"> to </w:t>
      </w:r>
      <w:r w:rsidR="006C7B3B">
        <w:rPr>
          <w:rFonts w:ascii="Verdana" w:hAnsi="Verdana"/>
          <w:sz w:val="17"/>
          <w:szCs w:val="17"/>
        </w:rPr>
        <w:t>show flexibility to their</w:t>
      </w:r>
      <w:r w:rsidR="00224861">
        <w:rPr>
          <w:rFonts w:ascii="Verdana" w:hAnsi="Verdana"/>
          <w:sz w:val="17"/>
          <w:szCs w:val="17"/>
        </w:rPr>
        <w:t xml:space="preserve"> customers</w:t>
      </w:r>
      <w:r w:rsidR="00273FDE">
        <w:rPr>
          <w:rFonts w:ascii="Verdana" w:hAnsi="Verdana"/>
          <w:sz w:val="17"/>
          <w:szCs w:val="17"/>
        </w:rPr>
        <w:t>. We also welcomed EIOPA’s</w:t>
      </w:r>
      <w:r w:rsidR="00FA056A">
        <w:rPr>
          <w:rFonts w:ascii="Verdana" w:hAnsi="Verdana"/>
          <w:sz w:val="17"/>
          <w:szCs w:val="17"/>
        </w:rPr>
        <w:t xml:space="preserve"> highlighting </w:t>
      </w:r>
      <w:r w:rsidR="00273FDE">
        <w:rPr>
          <w:rFonts w:ascii="Verdana" w:hAnsi="Verdana"/>
          <w:sz w:val="17"/>
          <w:szCs w:val="17"/>
        </w:rPr>
        <w:t xml:space="preserve">of </w:t>
      </w:r>
      <w:r w:rsidR="00FA056A">
        <w:rPr>
          <w:rFonts w:ascii="Verdana" w:hAnsi="Verdana"/>
          <w:sz w:val="17"/>
          <w:szCs w:val="17"/>
        </w:rPr>
        <w:t xml:space="preserve">the threat that would be posed to the industry and policyholders were retroactive coverage of </w:t>
      </w:r>
      <w:r w:rsidR="00365101">
        <w:rPr>
          <w:rFonts w:ascii="Verdana" w:hAnsi="Verdana"/>
          <w:sz w:val="17"/>
          <w:szCs w:val="17"/>
        </w:rPr>
        <w:t xml:space="preserve">uninsured </w:t>
      </w:r>
      <w:r w:rsidR="00FA056A">
        <w:rPr>
          <w:rFonts w:ascii="Verdana" w:hAnsi="Verdana"/>
          <w:sz w:val="17"/>
          <w:szCs w:val="17"/>
        </w:rPr>
        <w:t xml:space="preserve">claims </w:t>
      </w:r>
      <w:r w:rsidR="00365101">
        <w:rPr>
          <w:rFonts w:ascii="Verdana" w:hAnsi="Verdana"/>
          <w:sz w:val="17"/>
          <w:szCs w:val="17"/>
        </w:rPr>
        <w:t>to</w:t>
      </w:r>
      <w:r w:rsidR="00273FDE">
        <w:rPr>
          <w:rFonts w:ascii="Verdana" w:hAnsi="Verdana"/>
          <w:sz w:val="17"/>
          <w:szCs w:val="17"/>
        </w:rPr>
        <w:t xml:space="preserve"> </w:t>
      </w:r>
      <w:r w:rsidR="00365101">
        <w:rPr>
          <w:rFonts w:ascii="Verdana" w:hAnsi="Verdana"/>
          <w:sz w:val="17"/>
          <w:szCs w:val="17"/>
        </w:rPr>
        <w:t xml:space="preserve">be </w:t>
      </w:r>
      <w:r w:rsidR="00273FDE">
        <w:rPr>
          <w:rFonts w:ascii="Verdana" w:hAnsi="Verdana"/>
          <w:sz w:val="17"/>
          <w:szCs w:val="17"/>
        </w:rPr>
        <w:t>imposed</w:t>
      </w:r>
      <w:r w:rsidR="00365101">
        <w:rPr>
          <w:rFonts w:ascii="Verdana" w:hAnsi="Verdana"/>
          <w:sz w:val="17"/>
          <w:szCs w:val="17"/>
        </w:rPr>
        <w:t xml:space="preserve"> on the industry</w:t>
      </w:r>
      <w:r w:rsidR="00224861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 xml:space="preserve"> </w:t>
      </w:r>
    </w:p>
    <w:p w14:paraId="58732AC5" w14:textId="77777777" w:rsidR="00273FDE" w:rsidRDefault="00273FDE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134DB1B8" w14:textId="142A0442" w:rsidR="00210D36" w:rsidRDefault="00273FDE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</w:t>
      </w:r>
      <w:r w:rsidR="00973FE4" w:rsidRPr="00B0038B">
        <w:rPr>
          <w:rFonts w:ascii="Verdana" w:hAnsi="Verdana"/>
          <w:sz w:val="17"/>
          <w:szCs w:val="17"/>
        </w:rPr>
        <w:t>e are</w:t>
      </w:r>
      <w:r>
        <w:rPr>
          <w:rFonts w:ascii="Verdana" w:hAnsi="Verdana"/>
          <w:sz w:val="17"/>
          <w:szCs w:val="17"/>
        </w:rPr>
        <w:t>, however,</w:t>
      </w:r>
      <w:r w:rsidR="00973FE4" w:rsidRPr="00B0038B">
        <w:rPr>
          <w:rFonts w:ascii="Verdana" w:hAnsi="Verdana"/>
          <w:sz w:val="17"/>
          <w:szCs w:val="17"/>
        </w:rPr>
        <w:t xml:space="preserve"> disappointed </w:t>
      </w:r>
      <w:r w:rsidR="00EC1255">
        <w:rPr>
          <w:rFonts w:ascii="Verdana" w:hAnsi="Verdana"/>
          <w:sz w:val="17"/>
          <w:szCs w:val="17"/>
        </w:rPr>
        <w:t>by</w:t>
      </w:r>
      <w:r w:rsidR="00EC1255" w:rsidRPr="00B0038B">
        <w:rPr>
          <w:rFonts w:ascii="Verdana" w:hAnsi="Verdana"/>
          <w:sz w:val="17"/>
          <w:szCs w:val="17"/>
        </w:rPr>
        <w:t xml:space="preserve"> </w:t>
      </w:r>
      <w:r w:rsidR="00973FE4" w:rsidRPr="00B0038B">
        <w:rPr>
          <w:rFonts w:ascii="Verdana" w:hAnsi="Verdana"/>
          <w:sz w:val="17"/>
          <w:szCs w:val="17"/>
        </w:rPr>
        <w:t>EIOPA</w:t>
      </w:r>
      <w:r w:rsidR="00EC1255">
        <w:rPr>
          <w:rFonts w:ascii="Verdana" w:hAnsi="Verdana"/>
          <w:sz w:val="17"/>
          <w:szCs w:val="17"/>
        </w:rPr>
        <w:t>’s</w:t>
      </w:r>
      <w:r w:rsidR="00973FE4" w:rsidRPr="00B0038B">
        <w:rPr>
          <w:rFonts w:ascii="Verdana" w:hAnsi="Verdana"/>
          <w:sz w:val="17"/>
          <w:szCs w:val="17"/>
        </w:rPr>
        <w:t xml:space="preserve"> </w:t>
      </w:r>
      <w:r w:rsidR="003D0A4F">
        <w:rPr>
          <w:rFonts w:ascii="Verdana" w:hAnsi="Verdana"/>
          <w:sz w:val="17"/>
          <w:szCs w:val="17"/>
        </w:rPr>
        <w:t>2</w:t>
      </w:r>
      <w:r w:rsidR="00D91984">
        <w:rPr>
          <w:rFonts w:ascii="Verdana" w:hAnsi="Verdana"/>
          <w:sz w:val="17"/>
          <w:szCs w:val="17"/>
        </w:rPr>
        <w:t> </w:t>
      </w:r>
      <w:r w:rsidR="003D0A4F">
        <w:rPr>
          <w:rFonts w:ascii="Verdana" w:hAnsi="Verdana"/>
          <w:sz w:val="17"/>
          <w:szCs w:val="17"/>
        </w:rPr>
        <w:t xml:space="preserve">April </w:t>
      </w:r>
      <w:r w:rsidR="00694458">
        <w:rPr>
          <w:rFonts w:ascii="Verdana" w:hAnsi="Verdana"/>
          <w:sz w:val="17"/>
          <w:szCs w:val="17"/>
        </w:rPr>
        <w:t>recommendation</w:t>
      </w:r>
      <w:r w:rsidR="00694458" w:rsidRPr="00B0038B">
        <w:rPr>
          <w:rFonts w:ascii="Verdana" w:hAnsi="Verdana"/>
          <w:sz w:val="17"/>
          <w:szCs w:val="17"/>
        </w:rPr>
        <w:t xml:space="preserve"> </w:t>
      </w:r>
      <w:r w:rsidR="003D0A4F">
        <w:rPr>
          <w:rFonts w:ascii="Verdana" w:hAnsi="Verdana"/>
          <w:sz w:val="17"/>
          <w:szCs w:val="17"/>
        </w:rPr>
        <w:t>that insurers temporarily suspend</w:t>
      </w:r>
      <w:r w:rsidR="00D91984">
        <w:rPr>
          <w:rFonts w:ascii="Verdana" w:hAnsi="Verdana"/>
          <w:sz w:val="17"/>
          <w:szCs w:val="17"/>
        </w:rPr>
        <w:t xml:space="preserve"> dividend </w:t>
      </w:r>
      <w:r w:rsidR="005718DD">
        <w:rPr>
          <w:rFonts w:ascii="Verdana" w:hAnsi="Verdana"/>
          <w:sz w:val="17"/>
          <w:szCs w:val="17"/>
        </w:rPr>
        <w:t>distribution</w:t>
      </w:r>
      <w:r w:rsidR="00973FE4" w:rsidRPr="00B0038B">
        <w:rPr>
          <w:rFonts w:ascii="Verdana" w:hAnsi="Verdana"/>
          <w:sz w:val="17"/>
          <w:szCs w:val="17"/>
        </w:rPr>
        <w:t>.</w:t>
      </w:r>
      <w:r w:rsidR="00210D36" w:rsidRPr="00210D36">
        <w:rPr>
          <w:rFonts w:ascii="Verdana" w:hAnsi="Verdana"/>
          <w:sz w:val="17"/>
          <w:szCs w:val="17"/>
        </w:rPr>
        <w:t xml:space="preserve"> </w:t>
      </w:r>
    </w:p>
    <w:p w14:paraId="085AE4FA" w14:textId="77777777" w:rsidR="00210D36" w:rsidRDefault="00210D36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59BF391F" w14:textId="512AEED6" w:rsidR="00210D36" w:rsidRPr="00B0038B" w:rsidRDefault="00D316E5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Indeed, it is interesting to</w:t>
      </w:r>
      <w:r w:rsidRPr="00B0038B">
        <w:rPr>
          <w:rFonts w:ascii="Verdana" w:hAnsi="Verdana"/>
          <w:sz w:val="17"/>
          <w:szCs w:val="17"/>
        </w:rPr>
        <w:t xml:space="preserve"> </w:t>
      </w:r>
      <w:r w:rsidR="00210D36" w:rsidRPr="00B0038B">
        <w:rPr>
          <w:rFonts w:ascii="Verdana" w:hAnsi="Verdana"/>
          <w:sz w:val="17"/>
          <w:szCs w:val="17"/>
        </w:rPr>
        <w:t xml:space="preserve">note that not all </w:t>
      </w:r>
      <w:r>
        <w:rPr>
          <w:rFonts w:ascii="Verdana" w:hAnsi="Verdana"/>
          <w:sz w:val="17"/>
          <w:szCs w:val="17"/>
        </w:rPr>
        <w:t xml:space="preserve">national </w:t>
      </w:r>
      <w:r w:rsidR="00210D36" w:rsidRPr="00B0038B">
        <w:rPr>
          <w:rFonts w:ascii="Verdana" w:hAnsi="Verdana"/>
          <w:sz w:val="17"/>
          <w:szCs w:val="17"/>
        </w:rPr>
        <w:t xml:space="preserve">supervisors see a need for </w:t>
      </w:r>
      <w:r>
        <w:rPr>
          <w:rFonts w:ascii="Verdana" w:hAnsi="Verdana"/>
          <w:sz w:val="17"/>
          <w:szCs w:val="17"/>
        </w:rPr>
        <w:t>EIOPA’s recommended</w:t>
      </w:r>
      <w:r w:rsidR="00210D36" w:rsidRPr="00B0038B">
        <w:rPr>
          <w:rFonts w:ascii="Verdana" w:hAnsi="Verdana"/>
          <w:sz w:val="17"/>
          <w:szCs w:val="17"/>
        </w:rPr>
        <w:t xml:space="preserve"> industry-wide postponement of dividends and </w:t>
      </w:r>
      <w:r w:rsidR="00D40BA6">
        <w:rPr>
          <w:rFonts w:ascii="Verdana" w:hAnsi="Verdana"/>
          <w:sz w:val="17"/>
          <w:szCs w:val="17"/>
        </w:rPr>
        <w:t xml:space="preserve">that </w:t>
      </w:r>
      <w:r w:rsidR="00210D36" w:rsidRPr="00B0038B">
        <w:rPr>
          <w:rFonts w:ascii="Verdana" w:hAnsi="Verdana"/>
          <w:sz w:val="17"/>
          <w:szCs w:val="17"/>
        </w:rPr>
        <w:t xml:space="preserve">a number </w:t>
      </w:r>
      <w:r w:rsidR="00D40BA6">
        <w:rPr>
          <w:rFonts w:ascii="Verdana" w:hAnsi="Verdana"/>
          <w:sz w:val="17"/>
          <w:szCs w:val="17"/>
        </w:rPr>
        <w:t xml:space="preserve">of them </w:t>
      </w:r>
      <w:r w:rsidR="00210D36" w:rsidRPr="00B0038B">
        <w:rPr>
          <w:rFonts w:ascii="Verdana" w:hAnsi="Verdana"/>
          <w:sz w:val="17"/>
          <w:szCs w:val="17"/>
        </w:rPr>
        <w:t xml:space="preserve">will </w:t>
      </w:r>
      <w:r w:rsidR="00D40BA6">
        <w:rPr>
          <w:rFonts w:ascii="Verdana" w:hAnsi="Verdana"/>
          <w:sz w:val="17"/>
          <w:szCs w:val="17"/>
        </w:rPr>
        <w:t xml:space="preserve">instead </w:t>
      </w:r>
      <w:r w:rsidR="00210D36" w:rsidRPr="00B0038B">
        <w:rPr>
          <w:rFonts w:ascii="Verdana" w:hAnsi="Verdana"/>
          <w:sz w:val="17"/>
          <w:szCs w:val="17"/>
        </w:rPr>
        <w:t>take into account the individual situation of insurers, especially their risk-bearing capacity.</w:t>
      </w:r>
      <w:r w:rsidR="005C3882">
        <w:rPr>
          <w:rFonts w:ascii="Verdana" w:hAnsi="Verdana"/>
          <w:sz w:val="17"/>
          <w:szCs w:val="17"/>
        </w:rPr>
        <w:t xml:space="preserve"> This, of course, leads to differing national </w:t>
      </w:r>
      <w:r w:rsidR="00251D39" w:rsidRPr="00251D39">
        <w:rPr>
          <w:rFonts w:ascii="Verdana" w:hAnsi="Verdana"/>
          <w:sz w:val="17"/>
          <w:szCs w:val="17"/>
        </w:rPr>
        <w:t>—</w:t>
      </w:r>
      <w:r w:rsidR="00251D39">
        <w:rPr>
          <w:rFonts w:ascii="Verdana" w:hAnsi="Verdana"/>
          <w:sz w:val="17"/>
          <w:szCs w:val="17"/>
        </w:rPr>
        <w:t xml:space="preserve"> </w:t>
      </w:r>
      <w:r w:rsidR="005C3882">
        <w:rPr>
          <w:rFonts w:ascii="Verdana" w:hAnsi="Verdana"/>
          <w:sz w:val="17"/>
          <w:szCs w:val="17"/>
        </w:rPr>
        <w:t xml:space="preserve">rather than a </w:t>
      </w:r>
      <w:r w:rsidR="00251D39">
        <w:rPr>
          <w:rFonts w:ascii="Verdana" w:hAnsi="Verdana"/>
          <w:sz w:val="17"/>
          <w:szCs w:val="17"/>
        </w:rPr>
        <w:t xml:space="preserve">consistent European </w:t>
      </w:r>
      <w:r w:rsidR="00251D39" w:rsidRPr="00251D39">
        <w:rPr>
          <w:rFonts w:ascii="Verdana" w:hAnsi="Verdana"/>
          <w:sz w:val="17"/>
          <w:szCs w:val="17"/>
        </w:rPr>
        <w:t>—</w:t>
      </w:r>
      <w:r w:rsidR="00251D39">
        <w:rPr>
          <w:rFonts w:ascii="Verdana" w:hAnsi="Verdana"/>
          <w:sz w:val="17"/>
          <w:szCs w:val="17"/>
        </w:rPr>
        <w:t xml:space="preserve"> approach.</w:t>
      </w:r>
    </w:p>
    <w:p w14:paraId="516EC8F0" w14:textId="77777777" w:rsidR="00973FE4" w:rsidRPr="00B0038B" w:rsidRDefault="00973FE4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3AA9D797" w14:textId="21828A89" w:rsidR="00973FE4" w:rsidRPr="00B0038B" w:rsidRDefault="00973FE4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 w:rsidRPr="00B0038B">
        <w:rPr>
          <w:rFonts w:ascii="Verdana" w:hAnsi="Verdana"/>
          <w:sz w:val="17"/>
          <w:szCs w:val="17"/>
        </w:rPr>
        <w:t xml:space="preserve">The </w:t>
      </w:r>
      <w:r w:rsidR="00B0038B" w:rsidRPr="00B0038B">
        <w:rPr>
          <w:rFonts w:ascii="Verdana" w:hAnsi="Verdana"/>
          <w:sz w:val="17"/>
          <w:szCs w:val="17"/>
        </w:rPr>
        <w:t>reasons</w:t>
      </w:r>
      <w:r w:rsidRPr="00B0038B">
        <w:rPr>
          <w:rFonts w:ascii="Verdana" w:hAnsi="Verdana"/>
          <w:sz w:val="17"/>
          <w:szCs w:val="17"/>
        </w:rPr>
        <w:t xml:space="preserve"> for our disappointment </w:t>
      </w:r>
      <w:r w:rsidR="00826F2E">
        <w:rPr>
          <w:rFonts w:ascii="Verdana" w:hAnsi="Verdana"/>
          <w:sz w:val="17"/>
          <w:szCs w:val="17"/>
        </w:rPr>
        <w:t xml:space="preserve">with EIOPA’s recommendation </w:t>
      </w:r>
      <w:r w:rsidRPr="00B0038B">
        <w:rPr>
          <w:rFonts w:ascii="Verdana" w:hAnsi="Verdana"/>
          <w:sz w:val="17"/>
          <w:szCs w:val="17"/>
        </w:rPr>
        <w:t xml:space="preserve">are </w:t>
      </w:r>
      <w:r w:rsidR="00210D36">
        <w:rPr>
          <w:rFonts w:ascii="Verdana" w:hAnsi="Verdana"/>
          <w:sz w:val="17"/>
          <w:szCs w:val="17"/>
        </w:rPr>
        <w:t>multiple</w:t>
      </w:r>
      <w:r w:rsidRPr="00B0038B">
        <w:rPr>
          <w:rFonts w:ascii="Verdana" w:hAnsi="Verdana"/>
          <w:sz w:val="17"/>
          <w:szCs w:val="17"/>
        </w:rPr>
        <w:t>:</w:t>
      </w:r>
    </w:p>
    <w:p w14:paraId="16D703DD" w14:textId="77777777" w:rsidR="00973FE4" w:rsidRPr="00B0038B" w:rsidRDefault="00973FE4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7C2C7709" w14:textId="2CCEE90E" w:rsidR="005B0022" w:rsidRDefault="00A62F99" w:rsidP="00E07EA2">
      <w:pPr>
        <w:pStyle w:val="Normlnywebov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</w:t>
      </w:r>
      <w:r w:rsidR="00973FE4" w:rsidRPr="00B0038B">
        <w:rPr>
          <w:rFonts w:ascii="Verdana" w:hAnsi="Verdana"/>
          <w:sz w:val="17"/>
          <w:szCs w:val="17"/>
        </w:rPr>
        <w:t xml:space="preserve">he </w:t>
      </w:r>
      <w:r w:rsidR="00973FE4" w:rsidRPr="00210D36">
        <w:rPr>
          <w:rFonts w:ascii="Verdana" w:hAnsi="Verdana"/>
          <w:b/>
          <w:bCs/>
          <w:sz w:val="17"/>
          <w:szCs w:val="17"/>
        </w:rPr>
        <w:t>EIOPA statement largely cop</w:t>
      </w:r>
      <w:r w:rsidR="006306F3">
        <w:rPr>
          <w:rFonts w:ascii="Verdana" w:hAnsi="Verdana"/>
          <w:b/>
          <w:bCs/>
          <w:sz w:val="17"/>
          <w:szCs w:val="17"/>
        </w:rPr>
        <w:t>ies</w:t>
      </w:r>
      <w:r w:rsidR="00973FE4" w:rsidRPr="00210D36">
        <w:rPr>
          <w:rFonts w:ascii="Verdana" w:hAnsi="Verdana"/>
          <w:b/>
          <w:bCs/>
          <w:sz w:val="17"/>
          <w:szCs w:val="17"/>
        </w:rPr>
        <w:t xml:space="preserve"> a statement by banking supervisors</w:t>
      </w:r>
      <w:r w:rsidR="00B41496" w:rsidRPr="00944EF3">
        <w:rPr>
          <w:rFonts w:ascii="Verdana" w:hAnsi="Verdana"/>
          <w:sz w:val="17"/>
          <w:szCs w:val="17"/>
        </w:rPr>
        <w:t>, despite</w:t>
      </w:r>
      <w:r w:rsidR="00B0038B" w:rsidRPr="00944EF3">
        <w:rPr>
          <w:rFonts w:ascii="Verdana" w:hAnsi="Verdana"/>
          <w:sz w:val="17"/>
          <w:szCs w:val="17"/>
        </w:rPr>
        <w:t xml:space="preserve"> the </w:t>
      </w:r>
      <w:r w:rsidR="006E4915" w:rsidRPr="00944EF3">
        <w:rPr>
          <w:rFonts w:ascii="Verdana" w:hAnsi="Verdana"/>
          <w:sz w:val="17"/>
          <w:szCs w:val="17"/>
        </w:rPr>
        <w:t xml:space="preserve">situation of the two </w:t>
      </w:r>
      <w:r w:rsidR="00B0038B" w:rsidRPr="00944EF3">
        <w:rPr>
          <w:rFonts w:ascii="Verdana" w:hAnsi="Verdana"/>
          <w:sz w:val="17"/>
          <w:szCs w:val="17"/>
        </w:rPr>
        <w:t xml:space="preserve">sectors not </w:t>
      </w:r>
      <w:r w:rsidR="00B41496" w:rsidRPr="00944EF3">
        <w:rPr>
          <w:rFonts w:ascii="Verdana" w:hAnsi="Verdana"/>
          <w:sz w:val="17"/>
          <w:szCs w:val="17"/>
        </w:rPr>
        <w:t xml:space="preserve">being </w:t>
      </w:r>
      <w:r w:rsidR="00B0038B" w:rsidRPr="00944EF3">
        <w:rPr>
          <w:rFonts w:ascii="Verdana" w:hAnsi="Verdana"/>
          <w:sz w:val="17"/>
          <w:szCs w:val="17"/>
        </w:rPr>
        <w:t>comparable</w:t>
      </w:r>
      <w:r w:rsidR="00B0038B" w:rsidRPr="00B0038B">
        <w:rPr>
          <w:rFonts w:ascii="Verdana" w:hAnsi="Verdana"/>
          <w:sz w:val="17"/>
          <w:szCs w:val="17"/>
        </w:rPr>
        <w:t>.</w:t>
      </w:r>
      <w:r w:rsidR="00B0038B" w:rsidRPr="00B0038B">
        <w:rPr>
          <w:szCs w:val="17"/>
        </w:rPr>
        <w:t xml:space="preserve"> </w:t>
      </w:r>
      <w:r w:rsidR="00B0038B" w:rsidRPr="00B0038B">
        <w:rPr>
          <w:rFonts w:ascii="Verdana" w:hAnsi="Verdana"/>
          <w:sz w:val="17"/>
          <w:szCs w:val="17"/>
        </w:rPr>
        <w:t xml:space="preserve">The dividend restrictions </w:t>
      </w:r>
      <w:r w:rsidR="00B41496">
        <w:rPr>
          <w:rFonts w:ascii="Verdana" w:hAnsi="Verdana"/>
          <w:sz w:val="17"/>
          <w:szCs w:val="17"/>
        </w:rPr>
        <w:t>placed on</w:t>
      </w:r>
      <w:r w:rsidR="00B41496" w:rsidRPr="00B0038B">
        <w:rPr>
          <w:rFonts w:ascii="Verdana" w:hAnsi="Verdana"/>
          <w:sz w:val="17"/>
          <w:szCs w:val="17"/>
        </w:rPr>
        <w:t xml:space="preserve"> </w:t>
      </w:r>
      <w:r w:rsidR="00B0038B" w:rsidRPr="00B0038B">
        <w:rPr>
          <w:rFonts w:ascii="Verdana" w:hAnsi="Verdana"/>
          <w:sz w:val="17"/>
          <w:szCs w:val="17"/>
        </w:rPr>
        <w:t xml:space="preserve">banks ensure </w:t>
      </w:r>
      <w:r w:rsidR="00B0038B">
        <w:rPr>
          <w:rFonts w:ascii="Verdana" w:hAnsi="Verdana"/>
          <w:sz w:val="17"/>
          <w:szCs w:val="17"/>
        </w:rPr>
        <w:t xml:space="preserve">that the </w:t>
      </w:r>
      <w:r w:rsidR="00B0038B" w:rsidRPr="00B0038B">
        <w:rPr>
          <w:rFonts w:ascii="Verdana" w:hAnsi="Verdana"/>
          <w:sz w:val="17"/>
          <w:szCs w:val="17"/>
        </w:rPr>
        <w:t xml:space="preserve">capital relief and support </w:t>
      </w:r>
      <w:r w:rsidR="006E4915">
        <w:rPr>
          <w:rFonts w:ascii="Verdana" w:hAnsi="Verdana"/>
          <w:sz w:val="17"/>
          <w:szCs w:val="17"/>
        </w:rPr>
        <w:t xml:space="preserve">given to </w:t>
      </w:r>
      <w:r w:rsidR="00B0038B" w:rsidRPr="00B0038B">
        <w:rPr>
          <w:rFonts w:ascii="Verdana" w:hAnsi="Verdana"/>
          <w:sz w:val="17"/>
          <w:szCs w:val="17"/>
        </w:rPr>
        <w:t xml:space="preserve">the banking sector </w:t>
      </w:r>
      <w:r w:rsidR="0017260C">
        <w:rPr>
          <w:rFonts w:ascii="Verdana" w:hAnsi="Verdana"/>
          <w:sz w:val="17"/>
          <w:szCs w:val="17"/>
        </w:rPr>
        <w:t>is exclusively used</w:t>
      </w:r>
      <w:r w:rsidR="00B0038B" w:rsidRPr="00B0038B">
        <w:rPr>
          <w:rFonts w:ascii="Verdana" w:hAnsi="Verdana"/>
          <w:sz w:val="17"/>
          <w:szCs w:val="17"/>
        </w:rPr>
        <w:t xml:space="preserve"> to support banking customers and the economy, rather than </w:t>
      </w:r>
      <w:r w:rsidR="00172085">
        <w:rPr>
          <w:rFonts w:ascii="Verdana" w:hAnsi="Verdana"/>
          <w:sz w:val="17"/>
          <w:szCs w:val="17"/>
        </w:rPr>
        <w:t xml:space="preserve">to pay </w:t>
      </w:r>
      <w:r w:rsidR="00B0038B" w:rsidRPr="00B0038B">
        <w:rPr>
          <w:rFonts w:ascii="Verdana" w:hAnsi="Verdana"/>
          <w:sz w:val="17"/>
          <w:szCs w:val="17"/>
        </w:rPr>
        <w:t xml:space="preserve">dividends. </w:t>
      </w:r>
    </w:p>
    <w:p w14:paraId="768A5CBD" w14:textId="77777777" w:rsidR="005B0022" w:rsidRDefault="005B0022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</w:p>
    <w:p w14:paraId="37BC1EC5" w14:textId="5208DC2D" w:rsidR="00973FE4" w:rsidRPr="006306F3" w:rsidRDefault="005A0708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  <w:r w:rsidRPr="0035567B">
        <w:rPr>
          <w:rFonts w:ascii="Verdana" w:hAnsi="Verdana"/>
          <w:sz w:val="17"/>
          <w:szCs w:val="17"/>
        </w:rPr>
        <w:t>N</w:t>
      </w:r>
      <w:r w:rsidR="00B0038B" w:rsidRPr="0035567B">
        <w:rPr>
          <w:rFonts w:ascii="Verdana" w:hAnsi="Verdana"/>
          <w:sz w:val="17"/>
          <w:szCs w:val="17"/>
        </w:rPr>
        <w:t xml:space="preserve">o such </w:t>
      </w:r>
      <w:r w:rsidR="00EE1062" w:rsidRPr="0035567B">
        <w:rPr>
          <w:rFonts w:ascii="Verdana" w:hAnsi="Verdana"/>
          <w:sz w:val="17"/>
          <w:szCs w:val="17"/>
        </w:rPr>
        <w:t xml:space="preserve">support </w:t>
      </w:r>
      <w:r w:rsidR="00B0038B" w:rsidRPr="0035567B">
        <w:rPr>
          <w:rFonts w:ascii="Verdana" w:hAnsi="Verdana"/>
          <w:sz w:val="17"/>
          <w:szCs w:val="17"/>
        </w:rPr>
        <w:t>ha</w:t>
      </w:r>
      <w:r w:rsidR="00EE1062" w:rsidRPr="0035567B">
        <w:rPr>
          <w:rFonts w:ascii="Verdana" w:hAnsi="Verdana"/>
          <w:sz w:val="17"/>
          <w:szCs w:val="17"/>
        </w:rPr>
        <w:t>s</w:t>
      </w:r>
      <w:r w:rsidR="00B0038B" w:rsidRPr="0035567B">
        <w:rPr>
          <w:rFonts w:ascii="Verdana" w:hAnsi="Verdana"/>
          <w:sz w:val="17"/>
          <w:szCs w:val="17"/>
        </w:rPr>
        <w:t xml:space="preserve"> </w:t>
      </w:r>
      <w:r w:rsidR="00EE1062" w:rsidRPr="0035567B">
        <w:rPr>
          <w:rFonts w:ascii="Verdana" w:hAnsi="Verdana"/>
          <w:sz w:val="17"/>
          <w:szCs w:val="17"/>
        </w:rPr>
        <w:t>been given</w:t>
      </w:r>
      <w:r w:rsidRPr="0035567B">
        <w:rPr>
          <w:rFonts w:ascii="Verdana" w:hAnsi="Verdana"/>
          <w:sz w:val="17"/>
          <w:szCs w:val="17"/>
        </w:rPr>
        <w:t xml:space="preserve"> to insurers</w:t>
      </w:r>
      <w:r w:rsidR="00B0038B" w:rsidRPr="006306F3">
        <w:rPr>
          <w:rFonts w:ascii="Verdana" w:hAnsi="Verdana"/>
          <w:sz w:val="17"/>
          <w:szCs w:val="17"/>
        </w:rPr>
        <w:t>.</w:t>
      </w:r>
    </w:p>
    <w:p w14:paraId="1F782633" w14:textId="77777777" w:rsidR="00B0038B" w:rsidRPr="00B0038B" w:rsidRDefault="00B0038B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34C80499" w14:textId="616FBA4B" w:rsidR="00F20376" w:rsidRDefault="00973FE4" w:rsidP="00E07EA2">
      <w:pPr>
        <w:pStyle w:val="Normlnywebov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 w:rsidRPr="00210D36">
        <w:rPr>
          <w:rFonts w:ascii="Verdana" w:hAnsi="Verdana"/>
          <w:b/>
          <w:bCs/>
          <w:sz w:val="17"/>
          <w:szCs w:val="17"/>
        </w:rPr>
        <w:t xml:space="preserve">EIOPA </w:t>
      </w:r>
      <w:r w:rsidR="00944504" w:rsidRPr="00210D36">
        <w:rPr>
          <w:rFonts w:ascii="Verdana" w:hAnsi="Verdana"/>
          <w:b/>
          <w:bCs/>
          <w:sz w:val="17"/>
          <w:szCs w:val="17"/>
        </w:rPr>
        <w:t xml:space="preserve">is </w:t>
      </w:r>
      <w:r w:rsidR="005718DD">
        <w:rPr>
          <w:rFonts w:ascii="Verdana" w:hAnsi="Verdana"/>
          <w:b/>
          <w:bCs/>
          <w:sz w:val="17"/>
          <w:szCs w:val="17"/>
        </w:rPr>
        <w:t>overlooking</w:t>
      </w:r>
      <w:r w:rsidR="00944504" w:rsidRPr="00210D36">
        <w:rPr>
          <w:rFonts w:ascii="Verdana" w:hAnsi="Verdana"/>
          <w:b/>
          <w:bCs/>
          <w:sz w:val="17"/>
          <w:szCs w:val="17"/>
        </w:rPr>
        <w:t xml:space="preserve"> </w:t>
      </w:r>
      <w:r w:rsidR="007F74A7">
        <w:rPr>
          <w:rFonts w:ascii="Verdana" w:hAnsi="Verdana"/>
          <w:b/>
          <w:bCs/>
          <w:sz w:val="17"/>
          <w:szCs w:val="17"/>
        </w:rPr>
        <w:t>Solvency II’s</w:t>
      </w:r>
      <w:r w:rsidR="007F74A7" w:rsidRPr="00210D36">
        <w:rPr>
          <w:rFonts w:ascii="Verdana" w:hAnsi="Verdana"/>
          <w:b/>
          <w:bCs/>
          <w:sz w:val="17"/>
          <w:szCs w:val="17"/>
        </w:rPr>
        <w:t xml:space="preserve"> </w:t>
      </w:r>
      <w:r w:rsidR="00944504" w:rsidRPr="00210D36">
        <w:rPr>
          <w:rFonts w:ascii="Verdana" w:hAnsi="Verdana"/>
          <w:b/>
          <w:bCs/>
          <w:sz w:val="17"/>
          <w:szCs w:val="17"/>
        </w:rPr>
        <w:t>key foundations</w:t>
      </w:r>
      <w:r w:rsidR="00F20376">
        <w:rPr>
          <w:rFonts w:ascii="Verdana" w:hAnsi="Verdana"/>
          <w:sz w:val="17"/>
          <w:szCs w:val="17"/>
        </w:rPr>
        <w:t>. These</w:t>
      </w:r>
      <w:r w:rsidR="0017260C">
        <w:rPr>
          <w:rFonts w:ascii="Verdana" w:hAnsi="Verdana"/>
          <w:sz w:val="17"/>
          <w:szCs w:val="17"/>
        </w:rPr>
        <w:t xml:space="preserve"> differ significantly from the banking prudential framework</w:t>
      </w:r>
      <w:r w:rsidR="0075013C">
        <w:rPr>
          <w:rFonts w:ascii="Verdana" w:hAnsi="Verdana"/>
          <w:sz w:val="17"/>
          <w:szCs w:val="17"/>
        </w:rPr>
        <w:t>.</w:t>
      </w:r>
      <w:r w:rsidR="0017260C">
        <w:rPr>
          <w:rFonts w:ascii="Verdana" w:hAnsi="Verdana"/>
          <w:sz w:val="17"/>
          <w:szCs w:val="17"/>
        </w:rPr>
        <w:t xml:space="preserve"> </w:t>
      </w:r>
    </w:p>
    <w:p w14:paraId="5D358075" w14:textId="77777777" w:rsidR="00F20376" w:rsidRDefault="00F20376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</w:p>
    <w:p w14:paraId="3A9CA3BE" w14:textId="4FE5841B" w:rsidR="00944504" w:rsidRDefault="00F2685A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Solvency II</w:t>
      </w:r>
      <w:r w:rsidR="00944504">
        <w:rPr>
          <w:rFonts w:ascii="Verdana" w:hAnsi="Verdana"/>
          <w:sz w:val="17"/>
          <w:szCs w:val="17"/>
        </w:rPr>
        <w:t xml:space="preserve"> </w:t>
      </w:r>
      <w:r w:rsidR="00694458">
        <w:rPr>
          <w:rFonts w:ascii="Verdana" w:hAnsi="Verdana"/>
          <w:sz w:val="17"/>
          <w:szCs w:val="17"/>
        </w:rPr>
        <w:t>is a</w:t>
      </w:r>
      <w:r>
        <w:rPr>
          <w:rFonts w:ascii="Verdana" w:hAnsi="Verdana"/>
          <w:sz w:val="17"/>
          <w:szCs w:val="17"/>
        </w:rPr>
        <w:t>n extremely</w:t>
      </w:r>
      <w:r w:rsidR="00694458">
        <w:rPr>
          <w:rFonts w:ascii="Verdana" w:hAnsi="Verdana"/>
          <w:sz w:val="17"/>
          <w:szCs w:val="17"/>
        </w:rPr>
        <w:t xml:space="preserve"> comprehensive, risk-based and forward</w:t>
      </w:r>
      <w:r>
        <w:rPr>
          <w:rFonts w:ascii="Verdana" w:hAnsi="Verdana"/>
          <w:sz w:val="17"/>
          <w:szCs w:val="17"/>
        </w:rPr>
        <w:t>-</w:t>
      </w:r>
      <w:r w:rsidR="00694458">
        <w:rPr>
          <w:rFonts w:ascii="Verdana" w:hAnsi="Verdana"/>
          <w:sz w:val="17"/>
          <w:szCs w:val="17"/>
        </w:rPr>
        <w:t xml:space="preserve">looking framework </w:t>
      </w:r>
      <w:r w:rsidR="00944504" w:rsidRPr="00944504">
        <w:rPr>
          <w:rFonts w:ascii="Verdana" w:hAnsi="Verdana"/>
          <w:sz w:val="17"/>
          <w:szCs w:val="17"/>
        </w:rPr>
        <w:t xml:space="preserve">designed with two solvency levels: </w:t>
      </w:r>
      <w:r w:rsidR="00944504">
        <w:rPr>
          <w:rFonts w:ascii="Verdana" w:hAnsi="Verdana"/>
          <w:sz w:val="17"/>
          <w:szCs w:val="17"/>
        </w:rPr>
        <w:t xml:space="preserve"> </w:t>
      </w:r>
    </w:p>
    <w:p w14:paraId="47BAE0B2" w14:textId="674AD98A" w:rsidR="00944504" w:rsidRDefault="00944504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6984127A" w14:textId="3309E9E8" w:rsidR="0017260C" w:rsidRDefault="00944504" w:rsidP="00E07EA2">
      <w:pPr>
        <w:pStyle w:val="Odsekzoznamu"/>
        <w:numPr>
          <w:ilvl w:val="1"/>
          <w:numId w:val="4"/>
        </w:numPr>
        <w:jc w:val="both"/>
        <w:rPr>
          <w:rFonts w:cs="Calibri"/>
          <w:szCs w:val="17"/>
          <w:lang w:val="en-GB" w:eastAsia="en-GB"/>
        </w:rPr>
      </w:pPr>
      <w:r w:rsidRPr="0017260C">
        <w:rPr>
          <w:rFonts w:cs="Calibri"/>
          <w:szCs w:val="17"/>
          <w:lang w:val="en-GB" w:eastAsia="en-GB"/>
        </w:rPr>
        <w:t xml:space="preserve">The solvency capital requirement (SCR), which is </w:t>
      </w:r>
      <w:r w:rsidR="00F2685A">
        <w:rPr>
          <w:rFonts w:cs="Calibri"/>
          <w:szCs w:val="17"/>
          <w:lang w:val="en-GB" w:eastAsia="en-GB"/>
        </w:rPr>
        <w:t xml:space="preserve">set </w:t>
      </w:r>
      <w:r w:rsidRPr="0017260C">
        <w:rPr>
          <w:rFonts w:cs="Calibri"/>
          <w:szCs w:val="17"/>
          <w:lang w:val="en-GB" w:eastAsia="en-GB"/>
        </w:rPr>
        <w:t>a</w:t>
      </w:r>
      <w:r w:rsidR="00E849A6">
        <w:rPr>
          <w:rFonts w:cs="Calibri"/>
          <w:szCs w:val="17"/>
          <w:lang w:val="en-GB" w:eastAsia="en-GB"/>
        </w:rPr>
        <w:t>t a</w:t>
      </w:r>
      <w:r w:rsidRPr="0017260C">
        <w:rPr>
          <w:rFonts w:cs="Calibri"/>
          <w:szCs w:val="17"/>
          <w:lang w:val="en-GB" w:eastAsia="en-GB"/>
        </w:rPr>
        <w:t xml:space="preserve"> high level </w:t>
      </w:r>
      <w:r w:rsidR="00E849A6">
        <w:rPr>
          <w:rFonts w:cs="Calibri"/>
          <w:szCs w:val="17"/>
          <w:lang w:val="en-GB" w:eastAsia="en-GB"/>
        </w:rPr>
        <w:t xml:space="preserve">and is </w:t>
      </w:r>
      <w:r w:rsidRPr="0017260C">
        <w:rPr>
          <w:rFonts w:cs="Calibri"/>
          <w:szCs w:val="17"/>
          <w:lang w:val="en-GB" w:eastAsia="en-GB"/>
        </w:rPr>
        <w:t>to be targeted at all times</w:t>
      </w:r>
      <w:r w:rsidR="0017260C" w:rsidRPr="0017260C">
        <w:rPr>
          <w:rFonts w:cs="Calibri"/>
          <w:szCs w:val="17"/>
          <w:lang w:val="en-GB" w:eastAsia="en-GB"/>
        </w:rPr>
        <w:t xml:space="preserve">. </w:t>
      </w:r>
      <w:r w:rsidR="00E849A6">
        <w:rPr>
          <w:rFonts w:cs="Calibri"/>
          <w:szCs w:val="17"/>
          <w:lang w:val="en-GB" w:eastAsia="en-GB"/>
        </w:rPr>
        <w:t>A</w:t>
      </w:r>
      <w:r w:rsidR="0017260C" w:rsidRPr="0017260C">
        <w:rPr>
          <w:rFonts w:cs="Calibri"/>
          <w:szCs w:val="17"/>
          <w:lang w:val="en-GB" w:eastAsia="en-GB"/>
        </w:rPr>
        <w:t xml:space="preserve">ny SCR ratio above 100% indicates a very strong and well-capitalised company. </w:t>
      </w:r>
    </w:p>
    <w:p w14:paraId="73B6EBEB" w14:textId="7EEA27D7" w:rsidR="00944504" w:rsidRPr="0017260C" w:rsidRDefault="00E849A6" w:rsidP="00E07EA2">
      <w:pPr>
        <w:pStyle w:val="Odsekzoznamu"/>
        <w:numPr>
          <w:ilvl w:val="1"/>
          <w:numId w:val="4"/>
        </w:numPr>
        <w:jc w:val="both"/>
        <w:rPr>
          <w:rFonts w:cs="Calibri"/>
          <w:szCs w:val="17"/>
          <w:lang w:val="en-GB" w:eastAsia="en-GB"/>
        </w:rPr>
      </w:pPr>
      <w:r>
        <w:rPr>
          <w:rFonts w:cs="Calibri"/>
          <w:szCs w:val="17"/>
          <w:lang w:val="en-GB" w:eastAsia="en-GB"/>
        </w:rPr>
        <w:t>T</w:t>
      </w:r>
      <w:r w:rsidR="00944504" w:rsidRPr="0017260C">
        <w:rPr>
          <w:rFonts w:cs="Calibri"/>
          <w:szCs w:val="17"/>
          <w:lang w:val="en-GB" w:eastAsia="en-GB"/>
        </w:rPr>
        <w:t xml:space="preserve">he real minimum capital requirement (MCR), which is between about 22% and 45% of the SCR. </w:t>
      </w:r>
    </w:p>
    <w:p w14:paraId="0912FA1E" w14:textId="77777777" w:rsidR="000F54A6" w:rsidRDefault="000F54A6" w:rsidP="00E07EA2">
      <w:pPr>
        <w:pStyle w:val="Odsekzoznamu"/>
        <w:jc w:val="both"/>
        <w:rPr>
          <w:rFonts w:cs="Calibri"/>
          <w:szCs w:val="17"/>
          <w:lang w:val="en-GB" w:eastAsia="en-GB"/>
        </w:rPr>
      </w:pPr>
    </w:p>
    <w:p w14:paraId="5CE8EE6D" w14:textId="77DDA8B0" w:rsidR="00944504" w:rsidRPr="00A62F99" w:rsidRDefault="00944504" w:rsidP="00E07EA2">
      <w:pPr>
        <w:pStyle w:val="Odsekzoznamu"/>
        <w:jc w:val="both"/>
        <w:rPr>
          <w:rFonts w:cs="Calibri"/>
          <w:szCs w:val="17"/>
          <w:lang w:val="en-GB" w:eastAsia="en-GB"/>
        </w:rPr>
      </w:pPr>
      <w:r w:rsidRPr="00A62F99">
        <w:rPr>
          <w:rFonts w:cs="Calibri"/>
          <w:szCs w:val="17"/>
          <w:lang w:val="en-GB" w:eastAsia="en-GB"/>
        </w:rPr>
        <w:t>Over time, however, the MCR has largely been forgotten and the SCR has become almost the only focus of attention.</w:t>
      </w:r>
    </w:p>
    <w:p w14:paraId="3405A4B7" w14:textId="77777777" w:rsidR="000F54A6" w:rsidRDefault="000F54A6" w:rsidP="00E07EA2">
      <w:pPr>
        <w:pStyle w:val="Odsekzoznamu"/>
        <w:jc w:val="both"/>
        <w:rPr>
          <w:rFonts w:cs="Calibri"/>
          <w:szCs w:val="17"/>
          <w:lang w:val="en-GB" w:eastAsia="en-GB"/>
        </w:rPr>
      </w:pPr>
    </w:p>
    <w:p w14:paraId="493309DD" w14:textId="794D006B" w:rsidR="00944504" w:rsidRPr="00A62F99" w:rsidRDefault="00951FFA" w:rsidP="00E07EA2">
      <w:pPr>
        <w:pStyle w:val="Odsekzoznamu"/>
        <w:jc w:val="both"/>
        <w:rPr>
          <w:rFonts w:cs="Calibri"/>
          <w:szCs w:val="17"/>
          <w:lang w:val="en-GB" w:eastAsia="en-GB"/>
        </w:rPr>
      </w:pPr>
      <w:r>
        <w:rPr>
          <w:rFonts w:cs="Calibri"/>
          <w:szCs w:val="17"/>
          <w:lang w:val="en-GB" w:eastAsia="en-GB"/>
        </w:rPr>
        <w:t>Ye</w:t>
      </w:r>
      <w:r w:rsidRPr="00A62F99">
        <w:rPr>
          <w:rFonts w:cs="Calibri"/>
          <w:szCs w:val="17"/>
          <w:lang w:val="en-GB" w:eastAsia="en-GB"/>
        </w:rPr>
        <w:t xml:space="preserve">t </w:t>
      </w:r>
      <w:r>
        <w:rPr>
          <w:rFonts w:cs="Calibri"/>
          <w:szCs w:val="17"/>
          <w:lang w:val="en-GB" w:eastAsia="en-GB"/>
        </w:rPr>
        <w:t xml:space="preserve">it </w:t>
      </w:r>
      <w:r w:rsidRPr="00A62F99">
        <w:rPr>
          <w:rFonts w:cs="Calibri"/>
          <w:szCs w:val="17"/>
          <w:lang w:val="en-GB" w:eastAsia="en-GB"/>
        </w:rPr>
        <w:t>should not be considered abnormal that a significant unforeseen event, such as a global pandemic, results in a fall in available capital or even a breach of the SCR.</w:t>
      </w:r>
      <w:r>
        <w:rPr>
          <w:rFonts w:cs="Calibri"/>
          <w:szCs w:val="17"/>
          <w:lang w:val="en-GB" w:eastAsia="en-GB"/>
        </w:rPr>
        <w:t xml:space="preserve"> </w:t>
      </w:r>
    </w:p>
    <w:p w14:paraId="3BDDC11C" w14:textId="77777777" w:rsidR="000F54A6" w:rsidRDefault="000F54A6" w:rsidP="00E07EA2">
      <w:pPr>
        <w:pStyle w:val="Odsekzoznamu"/>
        <w:jc w:val="both"/>
        <w:rPr>
          <w:rFonts w:cs="Calibri"/>
          <w:b/>
          <w:bCs/>
          <w:szCs w:val="17"/>
          <w:lang w:val="en-GB" w:eastAsia="en-GB"/>
        </w:rPr>
      </w:pPr>
    </w:p>
    <w:p w14:paraId="3D886AE9" w14:textId="3CBC02A4" w:rsidR="00944504" w:rsidRPr="006306F3" w:rsidRDefault="00694458" w:rsidP="00E07EA2">
      <w:pPr>
        <w:pStyle w:val="Odsekzoznamu"/>
        <w:jc w:val="both"/>
        <w:rPr>
          <w:rFonts w:cs="Calibri"/>
          <w:szCs w:val="17"/>
          <w:lang w:val="en-GB" w:eastAsia="en-GB"/>
        </w:rPr>
      </w:pPr>
      <w:r w:rsidRPr="006306F3">
        <w:rPr>
          <w:rFonts w:cs="Calibri"/>
          <w:szCs w:val="17"/>
          <w:lang w:val="en-GB" w:eastAsia="en-GB"/>
        </w:rPr>
        <w:t>T</w:t>
      </w:r>
      <w:r w:rsidR="00944504" w:rsidRPr="006306F3">
        <w:rPr>
          <w:rFonts w:cs="Calibri"/>
          <w:szCs w:val="17"/>
          <w:lang w:val="en-GB" w:eastAsia="en-GB"/>
        </w:rPr>
        <w:t xml:space="preserve">he </w:t>
      </w:r>
      <w:r w:rsidRPr="006306F3">
        <w:rPr>
          <w:rFonts w:cs="Calibri"/>
          <w:szCs w:val="17"/>
          <w:lang w:val="en-GB" w:eastAsia="en-GB"/>
        </w:rPr>
        <w:t xml:space="preserve">latest </w:t>
      </w:r>
      <w:r w:rsidR="00944504" w:rsidRPr="006306F3">
        <w:rPr>
          <w:rFonts w:cs="Calibri"/>
          <w:szCs w:val="17"/>
          <w:lang w:val="en-GB" w:eastAsia="en-GB"/>
        </w:rPr>
        <w:t>solvency figures</w:t>
      </w:r>
      <w:r w:rsidR="0064120E" w:rsidRPr="0035567B">
        <w:rPr>
          <w:rStyle w:val="Odkaznapoznmkupodiarou"/>
          <w:rFonts w:cs="Calibri"/>
          <w:szCs w:val="17"/>
          <w:lang w:val="en-GB" w:eastAsia="en-GB"/>
        </w:rPr>
        <w:footnoteReference w:id="2"/>
      </w:r>
      <w:r w:rsidR="00944504" w:rsidRPr="006306F3">
        <w:rPr>
          <w:rFonts w:cs="Calibri"/>
          <w:szCs w:val="17"/>
          <w:lang w:val="en-GB" w:eastAsia="en-GB"/>
        </w:rPr>
        <w:t xml:space="preserve"> show the industry </w:t>
      </w:r>
      <w:r w:rsidR="00FA41DC" w:rsidRPr="0035567B">
        <w:rPr>
          <w:rFonts w:cs="Calibri"/>
          <w:szCs w:val="17"/>
          <w:lang w:val="en-GB" w:eastAsia="en-GB"/>
        </w:rPr>
        <w:t xml:space="preserve">to </w:t>
      </w:r>
      <w:r w:rsidR="009B60DE" w:rsidRPr="0035567B">
        <w:rPr>
          <w:rFonts w:cs="Calibri"/>
          <w:szCs w:val="17"/>
          <w:lang w:val="en-GB" w:eastAsia="en-GB"/>
        </w:rPr>
        <w:t>have</w:t>
      </w:r>
      <w:r w:rsidR="00944504" w:rsidRPr="006306F3">
        <w:rPr>
          <w:rFonts w:cs="Calibri"/>
          <w:szCs w:val="17"/>
          <w:lang w:val="en-GB" w:eastAsia="en-GB"/>
        </w:rPr>
        <w:t xml:space="preserve"> an average SCR ratio of 227%</w:t>
      </w:r>
      <w:r w:rsidR="00903D55">
        <w:rPr>
          <w:rFonts w:cs="Calibri"/>
          <w:szCs w:val="17"/>
          <w:lang w:val="en-GB" w:eastAsia="en-GB"/>
        </w:rPr>
        <w:t xml:space="preserve">, </w:t>
      </w:r>
      <w:r w:rsidR="00903D55" w:rsidRPr="00E07EA2">
        <w:rPr>
          <w:rFonts w:cs="Calibri"/>
          <w:szCs w:val="17"/>
          <w:lang w:val="en-GB" w:eastAsia="en-GB"/>
        </w:rPr>
        <w:t>which is well above the 100% required</w:t>
      </w:r>
      <w:r w:rsidR="00FA41DC" w:rsidRPr="00E07EA2">
        <w:rPr>
          <w:rFonts w:cs="Calibri"/>
          <w:szCs w:val="17"/>
          <w:lang w:val="en-GB" w:eastAsia="en-GB"/>
        </w:rPr>
        <w:t>.</w:t>
      </w:r>
      <w:r w:rsidR="00FA41DC" w:rsidRPr="0035567B">
        <w:rPr>
          <w:rFonts w:cs="Calibri"/>
          <w:szCs w:val="17"/>
          <w:lang w:val="en-GB" w:eastAsia="en-GB"/>
        </w:rPr>
        <w:t xml:space="preserve"> </w:t>
      </w:r>
      <w:r w:rsidR="00903D55">
        <w:rPr>
          <w:rFonts w:cs="Calibri"/>
          <w:szCs w:val="17"/>
          <w:lang w:val="en-GB" w:eastAsia="en-GB"/>
        </w:rPr>
        <w:t xml:space="preserve">In addition, </w:t>
      </w:r>
      <w:r w:rsidR="00FA41DC" w:rsidRPr="0035567B">
        <w:rPr>
          <w:rFonts w:cs="Calibri"/>
          <w:szCs w:val="17"/>
          <w:lang w:val="en-GB" w:eastAsia="en-GB"/>
        </w:rPr>
        <w:t xml:space="preserve">EIOPA noted on 17 March </w:t>
      </w:r>
      <w:r w:rsidRPr="006306F3">
        <w:rPr>
          <w:rFonts w:cs="Calibri"/>
          <w:szCs w:val="17"/>
          <w:lang w:val="en-GB" w:eastAsia="en-GB"/>
        </w:rPr>
        <w:t xml:space="preserve">that </w:t>
      </w:r>
      <w:r w:rsidR="00FA41DC" w:rsidRPr="0035567B">
        <w:rPr>
          <w:rFonts w:cs="Calibri"/>
          <w:szCs w:val="17"/>
          <w:lang w:val="en-GB" w:eastAsia="en-GB"/>
        </w:rPr>
        <w:t xml:space="preserve">its </w:t>
      </w:r>
      <w:r w:rsidR="009B60DE" w:rsidRPr="0035567B">
        <w:rPr>
          <w:rFonts w:cs="Calibri"/>
          <w:szCs w:val="17"/>
          <w:lang w:val="en-GB" w:eastAsia="en-GB"/>
        </w:rPr>
        <w:t xml:space="preserve">most </w:t>
      </w:r>
      <w:r w:rsidRPr="006306F3">
        <w:rPr>
          <w:rFonts w:cs="Calibri"/>
          <w:szCs w:val="17"/>
          <w:lang w:val="en-GB" w:eastAsia="en-GB"/>
        </w:rPr>
        <w:t xml:space="preserve">recent stress tests have shown the sector </w:t>
      </w:r>
      <w:r w:rsidR="009B60DE" w:rsidRPr="0035567B">
        <w:rPr>
          <w:rFonts w:cs="Calibri"/>
          <w:szCs w:val="17"/>
          <w:lang w:val="en-GB" w:eastAsia="en-GB"/>
        </w:rPr>
        <w:t>to be</w:t>
      </w:r>
      <w:r w:rsidRPr="006306F3">
        <w:rPr>
          <w:rFonts w:cs="Calibri"/>
          <w:szCs w:val="17"/>
          <w:lang w:val="en-GB" w:eastAsia="en-GB"/>
        </w:rPr>
        <w:t xml:space="preserve"> well capitalised and able to with</w:t>
      </w:r>
      <w:r w:rsidR="00AB611A" w:rsidRPr="0035567B">
        <w:rPr>
          <w:rFonts w:cs="Calibri"/>
          <w:szCs w:val="17"/>
          <w:lang w:val="en-GB" w:eastAsia="en-GB"/>
        </w:rPr>
        <w:t>stan</w:t>
      </w:r>
      <w:r w:rsidRPr="006306F3">
        <w:rPr>
          <w:rFonts w:cs="Calibri"/>
          <w:szCs w:val="17"/>
          <w:lang w:val="en-GB" w:eastAsia="en-GB"/>
        </w:rPr>
        <w:t>d severe shocks</w:t>
      </w:r>
      <w:r w:rsidR="00944504" w:rsidRPr="006306F3">
        <w:rPr>
          <w:rFonts w:cs="Calibri"/>
          <w:szCs w:val="17"/>
          <w:lang w:val="en-GB" w:eastAsia="en-GB"/>
        </w:rPr>
        <w:t xml:space="preserve">. </w:t>
      </w:r>
      <w:r w:rsidRPr="006306F3">
        <w:rPr>
          <w:rFonts w:cs="Calibri"/>
          <w:szCs w:val="17"/>
          <w:lang w:val="en-GB" w:eastAsia="en-GB"/>
        </w:rPr>
        <w:t xml:space="preserve"> </w:t>
      </w:r>
    </w:p>
    <w:p w14:paraId="3098BB1B" w14:textId="1B9E02DB" w:rsidR="00FF48C7" w:rsidRDefault="00FF48C7" w:rsidP="00E07EA2">
      <w:pPr>
        <w:pStyle w:val="Odsekzoznamu"/>
        <w:jc w:val="both"/>
        <w:rPr>
          <w:rFonts w:cs="Calibri"/>
          <w:szCs w:val="17"/>
          <w:lang w:val="en-GB" w:eastAsia="en-GB"/>
        </w:rPr>
      </w:pPr>
    </w:p>
    <w:p w14:paraId="4D9A7535" w14:textId="5C85F525" w:rsidR="00290F79" w:rsidRPr="0035567B" w:rsidRDefault="00F72BD5" w:rsidP="00E07EA2">
      <w:pPr>
        <w:pStyle w:val="Odsekzoznamu"/>
        <w:jc w:val="both"/>
        <w:rPr>
          <w:bCs/>
          <w:szCs w:val="17"/>
          <w:lang w:val="en-GB"/>
        </w:rPr>
      </w:pPr>
      <w:r>
        <w:rPr>
          <w:bCs/>
          <w:lang w:val="en-GB"/>
        </w:rPr>
        <w:t>V</w:t>
      </w:r>
      <w:r w:rsidRPr="00D57144">
        <w:rPr>
          <w:bCs/>
          <w:lang w:val="en-GB"/>
        </w:rPr>
        <w:t>olatility in insurers’ solvency positions is to be expected, given the magnitude of market movements over recent weeks.</w:t>
      </w:r>
      <w:r>
        <w:rPr>
          <w:rFonts w:cs="Calibri"/>
          <w:szCs w:val="17"/>
          <w:lang w:val="en-GB" w:eastAsia="en-GB"/>
        </w:rPr>
        <w:t xml:space="preserve"> Some of it, however, is </w:t>
      </w:r>
      <w:r w:rsidRPr="00D57144">
        <w:rPr>
          <w:bCs/>
          <w:lang w:val="en-GB"/>
        </w:rPr>
        <w:t xml:space="preserve">either caused or magnified by </w:t>
      </w:r>
      <w:r w:rsidR="00C252B1">
        <w:rPr>
          <w:bCs/>
          <w:lang w:val="en-GB"/>
        </w:rPr>
        <w:t xml:space="preserve">problems with two of </w:t>
      </w:r>
      <w:r w:rsidRPr="00D57144">
        <w:rPr>
          <w:bCs/>
          <w:lang w:val="en-GB"/>
        </w:rPr>
        <w:t>the framework’s measure</w:t>
      </w:r>
      <w:r w:rsidR="00C252B1">
        <w:rPr>
          <w:bCs/>
          <w:lang w:val="en-GB"/>
        </w:rPr>
        <w:t xml:space="preserve">s </w:t>
      </w:r>
      <w:r w:rsidR="00C252B1" w:rsidRPr="0035567B">
        <w:rPr>
          <w:szCs w:val="17"/>
          <w:lang w:val="en-GB"/>
        </w:rPr>
        <w:t xml:space="preserve">— </w:t>
      </w:r>
      <w:r w:rsidR="00C252B1">
        <w:rPr>
          <w:szCs w:val="17"/>
          <w:lang w:val="en-GB"/>
        </w:rPr>
        <w:t>the risk margin and the volatility adjustment.</w:t>
      </w:r>
      <w:r w:rsidR="00290F79">
        <w:rPr>
          <w:szCs w:val="17"/>
          <w:lang w:val="en-GB"/>
        </w:rPr>
        <w:t xml:space="preserve"> </w:t>
      </w:r>
      <w:r w:rsidR="00290F79" w:rsidRPr="0035567B">
        <w:rPr>
          <w:bCs/>
          <w:szCs w:val="17"/>
          <w:lang w:val="en-GB"/>
        </w:rPr>
        <w:t>Both are being discussed as part of the current Solvency II review. If the COVID-19 crisis continues to intensify and market turbulence increases, ways to accelerate the improvements needed to Solvency II should be considered.</w:t>
      </w:r>
    </w:p>
    <w:p w14:paraId="17E0506C" w14:textId="77777777" w:rsidR="00FF48C7" w:rsidRPr="006306F3" w:rsidRDefault="00FF48C7" w:rsidP="00E07EA2">
      <w:pPr>
        <w:pStyle w:val="Odsekzoznamu"/>
        <w:jc w:val="both"/>
        <w:rPr>
          <w:rFonts w:cs="Calibri"/>
          <w:szCs w:val="17"/>
          <w:lang w:val="en-GB" w:eastAsia="en-GB"/>
        </w:rPr>
      </w:pPr>
    </w:p>
    <w:p w14:paraId="2C923E0C" w14:textId="74B317D0" w:rsidR="00B0038B" w:rsidRPr="00B0038B" w:rsidRDefault="00944504" w:rsidP="00E07EA2">
      <w:pPr>
        <w:pStyle w:val="Normlnywebov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  <w:r w:rsidRPr="00210D36">
        <w:rPr>
          <w:rFonts w:ascii="Verdana" w:hAnsi="Verdana"/>
          <w:b/>
          <w:bCs/>
          <w:sz w:val="17"/>
          <w:szCs w:val="17"/>
        </w:rPr>
        <w:t>EIOPA is not making full use of the elements of Solvency II</w:t>
      </w:r>
      <w:r>
        <w:rPr>
          <w:rFonts w:ascii="Verdana" w:hAnsi="Verdana"/>
          <w:sz w:val="17"/>
          <w:szCs w:val="17"/>
        </w:rPr>
        <w:t xml:space="preserve">. </w:t>
      </w:r>
      <w:r w:rsidR="00B0038B" w:rsidRPr="00B0038B">
        <w:rPr>
          <w:rFonts w:ascii="Verdana" w:hAnsi="Verdana"/>
          <w:sz w:val="17"/>
          <w:szCs w:val="17"/>
        </w:rPr>
        <w:t xml:space="preserve"> </w:t>
      </w:r>
    </w:p>
    <w:p w14:paraId="504DE41E" w14:textId="77777777" w:rsidR="00B0038B" w:rsidRPr="00B0038B" w:rsidRDefault="00B0038B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3B7B1FF9" w14:textId="60B76AC8" w:rsidR="00A60DE8" w:rsidRDefault="00A60DE8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  <w:r w:rsidRPr="00EC6618">
        <w:rPr>
          <w:rFonts w:ascii="Verdana" w:hAnsi="Verdana"/>
          <w:sz w:val="17"/>
          <w:szCs w:val="17"/>
        </w:rPr>
        <w:t xml:space="preserve">Solvency II </w:t>
      </w:r>
      <w:r w:rsidR="00865075">
        <w:rPr>
          <w:rFonts w:ascii="Verdana" w:hAnsi="Verdana"/>
          <w:sz w:val="17"/>
          <w:szCs w:val="17"/>
        </w:rPr>
        <w:t xml:space="preserve">ensures an </w:t>
      </w:r>
      <w:r w:rsidRPr="00EC6618">
        <w:rPr>
          <w:rFonts w:ascii="Verdana" w:hAnsi="Verdana"/>
          <w:sz w:val="17"/>
          <w:szCs w:val="17"/>
        </w:rPr>
        <w:t xml:space="preserve">extensive flow </w:t>
      </w:r>
      <w:r w:rsidR="00865075">
        <w:rPr>
          <w:rFonts w:ascii="Verdana" w:hAnsi="Verdana"/>
          <w:sz w:val="17"/>
          <w:szCs w:val="17"/>
        </w:rPr>
        <w:t xml:space="preserve">of information from insurers </w:t>
      </w:r>
      <w:r w:rsidRPr="00EC6618">
        <w:rPr>
          <w:rFonts w:ascii="Verdana" w:hAnsi="Verdana"/>
          <w:sz w:val="17"/>
          <w:szCs w:val="17"/>
        </w:rPr>
        <w:t>to supervisors</w:t>
      </w:r>
      <w:r w:rsidR="00985F91">
        <w:rPr>
          <w:rFonts w:ascii="Verdana" w:hAnsi="Verdana"/>
          <w:sz w:val="17"/>
          <w:szCs w:val="17"/>
        </w:rPr>
        <w:t>:</w:t>
      </w:r>
      <w:r w:rsidRPr="00EC6618">
        <w:rPr>
          <w:rFonts w:ascii="Verdana" w:hAnsi="Verdana"/>
          <w:sz w:val="17"/>
          <w:szCs w:val="17"/>
        </w:rPr>
        <w:t xml:space="preserve"> wide-ranging </w:t>
      </w:r>
      <w:r>
        <w:rPr>
          <w:rFonts w:ascii="Verdana" w:hAnsi="Verdana"/>
          <w:sz w:val="17"/>
          <w:szCs w:val="17"/>
        </w:rPr>
        <w:t xml:space="preserve">annual and quarterly </w:t>
      </w:r>
      <w:r w:rsidRPr="00EC6618">
        <w:rPr>
          <w:rFonts w:ascii="Verdana" w:hAnsi="Verdana"/>
          <w:sz w:val="17"/>
          <w:szCs w:val="17"/>
        </w:rPr>
        <w:t>reporting</w:t>
      </w:r>
      <w:r w:rsidR="00985F91">
        <w:rPr>
          <w:rFonts w:ascii="Verdana" w:hAnsi="Verdana"/>
          <w:sz w:val="17"/>
          <w:szCs w:val="17"/>
        </w:rPr>
        <w:t>;</w:t>
      </w:r>
      <w:r>
        <w:rPr>
          <w:rFonts w:ascii="Verdana" w:hAnsi="Verdana"/>
          <w:sz w:val="17"/>
          <w:szCs w:val="17"/>
        </w:rPr>
        <w:t xml:space="preserve"> </w:t>
      </w:r>
      <w:r w:rsidRPr="00EC6618">
        <w:rPr>
          <w:rFonts w:ascii="Verdana" w:hAnsi="Verdana"/>
          <w:sz w:val="17"/>
          <w:szCs w:val="17"/>
        </w:rPr>
        <w:t xml:space="preserve">multi-year projections </w:t>
      </w:r>
      <w:r>
        <w:rPr>
          <w:rFonts w:ascii="Verdana" w:hAnsi="Verdana"/>
          <w:sz w:val="17"/>
          <w:szCs w:val="17"/>
        </w:rPr>
        <w:t xml:space="preserve">to ensure that the company’s </w:t>
      </w:r>
      <w:r w:rsidRPr="00EC6618">
        <w:rPr>
          <w:rFonts w:ascii="Verdana" w:hAnsi="Verdana"/>
          <w:sz w:val="17"/>
          <w:szCs w:val="17"/>
        </w:rPr>
        <w:t>business plan — including dividends —allow it to maintain its SCR a</w:t>
      </w:r>
      <w:r>
        <w:rPr>
          <w:rFonts w:ascii="Verdana" w:hAnsi="Verdana"/>
          <w:sz w:val="17"/>
          <w:szCs w:val="17"/>
        </w:rPr>
        <w:t>bove</w:t>
      </w:r>
      <w:r w:rsidRPr="00EC6618">
        <w:rPr>
          <w:rFonts w:ascii="Verdana" w:hAnsi="Verdana"/>
          <w:sz w:val="17"/>
          <w:szCs w:val="17"/>
        </w:rPr>
        <w:t xml:space="preserve"> 100%. </w:t>
      </w:r>
      <w:r>
        <w:rPr>
          <w:rFonts w:ascii="Verdana" w:hAnsi="Verdana"/>
          <w:sz w:val="17"/>
          <w:szCs w:val="17"/>
        </w:rPr>
        <w:t>In addition, d</w:t>
      </w:r>
      <w:r w:rsidRPr="00EC6618">
        <w:rPr>
          <w:rFonts w:ascii="Verdana" w:hAnsi="Verdana"/>
          <w:sz w:val="17"/>
          <w:szCs w:val="17"/>
        </w:rPr>
        <w:t xml:space="preserve">uring extreme events such as COVID-19, supervisors request estimates of key data including the solvency position on a more regular basis. </w:t>
      </w:r>
    </w:p>
    <w:p w14:paraId="7D86796E" w14:textId="77777777" w:rsidR="00A60DE8" w:rsidRDefault="00A60DE8" w:rsidP="00E07EA2">
      <w:pPr>
        <w:pStyle w:val="Normlnywebov"/>
        <w:spacing w:before="0" w:beforeAutospacing="0" w:after="0" w:afterAutospacing="0" w:line="288" w:lineRule="auto"/>
        <w:jc w:val="both"/>
        <w:rPr>
          <w:rFonts w:ascii="Verdana" w:hAnsi="Verdana"/>
          <w:sz w:val="17"/>
          <w:szCs w:val="17"/>
        </w:rPr>
      </w:pPr>
    </w:p>
    <w:p w14:paraId="2AED7955" w14:textId="4549505C" w:rsidR="00A60DE8" w:rsidRDefault="00A60DE8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  <w:r w:rsidRPr="00EC6618">
        <w:rPr>
          <w:rFonts w:ascii="Verdana" w:hAnsi="Verdana"/>
          <w:sz w:val="17"/>
          <w:szCs w:val="17"/>
        </w:rPr>
        <w:t xml:space="preserve">National supervisors and EIOPA have access to all this data and </w:t>
      </w:r>
      <w:r w:rsidR="006C7C21">
        <w:rPr>
          <w:rFonts w:ascii="Verdana" w:hAnsi="Verdana"/>
          <w:sz w:val="17"/>
          <w:szCs w:val="17"/>
        </w:rPr>
        <w:t xml:space="preserve">it </w:t>
      </w:r>
      <w:r w:rsidRPr="00EC6618">
        <w:rPr>
          <w:rFonts w:ascii="Verdana" w:hAnsi="Verdana"/>
          <w:sz w:val="17"/>
          <w:szCs w:val="17"/>
        </w:rPr>
        <w:t xml:space="preserve">should be used. </w:t>
      </w:r>
    </w:p>
    <w:p w14:paraId="608C096C" w14:textId="0CDBF44B" w:rsidR="001A4696" w:rsidRPr="00EC6618" w:rsidRDefault="001A4696" w:rsidP="00E07EA2">
      <w:pPr>
        <w:pStyle w:val="Normlnywebov"/>
        <w:spacing w:before="0" w:beforeAutospacing="0" w:after="0" w:afterAutospacing="0" w:line="288" w:lineRule="auto"/>
        <w:ind w:left="720"/>
        <w:jc w:val="both"/>
        <w:rPr>
          <w:rFonts w:ascii="Verdana" w:hAnsi="Verdana"/>
          <w:sz w:val="17"/>
          <w:szCs w:val="17"/>
        </w:rPr>
      </w:pPr>
    </w:p>
    <w:p w14:paraId="0D44F3C6" w14:textId="557946EC" w:rsidR="007E5400" w:rsidRPr="00D57144" w:rsidRDefault="007E5400" w:rsidP="00E07EA2">
      <w:pPr>
        <w:jc w:val="both"/>
        <w:rPr>
          <w:lang w:val="en-GB"/>
        </w:rPr>
      </w:pPr>
    </w:p>
    <w:sectPr w:rsidR="007E5400" w:rsidRPr="00D57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C0F9" w14:textId="77777777" w:rsidR="007F370C" w:rsidRDefault="007F370C" w:rsidP="0064120E">
      <w:pPr>
        <w:spacing w:after="0" w:line="240" w:lineRule="auto"/>
      </w:pPr>
      <w:r>
        <w:separator/>
      </w:r>
    </w:p>
  </w:endnote>
  <w:endnote w:type="continuationSeparator" w:id="0">
    <w:p w14:paraId="1E5E7242" w14:textId="77777777" w:rsidR="007F370C" w:rsidRDefault="007F370C" w:rsidP="0064120E">
      <w:pPr>
        <w:spacing w:after="0" w:line="240" w:lineRule="auto"/>
      </w:pPr>
      <w:r>
        <w:continuationSeparator/>
      </w:r>
    </w:p>
  </w:endnote>
  <w:endnote w:type="continuationNotice" w:id="1">
    <w:p w14:paraId="6CEC125D" w14:textId="77777777" w:rsidR="007F370C" w:rsidRDefault="007F3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F652" w14:textId="77777777" w:rsidR="00190E39" w:rsidRDefault="00190E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D973" w14:textId="77777777" w:rsidR="00190E39" w:rsidRDefault="00190E3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EAF9" w14:textId="77777777" w:rsidR="00190E39" w:rsidRDefault="00190E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AA4F0" w14:textId="77777777" w:rsidR="007F370C" w:rsidRDefault="007F370C" w:rsidP="0064120E">
      <w:pPr>
        <w:spacing w:after="0" w:line="240" w:lineRule="auto"/>
      </w:pPr>
      <w:r>
        <w:separator/>
      </w:r>
    </w:p>
  </w:footnote>
  <w:footnote w:type="continuationSeparator" w:id="0">
    <w:p w14:paraId="3B73C3ED" w14:textId="77777777" w:rsidR="007F370C" w:rsidRDefault="007F370C" w:rsidP="0064120E">
      <w:pPr>
        <w:spacing w:after="0" w:line="240" w:lineRule="auto"/>
      </w:pPr>
      <w:r>
        <w:continuationSeparator/>
      </w:r>
    </w:p>
  </w:footnote>
  <w:footnote w:type="continuationNotice" w:id="1">
    <w:p w14:paraId="47B157CC" w14:textId="77777777" w:rsidR="007F370C" w:rsidRDefault="007F370C">
      <w:pPr>
        <w:spacing w:after="0" w:line="240" w:lineRule="auto"/>
      </w:pPr>
    </w:p>
  </w:footnote>
  <w:footnote w:id="2">
    <w:p w14:paraId="563FEA92" w14:textId="4A7368B5" w:rsidR="0064120E" w:rsidRPr="0035567B" w:rsidRDefault="0064120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en-GB"/>
        </w:rPr>
        <w:t>Q3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78EA" w14:textId="77777777" w:rsidR="00190E39" w:rsidRDefault="00190E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7984"/>
      <w:docPartObj>
        <w:docPartGallery w:val="Watermarks"/>
        <w:docPartUnique/>
      </w:docPartObj>
    </w:sdtPr>
    <w:sdtEndPr/>
    <w:sdtContent>
      <w:p w14:paraId="0A73E372" w14:textId="2F593F98" w:rsidR="00190E39" w:rsidRDefault="007F370C">
        <w:pPr>
          <w:pStyle w:val="Hlavika"/>
        </w:pPr>
        <w:r>
          <w:rPr>
            <w:noProof/>
          </w:rPr>
          <w:pict w14:anchorId="2F9134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91BC" w14:textId="77777777" w:rsidR="00190E39" w:rsidRDefault="00190E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11C7"/>
    <w:multiLevelType w:val="hybridMultilevel"/>
    <w:tmpl w:val="52A2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FC9"/>
    <w:multiLevelType w:val="hybridMultilevel"/>
    <w:tmpl w:val="BAC49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3770"/>
    <w:multiLevelType w:val="hybridMultilevel"/>
    <w:tmpl w:val="2AE870A6"/>
    <w:lvl w:ilvl="0" w:tplc="7E18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321FB"/>
    <w:multiLevelType w:val="hybridMultilevel"/>
    <w:tmpl w:val="6D2CA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7B46"/>
    <w:multiLevelType w:val="hybridMultilevel"/>
    <w:tmpl w:val="E882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A15"/>
    <w:rsid w:val="000B187C"/>
    <w:rsid w:val="000C5D50"/>
    <w:rsid w:val="000F54A6"/>
    <w:rsid w:val="0011439B"/>
    <w:rsid w:val="001159EE"/>
    <w:rsid w:val="00137F2B"/>
    <w:rsid w:val="00147ADD"/>
    <w:rsid w:val="00150B9B"/>
    <w:rsid w:val="00172085"/>
    <w:rsid w:val="0017260C"/>
    <w:rsid w:val="001906C9"/>
    <w:rsid w:val="00190E39"/>
    <w:rsid w:val="001A4696"/>
    <w:rsid w:val="001B41AE"/>
    <w:rsid w:val="001D448B"/>
    <w:rsid w:val="00210D36"/>
    <w:rsid w:val="00224861"/>
    <w:rsid w:val="00251D39"/>
    <w:rsid w:val="00264BEE"/>
    <w:rsid w:val="002657E9"/>
    <w:rsid w:val="00266164"/>
    <w:rsid w:val="00273FDE"/>
    <w:rsid w:val="00290F79"/>
    <w:rsid w:val="002A1B65"/>
    <w:rsid w:val="002D573A"/>
    <w:rsid w:val="0033361C"/>
    <w:rsid w:val="0035567B"/>
    <w:rsid w:val="00365101"/>
    <w:rsid w:val="003711EB"/>
    <w:rsid w:val="0039184D"/>
    <w:rsid w:val="003B4C98"/>
    <w:rsid w:val="003D0A4F"/>
    <w:rsid w:val="00440FEE"/>
    <w:rsid w:val="00450FF1"/>
    <w:rsid w:val="00522D89"/>
    <w:rsid w:val="00567267"/>
    <w:rsid w:val="00567CD2"/>
    <w:rsid w:val="005718DD"/>
    <w:rsid w:val="00596D1D"/>
    <w:rsid w:val="005A0708"/>
    <w:rsid w:val="005B0022"/>
    <w:rsid w:val="005C3882"/>
    <w:rsid w:val="005D5B02"/>
    <w:rsid w:val="005E6141"/>
    <w:rsid w:val="005F3709"/>
    <w:rsid w:val="006306F3"/>
    <w:rsid w:val="006353C4"/>
    <w:rsid w:val="006357C7"/>
    <w:rsid w:val="00637D70"/>
    <w:rsid w:val="0064120E"/>
    <w:rsid w:val="00685675"/>
    <w:rsid w:val="00694458"/>
    <w:rsid w:val="006C5506"/>
    <w:rsid w:val="006C7B3B"/>
    <w:rsid w:val="006C7C21"/>
    <w:rsid w:val="006D1617"/>
    <w:rsid w:val="006E4915"/>
    <w:rsid w:val="00700068"/>
    <w:rsid w:val="0075013C"/>
    <w:rsid w:val="00787C9D"/>
    <w:rsid w:val="007A03B8"/>
    <w:rsid w:val="007E5400"/>
    <w:rsid w:val="007F370C"/>
    <w:rsid w:val="007F74A7"/>
    <w:rsid w:val="00826F2E"/>
    <w:rsid w:val="00865075"/>
    <w:rsid w:val="00872E1B"/>
    <w:rsid w:val="00873DD5"/>
    <w:rsid w:val="0088352F"/>
    <w:rsid w:val="00893CF5"/>
    <w:rsid w:val="00896877"/>
    <w:rsid w:val="00897632"/>
    <w:rsid w:val="00903D55"/>
    <w:rsid w:val="00944504"/>
    <w:rsid w:val="00944EF3"/>
    <w:rsid w:val="00951FFA"/>
    <w:rsid w:val="00957CD9"/>
    <w:rsid w:val="00973FE4"/>
    <w:rsid w:val="00985F91"/>
    <w:rsid w:val="009867F8"/>
    <w:rsid w:val="009873DC"/>
    <w:rsid w:val="00994149"/>
    <w:rsid w:val="009B60DE"/>
    <w:rsid w:val="009F656F"/>
    <w:rsid w:val="00A30A15"/>
    <w:rsid w:val="00A32221"/>
    <w:rsid w:val="00A50391"/>
    <w:rsid w:val="00A60DE8"/>
    <w:rsid w:val="00A62F99"/>
    <w:rsid w:val="00A8666C"/>
    <w:rsid w:val="00AB611A"/>
    <w:rsid w:val="00AC6D6C"/>
    <w:rsid w:val="00AE765D"/>
    <w:rsid w:val="00B0038B"/>
    <w:rsid w:val="00B41496"/>
    <w:rsid w:val="00B41E28"/>
    <w:rsid w:val="00BD7F0F"/>
    <w:rsid w:val="00BF1CF6"/>
    <w:rsid w:val="00C252B1"/>
    <w:rsid w:val="00C86EC7"/>
    <w:rsid w:val="00C9676B"/>
    <w:rsid w:val="00CC133A"/>
    <w:rsid w:val="00D20F77"/>
    <w:rsid w:val="00D316E5"/>
    <w:rsid w:val="00D3498A"/>
    <w:rsid w:val="00D40BA6"/>
    <w:rsid w:val="00D42368"/>
    <w:rsid w:val="00D57144"/>
    <w:rsid w:val="00D6040F"/>
    <w:rsid w:val="00D70809"/>
    <w:rsid w:val="00D91984"/>
    <w:rsid w:val="00D95B6E"/>
    <w:rsid w:val="00DA5A54"/>
    <w:rsid w:val="00E07EA2"/>
    <w:rsid w:val="00E30A5D"/>
    <w:rsid w:val="00E46BEF"/>
    <w:rsid w:val="00E849A6"/>
    <w:rsid w:val="00E92A51"/>
    <w:rsid w:val="00E931B3"/>
    <w:rsid w:val="00EC1255"/>
    <w:rsid w:val="00EE1062"/>
    <w:rsid w:val="00EE527D"/>
    <w:rsid w:val="00F20376"/>
    <w:rsid w:val="00F2685A"/>
    <w:rsid w:val="00F31053"/>
    <w:rsid w:val="00F66384"/>
    <w:rsid w:val="00F72BD5"/>
    <w:rsid w:val="00F8705B"/>
    <w:rsid w:val="00FA056A"/>
    <w:rsid w:val="00FA3818"/>
    <w:rsid w:val="00FA41DC"/>
    <w:rsid w:val="00FB1164"/>
    <w:rsid w:val="00FB467C"/>
    <w:rsid w:val="00FF48C7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EF88E9"/>
  <w15:chartTrackingRefBased/>
  <w15:docId w15:val="{B2B973CD-9770-4468-A240-0F70357F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705B"/>
    <w:pPr>
      <w:spacing w:line="288" w:lineRule="auto"/>
    </w:pPr>
    <w:rPr>
      <w:rFonts w:ascii="Verdana" w:hAnsi="Verdana"/>
      <w:sz w:val="1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3FE4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003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03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038B"/>
    <w:rPr>
      <w:rFonts w:ascii="Verdana" w:hAnsi="Verdan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3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038B"/>
    <w:rPr>
      <w:rFonts w:ascii="Verdana" w:hAnsi="Verdan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038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7260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31053"/>
    <w:rPr>
      <w:color w:val="0563C1"/>
      <w:u w:val="single"/>
    </w:rPr>
  </w:style>
  <w:style w:type="paragraph" w:styleId="Revzia">
    <w:name w:val="Revision"/>
    <w:hidden/>
    <w:uiPriority w:val="99"/>
    <w:semiHidden/>
    <w:rsid w:val="0033361C"/>
    <w:pPr>
      <w:spacing w:after="0" w:line="240" w:lineRule="auto"/>
    </w:pPr>
    <w:rPr>
      <w:rFonts w:ascii="Verdana" w:hAnsi="Verdana"/>
      <w:sz w:val="17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120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120E"/>
    <w:rPr>
      <w:rFonts w:ascii="Verdana" w:hAnsi="Verdana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120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B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164"/>
    <w:rPr>
      <w:rFonts w:ascii="Verdana" w:hAnsi="Verdana"/>
      <w:sz w:val="17"/>
    </w:rPr>
  </w:style>
  <w:style w:type="paragraph" w:styleId="Pta">
    <w:name w:val="footer"/>
    <w:basedOn w:val="Normlny"/>
    <w:link w:val="PtaChar"/>
    <w:uiPriority w:val="99"/>
    <w:unhideWhenUsed/>
    <w:rsid w:val="00FB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1164"/>
    <w:rPr>
      <w:rFonts w:ascii="Verdana" w:hAnsi="Verdan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34d7415f-f1a4-44df-8e35-2ceaafd480dc" xsi:nil="true"/>
    <Type_x0020_of_x0020_memo xmlns="70f7eb82-310d-4963-bf1e-a4c2a37fd81c" xsi:nil="true"/>
    <Linked_x0020_files xmlns="$ListId:PublishedDocuments;" xsi:nil="true"/>
    <ValidationComment xmlns="e092deee-a6f6-4f89-8a6c-e2a43e9fb5cf" xsi:nil="true"/>
    <isAnnex xmlns="0db322c1-ecdf-4c8f-bade-e13d7e7097d4">False</isAnnex>
    <Can_x0020_be_x0020_edited xmlns="$ListId:PublishedDocuments;">false</Can_x0020_be_x0020_edited>
    <AllowComments xmlns="e092deee-a6f6-4f89-8a6c-e2a43e9fb5cf">false</AllowComments>
    <Validated xmlns="e092deee-a6f6-4f89-8a6c-e2a43e9fb5cf">false</Validated>
    <Deadline xmlns="0db322c1-ecdf-4c8f-bade-e13d7e7097d4" xsi:nil="true"/>
    <Uploads xmlns="0db322c1-ecdf-4c8f-bade-e13d7e7097d4">false</Uploads>
    <Display_x0020_validated_x0020_documents_x0020_library_x0020_button xmlns="70f7eb82-310d-4963-bf1e-a4c2a37fd81c">false</Display_x0020_validated_x0020_documents_x0020_library_x0020_butt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0FCF08F96A5A2F428D34FBFBBCC0A573" ma:contentTypeVersion="0" ma:contentTypeDescription="Published Documents Content types for Insurance Europe" ma:contentTypeScope="" ma:versionID="5e78fb665628ea15f5ff0aab78559a20">
  <xsd:schema xmlns:xsd="http://www.w3.org/2001/XMLSchema" xmlns:xs="http://www.w3.org/2001/XMLSchema" xmlns:p="http://schemas.microsoft.com/office/2006/metadata/properties" xmlns:ns2="e092deee-a6f6-4f89-8a6c-e2a43e9fb5cf" xmlns:ns3="$ListId:PublishedDocuments;" xmlns:ns4="34d7415f-f1a4-44df-8e35-2ceaafd480dc" xmlns:ns5="0db322c1-ecdf-4c8f-bade-e13d7e7097d4" xmlns:ns6="70f7eb82-310d-4963-bf1e-a4c2a37fd81c" targetNamespace="http://schemas.microsoft.com/office/2006/metadata/properties" ma:root="true" ma:fieldsID="b1f8455f3cc5d4230a6a0b3884076d77" ns2:_="" ns3:_="" ns4:_="" ns5:_="" ns6:_="">
    <xsd:import namespace="e092deee-a6f6-4f89-8a6c-e2a43e9fb5cf"/>
    <xsd:import namespace="$ListId:PublishedDocuments;"/>
    <xsd:import namespace="34d7415f-f1a4-44df-8e35-2ceaafd480dc"/>
    <xsd:import namespace="0db322c1-ecdf-4c8f-bade-e13d7e7097d4"/>
    <xsd:import namespace="70f7eb82-310d-4963-bf1e-a4c2a37fd81c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3:Can_x0020_be_x0020_edited" minOccurs="0"/>
                <xsd:element ref="ns3:Linked_x0020_files" minOccurs="0"/>
                <xsd:element ref="ns4:Type_x0020_of_x0020_document" minOccurs="0"/>
                <xsd:element ref="ns5:Deadline" minOccurs="0"/>
                <xsd:element ref="ns6:Type_x0020_of_x0020_memo" minOccurs="0"/>
                <xsd:element ref="ns6:Display_x0020_validated_x0020_documents_x0020_library_x0020_button" minOccurs="0"/>
                <xsd:element ref="ns5:isAnnex" minOccurs="0"/>
                <xsd:element ref="ns5:Up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deee-a6f6-4f89-8a6c-e2a43e9fb5cf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>
      <xsd:simpleType>
        <xsd:restriction base="dms:Boolean"/>
      </xsd:simpleType>
    </xsd:element>
    <xsd:element name="Validated" ma:index="9" nillable="true" ma:displayName="Validated" ma:default="0" ma:internalName="Validated">
      <xsd:simpleType>
        <xsd:restriction base="dms:Boolean"/>
      </xsd:simpleType>
    </xsd:element>
    <xsd:element name="ValidationComment" ma:index="10" nillable="true" ma:displayName="ValidationComment" ma:internalName="Validation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ublishedDocuments;" elementFormDefault="qualified">
    <xsd:import namespace="http://schemas.microsoft.com/office/2006/documentManagement/types"/>
    <xsd:import namespace="http://schemas.microsoft.com/office/infopath/2007/PartnerControls"/>
    <xsd:element name="Can_x0020_be_x0020_edited" ma:index="11" nillable="true" ma:displayName="Can be edited" ma:default="0" ma:internalName="Can_x0020_be_x0020_edited">
      <xsd:simpleType>
        <xsd:restriction base="dms:Boolean"/>
      </xsd:simpleType>
    </xsd:element>
    <xsd:element name="Linked_x0020_files" ma:index="12" nillable="true" ma:displayName="Linked files" ma:internalName="Linked_x0020_fil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415f-f1a4-44df-8e35-2ceaafd480d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13" nillable="true" ma:displayName="Type of document" ma:format="Dropdown" ma:internalName="Type_x0020_of_x0020_document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22c1-ecdf-4c8f-bade-e13d7e7097d4" elementFormDefault="qualified">
    <xsd:import namespace="http://schemas.microsoft.com/office/2006/documentManagement/types"/>
    <xsd:import namespace="http://schemas.microsoft.com/office/infopath/2007/PartnerControls"/>
    <xsd:element name="Deadline" ma:index="14" nillable="true" ma:displayName="Deadline" ma:format="DateTime" ma:internalName="Deadline">
      <xsd:simpleType>
        <xsd:restriction base="dms:DateTime"/>
      </xsd:simpleType>
    </xsd:element>
    <xsd:element name="isAnnex" ma:index="17" nillable="true" ma:displayName="isAnnex" ma:internalName="isAnnex">
      <xsd:simpleType>
        <xsd:restriction base="dms:Text"/>
      </xsd:simpleType>
    </xsd:element>
    <xsd:element name="Uploads" ma:index="18" nillable="true" ma:displayName="Uploads" ma:internalName="Upload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eb82-310d-4963-bf1e-a4c2a37fd81c" elementFormDefault="qualified">
    <xsd:import namespace="http://schemas.microsoft.com/office/2006/documentManagement/types"/>
    <xsd:import namespace="http://schemas.microsoft.com/office/infopath/2007/PartnerControls"/>
    <xsd:element name="Type_x0020_of_x0020_memo" ma:index="15" nillable="true" ma:displayName="Type of memo" ma:format="Dropdown" ma:internalName="Type_x0020_of_x0020_memo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6" nillable="true" ma:displayName="Display validated documents library button" ma:default="0" ma:internalName="Display_x0020_validated_x0020_documents_x0020_library_x0020_butt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D94C-A1D3-4CD9-8205-9BD6CB0ED5BE}">
  <ds:schemaRefs>
    <ds:schemaRef ds:uri="http://schemas.microsoft.com/office/2006/metadata/properties"/>
    <ds:schemaRef ds:uri="http://schemas.microsoft.com/office/infopath/2007/PartnerControls"/>
    <ds:schemaRef ds:uri="34d7415f-f1a4-44df-8e35-2ceaafd480dc"/>
    <ds:schemaRef ds:uri="70f7eb82-310d-4963-bf1e-a4c2a37fd81c"/>
    <ds:schemaRef ds:uri="$ListId:PublishedDocuments;"/>
    <ds:schemaRef ds:uri="e092deee-a6f6-4f89-8a6c-e2a43e9fb5cf"/>
    <ds:schemaRef ds:uri="0db322c1-ecdf-4c8f-bade-e13d7e7097d4"/>
  </ds:schemaRefs>
</ds:datastoreItem>
</file>

<file path=customXml/itemProps2.xml><?xml version="1.0" encoding="utf-8"?>
<ds:datastoreItem xmlns:ds="http://schemas.openxmlformats.org/officeDocument/2006/customXml" ds:itemID="{71E46A61-3C2C-4635-A334-116BAD563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deee-a6f6-4f89-8a6c-e2a43e9fb5cf"/>
    <ds:schemaRef ds:uri="$ListId:PublishedDocuments;"/>
    <ds:schemaRef ds:uri="34d7415f-f1a4-44df-8e35-2ceaafd480dc"/>
    <ds:schemaRef ds:uri="0db322c1-ecdf-4c8f-bade-e13d7e7097d4"/>
    <ds:schemaRef ds:uri="70f7eb82-310d-4963-bf1e-a4c2a37f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7AF88-2272-402C-A929-18972611D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BEF8C-A56F-404B-A835-84D3C9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on dividends</dc:title>
  <dc:subject/>
  <dc:creator>MIK</dc:creator>
  <cp:keywords/>
  <dc:description/>
  <cp:lastModifiedBy>Janina Clark</cp:lastModifiedBy>
  <cp:revision>25</cp:revision>
  <dcterms:created xsi:type="dcterms:W3CDTF">2020-04-06T13:56:00Z</dcterms:created>
  <dcterms:modified xsi:type="dcterms:W3CDTF">2020-04-07T12:26:00Z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0x0101000FCF08F96A5A2F428D34FBFBBCC0A573</vt:lpwstr>
  </property>
</Properties>
</file>