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C57E" w14:textId="688BF740" w:rsidR="00AC6256" w:rsidRPr="009837B6" w:rsidRDefault="00AC6256" w:rsidP="00844D6D">
      <w:pPr>
        <w:rPr>
          <w:rFonts w:cs="Arial"/>
          <w:b/>
          <w:bCs/>
          <w:szCs w:val="17"/>
        </w:rPr>
      </w:pPr>
      <w:r w:rsidRPr="009837B6">
        <w:rPr>
          <w:rFonts w:cs="Arial"/>
          <w:b/>
          <w:bCs/>
          <w:szCs w:val="17"/>
        </w:rPr>
        <w:t>Introduction</w:t>
      </w:r>
    </w:p>
    <w:p w14:paraId="34F8EBD2" w14:textId="017963E4" w:rsidR="00C26EAF" w:rsidRPr="009837B6" w:rsidRDefault="00612C41" w:rsidP="00844D6D">
      <w:pPr>
        <w:rPr>
          <w:rFonts w:cs="Arial"/>
          <w:szCs w:val="17"/>
        </w:rPr>
      </w:pPr>
      <w:r w:rsidRPr="009837B6">
        <w:rPr>
          <w:rFonts w:cs="Arial"/>
          <w:szCs w:val="17"/>
        </w:rPr>
        <w:t xml:space="preserve">Insurance </w:t>
      </w:r>
      <w:r w:rsidR="00D76DA0" w:rsidRPr="009837B6">
        <w:rPr>
          <w:rFonts w:cs="Arial"/>
          <w:szCs w:val="17"/>
        </w:rPr>
        <w:t xml:space="preserve">Europe </w:t>
      </w:r>
      <w:r w:rsidRPr="009837B6">
        <w:rPr>
          <w:rFonts w:cs="Arial"/>
          <w:szCs w:val="17"/>
        </w:rPr>
        <w:t xml:space="preserve">welcomes the OECD/G20 Inclusive Framework on BEPS consultation to inform the development of the </w:t>
      </w:r>
      <w:r w:rsidR="00EB23B7">
        <w:rPr>
          <w:rFonts w:cs="Arial"/>
          <w:szCs w:val="17"/>
        </w:rPr>
        <w:t>R</w:t>
      </w:r>
      <w:r w:rsidRPr="009837B6">
        <w:rPr>
          <w:rFonts w:cs="Arial"/>
          <w:szCs w:val="17"/>
        </w:rPr>
        <w:t xml:space="preserve">egulated </w:t>
      </w:r>
      <w:r w:rsidR="00EB23B7">
        <w:rPr>
          <w:rFonts w:cs="Arial"/>
          <w:szCs w:val="17"/>
        </w:rPr>
        <w:t>F</w:t>
      </w:r>
      <w:r w:rsidRPr="009837B6">
        <w:rPr>
          <w:rFonts w:cs="Arial"/>
          <w:szCs w:val="17"/>
        </w:rPr>
        <w:t xml:space="preserve">inancial </w:t>
      </w:r>
      <w:r w:rsidR="00EB23B7">
        <w:rPr>
          <w:rFonts w:cs="Arial"/>
          <w:szCs w:val="17"/>
        </w:rPr>
        <w:t>S</w:t>
      </w:r>
      <w:r w:rsidRPr="009837B6">
        <w:rPr>
          <w:rFonts w:cs="Arial"/>
          <w:szCs w:val="17"/>
        </w:rPr>
        <w:t xml:space="preserve">ervices </w:t>
      </w:r>
      <w:r w:rsidR="00EB23B7">
        <w:rPr>
          <w:rFonts w:cs="Arial"/>
          <w:szCs w:val="17"/>
        </w:rPr>
        <w:t>E</w:t>
      </w:r>
      <w:r w:rsidRPr="009837B6">
        <w:rPr>
          <w:rFonts w:cs="Arial"/>
          <w:szCs w:val="17"/>
        </w:rPr>
        <w:t>xclusion.</w:t>
      </w:r>
      <w:r w:rsidR="00C41CE1" w:rsidRPr="009837B6">
        <w:rPr>
          <w:rFonts w:cs="Arial"/>
          <w:szCs w:val="17"/>
        </w:rPr>
        <w:t xml:space="preserve"> </w:t>
      </w:r>
    </w:p>
    <w:p w14:paraId="6B3051F5" w14:textId="4518C5FE" w:rsidR="003F229A" w:rsidRPr="009837B6" w:rsidRDefault="00DA6BA0" w:rsidP="00844D6D">
      <w:pPr>
        <w:rPr>
          <w:rFonts w:cs="Arial"/>
          <w:szCs w:val="17"/>
        </w:rPr>
      </w:pPr>
      <w:r w:rsidRPr="009837B6">
        <w:rPr>
          <w:rFonts w:cs="Arial"/>
          <w:szCs w:val="17"/>
        </w:rPr>
        <w:t>Insurance and reinsurance are crucial to the successful operation of the economy and to global investments and growth. (Re)insurers play a unique role in the global economy, protecting individuals, businesses, and governments against financial loss from risks ranging from natural catastrophes to poor health and unemployment. Insurance and reinsurance business is all about the transfer of risk between the insured party and the (re)insurance company.</w:t>
      </w:r>
      <w:r w:rsidR="003F229A" w:rsidRPr="009837B6">
        <w:rPr>
          <w:rFonts w:cs="Arial"/>
          <w:szCs w:val="17"/>
        </w:rPr>
        <w:t xml:space="preserve"> The exclusion of Regulated Financial Services from Amount A, as stated in the Inclusive Framework Agreement of October 2021 correctly reflects the risks borne by such MNEs and generally enable to align the location of the profits with the market. Insurers therefore acknowledge and endorse the fact that the Model Rules would be designed on that principle.</w:t>
      </w:r>
    </w:p>
    <w:p w14:paraId="4521F652" w14:textId="1652E512" w:rsidR="008B0CEB" w:rsidRPr="009837B6" w:rsidRDefault="008B0CEB" w:rsidP="00844D6D">
      <w:pPr>
        <w:rPr>
          <w:rFonts w:cs="Arial"/>
          <w:szCs w:val="17"/>
        </w:rPr>
      </w:pPr>
      <w:r w:rsidRPr="009837B6">
        <w:rPr>
          <w:rFonts w:cs="Arial"/>
          <w:szCs w:val="17"/>
        </w:rPr>
        <w:t xml:space="preserve">Please find below comments on several aspects of the proposal that are of primary importance for the insurance industry. </w:t>
      </w:r>
    </w:p>
    <w:p w14:paraId="301B50EA" w14:textId="77777777" w:rsidR="008B0CEB" w:rsidRPr="009837B6" w:rsidRDefault="008B0CEB" w:rsidP="00844D6D">
      <w:pPr>
        <w:rPr>
          <w:rFonts w:cs="Arial"/>
          <w:szCs w:val="17"/>
        </w:rPr>
      </w:pPr>
    </w:p>
    <w:p w14:paraId="291D136D" w14:textId="1D5773EA" w:rsidR="00211970" w:rsidRPr="009837B6" w:rsidRDefault="00211970" w:rsidP="00844D6D">
      <w:pPr>
        <w:rPr>
          <w:rFonts w:cs="Arial"/>
          <w:b/>
          <w:bCs/>
          <w:szCs w:val="17"/>
        </w:rPr>
      </w:pPr>
      <w:r w:rsidRPr="009837B6">
        <w:rPr>
          <w:rFonts w:cs="Arial"/>
          <w:b/>
          <w:bCs/>
          <w:szCs w:val="17"/>
        </w:rPr>
        <w:t>General Comments</w:t>
      </w:r>
    </w:p>
    <w:p w14:paraId="5B7F038E" w14:textId="2D78F747" w:rsidR="00211970" w:rsidRPr="009837B6" w:rsidRDefault="006D2125" w:rsidP="00844D6D">
      <w:pPr>
        <w:rPr>
          <w:rFonts w:cs="Arial"/>
          <w:szCs w:val="17"/>
        </w:rPr>
      </w:pPr>
      <w:r w:rsidRPr="009837B6">
        <w:rPr>
          <w:rFonts w:cs="Arial"/>
          <w:szCs w:val="17"/>
        </w:rPr>
        <w:t xml:space="preserve">Insurance Europe </w:t>
      </w:r>
      <w:r w:rsidR="00211970" w:rsidRPr="009837B6">
        <w:rPr>
          <w:rFonts w:cs="Arial"/>
          <w:szCs w:val="17"/>
        </w:rPr>
        <w:t>expressly welcome</w:t>
      </w:r>
      <w:r w:rsidRPr="009837B6">
        <w:rPr>
          <w:rFonts w:cs="Arial"/>
          <w:szCs w:val="17"/>
        </w:rPr>
        <w:t>s</w:t>
      </w:r>
      <w:r w:rsidR="00211970" w:rsidRPr="009837B6">
        <w:rPr>
          <w:rFonts w:cs="Arial"/>
          <w:szCs w:val="17"/>
        </w:rPr>
        <w:t xml:space="preserve"> the fact that the consultation document continues to classify reinsurance and asset management as excluded Regulated Financial Institutions. </w:t>
      </w:r>
      <w:r w:rsidR="00DC1271" w:rsidRPr="009837B6">
        <w:rPr>
          <w:rFonts w:cs="Arial"/>
          <w:szCs w:val="17"/>
        </w:rPr>
        <w:t>R</w:t>
      </w:r>
      <w:r w:rsidR="00211970" w:rsidRPr="009837B6">
        <w:rPr>
          <w:rFonts w:cs="Arial"/>
          <w:szCs w:val="17"/>
        </w:rPr>
        <w:t xml:space="preserve">einsurance </w:t>
      </w:r>
      <w:r w:rsidR="009D285E" w:rsidRPr="009837B6">
        <w:rPr>
          <w:rFonts w:cs="Arial"/>
          <w:szCs w:val="17"/>
        </w:rPr>
        <w:t xml:space="preserve">is a </w:t>
      </w:r>
      <w:r w:rsidR="00211970" w:rsidRPr="009837B6">
        <w:rPr>
          <w:rFonts w:cs="Arial"/>
          <w:szCs w:val="17"/>
        </w:rPr>
        <w:t>highly regulated business</w:t>
      </w:r>
      <w:r w:rsidR="009D285E" w:rsidRPr="009837B6">
        <w:rPr>
          <w:rFonts w:cs="Arial"/>
          <w:szCs w:val="17"/>
        </w:rPr>
        <w:t>,</w:t>
      </w:r>
      <w:r w:rsidR="00211970" w:rsidRPr="009837B6">
        <w:rPr>
          <w:rFonts w:cs="Arial"/>
          <w:szCs w:val="17"/>
        </w:rPr>
        <w:t xml:space="preserve"> already taxed </w:t>
      </w:r>
      <w:r w:rsidR="00E73828" w:rsidRPr="009837B6">
        <w:rPr>
          <w:rFonts w:cs="Arial"/>
          <w:szCs w:val="17"/>
        </w:rPr>
        <w:t>at local</w:t>
      </w:r>
      <w:r w:rsidR="00E53C43" w:rsidRPr="009837B6">
        <w:rPr>
          <w:rFonts w:cs="Arial"/>
          <w:szCs w:val="17"/>
        </w:rPr>
        <w:t xml:space="preserve"> jurisdiction</w:t>
      </w:r>
      <w:r w:rsidR="00E73828" w:rsidRPr="009837B6">
        <w:rPr>
          <w:rFonts w:cs="Arial"/>
          <w:szCs w:val="17"/>
        </w:rPr>
        <w:t xml:space="preserve"> level</w:t>
      </w:r>
      <w:r w:rsidR="00211970" w:rsidRPr="009837B6">
        <w:rPr>
          <w:rFonts w:cs="Arial"/>
          <w:szCs w:val="17"/>
        </w:rPr>
        <w:t xml:space="preserve">. There is no need for a reallocation of profits under Pillar </w:t>
      </w:r>
      <w:r w:rsidR="00A14417">
        <w:rPr>
          <w:rFonts w:cs="Arial"/>
          <w:szCs w:val="17"/>
        </w:rPr>
        <w:t>One</w:t>
      </w:r>
      <w:r w:rsidR="00211970" w:rsidRPr="009837B6">
        <w:rPr>
          <w:rFonts w:cs="Arial"/>
          <w:szCs w:val="17"/>
        </w:rPr>
        <w:t xml:space="preserve">. Nevertheless, the consultation documents </w:t>
      </w:r>
      <w:r w:rsidR="004D0D84" w:rsidRPr="009837B6">
        <w:rPr>
          <w:rFonts w:cs="Arial"/>
          <w:szCs w:val="17"/>
        </w:rPr>
        <w:t>twice report</w:t>
      </w:r>
      <w:r w:rsidR="00211970" w:rsidRPr="009837B6">
        <w:rPr>
          <w:rFonts w:cs="Arial"/>
          <w:szCs w:val="17"/>
        </w:rPr>
        <w:t xml:space="preserve"> that the exclusion of reinsurance </w:t>
      </w:r>
      <w:r w:rsidR="004D0D84" w:rsidRPr="009837B6">
        <w:rPr>
          <w:rFonts w:cs="Arial"/>
          <w:szCs w:val="17"/>
        </w:rPr>
        <w:t xml:space="preserve">does </w:t>
      </w:r>
      <w:r w:rsidR="00211970" w:rsidRPr="009837B6">
        <w:rPr>
          <w:rFonts w:cs="Arial"/>
          <w:szCs w:val="17"/>
        </w:rPr>
        <w:t xml:space="preserve">not yet </w:t>
      </w:r>
      <w:r w:rsidR="004D0D84" w:rsidRPr="009837B6">
        <w:rPr>
          <w:rFonts w:cs="Arial"/>
          <w:szCs w:val="17"/>
        </w:rPr>
        <w:t xml:space="preserve">have </w:t>
      </w:r>
      <w:r w:rsidR="00211970" w:rsidRPr="009837B6">
        <w:rPr>
          <w:rFonts w:cs="Arial"/>
          <w:szCs w:val="17"/>
        </w:rPr>
        <w:t>consensus in the OECD’s Inclusive Framework.</w:t>
      </w:r>
      <w:r w:rsidR="007C4DF0" w:rsidRPr="009837B6">
        <w:rPr>
          <w:rFonts w:cs="Arial"/>
          <w:szCs w:val="17"/>
        </w:rPr>
        <w:t xml:space="preserve"> As the rules drafted for the purpose of Pillar One should be as clear and practicable as possible, </w:t>
      </w:r>
      <w:r w:rsidR="00F32DAF" w:rsidRPr="009837B6">
        <w:rPr>
          <w:rFonts w:cs="Arial"/>
          <w:szCs w:val="17"/>
        </w:rPr>
        <w:t xml:space="preserve">insurers want </w:t>
      </w:r>
      <w:r w:rsidR="00211970" w:rsidRPr="009837B6">
        <w:rPr>
          <w:rFonts w:cs="Arial"/>
          <w:szCs w:val="17"/>
        </w:rPr>
        <w:t>once again</w:t>
      </w:r>
      <w:r w:rsidR="00DA11FA" w:rsidRPr="009837B6">
        <w:rPr>
          <w:rFonts w:cs="Arial"/>
          <w:szCs w:val="17"/>
        </w:rPr>
        <w:t xml:space="preserve"> to</w:t>
      </w:r>
      <w:r w:rsidR="00211970" w:rsidRPr="009837B6">
        <w:rPr>
          <w:rFonts w:cs="Arial"/>
          <w:szCs w:val="17"/>
        </w:rPr>
        <w:t xml:space="preserve"> highlight the nature of the</w:t>
      </w:r>
      <w:r w:rsidR="00E53C43" w:rsidRPr="009837B6">
        <w:rPr>
          <w:rFonts w:cs="Arial"/>
          <w:szCs w:val="17"/>
        </w:rPr>
        <w:t xml:space="preserve"> </w:t>
      </w:r>
      <w:r w:rsidR="00A4194C">
        <w:rPr>
          <w:rFonts w:cs="Arial"/>
          <w:szCs w:val="17"/>
        </w:rPr>
        <w:t xml:space="preserve">reinsurance </w:t>
      </w:r>
      <w:r w:rsidR="00211970" w:rsidRPr="009837B6">
        <w:rPr>
          <w:rFonts w:cs="Arial"/>
          <w:szCs w:val="17"/>
        </w:rPr>
        <w:t>busines</w:t>
      </w:r>
      <w:r w:rsidR="00E53C43" w:rsidRPr="009837B6">
        <w:rPr>
          <w:rFonts w:cs="Arial"/>
          <w:szCs w:val="17"/>
        </w:rPr>
        <w:t>s</w:t>
      </w:r>
      <w:r w:rsidR="00211970" w:rsidRPr="009837B6">
        <w:rPr>
          <w:rFonts w:cs="Arial"/>
          <w:szCs w:val="17"/>
        </w:rPr>
        <w:t xml:space="preserve"> and the reasons why these exceptions are systematic and reasonable</w:t>
      </w:r>
      <w:r w:rsidR="009837B6">
        <w:rPr>
          <w:rFonts w:cs="Arial"/>
          <w:szCs w:val="17"/>
        </w:rPr>
        <w:t>.</w:t>
      </w:r>
      <w:r w:rsidR="00211970" w:rsidRPr="009837B6">
        <w:rPr>
          <w:rFonts w:cs="Arial"/>
          <w:szCs w:val="17"/>
        </w:rPr>
        <w:t xml:space="preserve"> </w:t>
      </w:r>
    </w:p>
    <w:p w14:paraId="32B838F3" w14:textId="77777777" w:rsidR="00211970" w:rsidRPr="009837B6" w:rsidRDefault="00211970" w:rsidP="00844D6D">
      <w:pPr>
        <w:rPr>
          <w:rFonts w:cs="Arial"/>
          <w:szCs w:val="17"/>
          <w:u w:val="single"/>
        </w:rPr>
      </w:pPr>
    </w:p>
    <w:p w14:paraId="2660F02C" w14:textId="4DB40EF8" w:rsidR="00A407EA" w:rsidRPr="009837B6" w:rsidRDefault="00A407EA" w:rsidP="00844D6D">
      <w:pPr>
        <w:rPr>
          <w:rFonts w:cs="Arial"/>
          <w:b/>
          <w:bCs/>
          <w:szCs w:val="17"/>
        </w:rPr>
      </w:pPr>
      <w:r w:rsidRPr="009837B6">
        <w:rPr>
          <w:rFonts w:cs="Arial"/>
          <w:b/>
          <w:bCs/>
          <w:szCs w:val="17"/>
        </w:rPr>
        <w:t>Meeting the definition of the Regulated Financial Services Exclusion</w:t>
      </w:r>
    </w:p>
    <w:p w14:paraId="6FEA9130" w14:textId="55E30992" w:rsidR="00A407EA" w:rsidRPr="009837B6" w:rsidRDefault="00A407EA" w:rsidP="00844D6D">
      <w:pPr>
        <w:rPr>
          <w:rFonts w:cs="Arial"/>
          <w:szCs w:val="17"/>
        </w:rPr>
      </w:pPr>
      <w:r w:rsidRPr="009837B6">
        <w:rPr>
          <w:rFonts w:cs="Arial"/>
          <w:szCs w:val="17"/>
        </w:rPr>
        <w:t>Reinsurance satisfies the three key elements of the definition of Regulated Financial Services as set out in the consultation document; that there is a licensing requirement, a regulatory capital requirement and an activities requirement.</w:t>
      </w:r>
    </w:p>
    <w:p w14:paraId="14D0CA0A" w14:textId="393F12B2" w:rsidR="00A407EA" w:rsidRPr="009837B6" w:rsidRDefault="00A407EA" w:rsidP="00844D6D">
      <w:pPr>
        <w:pStyle w:val="CEABullet-Level1"/>
        <w:rPr>
          <w:szCs w:val="17"/>
        </w:rPr>
      </w:pPr>
      <w:r w:rsidRPr="009837B6">
        <w:rPr>
          <w:szCs w:val="17"/>
        </w:rPr>
        <w:t>A licence to conduct insurance and reinsurance business will not be granted if local regulatory requirements are not met.</w:t>
      </w:r>
    </w:p>
    <w:p w14:paraId="28E38ED1" w14:textId="45A52841" w:rsidR="00A407EA" w:rsidRPr="009837B6" w:rsidRDefault="00A407EA" w:rsidP="00844D6D">
      <w:pPr>
        <w:pStyle w:val="CEABullet-Level1"/>
        <w:rPr>
          <w:szCs w:val="17"/>
        </w:rPr>
      </w:pPr>
      <w:r w:rsidRPr="009837B6">
        <w:rPr>
          <w:szCs w:val="17"/>
        </w:rPr>
        <w:t>Reinsurance, like insurance is subject to prudential and capital regulation.  This regulation for reinsurance is similar to that of a primary (direct) writer of insurance and aligns the location of capital to the location of the re/insurance company. Regulation in the reinsurer’s location ensures that it is appropriately capitalised to be able to honour its liabilities to its policyholder (the insurer).</w:t>
      </w:r>
    </w:p>
    <w:p w14:paraId="1D3A126A" w14:textId="403F6A57" w:rsidR="00211970" w:rsidRDefault="00A407EA" w:rsidP="00844D6D">
      <w:pPr>
        <w:pStyle w:val="CEABullet-Level1"/>
        <w:rPr>
          <w:szCs w:val="17"/>
        </w:rPr>
      </w:pPr>
      <w:r w:rsidRPr="009837B6">
        <w:rPr>
          <w:szCs w:val="17"/>
        </w:rPr>
        <w:t>Reinsurance is insurance for insurers. Reinsurers contract with the primary insurer to reimburse future claims the primary insurer may have against the payment of a premium today. The relationship is linked to the primary insurer’s commitments and the occurrence of an insured event.</w:t>
      </w:r>
    </w:p>
    <w:p w14:paraId="7993468B" w14:textId="77777777" w:rsidR="009418A7" w:rsidRDefault="009418A7" w:rsidP="00844D6D">
      <w:pPr>
        <w:pStyle w:val="CEABullet-Level1"/>
        <w:numPr>
          <w:ilvl w:val="0"/>
          <w:numId w:val="0"/>
        </w:numPr>
        <w:ind w:left="720" w:hanging="360"/>
        <w:rPr>
          <w:b/>
          <w:bCs/>
          <w:szCs w:val="17"/>
        </w:rPr>
      </w:pPr>
    </w:p>
    <w:p w14:paraId="75C63FAE" w14:textId="77777777" w:rsidR="009418A7" w:rsidRDefault="001D2D27" w:rsidP="00844D6D">
      <w:pPr>
        <w:pStyle w:val="CEABullet-Level1"/>
        <w:numPr>
          <w:ilvl w:val="0"/>
          <w:numId w:val="0"/>
        </w:numPr>
        <w:rPr>
          <w:b/>
          <w:bCs/>
          <w:szCs w:val="17"/>
        </w:rPr>
      </w:pPr>
      <w:r w:rsidRPr="009837B6">
        <w:rPr>
          <w:b/>
          <w:bCs/>
          <w:szCs w:val="17"/>
        </w:rPr>
        <w:t xml:space="preserve">Reinsurance business model </w:t>
      </w:r>
    </w:p>
    <w:p w14:paraId="6AFB30AC" w14:textId="77777777" w:rsidR="00EB27B4" w:rsidRDefault="00211970" w:rsidP="00844D6D">
      <w:pPr>
        <w:pStyle w:val="CEABullet-Level1"/>
        <w:numPr>
          <w:ilvl w:val="0"/>
          <w:numId w:val="0"/>
        </w:numPr>
        <w:rPr>
          <w:szCs w:val="17"/>
        </w:rPr>
      </w:pPr>
      <w:r w:rsidRPr="009837B6">
        <w:rPr>
          <w:szCs w:val="17"/>
        </w:rPr>
        <w:t xml:space="preserve">Reinsurance is a business-driven commercial transaction that is both functionally and economically integrated with the writing of primary insurance. </w:t>
      </w:r>
      <w:r w:rsidR="00A911FF" w:rsidRPr="009837B6">
        <w:rPr>
          <w:szCs w:val="17"/>
        </w:rPr>
        <w:t xml:space="preserve">It </w:t>
      </w:r>
      <w:r w:rsidRPr="009837B6">
        <w:rPr>
          <w:szCs w:val="17"/>
        </w:rPr>
        <w:t xml:space="preserve">is a necessity from a business perspective since it provides a risk diversification and thus reduces the required capital of the primary insurer. </w:t>
      </w:r>
      <w:r w:rsidR="00701B69" w:rsidRPr="009837B6">
        <w:rPr>
          <w:szCs w:val="17"/>
        </w:rPr>
        <w:t xml:space="preserve">It is, by design, </w:t>
      </w:r>
      <w:r w:rsidR="008C5AB9" w:rsidRPr="009837B6">
        <w:rPr>
          <w:szCs w:val="17"/>
        </w:rPr>
        <w:t>an international business with significant local presence, due to regulatory requirements or mere strategic interest.</w:t>
      </w:r>
      <w:r w:rsidR="00B06020" w:rsidRPr="009837B6">
        <w:rPr>
          <w:szCs w:val="17"/>
        </w:rPr>
        <w:t xml:space="preserve"> Beyond regulatory requirements, large reinsurers are global companies, and it is part of their business strategy to have an effective local presence on the markets that count in their business model.</w:t>
      </w:r>
      <w:r w:rsidR="007A4BD6" w:rsidRPr="009837B6">
        <w:rPr>
          <w:szCs w:val="17"/>
        </w:rPr>
        <w:t xml:space="preserve"> Pooling risks across markets, at an international level, is the best way of mitigating losses due to major claims or natural catastrophes that may arise in a specific area of the world. </w:t>
      </w:r>
      <w:r w:rsidRPr="009837B6">
        <w:rPr>
          <w:szCs w:val="17"/>
        </w:rPr>
        <w:t>The law of large numbers means that an insurer’s risks must be aggregated and pooled but the concentration of risk in a single jurisdiction will overwhelm the economic capacity of any single company, or even economy, to manage that risk.</w:t>
      </w:r>
      <w:r w:rsidR="00B06020" w:rsidRPr="009837B6">
        <w:rPr>
          <w:szCs w:val="17"/>
        </w:rPr>
        <w:t xml:space="preserve"> </w:t>
      </w:r>
    </w:p>
    <w:p w14:paraId="783BF2DC" w14:textId="77777777" w:rsidR="00EB27B4" w:rsidRDefault="00EB27B4" w:rsidP="00844D6D">
      <w:pPr>
        <w:pStyle w:val="CEABullet-Level1"/>
        <w:numPr>
          <w:ilvl w:val="0"/>
          <w:numId w:val="0"/>
        </w:numPr>
        <w:rPr>
          <w:szCs w:val="17"/>
        </w:rPr>
      </w:pPr>
    </w:p>
    <w:p w14:paraId="4BE3E4EB" w14:textId="77777777" w:rsidR="00C7297F" w:rsidRDefault="00211970" w:rsidP="00844D6D">
      <w:pPr>
        <w:pStyle w:val="CEABullet-Level1"/>
        <w:numPr>
          <w:ilvl w:val="0"/>
          <w:numId w:val="0"/>
        </w:numPr>
        <w:rPr>
          <w:b/>
          <w:bCs/>
          <w:szCs w:val="17"/>
        </w:rPr>
      </w:pPr>
      <w:r w:rsidRPr="009837B6">
        <w:rPr>
          <w:b/>
          <w:bCs/>
          <w:szCs w:val="17"/>
        </w:rPr>
        <w:t>Reinsurance vs. captives</w:t>
      </w:r>
    </w:p>
    <w:p w14:paraId="3E27FCB5" w14:textId="125B193D" w:rsidR="00EB27B4" w:rsidRDefault="00211970" w:rsidP="00844D6D">
      <w:pPr>
        <w:pStyle w:val="CEABullet-Level1"/>
        <w:numPr>
          <w:ilvl w:val="0"/>
          <w:numId w:val="0"/>
        </w:numPr>
        <w:rPr>
          <w:szCs w:val="17"/>
        </w:rPr>
      </w:pPr>
      <w:r w:rsidRPr="009837B6">
        <w:rPr>
          <w:szCs w:val="17"/>
        </w:rPr>
        <w:t>The reinsurance business model of globally operating insurance companies is not comparable to captives. A captive on the one hand typically provides insurance policies exclusively or almost exclusively for risks of non-</w:t>
      </w:r>
      <w:r w:rsidRPr="009837B6">
        <w:rPr>
          <w:szCs w:val="17"/>
        </w:rPr>
        <w:lastRenderedPageBreak/>
        <w:t xml:space="preserve">financial entities of the MNE group to which it belongs. A reinsurance entity on the other hand provides reinsurance for risks of unrelated parties that are insured by other entities of the MNE group to which it belongs. Usually, besides providing intra group reinsurance to other group members, the reinsurer of an insurance MNE group has predominantly direct business with third party customers. </w:t>
      </w:r>
      <w:r w:rsidR="00FB38D4" w:rsidRPr="009837B6">
        <w:rPr>
          <w:szCs w:val="17"/>
        </w:rPr>
        <w:t xml:space="preserve">As insurers, </w:t>
      </w:r>
      <w:r w:rsidRPr="009837B6">
        <w:rPr>
          <w:szCs w:val="17"/>
        </w:rPr>
        <w:t xml:space="preserve">the differentiation between reinsurance and captives in the consultation document </w:t>
      </w:r>
      <w:r w:rsidR="00EF40B5" w:rsidRPr="009837B6">
        <w:rPr>
          <w:szCs w:val="17"/>
        </w:rPr>
        <w:t>appears</w:t>
      </w:r>
      <w:r w:rsidRPr="009837B6">
        <w:rPr>
          <w:szCs w:val="17"/>
        </w:rPr>
        <w:t xml:space="preserve"> appropriate to differ between these two business models. </w:t>
      </w:r>
    </w:p>
    <w:p w14:paraId="3E9CC38E" w14:textId="77777777" w:rsidR="00EB27B4" w:rsidRDefault="00EB27B4" w:rsidP="00844D6D">
      <w:pPr>
        <w:pStyle w:val="CEABullet-Level1"/>
        <w:numPr>
          <w:ilvl w:val="0"/>
          <w:numId w:val="0"/>
        </w:numPr>
        <w:rPr>
          <w:szCs w:val="17"/>
        </w:rPr>
      </w:pPr>
    </w:p>
    <w:p w14:paraId="07D19063" w14:textId="77777777" w:rsidR="00EB27B4" w:rsidRDefault="00211970" w:rsidP="00844D6D">
      <w:pPr>
        <w:pStyle w:val="CEABullet-Level1"/>
        <w:numPr>
          <w:ilvl w:val="0"/>
          <w:numId w:val="0"/>
        </w:numPr>
        <w:rPr>
          <w:szCs w:val="17"/>
        </w:rPr>
      </w:pPr>
      <w:r w:rsidRPr="009837B6">
        <w:rPr>
          <w:b/>
          <w:bCs/>
          <w:szCs w:val="17"/>
        </w:rPr>
        <w:t>Connection between local sales and profits:</w:t>
      </w:r>
      <w:r w:rsidRPr="009837B6">
        <w:rPr>
          <w:szCs w:val="17"/>
        </w:rPr>
        <w:t xml:space="preserve"> Profits are highly volatile depending on claims. If profits are generated in a certain jurisdiction, this does not directly depend on the customer base or the quality of the infrastructure in the market jurisdiction but often on factors beyond the control of the market jurisdiction e. g. the absence of a natural disaster. Hence, the occurrence of a profit or loss cannot be credited to the market state but is, simply put, largely a matter of coincidence. Consequently, there is only a weak connection between excess profits of the group - if any – and sales in a given market jurisdiction. This becomes more obvious where any excess profit of the group would be (partially) allocated to a market jurisdiction in which the company generates considerable revenues but incurs a loss resulting from a natural disaster.</w:t>
      </w:r>
    </w:p>
    <w:p w14:paraId="52D3524E" w14:textId="77777777" w:rsidR="00EB27B4" w:rsidRDefault="00EB27B4" w:rsidP="00844D6D">
      <w:pPr>
        <w:pStyle w:val="CEABullet-Level1"/>
        <w:numPr>
          <w:ilvl w:val="0"/>
          <w:numId w:val="0"/>
        </w:numPr>
        <w:rPr>
          <w:szCs w:val="17"/>
        </w:rPr>
      </w:pPr>
    </w:p>
    <w:p w14:paraId="16ADDB67" w14:textId="0D9CC8E3" w:rsidR="00211970" w:rsidRPr="009837B6" w:rsidRDefault="00211970" w:rsidP="00844D6D">
      <w:pPr>
        <w:pStyle w:val="CEABullet-Level1"/>
        <w:numPr>
          <w:ilvl w:val="0"/>
          <w:numId w:val="0"/>
        </w:numPr>
        <w:rPr>
          <w:szCs w:val="17"/>
        </w:rPr>
      </w:pPr>
      <w:r w:rsidRPr="009837B6">
        <w:rPr>
          <w:b/>
          <w:bCs/>
          <w:szCs w:val="17"/>
        </w:rPr>
        <w:t>Regulatory requirement of local presence</w:t>
      </w:r>
      <w:r w:rsidRPr="009837B6">
        <w:rPr>
          <w:szCs w:val="17"/>
        </w:rPr>
        <w:t xml:space="preserve">: From the OECD Publication </w:t>
      </w:r>
      <w:r w:rsidRPr="009837B6">
        <w:rPr>
          <w:i/>
          <w:iCs/>
          <w:szCs w:val="17"/>
        </w:rPr>
        <w:t>“The Contribution of Reinsurance Markets to Managing Catastrophe Risk“</w:t>
      </w:r>
      <w:r w:rsidRPr="009837B6">
        <w:rPr>
          <w:szCs w:val="17"/>
        </w:rPr>
        <w:t xml:space="preserve"> (</w:t>
      </w:r>
      <w:hyperlink r:id="rId10" w:history="1">
        <w:r w:rsidRPr="009837B6">
          <w:rPr>
            <w:rStyle w:val="Hypertextovprepojenie"/>
            <w:rFonts w:cs="Arial"/>
            <w:szCs w:val="17"/>
          </w:rPr>
          <w:t>https://www.oecd.org/finance/the-contribution-of-reinsurance-markets-to-managing-catastrophe-risk.pdf</w:t>
        </w:r>
      </w:hyperlink>
      <w:r w:rsidRPr="009837B6">
        <w:rPr>
          <w:szCs w:val="17"/>
        </w:rPr>
        <w:t>) the following key points and extracts highlight the regulative requirements of the reinsurers:</w:t>
      </w:r>
    </w:p>
    <w:p w14:paraId="26C6BBA3" w14:textId="7320994A" w:rsidR="00211970" w:rsidRPr="009837B6" w:rsidRDefault="00211970" w:rsidP="00844D6D">
      <w:pPr>
        <w:pStyle w:val="CEABullet-Level1"/>
      </w:pPr>
      <w:r w:rsidRPr="009837B6">
        <w:t xml:space="preserve">Whilst a reinsurer may often be required by some local jurisdictions to have some form of local presence or pledge local assets, this will not always be the case.  The regulator of the reinsurer´s client – the primary insurer - in the local market will regulate and supervise reinsurance transactions “with the aim of mitigating the counterparty and executions risks that could materialise as a result of risk transfer to reinsurers without a local presence or locally-based assets” </w:t>
      </w:r>
      <w:r w:rsidR="005A4BAF">
        <w:t xml:space="preserve">(on </w:t>
      </w:r>
      <w:r w:rsidRPr="009837B6">
        <w:t>p</w:t>
      </w:r>
      <w:r w:rsidR="005A4BAF">
        <w:t>.</w:t>
      </w:r>
      <w:r w:rsidRPr="009837B6">
        <w:t>7</w:t>
      </w:r>
      <w:r w:rsidR="005A4BAF">
        <w:t>)</w:t>
      </w:r>
      <w:r w:rsidRPr="009837B6">
        <w:t xml:space="preserve">.  </w:t>
      </w:r>
    </w:p>
    <w:p w14:paraId="31191F0D" w14:textId="77777777" w:rsidR="00211970" w:rsidRPr="009837B6" w:rsidRDefault="00211970" w:rsidP="00844D6D">
      <w:pPr>
        <w:pStyle w:val="CEABullet-Level1"/>
      </w:pPr>
      <w:r w:rsidRPr="009837B6">
        <w:t xml:space="preserve">On page 44 the report says: Regulators or supervisors in many (if not most) jurisdictions have imposed additional measures or differing requirements (such as different levels of capital credit for risk transfer) applicable to the transfer of risk to foreign reinsurance companies, usually in recognition of the reduced level of access to – and oversight of – reinsurers (and the assets backing reinsurance liabilities) without a local presence. These include: </w:t>
      </w:r>
    </w:p>
    <w:p w14:paraId="2BC91076" w14:textId="21D344CF" w:rsidR="00211970" w:rsidRPr="009837B6" w:rsidRDefault="00211970" w:rsidP="00844D6D">
      <w:pPr>
        <w:pStyle w:val="CEABullet-Level2"/>
      </w:pPr>
      <w:r w:rsidRPr="009837B6">
        <w:t xml:space="preserve">Measures that require or encourage the transfer of risk to reinsurers with some form of local presence or local recognition. For example, </w:t>
      </w:r>
      <w:r w:rsidR="005A4BAF" w:rsidRPr="009837B6">
        <w:t>several</w:t>
      </w:r>
      <w:r w:rsidRPr="009837B6">
        <w:t xml:space="preserve"> jurisdictions require some form of registration to assume business from a domestic cedant (including specific criteria that must be met, usually related to financial strength) while others limit (or altogether prohibit) risk transfer to a reinsurer without a local presence. In some countries, reinsurers without a local presence may not be able to market their policies directly to local cedants.  </w:t>
      </w:r>
    </w:p>
    <w:p w14:paraId="5B89576E" w14:textId="255DE510" w:rsidR="00211970" w:rsidRPr="009837B6" w:rsidRDefault="00211970" w:rsidP="00844D6D">
      <w:pPr>
        <w:pStyle w:val="CEABullet-Level2"/>
      </w:pPr>
      <w:r w:rsidRPr="009837B6">
        <w:t xml:space="preserve">Measures that require or encourage the pledging of assets in the cedant jurisdiction (local assets). </w:t>
      </w:r>
      <w:r w:rsidR="005A4BAF" w:rsidRPr="009837B6">
        <w:t>Several</w:t>
      </w:r>
      <w:r w:rsidRPr="009837B6">
        <w:t xml:space="preserve"> countries require that collateral be provided for transactions involving reinsurers without a local presence (or require that the transactions be collateralised in order to benefit from capital relief). In a few countries, branches of foreign reinsurers are not permitted meaning that foreign reinsurers wishing to assume risks in that jurisdiction would need to establish a (capitalised) subsidiary.</w:t>
      </w:r>
    </w:p>
    <w:p w14:paraId="3EEC0BA0" w14:textId="3561529B" w:rsidR="00211970" w:rsidRPr="009837B6" w:rsidRDefault="00211970" w:rsidP="00844D6D">
      <w:pPr>
        <w:pStyle w:val="CEABullet-Level2"/>
      </w:pPr>
      <w:r w:rsidRPr="009837B6">
        <w:t xml:space="preserve">Measures that require or encourage local retention or otherwise limit the amount of premiums ceded to foreign reinsurers (or foreign reinsurers without a local presence). Some jurisdictions provide different levels of capital credit for transactions involving reinsurers without a local presence. A number of jurisdictions, particularly in non-OECD emerging markets, have imposed local retention requirements and/or requirements that reinsurance business be initially offered to reinsurers with a local presence (or a </w:t>
      </w:r>
      <w:r w:rsidR="005A4BAF" w:rsidRPr="009837B6">
        <w:t>publicly owned</w:t>
      </w:r>
      <w:r w:rsidRPr="009837B6">
        <w:t xml:space="preserve"> domestic reinsurer).</w:t>
      </w:r>
    </w:p>
    <w:p w14:paraId="0086CBDA" w14:textId="77777777" w:rsidR="00211970" w:rsidRDefault="00211970" w:rsidP="00844D6D">
      <w:pPr>
        <w:rPr>
          <w:rFonts w:cs="Arial"/>
          <w:szCs w:val="17"/>
        </w:rPr>
      </w:pPr>
    </w:p>
    <w:p w14:paraId="2F9961D2" w14:textId="77777777" w:rsidR="0054727A" w:rsidRPr="009837B6" w:rsidRDefault="0054727A" w:rsidP="00844D6D">
      <w:pPr>
        <w:rPr>
          <w:rFonts w:cs="Arial"/>
          <w:szCs w:val="17"/>
        </w:rPr>
      </w:pPr>
    </w:p>
    <w:p w14:paraId="46297A88" w14:textId="77777777" w:rsidR="00844D6D" w:rsidRDefault="00211970" w:rsidP="00844D6D">
      <w:pPr>
        <w:pStyle w:val="CEABullet-Level1"/>
        <w:numPr>
          <w:ilvl w:val="0"/>
          <w:numId w:val="0"/>
        </w:numPr>
        <w:rPr>
          <w:b/>
          <w:bCs/>
          <w:szCs w:val="17"/>
        </w:rPr>
      </w:pPr>
      <w:r w:rsidRPr="009837B6">
        <w:rPr>
          <w:b/>
          <w:bCs/>
          <w:szCs w:val="17"/>
        </w:rPr>
        <w:lastRenderedPageBreak/>
        <w:t>Group operation set-up</w:t>
      </w:r>
    </w:p>
    <w:p w14:paraId="70DE7C9F" w14:textId="402E2AB7" w:rsidR="00EB27B4" w:rsidRDefault="00211970" w:rsidP="00844D6D">
      <w:pPr>
        <w:pStyle w:val="CEABullet-Level1"/>
        <w:numPr>
          <w:ilvl w:val="0"/>
          <w:numId w:val="0"/>
        </w:numPr>
        <w:rPr>
          <w:szCs w:val="17"/>
        </w:rPr>
      </w:pPr>
      <w:r w:rsidRPr="009837B6">
        <w:rPr>
          <w:szCs w:val="17"/>
        </w:rPr>
        <w:t xml:space="preserve">Most reinsurers operate globally through a great number of subsidiaries and permanent establishments which are located in the more important insurance markets. As a matter of principle, most of the operational reinsurance functions are managed by the group entity which assumes the underwritten risk. Such entity is usually responsible for a certain region, i. e. writes contracts in other jurisdictions in the region. Often, the insurance contracts are tailor made which requires a presence not necessarily within the same jurisdiction but at least in the region to have close contact to clients (primary insurers) and to understand their needs and their risks. </w:t>
      </w:r>
    </w:p>
    <w:p w14:paraId="16984033" w14:textId="0C527167" w:rsidR="00211970" w:rsidRPr="009837B6" w:rsidRDefault="00211970" w:rsidP="00844D6D">
      <w:pPr>
        <w:pStyle w:val="CEABullet-Level1"/>
        <w:numPr>
          <w:ilvl w:val="0"/>
          <w:numId w:val="0"/>
        </w:numPr>
        <w:rPr>
          <w:rFonts w:cs="Arial"/>
          <w:szCs w:val="17"/>
        </w:rPr>
      </w:pPr>
      <w:r w:rsidRPr="009837B6">
        <w:rPr>
          <w:rFonts w:cs="Arial"/>
          <w:szCs w:val="17"/>
        </w:rPr>
        <w:t>Contrary to primary insurers, it is intrinsic to the reinsurance business to write reinsurance contracts not only with customers in the residence jurisdiction of the reinsurer but across several jurisdictions. The reinsurance business is based on the capacity to diversify risks across geographies, perils and lines of business and thus reducing the amount of capital needed to cover potential losses.</w:t>
      </w:r>
    </w:p>
    <w:p w14:paraId="69E39AA0" w14:textId="77777777" w:rsidR="00211970" w:rsidRPr="009837B6" w:rsidRDefault="00211970" w:rsidP="00844D6D">
      <w:pPr>
        <w:rPr>
          <w:rFonts w:cs="Arial"/>
          <w:szCs w:val="17"/>
        </w:rPr>
      </w:pPr>
    </w:p>
    <w:p w14:paraId="5BAFCB82" w14:textId="2886BE23" w:rsidR="00211970" w:rsidRPr="009837B6" w:rsidRDefault="00844D6D" w:rsidP="00844D6D">
      <w:pPr>
        <w:rPr>
          <w:rFonts w:cs="Arial"/>
          <w:b/>
          <w:bCs/>
          <w:szCs w:val="17"/>
        </w:rPr>
      </w:pPr>
      <w:r>
        <w:rPr>
          <w:rFonts w:cs="Arial"/>
          <w:b/>
          <w:bCs/>
          <w:szCs w:val="17"/>
        </w:rPr>
        <w:t>Other t</w:t>
      </w:r>
      <w:r w:rsidR="00211970" w:rsidRPr="009837B6">
        <w:rPr>
          <w:rFonts w:cs="Arial"/>
          <w:b/>
          <w:bCs/>
          <w:szCs w:val="17"/>
        </w:rPr>
        <w:t xml:space="preserve">echnical Comments on the Consultation Document </w:t>
      </w:r>
    </w:p>
    <w:p w14:paraId="5EEADC9E" w14:textId="77777777" w:rsidR="00C75A54" w:rsidRDefault="00211970" w:rsidP="001400A7">
      <w:pPr>
        <w:pStyle w:val="CEABullet-Level1"/>
        <w:rPr>
          <w:szCs w:val="17"/>
        </w:rPr>
      </w:pPr>
      <w:r w:rsidRPr="00C75A54">
        <w:rPr>
          <w:szCs w:val="17"/>
        </w:rPr>
        <w:t xml:space="preserve">According to the regulation on Step 1 of the application of the regulated financial services exclusion provided for on p. 6 of the consultation, the revenue and profit margin must be determined both at the level of the entire group on a consolidated basis and also at the level of the "disclosed segments". However, a definition of this term is not included in the consultation. </w:t>
      </w:r>
      <w:r w:rsidR="00EF40B5" w:rsidRPr="00C75A54">
        <w:rPr>
          <w:szCs w:val="17"/>
        </w:rPr>
        <w:t xml:space="preserve">Insurance Europe </w:t>
      </w:r>
      <w:r w:rsidRPr="00C75A54">
        <w:rPr>
          <w:szCs w:val="17"/>
        </w:rPr>
        <w:t>understand</w:t>
      </w:r>
      <w:r w:rsidR="00EF40B5" w:rsidRPr="00C75A54">
        <w:rPr>
          <w:szCs w:val="17"/>
        </w:rPr>
        <w:t>s</w:t>
      </w:r>
      <w:r w:rsidRPr="00C75A54">
        <w:rPr>
          <w:szCs w:val="17"/>
        </w:rPr>
        <w:t xml:space="preserve"> that there will be a separate consultation on covered segments. Nevertheless, </w:t>
      </w:r>
      <w:r w:rsidR="00610EA2" w:rsidRPr="00C75A54">
        <w:rPr>
          <w:szCs w:val="17"/>
        </w:rPr>
        <w:t xml:space="preserve">it can be useful to </w:t>
      </w:r>
      <w:r w:rsidRPr="00C75A54">
        <w:rPr>
          <w:szCs w:val="17"/>
        </w:rPr>
        <w:t xml:space="preserve">already point out </w:t>
      </w:r>
      <w:r w:rsidR="00610EA2" w:rsidRPr="00C75A54">
        <w:rPr>
          <w:szCs w:val="17"/>
        </w:rPr>
        <w:t xml:space="preserve">the message that </w:t>
      </w:r>
      <w:r w:rsidRPr="00C75A54">
        <w:rPr>
          <w:szCs w:val="17"/>
        </w:rPr>
        <w:t xml:space="preserve">"disclosed segments" refers to the segmentation provided for in IFRS reporting. </w:t>
      </w:r>
      <w:r w:rsidR="00610EA2" w:rsidRPr="00C75A54">
        <w:rPr>
          <w:szCs w:val="17"/>
        </w:rPr>
        <w:t xml:space="preserve">Insurers </w:t>
      </w:r>
      <w:r w:rsidRPr="00C75A54">
        <w:rPr>
          <w:szCs w:val="17"/>
        </w:rPr>
        <w:t>therefore ask for clarification that "disclosed segments" means the segmentation to be performed in accordance with IFRS. Otherwise, an explicit definition</w:t>
      </w:r>
      <w:r w:rsidR="003C7F80" w:rsidRPr="00C75A54">
        <w:rPr>
          <w:szCs w:val="17"/>
        </w:rPr>
        <w:t xml:space="preserve"> would be preferable and should </w:t>
      </w:r>
      <w:r w:rsidRPr="00C75A54">
        <w:rPr>
          <w:szCs w:val="17"/>
        </w:rPr>
        <w:t>however</w:t>
      </w:r>
      <w:r w:rsidR="009A7097" w:rsidRPr="00C75A54">
        <w:rPr>
          <w:szCs w:val="17"/>
        </w:rPr>
        <w:t xml:space="preserve"> </w:t>
      </w:r>
      <w:r w:rsidRPr="00C75A54">
        <w:rPr>
          <w:szCs w:val="17"/>
        </w:rPr>
        <w:t>also be implementable using IFRS reporting.</w:t>
      </w:r>
      <w:r w:rsidRPr="009837B6">
        <w:rPr>
          <w:szCs w:val="17"/>
        </w:rPr>
        <w:t xml:space="preserve"> </w:t>
      </w:r>
    </w:p>
    <w:p w14:paraId="726E5A5F" w14:textId="77777777" w:rsidR="00C75A54" w:rsidRDefault="00C75A54" w:rsidP="00C75A54">
      <w:pPr>
        <w:pStyle w:val="CEABullet-Level1"/>
        <w:numPr>
          <w:ilvl w:val="0"/>
          <w:numId w:val="0"/>
        </w:numPr>
        <w:ind w:left="720"/>
        <w:rPr>
          <w:szCs w:val="17"/>
        </w:rPr>
      </w:pPr>
    </w:p>
    <w:p w14:paraId="5B59C6B9" w14:textId="731E74A9" w:rsidR="008676A0" w:rsidRPr="00C75A54" w:rsidRDefault="008676A0" w:rsidP="001400A7">
      <w:pPr>
        <w:pStyle w:val="CEABullet-Level1"/>
        <w:rPr>
          <w:szCs w:val="17"/>
        </w:rPr>
      </w:pPr>
      <w:r w:rsidRPr="00C75A54">
        <w:rPr>
          <w:szCs w:val="17"/>
        </w:rPr>
        <w:t>The revenue threshold test for Amount A – Step 2 (</w:t>
      </w:r>
      <w:r w:rsidR="009A7097" w:rsidRPr="00C75A54">
        <w:rPr>
          <w:szCs w:val="17"/>
        </w:rPr>
        <w:t xml:space="preserve">paragraphs </w:t>
      </w:r>
      <w:r w:rsidRPr="00C75A54">
        <w:rPr>
          <w:szCs w:val="17"/>
        </w:rPr>
        <w:t xml:space="preserve">12 to 14) is designed to be applied by taking the consolidated Group revenue and subtracting third party revenue derived from Regulated Financial Services. </w:t>
      </w:r>
      <w:r w:rsidR="00C75A54" w:rsidRPr="00C75A54">
        <w:rPr>
          <w:szCs w:val="17"/>
        </w:rPr>
        <w:t>As a rule</w:t>
      </w:r>
      <w:r w:rsidRPr="00C75A54">
        <w:rPr>
          <w:szCs w:val="17"/>
        </w:rPr>
        <w:t xml:space="preserve">, the simplest possible test will always be the best course of action for Pillar One rules to be effective. </w:t>
      </w:r>
    </w:p>
    <w:p w14:paraId="1E297E47" w14:textId="11FEC92C" w:rsidR="008676A0" w:rsidRPr="009837B6" w:rsidRDefault="00EC3C76" w:rsidP="00844D6D">
      <w:pPr>
        <w:pStyle w:val="Odsekzoznamu"/>
        <w:jc w:val="both"/>
        <w:rPr>
          <w:rFonts w:ascii="Verdana" w:eastAsia="Times New Roman" w:hAnsi="Verdana" w:cs="Arial"/>
          <w:sz w:val="17"/>
          <w:szCs w:val="17"/>
          <w:lang w:val="en-GB"/>
        </w:rPr>
      </w:pPr>
      <w:r w:rsidRPr="009837B6">
        <w:rPr>
          <w:rFonts w:ascii="Verdana" w:eastAsia="Times New Roman" w:hAnsi="Verdana" w:cs="Arial"/>
          <w:sz w:val="17"/>
          <w:szCs w:val="17"/>
          <w:lang w:val="en-GB"/>
        </w:rPr>
        <w:t>Insurers would like to highlight that t</w:t>
      </w:r>
      <w:r w:rsidR="008676A0" w:rsidRPr="009837B6">
        <w:rPr>
          <w:rFonts w:ascii="Verdana" w:eastAsia="Times New Roman" w:hAnsi="Verdana" w:cs="Arial"/>
          <w:sz w:val="17"/>
          <w:szCs w:val="17"/>
          <w:lang w:val="en-GB"/>
        </w:rPr>
        <w:t xml:space="preserve">he granularity of date required to conduct revenue threshold tests such as those proposed in paragraphs 12 to 14 are not available currently in the consolidated Group financial statement. Developing a new set of data solely for the purposes of computing the revenue threshold for Amount A each year would be particularly cumbersome, </w:t>
      </w:r>
      <w:r w:rsidR="00C75A54" w:rsidRPr="009837B6">
        <w:rPr>
          <w:rFonts w:ascii="Verdana" w:eastAsia="Times New Roman" w:hAnsi="Verdana" w:cs="Arial"/>
          <w:sz w:val="17"/>
          <w:szCs w:val="17"/>
          <w:lang w:val="en-GB"/>
        </w:rPr>
        <w:t>even more</w:t>
      </w:r>
      <w:r w:rsidR="008676A0" w:rsidRPr="009837B6">
        <w:rPr>
          <w:rFonts w:ascii="Verdana" w:eastAsia="Times New Roman" w:hAnsi="Verdana" w:cs="Arial"/>
          <w:sz w:val="17"/>
          <w:szCs w:val="17"/>
          <w:lang w:val="en-GB"/>
        </w:rPr>
        <w:t xml:space="preserve"> as there is little probability that a Financial Group would have enough in-scope activity to meet the threshold.</w:t>
      </w:r>
    </w:p>
    <w:p w14:paraId="6F8251CC" w14:textId="77777777" w:rsidR="00C75A54" w:rsidRDefault="008676A0" w:rsidP="00C75A54">
      <w:pPr>
        <w:pStyle w:val="Odsekzoznamu"/>
        <w:jc w:val="both"/>
        <w:rPr>
          <w:rFonts w:ascii="Verdana" w:eastAsia="Times New Roman" w:hAnsi="Verdana" w:cs="Arial"/>
          <w:sz w:val="17"/>
          <w:szCs w:val="17"/>
          <w:lang w:val="en-GB"/>
        </w:rPr>
      </w:pPr>
      <w:r w:rsidRPr="009837B6">
        <w:rPr>
          <w:rFonts w:ascii="Verdana" w:eastAsia="Times New Roman" w:hAnsi="Verdana" w:cs="Arial"/>
          <w:sz w:val="17"/>
          <w:szCs w:val="17"/>
          <w:lang w:val="en-GB"/>
        </w:rPr>
        <w:t>Therefore, predominantly financial MNEs comprising mostly Regulated Financial Institutions as defined per the public consultation document should be deemed excluded from the scope of Amount A, except in the event of a tax audit. In this case, the deemed excluded financial group would have to run the revenue threshold test to justify the exclusion from the scope of Amount A.</w:t>
      </w:r>
    </w:p>
    <w:p w14:paraId="70A60CE9" w14:textId="29384A2C" w:rsidR="008676A0" w:rsidRDefault="000D39CC" w:rsidP="00C75A54">
      <w:pPr>
        <w:pStyle w:val="CEABullet-Level1"/>
      </w:pPr>
      <w:r w:rsidRPr="009837B6">
        <w:t>A</w:t>
      </w:r>
      <w:r w:rsidR="008676A0" w:rsidRPr="009837B6">
        <w:t>n Entity-by-Entity analysis would only be conducted in the event of a tax audit, to justify and confirm the presumption of exclusion</w:t>
      </w:r>
      <w:r w:rsidRPr="009837B6">
        <w:t>, in line with the previous comment</w:t>
      </w:r>
      <w:r w:rsidR="008676A0" w:rsidRPr="009837B6">
        <w:t>.</w:t>
      </w:r>
    </w:p>
    <w:p w14:paraId="206E7074" w14:textId="77777777" w:rsidR="00C75A54" w:rsidRPr="009837B6" w:rsidRDefault="00C75A54" w:rsidP="00C75A54">
      <w:pPr>
        <w:pStyle w:val="CEABullet-Level1"/>
        <w:numPr>
          <w:ilvl w:val="0"/>
          <w:numId w:val="0"/>
        </w:numPr>
        <w:ind w:left="720"/>
        <w:rPr>
          <w:szCs w:val="17"/>
        </w:rPr>
      </w:pPr>
    </w:p>
    <w:p w14:paraId="7EA1F2B7" w14:textId="118FA8F4" w:rsidR="00211970" w:rsidRDefault="00211970" w:rsidP="00844D6D">
      <w:pPr>
        <w:pStyle w:val="CEABullet-Level1"/>
        <w:rPr>
          <w:szCs w:val="17"/>
        </w:rPr>
      </w:pPr>
      <w:r w:rsidRPr="009837B6">
        <w:rPr>
          <w:szCs w:val="17"/>
        </w:rPr>
        <w:t xml:space="preserve">In </w:t>
      </w:r>
      <w:r w:rsidR="00B43D49" w:rsidRPr="009837B6">
        <w:rPr>
          <w:szCs w:val="17"/>
        </w:rPr>
        <w:t>paragraph</w:t>
      </w:r>
      <w:r w:rsidRPr="009837B6">
        <w:rPr>
          <w:szCs w:val="17"/>
        </w:rPr>
        <w:t xml:space="preserve"> 14, two variants are presented which are intended to make it easier for financial services groups to carry out the necessary calculations in accordance with Step 2. For this purpose, the regulated financial institutions covered or, alternatively, the entities not covered by the exceptions must be identified. In IFRS financial reporting, however, no delimitation is made that explicitly corresponds to the definitions in Schedule G from p. 9 of the consultation. In accordance with </w:t>
      </w:r>
      <w:r w:rsidR="00B43D49" w:rsidRPr="009837B6">
        <w:rPr>
          <w:szCs w:val="17"/>
        </w:rPr>
        <w:t>paragraph</w:t>
      </w:r>
      <w:r w:rsidRPr="009837B6">
        <w:rPr>
          <w:szCs w:val="17"/>
        </w:rPr>
        <w:t xml:space="preserve"> 15, it is intended to provide a filtering function that is easy to apply and document. To achieve this goal, </w:t>
      </w:r>
      <w:r w:rsidR="000319B3" w:rsidRPr="009837B6">
        <w:rPr>
          <w:szCs w:val="17"/>
        </w:rPr>
        <w:t xml:space="preserve">Insurance Europe </w:t>
      </w:r>
      <w:r w:rsidRPr="009837B6">
        <w:rPr>
          <w:szCs w:val="17"/>
        </w:rPr>
        <w:t>suggest</w:t>
      </w:r>
      <w:r w:rsidR="000319B3" w:rsidRPr="009837B6">
        <w:rPr>
          <w:szCs w:val="17"/>
        </w:rPr>
        <w:t>s</w:t>
      </w:r>
      <w:r w:rsidRPr="009837B6">
        <w:rPr>
          <w:szCs w:val="17"/>
        </w:rPr>
        <w:t xml:space="preserve"> </w:t>
      </w:r>
      <w:r w:rsidR="00C75A54" w:rsidRPr="009837B6">
        <w:rPr>
          <w:szCs w:val="17"/>
        </w:rPr>
        <w:t>using</w:t>
      </w:r>
      <w:r w:rsidRPr="009837B6">
        <w:rPr>
          <w:szCs w:val="17"/>
        </w:rPr>
        <w:t xml:space="preserve"> the already existing categories for </w:t>
      </w:r>
      <w:r w:rsidR="00FD5BF3">
        <w:rPr>
          <w:szCs w:val="17"/>
        </w:rPr>
        <w:t>country-by-country</w:t>
      </w:r>
      <w:r w:rsidRPr="009837B6">
        <w:rPr>
          <w:szCs w:val="17"/>
        </w:rPr>
        <w:t xml:space="preserve"> reporting for the classification of the individual entities.</w:t>
      </w:r>
    </w:p>
    <w:p w14:paraId="3AC93F81" w14:textId="77777777" w:rsidR="00C75A54" w:rsidRDefault="00C75A54" w:rsidP="00C75A54">
      <w:pPr>
        <w:pStyle w:val="Odsekzoznamu"/>
        <w:rPr>
          <w:szCs w:val="17"/>
        </w:rPr>
      </w:pPr>
    </w:p>
    <w:p w14:paraId="75C0F796" w14:textId="77777777" w:rsidR="00C75A54" w:rsidRPr="009837B6" w:rsidRDefault="00C75A54" w:rsidP="00C75A54">
      <w:pPr>
        <w:pStyle w:val="CEABullet-Level1"/>
        <w:numPr>
          <w:ilvl w:val="0"/>
          <w:numId w:val="0"/>
        </w:numPr>
        <w:ind w:left="720"/>
        <w:rPr>
          <w:szCs w:val="17"/>
        </w:rPr>
      </w:pPr>
    </w:p>
    <w:p w14:paraId="25E9406F" w14:textId="53A1B621" w:rsidR="00211970" w:rsidRDefault="00C75A54" w:rsidP="00844D6D">
      <w:pPr>
        <w:pStyle w:val="CEABullet-Level1"/>
        <w:rPr>
          <w:szCs w:val="17"/>
        </w:rPr>
      </w:pPr>
      <w:r w:rsidRPr="009837B6">
        <w:rPr>
          <w:szCs w:val="17"/>
        </w:rPr>
        <w:lastRenderedPageBreak/>
        <w:t>To</w:t>
      </w:r>
      <w:r w:rsidR="00211970" w:rsidRPr="009837B6">
        <w:rPr>
          <w:szCs w:val="17"/>
        </w:rPr>
        <w:t xml:space="preserve"> enable a proper application of the definition on "RFI Service Entity", </w:t>
      </w:r>
      <w:r w:rsidR="000319B3" w:rsidRPr="009837B6">
        <w:rPr>
          <w:szCs w:val="17"/>
        </w:rPr>
        <w:t xml:space="preserve">insurance undertakings </w:t>
      </w:r>
      <w:r w:rsidR="00211970" w:rsidRPr="009837B6">
        <w:rPr>
          <w:szCs w:val="17"/>
        </w:rPr>
        <w:t>ask for the inclusion of explanatory examples.</w:t>
      </w:r>
    </w:p>
    <w:p w14:paraId="62D39060" w14:textId="77777777" w:rsidR="003E3B3D" w:rsidRPr="009837B6" w:rsidRDefault="003E3B3D" w:rsidP="003E3B3D">
      <w:pPr>
        <w:pStyle w:val="CEABullet-Level1"/>
        <w:numPr>
          <w:ilvl w:val="0"/>
          <w:numId w:val="0"/>
        </w:numPr>
        <w:ind w:left="720"/>
        <w:rPr>
          <w:szCs w:val="17"/>
        </w:rPr>
      </w:pPr>
    </w:p>
    <w:p w14:paraId="5FE2997F" w14:textId="22888D7F" w:rsidR="003355A3" w:rsidRDefault="000319B3" w:rsidP="00844D6D">
      <w:pPr>
        <w:pStyle w:val="CEABullet-Level1"/>
        <w:rPr>
          <w:szCs w:val="17"/>
        </w:rPr>
      </w:pPr>
      <w:r w:rsidRPr="009837B6">
        <w:rPr>
          <w:szCs w:val="17"/>
        </w:rPr>
        <w:t>T</w:t>
      </w:r>
      <w:r w:rsidR="00211970" w:rsidRPr="009837B6">
        <w:rPr>
          <w:szCs w:val="17"/>
        </w:rPr>
        <w:t xml:space="preserve">he differentiation between captives and reinsurance business under </w:t>
      </w:r>
      <w:r w:rsidR="007615A5">
        <w:rPr>
          <w:szCs w:val="17"/>
        </w:rPr>
        <w:t>paragraph</w:t>
      </w:r>
      <w:r w:rsidR="00211970" w:rsidRPr="009837B6">
        <w:rPr>
          <w:szCs w:val="17"/>
        </w:rPr>
        <w:t xml:space="preserve"> 23 of the consultation document </w:t>
      </w:r>
      <w:r w:rsidRPr="009837B6">
        <w:rPr>
          <w:szCs w:val="17"/>
        </w:rPr>
        <w:t xml:space="preserve">is </w:t>
      </w:r>
      <w:r w:rsidR="00211970" w:rsidRPr="009837B6">
        <w:rPr>
          <w:szCs w:val="17"/>
        </w:rPr>
        <w:t xml:space="preserve">appropriate to differ between these two business models. For reasons of clarification, </w:t>
      </w:r>
      <w:r w:rsidRPr="009837B6">
        <w:rPr>
          <w:szCs w:val="17"/>
        </w:rPr>
        <w:t xml:space="preserve">insurers </w:t>
      </w:r>
      <w:r w:rsidR="00211970" w:rsidRPr="009837B6">
        <w:rPr>
          <w:szCs w:val="17"/>
        </w:rPr>
        <w:t xml:space="preserve">suggest confirming that intra-group-reinsurance within an insurance group is treated the same as reinsurance business with third parties as it is not comparable to captives (see also </w:t>
      </w:r>
      <w:r w:rsidR="0042423A" w:rsidRPr="009837B6">
        <w:rPr>
          <w:szCs w:val="17"/>
        </w:rPr>
        <w:t xml:space="preserve">the </w:t>
      </w:r>
      <w:r w:rsidR="00211970" w:rsidRPr="009837B6">
        <w:rPr>
          <w:szCs w:val="17"/>
        </w:rPr>
        <w:t>argumentation above).</w:t>
      </w:r>
    </w:p>
    <w:p w14:paraId="690F2F29" w14:textId="77777777" w:rsidR="003E3B3D" w:rsidRPr="009837B6" w:rsidRDefault="003E3B3D" w:rsidP="003E3B3D">
      <w:pPr>
        <w:pStyle w:val="CEABullet-Level1"/>
        <w:numPr>
          <w:ilvl w:val="0"/>
          <w:numId w:val="0"/>
        </w:numPr>
        <w:ind w:left="360"/>
        <w:rPr>
          <w:szCs w:val="17"/>
        </w:rPr>
      </w:pPr>
    </w:p>
    <w:p w14:paraId="28180A7D" w14:textId="016C2580" w:rsidR="003355A3" w:rsidRPr="003E3B3D" w:rsidRDefault="00B43D49" w:rsidP="003E3B3D">
      <w:pPr>
        <w:pStyle w:val="CEABullet-Level1"/>
        <w:rPr>
          <w:szCs w:val="17"/>
          <w:lang w:val="en-US"/>
        </w:rPr>
      </w:pPr>
      <w:r w:rsidRPr="009837B6">
        <w:rPr>
          <w:szCs w:val="17"/>
        </w:rPr>
        <w:t>The f</w:t>
      </w:r>
      <w:r w:rsidR="00CD0622" w:rsidRPr="009837B6">
        <w:rPr>
          <w:szCs w:val="17"/>
        </w:rPr>
        <w:t>ootnote 6 in paragraph 19 about Regulated Financial Service Entity is reiterating the alert on the diverging views within the TFDE regarding reinsurance. As reinsurance is part of the risk management in the insurance and reinsurance industry, the footnote should be removed to avoid any doubt on the exclusion of reinsurance from the scope of Amount A.</w:t>
      </w:r>
    </w:p>
    <w:p w14:paraId="45D283C5" w14:textId="77777777" w:rsidR="003E3B3D" w:rsidRPr="003E3B3D" w:rsidRDefault="003E3B3D" w:rsidP="003E3B3D">
      <w:pPr>
        <w:pStyle w:val="CEABullet-Level1"/>
        <w:numPr>
          <w:ilvl w:val="0"/>
          <w:numId w:val="0"/>
        </w:numPr>
        <w:rPr>
          <w:szCs w:val="17"/>
          <w:lang w:val="en-US"/>
        </w:rPr>
      </w:pPr>
    </w:p>
    <w:p w14:paraId="08203A57" w14:textId="19CAA461" w:rsidR="00EA2ADC" w:rsidRPr="009837B6" w:rsidRDefault="00205DAB" w:rsidP="00844D6D">
      <w:pPr>
        <w:pStyle w:val="CEABullet-Level1"/>
        <w:rPr>
          <w:szCs w:val="17"/>
        </w:rPr>
      </w:pPr>
      <w:r w:rsidRPr="009837B6">
        <w:rPr>
          <w:szCs w:val="17"/>
        </w:rPr>
        <w:t xml:space="preserve">The definition of “insurance contracts” in </w:t>
      </w:r>
      <w:r w:rsidR="00B43D49" w:rsidRPr="009837B6">
        <w:rPr>
          <w:szCs w:val="17"/>
        </w:rPr>
        <w:t>paragraph</w:t>
      </w:r>
      <w:r w:rsidRPr="009837B6">
        <w:rPr>
          <w:szCs w:val="17"/>
        </w:rPr>
        <w:t xml:space="preserve"> 29 is unnecessarily narrow and might not fully reflect the diverse insurance market. First</w:t>
      </w:r>
      <w:r w:rsidR="00B46FD2" w:rsidRPr="009837B6">
        <w:rPr>
          <w:szCs w:val="17"/>
        </w:rPr>
        <w:t>ly</w:t>
      </w:r>
      <w:r w:rsidRPr="009837B6">
        <w:rPr>
          <w:szCs w:val="17"/>
        </w:rPr>
        <w:t xml:space="preserve">, the payment of the issuer is not necessarily a money payment. </w:t>
      </w:r>
      <w:r w:rsidR="00B46FD2" w:rsidRPr="009837B6">
        <w:rPr>
          <w:szCs w:val="17"/>
        </w:rPr>
        <w:t xml:space="preserve">There are instances in which </w:t>
      </w:r>
      <w:r w:rsidRPr="009837B6">
        <w:rPr>
          <w:szCs w:val="17"/>
        </w:rPr>
        <w:t xml:space="preserve">insurance contracts </w:t>
      </w:r>
      <w:r w:rsidR="00B46FD2" w:rsidRPr="009837B6">
        <w:rPr>
          <w:szCs w:val="17"/>
        </w:rPr>
        <w:t xml:space="preserve">may </w:t>
      </w:r>
      <w:r w:rsidRPr="009837B6">
        <w:rPr>
          <w:szCs w:val="17"/>
        </w:rPr>
        <w:t>contain payment in kind instead of in cash. Second</w:t>
      </w:r>
      <w:r w:rsidR="00B46FD2" w:rsidRPr="009837B6">
        <w:rPr>
          <w:szCs w:val="17"/>
        </w:rPr>
        <w:t>ly</w:t>
      </w:r>
      <w:r w:rsidRPr="009837B6">
        <w:rPr>
          <w:szCs w:val="17"/>
        </w:rPr>
        <w:t xml:space="preserve">, insurance contracts can cover various types of risks. </w:t>
      </w:r>
      <w:r w:rsidR="00EA2ADC" w:rsidRPr="009837B6">
        <w:rPr>
          <w:szCs w:val="17"/>
        </w:rPr>
        <w:t>While t</w:t>
      </w:r>
      <w:r w:rsidRPr="009837B6">
        <w:rPr>
          <w:szCs w:val="17"/>
        </w:rPr>
        <w:t>he current definition is phrased in an exhaustive manner, as it says “…the occurrence of a specified contingency involving mortality, morbidity, accident, liability, or property loss risk”</w:t>
      </w:r>
      <w:r w:rsidR="00EA2ADC" w:rsidRPr="009837B6">
        <w:rPr>
          <w:szCs w:val="17"/>
        </w:rPr>
        <w:t>, the list of risks is not exhaustive</w:t>
      </w:r>
      <w:r w:rsidR="003E05B0" w:rsidRPr="009837B6">
        <w:rPr>
          <w:szCs w:val="17"/>
        </w:rPr>
        <w:t xml:space="preserve"> (for instance, it does not include </w:t>
      </w:r>
      <w:r w:rsidR="00C5357F" w:rsidRPr="009837B6">
        <w:rPr>
          <w:szCs w:val="17"/>
        </w:rPr>
        <w:t>longevity or cyber risks)</w:t>
      </w:r>
      <w:r w:rsidR="00EA2ADC" w:rsidRPr="009837B6">
        <w:rPr>
          <w:szCs w:val="17"/>
        </w:rPr>
        <w:t xml:space="preserve">. </w:t>
      </w:r>
      <w:r w:rsidR="003E05B0" w:rsidRPr="009837B6">
        <w:rPr>
          <w:szCs w:val="17"/>
        </w:rPr>
        <w:t xml:space="preserve">Such issue </w:t>
      </w:r>
      <w:r w:rsidR="00EA2ADC" w:rsidRPr="009837B6">
        <w:rPr>
          <w:szCs w:val="17"/>
        </w:rPr>
        <w:t xml:space="preserve">could be clarified by replacing the term “involving” </w:t>
      </w:r>
      <w:r w:rsidR="00254422">
        <w:rPr>
          <w:szCs w:val="17"/>
        </w:rPr>
        <w:t>using</w:t>
      </w:r>
      <w:r w:rsidR="00EA2ADC" w:rsidRPr="009837B6">
        <w:rPr>
          <w:szCs w:val="17"/>
        </w:rPr>
        <w:t xml:space="preserve"> “eg</w:t>
      </w:r>
      <w:r w:rsidR="00254422">
        <w:rPr>
          <w:szCs w:val="17"/>
        </w:rPr>
        <w:t>.</w:t>
      </w:r>
      <w:r w:rsidR="00EA2ADC" w:rsidRPr="009837B6">
        <w:rPr>
          <w:szCs w:val="17"/>
        </w:rPr>
        <w:t>”</w:t>
      </w:r>
      <w:r w:rsidR="00701426" w:rsidRPr="009837B6">
        <w:rPr>
          <w:szCs w:val="17"/>
        </w:rPr>
        <w:t>, or stating that the</w:t>
      </w:r>
      <w:r w:rsidR="00E71DC6" w:rsidRPr="009837B6">
        <w:rPr>
          <w:szCs w:val="17"/>
        </w:rPr>
        <w:t xml:space="preserve"> list of</w:t>
      </w:r>
      <w:r w:rsidR="00701426" w:rsidRPr="009837B6">
        <w:rPr>
          <w:szCs w:val="17"/>
        </w:rPr>
        <w:t xml:space="preserve"> examples</w:t>
      </w:r>
      <w:r w:rsidR="00E71DC6" w:rsidRPr="009837B6">
        <w:rPr>
          <w:szCs w:val="17"/>
        </w:rPr>
        <w:t xml:space="preserve"> provided</w:t>
      </w:r>
      <w:r w:rsidR="00701426" w:rsidRPr="009837B6">
        <w:rPr>
          <w:szCs w:val="17"/>
        </w:rPr>
        <w:t xml:space="preserve"> </w:t>
      </w:r>
      <w:r w:rsidR="00E71DC6" w:rsidRPr="009837B6">
        <w:rPr>
          <w:szCs w:val="17"/>
        </w:rPr>
        <w:t>is</w:t>
      </w:r>
      <w:r w:rsidR="00701426" w:rsidRPr="009837B6">
        <w:rPr>
          <w:szCs w:val="17"/>
        </w:rPr>
        <w:t xml:space="preserve"> not exhaustive. </w:t>
      </w:r>
    </w:p>
    <w:p w14:paraId="407E1F28" w14:textId="6F4895E6" w:rsidR="00205DAB" w:rsidRPr="009837B6" w:rsidRDefault="00205DAB" w:rsidP="00844D6D">
      <w:pPr>
        <w:pStyle w:val="Odsekzoznamu"/>
        <w:jc w:val="both"/>
        <w:rPr>
          <w:rFonts w:ascii="Verdana" w:hAnsi="Verdana" w:cs="Arial"/>
          <w:sz w:val="17"/>
          <w:szCs w:val="17"/>
          <w:lang w:val="en-GB"/>
        </w:rPr>
      </w:pPr>
    </w:p>
    <w:p w14:paraId="7E453144" w14:textId="77777777" w:rsidR="009176FF" w:rsidRPr="009837B6" w:rsidRDefault="009176FF" w:rsidP="00844D6D">
      <w:pPr>
        <w:spacing w:line="240" w:lineRule="auto"/>
        <w:rPr>
          <w:rStyle w:val="CEAGraphTitle"/>
          <w:szCs w:val="17"/>
        </w:rPr>
      </w:pPr>
    </w:p>
    <w:p w14:paraId="7E453145" w14:textId="77777777" w:rsidR="00440FEE" w:rsidRPr="009837B6" w:rsidRDefault="00440FEE" w:rsidP="00844D6D">
      <w:pPr>
        <w:rPr>
          <w:szCs w:val="17"/>
        </w:rPr>
      </w:pPr>
    </w:p>
    <w:sectPr w:rsidR="00440FEE" w:rsidRPr="009837B6" w:rsidSect="009176FF">
      <w:headerReference w:type="default" r:id="rId11"/>
      <w:footerReference w:type="default" r:id="rId12"/>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61D2" w14:textId="77777777" w:rsidR="00256F0F" w:rsidRDefault="00256F0F">
      <w:pPr>
        <w:spacing w:line="240" w:lineRule="auto"/>
      </w:pPr>
      <w:r>
        <w:separator/>
      </w:r>
    </w:p>
  </w:endnote>
  <w:endnote w:type="continuationSeparator" w:id="0">
    <w:p w14:paraId="237E49BF" w14:textId="77777777" w:rsidR="00256F0F" w:rsidRDefault="00256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charset w:val="00"/>
    <w:family w:val="swiss"/>
    <w:pitch w:val="variable"/>
    <w:sig w:usb0="800000AF" w:usb1="4000204A" w:usb2="00000000" w:usb3="00000000" w:csb0="00000001" w:csb1="00000000"/>
  </w:font>
  <w:font w:name="Frutiger LT Std 55 Roman">
    <w:altName w:val="Calibri"/>
    <w:charset w:val="00"/>
    <w:family w:val="swiss"/>
    <w:pitch w:val="variable"/>
    <w:sig w:usb0="800000AF" w:usb1="4000204A"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314D" w14:textId="77777777" w:rsidR="009654A1" w:rsidRPr="00CD51F6" w:rsidRDefault="00661B6A" w:rsidP="00EF4577">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2AB2" w14:textId="77777777" w:rsidR="00256F0F" w:rsidRDefault="00256F0F">
      <w:pPr>
        <w:spacing w:line="240" w:lineRule="auto"/>
      </w:pPr>
      <w:r>
        <w:separator/>
      </w:r>
    </w:p>
  </w:footnote>
  <w:footnote w:type="continuationSeparator" w:id="0">
    <w:p w14:paraId="68631F89" w14:textId="77777777" w:rsidR="00256F0F" w:rsidRDefault="00256F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314A" w14:textId="77777777" w:rsidR="009654A1" w:rsidRPr="000846C0" w:rsidRDefault="00661B6A" w:rsidP="000846C0">
    <w:pPr>
      <w:pStyle w:val="Noparagraphstyle"/>
      <w:jc w:val="right"/>
      <w:rPr>
        <w:sz w:val="18"/>
        <w:szCs w:val="18"/>
      </w:rPr>
    </w:pPr>
  </w:p>
  <w:p w14:paraId="7E45314B" w14:textId="77777777" w:rsidR="009654A1" w:rsidRPr="00CD51F6" w:rsidRDefault="009176FF" w:rsidP="000846C0">
    <w:pPr>
      <w:pStyle w:val="Noparagraphstyle"/>
      <w:jc w:val="right"/>
      <w:rPr>
        <w:rFonts w:ascii="Arial" w:hAnsi="Arial" w:cs="Arial"/>
        <w:i/>
        <w:iCs/>
        <w:color w:val="034EA2"/>
      </w:rPr>
    </w:pPr>
    <w:r>
      <w:tab/>
    </w:r>
  </w:p>
  <w:p w14:paraId="7E45314C" w14:textId="77777777" w:rsidR="009654A1" w:rsidRPr="007349E1" w:rsidRDefault="009176FF" w:rsidP="007349E1">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9264" behindDoc="0" locked="0" layoutInCell="1" allowOverlap="1" wp14:anchorId="7E45314E" wp14:editId="7E45314F">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14C87F4F"/>
    <w:multiLevelType w:val="hybridMultilevel"/>
    <w:tmpl w:val="A080CB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3" w15:restartNumberingAfterBreak="0">
    <w:nsid w:val="4D5A3410"/>
    <w:multiLevelType w:val="hybridMultilevel"/>
    <w:tmpl w:val="247297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281716F"/>
    <w:multiLevelType w:val="hybridMultilevel"/>
    <w:tmpl w:val="0876D5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5B0022D"/>
    <w:multiLevelType w:val="hybridMultilevel"/>
    <w:tmpl w:val="2E26E06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A4D7355"/>
    <w:multiLevelType w:val="hybridMultilevel"/>
    <w:tmpl w:val="C458F42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531012">
    <w:abstractNumId w:val="7"/>
  </w:num>
  <w:num w:numId="2" w16cid:durableId="2094008831">
    <w:abstractNumId w:val="0"/>
  </w:num>
  <w:num w:numId="3" w16cid:durableId="1254322686">
    <w:abstractNumId w:val="2"/>
  </w:num>
  <w:num w:numId="4" w16cid:durableId="748388241">
    <w:abstractNumId w:val="3"/>
  </w:num>
  <w:num w:numId="5" w16cid:durableId="1906600087">
    <w:abstractNumId w:val="4"/>
  </w:num>
  <w:num w:numId="6" w16cid:durableId="944729864">
    <w:abstractNumId w:val="6"/>
  </w:num>
  <w:num w:numId="7" w16cid:durableId="1837765961">
    <w:abstractNumId w:val="5"/>
  </w:num>
  <w:num w:numId="8" w16cid:durableId="134428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319B3"/>
    <w:rsid w:val="000D39CC"/>
    <w:rsid w:val="001126A0"/>
    <w:rsid w:val="00132851"/>
    <w:rsid w:val="001748B8"/>
    <w:rsid w:val="001D2D27"/>
    <w:rsid w:val="00205DAB"/>
    <w:rsid w:val="00211970"/>
    <w:rsid w:val="00245DED"/>
    <w:rsid w:val="00254422"/>
    <w:rsid w:val="00256F0F"/>
    <w:rsid w:val="002E4515"/>
    <w:rsid w:val="003355A3"/>
    <w:rsid w:val="00372D75"/>
    <w:rsid w:val="003C7F80"/>
    <w:rsid w:val="003D6BA5"/>
    <w:rsid w:val="003E05B0"/>
    <w:rsid w:val="003E3B3D"/>
    <w:rsid w:val="003F229A"/>
    <w:rsid w:val="0042423A"/>
    <w:rsid w:val="00440FEE"/>
    <w:rsid w:val="00494C5C"/>
    <w:rsid w:val="004D0D84"/>
    <w:rsid w:val="0054727A"/>
    <w:rsid w:val="00555323"/>
    <w:rsid w:val="00596DBB"/>
    <w:rsid w:val="005A4BAF"/>
    <w:rsid w:val="006030D3"/>
    <w:rsid w:val="00610EA2"/>
    <w:rsid w:val="00612C41"/>
    <w:rsid w:val="00661B6A"/>
    <w:rsid w:val="006D2125"/>
    <w:rsid w:val="00701426"/>
    <w:rsid w:val="00701B69"/>
    <w:rsid w:val="00751FBE"/>
    <w:rsid w:val="007615A5"/>
    <w:rsid w:val="007A4BD6"/>
    <w:rsid w:val="007C4DF0"/>
    <w:rsid w:val="00844D6D"/>
    <w:rsid w:val="008676A0"/>
    <w:rsid w:val="00874EB4"/>
    <w:rsid w:val="008B0CEB"/>
    <w:rsid w:val="008C5AB9"/>
    <w:rsid w:val="009176FF"/>
    <w:rsid w:val="009418A7"/>
    <w:rsid w:val="009837B6"/>
    <w:rsid w:val="009A7097"/>
    <w:rsid w:val="009D285E"/>
    <w:rsid w:val="00A14417"/>
    <w:rsid w:val="00A407EA"/>
    <w:rsid w:val="00A4194C"/>
    <w:rsid w:val="00A911FF"/>
    <w:rsid w:val="00AC6256"/>
    <w:rsid w:val="00B0539E"/>
    <w:rsid w:val="00B06020"/>
    <w:rsid w:val="00B43D49"/>
    <w:rsid w:val="00B46FD2"/>
    <w:rsid w:val="00B60FC7"/>
    <w:rsid w:val="00B63FA7"/>
    <w:rsid w:val="00C011E9"/>
    <w:rsid w:val="00C14B8C"/>
    <w:rsid w:val="00C26EAF"/>
    <w:rsid w:val="00C41CE1"/>
    <w:rsid w:val="00C5357F"/>
    <w:rsid w:val="00C7297F"/>
    <w:rsid w:val="00C75A54"/>
    <w:rsid w:val="00CD0622"/>
    <w:rsid w:val="00D76DA0"/>
    <w:rsid w:val="00DA11FA"/>
    <w:rsid w:val="00DA6BA0"/>
    <w:rsid w:val="00DC1271"/>
    <w:rsid w:val="00E53C43"/>
    <w:rsid w:val="00E71DC6"/>
    <w:rsid w:val="00E73828"/>
    <w:rsid w:val="00EA2ADC"/>
    <w:rsid w:val="00EB23B7"/>
    <w:rsid w:val="00EB27B4"/>
    <w:rsid w:val="00EC3C76"/>
    <w:rsid w:val="00EF40B5"/>
    <w:rsid w:val="00F0744B"/>
    <w:rsid w:val="00F32DAF"/>
    <w:rsid w:val="00F8705B"/>
    <w:rsid w:val="00FA4DAB"/>
    <w:rsid w:val="00FB38D4"/>
    <w:rsid w:val="00FD5B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E453144"/>
  <w15:docId w15:val="{C9243032-5BFF-4523-8732-ABBC9760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semiHidden/>
    <w:rsid w:val="009176FF"/>
    <w:pPr>
      <w:tabs>
        <w:tab w:val="center" w:pos="4320"/>
        <w:tab w:val="right" w:pos="8640"/>
      </w:tabs>
    </w:pPr>
  </w:style>
  <w:style w:type="character" w:customStyle="1" w:styleId="PtaChar">
    <w:name w:val="Päta Char"/>
    <w:basedOn w:val="Predvolenpsmoodseku"/>
    <w:link w:val="Pta"/>
    <w:semiHidden/>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character" w:styleId="Hypertextovprepojenie">
    <w:name w:val="Hyperlink"/>
    <w:basedOn w:val="Predvolenpsmoodseku"/>
    <w:uiPriority w:val="99"/>
    <w:semiHidden/>
    <w:unhideWhenUsed/>
    <w:rsid w:val="00211970"/>
    <w:rPr>
      <w:color w:val="0000FF" w:themeColor="hyperlink"/>
      <w:u w:val="single"/>
    </w:rPr>
  </w:style>
  <w:style w:type="paragraph" w:styleId="Odsekzoznamu">
    <w:name w:val="List Paragraph"/>
    <w:basedOn w:val="Normlny"/>
    <w:uiPriority w:val="34"/>
    <w:qFormat/>
    <w:rsid w:val="00211970"/>
    <w:pPr>
      <w:spacing w:after="200" w:line="276" w:lineRule="auto"/>
      <w:ind w:left="720"/>
      <w:contextualSpacing/>
      <w:jc w:val="left"/>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8039">
      <w:bodyDiv w:val="1"/>
      <w:marLeft w:val="0"/>
      <w:marRight w:val="0"/>
      <w:marTop w:val="0"/>
      <w:marBottom w:val="0"/>
      <w:divBdr>
        <w:top w:val="none" w:sz="0" w:space="0" w:color="auto"/>
        <w:left w:val="none" w:sz="0" w:space="0" w:color="auto"/>
        <w:bottom w:val="none" w:sz="0" w:space="0" w:color="auto"/>
        <w:right w:val="none" w:sz="0" w:space="0" w:color="auto"/>
      </w:divBdr>
    </w:div>
    <w:div w:id="314378619">
      <w:bodyDiv w:val="1"/>
      <w:marLeft w:val="0"/>
      <w:marRight w:val="0"/>
      <w:marTop w:val="0"/>
      <w:marBottom w:val="0"/>
      <w:divBdr>
        <w:top w:val="none" w:sz="0" w:space="0" w:color="auto"/>
        <w:left w:val="none" w:sz="0" w:space="0" w:color="auto"/>
        <w:bottom w:val="none" w:sz="0" w:space="0" w:color="auto"/>
        <w:right w:val="none" w:sz="0" w:space="0" w:color="auto"/>
      </w:divBdr>
    </w:div>
    <w:div w:id="498815099">
      <w:bodyDiv w:val="1"/>
      <w:marLeft w:val="0"/>
      <w:marRight w:val="0"/>
      <w:marTop w:val="0"/>
      <w:marBottom w:val="0"/>
      <w:divBdr>
        <w:top w:val="none" w:sz="0" w:space="0" w:color="auto"/>
        <w:left w:val="none" w:sz="0" w:space="0" w:color="auto"/>
        <w:bottom w:val="none" w:sz="0" w:space="0" w:color="auto"/>
        <w:right w:val="none" w:sz="0" w:space="0" w:color="auto"/>
      </w:divBdr>
    </w:div>
    <w:div w:id="781388248">
      <w:bodyDiv w:val="1"/>
      <w:marLeft w:val="0"/>
      <w:marRight w:val="0"/>
      <w:marTop w:val="0"/>
      <w:marBottom w:val="0"/>
      <w:divBdr>
        <w:top w:val="none" w:sz="0" w:space="0" w:color="auto"/>
        <w:left w:val="none" w:sz="0" w:space="0" w:color="auto"/>
        <w:bottom w:val="none" w:sz="0" w:space="0" w:color="auto"/>
        <w:right w:val="none" w:sz="0" w:space="0" w:color="auto"/>
      </w:divBdr>
    </w:div>
    <w:div w:id="850994396">
      <w:bodyDiv w:val="1"/>
      <w:marLeft w:val="0"/>
      <w:marRight w:val="0"/>
      <w:marTop w:val="0"/>
      <w:marBottom w:val="0"/>
      <w:divBdr>
        <w:top w:val="none" w:sz="0" w:space="0" w:color="auto"/>
        <w:left w:val="none" w:sz="0" w:space="0" w:color="auto"/>
        <w:bottom w:val="none" w:sz="0" w:space="0" w:color="auto"/>
        <w:right w:val="none" w:sz="0" w:space="0" w:color="auto"/>
      </w:divBdr>
    </w:div>
    <w:div w:id="1167549402">
      <w:bodyDiv w:val="1"/>
      <w:marLeft w:val="0"/>
      <w:marRight w:val="0"/>
      <w:marTop w:val="0"/>
      <w:marBottom w:val="0"/>
      <w:divBdr>
        <w:top w:val="none" w:sz="0" w:space="0" w:color="auto"/>
        <w:left w:val="none" w:sz="0" w:space="0" w:color="auto"/>
        <w:bottom w:val="none" w:sz="0" w:space="0" w:color="auto"/>
        <w:right w:val="none" w:sz="0" w:space="0" w:color="auto"/>
      </w:divBdr>
    </w:div>
    <w:div w:id="1220095681">
      <w:bodyDiv w:val="1"/>
      <w:marLeft w:val="0"/>
      <w:marRight w:val="0"/>
      <w:marTop w:val="0"/>
      <w:marBottom w:val="0"/>
      <w:divBdr>
        <w:top w:val="none" w:sz="0" w:space="0" w:color="auto"/>
        <w:left w:val="none" w:sz="0" w:space="0" w:color="auto"/>
        <w:bottom w:val="none" w:sz="0" w:space="0" w:color="auto"/>
        <w:right w:val="none" w:sz="0" w:space="0" w:color="auto"/>
      </w:divBdr>
    </w:div>
    <w:div w:id="1368523746">
      <w:bodyDiv w:val="1"/>
      <w:marLeft w:val="0"/>
      <w:marRight w:val="0"/>
      <w:marTop w:val="0"/>
      <w:marBottom w:val="0"/>
      <w:divBdr>
        <w:top w:val="none" w:sz="0" w:space="0" w:color="auto"/>
        <w:left w:val="none" w:sz="0" w:space="0" w:color="auto"/>
        <w:bottom w:val="none" w:sz="0" w:space="0" w:color="auto"/>
        <w:right w:val="none" w:sz="0" w:space="0" w:color="auto"/>
      </w:divBdr>
    </w:div>
    <w:div w:id="1756586008">
      <w:bodyDiv w:val="1"/>
      <w:marLeft w:val="0"/>
      <w:marRight w:val="0"/>
      <w:marTop w:val="0"/>
      <w:marBottom w:val="0"/>
      <w:divBdr>
        <w:top w:val="none" w:sz="0" w:space="0" w:color="auto"/>
        <w:left w:val="none" w:sz="0" w:space="0" w:color="auto"/>
        <w:bottom w:val="none" w:sz="0" w:space="0" w:color="auto"/>
        <w:right w:val="none" w:sz="0" w:space="0" w:color="auto"/>
      </w:divBdr>
    </w:div>
    <w:div w:id="2062434272">
      <w:bodyDiv w:val="1"/>
      <w:marLeft w:val="0"/>
      <w:marRight w:val="0"/>
      <w:marTop w:val="0"/>
      <w:marBottom w:val="0"/>
      <w:divBdr>
        <w:top w:val="none" w:sz="0" w:space="0" w:color="auto"/>
        <w:left w:val="none" w:sz="0" w:space="0" w:color="auto"/>
        <w:bottom w:val="none" w:sz="0" w:space="0" w:color="auto"/>
        <w:right w:val="none" w:sz="0" w:space="0" w:color="auto"/>
      </w:divBdr>
    </w:div>
    <w:div w:id="21178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ecd.org/finance/the-contribution-of-reinsurance-markets-to-managing-catastrophe-ris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memo xmlns="85aa765a-1fd1-4bd0-ae2e-6866ee3065fb" xsi:nil="true"/>
    <Deadline xmlns="85aa765a-1fd1-4bd0-ae2e-6866ee3065fb" xsi:nil="true"/>
    <Type_x0020_of_x0020_document xmlns="85aa765a-1fd1-4bd0-ae2e-6866ee3065fb" xsi:nil="true"/>
    <Leading_x0020_document xmlns="85aa765a-1fd1-4bd0-ae2e-6866ee3065fb" xsi:nil="true"/>
    <ValidationComment xmlns="85aa765a-1fd1-4bd0-ae2e-6866ee3065fb" xsi:nil="true"/>
    <AllowComments xmlns="85aa765a-1fd1-4bd0-ae2e-6866ee3065fb">true</AllowComments>
    <Uploads xmlns="85aa765a-1fd1-4bd0-ae2e-6866ee3065fb" xsi:nil="true"/>
    <isAnnex xmlns="85aa765a-1fd1-4bd0-ae2e-6866ee3065fb" xsi:nil="true"/>
    <Validated xmlns="85aa765a-1fd1-4bd0-ae2e-6866ee3065fb">false</Validated>
    <Can_x0020_be_x0020_edited xmlns="85aa765a-1fd1-4bd0-ae2e-6866ee3065fb">false</Can_x0020_be_x0020_edited>
    <Allow_x0020_uploads xmlns="85aa765a-1fd1-4bd0-ae2e-6866ee3065fb" xsi:nil="true"/>
    <Feedback_x0020_type xmlns="85aa765a-1fd1-4bd0-ae2e-6866ee3065fb" xsi:nil="true"/>
    <Display_x0020_validated_x0020_documents_x0020_library_x0020_button xmlns="85aa765a-1fd1-4bd0-ae2e-6866ee3065fb">false</Display_x0020_validated_x0020_documents_x0020_library_x0020_button>
    <Allow_x0020_comments xmlns="85aa765a-1fd1-4bd0-ae2e-6866ee3065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E756CBAF10E21A4CAD31D20A5B3F0406" ma:contentTypeVersion="22" ma:contentTypeDescription="Published Documents Content types for Insurance Europe" ma:contentTypeScope="" ma:versionID="386eabea3e30b3cc4b7aed42e1253a30">
  <xsd:schema xmlns:xsd="http://www.w3.org/2001/XMLSchema" xmlns:xs="http://www.w3.org/2001/XMLSchema" xmlns:p="http://schemas.microsoft.com/office/2006/metadata/properties" xmlns:ns2="85aa765a-1fd1-4bd0-ae2e-6866ee3065fb" targetNamespace="http://schemas.microsoft.com/office/2006/metadata/properties" ma:root="true" ma:fieldsID="e057c3029542c6e27314baae246fbe24" ns2:_="">
    <xsd:import namespace="85aa765a-1fd1-4bd0-ae2e-6866ee3065fb"/>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a765a-1fd1-4bd0-ae2e-6866ee3065fb"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7A0EA-14CF-4487-AFCD-561CDD8E319F}">
  <ds:schemaRef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85aa765a-1fd1-4bd0-ae2e-6866ee3065fb"/>
    <ds:schemaRef ds:uri="http://schemas.microsoft.com/office/2006/metadata/properties"/>
  </ds:schemaRefs>
</ds:datastoreItem>
</file>

<file path=customXml/itemProps2.xml><?xml version="1.0" encoding="utf-8"?>
<ds:datastoreItem xmlns:ds="http://schemas.openxmlformats.org/officeDocument/2006/customXml" ds:itemID="{009F7402-F5D2-4AC8-A5DD-13F99BD45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a765a-1fd1-4bd0-ae2e-6866ee306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E8496-0FDC-4718-A413-EA00469A5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2184</Words>
  <Characters>12453</Characters>
  <Application>Microsoft Office Word</Application>
  <DocSecurity>4</DocSecurity>
  <Lines>103</Lines>
  <Paragraphs>29</Paragraphs>
  <ScaleCrop>false</ScaleCrop>
  <Company>Insurance Europe</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OECD consultation on Regulated Financial Services Exclusion</dc:title>
  <dc:creator>Insurance Europe</dc:creator>
  <cp:lastModifiedBy>jozef.bachnicek</cp:lastModifiedBy>
  <cp:revision>2</cp:revision>
  <dcterms:created xsi:type="dcterms:W3CDTF">2022-05-17T09:34:00Z</dcterms:created>
  <dcterms:modified xsi:type="dcterms:W3CDTF">2022-05-17T09:34:00Z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0x010100E756CBAF10E21A4CAD31D20A5B3F0406</vt:lpwstr>
  </property>
</Properties>
</file>