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A821" w14:textId="77777777" w:rsidR="00A26D64" w:rsidRPr="007B2E7B" w:rsidRDefault="00A26D64" w:rsidP="00A26D64">
      <w:pPr>
        <w:pStyle w:val="CEABullet-Level1"/>
        <w:numPr>
          <w:ilvl w:val="0"/>
          <w:numId w:val="0"/>
        </w:numPr>
        <w:shd w:val="clear" w:color="auto" w:fill="B8CCE4" w:themeFill="accent1" w:themeFillTint="66"/>
        <w:spacing w:line="276" w:lineRule="auto"/>
        <w:rPr>
          <w:rStyle w:val="CEAGraphTitle"/>
          <w:b/>
          <w:bCs/>
          <w:color w:val="auto"/>
          <w:sz w:val="17"/>
          <w:szCs w:val="17"/>
        </w:rPr>
      </w:pPr>
      <w:r w:rsidRPr="007B2E7B">
        <w:rPr>
          <w:rStyle w:val="CEAGraphTitle"/>
          <w:b/>
          <w:bCs/>
          <w:color w:val="auto"/>
          <w:sz w:val="17"/>
          <w:szCs w:val="17"/>
        </w:rPr>
        <w:t>Key take-aways from FY2021 reporting cycle by insurers – early experience</w:t>
      </w:r>
    </w:p>
    <w:p w14:paraId="2E66E450" w14:textId="77777777" w:rsidR="00A26D64" w:rsidRPr="007B2E7B" w:rsidRDefault="00A26D64" w:rsidP="00A26D64">
      <w:pPr>
        <w:pStyle w:val="CEABullet-Level1"/>
        <w:numPr>
          <w:ilvl w:val="0"/>
          <w:numId w:val="0"/>
        </w:numPr>
        <w:spacing w:line="276" w:lineRule="auto"/>
        <w:rPr>
          <w:rStyle w:val="CEAGraphTitle"/>
          <w:color w:val="auto"/>
          <w:sz w:val="17"/>
          <w:szCs w:val="17"/>
        </w:rPr>
      </w:pPr>
    </w:p>
    <w:p w14:paraId="3C51A150" w14:textId="77777777" w:rsidR="00A26D64" w:rsidRPr="007B2E7B" w:rsidRDefault="00A26D64" w:rsidP="00A26D64">
      <w:pPr>
        <w:pStyle w:val="CEABullet-Level1"/>
        <w:ind w:left="426"/>
        <w:rPr>
          <w:color w:val="auto"/>
          <w:szCs w:val="17"/>
        </w:rPr>
      </w:pPr>
      <w:r w:rsidRPr="007B2E7B">
        <w:rPr>
          <w:color w:val="auto"/>
          <w:szCs w:val="17"/>
        </w:rPr>
        <w:t>Insurance underwriters and reinsurers in scope of the publication of EU Taxonomy Article 8 Disclosures Delegated Act (Disclosures DA) disclosures have published the relevant EU Taxonomy-eligibility data in their reports for the fiscal year 2021.</w:t>
      </w:r>
    </w:p>
    <w:p w14:paraId="22A64225" w14:textId="77777777" w:rsidR="00A26D64" w:rsidRPr="007B2E7B" w:rsidRDefault="00A26D64" w:rsidP="00A26D64">
      <w:pPr>
        <w:pStyle w:val="CEABullet-Level1"/>
        <w:ind w:left="426"/>
        <w:rPr>
          <w:color w:val="auto"/>
          <w:szCs w:val="17"/>
        </w:rPr>
      </w:pPr>
      <w:r w:rsidRPr="007B2E7B">
        <w:rPr>
          <w:color w:val="auto"/>
          <w:szCs w:val="17"/>
        </w:rPr>
        <w:t xml:space="preserve">As previously highlighted during the regulatory development process, the FY 2021 reporting cycle was very challenging given the short implementation timeline after final adoption of Art. 8 TR DA and the two EU COM FAQ documents that were released in December 2021 and February 2022 respectively. Despite the challenges of a very limited implementation timeframe and lack of clarity on a number of provisions, insurers successfully delivered on the requirements and made use of qualitative/descriptive information to complete the quantitative data. </w:t>
      </w:r>
    </w:p>
    <w:p w14:paraId="5F44553D" w14:textId="77777777" w:rsidR="00A26D64" w:rsidRPr="007B2E7B" w:rsidRDefault="00A26D64" w:rsidP="00A26D64">
      <w:pPr>
        <w:pStyle w:val="CEABullet-Level1"/>
        <w:ind w:left="426"/>
        <w:rPr>
          <w:color w:val="auto"/>
          <w:szCs w:val="17"/>
        </w:rPr>
      </w:pPr>
      <w:r w:rsidRPr="007B2E7B">
        <w:rPr>
          <w:color w:val="auto"/>
          <w:szCs w:val="17"/>
        </w:rPr>
        <w:t xml:space="preserve">Overall, (re)insurers understand that sustainability reporting is a journey in which Taxonomy-eligibility is a first phase. With time, experience and availability of data will lead to </w:t>
      </w:r>
      <w:r>
        <w:rPr>
          <w:color w:val="auto"/>
          <w:szCs w:val="17"/>
        </w:rPr>
        <w:t>better</w:t>
      </w:r>
      <w:r w:rsidRPr="007B2E7B">
        <w:rPr>
          <w:color w:val="auto"/>
          <w:szCs w:val="17"/>
        </w:rPr>
        <w:t xml:space="preserve"> quality and accuracy of public reporting. This is ultimately in line with policymaker</w:t>
      </w:r>
      <w:r>
        <w:rPr>
          <w:color w:val="auto"/>
          <w:szCs w:val="17"/>
        </w:rPr>
        <w:t>s’</w:t>
      </w:r>
      <w:r w:rsidRPr="007B2E7B">
        <w:rPr>
          <w:color w:val="auto"/>
          <w:szCs w:val="17"/>
        </w:rPr>
        <w:t xml:space="preserve"> objective.</w:t>
      </w:r>
    </w:p>
    <w:p w14:paraId="5B86F028" w14:textId="77777777" w:rsidR="00A26D64" w:rsidRPr="007B2E7B" w:rsidRDefault="00A26D64" w:rsidP="00A26D64">
      <w:pPr>
        <w:pStyle w:val="CEABullet-Level1"/>
        <w:ind w:left="426"/>
        <w:rPr>
          <w:color w:val="auto"/>
          <w:szCs w:val="17"/>
        </w:rPr>
      </w:pPr>
      <w:r w:rsidRPr="007B2E7B">
        <w:rPr>
          <w:color w:val="auto"/>
          <w:szCs w:val="17"/>
        </w:rPr>
        <w:t xml:space="preserve">Regarding the presentation of the </w:t>
      </w:r>
      <w:r w:rsidRPr="007B2E7B">
        <w:rPr>
          <w:b/>
          <w:color w:val="auto"/>
          <w:szCs w:val="17"/>
        </w:rPr>
        <w:t>mandatory disclosure</w:t>
      </w:r>
      <w:r w:rsidRPr="007B2E7B">
        <w:rPr>
          <w:color w:val="auto"/>
          <w:szCs w:val="17"/>
        </w:rPr>
        <w:t xml:space="preserve"> information requested from Article 10 (3) of the Disclosures Delegated act, a number of approaches have been identified by (re)insurers as appropriate for meeting disclosure obligations in this first phase of reporting</w:t>
      </w:r>
      <w:r>
        <w:rPr>
          <w:color w:val="auto"/>
          <w:szCs w:val="17"/>
        </w:rPr>
        <w:t xml:space="preserve">, </w:t>
      </w:r>
      <w:proofErr w:type="spellStart"/>
      <w:r>
        <w:rPr>
          <w:color w:val="auto"/>
          <w:szCs w:val="17"/>
        </w:rPr>
        <w:t>eg.</w:t>
      </w:r>
      <w:proofErr w:type="spellEnd"/>
      <w:r>
        <w:rPr>
          <w:color w:val="auto"/>
          <w:szCs w:val="17"/>
        </w:rPr>
        <w:t>:</w:t>
      </w:r>
    </w:p>
    <w:p w14:paraId="62B8170E" w14:textId="77777777" w:rsidR="00A26D64" w:rsidRPr="007B2E7B" w:rsidRDefault="00A26D64" w:rsidP="00A26D64">
      <w:pPr>
        <w:pStyle w:val="CEABullet-Level3"/>
        <w:ind w:left="851"/>
        <w:rPr>
          <w:color w:val="auto"/>
          <w:szCs w:val="17"/>
        </w:rPr>
      </w:pPr>
      <w:r w:rsidRPr="007B2E7B">
        <w:rPr>
          <w:color w:val="auto"/>
          <w:szCs w:val="17"/>
        </w:rPr>
        <w:t>The Lines of Business (</w:t>
      </w:r>
      <w:proofErr w:type="spellStart"/>
      <w:r w:rsidRPr="007B2E7B">
        <w:rPr>
          <w:color w:val="auto"/>
          <w:szCs w:val="17"/>
        </w:rPr>
        <w:t>LoBs</w:t>
      </w:r>
      <w:proofErr w:type="spellEnd"/>
      <w:r w:rsidRPr="007B2E7B">
        <w:rPr>
          <w:color w:val="auto"/>
          <w:szCs w:val="17"/>
        </w:rPr>
        <w:t xml:space="preserve">) that insurers have considered as eligible (all eligible </w:t>
      </w:r>
      <w:proofErr w:type="spellStart"/>
      <w:r w:rsidRPr="007B2E7B">
        <w:rPr>
          <w:color w:val="auto"/>
          <w:szCs w:val="17"/>
        </w:rPr>
        <w:t>LoBs</w:t>
      </w:r>
      <w:proofErr w:type="spellEnd"/>
      <w:r w:rsidRPr="007B2E7B">
        <w:rPr>
          <w:color w:val="auto"/>
          <w:szCs w:val="17"/>
        </w:rPr>
        <w:t xml:space="preserve"> as per the Climate DA vs. a subset thereof, depending on implicit vs. explicit coverage).</w:t>
      </w:r>
    </w:p>
    <w:p w14:paraId="4B595CD6" w14:textId="77777777" w:rsidR="00A26D64" w:rsidRPr="007B2E7B" w:rsidRDefault="00A26D64" w:rsidP="00A26D64">
      <w:pPr>
        <w:pStyle w:val="CEABullet-Level3"/>
        <w:ind w:left="851"/>
        <w:rPr>
          <w:color w:val="auto"/>
          <w:szCs w:val="17"/>
        </w:rPr>
      </w:pPr>
      <w:r w:rsidRPr="007B2E7B">
        <w:rPr>
          <w:color w:val="auto"/>
          <w:szCs w:val="17"/>
        </w:rPr>
        <w:t>The investments KPIs disclosed where the (insurance) parent is conducting one financial business activity (</w:t>
      </w:r>
      <w:proofErr w:type="gramStart"/>
      <w:r w:rsidRPr="007B2E7B">
        <w:rPr>
          <w:color w:val="auto"/>
          <w:szCs w:val="17"/>
        </w:rPr>
        <w:t>i.e.</w:t>
      </w:r>
      <w:proofErr w:type="gramEnd"/>
      <w:r w:rsidRPr="007B2E7B">
        <w:rPr>
          <w:color w:val="auto"/>
          <w:szCs w:val="17"/>
        </w:rPr>
        <w:t xml:space="preserve"> insurance) but one or more material subsidiaries of the Group conduct another (material) financial business activity (e.g. asset management).</w:t>
      </w:r>
    </w:p>
    <w:p w14:paraId="3E4B5509" w14:textId="77777777" w:rsidR="00A26D64" w:rsidRPr="007B2E7B" w:rsidRDefault="00A26D64" w:rsidP="00A26D64">
      <w:pPr>
        <w:pStyle w:val="CEABullet-Level3"/>
        <w:ind w:left="851"/>
        <w:rPr>
          <w:color w:val="auto"/>
          <w:szCs w:val="17"/>
        </w:rPr>
      </w:pPr>
      <w:r w:rsidRPr="007B2E7B">
        <w:rPr>
          <w:color w:val="auto"/>
          <w:szCs w:val="17"/>
        </w:rPr>
        <w:t>Provisions of simple percentage breakdown or provisions of a table specifying all of the relevant information or indicating the results within the text.</w:t>
      </w:r>
    </w:p>
    <w:p w14:paraId="6B0A0532" w14:textId="77777777" w:rsidR="00A26D64" w:rsidRPr="007B2E7B" w:rsidRDefault="00A26D64" w:rsidP="00A26D64">
      <w:pPr>
        <w:pStyle w:val="CEABullet-Level1"/>
        <w:ind w:left="426"/>
      </w:pPr>
      <w:r w:rsidRPr="007B2E7B">
        <w:t>The late introduction of a distinction between mandatory vs</w:t>
      </w:r>
      <w:r>
        <w:t>.</w:t>
      </w:r>
      <w:r w:rsidRPr="007B2E7B">
        <w:t xml:space="preserve"> voluntary disclosure based on the source of data being used created confusion for the preparers but also for users of the disclosures</w:t>
      </w:r>
    </w:p>
    <w:p w14:paraId="7A764194" w14:textId="77777777" w:rsidR="00A26D64" w:rsidRPr="007B2E7B" w:rsidRDefault="00A26D64" w:rsidP="00A26D64">
      <w:pPr>
        <w:pStyle w:val="CEABullet-Level1"/>
        <w:ind w:left="426"/>
        <w:rPr>
          <w:color w:val="auto"/>
          <w:szCs w:val="17"/>
        </w:rPr>
      </w:pPr>
      <w:r w:rsidRPr="007B2E7B">
        <w:rPr>
          <w:color w:val="auto"/>
          <w:szCs w:val="17"/>
        </w:rPr>
        <w:t xml:space="preserve">As internal implementation work is transitioning from eligibility to alignment, there </w:t>
      </w:r>
      <w:r>
        <w:rPr>
          <w:color w:val="auto"/>
          <w:szCs w:val="17"/>
        </w:rPr>
        <w:t>are</w:t>
      </w:r>
      <w:r w:rsidRPr="007B2E7B">
        <w:rPr>
          <w:color w:val="auto"/>
          <w:szCs w:val="17"/>
        </w:rPr>
        <w:t xml:space="preserve"> still open questions, both on the underwriting and investments KPIs (see below).</w:t>
      </w:r>
    </w:p>
    <w:p w14:paraId="25BEB2B1" w14:textId="77777777" w:rsidR="00A26D64" w:rsidRPr="007B2E7B" w:rsidRDefault="00A26D64" w:rsidP="00A26D64">
      <w:pPr>
        <w:pStyle w:val="CEABullet-Level1"/>
        <w:ind w:left="426"/>
        <w:rPr>
          <w:color w:val="auto"/>
          <w:szCs w:val="17"/>
        </w:rPr>
      </w:pPr>
      <w:r w:rsidRPr="007B2E7B">
        <w:rPr>
          <w:color w:val="auto"/>
          <w:szCs w:val="17"/>
        </w:rPr>
        <w:t>2022 will be essential to ensure that any remaining unclarities on Art. 8 TR for insurers are resolved in order to:</w:t>
      </w:r>
    </w:p>
    <w:p w14:paraId="1FDA07BF" w14:textId="77777777" w:rsidR="00A26D64" w:rsidRPr="007B2E7B" w:rsidRDefault="00A26D64" w:rsidP="00A26D64">
      <w:pPr>
        <w:pStyle w:val="CEABullet-Level3"/>
        <w:ind w:left="709"/>
        <w:rPr>
          <w:color w:val="auto"/>
          <w:szCs w:val="17"/>
        </w:rPr>
      </w:pPr>
      <w:r w:rsidRPr="007B2E7B">
        <w:rPr>
          <w:color w:val="auto"/>
          <w:szCs w:val="17"/>
        </w:rPr>
        <w:t>ensure:</w:t>
      </w:r>
    </w:p>
    <w:p w14:paraId="0A67DCE4" w14:textId="77777777" w:rsidR="00A26D64" w:rsidRPr="007B2E7B" w:rsidRDefault="00A26D64" w:rsidP="00A26D64">
      <w:pPr>
        <w:pStyle w:val="Odsekzoznamu"/>
        <w:numPr>
          <w:ilvl w:val="1"/>
          <w:numId w:val="4"/>
        </w:numPr>
        <w:spacing w:line="276" w:lineRule="auto"/>
        <w:jc w:val="both"/>
        <w:rPr>
          <w:rFonts w:ascii="Verdana" w:hAnsi="Verdana"/>
          <w:sz w:val="17"/>
          <w:szCs w:val="17"/>
        </w:rPr>
      </w:pPr>
      <w:r w:rsidRPr="007B2E7B">
        <w:rPr>
          <w:rFonts w:ascii="Verdana" w:hAnsi="Verdana"/>
          <w:sz w:val="17"/>
          <w:szCs w:val="17"/>
        </w:rPr>
        <w:t>certainty from a compliance perspective; and</w:t>
      </w:r>
    </w:p>
    <w:p w14:paraId="4D91DAA3" w14:textId="77777777" w:rsidR="00A26D64" w:rsidRPr="007B2E7B" w:rsidRDefault="00A26D64" w:rsidP="00A26D64">
      <w:pPr>
        <w:pStyle w:val="Odsekzoznamu"/>
        <w:numPr>
          <w:ilvl w:val="1"/>
          <w:numId w:val="4"/>
        </w:numPr>
        <w:spacing w:line="276" w:lineRule="auto"/>
        <w:jc w:val="both"/>
        <w:rPr>
          <w:rFonts w:ascii="Verdana" w:hAnsi="Verdana"/>
          <w:sz w:val="17"/>
          <w:szCs w:val="17"/>
        </w:rPr>
      </w:pPr>
      <w:r w:rsidRPr="007B2E7B">
        <w:rPr>
          <w:rFonts w:ascii="Verdana" w:hAnsi="Verdana"/>
          <w:sz w:val="17"/>
          <w:szCs w:val="17"/>
        </w:rPr>
        <w:t>consistency / comparability across insurers; and</w:t>
      </w:r>
    </w:p>
    <w:p w14:paraId="6F7D87D0" w14:textId="77777777" w:rsidR="00A26D64" w:rsidRPr="007B2E7B" w:rsidRDefault="00A26D64" w:rsidP="00A26D64">
      <w:pPr>
        <w:pStyle w:val="CEABullet-Level3"/>
        <w:ind w:left="709"/>
        <w:rPr>
          <w:color w:val="auto"/>
          <w:szCs w:val="17"/>
        </w:rPr>
      </w:pPr>
      <w:r w:rsidRPr="007B2E7B">
        <w:rPr>
          <w:color w:val="auto"/>
          <w:szCs w:val="17"/>
        </w:rPr>
        <w:t>allow for systems and products to be adapted before 1 Jan 2023 as a preparation of Taxonomy alignment reporting from 1 Jan 2024 for FY 2023.</w:t>
      </w:r>
    </w:p>
    <w:p w14:paraId="3DD02648" w14:textId="77777777" w:rsidR="00A26D64" w:rsidRPr="007B2E7B" w:rsidRDefault="00A26D64" w:rsidP="00A26D64">
      <w:pPr>
        <w:pStyle w:val="CEABullet-Level1"/>
        <w:numPr>
          <w:ilvl w:val="0"/>
          <w:numId w:val="0"/>
        </w:numPr>
        <w:spacing w:line="276" w:lineRule="auto"/>
        <w:rPr>
          <w:rStyle w:val="CEAGraphTitle"/>
          <w:color w:val="auto"/>
          <w:sz w:val="17"/>
          <w:szCs w:val="17"/>
          <w:lang w:val="en-US"/>
        </w:rPr>
      </w:pPr>
    </w:p>
    <w:p w14:paraId="75596B66" w14:textId="77777777" w:rsidR="00A26D64" w:rsidRDefault="00A26D64" w:rsidP="00A26D64">
      <w:pPr>
        <w:spacing w:line="276" w:lineRule="auto"/>
        <w:rPr>
          <w:rStyle w:val="CEAGraphTitle"/>
          <w:sz w:val="17"/>
          <w:szCs w:val="17"/>
        </w:rPr>
      </w:pPr>
    </w:p>
    <w:p w14:paraId="027A20B1" w14:textId="77777777" w:rsidR="00A26D64" w:rsidRPr="007B2E7B" w:rsidRDefault="00A26D64" w:rsidP="00A26D64">
      <w:pPr>
        <w:spacing w:line="276" w:lineRule="auto"/>
        <w:rPr>
          <w:rStyle w:val="CEAGraphTitle"/>
          <w:sz w:val="17"/>
          <w:szCs w:val="17"/>
        </w:rPr>
      </w:pPr>
    </w:p>
    <w:p w14:paraId="2244EADD" w14:textId="77777777" w:rsidR="00A26D64" w:rsidRPr="007B2E7B" w:rsidRDefault="00A26D64" w:rsidP="00A26D64">
      <w:pPr>
        <w:pStyle w:val="CEABullet-Level1"/>
        <w:numPr>
          <w:ilvl w:val="0"/>
          <w:numId w:val="0"/>
        </w:numPr>
        <w:shd w:val="clear" w:color="auto" w:fill="B8CCE4" w:themeFill="accent1" w:themeFillTint="66"/>
        <w:spacing w:line="276" w:lineRule="auto"/>
        <w:rPr>
          <w:rStyle w:val="CEAGraphTitle"/>
          <w:b/>
          <w:bCs/>
          <w:color w:val="auto"/>
          <w:sz w:val="17"/>
          <w:szCs w:val="17"/>
        </w:rPr>
      </w:pPr>
      <w:r w:rsidRPr="007B2E7B">
        <w:rPr>
          <w:rStyle w:val="CEAGraphTitle"/>
          <w:b/>
          <w:bCs/>
          <w:color w:val="auto"/>
          <w:sz w:val="17"/>
          <w:szCs w:val="17"/>
        </w:rPr>
        <w:t>Open questions on Article 8 Taxonomy Regulation for reporting by insurers (note: most relevant questions considered by the PSF as most relevant are marked in yellow)</w:t>
      </w:r>
    </w:p>
    <w:p w14:paraId="48F2DB7B" w14:textId="77777777" w:rsidR="00A26D64" w:rsidRPr="007B2E7B" w:rsidRDefault="00A26D64" w:rsidP="00A26D64">
      <w:pPr>
        <w:spacing w:line="276" w:lineRule="auto"/>
        <w:rPr>
          <w:sz w:val="17"/>
          <w:szCs w:val="17"/>
        </w:rPr>
      </w:pPr>
    </w:p>
    <w:p w14:paraId="27DADB32" w14:textId="77777777" w:rsidR="00A26D64" w:rsidRPr="007B2E7B" w:rsidRDefault="00A26D64" w:rsidP="00A26D64">
      <w:pPr>
        <w:shd w:val="clear" w:color="auto" w:fill="F2F2F2" w:themeFill="background1" w:themeFillShade="F2"/>
        <w:spacing w:line="276" w:lineRule="auto"/>
        <w:rPr>
          <w:b/>
          <w:bCs/>
          <w:sz w:val="17"/>
          <w:szCs w:val="17"/>
          <w:u w:val="single"/>
        </w:rPr>
      </w:pPr>
      <w:r w:rsidRPr="007B2E7B">
        <w:rPr>
          <w:b/>
          <w:bCs/>
          <w:sz w:val="17"/>
          <w:szCs w:val="17"/>
          <w:u w:val="single"/>
        </w:rPr>
        <w:t>Underwriting</w:t>
      </w:r>
    </w:p>
    <w:p w14:paraId="1217DB05" w14:textId="77777777" w:rsidR="00A26D64" w:rsidRPr="007B2E7B" w:rsidRDefault="00A26D64" w:rsidP="00A26D64">
      <w:pPr>
        <w:spacing w:line="276" w:lineRule="auto"/>
        <w:rPr>
          <w:sz w:val="17"/>
          <w:szCs w:val="17"/>
        </w:rPr>
      </w:pPr>
    </w:p>
    <w:p w14:paraId="3839F7BA" w14:textId="77777777" w:rsidR="00A26D64" w:rsidRPr="007B2E7B" w:rsidRDefault="00A26D64" w:rsidP="00A26D64">
      <w:pPr>
        <w:spacing w:line="276" w:lineRule="auto"/>
        <w:rPr>
          <w:i/>
          <w:iCs/>
          <w:sz w:val="17"/>
          <w:szCs w:val="17"/>
          <w:u w:val="single"/>
          <w:lang w:val="en-US"/>
        </w:rPr>
      </w:pPr>
      <w:r w:rsidRPr="007B2E7B">
        <w:rPr>
          <w:i/>
          <w:iCs/>
          <w:sz w:val="17"/>
          <w:szCs w:val="17"/>
          <w:u w:val="single"/>
          <w:lang w:val="en-US"/>
        </w:rPr>
        <w:t>Taxonomy eligibility</w:t>
      </w:r>
    </w:p>
    <w:p w14:paraId="22E17B28" w14:textId="77777777" w:rsidR="00A26D64" w:rsidRPr="007B2E7B" w:rsidRDefault="00A26D64" w:rsidP="00A26D64">
      <w:pPr>
        <w:spacing w:line="276" w:lineRule="auto"/>
        <w:rPr>
          <w:sz w:val="17"/>
          <w:szCs w:val="17"/>
          <w:lang w:val="en-US"/>
        </w:rPr>
      </w:pPr>
    </w:p>
    <w:p w14:paraId="3F3E662D" w14:textId="77777777" w:rsidR="00A26D64" w:rsidRPr="007B2E7B" w:rsidRDefault="00A26D64" w:rsidP="00A26D64">
      <w:pPr>
        <w:spacing w:line="276" w:lineRule="auto"/>
        <w:rPr>
          <w:sz w:val="17"/>
          <w:szCs w:val="17"/>
          <w:lang w:val="en-US"/>
        </w:rPr>
      </w:pPr>
      <w:r w:rsidRPr="007B2E7B">
        <w:rPr>
          <w:sz w:val="17"/>
          <w:szCs w:val="17"/>
          <w:lang w:val="en-US"/>
        </w:rPr>
        <w:t xml:space="preserve">Insurers have already reported the eligibility of their underwriting activities for the year 2021, and implementation and efforts will now move into considering approaches for alignment. </w:t>
      </w:r>
    </w:p>
    <w:p w14:paraId="57E2B279" w14:textId="77777777" w:rsidR="00A26D64" w:rsidRPr="007B2E7B" w:rsidRDefault="00A26D64" w:rsidP="00A26D64">
      <w:pPr>
        <w:spacing w:line="276" w:lineRule="auto"/>
        <w:rPr>
          <w:sz w:val="17"/>
          <w:szCs w:val="17"/>
          <w:lang w:val="en-US"/>
        </w:rPr>
      </w:pPr>
    </w:p>
    <w:p w14:paraId="2EE5BBE7" w14:textId="77777777" w:rsidR="00A26D64" w:rsidRPr="007B2E7B" w:rsidRDefault="00A26D64" w:rsidP="00A26D64">
      <w:pPr>
        <w:pStyle w:val="CEABullet-Level1"/>
        <w:numPr>
          <w:ilvl w:val="0"/>
          <w:numId w:val="5"/>
        </w:numPr>
        <w:spacing w:line="276" w:lineRule="auto"/>
        <w:rPr>
          <w:color w:val="auto"/>
          <w:szCs w:val="17"/>
          <w:lang w:val="en-US"/>
        </w:rPr>
      </w:pPr>
      <w:r w:rsidRPr="007B2E7B">
        <w:rPr>
          <w:color w:val="auto"/>
          <w:szCs w:val="17"/>
          <w:highlight w:val="yellow"/>
          <w:lang w:val="en-US"/>
        </w:rPr>
        <w:t xml:space="preserve">What is the </w:t>
      </w:r>
      <w:r w:rsidRPr="007B2E7B">
        <w:rPr>
          <w:b/>
          <w:bCs/>
          <w:color w:val="auto"/>
          <w:szCs w:val="17"/>
          <w:highlight w:val="yellow"/>
          <w:lang w:val="en-US"/>
        </w:rPr>
        <w:t xml:space="preserve">approach to take to define whether climate-related perils are covered in </w:t>
      </w:r>
      <w:proofErr w:type="spellStart"/>
      <w:r w:rsidRPr="007B2E7B">
        <w:rPr>
          <w:b/>
          <w:bCs/>
          <w:color w:val="auto"/>
          <w:szCs w:val="17"/>
          <w:highlight w:val="yellow"/>
          <w:lang w:val="en-US"/>
        </w:rPr>
        <w:t>LoBs</w:t>
      </w:r>
      <w:proofErr w:type="spellEnd"/>
      <w:r w:rsidRPr="007B2E7B">
        <w:rPr>
          <w:color w:val="auto"/>
          <w:szCs w:val="17"/>
          <w:highlight w:val="yellow"/>
          <w:lang w:val="en-US"/>
        </w:rPr>
        <w:t>? Are explicit terms needed or is non-exclusion of coverage for climate-related perils sufficient?</w:t>
      </w:r>
    </w:p>
    <w:p w14:paraId="3E664EA1" w14:textId="77777777" w:rsidR="00A26D64" w:rsidRPr="007B2E7B" w:rsidRDefault="00A26D64" w:rsidP="00A26D64">
      <w:pPr>
        <w:pStyle w:val="CEABullet-Level1"/>
        <w:numPr>
          <w:ilvl w:val="0"/>
          <w:numId w:val="0"/>
        </w:numPr>
        <w:spacing w:line="276" w:lineRule="auto"/>
        <w:rPr>
          <w:color w:val="auto"/>
          <w:szCs w:val="17"/>
          <w:lang w:val="en-US"/>
        </w:rPr>
      </w:pPr>
    </w:p>
    <w:p w14:paraId="75E35BCA" w14:textId="77777777" w:rsidR="00A26D64" w:rsidRPr="00090CAA" w:rsidRDefault="00A26D64" w:rsidP="00A26D64">
      <w:pPr>
        <w:spacing w:line="276" w:lineRule="auto"/>
        <w:rPr>
          <w:sz w:val="17"/>
          <w:szCs w:val="17"/>
          <w:u w:val="single"/>
        </w:rPr>
      </w:pPr>
      <w:r>
        <w:rPr>
          <w:sz w:val="17"/>
          <w:szCs w:val="17"/>
          <w:u w:val="single"/>
        </w:rPr>
        <w:t>Emerging views of the (re)insurance sector</w:t>
      </w:r>
    </w:p>
    <w:p w14:paraId="2E454467" w14:textId="77777777" w:rsidR="00A26D64" w:rsidRPr="007B2E7B" w:rsidRDefault="00A26D64" w:rsidP="00A26D64">
      <w:pPr>
        <w:pStyle w:val="CEABullet-Level1"/>
        <w:numPr>
          <w:ilvl w:val="0"/>
          <w:numId w:val="0"/>
        </w:numPr>
        <w:spacing w:line="276" w:lineRule="auto"/>
        <w:rPr>
          <w:color w:val="auto"/>
          <w:szCs w:val="17"/>
          <w:lang w:val="en-US"/>
        </w:rPr>
      </w:pPr>
      <w:r w:rsidRPr="007B2E7B">
        <w:rPr>
          <w:color w:val="auto"/>
          <w:szCs w:val="17"/>
          <w:lang w:val="en-US"/>
        </w:rPr>
        <w:lastRenderedPageBreak/>
        <w:t>This question has been addressed by the EC’s second FAQ-16 (“the insurance line of business must contain a policy with terms related to the treatment of ‘climate perils’ in view of Appendix A to Annex II to the Climate Delegated Act in order to be counted for Taxonomy-eligibility”) and it has been seen individually by insurers with their auditors.</w:t>
      </w:r>
    </w:p>
    <w:p w14:paraId="325DEC2D" w14:textId="77777777" w:rsidR="00A26D64" w:rsidRPr="007B2E7B" w:rsidRDefault="00A26D64" w:rsidP="00A26D64">
      <w:pPr>
        <w:pStyle w:val="CEABullet-Level1"/>
        <w:numPr>
          <w:ilvl w:val="0"/>
          <w:numId w:val="0"/>
        </w:numPr>
        <w:spacing w:line="276" w:lineRule="auto"/>
        <w:rPr>
          <w:color w:val="auto"/>
          <w:szCs w:val="17"/>
          <w:lang w:val="en-US"/>
        </w:rPr>
      </w:pPr>
    </w:p>
    <w:p w14:paraId="583A3C22" w14:textId="77777777" w:rsidR="00A26D64" w:rsidRPr="007B2E7B" w:rsidRDefault="00A26D64" w:rsidP="00A26D64">
      <w:pPr>
        <w:pStyle w:val="CEABullet-Level1"/>
        <w:numPr>
          <w:ilvl w:val="0"/>
          <w:numId w:val="5"/>
        </w:numPr>
        <w:spacing w:line="276" w:lineRule="auto"/>
        <w:rPr>
          <w:color w:val="auto"/>
          <w:szCs w:val="17"/>
          <w:lang w:val="en-US"/>
        </w:rPr>
      </w:pPr>
      <w:r w:rsidRPr="007B2E7B">
        <w:rPr>
          <w:color w:val="auto"/>
          <w:szCs w:val="17"/>
          <w:lang w:val="en-US"/>
        </w:rPr>
        <w:t>How to treat health insurance (</w:t>
      </w:r>
      <w:proofErr w:type="gramStart"/>
      <w:r w:rsidRPr="007B2E7B">
        <w:rPr>
          <w:color w:val="auto"/>
          <w:szCs w:val="17"/>
          <w:lang w:val="en-US"/>
        </w:rPr>
        <w:t>i.e.</w:t>
      </w:r>
      <w:proofErr w:type="gramEnd"/>
      <w:r w:rsidRPr="007B2E7B">
        <w:rPr>
          <w:color w:val="auto"/>
          <w:szCs w:val="17"/>
          <w:lang w:val="en-US"/>
        </w:rPr>
        <w:t xml:space="preserve"> non-life) with an investments-based structure in analogy to life insurance – is the fact that it is non-life decisive (i.e. eligible) or the fact that it follows the approach of life insurance (i.e. non-eligible).</w:t>
      </w:r>
    </w:p>
    <w:p w14:paraId="4D21D09F" w14:textId="77777777" w:rsidR="00A26D64" w:rsidRPr="007B2E7B" w:rsidRDefault="00A26D64" w:rsidP="00A26D64">
      <w:pPr>
        <w:spacing w:line="276" w:lineRule="auto"/>
        <w:rPr>
          <w:sz w:val="17"/>
          <w:szCs w:val="17"/>
          <w:lang w:val="en-US"/>
        </w:rPr>
      </w:pPr>
    </w:p>
    <w:p w14:paraId="254D4FA9" w14:textId="77777777" w:rsidR="00A26D64" w:rsidRPr="007B2E7B" w:rsidRDefault="00A26D64" w:rsidP="00A26D64">
      <w:pPr>
        <w:spacing w:line="276" w:lineRule="auto"/>
        <w:rPr>
          <w:sz w:val="17"/>
          <w:szCs w:val="17"/>
          <w:lang w:val="en-US"/>
        </w:rPr>
      </w:pPr>
    </w:p>
    <w:p w14:paraId="21F5CF74" w14:textId="77777777" w:rsidR="00A26D64" w:rsidRPr="007B2E7B" w:rsidRDefault="00A26D64" w:rsidP="00A26D64">
      <w:pPr>
        <w:spacing w:line="276" w:lineRule="auto"/>
        <w:rPr>
          <w:i/>
          <w:iCs/>
          <w:sz w:val="17"/>
          <w:szCs w:val="17"/>
          <w:u w:val="single"/>
          <w:lang w:val="en-US"/>
        </w:rPr>
      </w:pPr>
      <w:r w:rsidRPr="007B2E7B">
        <w:rPr>
          <w:i/>
          <w:iCs/>
          <w:sz w:val="17"/>
          <w:szCs w:val="17"/>
          <w:u w:val="single"/>
          <w:lang w:val="en-US"/>
        </w:rPr>
        <w:t>Taxonomy alignment</w:t>
      </w:r>
    </w:p>
    <w:p w14:paraId="6E244C6F" w14:textId="77777777" w:rsidR="00A26D64" w:rsidRPr="007B2E7B" w:rsidRDefault="00A26D64" w:rsidP="00A26D64">
      <w:pPr>
        <w:spacing w:line="276" w:lineRule="auto"/>
        <w:rPr>
          <w:sz w:val="17"/>
          <w:szCs w:val="17"/>
          <w:lang w:val="en-US"/>
        </w:rPr>
      </w:pPr>
    </w:p>
    <w:p w14:paraId="0195407B" w14:textId="77777777" w:rsidR="00A26D64" w:rsidRPr="007B2E7B" w:rsidRDefault="00A26D64" w:rsidP="00A26D64">
      <w:pPr>
        <w:pStyle w:val="Odsekzoznamu"/>
        <w:numPr>
          <w:ilvl w:val="0"/>
          <w:numId w:val="5"/>
        </w:numPr>
        <w:spacing w:line="276" w:lineRule="auto"/>
        <w:jc w:val="both"/>
        <w:rPr>
          <w:rFonts w:ascii="Verdana" w:eastAsia="Times New Roman" w:hAnsi="Verdana" w:cs="Frutiger LT Std 45 Light"/>
          <w:sz w:val="17"/>
          <w:szCs w:val="17"/>
          <w:highlight w:val="yellow"/>
          <w:lang w:bidi="ar-SA"/>
        </w:rPr>
      </w:pPr>
      <w:r w:rsidRPr="007B2E7B">
        <w:rPr>
          <w:rFonts w:ascii="Verdana" w:eastAsia="Times New Roman" w:hAnsi="Verdana" w:cs="Frutiger LT Std 45 Light"/>
          <w:sz w:val="17"/>
          <w:szCs w:val="17"/>
          <w:highlight w:val="yellow"/>
          <w:lang w:bidi="ar-SA"/>
        </w:rPr>
        <w:t xml:space="preserve">For Taxonomy alignment, where </w:t>
      </w:r>
      <w:proofErr w:type="spellStart"/>
      <w:r w:rsidRPr="007B2E7B">
        <w:rPr>
          <w:rFonts w:ascii="Verdana" w:eastAsia="Times New Roman" w:hAnsi="Verdana" w:cs="Frutiger LT Std 45 Light"/>
          <w:sz w:val="17"/>
          <w:szCs w:val="17"/>
          <w:highlight w:val="yellow"/>
          <w:lang w:bidi="ar-SA"/>
        </w:rPr>
        <w:t>NatCat</w:t>
      </w:r>
      <w:proofErr w:type="spellEnd"/>
      <w:r w:rsidRPr="007B2E7B">
        <w:rPr>
          <w:rFonts w:ascii="Verdana" w:eastAsia="Times New Roman" w:hAnsi="Verdana" w:cs="Frutiger LT Std 45 Light"/>
          <w:sz w:val="17"/>
          <w:szCs w:val="17"/>
          <w:highlight w:val="yellow"/>
          <w:lang w:bidi="ar-SA"/>
        </w:rPr>
        <w:t xml:space="preserve"> cover is embedded in another wider product, </w:t>
      </w:r>
      <w:r w:rsidRPr="007B2E7B">
        <w:rPr>
          <w:rFonts w:ascii="Verdana" w:eastAsia="Times New Roman" w:hAnsi="Verdana" w:cs="Frutiger LT Std 45 Light"/>
          <w:b/>
          <w:bCs/>
          <w:sz w:val="17"/>
          <w:szCs w:val="17"/>
          <w:highlight w:val="yellow"/>
          <w:lang w:bidi="ar-SA"/>
        </w:rPr>
        <w:t>should insurers disclose only the relevant share of premium or the full premium for the product</w:t>
      </w:r>
      <w:r w:rsidRPr="007B2E7B">
        <w:rPr>
          <w:rFonts w:ascii="Verdana" w:eastAsia="Times New Roman" w:hAnsi="Verdana" w:cs="Frutiger LT Std 45 Light"/>
          <w:sz w:val="17"/>
          <w:szCs w:val="17"/>
          <w:highlight w:val="yellow"/>
          <w:lang w:bidi="ar-SA"/>
        </w:rPr>
        <w:t xml:space="preserve">? How do you then define the relevant share </w:t>
      </w:r>
      <w:proofErr w:type="spellStart"/>
      <w:proofErr w:type="gramStart"/>
      <w:r w:rsidRPr="007B2E7B">
        <w:rPr>
          <w:rFonts w:ascii="Verdana" w:eastAsia="Times New Roman" w:hAnsi="Verdana" w:cs="Frutiger LT Std 45 Light"/>
          <w:sz w:val="17"/>
          <w:szCs w:val="17"/>
          <w:highlight w:val="yellow"/>
          <w:lang w:bidi="ar-SA"/>
        </w:rPr>
        <w:t>eg</w:t>
      </w:r>
      <w:proofErr w:type="spellEnd"/>
      <w:proofErr w:type="gramEnd"/>
      <w:r w:rsidRPr="007B2E7B">
        <w:rPr>
          <w:rFonts w:ascii="Verdana" w:eastAsia="Times New Roman" w:hAnsi="Verdana" w:cs="Frutiger LT Std 45 Light"/>
          <w:sz w:val="17"/>
          <w:szCs w:val="17"/>
          <w:highlight w:val="yellow"/>
          <w:lang w:bidi="ar-SA"/>
        </w:rPr>
        <w:t xml:space="preserve"> in a home insurance covering </w:t>
      </w:r>
      <w:proofErr w:type="spellStart"/>
      <w:r w:rsidRPr="007B2E7B">
        <w:rPr>
          <w:rFonts w:ascii="Verdana" w:eastAsia="Times New Roman" w:hAnsi="Verdana" w:cs="Frutiger LT Std 45 Light"/>
          <w:sz w:val="17"/>
          <w:szCs w:val="17"/>
          <w:highlight w:val="yellow"/>
          <w:lang w:bidi="ar-SA"/>
        </w:rPr>
        <w:t>NatCat</w:t>
      </w:r>
      <w:proofErr w:type="spellEnd"/>
      <w:r w:rsidRPr="007B2E7B">
        <w:rPr>
          <w:rFonts w:ascii="Verdana" w:eastAsia="Times New Roman" w:hAnsi="Verdana" w:cs="Frutiger LT Std 45 Light"/>
          <w:sz w:val="17"/>
          <w:szCs w:val="17"/>
          <w:highlight w:val="yellow"/>
          <w:lang w:bidi="ar-SA"/>
        </w:rPr>
        <w:t xml:space="preserve"> as well as other non-climate relate perils?</w:t>
      </w:r>
    </w:p>
    <w:p w14:paraId="55D74F6D" w14:textId="77777777" w:rsidR="00A26D64" w:rsidRPr="007B2E7B" w:rsidRDefault="00A26D64" w:rsidP="00A26D64">
      <w:pPr>
        <w:spacing w:line="276" w:lineRule="auto"/>
        <w:rPr>
          <w:rFonts w:cs="Frutiger LT Std 45 Light"/>
          <w:sz w:val="17"/>
          <w:szCs w:val="17"/>
        </w:rPr>
      </w:pPr>
    </w:p>
    <w:p w14:paraId="400EF0E6" w14:textId="77777777" w:rsidR="00A26D64" w:rsidRPr="00090CAA" w:rsidRDefault="00A26D64" w:rsidP="00A26D64">
      <w:pPr>
        <w:spacing w:line="276" w:lineRule="auto"/>
        <w:rPr>
          <w:sz w:val="17"/>
          <w:szCs w:val="17"/>
          <w:u w:val="single"/>
        </w:rPr>
      </w:pPr>
      <w:r>
        <w:rPr>
          <w:sz w:val="17"/>
          <w:szCs w:val="17"/>
          <w:u w:val="single"/>
        </w:rPr>
        <w:t>Emerging views of the (re)insurance sector</w:t>
      </w:r>
    </w:p>
    <w:p w14:paraId="183C86DE" w14:textId="77777777" w:rsidR="00A26D64" w:rsidRPr="007B2E7B" w:rsidRDefault="00A26D64" w:rsidP="00A26D64">
      <w:pPr>
        <w:spacing w:line="276" w:lineRule="auto"/>
        <w:rPr>
          <w:rFonts w:cs="Frutiger LT Std 45 Light"/>
          <w:sz w:val="17"/>
          <w:szCs w:val="17"/>
        </w:rPr>
      </w:pPr>
      <w:r w:rsidRPr="007B2E7B">
        <w:rPr>
          <w:rFonts w:cs="Frutiger LT Std 45 Light"/>
          <w:sz w:val="17"/>
          <w:szCs w:val="17"/>
        </w:rPr>
        <w:t xml:space="preserve">In line with the Climate Delegated Act Annex II’s description of the eligible non-life insurance activity, there should be some climate-related cover in the </w:t>
      </w:r>
      <w:proofErr w:type="spellStart"/>
      <w:r w:rsidRPr="007B2E7B">
        <w:rPr>
          <w:rFonts w:cs="Frutiger LT Std 45 Light"/>
          <w:sz w:val="17"/>
          <w:szCs w:val="17"/>
        </w:rPr>
        <w:t>LoBs</w:t>
      </w:r>
      <w:proofErr w:type="spellEnd"/>
      <w:r w:rsidRPr="007B2E7B">
        <w:rPr>
          <w:rFonts w:cs="Frutiger LT Std 45 Light"/>
          <w:sz w:val="17"/>
          <w:szCs w:val="17"/>
        </w:rPr>
        <w:t xml:space="preserve">. Following the Article 8 Delegated Act objective to facilitate reporting during the first two years (eligibility reporting), once the </w:t>
      </w:r>
      <w:proofErr w:type="spellStart"/>
      <w:r w:rsidRPr="007B2E7B">
        <w:rPr>
          <w:rFonts w:cs="Frutiger LT Std 45 Light"/>
          <w:sz w:val="17"/>
          <w:szCs w:val="17"/>
        </w:rPr>
        <w:t>LoB</w:t>
      </w:r>
      <w:proofErr w:type="spellEnd"/>
      <w:r w:rsidRPr="007B2E7B">
        <w:rPr>
          <w:rFonts w:cs="Frutiger LT Std 45 Light"/>
          <w:sz w:val="17"/>
          <w:szCs w:val="17"/>
        </w:rPr>
        <w:t xml:space="preserve">-level analysis confirms there is climate-related coverage, the full GWP for that </w:t>
      </w:r>
      <w:proofErr w:type="spellStart"/>
      <w:r w:rsidRPr="007B2E7B">
        <w:rPr>
          <w:rFonts w:cs="Frutiger LT Std 45 Light"/>
          <w:sz w:val="17"/>
          <w:szCs w:val="17"/>
        </w:rPr>
        <w:t>LoB</w:t>
      </w:r>
      <w:proofErr w:type="spellEnd"/>
      <w:r w:rsidRPr="007B2E7B">
        <w:rPr>
          <w:rFonts w:cs="Frutiger LT Std 45 Light"/>
          <w:sz w:val="17"/>
          <w:szCs w:val="17"/>
        </w:rPr>
        <w:t xml:space="preserve"> should be the starting point for reporting.</w:t>
      </w:r>
    </w:p>
    <w:p w14:paraId="650EA7EC" w14:textId="77777777" w:rsidR="00A26D64" w:rsidRPr="007B2E7B" w:rsidRDefault="00A26D64" w:rsidP="00A26D64">
      <w:pPr>
        <w:spacing w:line="276" w:lineRule="auto"/>
        <w:rPr>
          <w:rFonts w:cs="Frutiger LT Std 45 Light"/>
          <w:sz w:val="17"/>
          <w:szCs w:val="17"/>
        </w:rPr>
      </w:pPr>
      <w:r w:rsidRPr="007B2E7B">
        <w:rPr>
          <w:rFonts w:cs="Frutiger LT Std 45 Light"/>
          <w:sz w:val="17"/>
          <w:szCs w:val="17"/>
        </w:rPr>
        <w:t xml:space="preserve"> </w:t>
      </w:r>
    </w:p>
    <w:p w14:paraId="7E4CE831" w14:textId="77777777" w:rsidR="00A26D64" w:rsidRPr="007B2E7B" w:rsidRDefault="00A26D64" w:rsidP="00A26D64">
      <w:pPr>
        <w:spacing w:line="276" w:lineRule="auto"/>
        <w:rPr>
          <w:rFonts w:cs="Frutiger LT Std 45 Light"/>
          <w:sz w:val="17"/>
          <w:szCs w:val="17"/>
        </w:rPr>
      </w:pPr>
      <w:r w:rsidRPr="007B2E7B">
        <w:rPr>
          <w:rFonts w:cs="Frutiger LT Std 45 Light"/>
          <w:sz w:val="17"/>
          <w:szCs w:val="17"/>
        </w:rPr>
        <w:t>Furthermore, the taxonomy alignment should:</w:t>
      </w:r>
    </w:p>
    <w:p w14:paraId="6774895F" w14:textId="77777777" w:rsidR="00A26D64" w:rsidRPr="007B2E7B" w:rsidRDefault="00A26D64" w:rsidP="00A26D64">
      <w:pPr>
        <w:pStyle w:val="CEABullet-Level1"/>
        <w:numPr>
          <w:ilvl w:val="0"/>
          <w:numId w:val="4"/>
        </w:numPr>
        <w:spacing w:line="276" w:lineRule="auto"/>
        <w:rPr>
          <w:color w:val="auto"/>
          <w:szCs w:val="17"/>
          <w:lang w:val="en-US"/>
        </w:rPr>
      </w:pPr>
      <w:r w:rsidRPr="007B2E7B">
        <w:rPr>
          <w:color w:val="auto"/>
          <w:szCs w:val="17"/>
          <w:lang w:val="en-US"/>
        </w:rPr>
        <w:t>Clearly distinguish the TSC for insurers and those for reinsurers</w:t>
      </w:r>
    </w:p>
    <w:p w14:paraId="7CC6FF2A" w14:textId="77777777" w:rsidR="00A26D64" w:rsidRPr="007B2E7B" w:rsidRDefault="00A26D64" w:rsidP="00A26D64">
      <w:pPr>
        <w:pStyle w:val="CEABullet-Level3"/>
        <w:numPr>
          <w:ilvl w:val="0"/>
          <w:numId w:val="4"/>
        </w:numPr>
        <w:rPr>
          <w:color w:val="auto"/>
        </w:rPr>
      </w:pPr>
      <w:r w:rsidRPr="007B2E7B">
        <w:rPr>
          <w:color w:val="auto"/>
        </w:rPr>
        <w:t>Consider that reporting on taxonomy-alignment will require reinsurers to gather information from insurers not subject to the NFRD. To facilitate this process, the interpretation of the TSC for insurers should therefore be as simple and business-relevant as much as possible.</w:t>
      </w:r>
    </w:p>
    <w:p w14:paraId="7937DF8C" w14:textId="77777777" w:rsidR="00A26D64" w:rsidRPr="007B2E7B" w:rsidRDefault="00A26D64" w:rsidP="00A26D64">
      <w:pPr>
        <w:spacing w:line="276" w:lineRule="auto"/>
        <w:rPr>
          <w:rFonts w:cs="Frutiger LT Std 45 Light"/>
          <w:sz w:val="17"/>
          <w:szCs w:val="17"/>
        </w:rPr>
      </w:pPr>
    </w:p>
    <w:p w14:paraId="6F87F046" w14:textId="77777777" w:rsidR="00A26D64" w:rsidRPr="007B2E7B" w:rsidRDefault="00A26D64" w:rsidP="00A26D64">
      <w:pPr>
        <w:spacing w:line="276" w:lineRule="auto"/>
        <w:rPr>
          <w:rFonts w:cs="Frutiger LT Std 45 Light"/>
          <w:sz w:val="17"/>
          <w:szCs w:val="17"/>
        </w:rPr>
      </w:pPr>
    </w:p>
    <w:p w14:paraId="4D19955B" w14:textId="77777777" w:rsidR="00A26D64" w:rsidRPr="007B2E7B" w:rsidRDefault="00A26D64" w:rsidP="00A26D64">
      <w:pPr>
        <w:pStyle w:val="Odsekzoznamu"/>
        <w:numPr>
          <w:ilvl w:val="0"/>
          <w:numId w:val="5"/>
        </w:numPr>
        <w:spacing w:line="276" w:lineRule="auto"/>
        <w:jc w:val="both"/>
        <w:rPr>
          <w:rFonts w:ascii="Verdana" w:eastAsia="Times New Roman" w:hAnsi="Verdana" w:cs="Frutiger LT Std 45 Light"/>
          <w:sz w:val="17"/>
          <w:szCs w:val="17"/>
          <w:highlight w:val="yellow"/>
          <w:lang w:bidi="ar-SA"/>
        </w:rPr>
      </w:pPr>
      <w:r w:rsidRPr="007B2E7B">
        <w:rPr>
          <w:rFonts w:ascii="Verdana" w:eastAsia="Times New Roman" w:hAnsi="Verdana" w:cs="Frutiger LT Std 45 Light"/>
          <w:b/>
          <w:bCs/>
          <w:sz w:val="17"/>
          <w:szCs w:val="17"/>
          <w:highlight w:val="yellow"/>
          <w:lang w:bidi="ar-SA"/>
        </w:rPr>
        <w:t xml:space="preserve">In case the </w:t>
      </w:r>
      <w:proofErr w:type="spellStart"/>
      <w:r w:rsidRPr="007B2E7B">
        <w:rPr>
          <w:rFonts w:ascii="Verdana" w:eastAsia="Times New Roman" w:hAnsi="Verdana" w:cs="Frutiger LT Std 45 Light"/>
          <w:b/>
          <w:bCs/>
          <w:sz w:val="17"/>
          <w:szCs w:val="17"/>
          <w:highlight w:val="yellow"/>
          <w:lang w:bidi="ar-SA"/>
        </w:rPr>
        <w:t>NatCat</w:t>
      </w:r>
      <w:proofErr w:type="spellEnd"/>
      <w:r w:rsidRPr="007B2E7B">
        <w:rPr>
          <w:rFonts w:ascii="Verdana" w:eastAsia="Times New Roman" w:hAnsi="Verdana" w:cs="Frutiger LT Std 45 Light"/>
          <w:b/>
          <w:bCs/>
          <w:sz w:val="17"/>
          <w:szCs w:val="17"/>
          <w:highlight w:val="yellow"/>
          <w:lang w:bidi="ar-SA"/>
        </w:rPr>
        <w:t xml:space="preserve"> perils are not explicitly priced within the different </w:t>
      </w:r>
      <w:proofErr w:type="spellStart"/>
      <w:r w:rsidRPr="007B2E7B">
        <w:rPr>
          <w:rFonts w:ascii="Verdana" w:eastAsia="Times New Roman" w:hAnsi="Verdana" w:cs="Frutiger LT Std 45 Light"/>
          <w:b/>
          <w:bCs/>
          <w:sz w:val="17"/>
          <w:szCs w:val="17"/>
          <w:highlight w:val="yellow"/>
          <w:lang w:bidi="ar-SA"/>
        </w:rPr>
        <w:t>LoBs</w:t>
      </w:r>
      <w:proofErr w:type="spellEnd"/>
      <w:r w:rsidRPr="007B2E7B">
        <w:rPr>
          <w:rFonts w:ascii="Verdana" w:eastAsia="Times New Roman" w:hAnsi="Verdana" w:cs="Frutiger LT Std 45 Light"/>
          <w:b/>
          <w:bCs/>
          <w:sz w:val="17"/>
          <w:szCs w:val="17"/>
          <w:highlight w:val="yellow"/>
          <w:lang w:bidi="ar-SA"/>
        </w:rPr>
        <w:t xml:space="preserve"> in a given product, is it possible to use (supported/justified) proxies</w:t>
      </w:r>
      <w:r w:rsidRPr="007B2E7B">
        <w:rPr>
          <w:rFonts w:ascii="Verdana" w:eastAsia="Times New Roman" w:hAnsi="Verdana" w:cs="Frutiger LT Std 45 Light"/>
          <w:sz w:val="17"/>
          <w:szCs w:val="17"/>
          <w:highlight w:val="yellow"/>
          <w:lang w:bidi="ar-SA"/>
        </w:rPr>
        <w:t xml:space="preserve">, based upon the charge of Nat Cat incurred cost of claims for a given </w:t>
      </w:r>
      <w:proofErr w:type="spellStart"/>
      <w:r w:rsidRPr="007B2E7B">
        <w:rPr>
          <w:rFonts w:ascii="Verdana" w:eastAsia="Times New Roman" w:hAnsi="Verdana" w:cs="Frutiger LT Std 45 Light"/>
          <w:sz w:val="17"/>
          <w:szCs w:val="17"/>
          <w:highlight w:val="yellow"/>
          <w:lang w:bidi="ar-SA"/>
        </w:rPr>
        <w:t>LoB</w:t>
      </w:r>
      <w:proofErr w:type="spellEnd"/>
      <w:r w:rsidRPr="007B2E7B">
        <w:rPr>
          <w:rFonts w:ascii="Verdana" w:eastAsia="Times New Roman" w:hAnsi="Verdana" w:cs="Frutiger LT Std 45 Light"/>
          <w:sz w:val="17"/>
          <w:szCs w:val="17"/>
          <w:highlight w:val="yellow"/>
          <w:lang w:bidi="ar-SA"/>
        </w:rPr>
        <w:t xml:space="preserve">? For what period would the usage of supported/justified proxies be allowed? Or could products where </w:t>
      </w:r>
      <w:proofErr w:type="spellStart"/>
      <w:r w:rsidRPr="007B2E7B">
        <w:rPr>
          <w:rFonts w:ascii="Verdana" w:eastAsia="Times New Roman" w:hAnsi="Verdana" w:cs="Frutiger LT Std 45 Light"/>
          <w:sz w:val="17"/>
          <w:szCs w:val="17"/>
          <w:highlight w:val="yellow"/>
          <w:lang w:bidi="ar-SA"/>
        </w:rPr>
        <w:t>NatCat</w:t>
      </w:r>
      <w:proofErr w:type="spellEnd"/>
      <w:r w:rsidRPr="007B2E7B">
        <w:rPr>
          <w:rFonts w:ascii="Verdana" w:eastAsia="Times New Roman" w:hAnsi="Verdana" w:cs="Frutiger LT Std 45 Light"/>
          <w:sz w:val="17"/>
          <w:szCs w:val="17"/>
          <w:highlight w:val="yellow"/>
          <w:lang w:bidi="ar-SA"/>
        </w:rPr>
        <w:t xml:space="preserve"> risks are not priced anyway not qualify as Taxonomy-aligned?</w:t>
      </w:r>
    </w:p>
    <w:p w14:paraId="69839B7F" w14:textId="77777777" w:rsidR="00A26D64" w:rsidRPr="007B2E7B" w:rsidRDefault="00A26D64" w:rsidP="00A26D64">
      <w:pPr>
        <w:spacing w:line="276" w:lineRule="auto"/>
        <w:rPr>
          <w:rFonts w:cs="Frutiger LT Std 45 Light"/>
          <w:sz w:val="17"/>
          <w:szCs w:val="17"/>
        </w:rPr>
      </w:pPr>
    </w:p>
    <w:p w14:paraId="78F1565D" w14:textId="77777777" w:rsidR="00A26D64" w:rsidRPr="00090CAA" w:rsidRDefault="00A26D64" w:rsidP="00A26D64">
      <w:pPr>
        <w:spacing w:line="276" w:lineRule="auto"/>
        <w:rPr>
          <w:sz w:val="17"/>
          <w:szCs w:val="17"/>
          <w:u w:val="single"/>
        </w:rPr>
      </w:pPr>
      <w:r>
        <w:rPr>
          <w:sz w:val="17"/>
          <w:szCs w:val="17"/>
          <w:u w:val="single"/>
        </w:rPr>
        <w:t>Emerging views of the (re)insurance sector</w:t>
      </w:r>
    </w:p>
    <w:p w14:paraId="5D8B17F5" w14:textId="77777777" w:rsidR="00A26D64" w:rsidRPr="007B2E7B" w:rsidRDefault="00A26D64" w:rsidP="00A26D64">
      <w:pPr>
        <w:spacing w:line="276" w:lineRule="auto"/>
        <w:rPr>
          <w:rFonts w:cs="Frutiger LT Std 45 Light"/>
          <w:sz w:val="17"/>
          <w:szCs w:val="17"/>
        </w:rPr>
      </w:pPr>
      <w:r w:rsidRPr="007B2E7B">
        <w:rPr>
          <w:rFonts w:cs="Frutiger LT Std 45 Light"/>
          <w:sz w:val="17"/>
          <w:szCs w:val="17"/>
        </w:rPr>
        <w:t xml:space="preserve">The use of proxies should be allowed to avoid excessively restricting the scope of reporting and to facilitate a proper set-up of the processes and procedures. The methodology to be used will depend on the </w:t>
      </w:r>
      <w:proofErr w:type="spellStart"/>
      <w:r w:rsidRPr="007B2E7B">
        <w:rPr>
          <w:rFonts w:cs="Frutiger LT Std 45 Light"/>
          <w:sz w:val="17"/>
          <w:szCs w:val="17"/>
        </w:rPr>
        <w:t>LoB</w:t>
      </w:r>
      <w:proofErr w:type="spellEnd"/>
      <w:r w:rsidRPr="007B2E7B">
        <w:rPr>
          <w:rFonts w:cs="Frutiger LT Std 45 Light"/>
          <w:sz w:val="17"/>
          <w:szCs w:val="17"/>
        </w:rPr>
        <w:t xml:space="preserve">/geography/type of coverage provided. The charge of </w:t>
      </w:r>
      <w:proofErr w:type="spellStart"/>
      <w:r w:rsidRPr="007B2E7B">
        <w:rPr>
          <w:rFonts w:cs="Frutiger LT Std 45 Light"/>
          <w:sz w:val="17"/>
          <w:szCs w:val="17"/>
        </w:rPr>
        <w:t>NatCat</w:t>
      </w:r>
      <w:proofErr w:type="spellEnd"/>
      <w:r w:rsidRPr="007B2E7B">
        <w:rPr>
          <w:rFonts w:cs="Frutiger LT Std 45 Light"/>
          <w:sz w:val="17"/>
          <w:szCs w:val="17"/>
        </w:rPr>
        <w:t xml:space="preserve"> gross incurred cost of claims for a given </w:t>
      </w:r>
      <w:proofErr w:type="spellStart"/>
      <w:r w:rsidRPr="007B2E7B">
        <w:rPr>
          <w:rFonts w:cs="Frutiger LT Std 45 Light"/>
          <w:sz w:val="17"/>
          <w:szCs w:val="17"/>
        </w:rPr>
        <w:t>LoB</w:t>
      </w:r>
      <w:proofErr w:type="spellEnd"/>
      <w:r w:rsidRPr="007B2E7B">
        <w:rPr>
          <w:rFonts w:cs="Frutiger LT Std 45 Light"/>
          <w:sz w:val="17"/>
          <w:szCs w:val="17"/>
        </w:rPr>
        <w:t xml:space="preserve"> (not just the part exceeding the reinsurance thresholds for this protection) can be considered as one of the possible methodologies to be used. </w:t>
      </w:r>
    </w:p>
    <w:p w14:paraId="3C22FAAE" w14:textId="77777777" w:rsidR="00A26D64" w:rsidRPr="007B2E7B" w:rsidRDefault="00A26D64" w:rsidP="00A26D64">
      <w:pPr>
        <w:spacing w:line="276" w:lineRule="auto"/>
        <w:rPr>
          <w:rFonts w:cs="Frutiger LT Std 45 Light"/>
          <w:sz w:val="17"/>
          <w:szCs w:val="17"/>
        </w:rPr>
      </w:pPr>
    </w:p>
    <w:p w14:paraId="24F7B589" w14:textId="77777777" w:rsidR="00A26D64" w:rsidRPr="007B2E7B" w:rsidRDefault="00A26D64" w:rsidP="00A26D64">
      <w:pPr>
        <w:pStyle w:val="Odsekzoznamu"/>
        <w:numPr>
          <w:ilvl w:val="0"/>
          <w:numId w:val="5"/>
        </w:numPr>
        <w:spacing w:line="276" w:lineRule="auto"/>
        <w:jc w:val="both"/>
        <w:rPr>
          <w:rFonts w:ascii="Verdana" w:eastAsia="Times New Roman" w:hAnsi="Verdana" w:cs="Frutiger LT Std 45 Light"/>
          <w:sz w:val="17"/>
          <w:szCs w:val="17"/>
          <w:lang w:bidi="ar-SA"/>
        </w:rPr>
      </w:pPr>
      <w:r w:rsidRPr="007B2E7B">
        <w:rPr>
          <w:rFonts w:ascii="Verdana" w:eastAsia="Times New Roman" w:hAnsi="Verdana" w:cs="Frutiger LT Std 45 Light"/>
          <w:sz w:val="17"/>
          <w:szCs w:val="17"/>
          <w:lang w:bidi="ar-SA"/>
        </w:rPr>
        <w:t>Do no Significant Harm (DNSH</w:t>
      </w:r>
      <w:proofErr w:type="gramStart"/>
      <w:r w:rsidRPr="007B2E7B">
        <w:rPr>
          <w:rFonts w:ascii="Verdana" w:eastAsia="Times New Roman" w:hAnsi="Verdana" w:cs="Frutiger LT Std 45 Light"/>
          <w:sz w:val="17"/>
          <w:szCs w:val="17"/>
          <w:lang w:bidi="ar-SA"/>
        </w:rPr>
        <w:t>):</w:t>
      </w:r>
      <w:proofErr w:type="gramEnd"/>
    </w:p>
    <w:p w14:paraId="4DFC17D1" w14:textId="77777777" w:rsidR="00A26D64" w:rsidRPr="007B2E7B" w:rsidRDefault="00A26D64" w:rsidP="00A26D64">
      <w:pPr>
        <w:pStyle w:val="Odsekzoznamu"/>
        <w:numPr>
          <w:ilvl w:val="1"/>
          <w:numId w:val="5"/>
        </w:numPr>
        <w:spacing w:line="276" w:lineRule="auto"/>
        <w:jc w:val="both"/>
        <w:rPr>
          <w:rFonts w:ascii="Verdana" w:eastAsia="Times New Roman" w:hAnsi="Verdana" w:cs="Frutiger LT Std 45 Light"/>
          <w:sz w:val="17"/>
          <w:szCs w:val="17"/>
          <w:lang w:bidi="ar-SA"/>
        </w:rPr>
      </w:pPr>
      <w:r w:rsidRPr="007B2E7B">
        <w:rPr>
          <w:rFonts w:ascii="Verdana" w:eastAsia="Times New Roman" w:hAnsi="Verdana" w:cs="Frutiger LT Std 45 Light"/>
          <w:b/>
          <w:sz w:val="17"/>
          <w:szCs w:val="17"/>
          <w:lang w:bidi="ar-SA"/>
        </w:rPr>
        <w:t>To be applied in entirety</w:t>
      </w:r>
      <w:r w:rsidRPr="007B2E7B">
        <w:rPr>
          <w:rFonts w:ascii="Verdana" w:eastAsia="Times New Roman" w:hAnsi="Verdana" w:cs="Frutiger LT Std 45 Light"/>
          <w:sz w:val="17"/>
          <w:szCs w:val="17"/>
          <w:lang w:bidi="ar-SA"/>
        </w:rPr>
        <w:t xml:space="preserve"> (</w:t>
      </w:r>
      <w:proofErr w:type="gramStart"/>
      <w:r w:rsidRPr="007B2E7B">
        <w:rPr>
          <w:rFonts w:ascii="Verdana" w:eastAsia="Times New Roman" w:hAnsi="Verdana" w:cs="Frutiger LT Std 45 Light"/>
          <w:sz w:val="17"/>
          <w:szCs w:val="17"/>
          <w:lang w:bidi="ar-SA"/>
        </w:rPr>
        <w:t>e.g.</w:t>
      </w:r>
      <w:proofErr w:type="gramEnd"/>
      <w:r w:rsidRPr="007B2E7B">
        <w:rPr>
          <w:rFonts w:ascii="Verdana" w:eastAsia="Times New Roman" w:hAnsi="Verdana" w:cs="Frutiger LT Std 45 Light"/>
          <w:sz w:val="17"/>
          <w:szCs w:val="17"/>
          <w:lang w:bidi="ar-SA"/>
        </w:rPr>
        <w:t xml:space="preserve"> DNSH not fulfilled because insured activity relates to fossil fuels to some extent, irrespective of extent, e.g. also if there is just one truck insured that transports fossil fuels, everything else fulfills DNSH) or based on materiality threshold (e.g. DNSH not fulfilled if XX % of insured activity relates to fossil fuels)? </w:t>
      </w:r>
    </w:p>
    <w:p w14:paraId="5B2A9EF7" w14:textId="77777777" w:rsidR="00A26D64" w:rsidRPr="007B2E7B" w:rsidRDefault="00A26D64" w:rsidP="00A26D64">
      <w:pPr>
        <w:pStyle w:val="Odsekzoznamu"/>
        <w:numPr>
          <w:ilvl w:val="1"/>
          <w:numId w:val="5"/>
        </w:numPr>
        <w:spacing w:line="276" w:lineRule="auto"/>
        <w:jc w:val="both"/>
        <w:rPr>
          <w:rFonts w:ascii="Verdana" w:eastAsia="Times New Roman" w:hAnsi="Verdana" w:cs="Frutiger LT Std 45 Light"/>
          <w:sz w:val="17"/>
          <w:szCs w:val="17"/>
          <w:highlight w:val="yellow"/>
          <w:lang w:bidi="ar-SA"/>
        </w:rPr>
      </w:pPr>
      <w:r w:rsidRPr="007B2E7B">
        <w:rPr>
          <w:rFonts w:ascii="Verdana" w:eastAsia="Times New Roman" w:hAnsi="Verdana" w:cs="Frutiger LT Std 45 Light"/>
          <w:b/>
          <w:bCs/>
          <w:sz w:val="17"/>
          <w:szCs w:val="17"/>
          <w:highlight w:val="yellow"/>
          <w:lang w:bidi="ar-SA"/>
        </w:rPr>
        <w:t>To be applied at the level of entire insured party</w:t>
      </w:r>
      <w:r w:rsidRPr="007B2E7B">
        <w:rPr>
          <w:rFonts w:ascii="Verdana" w:eastAsia="Times New Roman" w:hAnsi="Verdana" w:cs="Frutiger LT Std 45 Light"/>
          <w:sz w:val="17"/>
          <w:szCs w:val="17"/>
          <w:highlight w:val="yellow"/>
          <w:lang w:bidi="ar-SA"/>
        </w:rPr>
        <w:t xml:space="preserve"> (</w:t>
      </w:r>
      <w:proofErr w:type="gramStart"/>
      <w:r w:rsidRPr="007B2E7B">
        <w:rPr>
          <w:rFonts w:ascii="Verdana" w:eastAsia="Times New Roman" w:hAnsi="Verdana" w:cs="Frutiger LT Std 45 Light"/>
          <w:sz w:val="17"/>
          <w:szCs w:val="17"/>
          <w:highlight w:val="yellow"/>
          <w:lang w:bidi="ar-SA"/>
        </w:rPr>
        <w:t>e.g.</w:t>
      </w:r>
      <w:proofErr w:type="gramEnd"/>
      <w:r w:rsidRPr="007B2E7B">
        <w:rPr>
          <w:rFonts w:ascii="Verdana" w:eastAsia="Times New Roman" w:hAnsi="Verdana" w:cs="Frutiger LT Std 45 Light"/>
          <w:sz w:val="17"/>
          <w:szCs w:val="17"/>
          <w:highlight w:val="yellow"/>
          <w:lang w:bidi="ar-SA"/>
        </w:rPr>
        <w:t xml:space="preserve"> DNSH not fulfilled because insured party as part of one activity stores fossil fuels, although this activity is not covered by the insurance contract) or at the level of the insured activity?</w:t>
      </w:r>
    </w:p>
    <w:p w14:paraId="0D21551B" w14:textId="77777777" w:rsidR="00A26D64" w:rsidRPr="007B2E7B" w:rsidRDefault="00A26D64" w:rsidP="00A26D64">
      <w:pPr>
        <w:spacing w:line="276" w:lineRule="auto"/>
        <w:rPr>
          <w:sz w:val="17"/>
          <w:szCs w:val="17"/>
        </w:rPr>
      </w:pPr>
    </w:p>
    <w:p w14:paraId="52CAAB73" w14:textId="77777777" w:rsidR="00A26D64" w:rsidRPr="00090CAA" w:rsidRDefault="00A26D64" w:rsidP="00A26D64">
      <w:pPr>
        <w:spacing w:line="276" w:lineRule="auto"/>
        <w:rPr>
          <w:sz w:val="17"/>
          <w:szCs w:val="17"/>
          <w:u w:val="single"/>
        </w:rPr>
      </w:pPr>
      <w:r>
        <w:rPr>
          <w:sz w:val="17"/>
          <w:szCs w:val="17"/>
          <w:u w:val="single"/>
        </w:rPr>
        <w:t>Emerging views of the (re)insurance sector</w:t>
      </w:r>
    </w:p>
    <w:p w14:paraId="44202EEC" w14:textId="77777777" w:rsidR="00A26D64" w:rsidRPr="007B2E7B" w:rsidRDefault="00A26D64" w:rsidP="00A26D64">
      <w:pPr>
        <w:spacing w:line="276" w:lineRule="auto"/>
        <w:rPr>
          <w:sz w:val="17"/>
          <w:szCs w:val="17"/>
        </w:rPr>
      </w:pPr>
      <w:r w:rsidRPr="007B2E7B">
        <w:rPr>
          <w:sz w:val="17"/>
          <w:szCs w:val="17"/>
        </w:rPr>
        <w:t xml:space="preserve">Insurers take the approach of an activity-by-activity assessment building on NACE codes and the use of the NACE codes related to the fossil fuel value chain proposed by SBTi. With regard to other elements of the value chain, an insurer can decide whether to include them or not (as coverage of the commercial fleet /additional </w:t>
      </w:r>
      <w:r w:rsidRPr="007B2E7B">
        <w:rPr>
          <w:sz w:val="17"/>
          <w:szCs w:val="17"/>
        </w:rPr>
        <w:lastRenderedPageBreak/>
        <w:t>services). Insurers should be transparent about the key assumptions made in the qualitative information that supports the quantitative KPI.</w:t>
      </w:r>
    </w:p>
    <w:p w14:paraId="21B4ECE7" w14:textId="77777777" w:rsidR="00A26D64" w:rsidRPr="007B2E7B" w:rsidRDefault="00A26D64" w:rsidP="00A26D64">
      <w:pPr>
        <w:spacing w:line="276" w:lineRule="auto"/>
        <w:rPr>
          <w:sz w:val="17"/>
          <w:szCs w:val="17"/>
        </w:rPr>
      </w:pPr>
      <w:r w:rsidRPr="007B2E7B">
        <w:rPr>
          <w:sz w:val="17"/>
          <w:szCs w:val="17"/>
        </w:rPr>
        <w:t>Looking at reinsurance, the approaches based on activity-by-activity assessment and value chain are often not possible for some products. This is particularly true due to the required granularity of required information.</w:t>
      </w:r>
    </w:p>
    <w:p w14:paraId="34F1133D" w14:textId="77777777" w:rsidR="00A26D64" w:rsidRPr="007B2E7B" w:rsidRDefault="00A26D64" w:rsidP="00A26D64">
      <w:pPr>
        <w:spacing w:line="276" w:lineRule="auto"/>
        <w:rPr>
          <w:sz w:val="17"/>
          <w:szCs w:val="17"/>
        </w:rPr>
      </w:pPr>
    </w:p>
    <w:p w14:paraId="1F7BE347" w14:textId="77777777" w:rsidR="00A26D64" w:rsidRPr="007B2E7B" w:rsidRDefault="00A26D64" w:rsidP="00A26D64">
      <w:pPr>
        <w:spacing w:line="276" w:lineRule="auto"/>
        <w:rPr>
          <w:sz w:val="17"/>
          <w:szCs w:val="17"/>
        </w:rPr>
      </w:pPr>
    </w:p>
    <w:p w14:paraId="6ECAE5A5" w14:textId="77777777" w:rsidR="00A26D64" w:rsidRPr="007B2E7B" w:rsidRDefault="00A26D64" w:rsidP="00A26D64">
      <w:pPr>
        <w:shd w:val="clear" w:color="auto" w:fill="F2F2F2" w:themeFill="background1" w:themeFillShade="F2"/>
        <w:spacing w:line="276" w:lineRule="auto"/>
        <w:rPr>
          <w:sz w:val="17"/>
          <w:szCs w:val="17"/>
        </w:rPr>
      </w:pPr>
      <w:r w:rsidRPr="007B2E7B">
        <w:rPr>
          <w:b/>
          <w:bCs/>
          <w:sz w:val="17"/>
          <w:szCs w:val="17"/>
          <w:u w:val="single"/>
        </w:rPr>
        <w:t>Investment</w:t>
      </w:r>
    </w:p>
    <w:p w14:paraId="78D8D663" w14:textId="77777777" w:rsidR="00A26D64" w:rsidRPr="007B2E7B" w:rsidRDefault="00A26D64" w:rsidP="00A26D64">
      <w:pPr>
        <w:spacing w:line="276" w:lineRule="auto"/>
        <w:rPr>
          <w:sz w:val="17"/>
          <w:szCs w:val="17"/>
        </w:rPr>
      </w:pPr>
    </w:p>
    <w:p w14:paraId="31A58016" w14:textId="77777777" w:rsidR="00A26D64" w:rsidRPr="007B2E7B" w:rsidRDefault="00A26D64" w:rsidP="00A26D64">
      <w:pPr>
        <w:spacing w:line="276" w:lineRule="auto"/>
        <w:rPr>
          <w:i/>
          <w:iCs/>
          <w:sz w:val="17"/>
          <w:szCs w:val="17"/>
          <w:u w:val="single"/>
        </w:rPr>
      </w:pPr>
      <w:r w:rsidRPr="007B2E7B">
        <w:rPr>
          <w:i/>
          <w:iCs/>
          <w:sz w:val="17"/>
          <w:szCs w:val="17"/>
          <w:u w:val="single"/>
        </w:rPr>
        <w:t>Taxonomy eligibility and Taxonomy alignment</w:t>
      </w:r>
    </w:p>
    <w:p w14:paraId="352FAA07" w14:textId="77777777" w:rsidR="00A26D64" w:rsidRPr="007B2E7B" w:rsidRDefault="00A26D64" w:rsidP="00A26D64">
      <w:pPr>
        <w:spacing w:line="276" w:lineRule="auto"/>
        <w:rPr>
          <w:sz w:val="17"/>
          <w:szCs w:val="17"/>
        </w:rPr>
      </w:pPr>
    </w:p>
    <w:p w14:paraId="009AA6D0" w14:textId="77777777" w:rsidR="00A26D64" w:rsidRPr="007B2E7B" w:rsidRDefault="00A26D64" w:rsidP="00A26D64">
      <w:pPr>
        <w:pStyle w:val="Odsekzoznamu"/>
        <w:numPr>
          <w:ilvl w:val="0"/>
          <w:numId w:val="5"/>
        </w:numPr>
        <w:spacing w:line="276" w:lineRule="auto"/>
        <w:jc w:val="both"/>
        <w:rPr>
          <w:rFonts w:ascii="Verdana" w:hAnsi="Verdana"/>
          <w:sz w:val="17"/>
          <w:szCs w:val="17"/>
          <w:highlight w:val="yellow"/>
        </w:rPr>
      </w:pPr>
      <w:r w:rsidRPr="007B2E7B">
        <w:rPr>
          <w:rFonts w:ascii="Verdana" w:hAnsi="Verdana"/>
          <w:b/>
          <w:bCs/>
          <w:sz w:val="17"/>
          <w:szCs w:val="17"/>
          <w:highlight w:val="yellow"/>
        </w:rPr>
        <w:t>It is unclear which KPI should be used by an investor for insurer investees with life and non-life business</w:t>
      </w:r>
      <w:r w:rsidRPr="007B2E7B">
        <w:rPr>
          <w:rFonts w:ascii="Verdana" w:hAnsi="Verdana"/>
          <w:sz w:val="17"/>
          <w:szCs w:val="17"/>
          <w:highlight w:val="yellow"/>
        </w:rPr>
        <w:t xml:space="preserve"> ("for investees that are insurance or reinsurance undertakings, investments, gross premiums written or, as applicable, total insurance revenue, as resulting from the calculation either of the turnover-based and </w:t>
      </w:r>
      <w:proofErr w:type="spellStart"/>
      <w:r w:rsidRPr="007B2E7B">
        <w:rPr>
          <w:rFonts w:ascii="Verdana" w:hAnsi="Verdana"/>
          <w:sz w:val="17"/>
          <w:szCs w:val="17"/>
          <w:highlight w:val="yellow"/>
        </w:rPr>
        <w:t>CapEx</w:t>
      </w:r>
      <w:proofErr w:type="spellEnd"/>
      <w:r w:rsidRPr="007B2E7B">
        <w:rPr>
          <w:rFonts w:ascii="Verdana" w:hAnsi="Verdana"/>
          <w:sz w:val="17"/>
          <w:szCs w:val="17"/>
          <w:highlight w:val="yellow"/>
        </w:rPr>
        <w:t xml:space="preserve"> based investments KPI (…) combined, where applicable, with the underwriting KPI of the non-life investee insurance and reinsurance undertakings").</w:t>
      </w:r>
    </w:p>
    <w:p w14:paraId="47FE2BFD" w14:textId="77777777" w:rsidR="00A26D64" w:rsidRPr="007B2E7B" w:rsidRDefault="00A26D64" w:rsidP="00A26D64">
      <w:pPr>
        <w:spacing w:line="276" w:lineRule="auto"/>
        <w:rPr>
          <w:sz w:val="17"/>
          <w:szCs w:val="17"/>
        </w:rPr>
      </w:pPr>
    </w:p>
    <w:p w14:paraId="7CEA6C1D" w14:textId="77777777" w:rsidR="00A26D64" w:rsidRPr="007B2E7B" w:rsidRDefault="00A26D64" w:rsidP="00A26D64">
      <w:pPr>
        <w:spacing w:line="276" w:lineRule="auto"/>
        <w:rPr>
          <w:sz w:val="17"/>
          <w:szCs w:val="17"/>
        </w:rPr>
      </w:pPr>
    </w:p>
    <w:p w14:paraId="48428CB8" w14:textId="77777777" w:rsidR="00A26D64" w:rsidRPr="007B2E7B" w:rsidRDefault="00A26D64" w:rsidP="00A26D64">
      <w:pPr>
        <w:pStyle w:val="Odsekzoznamu"/>
        <w:numPr>
          <w:ilvl w:val="0"/>
          <w:numId w:val="5"/>
        </w:numPr>
        <w:spacing w:line="276" w:lineRule="auto"/>
        <w:jc w:val="both"/>
        <w:rPr>
          <w:rFonts w:ascii="Verdana" w:hAnsi="Verdana"/>
          <w:sz w:val="17"/>
          <w:szCs w:val="17"/>
          <w:highlight w:val="yellow"/>
        </w:rPr>
      </w:pPr>
      <w:r w:rsidRPr="007B2E7B">
        <w:rPr>
          <w:rFonts w:ascii="Verdana" w:hAnsi="Verdana"/>
          <w:b/>
          <w:bCs/>
          <w:sz w:val="17"/>
          <w:szCs w:val="17"/>
          <w:highlight w:val="yellow"/>
        </w:rPr>
        <w:t>Which KPIs for which business activities need to be disclosed on group level, if the parent is conducting one financial business activity (e.g. insurance) but one or more material subsidiaries of the Group conduct another (material) financial business activity</w:t>
      </w:r>
      <w:r w:rsidRPr="007B2E7B">
        <w:rPr>
          <w:rFonts w:ascii="Verdana" w:hAnsi="Verdana"/>
          <w:sz w:val="17"/>
          <w:szCs w:val="17"/>
          <w:highlight w:val="yellow"/>
        </w:rPr>
        <w:t xml:space="preserve"> (e.g. asset management); are different sets of KPIs necessary (e.g. underwriting KPI and proprietary investments KPI subject to guidance for insurers, investments KPI for third-party assets subject to guidance for asset managers) and, if so, which ones shall be considered by investors into such companies?</w:t>
      </w:r>
    </w:p>
    <w:p w14:paraId="3C1D562C" w14:textId="77777777" w:rsidR="00A26D64" w:rsidRPr="007B2E7B" w:rsidRDefault="00A26D64" w:rsidP="00A26D64">
      <w:pPr>
        <w:spacing w:line="276" w:lineRule="auto"/>
        <w:rPr>
          <w:sz w:val="17"/>
          <w:szCs w:val="17"/>
        </w:rPr>
      </w:pPr>
    </w:p>
    <w:p w14:paraId="4C7F9BF8" w14:textId="77777777" w:rsidR="00A26D64" w:rsidRPr="00090CAA" w:rsidRDefault="00A26D64" w:rsidP="00A26D64">
      <w:pPr>
        <w:spacing w:line="276" w:lineRule="auto"/>
        <w:rPr>
          <w:sz w:val="17"/>
          <w:szCs w:val="17"/>
          <w:u w:val="single"/>
        </w:rPr>
      </w:pPr>
      <w:r>
        <w:rPr>
          <w:sz w:val="17"/>
          <w:szCs w:val="17"/>
          <w:u w:val="single"/>
        </w:rPr>
        <w:t>Emerging views of the (re)insurance sector</w:t>
      </w:r>
    </w:p>
    <w:p w14:paraId="568F4598" w14:textId="77777777" w:rsidR="00A26D64" w:rsidRPr="007B2E7B" w:rsidRDefault="00A26D64" w:rsidP="00A26D64">
      <w:pPr>
        <w:spacing w:line="276" w:lineRule="auto"/>
        <w:rPr>
          <w:sz w:val="17"/>
          <w:szCs w:val="17"/>
        </w:rPr>
      </w:pPr>
      <w:r w:rsidRPr="007B2E7B">
        <w:rPr>
          <w:sz w:val="17"/>
          <w:szCs w:val="17"/>
        </w:rPr>
        <w:t>Insurers with for example an asset management business are required to report Art. 8 data on both insurance and asset management using the two different templates, respectively. The information would need to be provided at activity-level and not entity-level from a Group perspective (</w:t>
      </w:r>
      <w:proofErr w:type="spellStart"/>
      <w:r w:rsidRPr="007B2E7B">
        <w:rPr>
          <w:sz w:val="17"/>
          <w:szCs w:val="17"/>
        </w:rPr>
        <w:t>eg.</w:t>
      </w:r>
      <w:proofErr w:type="spellEnd"/>
      <w:r w:rsidRPr="007B2E7B">
        <w:rPr>
          <w:sz w:val="17"/>
          <w:szCs w:val="17"/>
        </w:rPr>
        <w:t xml:space="preserve"> if different asset management entities are active under the umbrella of an insurance undertaking, only one template for the asset management activity would need to be disclosed in addition to the templates applying for insurers).</w:t>
      </w:r>
    </w:p>
    <w:p w14:paraId="516DC384" w14:textId="77777777" w:rsidR="00A26D64" w:rsidRPr="007B2E7B" w:rsidRDefault="00A26D64" w:rsidP="00A26D64">
      <w:pPr>
        <w:spacing w:line="276" w:lineRule="auto"/>
        <w:rPr>
          <w:sz w:val="17"/>
          <w:szCs w:val="17"/>
        </w:rPr>
      </w:pPr>
    </w:p>
    <w:p w14:paraId="7AF27CFC" w14:textId="77777777" w:rsidR="00A26D64" w:rsidRPr="007B2E7B" w:rsidRDefault="00A26D64" w:rsidP="00A26D64">
      <w:pPr>
        <w:pStyle w:val="Odsekzoznamu"/>
        <w:numPr>
          <w:ilvl w:val="0"/>
          <w:numId w:val="5"/>
        </w:numPr>
        <w:spacing w:line="276" w:lineRule="auto"/>
        <w:jc w:val="both"/>
        <w:rPr>
          <w:rFonts w:ascii="Verdana" w:hAnsi="Verdana"/>
          <w:sz w:val="17"/>
          <w:szCs w:val="17"/>
        </w:rPr>
      </w:pPr>
      <w:r w:rsidRPr="007B2E7B">
        <w:rPr>
          <w:rFonts w:ascii="Verdana" w:hAnsi="Verdana"/>
          <w:sz w:val="17"/>
          <w:szCs w:val="17"/>
        </w:rPr>
        <w:t xml:space="preserve">As a look-through shall apply as per FAQ I, as long as underlying investments within a fund are in the NFRD scope, they can be considered by the investor in the fund; however, the question is how investors should get fund-level data as funds are not required to report the Art. 8 TR KPIs at product-level so that they would need to be approached directly to get the look-through information. In any case, while the fund’s information could (and should) rely on reported data, the investor’s data could not (as the fund is not required to disclose the information under Art. 8 publicly; if at all, it would provide the information to the investor voluntarily); would this then count as an estimate from the investor’s perspective or could it be included in the investor’s mandatory KPI? In other words, </w:t>
      </w:r>
      <w:r w:rsidRPr="007B2E7B">
        <w:rPr>
          <w:rFonts w:ascii="Verdana" w:hAnsi="Verdana"/>
          <w:b/>
          <w:sz w:val="17"/>
          <w:szCs w:val="17"/>
        </w:rPr>
        <w:t>how shall investors get the look-through Art. 8 TR data for investments into externally managed funds</w:t>
      </w:r>
      <w:r w:rsidRPr="007B2E7B">
        <w:rPr>
          <w:rFonts w:ascii="Verdana" w:hAnsi="Verdana"/>
          <w:sz w:val="17"/>
          <w:szCs w:val="17"/>
        </w:rPr>
        <w:t xml:space="preserve"> (</w:t>
      </w:r>
      <w:r w:rsidRPr="007B2E7B">
        <w:rPr>
          <w:rFonts w:ascii="Verdana" w:hAnsi="Verdana"/>
          <w:i/>
          <w:sz w:val="17"/>
          <w:szCs w:val="17"/>
        </w:rPr>
        <w:t>is the EET an option or not, does not seem to include fields for Art. 8 TR at this stage</w:t>
      </w:r>
      <w:r w:rsidRPr="007B2E7B">
        <w:rPr>
          <w:rFonts w:ascii="Verdana" w:hAnsi="Verdana"/>
          <w:sz w:val="17"/>
          <w:szCs w:val="17"/>
        </w:rPr>
        <w:t xml:space="preserve">) </w:t>
      </w:r>
      <w:r w:rsidRPr="007B2E7B">
        <w:rPr>
          <w:rFonts w:ascii="Verdana" w:hAnsi="Verdana"/>
          <w:b/>
          <w:sz w:val="17"/>
          <w:szCs w:val="17"/>
        </w:rPr>
        <w:t>in a way to be able to consider them in their mandatory KPI</w:t>
      </w:r>
      <w:r w:rsidRPr="007B2E7B">
        <w:rPr>
          <w:rFonts w:ascii="Verdana" w:hAnsi="Verdana"/>
          <w:sz w:val="17"/>
          <w:szCs w:val="17"/>
        </w:rPr>
        <w:t xml:space="preserve"> (although the fund-level information will not be data provided under Art. 8 TR as funds are not in scope of the NFRD/CSRD)?</w:t>
      </w:r>
    </w:p>
    <w:p w14:paraId="43B1CE2D" w14:textId="77777777" w:rsidR="00A26D64" w:rsidRPr="007B2E7B" w:rsidRDefault="00A26D64" w:rsidP="00A26D64">
      <w:pPr>
        <w:spacing w:line="276" w:lineRule="auto"/>
        <w:rPr>
          <w:sz w:val="17"/>
          <w:szCs w:val="17"/>
        </w:rPr>
      </w:pPr>
    </w:p>
    <w:p w14:paraId="173F6D4A" w14:textId="77777777" w:rsidR="00A26D64" w:rsidRPr="007B2E7B" w:rsidRDefault="00A26D64" w:rsidP="00A26D64">
      <w:pPr>
        <w:pStyle w:val="Odsekzoznamu"/>
        <w:numPr>
          <w:ilvl w:val="0"/>
          <w:numId w:val="5"/>
        </w:numPr>
        <w:spacing w:line="276" w:lineRule="auto"/>
        <w:jc w:val="both"/>
        <w:rPr>
          <w:rFonts w:ascii="Verdana" w:hAnsi="Verdana"/>
          <w:sz w:val="17"/>
          <w:szCs w:val="17"/>
        </w:rPr>
      </w:pPr>
      <w:r w:rsidRPr="007B2E7B">
        <w:rPr>
          <w:rFonts w:ascii="Verdana" w:hAnsi="Verdana"/>
          <w:b/>
          <w:sz w:val="17"/>
          <w:szCs w:val="17"/>
        </w:rPr>
        <w:t>How to treat real estate held for own use</w:t>
      </w:r>
      <w:r w:rsidRPr="007B2E7B">
        <w:rPr>
          <w:rFonts w:ascii="Verdana" w:hAnsi="Verdana"/>
          <w:sz w:val="17"/>
          <w:szCs w:val="17"/>
        </w:rPr>
        <w:t xml:space="preserve"> which is not per se an investment, are they part of total investments and can be screened for Taxonomy eligibility / alignment or not?</w:t>
      </w:r>
    </w:p>
    <w:p w14:paraId="77507AA8" w14:textId="77777777" w:rsidR="00A26D64" w:rsidRPr="007B2E7B" w:rsidRDefault="00A26D64" w:rsidP="00A26D64">
      <w:pPr>
        <w:spacing w:line="276" w:lineRule="auto"/>
        <w:rPr>
          <w:sz w:val="17"/>
          <w:szCs w:val="17"/>
          <w:u w:val="single"/>
        </w:rPr>
      </w:pPr>
    </w:p>
    <w:p w14:paraId="657E89DF" w14:textId="77777777" w:rsidR="00A26D64" w:rsidRPr="007B2E7B" w:rsidRDefault="00A26D64" w:rsidP="00A26D64">
      <w:pPr>
        <w:pStyle w:val="CEABullet-Level1"/>
        <w:numPr>
          <w:ilvl w:val="0"/>
          <w:numId w:val="0"/>
        </w:numPr>
        <w:spacing w:line="276" w:lineRule="auto"/>
        <w:rPr>
          <w:color w:val="auto"/>
          <w:szCs w:val="17"/>
          <w:lang w:val="en-US"/>
        </w:rPr>
      </w:pPr>
      <w:r w:rsidRPr="007B2E7B">
        <w:rPr>
          <w:color w:val="auto"/>
          <w:szCs w:val="17"/>
          <w:u w:val="single"/>
          <w:lang w:val="en-US"/>
        </w:rPr>
        <w:t xml:space="preserve">Emerging views </w:t>
      </w:r>
      <w:r>
        <w:rPr>
          <w:color w:val="auto"/>
          <w:szCs w:val="17"/>
          <w:u w:val="single"/>
          <w:lang w:val="en-US"/>
        </w:rPr>
        <w:t>of</w:t>
      </w:r>
      <w:r w:rsidRPr="007B2E7B">
        <w:rPr>
          <w:color w:val="auto"/>
          <w:szCs w:val="17"/>
          <w:u w:val="single"/>
          <w:lang w:val="en-US"/>
        </w:rPr>
        <w:t xml:space="preserve"> the (re)insurance sector</w:t>
      </w:r>
    </w:p>
    <w:p w14:paraId="427C202E" w14:textId="77777777" w:rsidR="00A26D64" w:rsidRPr="007B2E7B" w:rsidRDefault="00A26D64" w:rsidP="00A26D64">
      <w:pPr>
        <w:spacing w:line="276" w:lineRule="auto"/>
        <w:rPr>
          <w:sz w:val="17"/>
          <w:szCs w:val="17"/>
        </w:rPr>
      </w:pPr>
      <w:r w:rsidRPr="007B2E7B">
        <w:rPr>
          <w:sz w:val="17"/>
          <w:szCs w:val="17"/>
        </w:rPr>
        <w:t>Among other things, the exercise of ownership of real estate is described as an activity in the screening criteria for both the environmental goal of climate change mitigation and the environmental goal of adaptation to climate change and is thus taxonomy eligible. Where such assets form part of the general account, they should be considered in the ratio (both in the numerator and the denominator).</w:t>
      </w:r>
    </w:p>
    <w:p w14:paraId="2EEB5B54" w14:textId="77777777" w:rsidR="00A26D64" w:rsidRDefault="00A26D64" w:rsidP="00A26D64">
      <w:pPr>
        <w:spacing w:line="276" w:lineRule="auto"/>
        <w:rPr>
          <w:sz w:val="17"/>
          <w:szCs w:val="17"/>
          <w:u w:val="single"/>
        </w:rPr>
      </w:pPr>
    </w:p>
    <w:p w14:paraId="3868D168" w14:textId="5053264B" w:rsidR="00D950E6" w:rsidRDefault="00C9042F" w:rsidP="00E23F6D">
      <w:pPr>
        <w:pStyle w:val="Odsekzoznamu"/>
        <w:numPr>
          <w:ilvl w:val="0"/>
          <w:numId w:val="5"/>
        </w:numPr>
        <w:spacing w:line="276" w:lineRule="auto"/>
        <w:jc w:val="both"/>
        <w:rPr>
          <w:rFonts w:ascii="Verdana" w:hAnsi="Verdana"/>
          <w:sz w:val="17"/>
          <w:szCs w:val="17"/>
        </w:rPr>
      </w:pPr>
      <w:r w:rsidRPr="00C9042F">
        <w:rPr>
          <w:rFonts w:ascii="Verdana" w:hAnsi="Verdana"/>
          <w:sz w:val="17"/>
          <w:szCs w:val="17"/>
        </w:rPr>
        <w:t xml:space="preserve">Do eligible and non-eligible investments add up to 100% or is there a </w:t>
      </w:r>
      <w:r w:rsidRPr="00E23F6D">
        <w:rPr>
          <w:rFonts w:ascii="Verdana" w:hAnsi="Verdana"/>
          <w:b/>
          <w:bCs/>
          <w:sz w:val="17"/>
          <w:szCs w:val="17"/>
        </w:rPr>
        <w:t>3rd category (for investments not in scope</w:t>
      </w:r>
      <w:r w:rsidRPr="00C9042F">
        <w:rPr>
          <w:rFonts w:ascii="Verdana" w:hAnsi="Verdana"/>
          <w:sz w:val="17"/>
          <w:szCs w:val="17"/>
        </w:rPr>
        <w:t xml:space="preserve">, </w:t>
      </w:r>
      <w:proofErr w:type="spellStart"/>
      <w:r w:rsidRPr="00C9042F">
        <w:rPr>
          <w:rFonts w:ascii="Verdana" w:hAnsi="Verdana"/>
          <w:sz w:val="17"/>
          <w:szCs w:val="17"/>
        </w:rPr>
        <w:t>eg.</w:t>
      </w:r>
      <w:proofErr w:type="spellEnd"/>
      <w:r w:rsidRPr="00C9042F">
        <w:rPr>
          <w:rFonts w:ascii="Verdana" w:hAnsi="Verdana"/>
          <w:sz w:val="17"/>
          <w:szCs w:val="17"/>
        </w:rPr>
        <w:t xml:space="preserve"> non-CSRD undertakings, central governments)? Would investments</w:t>
      </w:r>
      <w:r w:rsidR="00250B40">
        <w:rPr>
          <w:rFonts w:ascii="Verdana" w:hAnsi="Verdana"/>
          <w:sz w:val="17"/>
          <w:szCs w:val="17"/>
        </w:rPr>
        <w:t xml:space="preserve"> in non-EU undertakings</w:t>
      </w:r>
      <w:r w:rsidRPr="00C9042F">
        <w:rPr>
          <w:rFonts w:ascii="Verdana" w:hAnsi="Verdana"/>
          <w:sz w:val="17"/>
          <w:szCs w:val="17"/>
        </w:rPr>
        <w:t xml:space="preserve"> be qualified “non-eligible” or as “not covered”?</w:t>
      </w:r>
    </w:p>
    <w:p w14:paraId="55BF2115" w14:textId="674634DF" w:rsidR="00250B40" w:rsidRPr="00E23F6D" w:rsidRDefault="00E23F6D" w:rsidP="00250B40">
      <w:pPr>
        <w:spacing w:line="276" w:lineRule="auto"/>
        <w:rPr>
          <w:sz w:val="17"/>
          <w:szCs w:val="17"/>
          <w:u w:val="single"/>
        </w:rPr>
      </w:pPr>
      <w:r>
        <w:rPr>
          <w:sz w:val="17"/>
          <w:szCs w:val="17"/>
          <w:u w:val="single"/>
        </w:rPr>
        <w:lastRenderedPageBreak/>
        <w:t>Emerging views of the (re)insurance sector</w:t>
      </w:r>
    </w:p>
    <w:p w14:paraId="20F3FCDC" w14:textId="05FD544A" w:rsidR="00250B40" w:rsidRPr="00250B40" w:rsidRDefault="00E23F6D" w:rsidP="00250B40">
      <w:pPr>
        <w:spacing w:line="276" w:lineRule="auto"/>
        <w:rPr>
          <w:sz w:val="17"/>
          <w:szCs w:val="17"/>
        </w:rPr>
      </w:pPr>
      <w:r>
        <w:rPr>
          <w:sz w:val="17"/>
          <w:szCs w:val="17"/>
        </w:rPr>
        <w:t>There should be a</w:t>
      </w:r>
      <w:r w:rsidRPr="00E23F6D">
        <w:rPr>
          <w:sz w:val="17"/>
          <w:szCs w:val="17"/>
        </w:rPr>
        <w:t xml:space="preserve"> third category “not covered” where “non-eligible” should only be the “non-eligible” part of the investments covered by the TR (NFRD) as taking everything (incl. non-covered investments such as derivatives and non-EU exposure which are by nature non-eligible) does not result in a meaningful value for users of the disclosed KPI. This is a key question for the insurance industry and would have a significant impact on the “non-eligible” ratio which could mitigate concerns as regards adverse impacts on the industry’s reputation</w:t>
      </w:r>
      <w:r w:rsidR="00630DA3">
        <w:rPr>
          <w:sz w:val="17"/>
          <w:szCs w:val="17"/>
        </w:rPr>
        <w:t xml:space="preserve">. </w:t>
      </w:r>
    </w:p>
    <w:p w14:paraId="0BA5AD9F" w14:textId="77777777" w:rsidR="00D950E6" w:rsidRPr="007B2E7B" w:rsidRDefault="00D950E6" w:rsidP="00A26D64">
      <w:pPr>
        <w:spacing w:line="276" w:lineRule="auto"/>
        <w:rPr>
          <w:sz w:val="17"/>
          <w:szCs w:val="17"/>
          <w:u w:val="single"/>
        </w:rPr>
      </w:pPr>
    </w:p>
    <w:p w14:paraId="161B7E75" w14:textId="77777777" w:rsidR="00A26D64" w:rsidRPr="007B2E7B" w:rsidRDefault="00A26D64" w:rsidP="00A26D64">
      <w:pPr>
        <w:spacing w:line="276" w:lineRule="auto"/>
        <w:rPr>
          <w:sz w:val="17"/>
          <w:szCs w:val="17"/>
        </w:rPr>
      </w:pPr>
      <w:r w:rsidRPr="007B2E7B">
        <w:rPr>
          <w:i/>
          <w:iCs/>
          <w:sz w:val="17"/>
          <w:szCs w:val="17"/>
          <w:u w:val="single"/>
        </w:rPr>
        <w:t>Taxonomy alignment</w:t>
      </w:r>
    </w:p>
    <w:p w14:paraId="37CF1948" w14:textId="77777777" w:rsidR="00A26D64" w:rsidRPr="007B2E7B" w:rsidRDefault="00A26D64" w:rsidP="00A26D64">
      <w:pPr>
        <w:spacing w:line="276" w:lineRule="auto"/>
        <w:rPr>
          <w:sz w:val="17"/>
          <w:szCs w:val="17"/>
        </w:rPr>
      </w:pPr>
    </w:p>
    <w:p w14:paraId="1F09C3A3" w14:textId="77777777" w:rsidR="00A26D64" w:rsidRPr="007B2E7B" w:rsidRDefault="00A26D64" w:rsidP="00A26D64">
      <w:pPr>
        <w:pStyle w:val="Odsekzoznamu"/>
        <w:numPr>
          <w:ilvl w:val="0"/>
          <w:numId w:val="5"/>
        </w:numPr>
        <w:spacing w:line="276" w:lineRule="auto"/>
        <w:jc w:val="both"/>
        <w:rPr>
          <w:rFonts w:ascii="Verdana" w:hAnsi="Verdana"/>
          <w:sz w:val="17"/>
          <w:szCs w:val="17"/>
        </w:rPr>
      </w:pPr>
      <w:r w:rsidRPr="007B2E7B">
        <w:rPr>
          <w:rFonts w:ascii="Verdana" w:hAnsi="Verdana"/>
          <w:sz w:val="17"/>
          <w:szCs w:val="17"/>
        </w:rPr>
        <w:t xml:space="preserve">From the FAQ II, we understand that </w:t>
      </w:r>
      <w:r w:rsidRPr="007B2E7B">
        <w:rPr>
          <w:rFonts w:ascii="Verdana" w:hAnsi="Verdana"/>
          <w:b/>
          <w:sz w:val="17"/>
          <w:szCs w:val="17"/>
        </w:rPr>
        <w:t>mortgages are Taxonomy-eligible. However, how would the Taxonomy alignment assessment work</w:t>
      </w:r>
      <w:r w:rsidRPr="007B2E7B">
        <w:rPr>
          <w:rFonts w:ascii="Verdana" w:hAnsi="Verdana"/>
          <w:sz w:val="17"/>
          <w:szCs w:val="17"/>
        </w:rPr>
        <w:t xml:space="preserve"> (</w:t>
      </w:r>
      <w:proofErr w:type="gramStart"/>
      <w:r w:rsidRPr="007B2E7B">
        <w:rPr>
          <w:rFonts w:ascii="Verdana" w:hAnsi="Verdana"/>
          <w:sz w:val="17"/>
          <w:szCs w:val="17"/>
        </w:rPr>
        <w:t>e.g.</w:t>
      </w:r>
      <w:proofErr w:type="gramEnd"/>
      <w:r w:rsidRPr="007B2E7B">
        <w:rPr>
          <w:rFonts w:ascii="Verdana" w:hAnsi="Verdana"/>
          <w:sz w:val="17"/>
          <w:szCs w:val="17"/>
        </w:rPr>
        <w:t xml:space="preserve"> how to gather the data and at which level)?</w:t>
      </w:r>
    </w:p>
    <w:p w14:paraId="54A30DF1" w14:textId="77777777" w:rsidR="00A26D64" w:rsidRPr="007B2E7B" w:rsidRDefault="00A26D64" w:rsidP="00A26D64">
      <w:pPr>
        <w:spacing w:line="276" w:lineRule="auto"/>
        <w:rPr>
          <w:sz w:val="17"/>
          <w:szCs w:val="17"/>
        </w:rPr>
      </w:pPr>
    </w:p>
    <w:p w14:paraId="0E5ACC91" w14:textId="77777777" w:rsidR="00A26D64" w:rsidRPr="007B2E7B" w:rsidRDefault="00A26D64" w:rsidP="00A26D64">
      <w:pPr>
        <w:pStyle w:val="Odsekzoznamu"/>
        <w:numPr>
          <w:ilvl w:val="0"/>
          <w:numId w:val="5"/>
        </w:numPr>
        <w:spacing w:line="276" w:lineRule="auto"/>
        <w:jc w:val="both"/>
        <w:rPr>
          <w:rFonts w:ascii="Verdana" w:hAnsi="Verdana"/>
          <w:sz w:val="17"/>
          <w:szCs w:val="17"/>
        </w:rPr>
      </w:pPr>
      <w:r w:rsidRPr="007B2E7B">
        <w:rPr>
          <w:rFonts w:ascii="Verdana" w:hAnsi="Verdana"/>
          <w:sz w:val="17"/>
          <w:szCs w:val="17"/>
        </w:rPr>
        <w:t xml:space="preserve">For </w:t>
      </w:r>
      <w:r w:rsidRPr="007B2E7B">
        <w:rPr>
          <w:rFonts w:ascii="Verdana" w:hAnsi="Verdana"/>
          <w:b/>
          <w:sz w:val="17"/>
          <w:szCs w:val="17"/>
        </w:rPr>
        <w:t>structured products (</w:t>
      </w:r>
      <w:proofErr w:type="gramStart"/>
      <w:r w:rsidRPr="007B2E7B">
        <w:rPr>
          <w:rFonts w:ascii="Verdana" w:hAnsi="Verdana"/>
          <w:b/>
          <w:sz w:val="17"/>
          <w:szCs w:val="17"/>
        </w:rPr>
        <w:t>e.g.</w:t>
      </w:r>
      <w:proofErr w:type="gramEnd"/>
      <w:r w:rsidRPr="007B2E7B">
        <w:rPr>
          <w:rFonts w:ascii="Verdana" w:hAnsi="Verdana"/>
          <w:b/>
          <w:sz w:val="17"/>
          <w:szCs w:val="17"/>
        </w:rPr>
        <w:t xml:space="preserve"> ABS), how would the Taxonomy alignment assessment work</w:t>
      </w:r>
      <w:r w:rsidRPr="007B2E7B">
        <w:rPr>
          <w:rFonts w:ascii="Verdana" w:hAnsi="Verdana"/>
          <w:sz w:val="17"/>
          <w:szCs w:val="17"/>
        </w:rPr>
        <w:t xml:space="preserve"> (e.g. how to gather the data and at which level)?</w:t>
      </w:r>
    </w:p>
    <w:p w14:paraId="4C668D5F" w14:textId="77777777" w:rsidR="00A26D64" w:rsidRPr="007B2E7B" w:rsidRDefault="00A26D64" w:rsidP="00A26D64">
      <w:pPr>
        <w:spacing w:line="276" w:lineRule="auto"/>
        <w:rPr>
          <w:sz w:val="17"/>
          <w:szCs w:val="17"/>
        </w:rPr>
      </w:pPr>
    </w:p>
    <w:p w14:paraId="154A6648" w14:textId="77777777" w:rsidR="00A26D64" w:rsidRPr="007B2E7B" w:rsidRDefault="00A26D64" w:rsidP="00A26D64">
      <w:pPr>
        <w:pStyle w:val="CEABullet-Level1"/>
        <w:numPr>
          <w:ilvl w:val="0"/>
          <w:numId w:val="0"/>
        </w:numPr>
        <w:shd w:val="clear" w:color="auto" w:fill="B8CCE4" w:themeFill="accent1" w:themeFillTint="66"/>
        <w:spacing w:line="276" w:lineRule="auto"/>
        <w:rPr>
          <w:rStyle w:val="CEAGraphTitle"/>
          <w:b/>
          <w:bCs/>
          <w:color w:val="auto"/>
          <w:sz w:val="17"/>
          <w:szCs w:val="17"/>
        </w:rPr>
      </w:pPr>
      <w:r w:rsidRPr="007B2E7B">
        <w:rPr>
          <w:rStyle w:val="CEAGraphTitle"/>
          <w:b/>
          <w:bCs/>
          <w:color w:val="auto"/>
          <w:sz w:val="17"/>
          <w:szCs w:val="17"/>
        </w:rPr>
        <w:t>Areas for future consideration</w:t>
      </w:r>
    </w:p>
    <w:p w14:paraId="624299CB" w14:textId="77777777" w:rsidR="00A26D64" w:rsidRPr="007B2E7B" w:rsidRDefault="00A26D64" w:rsidP="00A26D64">
      <w:pPr>
        <w:spacing w:line="276" w:lineRule="auto"/>
        <w:rPr>
          <w:sz w:val="17"/>
          <w:szCs w:val="17"/>
        </w:rPr>
      </w:pPr>
    </w:p>
    <w:p w14:paraId="3012DF15" w14:textId="77777777" w:rsidR="00A26D64" w:rsidRPr="007B2E7B" w:rsidRDefault="00A26D64" w:rsidP="00A26D64">
      <w:pPr>
        <w:pStyle w:val="CEABullet-Level1"/>
        <w:numPr>
          <w:ilvl w:val="0"/>
          <w:numId w:val="0"/>
        </w:numPr>
        <w:rPr>
          <w:color w:val="auto"/>
        </w:rPr>
      </w:pPr>
      <w:r w:rsidRPr="007B2E7B">
        <w:rPr>
          <w:b/>
          <w:color w:val="auto"/>
        </w:rPr>
        <w:t>Climate Change Mitigation</w:t>
      </w:r>
      <w:r w:rsidRPr="007B2E7B">
        <w:rPr>
          <w:color w:val="auto"/>
        </w:rPr>
        <w:t xml:space="preserve"> – Should and if yes, how could insurance underwriting be considered as contributing to Climate Change Mitigation? – </w:t>
      </w:r>
      <w:proofErr w:type="gramStart"/>
      <w:r w:rsidRPr="007B2E7B">
        <w:rPr>
          <w:color w:val="auto"/>
        </w:rPr>
        <w:t>i.e.</w:t>
      </w:r>
      <w:proofErr w:type="gramEnd"/>
      <w:r w:rsidRPr="007B2E7B">
        <w:rPr>
          <w:color w:val="auto"/>
        </w:rPr>
        <w:t xml:space="preserve"> not (only) considering the products provided but (also) the activities/objects insured. </w:t>
      </w:r>
    </w:p>
    <w:p w14:paraId="5F04F667" w14:textId="77777777" w:rsidR="00A26D64" w:rsidRDefault="00A26D64" w:rsidP="00A26D64">
      <w:pPr>
        <w:spacing w:line="276" w:lineRule="auto"/>
        <w:rPr>
          <w:sz w:val="17"/>
          <w:szCs w:val="17"/>
        </w:rPr>
      </w:pPr>
    </w:p>
    <w:p w14:paraId="5C6DBC16" w14:textId="77777777" w:rsidR="00A26D64" w:rsidRPr="00090CAA" w:rsidRDefault="00A26D64" w:rsidP="00A26D64">
      <w:pPr>
        <w:spacing w:line="276" w:lineRule="auto"/>
        <w:rPr>
          <w:sz w:val="17"/>
          <w:szCs w:val="17"/>
          <w:u w:val="single"/>
        </w:rPr>
      </w:pPr>
      <w:r>
        <w:rPr>
          <w:sz w:val="17"/>
          <w:szCs w:val="17"/>
          <w:u w:val="single"/>
        </w:rPr>
        <w:t>Emerging views of the (re)insurance sector</w:t>
      </w:r>
    </w:p>
    <w:p w14:paraId="78D57CB1" w14:textId="77777777" w:rsidR="00A26D64" w:rsidRPr="007B2E7B" w:rsidRDefault="00A26D64" w:rsidP="00A26D64">
      <w:pPr>
        <w:spacing w:line="276" w:lineRule="auto"/>
        <w:rPr>
          <w:sz w:val="17"/>
          <w:szCs w:val="17"/>
        </w:rPr>
      </w:pPr>
      <w:r w:rsidRPr="007B2E7B">
        <w:rPr>
          <w:sz w:val="17"/>
          <w:szCs w:val="17"/>
        </w:rPr>
        <w:t xml:space="preserve">Yes, insurers can also contribute to CCM, </w:t>
      </w:r>
      <w:proofErr w:type="gramStart"/>
      <w:r w:rsidRPr="007B2E7B">
        <w:rPr>
          <w:sz w:val="17"/>
          <w:szCs w:val="17"/>
        </w:rPr>
        <w:t>e.g.</w:t>
      </w:r>
      <w:proofErr w:type="gramEnd"/>
      <w:r w:rsidRPr="007B2E7B">
        <w:rPr>
          <w:sz w:val="17"/>
          <w:szCs w:val="17"/>
        </w:rPr>
        <w:t xml:space="preserve"> by incentivizing lower GHG emissions (e.g. via incentives in prices) or as an enabler by insuring e.g. wind parks. However, we caution against an approach that would compel insurers to screen their insurance contracts to check policyholders’ taxonomy-alignment. This would be operationally very complicated and burdensome. We would rather favour an approach focused on insurance products offered: products that enable better energy performance, reduced GHG emissions etc., especially through claim management.</w:t>
      </w:r>
    </w:p>
    <w:p w14:paraId="311D974D" w14:textId="77777777" w:rsidR="00A26D64" w:rsidRDefault="00A26D64" w:rsidP="00A26D64">
      <w:pPr>
        <w:pStyle w:val="CEABullet-Level1"/>
        <w:numPr>
          <w:ilvl w:val="0"/>
          <w:numId w:val="0"/>
        </w:numPr>
        <w:rPr>
          <w:b/>
          <w:color w:val="auto"/>
        </w:rPr>
      </w:pPr>
    </w:p>
    <w:p w14:paraId="57422855" w14:textId="77777777" w:rsidR="00A26D64" w:rsidRPr="007B2E7B" w:rsidRDefault="00A26D64" w:rsidP="00A26D64">
      <w:pPr>
        <w:pStyle w:val="CEABullet-Level1"/>
        <w:numPr>
          <w:ilvl w:val="0"/>
          <w:numId w:val="0"/>
        </w:numPr>
        <w:rPr>
          <w:color w:val="auto"/>
        </w:rPr>
      </w:pPr>
      <w:r w:rsidRPr="007B2E7B">
        <w:rPr>
          <w:b/>
          <w:color w:val="auto"/>
        </w:rPr>
        <w:t>Other environmental objectives</w:t>
      </w:r>
      <w:r w:rsidRPr="007B2E7B">
        <w:rPr>
          <w:color w:val="auto"/>
        </w:rPr>
        <w:t xml:space="preserve"> – In analogy to climate change mitigation (see above), if a different rationale was applied (</w:t>
      </w:r>
      <w:proofErr w:type="gramStart"/>
      <w:r w:rsidRPr="007B2E7B">
        <w:rPr>
          <w:color w:val="auto"/>
        </w:rPr>
        <w:t>i.e.</w:t>
      </w:r>
      <w:proofErr w:type="gramEnd"/>
      <w:r w:rsidRPr="007B2E7B">
        <w:rPr>
          <w:color w:val="auto"/>
        </w:rPr>
        <w:t xml:space="preserve"> insurers enabling via activities/objects insured), could insurance underwriting be considered as contributing to e.g. biodiversity (e.g. via insuring a policyholder driving biodiversity)?</w:t>
      </w:r>
    </w:p>
    <w:p w14:paraId="20122A09" w14:textId="77777777" w:rsidR="00A26D64" w:rsidRDefault="00A26D64" w:rsidP="00A26D64">
      <w:pPr>
        <w:spacing w:line="276" w:lineRule="auto"/>
        <w:rPr>
          <w:sz w:val="17"/>
          <w:szCs w:val="17"/>
        </w:rPr>
      </w:pPr>
    </w:p>
    <w:p w14:paraId="73E356FC" w14:textId="77777777" w:rsidR="00A26D64" w:rsidRPr="00090CAA" w:rsidRDefault="00A26D64" w:rsidP="00A26D64">
      <w:pPr>
        <w:spacing w:line="276" w:lineRule="auto"/>
        <w:rPr>
          <w:sz w:val="17"/>
          <w:szCs w:val="17"/>
          <w:u w:val="single"/>
        </w:rPr>
      </w:pPr>
      <w:r>
        <w:rPr>
          <w:sz w:val="17"/>
          <w:szCs w:val="17"/>
          <w:u w:val="single"/>
        </w:rPr>
        <w:t>Emerging views of the (re)insurance sector</w:t>
      </w:r>
    </w:p>
    <w:p w14:paraId="738CF8D4" w14:textId="77777777" w:rsidR="00A26D64" w:rsidRPr="007B2E7B" w:rsidRDefault="00A26D64" w:rsidP="00A26D64">
      <w:pPr>
        <w:spacing w:line="276" w:lineRule="auto"/>
        <w:rPr>
          <w:sz w:val="17"/>
          <w:szCs w:val="17"/>
        </w:rPr>
      </w:pPr>
      <w:r w:rsidRPr="007B2E7B">
        <w:rPr>
          <w:sz w:val="17"/>
          <w:szCs w:val="17"/>
        </w:rPr>
        <w:t>As above, insurers can act as enabler also for the other environmental objectives. However, to determine the insurance contribution, we should rather look at specific products (</w:t>
      </w:r>
      <w:proofErr w:type="spellStart"/>
      <w:r w:rsidRPr="007B2E7B">
        <w:rPr>
          <w:sz w:val="17"/>
          <w:szCs w:val="17"/>
        </w:rPr>
        <w:t>eg.</w:t>
      </w:r>
      <w:proofErr w:type="spellEnd"/>
      <w:r w:rsidRPr="007B2E7B">
        <w:rPr>
          <w:sz w:val="17"/>
          <w:szCs w:val="17"/>
        </w:rPr>
        <w:t xml:space="preserve"> environmental liability for biodiversity) or the insurers action in claim management.</w:t>
      </w:r>
    </w:p>
    <w:p w14:paraId="0232E3D1" w14:textId="77777777" w:rsidR="00A26D64" w:rsidRPr="007B2E7B" w:rsidRDefault="00A26D64" w:rsidP="00A26D64">
      <w:pPr>
        <w:spacing w:line="276" w:lineRule="auto"/>
        <w:rPr>
          <w:sz w:val="17"/>
          <w:szCs w:val="17"/>
        </w:rPr>
      </w:pPr>
      <w:r w:rsidRPr="007B2E7B">
        <w:rPr>
          <w:sz w:val="17"/>
          <w:szCs w:val="17"/>
        </w:rPr>
        <w:t>Having an approach for a similar approach for underwriting as the one for investment makes sense theoretically but would be incredibly burdensome from an operational point of view. Insurers do not have the tools to check if policyholders comply with taxonomy criteria.</w:t>
      </w:r>
    </w:p>
    <w:p w14:paraId="755A73B5" w14:textId="77777777" w:rsidR="00A26D64" w:rsidRPr="007B2E7B" w:rsidRDefault="00A26D64" w:rsidP="00A26D64">
      <w:pPr>
        <w:spacing w:line="276" w:lineRule="auto"/>
        <w:rPr>
          <w:sz w:val="17"/>
          <w:szCs w:val="17"/>
        </w:rPr>
      </w:pPr>
    </w:p>
    <w:p w14:paraId="2A15DC18" w14:textId="77777777" w:rsidR="00A26D64" w:rsidRPr="007B2E7B" w:rsidRDefault="00A26D64" w:rsidP="00A26D64">
      <w:pPr>
        <w:pStyle w:val="CEABullet-Level1"/>
        <w:numPr>
          <w:ilvl w:val="0"/>
          <w:numId w:val="0"/>
        </w:numPr>
        <w:rPr>
          <w:color w:val="auto"/>
        </w:rPr>
      </w:pPr>
      <w:r w:rsidRPr="007B2E7B">
        <w:rPr>
          <w:b/>
          <w:color w:val="auto"/>
        </w:rPr>
        <w:t>Life insurance</w:t>
      </w:r>
      <w:r w:rsidRPr="007B2E7B">
        <w:rPr>
          <w:color w:val="auto"/>
        </w:rPr>
        <w:t xml:space="preserve"> – Could life insurance underwriting contribute to climate change adaptation objectives? If so, how? What should be the screening criteria? – </w:t>
      </w:r>
      <w:proofErr w:type="gramStart"/>
      <w:r w:rsidRPr="007B2E7B">
        <w:rPr>
          <w:color w:val="auto"/>
        </w:rPr>
        <w:t>e.g.</w:t>
      </w:r>
      <w:proofErr w:type="gramEnd"/>
      <w:r w:rsidRPr="007B2E7B">
        <w:rPr>
          <w:color w:val="auto"/>
        </w:rPr>
        <w:t xml:space="preserve"> Incentives to adapt to disability / morbidity caused by heatwaves resulting from climate change.</w:t>
      </w:r>
    </w:p>
    <w:p w14:paraId="23A96082" w14:textId="77777777" w:rsidR="00A26D64" w:rsidRDefault="00A26D64" w:rsidP="00A26D64">
      <w:pPr>
        <w:spacing w:line="276" w:lineRule="auto"/>
        <w:rPr>
          <w:sz w:val="17"/>
          <w:szCs w:val="17"/>
        </w:rPr>
      </w:pPr>
    </w:p>
    <w:p w14:paraId="33E82242" w14:textId="77777777" w:rsidR="00A26D64" w:rsidRPr="00090CAA" w:rsidRDefault="00A26D64" w:rsidP="00A26D64">
      <w:pPr>
        <w:spacing w:line="276" w:lineRule="auto"/>
        <w:rPr>
          <w:sz w:val="17"/>
          <w:szCs w:val="17"/>
          <w:u w:val="single"/>
        </w:rPr>
      </w:pPr>
      <w:r>
        <w:rPr>
          <w:sz w:val="17"/>
          <w:szCs w:val="17"/>
          <w:u w:val="single"/>
        </w:rPr>
        <w:t>Emerging views of the (re)insurance sector</w:t>
      </w:r>
    </w:p>
    <w:p w14:paraId="6B771F4E" w14:textId="77777777" w:rsidR="00A26D64" w:rsidRPr="007B2E7B" w:rsidRDefault="00A26D64" w:rsidP="00A26D64">
      <w:pPr>
        <w:rPr>
          <w:sz w:val="17"/>
          <w:szCs w:val="17"/>
        </w:rPr>
      </w:pPr>
      <w:r w:rsidRPr="007B2E7B">
        <w:rPr>
          <w:sz w:val="17"/>
          <w:szCs w:val="17"/>
        </w:rPr>
        <w:t xml:space="preserve">Priority should go to climate change mitigation. </w:t>
      </w:r>
    </w:p>
    <w:p w14:paraId="00173D46" w14:textId="68C2D3F3" w:rsidR="00E53546" w:rsidRPr="00A26D64" w:rsidRDefault="00E53546" w:rsidP="00A26D64"/>
    <w:sectPr w:rsidR="00E53546" w:rsidRPr="00A26D64" w:rsidSect="007D6B18">
      <w:headerReference w:type="default" r:id="rId11"/>
      <w:footerReference w:type="default" r:id="rId12"/>
      <w:headerReference w:type="first" r:id="rId13"/>
      <w:footerReference w:type="first" r:id="rId14"/>
      <w:pgSz w:w="11907" w:h="16839" w:code="9"/>
      <w:pgMar w:top="2172" w:right="907" w:bottom="1253" w:left="1418" w:header="709" w:footer="2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5F88" w14:textId="77777777" w:rsidR="007514E2" w:rsidRDefault="007514E2" w:rsidP="0016089A">
      <w:pPr>
        <w:spacing w:line="240" w:lineRule="auto"/>
      </w:pPr>
      <w:r>
        <w:separator/>
      </w:r>
    </w:p>
  </w:endnote>
  <w:endnote w:type="continuationSeparator" w:id="0">
    <w:p w14:paraId="68A14786" w14:textId="77777777" w:rsidR="007514E2" w:rsidRDefault="007514E2" w:rsidP="0016089A">
      <w:pPr>
        <w:spacing w:line="240" w:lineRule="auto"/>
      </w:pPr>
      <w:r>
        <w:continuationSeparator/>
      </w:r>
    </w:p>
  </w:endnote>
  <w:endnote w:type="continuationNotice" w:id="1">
    <w:p w14:paraId="0B34AC75" w14:textId="77777777" w:rsidR="007514E2" w:rsidRDefault="007514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4E09" w14:textId="77777777" w:rsidR="00CF35FD" w:rsidRPr="00AF0C42" w:rsidRDefault="009406F7" w:rsidP="009406F7">
    <w:pPr>
      <w:framePr w:w="708" w:h="391" w:hRule="exact" w:hSpace="181" w:wrap="around" w:vAnchor="page" w:hAnchor="page" w:x="10320" w:y="16111" w:anchorLock="1"/>
      <w:jc w:val="right"/>
      <w:rPr>
        <w:rFonts w:cs="Tahoma"/>
        <w:color w:val="002957"/>
        <w:sz w:val="14"/>
        <w:szCs w:val="14"/>
      </w:rPr>
    </w:pPr>
    <w:r w:rsidRPr="00AF0C42">
      <w:rPr>
        <w:rFonts w:cs="Tahoma"/>
        <w:color w:val="002957"/>
        <w:sz w:val="14"/>
        <w:szCs w:val="14"/>
      </w:rPr>
      <w:fldChar w:fldCharType="begin"/>
    </w:r>
    <w:r w:rsidRPr="00AF0C42">
      <w:rPr>
        <w:rFonts w:cs="Tahoma"/>
        <w:color w:val="002957"/>
        <w:sz w:val="14"/>
        <w:szCs w:val="14"/>
      </w:rPr>
      <w:instrText xml:space="preserve"> PAGE   \* MERGEFORMAT </w:instrText>
    </w:r>
    <w:r w:rsidRPr="00AF0C42">
      <w:rPr>
        <w:rFonts w:cs="Tahoma"/>
        <w:color w:val="002957"/>
        <w:sz w:val="14"/>
        <w:szCs w:val="14"/>
      </w:rPr>
      <w:fldChar w:fldCharType="separate"/>
    </w:r>
    <w:r w:rsidRPr="00AF0C42">
      <w:rPr>
        <w:rFonts w:cs="Tahoma"/>
        <w:noProof/>
        <w:color w:val="002957"/>
        <w:sz w:val="14"/>
        <w:szCs w:val="14"/>
      </w:rPr>
      <w:t>2</w:t>
    </w:r>
    <w:r w:rsidRPr="00AF0C42">
      <w:rPr>
        <w:rFonts w:cs="Tahoma"/>
        <w:noProof/>
        <w:color w:val="002957"/>
        <w:sz w:val="14"/>
        <w:szCs w:val="14"/>
      </w:rPr>
      <w:fldChar w:fldCharType="end"/>
    </w:r>
  </w:p>
  <w:p w14:paraId="0F45612D" w14:textId="77777777" w:rsidR="00A926FF" w:rsidRPr="0089179F" w:rsidRDefault="006825C9" w:rsidP="00CF35FD">
    <w:pPr>
      <w:tabs>
        <w:tab w:val="right" w:pos="10260"/>
      </w:tabs>
      <w:autoSpaceDE w:val="0"/>
      <w:autoSpaceDN w:val="0"/>
      <w:adjustRightInd w:val="0"/>
      <w:ind w:right="23"/>
      <w:jc w:val="right"/>
      <w:textAlignment w:val="center"/>
      <w:rPr>
        <w:color w:val="0000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ABE5" w14:textId="77777777" w:rsidR="007D6B18" w:rsidRPr="007D6B18" w:rsidRDefault="007D6B18">
    <w:pPr>
      <w:rPr>
        <w:sz w:val="14"/>
        <w:szCs w:val="18"/>
      </w:rPr>
    </w:pPr>
  </w:p>
  <w:tbl>
    <w:tblPr>
      <w:tblStyle w:val="Mriekatabuky"/>
      <w:tblW w:w="9639" w:type="dxa"/>
      <w:tblInd w:w="-142" w:type="dxa"/>
      <w:tblLook w:val="04A0" w:firstRow="1" w:lastRow="0" w:firstColumn="1" w:lastColumn="0" w:noHBand="0" w:noVBand="1"/>
    </w:tblPr>
    <w:tblGrid>
      <w:gridCol w:w="5670"/>
      <w:gridCol w:w="3969"/>
    </w:tblGrid>
    <w:tr w:rsidR="00F71D36" w14:paraId="29E635C5" w14:textId="77777777" w:rsidTr="0060137D">
      <w:tc>
        <w:tcPr>
          <w:tcW w:w="5670" w:type="dxa"/>
          <w:tcBorders>
            <w:top w:val="nil"/>
            <w:left w:val="nil"/>
            <w:bottom w:val="nil"/>
            <w:right w:val="nil"/>
          </w:tcBorders>
        </w:tcPr>
        <w:p w14:paraId="7DF4E77B" w14:textId="77777777" w:rsidR="00F71D36" w:rsidRPr="00654C77" w:rsidRDefault="00F71D36" w:rsidP="0060137D">
          <w:pPr>
            <w:pStyle w:val="CEAFooterauthorinfo"/>
            <w:ind w:left="30"/>
            <w:rPr>
              <w:b w:val="0"/>
              <w:color w:val="002957"/>
              <w:sz w:val="14"/>
              <w:szCs w:val="14"/>
              <w:lang w:val="fr-BE"/>
            </w:rPr>
          </w:pPr>
          <w:r w:rsidRPr="00654C77">
            <w:rPr>
              <w:b w:val="0"/>
              <w:color w:val="002957"/>
              <w:sz w:val="14"/>
              <w:szCs w:val="14"/>
              <w:lang w:val="fr-BE"/>
            </w:rPr>
            <w:t xml:space="preserve">Insurance Europe aisbl </w:t>
          </w:r>
          <w:r w:rsidRPr="00CE6BD9">
            <w:rPr>
              <w:b w:val="0"/>
              <w:color w:val="002957"/>
              <w:sz w:val="14"/>
              <w:szCs w:val="14"/>
              <w:lang w:val="pt-PT"/>
            </w:rPr>
            <w:t>•</w:t>
          </w:r>
          <w:r w:rsidRPr="00654C77">
            <w:rPr>
              <w:b w:val="0"/>
              <w:color w:val="002957"/>
              <w:sz w:val="14"/>
              <w:szCs w:val="14"/>
              <w:lang w:val="fr-BE"/>
            </w:rPr>
            <w:t xml:space="preserve"> Rue du Champ de Mars 23, B-1050 Brussels</w:t>
          </w:r>
        </w:p>
        <w:p w14:paraId="15BFC814" w14:textId="08839A86" w:rsidR="00F71D36" w:rsidRPr="00F71D36" w:rsidRDefault="00F71D36" w:rsidP="0060137D">
          <w:pPr>
            <w:pStyle w:val="CEAFooterauthorinfo"/>
            <w:ind w:left="30"/>
            <w:rPr>
              <w:b w:val="0"/>
              <w:color w:val="002957"/>
              <w:sz w:val="14"/>
              <w:szCs w:val="14"/>
              <w:lang w:val="pt-PT"/>
            </w:rPr>
          </w:pPr>
          <w:r>
            <w:rPr>
              <w:b w:val="0"/>
              <w:color w:val="002957"/>
              <w:sz w:val="14"/>
              <w:szCs w:val="14"/>
              <w:lang w:val="pt-PT"/>
            </w:rPr>
            <w:t xml:space="preserve">E-mail: </w:t>
          </w:r>
          <w:r w:rsidR="003065D0">
            <w:rPr>
              <w:b w:val="0"/>
              <w:color w:val="002957"/>
              <w:sz w:val="14"/>
              <w:szCs w:val="14"/>
              <w:lang w:val="pt-PT"/>
            </w:rPr>
            <w:t>InvestmentsSustainableFinance</w:t>
          </w:r>
          <w:r>
            <w:rPr>
              <w:b w:val="0"/>
              <w:color w:val="002957"/>
              <w:sz w:val="14"/>
              <w:szCs w:val="14"/>
              <w:lang w:val="pt-PT"/>
            </w:rPr>
            <w:t>@insuranceeurope.eu</w:t>
          </w:r>
        </w:p>
      </w:tc>
      <w:tc>
        <w:tcPr>
          <w:tcW w:w="3969" w:type="dxa"/>
          <w:tcBorders>
            <w:top w:val="nil"/>
            <w:left w:val="nil"/>
            <w:bottom w:val="nil"/>
            <w:right w:val="nil"/>
          </w:tcBorders>
        </w:tcPr>
        <w:p w14:paraId="796B714B" w14:textId="76735258" w:rsidR="00F71D36" w:rsidRDefault="00043BB0" w:rsidP="00FC1F52">
          <w:pPr>
            <w:pStyle w:val="CEAFooterauthorinfo"/>
            <w:ind w:left="0"/>
            <w:rPr>
              <w:b w:val="0"/>
              <w:color w:val="002957"/>
              <w:sz w:val="14"/>
              <w:szCs w:val="14"/>
            </w:rPr>
          </w:pPr>
          <w:r w:rsidRPr="00043BB0">
            <w:rPr>
              <w:b w:val="0"/>
              <w:color w:val="002957"/>
              <w:sz w:val="14"/>
              <w:szCs w:val="14"/>
            </w:rPr>
            <w:t>© Insurance Europe. Confidential, internal document. Not for distribution, all rights reserved.</w:t>
          </w:r>
        </w:p>
      </w:tc>
    </w:tr>
  </w:tbl>
  <w:p w14:paraId="0533995A" w14:textId="77777777" w:rsidR="00CE2D41" w:rsidRPr="00E7145A" w:rsidRDefault="00CE2D41" w:rsidP="008303BF">
    <w:pPr>
      <w:pStyle w:val="CEAFooterauthorinfo"/>
      <w:ind w:left="0"/>
      <w:rPr>
        <w:b w:val="0"/>
        <w:color w:val="002957"/>
        <w:sz w:val="14"/>
        <w:szCs w:val="14"/>
        <w:lang w:val="pt-PT"/>
      </w:rPr>
    </w:pPr>
  </w:p>
  <w:p w14:paraId="278ED61B" w14:textId="77777777" w:rsidR="000D7957" w:rsidRPr="00E7145A" w:rsidRDefault="000D7957" w:rsidP="008303BF">
    <w:pPr>
      <w:pStyle w:val="CEAFooterauthorinfo"/>
      <w:ind w:left="0"/>
      <w:rPr>
        <w:rFonts w:cs="Frutiger LT Std 55 Roman"/>
        <w:b w:val="0"/>
        <w:color w:val="82C55B"/>
        <w:sz w:val="14"/>
        <w:szCs w:val="14"/>
      </w:rPr>
    </w:pPr>
    <w:r w:rsidRPr="00E7145A">
      <w:rPr>
        <w:rFonts w:cs="Frutiger LT Std 55 Roman"/>
        <w:b w:val="0"/>
        <w:color w:val="82C55B"/>
        <w:sz w:val="14"/>
        <w:szCs w:val="14"/>
      </w:rPr>
      <w:t>www.insuranceeurope.eu</w:t>
    </w:r>
  </w:p>
  <w:p w14:paraId="2DB89D6E" w14:textId="77777777" w:rsidR="008303BF" w:rsidRPr="007D6B18" w:rsidRDefault="006825C9">
    <w:pPr>
      <w:pStyle w:val="Pta"/>
      <w:rPr>
        <w:color w:val="002957"/>
        <w:sz w:val="14"/>
        <w:szCs w:val="1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CF64" w14:textId="77777777" w:rsidR="007514E2" w:rsidRDefault="007514E2" w:rsidP="0016089A">
      <w:pPr>
        <w:spacing w:line="240" w:lineRule="auto"/>
      </w:pPr>
      <w:r>
        <w:separator/>
      </w:r>
    </w:p>
  </w:footnote>
  <w:footnote w:type="continuationSeparator" w:id="0">
    <w:p w14:paraId="31A55DE0" w14:textId="77777777" w:rsidR="007514E2" w:rsidRDefault="007514E2" w:rsidP="0016089A">
      <w:pPr>
        <w:spacing w:line="240" w:lineRule="auto"/>
      </w:pPr>
      <w:r>
        <w:continuationSeparator/>
      </w:r>
    </w:p>
  </w:footnote>
  <w:footnote w:type="continuationNotice" w:id="1">
    <w:p w14:paraId="50EE83B0" w14:textId="77777777" w:rsidR="007514E2" w:rsidRDefault="007514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783" w14:textId="77777777" w:rsidR="00AE797B" w:rsidRPr="007D6B18" w:rsidRDefault="006825C9" w:rsidP="000846C0">
    <w:pPr>
      <w:pStyle w:val="Noparagraphstyle"/>
      <w:jc w:val="right"/>
      <w:rPr>
        <w:rFonts w:ascii="Verdana" w:hAnsi="Verdana"/>
        <w:sz w:val="18"/>
        <w:szCs w:val="18"/>
      </w:rPr>
    </w:pPr>
  </w:p>
  <w:p w14:paraId="71960902" w14:textId="77777777" w:rsidR="00AE797B" w:rsidRPr="007D6B18" w:rsidRDefault="001C366D" w:rsidP="000846C0">
    <w:pPr>
      <w:pStyle w:val="Noparagraphstyle"/>
      <w:jc w:val="right"/>
      <w:rPr>
        <w:rFonts w:ascii="Verdana" w:hAnsi="Verdana" w:cs="Arial"/>
        <w:i/>
        <w:iCs/>
        <w:color w:val="034EA2"/>
      </w:rPr>
    </w:pPr>
    <w:r w:rsidRPr="007D6B18">
      <w:rPr>
        <w:rFonts w:ascii="Verdana" w:hAnsi="Verdana"/>
      </w:rPr>
      <w:tab/>
    </w:r>
  </w:p>
  <w:p w14:paraId="23E48B90" w14:textId="77777777" w:rsidR="00AE797B" w:rsidRPr="007D6B18" w:rsidRDefault="001C366D" w:rsidP="005C0D74">
    <w:pPr>
      <w:pStyle w:val="Hlavika"/>
      <w:tabs>
        <w:tab w:val="clear" w:pos="4320"/>
        <w:tab w:val="clear" w:pos="8640"/>
        <w:tab w:val="center" w:pos="0"/>
        <w:tab w:val="right" w:pos="10440"/>
      </w:tabs>
      <w:jc w:val="right"/>
      <w:rPr>
        <w:b/>
        <w:color w:val="034EA2"/>
        <w:sz w:val="40"/>
        <w:szCs w:val="40"/>
      </w:rPr>
    </w:pPr>
    <w:r w:rsidRPr="007D6B18">
      <w:rPr>
        <w:b/>
        <w:noProof/>
        <w:sz w:val="40"/>
        <w:szCs w:val="40"/>
        <w:lang w:val="fr-BE" w:eastAsia="fr-BE"/>
      </w:rPr>
      <w:drawing>
        <wp:anchor distT="0" distB="0" distL="114300" distR="114300" simplePos="0" relativeHeight="251658241"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7D6B18">
      <w:rPr>
        <w:b/>
        <w:color w:val="034EA2"/>
        <w:sz w:val="28"/>
        <w:szCs w:val="28"/>
      </w:rPr>
      <w:t xml:space="preserve"> </w:t>
    </w:r>
  </w:p>
  <w:p w14:paraId="11CAD447" w14:textId="6505AD71" w:rsidR="00AE797B" w:rsidRDefault="006825C9" w:rsidP="00665E76">
    <w:pPr>
      <w:pStyle w:val="Noparagraphstyle"/>
      <w:rPr>
        <w:rFonts w:ascii="Verdana" w:hAnsi="Verdana"/>
      </w:rPr>
    </w:pPr>
  </w:p>
  <w:p w14:paraId="25DBA3C4" w14:textId="77777777" w:rsidR="007D6B18" w:rsidRPr="007D6B18" w:rsidRDefault="007D6B18" w:rsidP="00665E76">
    <w:pPr>
      <w:pStyle w:val="Noparagraphstyle"/>
      <w:rPr>
        <w:rFonts w:ascii="Verdana" w:hAnsi="Verdan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6822" w14:textId="77777777" w:rsidR="00732B64" w:rsidRPr="00CE615B" w:rsidRDefault="001C366D" w:rsidP="00732B64">
    <w:pPr>
      <w:pStyle w:val="Noparagraphstyle"/>
      <w:tabs>
        <w:tab w:val="left" w:pos="-1800"/>
      </w:tabs>
      <w:jc w:val="right"/>
      <w:rPr>
        <w:rFonts w:ascii="Verdana" w:hAnsi="Verdana"/>
        <w:sz w:val="22"/>
        <w:szCs w:val="22"/>
      </w:rPr>
    </w:pPr>
    <w:r w:rsidRPr="00CE615B">
      <w:rPr>
        <w:rFonts w:ascii="Verdana" w:hAnsi="Verdana"/>
        <w:sz w:val="18"/>
        <w:szCs w:val="18"/>
      </w:rPr>
      <w:br/>
    </w:r>
  </w:p>
  <w:p w14:paraId="16E31AE3" w14:textId="75B304AA" w:rsidR="00732B64" w:rsidRPr="00CF35FD" w:rsidRDefault="001C366D" w:rsidP="00CD4FC5">
    <w:pPr>
      <w:pStyle w:val="Noparagraphstyle"/>
      <w:tabs>
        <w:tab w:val="left" w:pos="-1800"/>
      </w:tabs>
      <w:rPr>
        <w:b/>
        <w:color w:val="002957"/>
        <w:sz w:val="36"/>
        <w:szCs w:val="36"/>
      </w:rPr>
    </w:pPr>
    <w:r w:rsidRPr="00CF35FD">
      <w:rPr>
        <w:b/>
        <w:noProof/>
        <w:color w:val="002957"/>
        <w:sz w:val="36"/>
        <w:szCs w:val="36"/>
        <w:lang w:val="fr-BE" w:eastAsia="fr-BE"/>
      </w:rPr>
      <w:drawing>
        <wp:anchor distT="0" distB="0" distL="114300" distR="114300" simplePos="0" relativeHeight="251658240"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18B26CC" w14:textId="16EB24D2" w:rsidR="009C515F" w:rsidRDefault="009C515F" w:rsidP="00CD4FC5">
    <w:pPr>
      <w:rPr>
        <w:b/>
        <w:i/>
        <w:color w:val="002957"/>
        <w:sz w:val="32"/>
        <w:szCs w:val="32"/>
      </w:rPr>
    </w:pPr>
    <w:r>
      <w:rPr>
        <w:b/>
        <w:color w:val="002957"/>
        <w:sz w:val="36"/>
        <w:szCs w:val="36"/>
      </w:rPr>
      <w:t xml:space="preserve"> </w:t>
    </w:r>
  </w:p>
  <w:p w14:paraId="6FFC7487" w14:textId="77777777" w:rsidR="00732B64" w:rsidRDefault="006825C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392B6098"/>
    <w:multiLevelType w:val="hybridMultilevel"/>
    <w:tmpl w:val="C2FCE880"/>
    <w:lvl w:ilvl="0" w:tplc="0264124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3" w15:restartNumberingAfterBreak="0">
    <w:nsid w:val="56F005C3"/>
    <w:multiLevelType w:val="hybridMultilevel"/>
    <w:tmpl w:val="4CCCAE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8016133">
    <w:abstractNumId w:val="4"/>
  </w:num>
  <w:num w:numId="2" w16cid:durableId="595600904">
    <w:abstractNumId w:val="0"/>
  </w:num>
  <w:num w:numId="3" w16cid:durableId="1610896362">
    <w:abstractNumId w:val="2"/>
  </w:num>
  <w:num w:numId="4" w16cid:durableId="1693532651">
    <w:abstractNumId w:val="1"/>
  </w:num>
  <w:num w:numId="5" w16cid:durableId="1146237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5"/>
    <w:rsid w:val="00032A35"/>
    <w:rsid w:val="000330D4"/>
    <w:rsid w:val="00036662"/>
    <w:rsid w:val="00043BB0"/>
    <w:rsid w:val="00065170"/>
    <w:rsid w:val="000671DA"/>
    <w:rsid w:val="000763A3"/>
    <w:rsid w:val="00085EE7"/>
    <w:rsid w:val="000874EF"/>
    <w:rsid w:val="000B4D8F"/>
    <w:rsid w:val="000C58E3"/>
    <w:rsid w:val="000C7ED4"/>
    <w:rsid w:val="000D65B5"/>
    <w:rsid w:val="000D7957"/>
    <w:rsid w:val="000F3E5D"/>
    <w:rsid w:val="000F5700"/>
    <w:rsid w:val="00106A83"/>
    <w:rsid w:val="00122D4E"/>
    <w:rsid w:val="001235F9"/>
    <w:rsid w:val="0016038F"/>
    <w:rsid w:val="0016089A"/>
    <w:rsid w:val="00174351"/>
    <w:rsid w:val="0017700C"/>
    <w:rsid w:val="0019721E"/>
    <w:rsid w:val="001A4E0F"/>
    <w:rsid w:val="001A7050"/>
    <w:rsid w:val="001B3371"/>
    <w:rsid w:val="001C366D"/>
    <w:rsid w:val="001D295E"/>
    <w:rsid w:val="001F7EE8"/>
    <w:rsid w:val="002158D4"/>
    <w:rsid w:val="0023029F"/>
    <w:rsid w:val="00250B40"/>
    <w:rsid w:val="00292DC7"/>
    <w:rsid w:val="002B5535"/>
    <w:rsid w:val="002E16F6"/>
    <w:rsid w:val="003025B0"/>
    <w:rsid w:val="003065D0"/>
    <w:rsid w:val="003067BE"/>
    <w:rsid w:val="00312ECE"/>
    <w:rsid w:val="00315CF1"/>
    <w:rsid w:val="003166D8"/>
    <w:rsid w:val="00331464"/>
    <w:rsid w:val="00373BC8"/>
    <w:rsid w:val="00390BB8"/>
    <w:rsid w:val="003C0B97"/>
    <w:rsid w:val="003C2B22"/>
    <w:rsid w:val="003C3DD3"/>
    <w:rsid w:val="003D7387"/>
    <w:rsid w:val="003D7BCE"/>
    <w:rsid w:val="003E40B8"/>
    <w:rsid w:val="003E7922"/>
    <w:rsid w:val="00412E3E"/>
    <w:rsid w:val="00425286"/>
    <w:rsid w:val="00440FEE"/>
    <w:rsid w:val="00443185"/>
    <w:rsid w:val="00445D1E"/>
    <w:rsid w:val="0048694A"/>
    <w:rsid w:val="00493DAB"/>
    <w:rsid w:val="004B7AA2"/>
    <w:rsid w:val="004C1A27"/>
    <w:rsid w:val="004D6443"/>
    <w:rsid w:val="004E3532"/>
    <w:rsid w:val="004E6023"/>
    <w:rsid w:val="005101CF"/>
    <w:rsid w:val="00515B25"/>
    <w:rsid w:val="0051731B"/>
    <w:rsid w:val="00546CAC"/>
    <w:rsid w:val="00552783"/>
    <w:rsid w:val="0056147E"/>
    <w:rsid w:val="00566BA8"/>
    <w:rsid w:val="00586BF0"/>
    <w:rsid w:val="00597E71"/>
    <w:rsid w:val="005B1678"/>
    <w:rsid w:val="005C7563"/>
    <w:rsid w:val="005E189A"/>
    <w:rsid w:val="005E65CA"/>
    <w:rsid w:val="005F70A9"/>
    <w:rsid w:val="0060137D"/>
    <w:rsid w:val="00617E4F"/>
    <w:rsid w:val="00621FD6"/>
    <w:rsid w:val="00630DA3"/>
    <w:rsid w:val="00637932"/>
    <w:rsid w:val="00654C77"/>
    <w:rsid w:val="006825C9"/>
    <w:rsid w:val="006A0B88"/>
    <w:rsid w:val="006A3115"/>
    <w:rsid w:val="006B6571"/>
    <w:rsid w:val="006C165F"/>
    <w:rsid w:val="006D4A9D"/>
    <w:rsid w:val="006D68B8"/>
    <w:rsid w:val="006F0606"/>
    <w:rsid w:val="006F6859"/>
    <w:rsid w:val="007159AC"/>
    <w:rsid w:val="00726D79"/>
    <w:rsid w:val="00730E61"/>
    <w:rsid w:val="00731172"/>
    <w:rsid w:val="007326CF"/>
    <w:rsid w:val="00746655"/>
    <w:rsid w:val="007514E2"/>
    <w:rsid w:val="00784ADC"/>
    <w:rsid w:val="007D6B18"/>
    <w:rsid w:val="007E7DF1"/>
    <w:rsid w:val="008007CD"/>
    <w:rsid w:val="00804AB0"/>
    <w:rsid w:val="0082235C"/>
    <w:rsid w:val="0083203B"/>
    <w:rsid w:val="00836D1B"/>
    <w:rsid w:val="0084556E"/>
    <w:rsid w:val="00846248"/>
    <w:rsid w:val="008618FD"/>
    <w:rsid w:val="00864C76"/>
    <w:rsid w:val="008B1E6A"/>
    <w:rsid w:val="008C3A34"/>
    <w:rsid w:val="008D30B5"/>
    <w:rsid w:val="008E2794"/>
    <w:rsid w:val="008E697F"/>
    <w:rsid w:val="009148D8"/>
    <w:rsid w:val="009172DE"/>
    <w:rsid w:val="00931C7C"/>
    <w:rsid w:val="00932A82"/>
    <w:rsid w:val="009406F7"/>
    <w:rsid w:val="00954F9B"/>
    <w:rsid w:val="0095640A"/>
    <w:rsid w:val="00973BE9"/>
    <w:rsid w:val="009771DD"/>
    <w:rsid w:val="009870D9"/>
    <w:rsid w:val="00992227"/>
    <w:rsid w:val="009A7505"/>
    <w:rsid w:val="009A7ECD"/>
    <w:rsid w:val="009B48D6"/>
    <w:rsid w:val="009B55FD"/>
    <w:rsid w:val="009B7056"/>
    <w:rsid w:val="009C3BC7"/>
    <w:rsid w:val="009C515F"/>
    <w:rsid w:val="009E6DCA"/>
    <w:rsid w:val="009F424A"/>
    <w:rsid w:val="00A14D71"/>
    <w:rsid w:val="00A26D64"/>
    <w:rsid w:val="00A36559"/>
    <w:rsid w:val="00A5434D"/>
    <w:rsid w:val="00A618E7"/>
    <w:rsid w:val="00A63735"/>
    <w:rsid w:val="00A6446C"/>
    <w:rsid w:val="00A77B2B"/>
    <w:rsid w:val="00A8731C"/>
    <w:rsid w:val="00A87BE2"/>
    <w:rsid w:val="00AE0944"/>
    <w:rsid w:val="00AE5F5C"/>
    <w:rsid w:val="00AF0C42"/>
    <w:rsid w:val="00B166B9"/>
    <w:rsid w:val="00B53145"/>
    <w:rsid w:val="00B60C64"/>
    <w:rsid w:val="00B679C1"/>
    <w:rsid w:val="00B74C8A"/>
    <w:rsid w:val="00B9478C"/>
    <w:rsid w:val="00B96DA7"/>
    <w:rsid w:val="00BB67C9"/>
    <w:rsid w:val="00BC79DD"/>
    <w:rsid w:val="00BD707B"/>
    <w:rsid w:val="00BE5926"/>
    <w:rsid w:val="00BE6026"/>
    <w:rsid w:val="00BE697C"/>
    <w:rsid w:val="00BE6E55"/>
    <w:rsid w:val="00BF3499"/>
    <w:rsid w:val="00BF6346"/>
    <w:rsid w:val="00C04D57"/>
    <w:rsid w:val="00C053FD"/>
    <w:rsid w:val="00C0583A"/>
    <w:rsid w:val="00C07461"/>
    <w:rsid w:val="00C2027F"/>
    <w:rsid w:val="00C21B9E"/>
    <w:rsid w:val="00C22B0F"/>
    <w:rsid w:val="00C55279"/>
    <w:rsid w:val="00C73572"/>
    <w:rsid w:val="00C765D8"/>
    <w:rsid w:val="00C84CF6"/>
    <w:rsid w:val="00C9042F"/>
    <w:rsid w:val="00C9321B"/>
    <w:rsid w:val="00CB378B"/>
    <w:rsid w:val="00CC3130"/>
    <w:rsid w:val="00CD48BF"/>
    <w:rsid w:val="00CD4FC5"/>
    <w:rsid w:val="00CD6F28"/>
    <w:rsid w:val="00CE0E77"/>
    <w:rsid w:val="00CE2D41"/>
    <w:rsid w:val="00CE5F22"/>
    <w:rsid w:val="00CF29AE"/>
    <w:rsid w:val="00CF376E"/>
    <w:rsid w:val="00D0405B"/>
    <w:rsid w:val="00D40D1A"/>
    <w:rsid w:val="00D4350C"/>
    <w:rsid w:val="00D47B52"/>
    <w:rsid w:val="00D90008"/>
    <w:rsid w:val="00D9007C"/>
    <w:rsid w:val="00D950E6"/>
    <w:rsid w:val="00D951CA"/>
    <w:rsid w:val="00DA3CBE"/>
    <w:rsid w:val="00DB4011"/>
    <w:rsid w:val="00E23F6D"/>
    <w:rsid w:val="00E34A19"/>
    <w:rsid w:val="00E53546"/>
    <w:rsid w:val="00E5632F"/>
    <w:rsid w:val="00E57762"/>
    <w:rsid w:val="00E7145A"/>
    <w:rsid w:val="00EC0E23"/>
    <w:rsid w:val="00ED4F28"/>
    <w:rsid w:val="00ED505D"/>
    <w:rsid w:val="00ED61E3"/>
    <w:rsid w:val="00ED6DE9"/>
    <w:rsid w:val="00EF5AA8"/>
    <w:rsid w:val="00F05AEF"/>
    <w:rsid w:val="00F14035"/>
    <w:rsid w:val="00F2676F"/>
    <w:rsid w:val="00F44106"/>
    <w:rsid w:val="00F70E3A"/>
    <w:rsid w:val="00F71D36"/>
    <w:rsid w:val="00F75BC2"/>
    <w:rsid w:val="00F8705B"/>
    <w:rsid w:val="00F93E4B"/>
    <w:rsid w:val="00FC1F52"/>
    <w:rsid w:val="00FD3DA6"/>
    <w:rsid w:val="00FD44C7"/>
    <w:rsid w:val="00FD50E7"/>
    <w:rsid w:val="00FE4313"/>
    <w:rsid w:val="00FE7C0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4D5C0"/>
  <w15:docId w15:val="{2546BD31-8894-4E0A-8B07-F50ACDE6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089A"/>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CEAStandardHeading">
    <w:name w:val="CEA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CEABullet-Level1">
    <w:name w:val="CEA Bullet - Level 1"/>
    <w:basedOn w:val="Normlny"/>
    <w:qFormat/>
    <w:rsid w:val="00425286"/>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425286"/>
    <w:pPr>
      <w:numPr>
        <w:numId w:val="2"/>
      </w:numPr>
    </w:pPr>
  </w:style>
  <w:style w:type="paragraph" w:customStyle="1" w:styleId="CEABullet-Level3">
    <w:name w:val="CEA Bullet - Level 3"/>
    <w:basedOn w:val="Normlny"/>
    <w:qFormat/>
    <w:rsid w:val="00425286"/>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425286"/>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425286"/>
    <w:pPr>
      <w:jc w:val="right"/>
    </w:pPr>
    <w:rPr>
      <w:rFonts w:cs="Frutiger LT Std 55 Roman"/>
      <w:b/>
      <w:color w:val="0032FF"/>
      <w:sz w:val="40"/>
      <w:szCs w:val="40"/>
    </w:rPr>
  </w:style>
  <w:style w:type="paragraph" w:customStyle="1" w:styleId="CEAFootnote">
    <w:name w:val="CEA Footnote"/>
    <w:basedOn w:val="Normlny"/>
    <w:semiHidden/>
    <w:qFormat/>
    <w:rsid w:val="00425286"/>
    <w:pPr>
      <w:spacing w:line="240" w:lineRule="auto"/>
    </w:pPr>
    <w:rPr>
      <w:sz w:val="16"/>
    </w:rPr>
  </w:style>
  <w:style w:type="character" w:customStyle="1" w:styleId="CEAGraphTitle">
    <w:name w:val="CEA Graph Title"/>
    <w:uiPriority w:val="1"/>
    <w:qFormat/>
    <w:rsid w:val="00425286"/>
    <w:rPr>
      <w:rFonts w:ascii="Verdana" w:hAnsi="Verdana"/>
      <w:smallCaps w:val="0"/>
      <w:sz w:val="19"/>
      <w:lang w:val="en-GB"/>
    </w:rPr>
  </w:style>
  <w:style w:type="character" w:customStyle="1" w:styleId="CEAGraphX">
    <w:name w:val="CEA Graph X"/>
    <w:uiPriority w:val="1"/>
    <w:qFormat/>
    <w:rsid w:val="00425286"/>
    <w:rPr>
      <w:rFonts w:ascii="Verdana" w:hAnsi="Verdana"/>
      <w:smallCaps/>
      <w:sz w:val="19"/>
      <w:lang w:val="en-GB"/>
    </w:rPr>
  </w:style>
  <w:style w:type="paragraph" w:customStyle="1" w:styleId="CEAPositionPaperTitle">
    <w:name w:val="CEA Position Paper Title"/>
    <w:basedOn w:val="Normlny"/>
    <w:semiHidden/>
    <w:qFormat/>
    <w:rsid w:val="00425286"/>
    <w:pPr>
      <w:ind w:left="-27"/>
    </w:pPr>
    <w:rPr>
      <w:b/>
      <w:color w:val="034EA2"/>
      <w:sz w:val="32"/>
      <w:szCs w:val="32"/>
    </w:rPr>
  </w:style>
  <w:style w:type="paragraph" w:customStyle="1" w:styleId="CEAPressReleaseSubtitle">
    <w:name w:val="CEA Press Release Subtitle"/>
    <w:basedOn w:val="Normlny"/>
    <w:semiHidden/>
    <w:qFormat/>
    <w:rsid w:val="00425286"/>
    <w:rPr>
      <w:sz w:val="22"/>
      <w:szCs w:val="22"/>
    </w:rPr>
  </w:style>
  <w:style w:type="paragraph" w:customStyle="1" w:styleId="CEAPressReleaseTitle">
    <w:name w:val="CEA Press Release Title"/>
    <w:basedOn w:val="Normlny"/>
    <w:semiHidden/>
    <w:qFormat/>
    <w:rsid w:val="00425286"/>
    <w:pPr>
      <w:autoSpaceDE w:val="0"/>
      <w:autoSpaceDN w:val="0"/>
      <w:adjustRightInd w:val="0"/>
      <w:spacing w:line="240" w:lineRule="auto"/>
    </w:pPr>
    <w:rPr>
      <w:rFonts w:ascii="Frutiger LT Com 45 Light" w:hAnsi="Frutiger LT Com 45 Light"/>
      <w:b/>
      <w:color w:val="034EA2"/>
      <w:sz w:val="36"/>
      <w:szCs w:val="36"/>
    </w:rPr>
  </w:style>
  <w:style w:type="table" w:styleId="Mriekatabuky">
    <w:name w:val="Table Grid"/>
    <w:basedOn w:val="Normlnatabuka"/>
    <w:uiPriority w:val="59"/>
    <w:rsid w:val="00F71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6CAC"/>
    <w:rPr>
      <w:sz w:val="16"/>
      <w:szCs w:val="16"/>
    </w:rPr>
  </w:style>
  <w:style w:type="paragraph" w:styleId="Textkomentra">
    <w:name w:val="annotation text"/>
    <w:basedOn w:val="Normlny"/>
    <w:link w:val="TextkomentraChar"/>
    <w:uiPriority w:val="99"/>
    <w:semiHidden/>
    <w:unhideWhenUsed/>
    <w:rsid w:val="00546CAC"/>
    <w:pPr>
      <w:spacing w:line="240" w:lineRule="auto"/>
    </w:pPr>
    <w:rPr>
      <w:szCs w:val="20"/>
    </w:rPr>
  </w:style>
  <w:style w:type="character" w:customStyle="1" w:styleId="TextkomentraChar">
    <w:name w:val="Text komentára Char"/>
    <w:basedOn w:val="Predvolenpsmoodseku"/>
    <w:link w:val="Textkomentra"/>
    <w:uiPriority w:val="99"/>
    <w:semiHidden/>
    <w:rsid w:val="00546CAC"/>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546CAC"/>
    <w:rPr>
      <w:b/>
      <w:bCs/>
    </w:rPr>
  </w:style>
  <w:style w:type="character" w:customStyle="1" w:styleId="PredmetkomentraChar">
    <w:name w:val="Predmet komentára Char"/>
    <w:basedOn w:val="TextkomentraChar"/>
    <w:link w:val="Predmetkomentra"/>
    <w:uiPriority w:val="99"/>
    <w:semiHidden/>
    <w:rsid w:val="00546CAC"/>
    <w:rPr>
      <w:rFonts w:ascii="Verdana" w:eastAsia="Times New Roman" w:hAnsi="Verdana" w:cs="Times New Roman"/>
      <w:b/>
      <w:bCs/>
      <w:sz w:val="20"/>
      <w:szCs w:val="20"/>
      <w:lang w:val="en-GB"/>
    </w:rPr>
  </w:style>
  <w:style w:type="character" w:styleId="Hypertextovprepojenie">
    <w:name w:val="Hyperlink"/>
    <w:basedOn w:val="Predvolenpsmoodseku"/>
    <w:uiPriority w:val="99"/>
    <w:unhideWhenUsed/>
    <w:rsid w:val="00FD50E7"/>
    <w:rPr>
      <w:color w:val="0000FF" w:themeColor="hyperlink"/>
      <w:u w:val="single"/>
    </w:rPr>
  </w:style>
  <w:style w:type="character" w:styleId="Nevyrieenzmienka">
    <w:name w:val="Unresolved Mention"/>
    <w:basedOn w:val="Predvolenpsmoodseku"/>
    <w:uiPriority w:val="99"/>
    <w:semiHidden/>
    <w:unhideWhenUsed/>
    <w:rsid w:val="00FD50E7"/>
    <w:rPr>
      <w:color w:val="605E5C"/>
      <w:shd w:val="clear" w:color="auto" w:fill="E1DFDD"/>
    </w:rPr>
  </w:style>
  <w:style w:type="paragraph" w:styleId="Odsekzoznamu">
    <w:name w:val="List Paragraph"/>
    <w:basedOn w:val="Normlny"/>
    <w:uiPriority w:val="34"/>
    <w:qFormat/>
    <w:rsid w:val="00A26D64"/>
    <w:pPr>
      <w:spacing w:line="240" w:lineRule="auto"/>
      <w:ind w:left="720"/>
      <w:jc w:val="left"/>
    </w:pPr>
    <w:rPr>
      <w:rFonts w:ascii="Calibri" w:eastAsiaTheme="minorHAnsi" w:hAnsi="Calibri" w:cs="Calibri"/>
      <w:sz w:val="22"/>
      <w:szCs w:val="22"/>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3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91e53fe5-de66-4f47-82c0-0a0717a7bdf1" xsi:nil="true"/>
    <Type_x0020_of_x0020_document xmlns="91e53fe5-de66-4f47-82c0-0a0717a7bdf1" xsi:nil="true"/>
    <Type_x0020_of_x0020_memo xmlns="91e53fe5-de66-4f47-82c0-0a0717a7bdf1" xsi:nil="true"/>
    <Can_x0020_be_x0020_edited xmlns="91e53fe5-de66-4f47-82c0-0a0717a7bdf1">false</Can_x0020_be_x0020_edited>
    <Allow_x0020_uploads xmlns="91e53fe5-de66-4f47-82c0-0a0717a7bdf1" xsi:nil="true"/>
    <isAnnex xmlns="91e53fe5-de66-4f47-82c0-0a0717a7bdf1" xsi:nil="true"/>
    <Display_x0020_validated_x0020_documents_x0020_library_x0020_button xmlns="91e53fe5-de66-4f47-82c0-0a0717a7bdf1">false</Display_x0020_validated_x0020_documents_x0020_library_x0020_button>
    <Feedback_x0020_type xmlns="91e53fe5-de66-4f47-82c0-0a0717a7bdf1" xsi:nil="true"/>
    <Uploads xmlns="91e53fe5-de66-4f47-82c0-0a0717a7bdf1" xsi:nil="true"/>
    <Leading_x0020_document xmlns="91e53fe5-de66-4f47-82c0-0a0717a7bdf1" xsi:nil="true"/>
    <AllowComments xmlns="91e53fe5-de66-4f47-82c0-0a0717a7bdf1">true</AllowComments>
    <Allow_x0020_comments xmlns="91e53fe5-de66-4f47-82c0-0a0717a7bdf1" xsi:nil="true"/>
    <Validated xmlns="91e53fe5-de66-4f47-82c0-0a0717a7bdf1">false</Validated>
    <ValidationComment xmlns="91e53fe5-de66-4f47-82c0-0a0717a7bd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C8CC086B041717489B5C8BCBB6872088" ma:contentTypeVersion="20" ma:contentTypeDescription="Published Documents Content types for Insurance Europe" ma:contentTypeScope="" ma:versionID="97cb27fd72d846e2a0376cd201ef664f">
  <xsd:schema xmlns:xsd="http://www.w3.org/2001/XMLSchema" xmlns:xs="http://www.w3.org/2001/XMLSchema" xmlns:p="http://schemas.microsoft.com/office/2006/metadata/properties" xmlns:ns2="91e53fe5-de66-4f47-82c0-0a0717a7bdf1" targetNamespace="http://schemas.microsoft.com/office/2006/metadata/properties" ma:root="true" ma:fieldsID="b2c0d253afb977215a9d0d840c74609a" ns2:_="">
    <xsd:import namespace="91e53fe5-de66-4f47-82c0-0a0717a7bdf1"/>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53fe5-de66-4f47-82c0-0a0717a7bdf1"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E8AC2-BC04-484A-AE5F-6753D3DE5469}">
  <ds:schemaRef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91e53fe5-de66-4f47-82c0-0a0717a7bdf1"/>
    <ds:schemaRef ds:uri="http://www.w3.org/XML/1998/namespace"/>
  </ds:schemaRefs>
</ds:datastoreItem>
</file>

<file path=customXml/itemProps2.xml><?xml version="1.0" encoding="utf-8"?>
<ds:datastoreItem xmlns:ds="http://schemas.openxmlformats.org/officeDocument/2006/customXml" ds:itemID="{E751A68F-22AE-448E-AF3B-67E4905B1BE8}">
  <ds:schemaRefs>
    <ds:schemaRef ds:uri="http://schemas.openxmlformats.org/officeDocument/2006/bibliography"/>
  </ds:schemaRefs>
</ds:datastoreItem>
</file>

<file path=customXml/itemProps3.xml><?xml version="1.0" encoding="utf-8"?>
<ds:datastoreItem xmlns:ds="http://schemas.openxmlformats.org/officeDocument/2006/customXml" ds:itemID="{CF9B86C6-4B0E-4489-B2B5-5603BC0D4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53fe5-de66-4f47-82c0-0a0717a7b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543F7-D990-4A6E-8CB8-19DE2D016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2120</Words>
  <Characters>12085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Art. 8 Taxonomy disclosures - questions and takeaways for the EU Platform on Sustainable Finance</vt:lpstr>
    </vt:vector>
  </TitlesOfParts>
  <Company>Insurance Europe</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8 Taxonomy disclosures - questions and takeaways to be shared with the Platform on Sustainable Finance</dc:title>
  <dc:creator>Insurance Europe</dc:creator>
  <cp:lastModifiedBy>jozef.bachnicek</cp:lastModifiedBy>
  <cp:revision>2</cp:revision>
  <dcterms:created xsi:type="dcterms:W3CDTF">2022-05-13T08:44:00Z</dcterms:created>
  <dcterms:modified xsi:type="dcterms:W3CDTF">2022-05-13T08:44:00Z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0x010100C8CC086B041717489B5C8BCBB6872088</vt:lpwstr>
  </property>
  <property fmtid="{D5CDD505-2E9C-101B-9397-08002B2CF9AE}" pid="3" name="_dlc_DocIdItemGuid">
    <vt:lpwstr>0346ef59-a094-4daa-9a3f-3542a4e487ae</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