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473C2" w14:textId="77777777" w:rsidR="00440FEE" w:rsidRPr="002E2582" w:rsidRDefault="002E2582" w:rsidP="002E2582">
      <w:pPr>
        <w:spacing w:after="0"/>
        <w:jc w:val="center"/>
        <w:rPr>
          <w:b/>
          <w:bCs/>
          <w:sz w:val="22"/>
          <w:lang w:val="en-GB"/>
        </w:rPr>
      </w:pPr>
      <w:bookmarkStart w:id="0" w:name="_GoBack"/>
      <w:bookmarkEnd w:id="0"/>
      <w:r w:rsidRPr="002E2582">
        <w:rPr>
          <w:b/>
          <w:bCs/>
          <w:sz w:val="22"/>
          <w:lang w:val="en-GB"/>
        </w:rPr>
        <w:t>ARC Meeting 26/06/2019</w:t>
      </w:r>
    </w:p>
    <w:p w14:paraId="15F9B890" w14:textId="77777777" w:rsidR="002E2582" w:rsidRPr="002E2582" w:rsidRDefault="002E2582" w:rsidP="002E2582">
      <w:pPr>
        <w:spacing w:after="0"/>
        <w:jc w:val="center"/>
        <w:rPr>
          <w:lang w:val="en-GB"/>
        </w:rPr>
      </w:pPr>
      <w:r w:rsidRPr="002E2582">
        <w:rPr>
          <w:lang w:val="en-GB"/>
        </w:rPr>
        <w:t>High level recap of industry position</w:t>
      </w:r>
    </w:p>
    <w:p w14:paraId="282A330C" w14:textId="77777777" w:rsidR="002E2582" w:rsidRDefault="002E2582" w:rsidP="002E2582">
      <w:pPr>
        <w:spacing w:after="0"/>
        <w:rPr>
          <w:lang w:val="en-GB"/>
        </w:rPr>
      </w:pPr>
    </w:p>
    <w:p w14:paraId="75F518D1" w14:textId="77777777" w:rsidR="002E2582" w:rsidRPr="002E2582" w:rsidRDefault="002E2582" w:rsidP="002E2582">
      <w:pPr>
        <w:spacing w:after="0"/>
        <w:rPr>
          <w:b/>
          <w:bCs/>
          <w:color w:val="002957"/>
          <w:sz w:val="18"/>
        </w:rPr>
      </w:pPr>
      <w:r w:rsidRPr="002E2582">
        <w:rPr>
          <w:b/>
          <w:bCs/>
          <w:color w:val="002957"/>
          <w:sz w:val="18"/>
        </w:rPr>
        <w:t>IFRS 17 position</w:t>
      </w:r>
    </w:p>
    <w:p w14:paraId="56C5F260" w14:textId="77777777" w:rsidR="002E2582" w:rsidRPr="002E2582" w:rsidRDefault="002E2582" w:rsidP="002E2582">
      <w:pPr>
        <w:spacing w:after="0"/>
        <w:rPr>
          <w:b/>
          <w:bCs/>
          <w:szCs w:val="17"/>
        </w:rPr>
      </w:pPr>
    </w:p>
    <w:p w14:paraId="02F02ECF" w14:textId="77777777" w:rsidR="00F2204D" w:rsidRDefault="002E2582" w:rsidP="003454DB">
      <w:pPr>
        <w:numPr>
          <w:ilvl w:val="0"/>
          <w:numId w:val="3"/>
        </w:numPr>
        <w:spacing w:after="0"/>
        <w:jc w:val="both"/>
        <w:rPr>
          <w:szCs w:val="17"/>
          <w:lang w:val="en-GB"/>
        </w:rPr>
      </w:pPr>
      <w:r w:rsidRPr="002E2582">
        <w:rPr>
          <w:rFonts w:cs="Frutiger LT Std 45 Light"/>
          <w:color w:val="000000" w:themeColor="text1"/>
          <w:szCs w:val="17"/>
          <w:lang w:val="en-GB"/>
        </w:rPr>
        <w:t>The</w:t>
      </w:r>
      <w:r w:rsidRPr="002E2582">
        <w:rPr>
          <w:szCs w:val="17"/>
          <w:lang w:val="en-GB"/>
        </w:rPr>
        <w:t xml:space="preserve"> insurance industry supports the goals of the International Financial Reporting Standards (IFRS) defined by the International Accounting Standards Board (IASB), which are to achieve high quality global accounting standards that provide meaningful, consistent and reliable financial reporting. </w:t>
      </w:r>
    </w:p>
    <w:p w14:paraId="53407E2F" w14:textId="77777777" w:rsidR="00F2204D" w:rsidRDefault="002E2582" w:rsidP="003454DB">
      <w:pPr>
        <w:numPr>
          <w:ilvl w:val="0"/>
          <w:numId w:val="3"/>
        </w:numPr>
        <w:spacing w:after="0"/>
        <w:jc w:val="both"/>
        <w:rPr>
          <w:szCs w:val="17"/>
          <w:lang w:val="en-GB"/>
        </w:rPr>
      </w:pPr>
      <w:r w:rsidRPr="002E2582">
        <w:rPr>
          <w:szCs w:val="17"/>
          <w:lang w:val="en-GB"/>
        </w:rPr>
        <w:t xml:space="preserve">Financial reporting is particularly important for the insurance industry, which is both a preparer and a user of reports. As preparers, insurers see an impact from IFRS on their products and investments. IFRS can also impact the cost and availability of the capital used to cover the high levels of solvency that help ensure companies remain strong and safe. And insurers are significant users of financial reporting, relying on financial information for their investment activities. Indeed, the European insurance industry is the region’s largest institutional investor, with over €10 200bn of assets under management. </w:t>
      </w:r>
    </w:p>
    <w:p w14:paraId="6C35B9C0" w14:textId="77777777" w:rsidR="002E2582" w:rsidRPr="002E2582" w:rsidRDefault="002E2582" w:rsidP="003454DB">
      <w:pPr>
        <w:numPr>
          <w:ilvl w:val="0"/>
          <w:numId w:val="3"/>
        </w:numPr>
        <w:spacing w:after="0"/>
        <w:jc w:val="both"/>
        <w:rPr>
          <w:szCs w:val="17"/>
          <w:lang w:val="en-GB"/>
        </w:rPr>
      </w:pPr>
      <w:r w:rsidRPr="002E2582">
        <w:rPr>
          <w:szCs w:val="17"/>
          <w:lang w:val="en-GB"/>
        </w:rPr>
        <w:t>Since 2005, European regulation has required IFRS for consolidated reporting for all insurers that have shares or bonds listed on regulated exchange markets. However, significantly more insurers are affected by IFRS across Europe because many countries have opted to permit or require all companies, including unlisted insurers of any size, to apply IFRS. In fact, IFRS is mandatory for unlisted companies’ consolidated financial statements in over half the countries in the EU (see chart on p22). European insurers remain committed to the development of high-quality standards which improve their financial reporting. They have made significant contributions to the development of International Financial Reporting Standards (IFRS) 17 - insurance contracts - and are engaging significant efforts and considerable resources into its implementation.</w:t>
      </w:r>
    </w:p>
    <w:p w14:paraId="6423E213" w14:textId="77777777" w:rsidR="002E2582" w:rsidRPr="002E2582" w:rsidRDefault="002E2582" w:rsidP="005118B2">
      <w:pPr>
        <w:pStyle w:val="CEABullet-Level1"/>
        <w:numPr>
          <w:ilvl w:val="0"/>
          <w:numId w:val="3"/>
        </w:numPr>
        <w:spacing w:after="0" w:line="288" w:lineRule="auto"/>
        <w:jc w:val="both"/>
        <w:rPr>
          <w:rFonts w:ascii="Verdana" w:hAnsi="Verdana"/>
          <w:color w:val="000000" w:themeColor="text1"/>
          <w:sz w:val="17"/>
          <w:szCs w:val="17"/>
          <w:lang w:val="en-GB"/>
        </w:rPr>
      </w:pPr>
      <w:r w:rsidRPr="002E2582">
        <w:rPr>
          <w:rFonts w:ascii="Verdana" w:hAnsi="Verdana"/>
          <w:sz w:val="17"/>
          <w:szCs w:val="17"/>
          <w:lang w:val="en-GB"/>
        </w:rPr>
        <w:t xml:space="preserve">Insurers’ extensive testing coordinated by the European Financial Reporting Advisory Group (EFRAG) in the summer of 2018 as part of its endorsement work on IFRS 17 in the EU, along with their ongoing implementation projects, have provided significant new information and substantiated evidence since IFRS 17 was published. This identified the need for more time and for improvements to the standard to address significant issues in 11 areas because of their impact on meaningful reporting and their operational and implementation challenges.  EFRAG </w:t>
      </w:r>
      <w:hyperlink r:id="rId8" w:history="1">
        <w:r w:rsidRPr="002E2582">
          <w:rPr>
            <w:rStyle w:val="Hypertextovprepojenie"/>
            <w:rFonts w:ascii="Verdana" w:hAnsi="Verdana"/>
            <w:sz w:val="17"/>
            <w:szCs w:val="17"/>
            <w:lang w:val="en-GB"/>
          </w:rPr>
          <w:t xml:space="preserve">wrote to the IASB </w:t>
        </w:r>
      </w:hyperlink>
      <w:r w:rsidRPr="002E2582">
        <w:rPr>
          <w:rFonts w:ascii="Verdana" w:hAnsi="Verdana"/>
          <w:sz w:val="17"/>
          <w:szCs w:val="17"/>
          <w:lang w:val="en-GB"/>
        </w:rPr>
        <w:t>highlighting six of these areas as meriting further consideration by the IASB.</w:t>
      </w:r>
    </w:p>
    <w:p w14:paraId="4FA4DF53" w14:textId="77777777" w:rsidR="002E2582" w:rsidRPr="002E2582" w:rsidRDefault="002E2582" w:rsidP="005118B2">
      <w:pPr>
        <w:pStyle w:val="CEABullet-Level1"/>
        <w:numPr>
          <w:ilvl w:val="0"/>
          <w:numId w:val="3"/>
        </w:numPr>
        <w:spacing w:after="0" w:line="288" w:lineRule="auto"/>
        <w:jc w:val="both"/>
        <w:rPr>
          <w:rFonts w:ascii="Verdana" w:hAnsi="Verdana"/>
          <w:color w:val="000000" w:themeColor="text1"/>
          <w:sz w:val="17"/>
          <w:szCs w:val="17"/>
          <w:lang w:val="en-GB"/>
        </w:rPr>
      </w:pPr>
      <w:r w:rsidRPr="002E2582">
        <w:rPr>
          <w:rFonts w:ascii="Verdana" w:hAnsi="Verdana"/>
          <w:sz w:val="17"/>
          <w:szCs w:val="17"/>
          <w:lang w:val="en-GB"/>
        </w:rPr>
        <w:t xml:space="preserve">Insurance Europe and many associations outside Europe called for the standard to be reopened and the application date to be delayed by two years to allow time for the IASB to make the necessary improvements to the standard and to allow time for the wide range of insurers that are affected to implement the standard.  In October 2018, the CFO </w:t>
      </w:r>
      <w:proofErr w:type="gramStart"/>
      <w:r w:rsidRPr="002E2582">
        <w:rPr>
          <w:rFonts w:ascii="Verdana" w:hAnsi="Verdana"/>
          <w:sz w:val="17"/>
          <w:szCs w:val="17"/>
          <w:lang w:val="en-GB"/>
        </w:rPr>
        <w:t>Forum</w:t>
      </w:r>
      <w:proofErr w:type="gramEnd"/>
      <w:r w:rsidR="00851625">
        <w:rPr>
          <w:rStyle w:val="Hypertextovprepojenie"/>
          <w:rFonts w:ascii="Verdana" w:hAnsi="Verdana"/>
          <w:sz w:val="17"/>
          <w:szCs w:val="17"/>
          <w:lang w:val="en-GB"/>
        </w:rPr>
        <w:fldChar w:fldCharType="begin"/>
      </w:r>
      <w:r w:rsidR="00851625">
        <w:rPr>
          <w:rStyle w:val="Hypertextovprepojenie"/>
          <w:rFonts w:ascii="Verdana" w:hAnsi="Verdana"/>
          <w:sz w:val="17"/>
          <w:szCs w:val="17"/>
          <w:lang w:val="en-GB"/>
        </w:rPr>
        <w:instrText xml:space="preserve"> HYPERLINK "https://www.insuranceeurope.eu/ifrs-17-position" </w:instrText>
      </w:r>
      <w:r w:rsidR="00851625">
        <w:rPr>
          <w:rStyle w:val="Hypertextovprepojenie"/>
          <w:rFonts w:ascii="Verdana" w:hAnsi="Verdana"/>
          <w:sz w:val="17"/>
          <w:szCs w:val="17"/>
          <w:lang w:val="en-GB"/>
        </w:rPr>
        <w:fldChar w:fldCharType="separate"/>
      </w:r>
      <w:r w:rsidRPr="002E2582">
        <w:rPr>
          <w:rStyle w:val="Hypertextovprepojenie"/>
          <w:rFonts w:ascii="Verdana" w:hAnsi="Verdana"/>
          <w:sz w:val="17"/>
          <w:szCs w:val="17"/>
          <w:lang w:val="en-GB"/>
        </w:rPr>
        <w:t>[1]</w:t>
      </w:r>
      <w:r w:rsidR="00851625">
        <w:rPr>
          <w:rStyle w:val="Hypertextovprepojenie"/>
          <w:rFonts w:ascii="Verdana" w:hAnsi="Verdana"/>
          <w:sz w:val="17"/>
          <w:szCs w:val="17"/>
          <w:lang w:val="en-GB"/>
        </w:rPr>
        <w:fldChar w:fldCharType="end"/>
      </w:r>
      <w:r w:rsidRPr="002E2582">
        <w:rPr>
          <w:rFonts w:ascii="Verdana" w:hAnsi="Verdana"/>
          <w:sz w:val="17"/>
          <w:szCs w:val="17"/>
          <w:lang w:val="en-GB"/>
        </w:rPr>
        <w:t> proposed </w:t>
      </w:r>
      <w:hyperlink r:id="rId9" w:history="1">
        <w:r w:rsidRPr="002E2582">
          <w:rPr>
            <w:rStyle w:val="Hypertextovprepojenie"/>
            <w:rFonts w:ascii="Verdana" w:hAnsi="Verdana"/>
            <w:sz w:val="17"/>
            <w:szCs w:val="17"/>
            <w:lang w:val="en-GB"/>
          </w:rPr>
          <w:t>solutions</w:t>
        </w:r>
      </w:hyperlink>
      <w:hyperlink r:id="rId10" w:history="1">
        <w:r w:rsidRPr="002E2582">
          <w:rPr>
            <w:rStyle w:val="Hypertextovprepojenie"/>
            <w:rFonts w:ascii="Verdana" w:hAnsi="Verdana"/>
            <w:sz w:val="17"/>
            <w:szCs w:val="17"/>
            <w:lang w:val="en-GB"/>
          </w:rPr>
          <w:t>[2]</w:t>
        </w:r>
      </w:hyperlink>
      <w:r w:rsidRPr="002E2582">
        <w:rPr>
          <w:rFonts w:ascii="Verdana" w:hAnsi="Verdana"/>
          <w:sz w:val="17"/>
          <w:szCs w:val="17"/>
          <w:lang w:val="en-GB"/>
        </w:rPr>
        <w:t> for the 11 areas of concern.</w:t>
      </w:r>
    </w:p>
    <w:p w14:paraId="031846A0" w14:textId="77777777" w:rsidR="002E2582" w:rsidRPr="002E2582" w:rsidRDefault="002E2582" w:rsidP="005118B2">
      <w:pPr>
        <w:pStyle w:val="CEABullet-Level1"/>
        <w:numPr>
          <w:ilvl w:val="0"/>
          <w:numId w:val="3"/>
        </w:numPr>
        <w:spacing w:after="0" w:line="288" w:lineRule="auto"/>
        <w:jc w:val="both"/>
        <w:rPr>
          <w:rFonts w:ascii="Verdana" w:hAnsi="Verdana"/>
          <w:color w:val="000000" w:themeColor="text1"/>
          <w:sz w:val="17"/>
          <w:szCs w:val="17"/>
          <w:lang w:val="en-GB"/>
        </w:rPr>
      </w:pPr>
      <w:r w:rsidRPr="002E2582">
        <w:rPr>
          <w:rFonts w:ascii="Verdana" w:hAnsi="Verdana"/>
          <w:sz w:val="17"/>
          <w:szCs w:val="17"/>
          <w:lang w:val="en-GB"/>
        </w:rPr>
        <w:t>European insurers remain committed to the development of high-quality standards which improve their financial reporting. They have made significant contributions to the development of International Financial Reporting Standards (IFRS) 17 - insurance contracts - and are engaging significant efforts and considerable resources into its implementation.</w:t>
      </w:r>
    </w:p>
    <w:p w14:paraId="555A28F0" w14:textId="77777777" w:rsidR="005118B2" w:rsidRPr="002E2582" w:rsidRDefault="005118B2" w:rsidP="005118B2">
      <w:pPr>
        <w:pStyle w:val="CEABullet-Level1"/>
        <w:numPr>
          <w:ilvl w:val="0"/>
          <w:numId w:val="3"/>
        </w:numPr>
        <w:spacing w:after="0" w:line="288" w:lineRule="auto"/>
        <w:jc w:val="both"/>
        <w:rPr>
          <w:rFonts w:ascii="Verdana" w:hAnsi="Verdana"/>
          <w:color w:val="000000" w:themeColor="text1"/>
          <w:sz w:val="17"/>
          <w:szCs w:val="17"/>
          <w:lang w:val="en-GB"/>
        </w:rPr>
      </w:pPr>
      <w:r w:rsidRPr="002E2582">
        <w:rPr>
          <w:rFonts w:ascii="Verdana" w:hAnsi="Verdana"/>
          <w:sz w:val="17"/>
          <w:szCs w:val="17"/>
          <w:lang w:val="en-GB"/>
        </w:rPr>
        <w:t xml:space="preserve">Insurers’ extensive testing coordinated by the European Financial Reporting Advisory Group (EFRAG) in the summer of 2018 as part of its endorsement work on IFRS 17 in the EU, along with their ongoing implementation projects, have provided significant new information and substantiated evidence since IFRS 17 was published. This identified the need for more time and for improvements to the standard to address significant issues in 11 areas because of their impact on meaningful reporting and their operational and implementation challenges.  EFRAG </w:t>
      </w:r>
      <w:hyperlink r:id="rId11" w:history="1">
        <w:r w:rsidRPr="002E2582">
          <w:rPr>
            <w:rStyle w:val="Hypertextovprepojenie"/>
            <w:rFonts w:ascii="Verdana" w:hAnsi="Verdana"/>
            <w:sz w:val="17"/>
            <w:szCs w:val="17"/>
            <w:lang w:val="en-GB"/>
          </w:rPr>
          <w:t xml:space="preserve">wrote to the IASB </w:t>
        </w:r>
      </w:hyperlink>
      <w:r w:rsidRPr="002E2582">
        <w:rPr>
          <w:rFonts w:ascii="Verdana" w:hAnsi="Verdana"/>
          <w:sz w:val="17"/>
          <w:szCs w:val="17"/>
          <w:lang w:val="en-GB"/>
        </w:rPr>
        <w:t>highlighting six of these areas as meriting further consideration by the IASB.</w:t>
      </w:r>
    </w:p>
    <w:p w14:paraId="7EE15D99" w14:textId="77777777" w:rsidR="005118B2" w:rsidRPr="002E2582" w:rsidRDefault="005118B2" w:rsidP="005118B2">
      <w:pPr>
        <w:pStyle w:val="CEABullet-Level1"/>
        <w:spacing w:after="0" w:line="288" w:lineRule="auto"/>
        <w:jc w:val="both"/>
        <w:rPr>
          <w:rFonts w:ascii="Verdana" w:hAnsi="Verdana"/>
          <w:color w:val="000000" w:themeColor="text1"/>
          <w:sz w:val="17"/>
          <w:szCs w:val="17"/>
          <w:lang w:val="en-GB"/>
        </w:rPr>
      </w:pPr>
    </w:p>
    <w:p w14:paraId="26D0A255" w14:textId="77777777" w:rsidR="002E2582" w:rsidRPr="002E2582" w:rsidRDefault="002E2582" w:rsidP="005118B2">
      <w:pPr>
        <w:pStyle w:val="CEABullet-Level1"/>
        <w:spacing w:after="0" w:line="288" w:lineRule="auto"/>
        <w:jc w:val="both"/>
        <w:rPr>
          <w:rFonts w:ascii="Verdana" w:hAnsi="Verdana"/>
          <w:color w:val="000000" w:themeColor="text1"/>
          <w:sz w:val="17"/>
          <w:szCs w:val="17"/>
          <w:lang w:val="en-GB"/>
        </w:rPr>
      </w:pPr>
    </w:p>
    <w:p w14:paraId="2CF05226" w14:textId="77777777" w:rsidR="002E2582" w:rsidRPr="002E2582" w:rsidRDefault="002E2582" w:rsidP="005118B2">
      <w:pPr>
        <w:pStyle w:val="CEABullet-Level1"/>
        <w:pBdr>
          <w:top w:val="single" w:sz="4" w:space="1" w:color="auto"/>
        </w:pBdr>
        <w:spacing w:after="0" w:line="288" w:lineRule="auto"/>
        <w:jc w:val="both"/>
        <w:rPr>
          <w:rFonts w:ascii="Verdana" w:hAnsi="Verdana"/>
          <w:color w:val="000000" w:themeColor="text1"/>
          <w:sz w:val="17"/>
          <w:szCs w:val="17"/>
          <w:lang w:val="en-GB"/>
        </w:rPr>
      </w:pPr>
    </w:p>
    <w:p w14:paraId="1A8C4948" w14:textId="77777777" w:rsidR="002E2582" w:rsidRDefault="00851625" w:rsidP="005118B2">
      <w:pPr>
        <w:spacing w:after="0"/>
        <w:ind w:left="426"/>
        <w:rPr>
          <w:szCs w:val="17"/>
          <w:lang w:val="en-GB"/>
        </w:rPr>
      </w:pPr>
      <w:hyperlink r:id="rId12" w:history="1">
        <w:r w:rsidR="002E2582" w:rsidRPr="002E2582">
          <w:rPr>
            <w:rStyle w:val="Hypertextovprepojenie"/>
            <w:szCs w:val="17"/>
            <w:lang w:val="en-GB"/>
          </w:rPr>
          <w:t>[1]</w:t>
        </w:r>
      </w:hyperlink>
      <w:r w:rsidR="002E2582" w:rsidRPr="002E2582">
        <w:rPr>
          <w:szCs w:val="17"/>
          <w:lang w:val="en-GB"/>
        </w:rPr>
        <w:t> The European Insurance CFO Forum (‘CFO Forum’) is a high-level discussion group formed and attended by the Chief Financial Officers of 23 major European listed, and some non-listed, insurance companies.  </w:t>
      </w:r>
    </w:p>
    <w:p w14:paraId="12E421F5" w14:textId="77777777" w:rsidR="005118B2" w:rsidRPr="002E2582" w:rsidRDefault="00851625" w:rsidP="005118B2">
      <w:pPr>
        <w:spacing w:after="0"/>
        <w:ind w:left="426"/>
        <w:rPr>
          <w:szCs w:val="17"/>
          <w:lang w:val="en-GB"/>
        </w:rPr>
      </w:pPr>
      <w:hyperlink r:id="rId13" w:history="1">
        <w:r w:rsidR="005118B2" w:rsidRPr="002E2582">
          <w:rPr>
            <w:rStyle w:val="Hypertextovprepojenie"/>
            <w:szCs w:val="17"/>
            <w:lang w:val="en-GB"/>
          </w:rPr>
          <w:t>[2]</w:t>
        </w:r>
      </w:hyperlink>
      <w:r w:rsidR="005118B2" w:rsidRPr="002E2582">
        <w:rPr>
          <w:szCs w:val="17"/>
          <w:lang w:val="en-GB"/>
        </w:rPr>
        <w:t> </w:t>
      </w:r>
      <w:hyperlink r:id="rId14" w:history="1">
        <w:r w:rsidR="005118B2" w:rsidRPr="002E2582">
          <w:rPr>
            <w:rStyle w:val="Hypertextovprepojenie"/>
            <w:szCs w:val="17"/>
            <w:lang w:val="en-GB"/>
          </w:rPr>
          <w:t>http://www.cfoforum.eu/letters/CFO-Forum-letter-sent-to-EFRAG-and-IASB-o...</w:t>
        </w:r>
      </w:hyperlink>
    </w:p>
    <w:p w14:paraId="54F75C77" w14:textId="77777777" w:rsidR="005118B2" w:rsidRPr="002E2582" w:rsidRDefault="005118B2" w:rsidP="005118B2">
      <w:pPr>
        <w:spacing w:after="0"/>
        <w:ind w:left="426"/>
        <w:rPr>
          <w:szCs w:val="17"/>
          <w:lang w:val="en-GB"/>
        </w:rPr>
      </w:pPr>
    </w:p>
    <w:p w14:paraId="7CD0CD84" w14:textId="5FB81656" w:rsidR="003454DB" w:rsidRPr="00D54D78" w:rsidRDefault="002E2582" w:rsidP="00D54D78">
      <w:pPr>
        <w:pStyle w:val="CEABullet-Level1"/>
        <w:numPr>
          <w:ilvl w:val="0"/>
          <w:numId w:val="3"/>
        </w:numPr>
        <w:spacing w:after="0" w:line="288" w:lineRule="auto"/>
        <w:jc w:val="both"/>
        <w:rPr>
          <w:rFonts w:ascii="Verdana" w:hAnsi="Verdana"/>
          <w:color w:val="000000" w:themeColor="text1"/>
          <w:sz w:val="17"/>
          <w:szCs w:val="17"/>
          <w:lang w:val="en-GB"/>
        </w:rPr>
      </w:pPr>
      <w:r w:rsidRPr="002E2582">
        <w:rPr>
          <w:rFonts w:ascii="Verdana" w:hAnsi="Verdana"/>
          <w:sz w:val="17"/>
          <w:szCs w:val="17"/>
          <w:lang w:val="en-GB"/>
        </w:rPr>
        <w:lastRenderedPageBreak/>
        <w:t xml:space="preserve">Insurance Europe and many associations outside Europe called for the standard to be reopened and the application date to be delayed by two years to allow time for the IASB to make the necessary improvements to the standard and to allow time for the wide range of insurers that are affected to implement the standard.  In October 2018, the CFO </w:t>
      </w:r>
      <w:proofErr w:type="gramStart"/>
      <w:r w:rsidRPr="002E2582">
        <w:rPr>
          <w:rFonts w:ascii="Verdana" w:hAnsi="Verdana"/>
          <w:sz w:val="17"/>
          <w:szCs w:val="17"/>
          <w:lang w:val="en-GB"/>
        </w:rPr>
        <w:t>Forum</w:t>
      </w:r>
      <w:proofErr w:type="gramEnd"/>
      <w:r w:rsidR="00851625">
        <w:rPr>
          <w:rStyle w:val="Hypertextovprepojenie"/>
          <w:rFonts w:ascii="Verdana" w:hAnsi="Verdana"/>
          <w:sz w:val="17"/>
          <w:szCs w:val="17"/>
          <w:lang w:val="en-GB"/>
        </w:rPr>
        <w:fldChar w:fldCharType="begin"/>
      </w:r>
      <w:r w:rsidR="00851625">
        <w:rPr>
          <w:rStyle w:val="Hypertextovprepojenie"/>
          <w:rFonts w:ascii="Verdana" w:hAnsi="Verdana"/>
          <w:sz w:val="17"/>
          <w:szCs w:val="17"/>
          <w:lang w:val="en-GB"/>
        </w:rPr>
        <w:instrText xml:space="preserve"> HYPERLINK "https://www.insuranceeurope.eu/ifrs-17-position" </w:instrText>
      </w:r>
      <w:r w:rsidR="00851625">
        <w:rPr>
          <w:rStyle w:val="Hypertextovprepojenie"/>
          <w:rFonts w:ascii="Verdana" w:hAnsi="Verdana"/>
          <w:sz w:val="17"/>
          <w:szCs w:val="17"/>
          <w:lang w:val="en-GB"/>
        </w:rPr>
        <w:fldChar w:fldCharType="separate"/>
      </w:r>
      <w:r w:rsidRPr="002E2582">
        <w:rPr>
          <w:rStyle w:val="Hypertextovprepojenie"/>
          <w:rFonts w:ascii="Verdana" w:hAnsi="Verdana"/>
          <w:sz w:val="17"/>
          <w:szCs w:val="17"/>
          <w:lang w:val="en-GB"/>
        </w:rPr>
        <w:t>[1]</w:t>
      </w:r>
      <w:r w:rsidR="00851625">
        <w:rPr>
          <w:rStyle w:val="Hypertextovprepojenie"/>
          <w:rFonts w:ascii="Verdana" w:hAnsi="Verdana"/>
          <w:sz w:val="17"/>
          <w:szCs w:val="17"/>
          <w:lang w:val="en-GB"/>
        </w:rPr>
        <w:fldChar w:fldCharType="end"/>
      </w:r>
      <w:r w:rsidRPr="002E2582">
        <w:rPr>
          <w:rFonts w:ascii="Verdana" w:hAnsi="Verdana"/>
          <w:sz w:val="17"/>
          <w:szCs w:val="17"/>
          <w:lang w:val="en-GB"/>
        </w:rPr>
        <w:t> proposed </w:t>
      </w:r>
      <w:hyperlink r:id="rId15" w:history="1">
        <w:r w:rsidRPr="002E2582">
          <w:rPr>
            <w:rStyle w:val="Hypertextovprepojenie"/>
            <w:rFonts w:ascii="Verdana" w:hAnsi="Verdana"/>
            <w:sz w:val="17"/>
            <w:szCs w:val="17"/>
            <w:lang w:val="en-GB"/>
          </w:rPr>
          <w:t>solutions</w:t>
        </w:r>
      </w:hyperlink>
      <w:hyperlink r:id="rId16" w:history="1">
        <w:r w:rsidRPr="002E2582">
          <w:rPr>
            <w:rStyle w:val="Hypertextovprepojenie"/>
            <w:rFonts w:ascii="Verdana" w:hAnsi="Verdana"/>
            <w:sz w:val="17"/>
            <w:szCs w:val="17"/>
            <w:lang w:val="en-GB"/>
          </w:rPr>
          <w:t>[2]</w:t>
        </w:r>
      </w:hyperlink>
      <w:r w:rsidRPr="002E2582">
        <w:rPr>
          <w:rFonts w:ascii="Verdana" w:hAnsi="Verdana"/>
          <w:sz w:val="17"/>
          <w:szCs w:val="17"/>
          <w:lang w:val="en-GB"/>
        </w:rPr>
        <w:t> for the 11 areas of concern.</w:t>
      </w:r>
    </w:p>
    <w:p w14:paraId="6F769BF2" w14:textId="6C8DFE16" w:rsidR="003454DB" w:rsidRPr="00D54D78" w:rsidRDefault="002E2582" w:rsidP="00D54D78">
      <w:pPr>
        <w:pStyle w:val="CEABullet-Level1"/>
        <w:numPr>
          <w:ilvl w:val="0"/>
          <w:numId w:val="3"/>
        </w:numPr>
        <w:spacing w:after="0" w:line="288" w:lineRule="auto"/>
        <w:jc w:val="both"/>
        <w:rPr>
          <w:rFonts w:ascii="Verdana" w:hAnsi="Verdana"/>
          <w:sz w:val="17"/>
          <w:szCs w:val="17"/>
          <w:lang w:val="en-GB"/>
        </w:rPr>
      </w:pPr>
      <w:r w:rsidRPr="002E2582">
        <w:rPr>
          <w:rFonts w:ascii="Verdana" w:hAnsi="Verdana"/>
          <w:sz w:val="17"/>
          <w:szCs w:val="17"/>
          <w:lang w:val="en-GB"/>
        </w:rPr>
        <w:t>The industry therefore welcomed the International Accounting Standards Board's (IASB) decision in October 2018 to consider reopening the standard and explore potential areas of improvements to IFRS 17, including the issues raised by the industry. The IASB also decided in November 2018 to consider a one-year delay in the standard’s effective date.</w:t>
      </w:r>
    </w:p>
    <w:p w14:paraId="04560664" w14:textId="22568FCF" w:rsidR="003454DB" w:rsidRPr="00D54D78" w:rsidRDefault="002E2582" w:rsidP="00D54D78">
      <w:pPr>
        <w:pStyle w:val="CEABullet-Level1"/>
        <w:numPr>
          <w:ilvl w:val="0"/>
          <w:numId w:val="3"/>
        </w:numPr>
        <w:spacing w:after="0" w:line="288" w:lineRule="auto"/>
        <w:jc w:val="both"/>
        <w:rPr>
          <w:rFonts w:ascii="Verdana" w:hAnsi="Verdana"/>
          <w:sz w:val="17"/>
          <w:szCs w:val="17"/>
          <w:lang w:val="en-GB"/>
        </w:rPr>
      </w:pPr>
      <w:r w:rsidRPr="002E2582">
        <w:rPr>
          <w:rFonts w:ascii="Verdana" w:hAnsi="Verdana"/>
          <w:sz w:val="17"/>
          <w:szCs w:val="17"/>
          <w:lang w:val="en-GB"/>
        </w:rPr>
        <w:t>European insurers recognise the considerable work done by the IASB to date in its assessment of the issues. However, an assessment of the proposed amendments in a </w:t>
      </w:r>
      <w:hyperlink r:id="rId17" w:history="1">
        <w:proofErr w:type="gramStart"/>
        <w:r w:rsidRPr="00D54D78">
          <w:rPr>
            <w:lang w:val="en-GB"/>
          </w:rPr>
          <w:t>presentation</w:t>
        </w:r>
        <w:proofErr w:type="gramEnd"/>
      </w:hyperlink>
      <w:hyperlink r:id="rId18" w:history="1">
        <w:r w:rsidRPr="00D54D78">
          <w:rPr>
            <w:lang w:val="en-GB"/>
          </w:rPr>
          <w:t>[3]</w:t>
        </w:r>
      </w:hyperlink>
      <w:r w:rsidRPr="002E2582">
        <w:rPr>
          <w:rFonts w:ascii="Verdana" w:hAnsi="Verdana"/>
          <w:sz w:val="17"/>
          <w:szCs w:val="17"/>
          <w:lang w:val="en-GB"/>
        </w:rPr>
        <w:t> by the CFO Forum to the EFRAG technical expert group on 21 March shows that, while some helpful improvements have been proposed by the IASB, many of the issues remain unaddressed. </w:t>
      </w:r>
    </w:p>
    <w:p w14:paraId="76913DF5" w14:textId="6853A7A6" w:rsidR="003454DB" w:rsidRPr="00D54D78" w:rsidRDefault="002E2582" w:rsidP="00D54D78">
      <w:pPr>
        <w:pStyle w:val="CEABullet-Level1"/>
        <w:numPr>
          <w:ilvl w:val="0"/>
          <w:numId w:val="3"/>
        </w:numPr>
        <w:spacing w:after="0" w:line="288" w:lineRule="auto"/>
        <w:jc w:val="both"/>
        <w:rPr>
          <w:rFonts w:ascii="Verdana" w:hAnsi="Verdana"/>
          <w:sz w:val="17"/>
          <w:szCs w:val="17"/>
          <w:lang w:val="en-GB"/>
        </w:rPr>
      </w:pPr>
      <w:r w:rsidRPr="002E2582">
        <w:rPr>
          <w:rFonts w:ascii="Verdana" w:hAnsi="Verdana"/>
          <w:sz w:val="17"/>
          <w:szCs w:val="17"/>
          <w:lang w:val="en-GB"/>
        </w:rPr>
        <w:t>European Insurers understand that the process is increasingly focussing on a compromise solution that would focus on a smaller subset of the current issues. Insurance Europe, together with the CFO Forum selected a subset 3 key issues that should be the focus of the discussions in finalising the Exposure Draft.</w:t>
      </w:r>
      <w:r w:rsidR="00D54D78">
        <w:rPr>
          <w:rFonts w:ascii="Verdana" w:hAnsi="Verdana"/>
          <w:sz w:val="17"/>
          <w:szCs w:val="17"/>
          <w:lang w:val="en-GB"/>
        </w:rPr>
        <w:t xml:space="preserve"> However, the Insurance Europe compromise position on timing remains </w:t>
      </w:r>
      <w:r w:rsidR="00D54D78" w:rsidRPr="00D54D78">
        <w:rPr>
          <w:rFonts w:ascii="Verdana" w:hAnsi="Verdana"/>
          <w:sz w:val="17"/>
          <w:szCs w:val="17"/>
          <w:lang w:val="en-GB"/>
        </w:rPr>
        <w:t>to seek a two-year delay in application of the standard</w:t>
      </w:r>
      <w:r w:rsidR="00D54D78">
        <w:rPr>
          <w:rFonts w:ascii="Verdana" w:hAnsi="Verdana"/>
          <w:sz w:val="17"/>
          <w:szCs w:val="17"/>
          <w:lang w:val="en-GB"/>
        </w:rPr>
        <w:t>.</w:t>
      </w:r>
    </w:p>
    <w:p w14:paraId="3D02E467" w14:textId="77777777" w:rsidR="002E2582" w:rsidRPr="00D54D78" w:rsidRDefault="002E2582" w:rsidP="00D54D78">
      <w:pPr>
        <w:pStyle w:val="CEABullet-Level1"/>
        <w:numPr>
          <w:ilvl w:val="0"/>
          <w:numId w:val="3"/>
        </w:numPr>
        <w:spacing w:after="0" w:line="288" w:lineRule="auto"/>
        <w:jc w:val="both"/>
        <w:rPr>
          <w:rFonts w:ascii="Verdana" w:hAnsi="Verdana"/>
          <w:sz w:val="17"/>
          <w:szCs w:val="17"/>
          <w:lang w:val="en-GB"/>
        </w:rPr>
      </w:pPr>
      <w:r w:rsidRPr="002E2582">
        <w:rPr>
          <w:rFonts w:ascii="Verdana" w:hAnsi="Verdana"/>
          <w:sz w:val="17"/>
          <w:szCs w:val="17"/>
          <w:lang w:val="en-GB"/>
        </w:rPr>
        <w:t>Insurance Europe remains committed to the IASB’s process for finalising IFRS 17 and is looking forward to the IASB’s upcoming exposure draft and working constructively so that IFRS 17 can achieve its objectives.</w:t>
      </w:r>
    </w:p>
    <w:p w14:paraId="33011BC2" w14:textId="77777777" w:rsidR="002E2582" w:rsidRPr="002E2582" w:rsidRDefault="002E2582" w:rsidP="005118B2">
      <w:pPr>
        <w:spacing w:after="0"/>
        <w:rPr>
          <w:szCs w:val="17"/>
          <w:lang w:val="en-GB"/>
        </w:rPr>
      </w:pPr>
    </w:p>
    <w:p w14:paraId="4C92C13C" w14:textId="77777777" w:rsidR="002E2582" w:rsidRPr="002E2582" w:rsidRDefault="002E2582" w:rsidP="005118B2">
      <w:pPr>
        <w:spacing w:after="0"/>
        <w:rPr>
          <w:szCs w:val="17"/>
          <w:lang w:val="en-GB"/>
        </w:rPr>
      </w:pPr>
    </w:p>
    <w:p w14:paraId="350BF9E2" w14:textId="77777777" w:rsidR="00451786" w:rsidRPr="003454DB" w:rsidRDefault="00451786" w:rsidP="00451786">
      <w:pPr>
        <w:spacing w:after="0"/>
        <w:rPr>
          <w:b/>
          <w:bCs/>
          <w:color w:val="002957"/>
          <w:sz w:val="18"/>
          <w:lang w:val="en-GB"/>
        </w:rPr>
      </w:pPr>
      <w:r w:rsidRPr="003454DB">
        <w:rPr>
          <w:b/>
          <w:bCs/>
          <w:color w:val="002957"/>
          <w:sz w:val="18"/>
          <w:lang w:val="en-GB"/>
        </w:rPr>
        <w:t>Summary of principal impact if issues identified within the current draft of IFRS 17 remain unresolved</w:t>
      </w:r>
    </w:p>
    <w:p w14:paraId="277E19D6" w14:textId="77777777" w:rsidR="005118B2" w:rsidRDefault="005118B2" w:rsidP="005118B2">
      <w:pPr>
        <w:spacing w:after="0"/>
        <w:rPr>
          <w:szCs w:val="17"/>
          <w:lang w:val="en-GB"/>
        </w:rPr>
      </w:pPr>
    </w:p>
    <w:p w14:paraId="2BB1EC34" w14:textId="77777777" w:rsidR="005118B2" w:rsidRDefault="00451786" w:rsidP="005118B2">
      <w:pPr>
        <w:spacing w:after="0"/>
        <w:rPr>
          <w:szCs w:val="17"/>
          <w:lang w:val="en-GB"/>
        </w:rPr>
      </w:pPr>
      <w:r w:rsidRPr="002E2582">
        <w:rPr>
          <w:noProof/>
          <w:lang w:val="sk-SK" w:eastAsia="sk-SK"/>
        </w:rPr>
        <w:drawing>
          <wp:inline distT="0" distB="0" distL="0" distR="0" wp14:anchorId="0BD559BF" wp14:editId="12E0B0A2">
            <wp:extent cx="5760720" cy="2249170"/>
            <wp:effectExtent l="0" t="0" r="0" b="0"/>
            <wp:docPr id="4" name="Picture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D284A9-6F30-414C-8A47-F9487E068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D284A9-6F30-414C-8A47-F9487E06852A}"/>
                        </a:ext>
                      </a:extLst>
                    </pic:cNvPr>
                    <pic:cNvPicPr>
                      <a:picLocks noChangeAspect="1"/>
                    </pic:cNvPicPr>
                  </pic:nvPicPr>
                  <pic:blipFill>
                    <a:blip r:embed="rId19"/>
                    <a:stretch>
                      <a:fillRect/>
                    </a:stretch>
                  </pic:blipFill>
                  <pic:spPr>
                    <a:xfrm>
                      <a:off x="0" y="0"/>
                      <a:ext cx="5760720" cy="2249170"/>
                    </a:xfrm>
                    <a:prstGeom prst="rect">
                      <a:avLst/>
                    </a:prstGeom>
                  </pic:spPr>
                </pic:pic>
              </a:graphicData>
            </a:graphic>
          </wp:inline>
        </w:drawing>
      </w:r>
    </w:p>
    <w:p w14:paraId="63BF48FA" w14:textId="77777777" w:rsidR="005118B2" w:rsidRDefault="005118B2" w:rsidP="005118B2">
      <w:pPr>
        <w:spacing w:after="0"/>
        <w:rPr>
          <w:szCs w:val="17"/>
          <w:lang w:val="en-GB"/>
        </w:rPr>
      </w:pPr>
    </w:p>
    <w:p w14:paraId="3C5F809A" w14:textId="77777777" w:rsidR="002E2582" w:rsidRPr="002E2582" w:rsidRDefault="002E2582" w:rsidP="005118B2">
      <w:pPr>
        <w:spacing w:after="0"/>
        <w:rPr>
          <w:szCs w:val="17"/>
          <w:lang w:val="en-GB"/>
        </w:rPr>
      </w:pPr>
    </w:p>
    <w:p w14:paraId="36D56F5C" w14:textId="77777777" w:rsidR="002E2582" w:rsidRPr="002E2582" w:rsidRDefault="002E2582" w:rsidP="005118B2">
      <w:pPr>
        <w:pBdr>
          <w:top w:val="single" w:sz="4" w:space="1" w:color="auto"/>
        </w:pBdr>
        <w:spacing w:after="0"/>
        <w:rPr>
          <w:szCs w:val="17"/>
          <w:lang w:val="en-GB"/>
        </w:rPr>
      </w:pPr>
    </w:p>
    <w:p w14:paraId="351DE6FA" w14:textId="77777777" w:rsidR="002E2582" w:rsidRPr="002E2582" w:rsidRDefault="00851625" w:rsidP="005118B2">
      <w:pPr>
        <w:spacing w:after="0"/>
        <w:rPr>
          <w:szCs w:val="17"/>
          <w:lang w:val="en-GB"/>
        </w:rPr>
      </w:pPr>
      <w:hyperlink r:id="rId20" w:history="1">
        <w:r w:rsidR="002E2582" w:rsidRPr="002E2582">
          <w:rPr>
            <w:rStyle w:val="Hypertextovprepojenie"/>
            <w:szCs w:val="17"/>
            <w:lang w:val="en-GB"/>
          </w:rPr>
          <w:t>[1]</w:t>
        </w:r>
      </w:hyperlink>
      <w:r w:rsidR="002E2582" w:rsidRPr="002E2582">
        <w:rPr>
          <w:szCs w:val="17"/>
          <w:lang w:val="en-GB"/>
        </w:rPr>
        <w:t xml:space="preserve"> The European Insurance CFO Forum (‘CFO Forum’) is a high-level discussion group formed and attended by the Chief Financial Officers of 23 major European listed, and some non-listed, insurance </w:t>
      </w:r>
      <w:proofErr w:type="gramStart"/>
      <w:r w:rsidR="002E2582" w:rsidRPr="002E2582">
        <w:rPr>
          <w:szCs w:val="17"/>
          <w:lang w:val="en-GB"/>
        </w:rPr>
        <w:t>companies</w:t>
      </w:r>
      <w:proofErr w:type="gramEnd"/>
      <w:r w:rsidR="002E2582" w:rsidRPr="002E2582">
        <w:rPr>
          <w:szCs w:val="17"/>
          <w:lang w:val="en-GB"/>
        </w:rPr>
        <w:t>.  </w:t>
      </w:r>
    </w:p>
    <w:p w14:paraId="5732D465" w14:textId="77777777" w:rsidR="002E2582" w:rsidRPr="002E2582" w:rsidRDefault="00851625" w:rsidP="005118B2">
      <w:pPr>
        <w:spacing w:after="0"/>
        <w:rPr>
          <w:szCs w:val="17"/>
          <w:lang w:val="en-GB"/>
        </w:rPr>
      </w:pPr>
      <w:hyperlink r:id="rId21" w:history="1">
        <w:r w:rsidR="002E2582" w:rsidRPr="002E2582">
          <w:rPr>
            <w:rStyle w:val="Hypertextovprepojenie"/>
            <w:szCs w:val="17"/>
            <w:lang w:val="en-GB"/>
          </w:rPr>
          <w:t>[2]</w:t>
        </w:r>
      </w:hyperlink>
      <w:r w:rsidR="002E2582" w:rsidRPr="002E2582">
        <w:rPr>
          <w:szCs w:val="17"/>
          <w:lang w:val="en-GB"/>
        </w:rPr>
        <w:t> </w:t>
      </w:r>
      <w:hyperlink r:id="rId22" w:history="1">
        <w:r w:rsidR="002E2582" w:rsidRPr="002E2582">
          <w:rPr>
            <w:rStyle w:val="Hypertextovprepojenie"/>
            <w:szCs w:val="17"/>
            <w:lang w:val="en-GB"/>
          </w:rPr>
          <w:t>http://www.cfoforum.eu/letters/CFO-Forum-letter-sent-to-EFRAG-and-IASB-o...</w:t>
        </w:r>
      </w:hyperlink>
    </w:p>
    <w:p w14:paraId="540AFCC8" w14:textId="77777777" w:rsidR="002E2582" w:rsidRPr="002E2582" w:rsidRDefault="00851625" w:rsidP="005118B2">
      <w:pPr>
        <w:spacing w:after="0"/>
        <w:rPr>
          <w:szCs w:val="17"/>
          <w:lang w:val="en-GB"/>
        </w:rPr>
      </w:pPr>
      <w:hyperlink r:id="rId23" w:history="1">
        <w:r w:rsidR="002E2582" w:rsidRPr="002E2582">
          <w:rPr>
            <w:rStyle w:val="Hypertextovprepojenie"/>
            <w:szCs w:val="17"/>
            <w:lang w:val="en-GB"/>
          </w:rPr>
          <w:t>[3]</w:t>
        </w:r>
      </w:hyperlink>
      <w:r w:rsidR="002E2582" w:rsidRPr="002E2582">
        <w:rPr>
          <w:szCs w:val="17"/>
          <w:lang w:val="en-GB"/>
        </w:rPr>
        <w:t> </w:t>
      </w:r>
      <w:hyperlink r:id="rId24" w:history="1">
        <w:r w:rsidR="002E2582" w:rsidRPr="002E2582">
          <w:rPr>
            <w:rStyle w:val="Hypertextovprepojenie"/>
            <w:szCs w:val="17"/>
            <w:lang w:val="en-GB"/>
          </w:rPr>
          <w:t>http://efrag.org/Assets/</w:t>
        </w:r>
      </w:hyperlink>
      <w:hyperlink r:id="rId25" w:history="1">
        <w:r w:rsidR="002E2582" w:rsidRPr="002E2582">
          <w:rPr>
            <w:rStyle w:val="Hypertextovprepojenie"/>
            <w:szCs w:val="17"/>
            <w:lang w:val="en-GB"/>
          </w:rPr>
          <w:t>Download?assetUrl</w:t>
        </w:r>
      </w:hyperlink>
      <w:hyperlink r:id="rId26" w:history="1">
        <w:r w:rsidR="002E2582" w:rsidRPr="002E2582">
          <w:rPr>
            <w:rStyle w:val="Hypertextovprepojenie"/>
            <w:szCs w:val="17"/>
            <w:lang w:val="en-GB"/>
          </w:rPr>
          <w:t>=%2Fsites%2Fwebpublishing%2FMee...</w:t>
        </w:r>
      </w:hyperlink>
    </w:p>
    <w:p w14:paraId="4490798B" w14:textId="77777777" w:rsidR="002E2582" w:rsidRDefault="002E2582" w:rsidP="002E2582">
      <w:pPr>
        <w:spacing w:after="0"/>
        <w:rPr>
          <w:lang w:val="en-GB"/>
        </w:rPr>
      </w:pPr>
      <w:r>
        <w:rPr>
          <w:lang w:val="en-GB"/>
        </w:rPr>
        <w:br w:type="page"/>
      </w:r>
    </w:p>
    <w:p w14:paraId="7593B11E" w14:textId="77777777" w:rsidR="002E2582" w:rsidRPr="003454DB" w:rsidRDefault="002E2582" w:rsidP="002E2582">
      <w:pPr>
        <w:spacing w:after="0"/>
        <w:rPr>
          <w:b/>
          <w:bCs/>
          <w:color w:val="002957"/>
          <w:sz w:val="18"/>
          <w:lang w:val="en-GB"/>
        </w:rPr>
      </w:pPr>
      <w:r w:rsidRPr="003454DB">
        <w:rPr>
          <w:b/>
          <w:bCs/>
          <w:color w:val="002957"/>
          <w:sz w:val="18"/>
          <w:lang w:val="en-GB"/>
        </w:rPr>
        <w:lastRenderedPageBreak/>
        <w:t>Sources</w:t>
      </w:r>
    </w:p>
    <w:p w14:paraId="3DFED41E" w14:textId="77777777" w:rsidR="002E2582" w:rsidRDefault="002E2582" w:rsidP="002E2582">
      <w:pPr>
        <w:spacing w:after="0"/>
        <w:rPr>
          <w:lang w:val="en-GB"/>
        </w:rPr>
      </w:pPr>
    </w:p>
    <w:p w14:paraId="741C656D" w14:textId="77777777" w:rsidR="002E2582" w:rsidRPr="002E2582" w:rsidRDefault="002E2582" w:rsidP="002E2582">
      <w:pPr>
        <w:spacing w:after="0"/>
        <w:rPr>
          <w:lang w:val="en-GB"/>
        </w:rPr>
      </w:pPr>
      <w:r w:rsidRPr="002E2582">
        <w:rPr>
          <w:lang w:val="en-GB"/>
        </w:rPr>
        <w:t>1. CFOF presentation in July 2018 (</w:t>
      </w:r>
      <w:hyperlink r:id="rId27" w:history="1">
        <w:r w:rsidRPr="002E2582">
          <w:rPr>
            <w:rStyle w:val="Hypertextovprepojenie"/>
            <w:lang w:val="en-GB"/>
          </w:rPr>
          <w:t>http://efrag.org/Assets/Download?assetUrl=%2Fsites%2Fwebpublishing%2FMeeting%20Documents%2F1709191140230908%2F08-01%20CFO%20Forum%20presentation%20-%20EFRAG%20case%20study%20findings%20-%203%20July%2018.pdf</w:t>
        </w:r>
      </w:hyperlink>
      <w:r w:rsidRPr="002E2582">
        <w:rPr>
          <w:lang w:val="en-GB"/>
        </w:rPr>
        <w:t>)</w:t>
      </w:r>
    </w:p>
    <w:p w14:paraId="006C0156" w14:textId="77777777" w:rsidR="002E2582" w:rsidRPr="002E2582" w:rsidRDefault="002E2582" w:rsidP="002E2582">
      <w:pPr>
        <w:spacing w:after="0"/>
        <w:rPr>
          <w:lang w:val="en-GB"/>
        </w:rPr>
      </w:pPr>
      <w:r w:rsidRPr="002E2582">
        <w:rPr>
          <w:lang w:val="en-GB"/>
        </w:rPr>
        <w:t xml:space="preserve">2. Insurance Europe Letters (6 Dec 2018 - </w:t>
      </w:r>
      <w:hyperlink r:id="rId28" w:history="1">
        <w:r w:rsidRPr="002E2582">
          <w:rPr>
            <w:rStyle w:val="Hypertextovprepojenie"/>
            <w:lang w:val="en-GB"/>
          </w:rPr>
          <w:t>https://extranet.insuranceeurope.eu/Financial%20Reporting%20Working%20Group/PublishedDocuments/ECO-FRG-18-184.pdf</w:t>
        </w:r>
      </w:hyperlink>
      <w:r w:rsidRPr="002E2582">
        <w:rPr>
          <w:lang w:val="en-GB"/>
        </w:rPr>
        <w:t xml:space="preserve">) and (16 Oct 2018 - </w:t>
      </w:r>
      <w:hyperlink r:id="rId29" w:history="1">
        <w:r w:rsidRPr="002E2582">
          <w:rPr>
            <w:rStyle w:val="Hypertextovprepojenie"/>
            <w:lang w:val="en-GB"/>
          </w:rPr>
          <w:t>https://extranet.insuranceeurope.eu/Financial%20Reporting%20Working%20Group/PublishedDocuments/ECO-FRG-18-150.pdf</w:t>
        </w:r>
      </w:hyperlink>
      <w:r w:rsidRPr="002E2582">
        <w:rPr>
          <w:lang w:val="en-GB"/>
        </w:rPr>
        <w:t xml:space="preserve">) </w:t>
      </w:r>
    </w:p>
    <w:p w14:paraId="4A7BE1BC" w14:textId="77777777" w:rsidR="002E2582" w:rsidRPr="002E2582" w:rsidRDefault="002E2582" w:rsidP="002E2582">
      <w:pPr>
        <w:spacing w:after="0"/>
        <w:rPr>
          <w:lang w:val="en-GB"/>
        </w:rPr>
      </w:pPr>
      <w:r w:rsidRPr="002E2582">
        <w:rPr>
          <w:lang w:val="en-GB"/>
        </w:rPr>
        <w:t>3. CFOF assessment of IASB proposed amendments (</w:t>
      </w:r>
      <w:hyperlink r:id="rId30" w:history="1">
        <w:r w:rsidRPr="002E2582">
          <w:rPr>
            <w:rStyle w:val="Hypertextovprepojenie"/>
            <w:lang w:val="en-GB"/>
          </w:rPr>
          <w:t>https://extranet.insuranceeurope.eu/Financial%20Reporting%20Working%20Group/PublishedDocuments/ECO-FRG-19-048.pdf</w:t>
        </w:r>
      </w:hyperlink>
      <w:r w:rsidRPr="002E2582">
        <w:rPr>
          <w:lang w:val="en-GB"/>
        </w:rPr>
        <w:t xml:space="preserve">) </w:t>
      </w:r>
    </w:p>
    <w:p w14:paraId="0D8FCA8F" w14:textId="77777777" w:rsidR="002E2582" w:rsidRPr="002E2582" w:rsidRDefault="002E2582" w:rsidP="002E2582">
      <w:pPr>
        <w:spacing w:after="0"/>
        <w:rPr>
          <w:lang w:val="en-GB"/>
        </w:rPr>
      </w:pPr>
      <w:r w:rsidRPr="002E2582">
        <w:rPr>
          <w:lang w:val="en-GB"/>
        </w:rPr>
        <w:t>4. IE website position on IFRS 17 (</w:t>
      </w:r>
      <w:hyperlink r:id="rId31" w:history="1">
        <w:r w:rsidRPr="002E2582">
          <w:rPr>
            <w:rStyle w:val="Hypertextovprepojenie"/>
            <w:lang w:val="en-GB"/>
          </w:rPr>
          <w:t>https://www.insuranceeurope.eu/ifrs-17-position</w:t>
        </w:r>
      </w:hyperlink>
      <w:r w:rsidRPr="002E2582">
        <w:rPr>
          <w:lang w:val="en-GB"/>
        </w:rPr>
        <w:t>)</w:t>
      </w:r>
    </w:p>
    <w:p w14:paraId="605A860C" w14:textId="77777777" w:rsidR="002E2582" w:rsidRPr="002E2582" w:rsidRDefault="002E2582" w:rsidP="002E2582">
      <w:pPr>
        <w:spacing w:after="0"/>
        <w:rPr>
          <w:lang w:val="en-GB"/>
        </w:rPr>
      </w:pPr>
    </w:p>
    <w:sectPr w:rsidR="002E2582" w:rsidRPr="002E25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abstractNum w:abstractNumId="0" w15:restartNumberingAfterBreak="0">
    <w:nsid w:val="41801A5B"/>
    <w:multiLevelType w:val="hybridMultilevel"/>
    <w:tmpl w:val="89B096E0"/>
    <w:lvl w:ilvl="0" w:tplc="BD0AD3BA">
      <w:start w:val="1"/>
      <w:numFmt w:val="bullet"/>
      <w:lvlText w:val="•"/>
      <w:lvlJc w:val="left"/>
      <w:pPr>
        <w:tabs>
          <w:tab w:val="num" w:pos="720"/>
        </w:tabs>
        <w:ind w:left="720" w:hanging="360"/>
      </w:pPr>
      <w:rPr>
        <w:rFonts w:ascii="Arial" w:hAnsi="Arial" w:hint="default"/>
      </w:rPr>
    </w:lvl>
    <w:lvl w:ilvl="1" w:tplc="075E1C80" w:tentative="1">
      <w:start w:val="1"/>
      <w:numFmt w:val="bullet"/>
      <w:lvlText w:val="•"/>
      <w:lvlJc w:val="left"/>
      <w:pPr>
        <w:tabs>
          <w:tab w:val="num" w:pos="1440"/>
        </w:tabs>
        <w:ind w:left="1440" w:hanging="360"/>
      </w:pPr>
      <w:rPr>
        <w:rFonts w:ascii="Arial" w:hAnsi="Arial" w:hint="default"/>
      </w:rPr>
    </w:lvl>
    <w:lvl w:ilvl="2" w:tplc="9F147066" w:tentative="1">
      <w:start w:val="1"/>
      <w:numFmt w:val="bullet"/>
      <w:lvlText w:val="•"/>
      <w:lvlJc w:val="left"/>
      <w:pPr>
        <w:tabs>
          <w:tab w:val="num" w:pos="2160"/>
        </w:tabs>
        <w:ind w:left="2160" w:hanging="360"/>
      </w:pPr>
      <w:rPr>
        <w:rFonts w:ascii="Arial" w:hAnsi="Arial" w:hint="default"/>
      </w:rPr>
    </w:lvl>
    <w:lvl w:ilvl="3" w:tplc="6A18B7FE" w:tentative="1">
      <w:start w:val="1"/>
      <w:numFmt w:val="bullet"/>
      <w:lvlText w:val="•"/>
      <w:lvlJc w:val="left"/>
      <w:pPr>
        <w:tabs>
          <w:tab w:val="num" w:pos="2880"/>
        </w:tabs>
        <w:ind w:left="2880" w:hanging="360"/>
      </w:pPr>
      <w:rPr>
        <w:rFonts w:ascii="Arial" w:hAnsi="Arial" w:hint="default"/>
      </w:rPr>
    </w:lvl>
    <w:lvl w:ilvl="4" w:tplc="21E6F352" w:tentative="1">
      <w:start w:val="1"/>
      <w:numFmt w:val="bullet"/>
      <w:lvlText w:val="•"/>
      <w:lvlJc w:val="left"/>
      <w:pPr>
        <w:tabs>
          <w:tab w:val="num" w:pos="3600"/>
        </w:tabs>
        <w:ind w:left="3600" w:hanging="360"/>
      </w:pPr>
      <w:rPr>
        <w:rFonts w:ascii="Arial" w:hAnsi="Arial" w:hint="default"/>
      </w:rPr>
    </w:lvl>
    <w:lvl w:ilvl="5" w:tplc="5B08A20A" w:tentative="1">
      <w:start w:val="1"/>
      <w:numFmt w:val="bullet"/>
      <w:lvlText w:val="•"/>
      <w:lvlJc w:val="left"/>
      <w:pPr>
        <w:tabs>
          <w:tab w:val="num" w:pos="4320"/>
        </w:tabs>
        <w:ind w:left="4320" w:hanging="360"/>
      </w:pPr>
      <w:rPr>
        <w:rFonts w:ascii="Arial" w:hAnsi="Arial" w:hint="default"/>
      </w:rPr>
    </w:lvl>
    <w:lvl w:ilvl="6" w:tplc="C6E6E9AC" w:tentative="1">
      <w:start w:val="1"/>
      <w:numFmt w:val="bullet"/>
      <w:lvlText w:val="•"/>
      <w:lvlJc w:val="left"/>
      <w:pPr>
        <w:tabs>
          <w:tab w:val="num" w:pos="5040"/>
        </w:tabs>
        <w:ind w:left="5040" w:hanging="360"/>
      </w:pPr>
      <w:rPr>
        <w:rFonts w:ascii="Arial" w:hAnsi="Arial" w:hint="default"/>
      </w:rPr>
    </w:lvl>
    <w:lvl w:ilvl="7" w:tplc="264A6E7A" w:tentative="1">
      <w:start w:val="1"/>
      <w:numFmt w:val="bullet"/>
      <w:lvlText w:val="•"/>
      <w:lvlJc w:val="left"/>
      <w:pPr>
        <w:tabs>
          <w:tab w:val="num" w:pos="5760"/>
        </w:tabs>
        <w:ind w:left="5760" w:hanging="360"/>
      </w:pPr>
      <w:rPr>
        <w:rFonts w:ascii="Arial" w:hAnsi="Arial" w:hint="default"/>
      </w:rPr>
    </w:lvl>
    <w:lvl w:ilvl="8" w:tplc="B5DEA9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99E2B88"/>
    <w:multiLevelType w:val="hybridMultilevel"/>
    <w:tmpl w:val="517A1EC8"/>
    <w:lvl w:ilvl="0" w:tplc="57220C72">
      <w:start w:val="165"/>
      <w:numFmt w:val="bullet"/>
      <w:lvlText w:val=""/>
      <w:lvlPicBulletId w:val="0"/>
      <w:lvlJc w:val="left"/>
      <w:pPr>
        <w:ind w:left="786" w:hanging="360"/>
      </w:pPr>
      <w:rPr>
        <w:rFonts w:ascii="Symbol" w:hAnsi="Symbol" w:hint="default"/>
        <w:color w:val="auto"/>
      </w:rPr>
    </w:lvl>
    <w:lvl w:ilvl="1" w:tplc="F9561650">
      <w:start w:val="165"/>
      <w:numFmt w:val="bullet"/>
      <w:lvlText w:val=""/>
      <w:lvlPicBulletId w:val="1"/>
      <w:lvlJc w:val="left"/>
      <w:pPr>
        <w:ind w:left="1353"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8F36385"/>
    <w:multiLevelType w:val="hybridMultilevel"/>
    <w:tmpl w:val="402659E2"/>
    <w:lvl w:ilvl="0" w:tplc="960CD002">
      <w:start w:val="1"/>
      <w:numFmt w:val="bullet"/>
      <w:lvlText w:val="•"/>
      <w:lvlJc w:val="left"/>
      <w:pPr>
        <w:tabs>
          <w:tab w:val="num" w:pos="720"/>
        </w:tabs>
        <w:ind w:left="720" w:hanging="360"/>
      </w:pPr>
      <w:rPr>
        <w:rFonts w:ascii="Arial" w:hAnsi="Arial" w:hint="default"/>
      </w:rPr>
    </w:lvl>
    <w:lvl w:ilvl="1" w:tplc="7B2EF478" w:tentative="1">
      <w:start w:val="1"/>
      <w:numFmt w:val="bullet"/>
      <w:lvlText w:val="•"/>
      <w:lvlJc w:val="left"/>
      <w:pPr>
        <w:tabs>
          <w:tab w:val="num" w:pos="1440"/>
        </w:tabs>
        <w:ind w:left="1440" w:hanging="360"/>
      </w:pPr>
      <w:rPr>
        <w:rFonts w:ascii="Arial" w:hAnsi="Arial" w:hint="default"/>
      </w:rPr>
    </w:lvl>
    <w:lvl w:ilvl="2" w:tplc="2500F54C" w:tentative="1">
      <w:start w:val="1"/>
      <w:numFmt w:val="bullet"/>
      <w:lvlText w:val="•"/>
      <w:lvlJc w:val="left"/>
      <w:pPr>
        <w:tabs>
          <w:tab w:val="num" w:pos="2160"/>
        </w:tabs>
        <w:ind w:left="2160" w:hanging="360"/>
      </w:pPr>
      <w:rPr>
        <w:rFonts w:ascii="Arial" w:hAnsi="Arial" w:hint="default"/>
      </w:rPr>
    </w:lvl>
    <w:lvl w:ilvl="3" w:tplc="0FC0817A" w:tentative="1">
      <w:start w:val="1"/>
      <w:numFmt w:val="bullet"/>
      <w:lvlText w:val="•"/>
      <w:lvlJc w:val="left"/>
      <w:pPr>
        <w:tabs>
          <w:tab w:val="num" w:pos="2880"/>
        </w:tabs>
        <w:ind w:left="2880" w:hanging="360"/>
      </w:pPr>
      <w:rPr>
        <w:rFonts w:ascii="Arial" w:hAnsi="Arial" w:hint="default"/>
      </w:rPr>
    </w:lvl>
    <w:lvl w:ilvl="4" w:tplc="C95AFA4E" w:tentative="1">
      <w:start w:val="1"/>
      <w:numFmt w:val="bullet"/>
      <w:lvlText w:val="•"/>
      <w:lvlJc w:val="left"/>
      <w:pPr>
        <w:tabs>
          <w:tab w:val="num" w:pos="3600"/>
        </w:tabs>
        <w:ind w:left="3600" w:hanging="360"/>
      </w:pPr>
      <w:rPr>
        <w:rFonts w:ascii="Arial" w:hAnsi="Arial" w:hint="default"/>
      </w:rPr>
    </w:lvl>
    <w:lvl w:ilvl="5" w:tplc="3F946772" w:tentative="1">
      <w:start w:val="1"/>
      <w:numFmt w:val="bullet"/>
      <w:lvlText w:val="•"/>
      <w:lvlJc w:val="left"/>
      <w:pPr>
        <w:tabs>
          <w:tab w:val="num" w:pos="4320"/>
        </w:tabs>
        <w:ind w:left="4320" w:hanging="360"/>
      </w:pPr>
      <w:rPr>
        <w:rFonts w:ascii="Arial" w:hAnsi="Arial" w:hint="default"/>
      </w:rPr>
    </w:lvl>
    <w:lvl w:ilvl="6" w:tplc="DBF27224" w:tentative="1">
      <w:start w:val="1"/>
      <w:numFmt w:val="bullet"/>
      <w:lvlText w:val="•"/>
      <w:lvlJc w:val="left"/>
      <w:pPr>
        <w:tabs>
          <w:tab w:val="num" w:pos="5040"/>
        </w:tabs>
        <w:ind w:left="5040" w:hanging="360"/>
      </w:pPr>
      <w:rPr>
        <w:rFonts w:ascii="Arial" w:hAnsi="Arial" w:hint="default"/>
      </w:rPr>
    </w:lvl>
    <w:lvl w:ilvl="7" w:tplc="35788878" w:tentative="1">
      <w:start w:val="1"/>
      <w:numFmt w:val="bullet"/>
      <w:lvlText w:val="•"/>
      <w:lvlJc w:val="left"/>
      <w:pPr>
        <w:tabs>
          <w:tab w:val="num" w:pos="5760"/>
        </w:tabs>
        <w:ind w:left="5760" w:hanging="360"/>
      </w:pPr>
      <w:rPr>
        <w:rFonts w:ascii="Arial" w:hAnsi="Arial" w:hint="default"/>
      </w:rPr>
    </w:lvl>
    <w:lvl w:ilvl="8" w:tplc="E618C9C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82"/>
    <w:rsid w:val="002E2582"/>
    <w:rsid w:val="003454DB"/>
    <w:rsid w:val="00440FEE"/>
    <w:rsid w:val="00451786"/>
    <w:rsid w:val="005118B2"/>
    <w:rsid w:val="00851625"/>
    <w:rsid w:val="00D54D78"/>
    <w:rsid w:val="00F2204D"/>
    <w:rsid w:val="00F870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94AFD6"/>
  <w15:chartTrackingRefBased/>
  <w15:docId w15:val="{B23975E1-0748-48D0-8742-B46E8EAD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705B"/>
    <w:pPr>
      <w:spacing w:line="288" w:lineRule="auto"/>
    </w:pPr>
    <w:rPr>
      <w:rFonts w:ascii="Verdana" w:hAnsi="Verdana"/>
      <w:sz w:val="1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E2582"/>
    <w:rPr>
      <w:color w:val="0000FF" w:themeColor="hyperlink"/>
      <w:u w:val="single"/>
    </w:rPr>
  </w:style>
  <w:style w:type="character" w:customStyle="1" w:styleId="UnresolvedMention">
    <w:name w:val="Unresolved Mention"/>
    <w:basedOn w:val="Predvolenpsmoodseku"/>
    <w:uiPriority w:val="99"/>
    <w:semiHidden/>
    <w:unhideWhenUsed/>
    <w:rsid w:val="002E2582"/>
    <w:rPr>
      <w:color w:val="605E5C"/>
      <w:shd w:val="clear" w:color="auto" w:fill="E1DFDD"/>
    </w:rPr>
  </w:style>
  <w:style w:type="paragraph" w:styleId="Odsekzoznamu">
    <w:name w:val="List Paragraph"/>
    <w:basedOn w:val="Normlny"/>
    <w:uiPriority w:val="34"/>
    <w:qFormat/>
    <w:rsid w:val="002E2582"/>
    <w:pPr>
      <w:ind w:left="720"/>
      <w:contextualSpacing/>
    </w:pPr>
  </w:style>
  <w:style w:type="paragraph" w:customStyle="1" w:styleId="CEABullet-Level1">
    <w:name w:val="CEA Bullet - Level 1"/>
    <w:basedOn w:val="Normlny"/>
    <w:uiPriority w:val="99"/>
    <w:qFormat/>
    <w:rsid w:val="002E2582"/>
    <w:pPr>
      <w:autoSpaceDE w:val="0"/>
      <w:autoSpaceDN w:val="0"/>
      <w:adjustRightInd w:val="0"/>
      <w:spacing w:line="276" w:lineRule="auto"/>
      <w:ind w:left="786" w:hanging="360"/>
    </w:pPr>
    <w:rPr>
      <w:rFonts w:asciiTheme="minorHAnsi" w:hAnsiTheme="minorHAnsi" w:cs="Frutiger LT Std 45 Light"/>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0235">
      <w:bodyDiv w:val="1"/>
      <w:marLeft w:val="0"/>
      <w:marRight w:val="0"/>
      <w:marTop w:val="0"/>
      <w:marBottom w:val="0"/>
      <w:divBdr>
        <w:top w:val="none" w:sz="0" w:space="0" w:color="auto"/>
        <w:left w:val="none" w:sz="0" w:space="0" w:color="auto"/>
        <w:bottom w:val="none" w:sz="0" w:space="0" w:color="auto"/>
        <w:right w:val="none" w:sz="0" w:space="0" w:color="auto"/>
      </w:divBdr>
    </w:div>
    <w:div w:id="670641900">
      <w:bodyDiv w:val="1"/>
      <w:marLeft w:val="0"/>
      <w:marRight w:val="0"/>
      <w:marTop w:val="0"/>
      <w:marBottom w:val="0"/>
      <w:divBdr>
        <w:top w:val="none" w:sz="0" w:space="0" w:color="auto"/>
        <w:left w:val="none" w:sz="0" w:space="0" w:color="auto"/>
        <w:bottom w:val="none" w:sz="0" w:space="0" w:color="auto"/>
        <w:right w:val="none" w:sz="0" w:space="0" w:color="auto"/>
      </w:divBdr>
    </w:div>
    <w:div w:id="1585258677">
      <w:bodyDiv w:val="1"/>
      <w:marLeft w:val="0"/>
      <w:marRight w:val="0"/>
      <w:marTop w:val="0"/>
      <w:marBottom w:val="0"/>
      <w:divBdr>
        <w:top w:val="none" w:sz="0" w:space="0" w:color="auto"/>
        <w:left w:val="none" w:sz="0" w:space="0" w:color="auto"/>
        <w:bottom w:val="none" w:sz="0" w:space="0" w:color="auto"/>
        <w:right w:val="none" w:sz="0" w:space="0" w:color="auto"/>
      </w:divBdr>
    </w:div>
    <w:div w:id="1661545458">
      <w:bodyDiv w:val="1"/>
      <w:marLeft w:val="0"/>
      <w:marRight w:val="0"/>
      <w:marTop w:val="0"/>
      <w:marBottom w:val="0"/>
      <w:divBdr>
        <w:top w:val="none" w:sz="0" w:space="0" w:color="auto"/>
        <w:left w:val="none" w:sz="0" w:space="0" w:color="auto"/>
        <w:bottom w:val="none" w:sz="0" w:space="0" w:color="auto"/>
        <w:right w:val="none" w:sz="0" w:space="0" w:color="auto"/>
      </w:divBdr>
      <w:divsChild>
        <w:div w:id="219293343">
          <w:marLeft w:val="418"/>
          <w:marRight w:val="0"/>
          <w:marTop w:val="77"/>
          <w:marBottom w:val="0"/>
          <w:divBdr>
            <w:top w:val="none" w:sz="0" w:space="0" w:color="auto"/>
            <w:left w:val="none" w:sz="0" w:space="0" w:color="auto"/>
            <w:bottom w:val="none" w:sz="0" w:space="0" w:color="auto"/>
            <w:right w:val="none" w:sz="0" w:space="0" w:color="auto"/>
          </w:divBdr>
        </w:div>
        <w:div w:id="120347443">
          <w:marLeft w:val="418"/>
          <w:marRight w:val="0"/>
          <w:marTop w:val="77"/>
          <w:marBottom w:val="0"/>
          <w:divBdr>
            <w:top w:val="none" w:sz="0" w:space="0" w:color="auto"/>
            <w:left w:val="none" w:sz="0" w:space="0" w:color="auto"/>
            <w:bottom w:val="none" w:sz="0" w:space="0" w:color="auto"/>
            <w:right w:val="none" w:sz="0" w:space="0" w:color="auto"/>
          </w:divBdr>
        </w:div>
        <w:div w:id="1860200628">
          <w:marLeft w:val="418"/>
          <w:marRight w:val="0"/>
          <w:marTop w:val="77"/>
          <w:marBottom w:val="0"/>
          <w:divBdr>
            <w:top w:val="none" w:sz="0" w:space="0" w:color="auto"/>
            <w:left w:val="none" w:sz="0" w:space="0" w:color="auto"/>
            <w:bottom w:val="none" w:sz="0" w:space="0" w:color="auto"/>
            <w:right w:val="none" w:sz="0" w:space="0" w:color="auto"/>
          </w:divBdr>
        </w:div>
      </w:divsChild>
    </w:div>
    <w:div w:id="1718233899">
      <w:bodyDiv w:val="1"/>
      <w:marLeft w:val="0"/>
      <w:marRight w:val="0"/>
      <w:marTop w:val="0"/>
      <w:marBottom w:val="0"/>
      <w:divBdr>
        <w:top w:val="none" w:sz="0" w:space="0" w:color="auto"/>
        <w:left w:val="none" w:sz="0" w:space="0" w:color="auto"/>
        <w:bottom w:val="none" w:sz="0" w:space="0" w:color="auto"/>
        <w:right w:val="none" w:sz="0" w:space="0" w:color="auto"/>
      </w:divBdr>
    </w:div>
    <w:div w:id="1893735964">
      <w:bodyDiv w:val="1"/>
      <w:marLeft w:val="0"/>
      <w:marRight w:val="0"/>
      <w:marTop w:val="0"/>
      <w:marBottom w:val="0"/>
      <w:divBdr>
        <w:top w:val="none" w:sz="0" w:space="0" w:color="auto"/>
        <w:left w:val="none" w:sz="0" w:space="0" w:color="auto"/>
        <w:bottom w:val="none" w:sz="0" w:space="0" w:color="auto"/>
        <w:right w:val="none" w:sz="0" w:space="0" w:color="auto"/>
      </w:divBdr>
    </w:div>
    <w:div w:id="1901820060">
      <w:bodyDiv w:val="1"/>
      <w:marLeft w:val="0"/>
      <w:marRight w:val="0"/>
      <w:marTop w:val="0"/>
      <w:marBottom w:val="0"/>
      <w:divBdr>
        <w:top w:val="none" w:sz="0" w:space="0" w:color="auto"/>
        <w:left w:val="none" w:sz="0" w:space="0" w:color="auto"/>
        <w:bottom w:val="none" w:sz="0" w:space="0" w:color="auto"/>
        <w:right w:val="none" w:sz="0" w:space="0" w:color="auto"/>
      </w:divBdr>
      <w:divsChild>
        <w:div w:id="1951626787">
          <w:marLeft w:val="418"/>
          <w:marRight w:val="0"/>
          <w:marTop w:val="77"/>
          <w:marBottom w:val="0"/>
          <w:divBdr>
            <w:top w:val="none" w:sz="0" w:space="0" w:color="auto"/>
            <w:left w:val="none" w:sz="0" w:space="0" w:color="auto"/>
            <w:bottom w:val="none" w:sz="0" w:space="0" w:color="auto"/>
            <w:right w:val="none" w:sz="0" w:space="0" w:color="auto"/>
          </w:divBdr>
        </w:div>
        <w:div w:id="59905653">
          <w:marLeft w:val="418"/>
          <w:marRight w:val="0"/>
          <w:marTop w:val="77"/>
          <w:marBottom w:val="0"/>
          <w:divBdr>
            <w:top w:val="none" w:sz="0" w:space="0" w:color="auto"/>
            <w:left w:val="none" w:sz="0" w:space="0" w:color="auto"/>
            <w:bottom w:val="none" w:sz="0" w:space="0" w:color="auto"/>
            <w:right w:val="none" w:sz="0" w:space="0" w:color="auto"/>
          </w:divBdr>
        </w:div>
        <w:div w:id="311524667">
          <w:marLeft w:val="418"/>
          <w:marRight w:val="0"/>
          <w:marTop w:val="77"/>
          <w:marBottom w:val="0"/>
          <w:divBdr>
            <w:top w:val="none" w:sz="0" w:space="0" w:color="auto"/>
            <w:left w:val="none" w:sz="0" w:space="0" w:color="auto"/>
            <w:bottom w:val="none" w:sz="0" w:space="0" w:color="auto"/>
            <w:right w:val="none" w:sz="0" w:space="0" w:color="auto"/>
          </w:divBdr>
        </w:div>
      </w:divsChild>
    </w:div>
    <w:div w:id="20502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rag.org/Assets/Download?assetUrl=/sites/webpublishing/SiteAssets/Mr.%20Hans%20Hoogervorst%20letter%20signed%20-%20IFRS%2017%20Insurance%20Contracts.pdf" TargetMode="External"/><Relationship Id="rId13" Type="http://schemas.openxmlformats.org/officeDocument/2006/relationships/hyperlink" Target="https://www.insuranceeurope.eu/ifrs-17-position" TargetMode="External"/><Relationship Id="rId18" Type="http://schemas.openxmlformats.org/officeDocument/2006/relationships/hyperlink" Target="https://www.insuranceeurope.eu/ifrs-17-position" TargetMode="External"/><Relationship Id="rId26" Type="http://schemas.openxmlformats.org/officeDocument/2006/relationships/hyperlink" Target="http://efrag.org/Assets/Download?assetUrl=/sites/webpublishing/Meeting%20Documents/1902201018475037/06-01%20CFOF%20EFRAG%20Presentation.pdf" TargetMode="External"/><Relationship Id="rId3" Type="http://schemas.openxmlformats.org/officeDocument/2006/relationships/customXml" Target="../customXml/item3.xml"/><Relationship Id="rId21" Type="http://schemas.openxmlformats.org/officeDocument/2006/relationships/hyperlink" Target="https://www.insuranceeurope.eu/ifrs-17-position" TargetMode="External"/><Relationship Id="rId7" Type="http://schemas.openxmlformats.org/officeDocument/2006/relationships/webSettings" Target="webSettings.xml"/><Relationship Id="rId12" Type="http://schemas.openxmlformats.org/officeDocument/2006/relationships/hyperlink" Target="https://www.insuranceeurope.eu/ifrs-17-position" TargetMode="External"/><Relationship Id="rId17" Type="http://schemas.openxmlformats.org/officeDocument/2006/relationships/hyperlink" Target="http://efrag.org/Assets/Download?assetUrl=/sites/webpublishing/Meeting%20Documents/1902201018475037/06-01%20CFOF%20EFRAG%20Presentation.pdf" TargetMode="External"/><Relationship Id="rId25" Type="http://schemas.openxmlformats.org/officeDocument/2006/relationships/hyperlink" Target="http://efrag.org/Assets/Download?assetUrl=/sites/webpublishing/Meeting%20Documents/1902201018475037/06-01%20CFOF%20EFRAG%20Presentatio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uranceeurope.eu/ifrs-17-position" TargetMode="External"/><Relationship Id="rId20" Type="http://schemas.openxmlformats.org/officeDocument/2006/relationships/hyperlink" Target="https://www.insuranceeurope.eu/ifrs-17-position" TargetMode="External"/><Relationship Id="rId29" Type="http://schemas.openxmlformats.org/officeDocument/2006/relationships/hyperlink" Target="https://extranet.insuranceeurope.eu/Financial%20Reporting%20Working%20Group/PublishedDocuments/ECO-FRG-18-15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rag.org/Assets/Download?assetUrl=/sites/webpublishing/SiteAssets/Mr.%20Hans%20Hoogervorst%20letter%20signed%20-%20IFRS%2017%20Insurance%20Contracts.pdf" TargetMode="External"/><Relationship Id="rId24" Type="http://schemas.openxmlformats.org/officeDocument/2006/relationships/hyperlink" Target="http://efrag.org/Assets/Download?assetUrl=/sites/webpublishing/Meeting%20Documents/1902201018475037/06-01%20CFOF%20EFRAG%20Presentation.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foforum.eu/letters/CFO-Forum-letter-sent-to-EFRAG-and-IASB-on-proposed-solutions-to-FRS-17-ssues-17-October-2018.pdf" TargetMode="External"/><Relationship Id="rId23" Type="http://schemas.openxmlformats.org/officeDocument/2006/relationships/hyperlink" Target="https://www.insuranceeurope.eu/ifrs-17-position" TargetMode="External"/><Relationship Id="rId28" Type="http://schemas.openxmlformats.org/officeDocument/2006/relationships/hyperlink" Target="https://extranet.insuranceeurope.eu/Financial%20Reporting%20Working%20Group/PublishedDocuments/ECO-FRG-18-184.pdf" TargetMode="External"/><Relationship Id="rId10" Type="http://schemas.openxmlformats.org/officeDocument/2006/relationships/hyperlink" Target="https://www.insuranceeurope.eu/ifrs-17-position" TargetMode="External"/><Relationship Id="rId19" Type="http://schemas.openxmlformats.org/officeDocument/2006/relationships/image" Target="media/image3.png"/><Relationship Id="rId31" Type="http://schemas.openxmlformats.org/officeDocument/2006/relationships/hyperlink" Target="https://www.insuranceeurope.eu/ifrs-17-position" TargetMode="External"/><Relationship Id="rId4" Type="http://schemas.openxmlformats.org/officeDocument/2006/relationships/numbering" Target="numbering.xml"/><Relationship Id="rId9" Type="http://schemas.openxmlformats.org/officeDocument/2006/relationships/hyperlink" Target="http://www.cfoforum.eu/letters/CFO-Forum-letter-sent-to-EFRAG-and-IASB-on-proposed-solutions-to-FRS-17-ssues-17-October-2018.pdf" TargetMode="External"/><Relationship Id="rId14" Type="http://schemas.openxmlformats.org/officeDocument/2006/relationships/hyperlink" Target="http://www.cfoforum.eu/letters/CFO-Forum-letter-sent-to-EFRAG-and-IASB-on-proposed-solutions-to-FRS-17-ssues-17-October-2018.pdf" TargetMode="External"/><Relationship Id="rId22" Type="http://schemas.openxmlformats.org/officeDocument/2006/relationships/hyperlink" Target="http://www.cfoforum.eu/letters/CFO-Forum-letter-sent-to-EFRAG-and-IASB-on-proposed-solutions-to-FRS-17-ssues-17-October-2018.pdf" TargetMode="External"/><Relationship Id="rId27" Type="http://schemas.openxmlformats.org/officeDocument/2006/relationships/hyperlink" Target="http://efrag.org/Assets/Download?assetUrl=/sites/webpublishing/Meeting%20Documents/1709191140230908/08-01%20CFO%20Forum%20presentation%20-%20EFRAG%20case%20study%20findings%20-%203%20July%2018.pdf" TargetMode="External"/><Relationship Id="rId30" Type="http://schemas.openxmlformats.org/officeDocument/2006/relationships/hyperlink" Target="https://extranet.insuranceeurope.eu/Financial%20Reporting%20Working%20Group/PublishedDocuments/ECO-FRG-19-048.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 xsi:nil="true"/>
    <Type_x0020_of_x0020_memo xmlns="70f7eb82-310d-4963-bf1e-a4c2a37fd81c" xsi:nil="true"/>
    <Linked_x0020_files xmlns="$ListId:PublishedDocuments;" xsi:nil="true"/>
    <ValidationComment xmlns="e092deee-a6f6-4f89-8a6c-e2a43e9fb5cf" xsi:nil="true"/>
    <Uploads xmlns="7008af22-2417-4c84-8cc9-7a7f7e77d398">false</Uploads>
    <Can_x0020_be_x0020_edited xmlns="$ListId:PublishedDocuments;">false</Can_x0020_be_x0020_edited>
    <AllowComments xmlns="e092deee-a6f6-4f89-8a6c-e2a43e9fb5cf">false</AllowComments>
    <isAnnex xmlns="7008af22-2417-4c84-8cc9-7a7f7e77d398">True</isAnnex>
    <Validated xmlns="e092deee-a6f6-4f89-8a6c-e2a43e9fb5cf">false</Validated>
    <Deadline xmlns="7008af22-2417-4c84-8cc9-7a7f7e77d398" xsi:nil="true"/>
    <Display_x0020_validated_x0020_documents_x0020_library_x0020_button xmlns="70f7eb82-310d-4963-bf1e-a4c2a37fd81c">false</Display_x0020_validated_x0020_documents_x0020_library_x0020_button>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FC8BBAAB92B9EC47B16926FBCF0C75F9" ma:contentTypeVersion="0" ma:contentTypeDescription="Published Documents Content types for Insurance Europe" ma:contentTypeScope="" ma:versionID="5acc1d111ef3c97ba4ca5f43f2df82a0">
  <xsd:schema xmlns:xsd="http://www.w3.org/2001/XMLSchema" xmlns:xs="http://www.w3.org/2001/XMLSchema" xmlns:p="http://schemas.microsoft.com/office/2006/metadata/properties" xmlns:ns2="e092deee-a6f6-4f89-8a6c-e2a43e9fb5cf" xmlns:ns3="$ListId:PublishedDocuments;" xmlns:ns4="34d7415f-f1a4-44df-8e35-2ceaafd480dc" xmlns:ns5="7008af22-2417-4c84-8cc9-7a7f7e77d398" xmlns:ns6="70f7eb82-310d-4963-bf1e-a4c2a37fd81c" targetNamespace="http://schemas.microsoft.com/office/2006/metadata/properties" ma:root="true" ma:fieldsID="fcb2740bb3a49769e13071f5c5bb0d4e" ns2:_="" ns3:_="" ns4:_="" ns5:_="" ns6:_="">
    <xsd:import namespace="e092deee-a6f6-4f89-8a6c-e2a43e9fb5cf"/>
    <xsd:import namespace="$ListId:PublishedDocuments;"/>
    <xsd:import namespace="34d7415f-f1a4-44df-8e35-2ceaafd480dc"/>
    <xsd:import namespace="7008af22-2417-4c84-8cc9-7a7f7e77d398"/>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008af22-2417-4c84-8cc9-7a7f7e77d398"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BAA4B-70F3-4036-B44F-0A2A7916072F}">
  <ds:schemaRefs>
    <ds:schemaRef ds:uri="http://schemas.microsoft.com/sharepoint/v3/contenttype/forms"/>
  </ds:schemaRefs>
</ds:datastoreItem>
</file>

<file path=customXml/itemProps2.xml><?xml version="1.0" encoding="utf-8"?>
<ds:datastoreItem xmlns:ds="http://schemas.openxmlformats.org/officeDocument/2006/customXml" ds:itemID="{56AE3A0E-4492-42E5-92B8-AB1E522F6A14}">
  <ds:schemaRef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0f7eb82-310d-4963-bf1e-a4c2a37fd81c"/>
    <ds:schemaRef ds:uri="e092deee-a6f6-4f89-8a6c-e2a43e9fb5cf"/>
    <ds:schemaRef ds:uri="http://www.w3.org/XML/1998/namespace"/>
    <ds:schemaRef ds:uri="34d7415f-f1a4-44df-8e35-2ceaafd480dc"/>
    <ds:schemaRef ds:uri="7008af22-2417-4c84-8cc9-7a7f7e77d398"/>
    <ds:schemaRef ds:uri="$ListId:PublishedDocuments;"/>
    <ds:schemaRef ds:uri="http://schemas.microsoft.com/office/2006/metadata/properties"/>
  </ds:schemaRefs>
</ds:datastoreItem>
</file>

<file path=customXml/itemProps3.xml><?xml version="1.0" encoding="utf-8"?>
<ds:datastoreItem xmlns:ds="http://schemas.openxmlformats.org/officeDocument/2006/customXml" ds:itemID="{D187448C-9199-49B1-A14E-DFB8766B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7008af22-2417-4c84-8cc9-7a7f7e77d398"/>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8590</Characters>
  <Application>Microsoft Office Word</Application>
  <DocSecurity>4</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ARC Meeting 26 June 2019 - High level recap of industry position</vt:lpstr>
      <vt:lpstr/>
    </vt:vector>
  </TitlesOfParts>
  <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Meeting 26 June 2019 - High level recap of industry position</dc:title>
  <dc:subject/>
  <dc:creator>Danny Dehaes</dc:creator>
  <cp:keywords/>
  <dc:description/>
  <cp:lastModifiedBy>Bachníček Jozef</cp:lastModifiedBy>
  <cp:revision>2</cp:revision>
  <dcterms:created xsi:type="dcterms:W3CDTF">2019-06-19T06:37:00Z</dcterms:created>
  <dcterms:modified xsi:type="dcterms:W3CDTF">2019-06-19T06:37:00Z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0x010100FC8BBAAB92B9EC47B16926FBCF0C75F9</vt:lpwstr>
  </property>
</Properties>
</file>