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5DB5B" w14:textId="0E8F5E3B" w:rsidR="001C2816" w:rsidRPr="004941FB" w:rsidRDefault="00FF6A48" w:rsidP="00A36B0A">
      <w:pPr>
        <w:pStyle w:val="Pagedecouverture"/>
      </w:pPr>
      <w:bookmarkStart w:id="0" w:name="_GoBack"/>
      <w:bookmarkEnd w:id="0"/>
      <w:r>
        <w:rPr>
          <w:noProof/>
          <w:lang w:eastAsia="sk-SK"/>
        </w:rPr>
        <w:drawing>
          <wp:inline distT="0" distB="0" distL="0" distR="0" wp14:anchorId="6E49257B" wp14:editId="3A4F4824">
            <wp:extent cx="5724525" cy="5029200"/>
            <wp:effectExtent l="0" t="0" r="0" b="0"/>
            <wp:docPr id="1" name="Obrázok 1" descr="33935345-9E09-4A0C-80BD-189636C9F4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935345-9E09-4A0C-80BD-189636C9F4D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4525" cy="5029200"/>
                    </a:xfrm>
                    <a:prstGeom prst="rect">
                      <a:avLst/>
                    </a:prstGeom>
                    <a:noFill/>
                    <a:ln>
                      <a:noFill/>
                    </a:ln>
                  </pic:spPr>
                </pic:pic>
              </a:graphicData>
            </a:graphic>
          </wp:inline>
        </w:drawing>
      </w:r>
    </w:p>
    <w:p w14:paraId="2A1D0FB8" w14:textId="77777777" w:rsidR="009805BF" w:rsidRPr="004941FB" w:rsidRDefault="009805BF" w:rsidP="00A01AA1">
      <w:pPr>
        <w:sectPr w:rsidR="009805BF" w:rsidRPr="004941FB" w:rsidSect="00A36B0A">
          <w:footerReference w:type="default" r:id="rId9"/>
          <w:pgSz w:w="11907" w:h="16839"/>
          <w:pgMar w:top="1134" w:right="1417" w:bottom="1134" w:left="1417" w:header="709" w:footer="709" w:gutter="0"/>
          <w:pgNumType w:start="0"/>
          <w:cols w:space="720"/>
          <w:docGrid w:linePitch="360"/>
        </w:sectPr>
      </w:pPr>
    </w:p>
    <w:p w14:paraId="37F0E1A2" w14:textId="7863969E" w:rsidR="009805BF" w:rsidRPr="004941FB" w:rsidRDefault="00A36B0A" w:rsidP="00A36B0A">
      <w:pPr>
        <w:pStyle w:val="Typedudocument"/>
      </w:pPr>
      <w:r w:rsidRPr="00A36B0A">
        <w:lastRenderedPageBreak/>
        <w:t>NARIADENIE KOMISIE (EÚ) …/…</w:t>
      </w:r>
    </w:p>
    <w:p w14:paraId="2F0CCAE3" w14:textId="0BCDB756" w:rsidR="009805BF" w:rsidRPr="004941FB" w:rsidRDefault="00A36B0A" w:rsidP="00A36B0A">
      <w:pPr>
        <w:pStyle w:val="Datedadoption"/>
      </w:pPr>
      <w:r w:rsidRPr="00A36B0A">
        <w:t xml:space="preserve">z </w:t>
      </w:r>
      <w:r w:rsidRPr="00A36B0A">
        <w:rPr>
          <w:rStyle w:val="Marker2"/>
        </w:rPr>
        <w:t>XXX</w:t>
      </w:r>
      <w:r w:rsidRPr="00A36B0A">
        <w:t>,</w:t>
      </w:r>
    </w:p>
    <w:p w14:paraId="18D02170" w14:textId="4E069D4E" w:rsidR="009805BF" w:rsidRPr="004941FB" w:rsidRDefault="00A36B0A" w:rsidP="00A36B0A">
      <w:pPr>
        <w:pStyle w:val="Titreobjet"/>
      </w:pPr>
      <w:r w:rsidRPr="00A36B0A">
        <w:t>ktorým sa mení nariadenie (ES) č. 1126/2008, ktorým sa v súlade s nariadením Európskeho parlamentu a Rady (ES) č. 1606/2002 prijímajú určité medzinárodné účtovné štandardy, pokiaľ ide o medzinárodný štandard finančného výkazníctva 17</w:t>
      </w:r>
    </w:p>
    <w:p w14:paraId="039F774B" w14:textId="0EF47163" w:rsidR="009805BF" w:rsidRPr="004941FB" w:rsidRDefault="00A36B0A" w:rsidP="00A36B0A">
      <w:pPr>
        <w:pStyle w:val="IntrtEEE"/>
      </w:pPr>
      <w:r w:rsidRPr="00A36B0A">
        <w:t>(Text s významom pre EHP)</w:t>
      </w:r>
    </w:p>
    <w:p w14:paraId="17B0352A" w14:textId="77777777" w:rsidR="009805BF" w:rsidRPr="004941FB" w:rsidRDefault="009805BF" w:rsidP="001C3314">
      <w:pPr>
        <w:pStyle w:val="Institutionquiagit"/>
      </w:pPr>
      <w:r w:rsidRPr="004941FB">
        <w:t>EURÓPSKA KOMISIA,</w:t>
      </w:r>
    </w:p>
    <w:p w14:paraId="5DF45995" w14:textId="0BEBC51C" w:rsidR="009805BF" w:rsidRPr="004941FB" w:rsidRDefault="009805BF" w:rsidP="001C3314">
      <w:r w:rsidRPr="004941FB">
        <w:t>so zreteľom na Zmluvu</w:t>
      </w:r>
      <w:r w:rsidR="004941FB">
        <w:t xml:space="preserve"> o </w:t>
      </w:r>
      <w:r w:rsidRPr="004941FB">
        <w:t>fungovaní Európskej únie,</w:t>
      </w:r>
    </w:p>
    <w:p w14:paraId="021D945B" w14:textId="3EBD48A8" w:rsidR="009805BF" w:rsidRPr="004941FB" w:rsidRDefault="009805BF" w:rsidP="001C3314">
      <w:r w:rsidRPr="004941FB">
        <w:t>so zreteľom na nariadenie Európskeho parlamentu</w:t>
      </w:r>
      <w:r w:rsidR="004941FB">
        <w:t xml:space="preserve"> a </w:t>
      </w:r>
      <w:r w:rsidRPr="004941FB">
        <w:t>Rady (ES) č. 1606/2002</w:t>
      </w:r>
      <w:r w:rsidR="004941FB">
        <w:t xml:space="preserve"> z </w:t>
      </w:r>
      <w:r w:rsidRPr="004941FB">
        <w:t>19</w:t>
      </w:r>
      <w:r w:rsidR="004941FB">
        <w:t>. júla</w:t>
      </w:r>
      <w:r w:rsidRPr="004941FB">
        <w:t xml:space="preserve"> 2002</w:t>
      </w:r>
      <w:r w:rsidR="004941FB">
        <w:t xml:space="preserve"> o </w:t>
      </w:r>
      <w:r w:rsidRPr="004941FB">
        <w:t>uplatňovaní medzinárodných účtovných noriem</w:t>
      </w:r>
      <w:r w:rsidRPr="004941FB">
        <w:rPr>
          <w:rStyle w:val="Odkaznapoznmkupodiarou"/>
        </w:rPr>
        <w:footnoteReference w:id="1"/>
      </w:r>
      <w:r w:rsidRPr="004941FB">
        <w:t>,</w:t>
      </w:r>
      <w:r w:rsidR="004941FB">
        <w:t xml:space="preserve"> a </w:t>
      </w:r>
      <w:r w:rsidRPr="004941FB">
        <w:t>najmä na jeho článok 3 ods. 1,</w:t>
      </w:r>
    </w:p>
    <w:p w14:paraId="43D117C3" w14:textId="77777777" w:rsidR="009805BF" w:rsidRPr="004941FB" w:rsidRDefault="009805BF" w:rsidP="001C3314">
      <w:r w:rsidRPr="004941FB">
        <w:t>keďže:</w:t>
      </w:r>
    </w:p>
    <w:p w14:paraId="4789703B" w14:textId="248A1EC2" w:rsidR="009805BF" w:rsidRPr="004941FB" w:rsidRDefault="009805BF" w:rsidP="00BE31AF">
      <w:pPr>
        <w:pStyle w:val="Considrant"/>
        <w:numPr>
          <w:ilvl w:val="0"/>
          <w:numId w:val="1"/>
        </w:numPr>
      </w:pPr>
      <w:r w:rsidRPr="004941FB">
        <w:t>Nariadením Komisie (ES) č. 1126/2008</w:t>
      </w:r>
      <w:r w:rsidRPr="004941FB">
        <w:rPr>
          <w:rStyle w:val="Odkaznapoznmkupodiarou"/>
        </w:rPr>
        <w:footnoteReference w:id="2"/>
      </w:r>
      <w:r w:rsidRPr="004941FB">
        <w:t xml:space="preserve"> sa prijali určité medzinárodné účtovné štandardy</w:t>
      </w:r>
      <w:r w:rsidR="004941FB">
        <w:t xml:space="preserve"> a </w:t>
      </w:r>
      <w:r w:rsidRPr="004941FB">
        <w:t>interpretácie, ktoré existovali</w:t>
      </w:r>
      <w:r w:rsidR="004941FB">
        <w:t xml:space="preserve"> k </w:t>
      </w:r>
      <w:r w:rsidRPr="004941FB">
        <w:t>15. októbru 2008</w:t>
      </w:r>
      <w:r w:rsidRPr="004941FB">
        <w:rPr>
          <w:rStyle w:val="Marker"/>
        </w:rPr>
        <w:t>.</w:t>
      </w:r>
    </w:p>
    <w:p w14:paraId="7EA3507C" w14:textId="214A715C" w:rsidR="009805BF" w:rsidRPr="004941FB" w:rsidRDefault="009805BF" w:rsidP="009805BF">
      <w:pPr>
        <w:pStyle w:val="Considrant"/>
      </w:pPr>
      <w:r w:rsidRPr="004941FB">
        <w:t>Rada pre medzinárodné účtovné štandardy (IASB) uverejnila 18</w:t>
      </w:r>
      <w:r w:rsidR="004941FB">
        <w:t>. mája</w:t>
      </w:r>
      <w:r w:rsidRPr="004941FB">
        <w:t xml:space="preserve"> 2017 medzinárodný štandard finančného výkazníctva (IFRS) 17 </w:t>
      </w:r>
      <w:r w:rsidRPr="00FE53D7">
        <w:rPr>
          <w:i/>
        </w:rPr>
        <w:t>Poistné zmluvy</w:t>
      </w:r>
      <w:r w:rsidR="004941FB">
        <w:t xml:space="preserve"> a </w:t>
      </w:r>
      <w:r w:rsidRPr="004941FB">
        <w:t>25</w:t>
      </w:r>
      <w:r w:rsidR="004941FB">
        <w:t>. júna</w:t>
      </w:r>
      <w:r w:rsidRPr="004941FB">
        <w:t xml:space="preserve"> 2020 zmeny štandardu IFRS 17 („IFRS 17“).</w:t>
      </w:r>
    </w:p>
    <w:p w14:paraId="5A53A912" w14:textId="3B573E08" w:rsidR="009805BF" w:rsidRPr="004941FB" w:rsidRDefault="009805BF" w:rsidP="009805BF">
      <w:pPr>
        <w:pStyle w:val="Considrant"/>
      </w:pPr>
      <w:r w:rsidRPr="004941FB">
        <w:t xml:space="preserve">Prijatie štandardu IFRS 17 si následne vyžaduje zmeny týchto štandardov alebo interpretácií štandardov: IFRS 1 </w:t>
      </w:r>
      <w:r w:rsidRPr="00FE53D7">
        <w:rPr>
          <w:i/>
        </w:rPr>
        <w:t>Prvé uplatnenie medzinárodných štandardov finančného výkazníctva</w:t>
      </w:r>
      <w:r w:rsidRPr="004941FB">
        <w:t xml:space="preserve">, IFRS 3 </w:t>
      </w:r>
      <w:r w:rsidRPr="00FE53D7">
        <w:rPr>
          <w:i/>
        </w:rPr>
        <w:t>Podnikové kombinácie</w:t>
      </w:r>
      <w:r w:rsidRPr="004941FB">
        <w:t xml:space="preserve">, IFRS 5 </w:t>
      </w:r>
      <w:r w:rsidRPr="00FE53D7">
        <w:rPr>
          <w:i/>
        </w:rPr>
        <w:t>Dlhodobý majetok držaný na predaj</w:t>
      </w:r>
      <w:r w:rsidR="004941FB" w:rsidRPr="00FE53D7">
        <w:rPr>
          <w:i/>
        </w:rPr>
        <w:t xml:space="preserve"> a </w:t>
      </w:r>
      <w:r w:rsidRPr="00FE53D7">
        <w:rPr>
          <w:i/>
        </w:rPr>
        <w:t>ukončenie činností</w:t>
      </w:r>
      <w:r w:rsidRPr="004941FB">
        <w:t xml:space="preserve">, IFRS 7 </w:t>
      </w:r>
      <w:r w:rsidRPr="00FE53D7">
        <w:rPr>
          <w:i/>
        </w:rPr>
        <w:t>Finančné nástroje: zverejňovanie</w:t>
      </w:r>
      <w:r w:rsidRPr="004941FB">
        <w:t xml:space="preserve">, IFRS 9 </w:t>
      </w:r>
      <w:r w:rsidRPr="00FE53D7">
        <w:rPr>
          <w:i/>
        </w:rPr>
        <w:t>Finančné nástroje</w:t>
      </w:r>
      <w:r w:rsidRPr="004941FB">
        <w:t xml:space="preserve">, IFRS 15 </w:t>
      </w:r>
      <w:r w:rsidRPr="00FE53D7">
        <w:rPr>
          <w:i/>
        </w:rPr>
        <w:t>Výnosy zo zmlúv so zákazníkmi</w:t>
      </w:r>
      <w:r w:rsidRPr="004941FB">
        <w:t xml:space="preserve">, medzinárodný účtovný štandard (IAS) 1 </w:t>
      </w:r>
      <w:r w:rsidRPr="00FE53D7">
        <w:rPr>
          <w:i/>
        </w:rPr>
        <w:t>Prezentácia účtovnej závierky</w:t>
      </w:r>
      <w:r w:rsidRPr="004941FB">
        <w:t xml:space="preserve">, IAS 7 </w:t>
      </w:r>
      <w:r w:rsidRPr="00FE53D7">
        <w:rPr>
          <w:i/>
        </w:rPr>
        <w:t>Výkaz</w:t>
      </w:r>
      <w:r w:rsidR="004941FB" w:rsidRPr="00FE53D7">
        <w:rPr>
          <w:i/>
        </w:rPr>
        <w:t xml:space="preserve"> o </w:t>
      </w:r>
      <w:r w:rsidRPr="00FE53D7">
        <w:rPr>
          <w:i/>
        </w:rPr>
        <w:t>peňažných tokoch</w:t>
      </w:r>
      <w:r w:rsidRPr="004941FB">
        <w:t xml:space="preserve">, IAS 16 </w:t>
      </w:r>
      <w:r w:rsidRPr="00FE53D7">
        <w:rPr>
          <w:i/>
        </w:rPr>
        <w:t>Nehnuteľnosti, stroje</w:t>
      </w:r>
      <w:r w:rsidR="004941FB" w:rsidRPr="00FE53D7">
        <w:rPr>
          <w:i/>
        </w:rPr>
        <w:t xml:space="preserve"> a </w:t>
      </w:r>
      <w:r w:rsidRPr="00FE53D7">
        <w:rPr>
          <w:i/>
        </w:rPr>
        <w:t>zariadenia</w:t>
      </w:r>
      <w:r w:rsidRPr="004941FB">
        <w:t xml:space="preserve">, IAS 19 </w:t>
      </w:r>
      <w:r w:rsidRPr="00FE53D7">
        <w:rPr>
          <w:i/>
        </w:rPr>
        <w:t>Zamestnanecké požitky</w:t>
      </w:r>
      <w:r w:rsidRPr="004941FB">
        <w:t xml:space="preserve">, IAS 28 </w:t>
      </w:r>
      <w:r w:rsidRPr="00FE53D7">
        <w:rPr>
          <w:i/>
        </w:rPr>
        <w:t>Investície do pridružených podnikov</w:t>
      </w:r>
      <w:r w:rsidR="004941FB" w:rsidRPr="00FE53D7">
        <w:rPr>
          <w:i/>
        </w:rPr>
        <w:t xml:space="preserve"> a </w:t>
      </w:r>
      <w:r w:rsidRPr="00FE53D7">
        <w:rPr>
          <w:i/>
        </w:rPr>
        <w:t>spoločných podnikov</w:t>
      </w:r>
      <w:r w:rsidRPr="004941FB">
        <w:t xml:space="preserve">, IAS 32 </w:t>
      </w:r>
      <w:r w:rsidRPr="00FE53D7">
        <w:rPr>
          <w:i/>
        </w:rPr>
        <w:t>Finančné nástroje: prezentácia</w:t>
      </w:r>
      <w:r w:rsidRPr="004941FB">
        <w:t xml:space="preserve">, IAS 36 </w:t>
      </w:r>
      <w:r w:rsidRPr="00FE53D7">
        <w:rPr>
          <w:i/>
        </w:rPr>
        <w:t>Zníženie hodnoty majetku</w:t>
      </w:r>
      <w:r w:rsidRPr="004941FB">
        <w:t>, IAS 37</w:t>
      </w:r>
      <w:r w:rsidRPr="00FE53D7">
        <w:rPr>
          <w:i/>
          <w:szCs w:val="24"/>
        </w:rPr>
        <w:t xml:space="preserve"> </w:t>
      </w:r>
      <w:r w:rsidRPr="00FE53D7">
        <w:rPr>
          <w:i/>
        </w:rPr>
        <w:t>Rezervy, podmienené záväzky</w:t>
      </w:r>
      <w:r w:rsidR="004941FB" w:rsidRPr="00FE53D7">
        <w:rPr>
          <w:i/>
        </w:rPr>
        <w:t xml:space="preserve"> a </w:t>
      </w:r>
      <w:r w:rsidRPr="00FE53D7">
        <w:rPr>
          <w:i/>
        </w:rPr>
        <w:t>podmienené aktíva</w:t>
      </w:r>
      <w:r w:rsidRPr="004941FB">
        <w:t xml:space="preserve">, IAS 38 </w:t>
      </w:r>
      <w:r w:rsidRPr="00FE53D7">
        <w:rPr>
          <w:i/>
        </w:rPr>
        <w:t>Nehmotný majetok</w:t>
      </w:r>
      <w:r w:rsidRPr="004941FB">
        <w:t xml:space="preserve">, IAS 40 </w:t>
      </w:r>
      <w:r w:rsidRPr="00FE53D7">
        <w:rPr>
          <w:i/>
        </w:rPr>
        <w:t>Investičný nehnuteľný majetok</w:t>
      </w:r>
      <w:r w:rsidR="004941FB">
        <w:t xml:space="preserve"> a </w:t>
      </w:r>
      <w:r w:rsidRPr="004941FB">
        <w:t xml:space="preserve">interpretácia Stáleho interpretačného výboru SIC-27 </w:t>
      </w:r>
      <w:r w:rsidRPr="00FE53D7">
        <w:rPr>
          <w:i/>
        </w:rPr>
        <w:t>Vyhodnocovanie podstaty transakcií zahŕňajúcich právnu formu lízingu</w:t>
      </w:r>
      <w:r w:rsidRPr="004941FB">
        <w:t>.</w:t>
      </w:r>
    </w:p>
    <w:p w14:paraId="5BB92202" w14:textId="4911E6E2" w:rsidR="004941FB" w:rsidRDefault="009805BF" w:rsidP="009805BF">
      <w:pPr>
        <w:pStyle w:val="Considrant"/>
      </w:pPr>
      <w:r w:rsidRPr="004941FB">
        <w:t>Štandard IFRS 17 poskytuje komplexný prístup</w:t>
      </w:r>
      <w:r w:rsidR="004941FB">
        <w:t xml:space="preserve"> k </w:t>
      </w:r>
      <w:r w:rsidRPr="004941FB">
        <w:t>účtovaniu poistných zmlúv. Cieľom štandardu IFRS 17 je zabezpečiť, aby spoločnosť vo svojej účtovnej závierke poskytovala relevantné informácie, ktoré verne reprezentujú poistné zmluvy. Uvedené informácie poskytujú solídny základ pre používateľov účtovnej závierky na posúdenie účinku, ktorý majú poistné zmluvy na finančnú situáciu, finančnú výkonnosť</w:t>
      </w:r>
      <w:r w:rsidR="004941FB">
        <w:t xml:space="preserve"> a </w:t>
      </w:r>
      <w:r w:rsidRPr="004941FB">
        <w:t>peňažné toky spoločnosti</w:t>
      </w:r>
      <w:r w:rsidR="004941FB">
        <w:t>.</w:t>
      </w:r>
    </w:p>
    <w:p w14:paraId="74EBB65C" w14:textId="184747D2" w:rsidR="004941FB" w:rsidRDefault="009805BF" w:rsidP="009805BF">
      <w:pPr>
        <w:pStyle w:val="Considrant"/>
      </w:pPr>
      <w:r w:rsidRPr="004941FB">
        <w:t>Štandard IFRS 17 sa uplatňuje na poistné zmluvy, zaistné zmluvy, ako aj na investičné zmluvy</w:t>
      </w:r>
      <w:r w:rsidR="004941FB">
        <w:t xml:space="preserve"> s </w:t>
      </w:r>
      <w:r w:rsidRPr="004941FB">
        <w:t>prvkami voliteľnosti plnenia.</w:t>
      </w:r>
      <w:r w:rsidR="004941FB">
        <w:t xml:space="preserve"> V </w:t>
      </w:r>
      <w:r w:rsidRPr="004941FB">
        <w:t>rámci Únie existuje mnoho rôznych zmlúv</w:t>
      </w:r>
      <w:r w:rsidR="004941FB">
        <w:t xml:space="preserve"> </w:t>
      </w:r>
      <w:r w:rsidR="004941FB">
        <w:lastRenderedPageBreak/>
        <w:t>o </w:t>
      </w:r>
      <w:r w:rsidRPr="004941FB">
        <w:t>životnom poistení</w:t>
      </w:r>
      <w:r w:rsidR="004941FB">
        <w:t xml:space="preserve"> a </w:t>
      </w:r>
      <w:r w:rsidRPr="004941FB">
        <w:t>životnom sporení, pri ktorých sa najlepší odhad celkového záväzku pohybuje približne na úrovni 5,9 bilióna EUR (bez zmlúv unit-linked poistenia).</w:t>
      </w:r>
      <w:r w:rsidR="004941FB">
        <w:t xml:space="preserve"> V </w:t>
      </w:r>
      <w:r w:rsidRPr="004941FB">
        <w:t>niekoľkých členských štátoch obsahujú niektoré</w:t>
      </w:r>
      <w:r w:rsidR="004941FB">
        <w:t xml:space="preserve"> z </w:t>
      </w:r>
      <w:r w:rsidRPr="004941FB">
        <w:t>týchto zmlúv prvky priamej účasti</w:t>
      </w:r>
      <w:r w:rsidR="004941FB">
        <w:t xml:space="preserve"> a </w:t>
      </w:r>
      <w:r w:rsidRPr="004941FB">
        <w:t>prvky voliteľnosti plnenia, ktoré umožňujú rozložiť riziká</w:t>
      </w:r>
      <w:r w:rsidR="004941FB">
        <w:t xml:space="preserve"> a </w:t>
      </w:r>
      <w:r w:rsidRPr="004941FB">
        <w:t>peňažné toky medzi rôzne generácie poistníkov</w:t>
      </w:r>
      <w:r w:rsidR="004941FB">
        <w:t>.</w:t>
      </w:r>
    </w:p>
    <w:p w14:paraId="2B6A43F9" w14:textId="08E095B9" w:rsidR="009805BF" w:rsidRPr="004941FB" w:rsidRDefault="009805BF" w:rsidP="009805BF">
      <w:pPr>
        <w:pStyle w:val="Considrant"/>
        <w:rPr>
          <w:szCs w:val="24"/>
        </w:rPr>
      </w:pPr>
      <w:r w:rsidRPr="004941FB">
        <w:t>Vo viacerých členských štátoch sa zmluvy</w:t>
      </w:r>
      <w:r w:rsidR="004941FB">
        <w:t xml:space="preserve"> o </w:t>
      </w:r>
      <w:r w:rsidRPr="004941FB">
        <w:t>životnom poistení spravujú aj naprieč generáciami</w:t>
      </w:r>
      <w:r w:rsidR="004941FB">
        <w:t xml:space="preserve"> s </w:t>
      </w:r>
      <w:r w:rsidRPr="004941FB">
        <w:t>cieľom zmierniť expozíciu voči úrokovému riziku</w:t>
      </w:r>
      <w:r w:rsidR="004941FB">
        <w:t xml:space="preserve"> a </w:t>
      </w:r>
      <w:r w:rsidRPr="004941FB">
        <w:t>riziku dlhovekosti, pričom obsahujú špecializovanú skupinu aktív, ktoré sú podkladovými aktívami pre poistné záväzky, no uvedené zmluvy nemajú prvky priamej účasti</w:t>
      </w:r>
      <w:r w:rsidR="004941FB">
        <w:t xml:space="preserve"> v </w:t>
      </w:r>
      <w:r w:rsidRPr="004941FB">
        <w:t>zmysle vymedzenia</w:t>
      </w:r>
      <w:r w:rsidR="004941FB">
        <w:t xml:space="preserve"> v </w:t>
      </w:r>
      <w:r w:rsidRPr="004941FB">
        <w:t>štandarde IFRS 17. Pri niektorých</w:t>
      </w:r>
      <w:r w:rsidR="004941FB">
        <w:t xml:space="preserve"> z </w:t>
      </w:r>
      <w:r w:rsidRPr="004941FB">
        <w:t>uvedených zmlúv sa</w:t>
      </w:r>
      <w:r w:rsidR="004941FB">
        <w:t xml:space="preserve"> v </w:t>
      </w:r>
      <w:r w:rsidRPr="004941FB">
        <w:t>prípade splnenia požiadaviek smernice Európskeho parlamentu</w:t>
      </w:r>
      <w:r w:rsidR="004941FB">
        <w:t xml:space="preserve"> a </w:t>
      </w:r>
      <w:r w:rsidRPr="004941FB">
        <w:t>Rady 2009/138/ES</w:t>
      </w:r>
      <w:r w:rsidRPr="004941FB">
        <w:rPr>
          <w:rStyle w:val="Odkaznapoznmkupodiarou"/>
        </w:rPr>
        <w:footnoteReference w:id="3"/>
      </w:r>
      <w:r w:rsidR="004941FB">
        <w:t xml:space="preserve"> a </w:t>
      </w:r>
      <w:r w:rsidRPr="004941FB">
        <w:t>po</w:t>
      </w:r>
      <w:r w:rsidR="00BB352C" w:rsidRPr="004941FB">
        <w:t> </w:t>
      </w:r>
      <w:r w:rsidRPr="004941FB">
        <w:t>tom, ako boli schválené orgánmi dohľadu nad poisťovníctvom, môže uplatniť na</w:t>
      </w:r>
      <w:r w:rsidR="00BB352C" w:rsidRPr="004941FB">
        <w:t> </w:t>
      </w:r>
      <w:r w:rsidRPr="004941FB">
        <w:t>výpočet ich pomeru na základe smernice Solventnosť II párovacia korekcia.</w:t>
      </w:r>
    </w:p>
    <w:p w14:paraId="26BE802D" w14:textId="30E10486" w:rsidR="009805BF" w:rsidRPr="004941FB" w:rsidRDefault="009805BF" w:rsidP="009805BF">
      <w:pPr>
        <w:pStyle w:val="Considrant"/>
      </w:pPr>
      <w:r w:rsidRPr="004941FB">
        <w:t>Únia môže prijať štandard IFRS 17</w:t>
      </w:r>
      <w:r w:rsidR="004941FB">
        <w:t xml:space="preserve"> v </w:t>
      </w:r>
      <w:r w:rsidRPr="004941FB">
        <w:t>podobe,</w:t>
      </w:r>
      <w:r w:rsidR="004941FB">
        <w:t xml:space="preserve"> v </w:t>
      </w:r>
      <w:r w:rsidRPr="004941FB">
        <w:t>akej ho vydala Rada IASB, len vtedy, ak spĺňa kritériá na prijatie stanovené</w:t>
      </w:r>
      <w:r w:rsidR="004941FB">
        <w:t xml:space="preserve"> v </w:t>
      </w:r>
      <w:r w:rsidRPr="004941FB">
        <w:t>článku 3 ods. 2 nariadenia (ES) č. 1606/2002.</w:t>
      </w:r>
    </w:p>
    <w:p w14:paraId="089348FB" w14:textId="6D47E0CF" w:rsidR="004941FB" w:rsidRDefault="009805BF" w:rsidP="009805BF">
      <w:pPr>
        <w:pStyle w:val="Considrant"/>
      </w:pPr>
      <w:r w:rsidRPr="004941FB">
        <w:t>V poradnom stanovisku Európskej poradnej skupiny pre finančné výkazníctvo (EFRAG) sa dospelo</w:t>
      </w:r>
      <w:r w:rsidR="004941FB">
        <w:t xml:space="preserve"> k </w:t>
      </w:r>
      <w:r w:rsidRPr="004941FB">
        <w:t>záveru, že štandard IFRS 17 spĺňa kritériá na prijatie stanovené</w:t>
      </w:r>
      <w:r w:rsidR="004941FB">
        <w:t xml:space="preserve"> v </w:t>
      </w:r>
      <w:r w:rsidRPr="004941FB">
        <w:t>článku 3 ods. 2 nariadenia (ES) č. 1606/2002. Skupina EFRAG sa však nedopracovala ku konsenzu</w:t>
      </w:r>
      <w:r w:rsidR="004941FB">
        <w:t xml:space="preserve"> o </w:t>
      </w:r>
      <w:r w:rsidRPr="004941FB">
        <w:t>tom, či zoskupovanie medzigeneračne mutualizovaných zmlúv so spárovanými peňažnými tokmi do ročných zostáv spĺňa technické kritériá na</w:t>
      </w:r>
      <w:r w:rsidR="00BB352C" w:rsidRPr="004941FB">
        <w:t> </w:t>
      </w:r>
      <w:r w:rsidRPr="004941FB">
        <w:t>schválenie, alebo či prispieva</w:t>
      </w:r>
      <w:r w:rsidR="004941FB">
        <w:t xml:space="preserve"> k </w:t>
      </w:r>
      <w:r w:rsidRPr="004941FB">
        <w:t>európskemu verejnému blahu. Je to</w:t>
      </w:r>
      <w:r w:rsidR="004941FB">
        <w:t xml:space="preserve"> v </w:t>
      </w:r>
      <w:r w:rsidRPr="004941FB">
        <w:t>súlade</w:t>
      </w:r>
      <w:r w:rsidR="004941FB">
        <w:t xml:space="preserve"> s </w:t>
      </w:r>
      <w:r w:rsidRPr="004941FB">
        <w:t>názormi, ktoré vyjadrili zainteresované strany na poradné stanovisko EFRAG-u,</w:t>
      </w:r>
      <w:r w:rsidR="004941FB">
        <w:t xml:space="preserve"> a s </w:t>
      </w:r>
      <w:r w:rsidRPr="004941FB">
        <w:t>názormi odborníkov</w:t>
      </w:r>
      <w:r w:rsidR="004941FB">
        <w:t xml:space="preserve"> z </w:t>
      </w:r>
      <w:r w:rsidRPr="004941FB">
        <w:t>členských štátov</w:t>
      </w:r>
      <w:r w:rsidR="004941FB">
        <w:t xml:space="preserve"> v </w:t>
      </w:r>
      <w:r w:rsidRPr="004941FB">
        <w:t>rámci Výboru pre účtovné predpisy</w:t>
      </w:r>
      <w:r w:rsidR="004941FB">
        <w:t>.</w:t>
      </w:r>
    </w:p>
    <w:p w14:paraId="6470F92F" w14:textId="017AC6DF" w:rsidR="009805BF" w:rsidRPr="004941FB" w:rsidRDefault="009805BF" w:rsidP="009805BF">
      <w:pPr>
        <w:pStyle w:val="Considrant"/>
      </w:pPr>
      <w:r w:rsidRPr="004941FB">
        <w:t>Spoločnosti</w:t>
      </w:r>
      <w:r w:rsidR="004941FB">
        <w:t xml:space="preserve"> z </w:t>
      </w:r>
      <w:r w:rsidRPr="004941FB">
        <w:t>Únie by mali mať možnosť uplatňovať štandard IFRS 17</w:t>
      </w:r>
      <w:r w:rsidR="004941FB">
        <w:t xml:space="preserve"> v </w:t>
      </w:r>
      <w:r w:rsidRPr="004941FB">
        <w:t>podobe,</w:t>
      </w:r>
      <w:r w:rsidR="004941FB">
        <w:t xml:space="preserve"> v </w:t>
      </w:r>
      <w:r w:rsidRPr="004941FB">
        <w:t>akej ho vydala Rada IASB,</w:t>
      </w:r>
      <w:r w:rsidR="004941FB">
        <w:t xml:space="preserve"> s </w:t>
      </w:r>
      <w:r w:rsidRPr="004941FB">
        <w:t>cieľom uľahčiť kótovanie</w:t>
      </w:r>
      <w:r w:rsidR="004941FB">
        <w:t xml:space="preserve"> v </w:t>
      </w:r>
      <w:r w:rsidRPr="004941FB">
        <w:t>tretích krajinách alebo splniť očakávania globálnych investorov.</w:t>
      </w:r>
    </w:p>
    <w:p w14:paraId="254C4F3B" w14:textId="5292D6C1" w:rsidR="004941FB" w:rsidRDefault="009805BF" w:rsidP="009805BF">
      <w:pPr>
        <w:pStyle w:val="Considrant"/>
      </w:pPr>
      <w:r w:rsidRPr="004941FB">
        <w:t>Požiadavka na ročnú zostavu ako jednotku zúčtovania pre skupiny poistných</w:t>
      </w:r>
      <w:r w:rsidR="004941FB">
        <w:t xml:space="preserve"> a </w:t>
      </w:r>
      <w:r w:rsidRPr="004941FB">
        <w:t>investičných zmlúv však nie vždy odzrkadľuje obchodný model ani právne</w:t>
      </w:r>
      <w:r w:rsidR="004941FB">
        <w:t xml:space="preserve"> a </w:t>
      </w:r>
      <w:r w:rsidRPr="004941FB">
        <w:t>zmluvné prvky medzigeneračne mutualizovaných zmlúv so spárovanými peňažnými tokmi uvedených</w:t>
      </w:r>
      <w:r w:rsidR="004941FB">
        <w:t xml:space="preserve"> v </w:t>
      </w:r>
      <w:r w:rsidRPr="004941FB">
        <w:t>odôvodneniach 5</w:t>
      </w:r>
      <w:r w:rsidR="004941FB">
        <w:t xml:space="preserve"> a </w:t>
      </w:r>
      <w:r w:rsidRPr="004941FB">
        <w:t>6. Uvedené zmluvy predstavujú viac než 70</w:t>
      </w:r>
      <w:r w:rsidR="004941FB">
        <w:t> %</w:t>
      </w:r>
      <w:r w:rsidRPr="004941FB">
        <w:t xml:space="preserve"> celkových záväzkov</w:t>
      </w:r>
      <w:r w:rsidR="004941FB">
        <w:t xml:space="preserve"> v </w:t>
      </w:r>
      <w:r w:rsidRPr="004941FB">
        <w:t>oblasti životného poistenia</w:t>
      </w:r>
      <w:r w:rsidR="004941FB">
        <w:t xml:space="preserve"> v </w:t>
      </w:r>
      <w:r w:rsidRPr="004941FB">
        <w:t>Únii. Požiadavkou na ročnú zostavu, ktorá sa uplatňuje na takéto zmluvy, sa nie vždy dosiahne priaznivá rovnováha medzi nákladmi</w:t>
      </w:r>
      <w:r w:rsidR="004941FB">
        <w:t xml:space="preserve"> a </w:t>
      </w:r>
      <w:r w:rsidRPr="004941FB">
        <w:t>prínosmi</w:t>
      </w:r>
      <w:r w:rsidR="004941FB">
        <w:t>.</w:t>
      </w:r>
    </w:p>
    <w:p w14:paraId="73FA92F3" w14:textId="48593673" w:rsidR="009805BF" w:rsidRPr="004941FB" w:rsidRDefault="009805BF" w:rsidP="009805BF">
      <w:pPr>
        <w:pStyle w:val="Considrant"/>
      </w:pPr>
      <w:r w:rsidRPr="004941FB">
        <w:t>Vzhľadom na globálny kontext štandardov IFRS na kapitálových trhoch by sa odchýlky od IFRS mali obmedzovať na výnimočné okolnosti</w:t>
      </w:r>
      <w:r w:rsidR="004941FB">
        <w:t xml:space="preserve"> a </w:t>
      </w:r>
      <w:r w:rsidRPr="004941FB">
        <w:t>ich rozsah by mal byť len malý.</w:t>
      </w:r>
    </w:p>
    <w:p w14:paraId="6EE4608C" w14:textId="0A4FEBC5" w:rsidR="009805BF" w:rsidRPr="004941FB" w:rsidRDefault="009805BF" w:rsidP="009805BF">
      <w:pPr>
        <w:pStyle w:val="Considrant"/>
      </w:pPr>
      <w:r w:rsidRPr="004941FB">
        <w:t>Bez ohľadu na vymedzenie skupiny poistných zmlúv uvedené</w:t>
      </w:r>
      <w:r w:rsidR="004941FB">
        <w:t xml:space="preserve"> v </w:t>
      </w:r>
      <w:r w:rsidRPr="004941FB">
        <w:t>dodatku A prílohy</w:t>
      </w:r>
      <w:r w:rsidR="004941FB">
        <w:t xml:space="preserve"> k </w:t>
      </w:r>
      <w:r w:rsidRPr="004941FB">
        <w:t>tomuto nariadeniu by preto spoločnosti</w:t>
      </w:r>
      <w:r w:rsidR="004941FB">
        <w:t xml:space="preserve"> z </w:t>
      </w:r>
      <w:r w:rsidRPr="004941FB">
        <w:t>Únie mali mať možnosť vyňať medzigeneračne mutualizované zmluvy so spárovanými peňažnými tokmi</w:t>
      </w:r>
      <w:r w:rsidR="004941FB">
        <w:t xml:space="preserve"> z </w:t>
      </w:r>
      <w:r w:rsidRPr="004941FB">
        <w:t>požiadavky na ročnú zostavu podľa štandardu IFRS 17.</w:t>
      </w:r>
    </w:p>
    <w:p w14:paraId="4A58C6D5" w14:textId="63164F2E" w:rsidR="009805BF" w:rsidRPr="004941FB" w:rsidRDefault="009805BF" w:rsidP="009805BF">
      <w:pPr>
        <w:pStyle w:val="Considrant"/>
      </w:pPr>
      <w:r w:rsidRPr="004941FB">
        <w:t>Investori by mali byť schopní pochopiť, či spoločnosť uplatnila výnimku</w:t>
      </w:r>
      <w:r w:rsidR="004941FB">
        <w:t xml:space="preserve"> z </w:t>
      </w:r>
      <w:r w:rsidRPr="004941FB">
        <w:t>požiadavky na ročnú zostavu na skupiny zmlúv. Spoločnosť by preto mala</w:t>
      </w:r>
      <w:r w:rsidR="004941FB">
        <w:t xml:space="preserve"> v </w:t>
      </w:r>
      <w:r w:rsidRPr="004941FB">
        <w:t>súlade</w:t>
      </w:r>
      <w:r w:rsidR="004941FB">
        <w:t xml:space="preserve"> s </w:t>
      </w:r>
      <w:r w:rsidRPr="004941FB">
        <w:t xml:space="preserve">medzinárodným účtovným štandardom 1 </w:t>
      </w:r>
      <w:r w:rsidRPr="00FE53D7">
        <w:rPr>
          <w:i/>
        </w:rPr>
        <w:t>Prezentácia účtovnej závierky</w:t>
      </w:r>
      <w:r w:rsidRPr="004941FB">
        <w:t xml:space="preserve"> zverejniť</w:t>
      </w:r>
      <w:r w:rsidR="004941FB">
        <w:t xml:space="preserve"> v </w:t>
      </w:r>
      <w:r w:rsidRPr="004941FB">
        <w:t xml:space="preserve">poznámkach ku svojej účtovnej závierke použitie výnimky ako významnej účtovnej </w:t>
      </w:r>
      <w:r w:rsidRPr="004941FB">
        <w:lastRenderedPageBreak/>
        <w:t>politiky</w:t>
      </w:r>
      <w:r w:rsidR="004941FB">
        <w:t xml:space="preserve"> a </w:t>
      </w:r>
      <w:r w:rsidRPr="004941FB">
        <w:t>poskytnúť ďalšie vysvetľujúce informácie, napríklad pri ktorých portfóliách uplatnila túto výnimku. Nemalo by to znamenať kvantitatívne posúdenie vplyvu používania nepovinnej výnimky</w:t>
      </w:r>
      <w:r w:rsidR="004941FB">
        <w:t xml:space="preserve"> z </w:t>
      </w:r>
      <w:r w:rsidRPr="004941FB">
        <w:t>požiadavky na ročnú zostavu.</w:t>
      </w:r>
    </w:p>
    <w:p w14:paraId="4AD0A97A" w14:textId="671BD6F0" w:rsidR="009805BF" w:rsidRPr="004941FB" w:rsidRDefault="009805BF" w:rsidP="009805BF">
      <w:pPr>
        <w:pStyle w:val="Considrant"/>
      </w:pPr>
      <w:r w:rsidRPr="004941FB">
        <w:t>Komisia by mala do 31</w:t>
      </w:r>
      <w:r w:rsidR="004941FB">
        <w:t>. decembra</w:t>
      </w:r>
      <w:r w:rsidRPr="004941FB">
        <w:t xml:space="preserve"> 2027 preskúmať výnimku</w:t>
      </w:r>
      <w:r w:rsidR="004941FB">
        <w:t xml:space="preserve"> z </w:t>
      </w:r>
      <w:r w:rsidRPr="004941FB">
        <w:t>požiadavky na ročnú zostavu pre medzigeneračne mutualizované zmluvy so spárovanými peňažnými tokmi, pričom zohľadní preskúmanie Rady IASB, ku ktorému dôjde po zavedení štandardu IFRS 17.</w:t>
      </w:r>
    </w:p>
    <w:p w14:paraId="42028DD4" w14:textId="77777777" w:rsidR="009805BF" w:rsidRPr="004941FB" w:rsidRDefault="009805BF" w:rsidP="009805BF">
      <w:pPr>
        <w:pStyle w:val="Considrant"/>
      </w:pPr>
      <w:r w:rsidRPr="004941FB">
        <w:t>Nariadenie (ES) č. 1126/2008 by sa preto malo zodpovedajúcim spôsobom zmeniť.</w:t>
      </w:r>
    </w:p>
    <w:p w14:paraId="7707D60E" w14:textId="255BB517" w:rsidR="009805BF" w:rsidRPr="004941FB" w:rsidRDefault="009805BF" w:rsidP="009805BF">
      <w:pPr>
        <w:pStyle w:val="Considrant"/>
      </w:pPr>
      <w:r w:rsidRPr="004941FB">
        <w:t>Opatrenia stanovené</w:t>
      </w:r>
      <w:r w:rsidR="004941FB">
        <w:t xml:space="preserve"> v </w:t>
      </w:r>
      <w:r w:rsidRPr="004941FB">
        <w:t>tomto nariadení sú</w:t>
      </w:r>
      <w:r w:rsidR="004941FB">
        <w:t xml:space="preserve"> v </w:t>
      </w:r>
      <w:r w:rsidRPr="004941FB">
        <w:t>súlade so stanoviskom</w:t>
      </w:r>
      <w:r w:rsidRPr="004941FB">
        <w:rPr>
          <w:rStyle w:val="Marker"/>
        </w:rPr>
        <w:t xml:space="preserve"> </w:t>
      </w:r>
      <w:r w:rsidRPr="004941FB">
        <w:t>Výboru pre</w:t>
      </w:r>
      <w:r w:rsidR="00BB352C" w:rsidRPr="004941FB">
        <w:t> </w:t>
      </w:r>
      <w:r w:rsidRPr="004941FB">
        <w:t>účtovné predpisy,</w:t>
      </w:r>
    </w:p>
    <w:p w14:paraId="02ABC157" w14:textId="77777777" w:rsidR="009805BF" w:rsidRPr="004941FB" w:rsidRDefault="009805BF" w:rsidP="001C3314">
      <w:pPr>
        <w:pStyle w:val="Formuledadoption"/>
      </w:pPr>
      <w:r w:rsidRPr="004941FB">
        <w:t>PRIJALA TOTO NARIADENIE:</w:t>
      </w:r>
    </w:p>
    <w:p w14:paraId="1224C99A" w14:textId="77777777" w:rsidR="009805BF" w:rsidRPr="00FE53D7" w:rsidRDefault="009805BF" w:rsidP="001C3314">
      <w:pPr>
        <w:pStyle w:val="Titrearticle"/>
      </w:pPr>
      <w:r w:rsidRPr="00FE53D7">
        <w:t>Článok 1</w:t>
      </w:r>
    </w:p>
    <w:p w14:paraId="7F26C639" w14:textId="74179195" w:rsidR="004941FB" w:rsidRDefault="009805BF" w:rsidP="00F9728E">
      <w:pPr>
        <w:pStyle w:val="NumPar1"/>
        <w:numPr>
          <w:ilvl w:val="0"/>
          <w:numId w:val="5"/>
        </w:numPr>
        <w:ind w:hanging="566"/>
      </w:pPr>
      <w:r w:rsidRPr="004941FB">
        <w:t>Príloha</w:t>
      </w:r>
      <w:r w:rsidR="004941FB">
        <w:t xml:space="preserve"> k </w:t>
      </w:r>
      <w:r w:rsidRPr="004941FB">
        <w:t>nariadeniu (ES) č. 1126/2008 sa mení takto</w:t>
      </w:r>
      <w:r w:rsidR="004941FB">
        <w:t>:</w:t>
      </w:r>
    </w:p>
    <w:p w14:paraId="23ED5F6C" w14:textId="33FC6C6F" w:rsidR="009805BF" w:rsidRPr="004941FB" w:rsidRDefault="004941FB" w:rsidP="004941FB">
      <w:pPr>
        <w:pStyle w:val="Point1"/>
      </w:pPr>
      <w:r w:rsidRPr="004941FB">
        <w:t>a)</w:t>
      </w:r>
      <w:r w:rsidRPr="004941FB">
        <w:tab/>
      </w:r>
      <w:r w:rsidR="009805BF" w:rsidRPr="004941FB">
        <w:t xml:space="preserve">Medzinárodný štandard finančného výkazníctva (IFRS) 17 </w:t>
      </w:r>
      <w:r w:rsidR="009805BF" w:rsidRPr="00FE53D7">
        <w:rPr>
          <w:i/>
        </w:rPr>
        <w:t>Poistné zmluvy</w:t>
      </w:r>
      <w:r w:rsidR="009805BF" w:rsidRPr="004941FB">
        <w:t xml:space="preserve"> sa vkladá</w:t>
      </w:r>
      <w:r>
        <w:t xml:space="preserve"> v </w:t>
      </w:r>
      <w:r w:rsidR="009805BF" w:rsidRPr="004941FB">
        <w:t>súlade</w:t>
      </w:r>
      <w:r>
        <w:t xml:space="preserve"> s </w:t>
      </w:r>
      <w:r w:rsidR="009805BF" w:rsidRPr="004941FB">
        <w:t>prílohou</w:t>
      </w:r>
      <w:r>
        <w:t xml:space="preserve"> k </w:t>
      </w:r>
      <w:r w:rsidR="009805BF" w:rsidRPr="004941FB">
        <w:t>tomuto nariadeniu.</w:t>
      </w:r>
    </w:p>
    <w:p w14:paraId="647271B2" w14:textId="78E2B0BC" w:rsidR="009805BF" w:rsidRPr="004941FB" w:rsidRDefault="004941FB" w:rsidP="004941FB">
      <w:pPr>
        <w:pStyle w:val="Point1"/>
      </w:pPr>
      <w:r w:rsidRPr="004941FB">
        <w:t>b)</w:t>
      </w:r>
      <w:r w:rsidRPr="004941FB">
        <w:tab/>
      </w:r>
      <w:r w:rsidR="009805BF" w:rsidRPr="004941FB">
        <w:t xml:space="preserve">Štandardy IFRS 1 </w:t>
      </w:r>
      <w:r w:rsidR="009805BF" w:rsidRPr="00FE53D7">
        <w:rPr>
          <w:i/>
        </w:rPr>
        <w:t>Prvé uplatnenie medzinárodných štandardov finančného výkazníctva</w:t>
      </w:r>
      <w:r w:rsidR="009805BF" w:rsidRPr="004941FB">
        <w:t xml:space="preserve">, IFRS 3 </w:t>
      </w:r>
      <w:r w:rsidR="009805BF" w:rsidRPr="00FE53D7">
        <w:rPr>
          <w:i/>
        </w:rPr>
        <w:t>Podnikové kombinácie</w:t>
      </w:r>
      <w:r w:rsidR="009805BF" w:rsidRPr="004941FB">
        <w:t xml:space="preserve">, IFRS 5 </w:t>
      </w:r>
      <w:r w:rsidR="009805BF" w:rsidRPr="00FE53D7">
        <w:rPr>
          <w:i/>
        </w:rPr>
        <w:t>Dlhodobý majetok držaný na predaj</w:t>
      </w:r>
      <w:r w:rsidRPr="00FE53D7">
        <w:rPr>
          <w:i/>
        </w:rPr>
        <w:t xml:space="preserve"> a </w:t>
      </w:r>
      <w:r w:rsidR="009805BF" w:rsidRPr="00FE53D7">
        <w:rPr>
          <w:i/>
        </w:rPr>
        <w:t>ukončenie činností</w:t>
      </w:r>
      <w:r w:rsidR="009805BF" w:rsidRPr="004941FB">
        <w:t xml:space="preserve">, IFRS 7 </w:t>
      </w:r>
      <w:r w:rsidR="009805BF" w:rsidRPr="00FE53D7">
        <w:rPr>
          <w:i/>
        </w:rPr>
        <w:t>Finančné nástroje: zverejňovanie</w:t>
      </w:r>
      <w:r w:rsidR="009805BF" w:rsidRPr="004941FB">
        <w:t xml:space="preserve">, IFRS 9 </w:t>
      </w:r>
      <w:r w:rsidR="009805BF" w:rsidRPr="00FE53D7">
        <w:rPr>
          <w:i/>
        </w:rPr>
        <w:t>Finančné nástroje</w:t>
      </w:r>
      <w:r w:rsidR="009805BF" w:rsidRPr="004941FB">
        <w:t xml:space="preserve">, IFRS 15 </w:t>
      </w:r>
      <w:r w:rsidR="009805BF" w:rsidRPr="00FE53D7">
        <w:rPr>
          <w:i/>
        </w:rPr>
        <w:t>Výnosy zo zmlúv so zákazníkmi</w:t>
      </w:r>
      <w:r w:rsidR="009805BF" w:rsidRPr="004941FB">
        <w:t xml:space="preserve">, medzinárodný účtovný štandard (IAS) 1 </w:t>
      </w:r>
      <w:r w:rsidR="009805BF" w:rsidRPr="00FE53D7">
        <w:rPr>
          <w:i/>
        </w:rPr>
        <w:t>Prezentácia účtovnej závierky</w:t>
      </w:r>
      <w:r w:rsidR="009805BF" w:rsidRPr="004941FB">
        <w:t xml:space="preserve">, IAS 7 </w:t>
      </w:r>
      <w:r w:rsidR="009805BF" w:rsidRPr="00FE53D7">
        <w:rPr>
          <w:i/>
        </w:rPr>
        <w:t>Výkaz</w:t>
      </w:r>
      <w:r w:rsidRPr="00FE53D7">
        <w:rPr>
          <w:i/>
        </w:rPr>
        <w:t xml:space="preserve"> o </w:t>
      </w:r>
      <w:r w:rsidR="009805BF" w:rsidRPr="00FE53D7">
        <w:rPr>
          <w:i/>
        </w:rPr>
        <w:t>peňažných tokoch</w:t>
      </w:r>
      <w:r w:rsidR="009805BF" w:rsidRPr="004941FB">
        <w:t xml:space="preserve">, IAS 16 </w:t>
      </w:r>
      <w:r w:rsidR="009805BF" w:rsidRPr="00FE53D7">
        <w:rPr>
          <w:i/>
        </w:rPr>
        <w:t>Nehnuteľnosti, stroje</w:t>
      </w:r>
      <w:r w:rsidRPr="00FE53D7">
        <w:rPr>
          <w:i/>
        </w:rPr>
        <w:t xml:space="preserve"> a </w:t>
      </w:r>
      <w:r w:rsidR="009805BF" w:rsidRPr="00FE53D7">
        <w:rPr>
          <w:i/>
        </w:rPr>
        <w:t>zariadenia</w:t>
      </w:r>
      <w:r w:rsidR="009805BF" w:rsidRPr="004941FB">
        <w:t xml:space="preserve">, IAS 19 </w:t>
      </w:r>
      <w:r w:rsidR="009805BF" w:rsidRPr="00FE53D7">
        <w:rPr>
          <w:i/>
        </w:rPr>
        <w:t>Zamestnanecké požitky</w:t>
      </w:r>
      <w:r w:rsidR="009805BF" w:rsidRPr="004941FB">
        <w:t xml:space="preserve">, IAS 28 </w:t>
      </w:r>
      <w:r w:rsidR="009805BF" w:rsidRPr="00FE53D7">
        <w:rPr>
          <w:i/>
        </w:rPr>
        <w:t>Investície do pridružených podnikov</w:t>
      </w:r>
      <w:r w:rsidRPr="00FE53D7">
        <w:rPr>
          <w:i/>
        </w:rPr>
        <w:t xml:space="preserve"> a </w:t>
      </w:r>
      <w:r w:rsidR="009805BF" w:rsidRPr="00FE53D7">
        <w:rPr>
          <w:i/>
        </w:rPr>
        <w:t>spoločných podnikov</w:t>
      </w:r>
      <w:r w:rsidR="009805BF" w:rsidRPr="004941FB">
        <w:t xml:space="preserve">, IAS 32 </w:t>
      </w:r>
      <w:r w:rsidR="009805BF" w:rsidRPr="00FE53D7">
        <w:rPr>
          <w:i/>
        </w:rPr>
        <w:t>Finančné nástroje: prezentácia</w:t>
      </w:r>
      <w:r w:rsidR="009805BF" w:rsidRPr="004941FB">
        <w:t xml:space="preserve">, IAS 36 </w:t>
      </w:r>
      <w:r w:rsidR="009805BF" w:rsidRPr="00FE53D7">
        <w:rPr>
          <w:i/>
        </w:rPr>
        <w:t>Zníženie hodnoty majetku</w:t>
      </w:r>
      <w:r w:rsidR="009805BF" w:rsidRPr="004941FB">
        <w:t>, IAS 37</w:t>
      </w:r>
      <w:r w:rsidR="009805BF" w:rsidRPr="004941FB">
        <w:rPr>
          <w:szCs w:val="24"/>
        </w:rPr>
        <w:t xml:space="preserve"> </w:t>
      </w:r>
      <w:r w:rsidR="009805BF" w:rsidRPr="00FE53D7">
        <w:rPr>
          <w:i/>
        </w:rPr>
        <w:t>Rezervy, podmienené záväzky</w:t>
      </w:r>
      <w:r w:rsidRPr="00FE53D7">
        <w:rPr>
          <w:i/>
        </w:rPr>
        <w:t xml:space="preserve"> a </w:t>
      </w:r>
      <w:r w:rsidR="009805BF" w:rsidRPr="00FE53D7">
        <w:rPr>
          <w:i/>
        </w:rPr>
        <w:t>podmienené aktíva</w:t>
      </w:r>
      <w:r w:rsidR="009805BF" w:rsidRPr="004941FB">
        <w:t xml:space="preserve">, IAS 38 </w:t>
      </w:r>
      <w:r w:rsidR="009805BF" w:rsidRPr="00FE53D7">
        <w:rPr>
          <w:i/>
        </w:rPr>
        <w:t>Nehmotný majetok</w:t>
      </w:r>
      <w:r w:rsidR="009805BF" w:rsidRPr="004941FB">
        <w:t xml:space="preserve">, IAS 40 </w:t>
      </w:r>
      <w:r w:rsidR="009805BF" w:rsidRPr="00FE53D7">
        <w:rPr>
          <w:i/>
        </w:rPr>
        <w:t>Investičný nehnuteľný majetok</w:t>
      </w:r>
      <w:r>
        <w:t xml:space="preserve"> a </w:t>
      </w:r>
      <w:r w:rsidR="009805BF" w:rsidRPr="004941FB">
        <w:t xml:space="preserve">interpretácia Stáleho interpretačného výboru SIC-27 </w:t>
      </w:r>
      <w:r w:rsidR="009805BF" w:rsidRPr="00FE53D7">
        <w:rPr>
          <w:i/>
        </w:rPr>
        <w:t>Vyhodnocovanie podstaty transakcií zahŕňajúcich právnu formu lízingu</w:t>
      </w:r>
      <w:r w:rsidR="009805BF" w:rsidRPr="004941FB">
        <w:t xml:space="preserve"> sa menia</w:t>
      </w:r>
      <w:r>
        <w:t xml:space="preserve"> v </w:t>
      </w:r>
      <w:r w:rsidR="009805BF" w:rsidRPr="004941FB">
        <w:t>súlade so</w:t>
      </w:r>
      <w:r w:rsidR="00BB352C" w:rsidRPr="004941FB">
        <w:t> </w:t>
      </w:r>
      <w:r w:rsidR="009805BF" w:rsidRPr="004941FB">
        <w:t>štandardom IFRS 17, ako je uvedený</w:t>
      </w:r>
      <w:r>
        <w:t xml:space="preserve"> v </w:t>
      </w:r>
      <w:r w:rsidR="009805BF" w:rsidRPr="004941FB">
        <w:t>prílohe</w:t>
      </w:r>
      <w:r>
        <w:t xml:space="preserve"> k </w:t>
      </w:r>
      <w:r w:rsidR="009805BF" w:rsidRPr="004941FB">
        <w:t>tomuto nariadeniu.</w:t>
      </w:r>
    </w:p>
    <w:p w14:paraId="1580B41A" w14:textId="77777777" w:rsidR="009805BF" w:rsidRPr="00FE53D7" w:rsidRDefault="009805BF" w:rsidP="009805BF">
      <w:pPr>
        <w:pStyle w:val="Titrearticle"/>
      </w:pPr>
      <w:r w:rsidRPr="00FE53D7">
        <w:t>Článok 2</w:t>
      </w:r>
    </w:p>
    <w:p w14:paraId="0589F548" w14:textId="0FFE4C73" w:rsidR="009805BF" w:rsidRPr="004941FB" w:rsidRDefault="009805BF" w:rsidP="00F9728E">
      <w:pPr>
        <w:pStyle w:val="NumPar1"/>
        <w:numPr>
          <w:ilvl w:val="0"/>
          <w:numId w:val="4"/>
        </w:numPr>
        <w:ind w:left="851" w:hanging="567"/>
      </w:pPr>
      <w:r w:rsidRPr="004941FB">
        <w:t>Každá spoločnosť začne uplatňovať zmenu uvedenú</w:t>
      </w:r>
      <w:r w:rsidR="004941FB">
        <w:t xml:space="preserve"> v </w:t>
      </w:r>
      <w:r w:rsidRPr="004941FB">
        <w:t>článku 1 najneskôr od dátumu začiatku svojho prvého účtovného obdobia, ktoré sa začína 1</w:t>
      </w:r>
      <w:r w:rsidR="004941FB">
        <w:t>. januára</w:t>
      </w:r>
      <w:r w:rsidRPr="004941FB">
        <w:t xml:space="preserve"> 2023 alebo neskôr.</w:t>
      </w:r>
    </w:p>
    <w:p w14:paraId="1893889A" w14:textId="423262CE" w:rsidR="009805BF" w:rsidRPr="004941FB" w:rsidRDefault="009805BF" w:rsidP="009805BF">
      <w:pPr>
        <w:pStyle w:val="NumPar1"/>
        <w:tabs>
          <w:tab w:val="clear" w:pos="850"/>
          <w:tab w:val="num" w:pos="851"/>
        </w:tabs>
        <w:ind w:left="851" w:hanging="567"/>
      </w:pPr>
      <w:r w:rsidRPr="004941FB">
        <w:t>Odchylne od odseku 1 sa spoločnosť môže rozhodnúť, že nebude uplatňovať požiadavku stanovenú</w:t>
      </w:r>
      <w:r w:rsidR="004941FB">
        <w:t xml:space="preserve"> v </w:t>
      </w:r>
      <w:r w:rsidRPr="004941FB">
        <w:t>odseku 22 prílohy</w:t>
      </w:r>
      <w:r w:rsidR="004941FB">
        <w:t xml:space="preserve"> k </w:t>
      </w:r>
      <w:r w:rsidRPr="004941FB">
        <w:t>tomuto nariadeniu na:</w:t>
      </w:r>
    </w:p>
    <w:p w14:paraId="6EEC2D52" w14:textId="24865277" w:rsidR="009805BF" w:rsidRPr="004941FB" w:rsidRDefault="004941FB" w:rsidP="004941FB">
      <w:pPr>
        <w:pStyle w:val="Point1"/>
      </w:pPr>
      <w:r w:rsidRPr="004941FB">
        <w:t>a)</w:t>
      </w:r>
      <w:r w:rsidRPr="004941FB">
        <w:tab/>
      </w:r>
      <w:r w:rsidR="009805BF" w:rsidRPr="004941FB">
        <w:t>skupiny poistných zmlúv</w:t>
      </w:r>
      <w:r>
        <w:t xml:space="preserve"> s </w:t>
      </w:r>
      <w:r w:rsidR="009805BF" w:rsidRPr="004941FB">
        <w:t>prvkami priamej účasti</w:t>
      </w:r>
      <w:r>
        <w:t xml:space="preserve"> a </w:t>
      </w:r>
      <w:r w:rsidR="009805BF" w:rsidRPr="004941FB">
        <w:t>skupiny investičných zmlúv</w:t>
      </w:r>
      <w:r>
        <w:t xml:space="preserve"> s </w:t>
      </w:r>
      <w:r w:rsidR="009805BF" w:rsidRPr="004941FB">
        <w:t>prvkami voliteľnosti plnenia</w:t>
      </w:r>
      <w:r>
        <w:t xml:space="preserve"> v </w:t>
      </w:r>
      <w:r w:rsidR="009805BF" w:rsidRPr="004941FB">
        <w:t>zmysle vymedzenia</w:t>
      </w:r>
      <w:r>
        <w:t xml:space="preserve"> v </w:t>
      </w:r>
      <w:r w:rsidR="009805BF" w:rsidRPr="004941FB">
        <w:t>dodatku A prílohy</w:t>
      </w:r>
      <w:r>
        <w:t xml:space="preserve"> k </w:t>
      </w:r>
      <w:r w:rsidR="009805BF" w:rsidRPr="004941FB">
        <w:t>tomuto nariadeniu</w:t>
      </w:r>
      <w:r>
        <w:t xml:space="preserve"> a s </w:t>
      </w:r>
      <w:r w:rsidR="009805BF" w:rsidRPr="004941FB">
        <w:t>peňažnými tokmi, ktoré ovplyvňujú peňažné toky pre poistníkov iných zmlúv alebo sú nimi ovplyvnené, ako sa stanovuje</w:t>
      </w:r>
      <w:r>
        <w:t xml:space="preserve"> v </w:t>
      </w:r>
      <w:r w:rsidR="009805BF" w:rsidRPr="004941FB">
        <w:t>odsekoch B67</w:t>
      </w:r>
      <w:r>
        <w:t xml:space="preserve"> a </w:t>
      </w:r>
      <w:r w:rsidR="009805BF" w:rsidRPr="004941FB">
        <w:t>B68 dodatku B uvedenej prílohy;</w:t>
      </w:r>
    </w:p>
    <w:p w14:paraId="75939786" w14:textId="7E8CCC35" w:rsidR="009805BF" w:rsidRPr="004941FB" w:rsidRDefault="004941FB" w:rsidP="004941FB">
      <w:pPr>
        <w:pStyle w:val="Point1"/>
      </w:pPr>
      <w:r w:rsidRPr="004941FB">
        <w:t>b)</w:t>
      </w:r>
      <w:r w:rsidRPr="004941FB">
        <w:tab/>
      </w:r>
      <w:r w:rsidR="009805BF" w:rsidRPr="004941FB">
        <w:t>skupiny poistných zmlúv, ktoré sú spravované naprieč generáciami zmlúv</w:t>
      </w:r>
      <w:r>
        <w:t xml:space="preserve"> a </w:t>
      </w:r>
      <w:r w:rsidR="009805BF" w:rsidRPr="004941FB">
        <w:t>ktoré spĺňajú podmienky stanovené</w:t>
      </w:r>
      <w:r>
        <w:t xml:space="preserve"> v </w:t>
      </w:r>
      <w:r w:rsidR="009805BF" w:rsidRPr="004941FB">
        <w:t>článku 77b smernice 2009/138/ES</w:t>
      </w:r>
      <w:r>
        <w:t xml:space="preserve"> a </w:t>
      </w:r>
      <w:r w:rsidR="009805BF" w:rsidRPr="004941FB">
        <w:t>ktoré schválili orgány dohľadu na uplatňovanie párovacej korekcie.</w:t>
      </w:r>
    </w:p>
    <w:p w14:paraId="37932499" w14:textId="35B9B55B" w:rsidR="004941FB" w:rsidRDefault="009805BF" w:rsidP="00FE1D96">
      <w:pPr>
        <w:ind w:left="851"/>
      </w:pPr>
      <w:r w:rsidRPr="004941FB">
        <w:lastRenderedPageBreak/>
        <w:t>Ak spoločnosť neuplatňuje požiadavku stanovenú</w:t>
      </w:r>
      <w:r w:rsidR="004941FB">
        <w:t xml:space="preserve"> v </w:t>
      </w:r>
      <w:r w:rsidRPr="004941FB">
        <w:t>odseku 22 prílohy</w:t>
      </w:r>
      <w:r w:rsidR="004941FB">
        <w:t xml:space="preserve"> k </w:t>
      </w:r>
      <w:r w:rsidRPr="004941FB">
        <w:t>tomuto nariadeniu</w:t>
      </w:r>
      <w:r w:rsidR="004941FB">
        <w:t xml:space="preserve"> v </w:t>
      </w:r>
      <w:r w:rsidRPr="004941FB">
        <w:t>súlade</w:t>
      </w:r>
      <w:r w:rsidR="004941FB">
        <w:t xml:space="preserve"> s </w:t>
      </w:r>
      <w:r w:rsidRPr="004941FB">
        <w:t>odsekom 2 písm. a) alebo odsekom 2 písm. b), túto skutočnosť</w:t>
      </w:r>
      <w:r w:rsidR="004941FB">
        <w:t xml:space="preserve"> v </w:t>
      </w:r>
      <w:r w:rsidRPr="004941FB">
        <w:t>súlade</w:t>
      </w:r>
      <w:r w:rsidR="004941FB">
        <w:t xml:space="preserve"> s </w:t>
      </w:r>
      <w:r w:rsidRPr="004941FB">
        <w:t xml:space="preserve">medzinárodným účtovným štandardom 1 </w:t>
      </w:r>
      <w:r w:rsidRPr="00FE53D7">
        <w:rPr>
          <w:i/>
        </w:rPr>
        <w:t>Prezentácia účtovnej závierky</w:t>
      </w:r>
      <w:r w:rsidRPr="004941FB">
        <w:t xml:space="preserve"> zverejní</w:t>
      </w:r>
      <w:r w:rsidR="004941FB">
        <w:t xml:space="preserve"> v </w:t>
      </w:r>
      <w:r w:rsidRPr="004941FB">
        <w:t>poznámkach ako významnú účtovnú politiku</w:t>
      </w:r>
      <w:r w:rsidR="004941FB">
        <w:t xml:space="preserve"> a </w:t>
      </w:r>
      <w:r w:rsidRPr="004941FB">
        <w:t>poskytne ďalšie vysvetľujúce informácie, napríklad pri ktorých portfóliách spoločnosť uplatnila túto výnimku</w:t>
      </w:r>
      <w:r w:rsidR="004941FB">
        <w:t>.</w:t>
      </w:r>
    </w:p>
    <w:p w14:paraId="4F8782D9" w14:textId="7B8850DD" w:rsidR="009805BF" w:rsidRPr="00FE53D7" w:rsidRDefault="009805BF" w:rsidP="009805BF">
      <w:pPr>
        <w:pStyle w:val="Titrearticle"/>
      </w:pPr>
      <w:r w:rsidRPr="00FE53D7">
        <w:t>Článok 3</w:t>
      </w:r>
    </w:p>
    <w:p w14:paraId="65AD9C52" w14:textId="68FBD671" w:rsidR="004941FB" w:rsidRDefault="009805BF" w:rsidP="009805BF">
      <w:pPr>
        <w:spacing w:before="0" w:after="0"/>
      </w:pPr>
      <w:r w:rsidRPr="004941FB">
        <w:t>Komisia preskúma nepovinnú výnimku stanovenú</w:t>
      </w:r>
      <w:r w:rsidR="004941FB">
        <w:t xml:space="preserve"> v </w:t>
      </w:r>
      <w:r w:rsidRPr="004941FB">
        <w:t>článku 2 ods. 2 do 31</w:t>
      </w:r>
      <w:r w:rsidR="004941FB">
        <w:t>. decembra</w:t>
      </w:r>
      <w:r w:rsidRPr="004941FB">
        <w:t xml:space="preserve"> 2027</w:t>
      </w:r>
      <w:r w:rsidR="004941FB">
        <w:t xml:space="preserve"> a v </w:t>
      </w:r>
      <w:r w:rsidRPr="004941FB">
        <w:t>prípade potreby navrhne zmenu alebo ukončenie tejto výnimky</w:t>
      </w:r>
      <w:r w:rsidR="004941FB">
        <w:t>.</w:t>
      </w:r>
    </w:p>
    <w:p w14:paraId="31EEE4E8" w14:textId="22EFD43B" w:rsidR="009805BF" w:rsidRPr="00FE53D7" w:rsidRDefault="009805BF" w:rsidP="009805BF">
      <w:pPr>
        <w:pStyle w:val="Titrearticle"/>
      </w:pPr>
      <w:r w:rsidRPr="00FE53D7">
        <w:t>Článok 4</w:t>
      </w:r>
    </w:p>
    <w:p w14:paraId="34D06469" w14:textId="5B45EDDF" w:rsidR="009805BF" w:rsidRPr="004941FB" w:rsidRDefault="009805BF" w:rsidP="009805BF">
      <w:r w:rsidRPr="004941FB">
        <w:t>Toto nariadenie nadobúda účinnosť dvadsiatym dňom po jeho uverejnení</w:t>
      </w:r>
      <w:r w:rsidR="004941FB">
        <w:t xml:space="preserve"> v </w:t>
      </w:r>
      <w:r w:rsidRPr="00FE53D7">
        <w:rPr>
          <w:i/>
        </w:rPr>
        <w:t>Úradnom vestníku Európskej únie</w:t>
      </w:r>
      <w:r w:rsidRPr="004941FB">
        <w:t>.</w:t>
      </w:r>
    </w:p>
    <w:p w14:paraId="39A8D89A" w14:textId="7BDB789C" w:rsidR="009805BF" w:rsidRPr="004941FB" w:rsidRDefault="009805BF" w:rsidP="00F404D5">
      <w:pPr>
        <w:pStyle w:val="Applicationdirecte"/>
      </w:pPr>
      <w:r w:rsidRPr="004941FB">
        <w:t>Toto nariadenie je záväzné</w:t>
      </w:r>
      <w:r w:rsidR="004941FB">
        <w:t xml:space="preserve"> v </w:t>
      </w:r>
      <w:r w:rsidRPr="004941FB">
        <w:t>celom rozsahu</w:t>
      </w:r>
      <w:r w:rsidR="004941FB">
        <w:t xml:space="preserve"> a </w:t>
      </w:r>
      <w:r w:rsidRPr="004941FB">
        <w:t>priamo uplatniteľné vo všetkých členských štátoch.</w:t>
      </w:r>
    </w:p>
    <w:p w14:paraId="1D8A583A" w14:textId="2A83D9EF" w:rsidR="009805BF" w:rsidRPr="004941FB" w:rsidRDefault="00A36B0A" w:rsidP="00A36B0A">
      <w:pPr>
        <w:pStyle w:val="Fait"/>
      </w:pPr>
      <w:r w:rsidRPr="00A36B0A">
        <w:t>V Bruseli</w:t>
      </w:r>
    </w:p>
    <w:p w14:paraId="5F675919" w14:textId="77777777" w:rsidR="009805BF" w:rsidRPr="00FE53D7" w:rsidRDefault="009805BF" w:rsidP="009805BF">
      <w:pPr>
        <w:pStyle w:val="Institutionquisigne"/>
      </w:pPr>
      <w:r w:rsidRPr="00FE53D7">
        <w:tab/>
        <w:t>Za Komisiu</w:t>
      </w:r>
    </w:p>
    <w:p w14:paraId="1AD1FE7C" w14:textId="77777777" w:rsidR="009805BF" w:rsidRPr="00FE53D7" w:rsidRDefault="009805BF" w:rsidP="009805BF">
      <w:pPr>
        <w:pStyle w:val="Personnequisigne"/>
      </w:pPr>
      <w:r w:rsidRPr="00FE53D7">
        <w:tab/>
        <w:t xml:space="preserve">predsedníčka </w:t>
      </w:r>
      <w:r w:rsidRPr="00FE53D7">
        <w:br/>
      </w:r>
      <w:r w:rsidRPr="00FE53D7">
        <w:tab/>
        <w:t>Ursula von der Leyen</w:t>
      </w:r>
    </w:p>
    <w:sectPr w:rsidR="009805BF" w:rsidRPr="00FE53D7" w:rsidSect="00A36B0A">
      <w:footerReference w:type="default" r:id="rId10"/>
      <w:footerReference w:type="first" r:id="rId1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BFCDA" w14:textId="77777777" w:rsidR="00151222" w:rsidRDefault="00151222" w:rsidP="009805BF">
      <w:pPr>
        <w:spacing w:before="0" w:after="0"/>
      </w:pPr>
      <w:r>
        <w:separator/>
      </w:r>
    </w:p>
  </w:endnote>
  <w:endnote w:type="continuationSeparator" w:id="0">
    <w:p w14:paraId="5C94C7F6" w14:textId="77777777" w:rsidR="00151222" w:rsidRDefault="00151222" w:rsidP="009805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6F5AF" w14:textId="2F981991" w:rsidR="00A36B0A" w:rsidRPr="00A36B0A" w:rsidRDefault="00A36B0A" w:rsidP="00A36B0A">
    <w:pPr>
      <w:pStyle w:val="Pta"/>
      <w:rPr>
        <w:rFonts w:ascii="Arial" w:hAnsi="Arial" w:cs="Arial"/>
        <w:b/>
        <w:sz w:val="48"/>
      </w:rPr>
    </w:pPr>
    <w:r w:rsidRPr="00A36B0A">
      <w:rPr>
        <w:rFonts w:ascii="Arial" w:hAnsi="Arial" w:cs="Arial"/>
        <w:b/>
        <w:sz w:val="48"/>
      </w:rPr>
      <w:t>SK</w:t>
    </w:r>
    <w:r w:rsidRPr="00A36B0A">
      <w:rPr>
        <w:rFonts w:ascii="Arial" w:hAnsi="Arial" w:cs="Arial"/>
        <w:b/>
        <w:sz w:val="48"/>
      </w:rPr>
      <w:tab/>
    </w:r>
    <w:r w:rsidRPr="00A36B0A">
      <w:rPr>
        <w:rFonts w:ascii="Arial" w:hAnsi="Arial" w:cs="Arial"/>
        <w:b/>
        <w:sz w:val="48"/>
      </w:rPr>
      <w:tab/>
    </w:r>
    <w:r w:rsidRPr="00A36B0A">
      <w:tab/>
    </w:r>
    <w:r w:rsidRPr="00A36B0A">
      <w:rPr>
        <w:rFonts w:ascii="Arial" w:hAnsi="Arial" w:cs="Arial"/>
        <w:b/>
        <w:sz w:val="48"/>
      </w:rPr>
      <w:t>SK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8CAB8" w14:textId="50D97A8A" w:rsidR="00A36B0A" w:rsidRPr="00A36B0A" w:rsidRDefault="00A36B0A" w:rsidP="00A36B0A">
    <w:pPr>
      <w:pStyle w:val="Pta"/>
      <w:rPr>
        <w:rFonts w:ascii="Arial" w:hAnsi="Arial" w:cs="Arial"/>
        <w:b/>
        <w:sz w:val="48"/>
      </w:rPr>
    </w:pPr>
    <w:r w:rsidRPr="00A36B0A">
      <w:rPr>
        <w:rFonts w:ascii="Arial" w:hAnsi="Arial" w:cs="Arial"/>
        <w:b/>
        <w:sz w:val="48"/>
      </w:rPr>
      <w:t>SK</w:t>
    </w:r>
    <w:r w:rsidRPr="00A36B0A">
      <w:rPr>
        <w:rFonts w:ascii="Arial" w:hAnsi="Arial" w:cs="Arial"/>
        <w:b/>
        <w:sz w:val="48"/>
      </w:rPr>
      <w:tab/>
    </w:r>
    <w:r>
      <w:fldChar w:fldCharType="begin"/>
    </w:r>
    <w:r>
      <w:instrText xml:space="preserve"> PAGE  \* MERGEFORMAT </w:instrText>
    </w:r>
    <w:r>
      <w:fldChar w:fldCharType="separate"/>
    </w:r>
    <w:r w:rsidR="00FF6A48">
      <w:rPr>
        <w:noProof/>
      </w:rPr>
      <w:t>3</w:t>
    </w:r>
    <w:r>
      <w:fldChar w:fldCharType="end"/>
    </w:r>
    <w:r>
      <w:tab/>
    </w:r>
    <w:r w:rsidRPr="00A36B0A">
      <w:tab/>
    </w:r>
    <w:r w:rsidRPr="00A36B0A">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A93D1" w14:textId="77777777" w:rsidR="00A36B0A" w:rsidRPr="00A36B0A" w:rsidRDefault="00A36B0A" w:rsidP="00A36B0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504DD" w14:textId="77777777" w:rsidR="00151222" w:rsidRDefault="00151222" w:rsidP="009805BF">
      <w:pPr>
        <w:spacing w:before="0" w:after="0"/>
      </w:pPr>
      <w:r>
        <w:separator/>
      </w:r>
    </w:p>
  </w:footnote>
  <w:footnote w:type="continuationSeparator" w:id="0">
    <w:p w14:paraId="7EAB2C3B" w14:textId="77777777" w:rsidR="00151222" w:rsidRDefault="00151222" w:rsidP="009805BF">
      <w:pPr>
        <w:spacing w:before="0" w:after="0"/>
      </w:pPr>
      <w:r>
        <w:continuationSeparator/>
      </w:r>
    </w:p>
  </w:footnote>
  <w:footnote w:id="1">
    <w:p w14:paraId="403DA9E0" w14:textId="77777777" w:rsidR="004063DE" w:rsidRPr="004941FB" w:rsidRDefault="004063DE">
      <w:pPr>
        <w:pStyle w:val="Textpoznmkypodiarou"/>
      </w:pPr>
      <w:r w:rsidRPr="004941FB">
        <w:rPr>
          <w:rStyle w:val="Odkaznapoznmkupodiarou"/>
        </w:rPr>
        <w:footnoteRef/>
      </w:r>
      <w:r w:rsidRPr="004941FB">
        <w:tab/>
        <w:t>Ú. v. ES L 243, 11.9.2002, s. 1.</w:t>
      </w:r>
    </w:p>
  </w:footnote>
  <w:footnote w:id="2">
    <w:p w14:paraId="18AAD769" w14:textId="31526053" w:rsidR="009805BF" w:rsidRPr="004941FB" w:rsidRDefault="009805BF" w:rsidP="009805BF">
      <w:pPr>
        <w:pStyle w:val="Textpoznmkypodiarou"/>
      </w:pPr>
      <w:r w:rsidRPr="004941FB">
        <w:rPr>
          <w:rStyle w:val="Odkaznapoznmkupodiarou"/>
        </w:rPr>
        <w:footnoteRef/>
      </w:r>
      <w:r w:rsidRPr="004941FB">
        <w:tab/>
        <w:t>Nariadenie Komisie (ES) č. 1126/2008</w:t>
      </w:r>
      <w:r w:rsidR="004941FB">
        <w:t xml:space="preserve"> z </w:t>
      </w:r>
      <w:r w:rsidRPr="004941FB">
        <w:t>3</w:t>
      </w:r>
      <w:r w:rsidR="004941FB">
        <w:t>. novembra</w:t>
      </w:r>
      <w:r w:rsidRPr="004941FB">
        <w:t xml:space="preserve"> 2008, ktorým sa</w:t>
      </w:r>
      <w:r w:rsidR="004941FB">
        <w:t xml:space="preserve"> v </w:t>
      </w:r>
      <w:r w:rsidRPr="004941FB">
        <w:t>súlade</w:t>
      </w:r>
      <w:r w:rsidR="004941FB">
        <w:t xml:space="preserve"> s </w:t>
      </w:r>
      <w:r w:rsidRPr="004941FB">
        <w:t>nariadením Európskeho parlamentu</w:t>
      </w:r>
      <w:r w:rsidR="004941FB">
        <w:t xml:space="preserve"> a </w:t>
      </w:r>
      <w:r w:rsidRPr="004941FB">
        <w:t>Rady (ES) č. 1606/2002 prijímajú určité medzinárodné účtovné štandardy (Ú.</w:t>
      </w:r>
      <w:r w:rsidR="00BB352C" w:rsidRPr="004941FB">
        <w:t> </w:t>
      </w:r>
      <w:r w:rsidRPr="004941FB">
        <w:t>v. EÚ L 320, 29.11.2008, s. 1).</w:t>
      </w:r>
    </w:p>
  </w:footnote>
  <w:footnote w:id="3">
    <w:p w14:paraId="6D16933C" w14:textId="5C9AFFE7" w:rsidR="009805BF" w:rsidRPr="004941FB" w:rsidRDefault="009805BF" w:rsidP="009805BF">
      <w:pPr>
        <w:pStyle w:val="Textpoznmkypodiarou"/>
      </w:pPr>
      <w:r w:rsidRPr="004941FB">
        <w:rPr>
          <w:rStyle w:val="Odkaznapoznmkupodiarou"/>
        </w:rPr>
        <w:footnoteRef/>
      </w:r>
      <w:r w:rsidRPr="004941FB">
        <w:tab/>
        <w:t>Smernica Európskeho parlamentu</w:t>
      </w:r>
      <w:r w:rsidR="004941FB">
        <w:t xml:space="preserve"> a </w:t>
      </w:r>
      <w:r w:rsidRPr="004941FB">
        <w:t>Rady 2009/138/ES</w:t>
      </w:r>
      <w:r w:rsidR="004941FB">
        <w:t xml:space="preserve"> z </w:t>
      </w:r>
      <w:r w:rsidRPr="004941FB">
        <w:t>25</w:t>
      </w:r>
      <w:r w:rsidR="004941FB">
        <w:t>. novembra</w:t>
      </w:r>
      <w:r w:rsidRPr="004941FB">
        <w:t xml:space="preserve"> 2009</w:t>
      </w:r>
      <w:r w:rsidR="004941FB">
        <w:t xml:space="preserve"> o </w:t>
      </w:r>
      <w:r w:rsidRPr="004941FB">
        <w:t>začatí</w:t>
      </w:r>
      <w:r w:rsidR="004941FB">
        <w:t xml:space="preserve"> a </w:t>
      </w:r>
      <w:r w:rsidRPr="004941FB">
        <w:t>vykonávaní poistenia</w:t>
      </w:r>
      <w:r w:rsidR="004941FB">
        <w:t xml:space="preserve"> a </w:t>
      </w:r>
      <w:r w:rsidRPr="004941FB">
        <w:t>zaistenia (Solventnosť II) (Ú. v. EÚ L 335, 17.12.2009, s.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00645F64"/>
    <w:lvl w:ilvl="0">
      <w:start w:val="1"/>
      <w:numFmt w:val="decimal"/>
      <w:pStyle w:val="slovanzoznam4"/>
      <w:lvlText w:val="%1."/>
      <w:lvlJc w:val="left"/>
      <w:pPr>
        <w:tabs>
          <w:tab w:val="num" w:pos="1209"/>
        </w:tabs>
        <w:ind w:left="1209" w:hanging="360"/>
      </w:pPr>
    </w:lvl>
  </w:abstractNum>
  <w:abstractNum w:abstractNumId="1" w15:restartNumberingAfterBreak="0">
    <w:nsid w:val="FFFFFF7E"/>
    <w:multiLevelType w:val="singleLevel"/>
    <w:tmpl w:val="6324EE22"/>
    <w:lvl w:ilvl="0">
      <w:start w:val="1"/>
      <w:numFmt w:val="decimal"/>
      <w:pStyle w:val="slovanzoznam3"/>
      <w:lvlText w:val="%1."/>
      <w:lvlJc w:val="left"/>
      <w:pPr>
        <w:tabs>
          <w:tab w:val="num" w:pos="926"/>
        </w:tabs>
        <w:ind w:left="926" w:hanging="360"/>
      </w:pPr>
    </w:lvl>
  </w:abstractNum>
  <w:abstractNum w:abstractNumId="2" w15:restartNumberingAfterBreak="0">
    <w:nsid w:val="FFFFFF7F"/>
    <w:multiLevelType w:val="singleLevel"/>
    <w:tmpl w:val="8004BE86"/>
    <w:lvl w:ilvl="0">
      <w:start w:val="1"/>
      <w:numFmt w:val="decimal"/>
      <w:pStyle w:val="slovanzoznam2"/>
      <w:lvlText w:val="%1."/>
      <w:lvlJc w:val="left"/>
      <w:pPr>
        <w:tabs>
          <w:tab w:val="num" w:pos="643"/>
        </w:tabs>
        <w:ind w:left="643" w:hanging="360"/>
      </w:pPr>
    </w:lvl>
  </w:abstractNum>
  <w:abstractNum w:abstractNumId="3" w15:restartNumberingAfterBreak="0">
    <w:nsid w:val="FFFFFF81"/>
    <w:multiLevelType w:val="singleLevel"/>
    <w:tmpl w:val="4558ABE2"/>
    <w:lvl w:ilvl="0">
      <w:start w:val="1"/>
      <w:numFmt w:val="bullet"/>
      <w:pStyle w:val="Zoznamsodrkami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F4E65EE"/>
    <w:lvl w:ilvl="0">
      <w:start w:val="1"/>
      <w:numFmt w:val="bullet"/>
      <w:pStyle w:val="Zoznamsodrkami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F36E52C"/>
    <w:lvl w:ilvl="0">
      <w:start w:val="1"/>
      <w:numFmt w:val="bullet"/>
      <w:pStyle w:val="Zoznamsodrkami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7CC0FFA"/>
    <w:lvl w:ilvl="0">
      <w:start w:val="1"/>
      <w:numFmt w:val="decimal"/>
      <w:pStyle w:val="slovanzoznam"/>
      <w:lvlText w:val="%1."/>
      <w:lvlJc w:val="left"/>
      <w:pPr>
        <w:tabs>
          <w:tab w:val="num" w:pos="360"/>
        </w:tabs>
        <w:ind w:left="360" w:hanging="360"/>
      </w:pPr>
    </w:lvl>
  </w:abstractNum>
  <w:abstractNum w:abstractNumId="7" w15:restartNumberingAfterBreak="0">
    <w:nsid w:val="FFFFFF89"/>
    <w:multiLevelType w:val="singleLevel"/>
    <w:tmpl w:val="96A01420"/>
    <w:lvl w:ilvl="0">
      <w:start w:val="1"/>
      <w:numFmt w:val="bullet"/>
      <w:pStyle w:val="Zoznamsodrkami"/>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3A603D71"/>
    <w:multiLevelType w:val="hybridMultilevel"/>
    <w:tmpl w:val="792037DE"/>
    <w:lvl w:ilvl="0" w:tplc="997E001A">
      <w:start w:val="1"/>
      <w:numFmt w:val="lowerLetter"/>
      <w:pStyle w:val="Odsekzoznamu"/>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Nadpis1"/>
      <w:lvlText w:val="%1."/>
      <w:lvlJc w:val="left"/>
      <w:pPr>
        <w:tabs>
          <w:tab w:val="num" w:pos="850"/>
        </w:tabs>
        <w:ind w:left="850" w:hanging="850"/>
      </w:pPr>
    </w:lvl>
    <w:lvl w:ilvl="1">
      <w:start w:val="1"/>
      <w:numFmt w:val="decimal"/>
      <w:pStyle w:val="Nadpis2"/>
      <w:lvlText w:val="%1.%2."/>
      <w:lvlJc w:val="left"/>
      <w:pPr>
        <w:tabs>
          <w:tab w:val="num" w:pos="850"/>
        </w:tabs>
        <w:ind w:left="850" w:hanging="850"/>
      </w:pPr>
    </w:lvl>
    <w:lvl w:ilvl="2">
      <w:start w:val="1"/>
      <w:numFmt w:val="decimal"/>
      <w:pStyle w:val="Nadpis3"/>
      <w:lvlText w:val="%1.%2.%3."/>
      <w:lvlJc w:val="left"/>
      <w:pPr>
        <w:tabs>
          <w:tab w:val="num" w:pos="850"/>
        </w:tabs>
        <w:ind w:left="850" w:hanging="850"/>
      </w:pPr>
    </w:lvl>
    <w:lvl w:ilvl="3">
      <w:start w:val="1"/>
      <w:numFmt w:val="decimal"/>
      <w:pStyle w:val="Nadpis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lvlOverride w:ilvl="0">
      <w:startOverride w:val="1"/>
    </w:lvlOverride>
  </w:num>
  <w:num w:numId="2">
    <w:abstractNumId w:val="12"/>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4"/>
  </w:num>
  <w:num w:numId="9">
    <w:abstractNumId w:val="3"/>
  </w:num>
  <w:num w:numId="10">
    <w:abstractNumId w:val="6"/>
  </w:num>
  <w:num w:numId="11">
    <w:abstractNumId w:val="1"/>
  </w:num>
  <w:num w:numId="12">
    <w:abstractNumId w:val="0"/>
  </w:num>
  <w:num w:numId="13">
    <w:abstractNumId w:val="19"/>
  </w:num>
  <w:num w:numId="14">
    <w:abstractNumId w:val="13"/>
  </w:num>
  <w:num w:numId="15">
    <w:abstractNumId w:val="21"/>
  </w:num>
  <w:num w:numId="16">
    <w:abstractNumId w:val="11"/>
  </w:num>
  <w:num w:numId="17">
    <w:abstractNumId w:val="14"/>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1-06-28 09:38:56"/>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VERPAGE_EXISTS" w:val="True"/>
    <w:docVar w:name="LW_COVERPAGE_GUID" w:val="33935345-9E09-4A0C-80BD-189636C9F4DF"/>
    <w:docVar w:name="LW_COVERPAGE_TYPE" w:val="1"/>
    <w:docVar w:name="LW_CROSSREFERENCE" w:val="&lt;UNUSED&gt;"/>
    <w:docVar w:name="LW_DATE.ADOPT.CP" w:val="z XXX,"/>
    <w:docVar w:name="LW_DATE.ADOPT.CP_DATEFORMAT" w:val="z %DATE%,"/>
    <w:docVar w:name="LW_DATE.ADOPT.CP_ISODATE" w:val="&lt;EMPTY&gt;"/>
    <w:docVar w:name="LW_DocType" w:val="COM"/>
    <w:docVar w:name="LW_EMISSION" w:val="&lt;EMPTY&gt;"/>
    <w:docVar w:name="LW_EMISSION_ISODATE" w:val="&lt;EMPTY&gt;"/>
    <w:docVar w:name="LW_EMISSION_LOCATION" w:val="BRX"/>
    <w:docVar w:name="LW_EMISSION_PREFIX" w:val="V Bruseli"/>
    <w:docVar w:name="LW_EMISSION_SUFFIX" w:val=" "/>
    <w:docVar w:name="LW_ID_DOCMODEL" w:val="SJ-001"/>
    <w:docVar w:name="LW_ID_DOCSIGNATURE" w:val="SJ-001"/>
    <w:docVar w:name="LW_ID_DOCSTRUCTURE" w:val="COM/AA"/>
    <w:docVar w:name="LW_ID_DOCTYPE" w:val="SJ-001"/>
    <w:docVar w:name="LW_INTERETEEE.CP" w:val="(Text s významom pre EHP)"/>
    <w:docVar w:name="LW_LANGUE" w:val="SK"/>
    <w:docVar w:name="LW_LANGUESFAISANTFOI.CP" w:val="&lt;UNUSED&gt;"/>
    <w:docVar w:name="LW_LEVEL_OF_SENSITIVITY" w:val="Standard treatment"/>
    <w:docVar w:name="LW_NOM.INST" w:val="EURÓPSKA KOMISIA"/>
    <w:docVar w:name="LW_NOM.INST_JOINTDOC" w:val="&lt;EMPTY&gt;"/>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ktorým sa mení nariadenie (ES) \u269?. 1126/2008, ktorým sa v súlade s nariadením Európskeho parlamentu a Rady (ES) \u269?. 1606/2002 prijímajú ur\u269?ité medzinárodné ú\u269?tovné \u353?tandardy, pokia\u318? ide o medzinárodný \u353?tandard finan\u269?ného výkazníctva 17"/>
    <w:docVar w:name="LW_TYPE.DOC.CP" w:val="NARIADENIE KOMISIE (EÚ) \u8230?/\u8230?"/>
  </w:docVars>
  <w:rsids>
    <w:rsidRoot w:val="009805BF"/>
    <w:rsid w:val="00082A3E"/>
    <w:rsid w:val="000A7517"/>
    <w:rsid w:val="000E198E"/>
    <w:rsid w:val="00151222"/>
    <w:rsid w:val="001C2816"/>
    <w:rsid w:val="001F6FA1"/>
    <w:rsid w:val="00232E98"/>
    <w:rsid w:val="002A43B7"/>
    <w:rsid w:val="003E7657"/>
    <w:rsid w:val="004063DE"/>
    <w:rsid w:val="004941FB"/>
    <w:rsid w:val="00517F87"/>
    <w:rsid w:val="005F683E"/>
    <w:rsid w:val="0070128F"/>
    <w:rsid w:val="00724417"/>
    <w:rsid w:val="007C06F6"/>
    <w:rsid w:val="00852070"/>
    <w:rsid w:val="008A6663"/>
    <w:rsid w:val="008F45BB"/>
    <w:rsid w:val="00923BDE"/>
    <w:rsid w:val="009805BF"/>
    <w:rsid w:val="00986B33"/>
    <w:rsid w:val="00987AD5"/>
    <w:rsid w:val="009B7138"/>
    <w:rsid w:val="00A36B0A"/>
    <w:rsid w:val="00BB352C"/>
    <w:rsid w:val="00BE246D"/>
    <w:rsid w:val="00BE31AF"/>
    <w:rsid w:val="00BF17AA"/>
    <w:rsid w:val="00C24556"/>
    <w:rsid w:val="00C7196D"/>
    <w:rsid w:val="00D42219"/>
    <w:rsid w:val="00D67483"/>
    <w:rsid w:val="00EB0FC4"/>
    <w:rsid w:val="00F20062"/>
    <w:rsid w:val="00F9728E"/>
    <w:rsid w:val="00FE1D96"/>
    <w:rsid w:val="00FE53D7"/>
    <w:rsid w:val="00FE7F9E"/>
    <w:rsid w:val="00FF4F9F"/>
    <w:rsid w:val="00FF6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898FC"/>
  <w15:docId w15:val="{E6894696-90A7-4E01-985C-146B631C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before="120" w:after="120" w:line="240" w:lineRule="auto"/>
      <w:jc w:val="both"/>
    </w:pPr>
    <w:rPr>
      <w:rFonts w:ascii="Times New Roman" w:hAnsi="Times New Roman" w:cs="Times New Roman"/>
      <w:sz w:val="24"/>
      <w:lang w:val="sk-SK"/>
    </w:rPr>
  </w:style>
  <w:style w:type="paragraph" w:styleId="Nadpis1">
    <w:name w:val="heading 1"/>
    <w:basedOn w:val="Normlny"/>
    <w:next w:val="Text1"/>
    <w:link w:val="Nadpis1Char"/>
    <w:uiPriority w:val="9"/>
    <w:qFormat/>
    <w:rsid w:val="009B7138"/>
    <w:pPr>
      <w:keepNext/>
      <w:numPr>
        <w:numId w:val="19"/>
      </w:numPr>
      <w:spacing w:before="360"/>
      <w:outlineLvl w:val="0"/>
    </w:pPr>
    <w:rPr>
      <w:rFonts w:eastAsiaTheme="majorEastAsia"/>
      <w:b/>
      <w:bCs/>
      <w:smallCaps/>
      <w:szCs w:val="28"/>
    </w:rPr>
  </w:style>
  <w:style w:type="paragraph" w:styleId="Nadpis2">
    <w:name w:val="heading 2"/>
    <w:basedOn w:val="Normlny"/>
    <w:next w:val="Text1"/>
    <w:link w:val="Nadpis2Char"/>
    <w:uiPriority w:val="9"/>
    <w:semiHidden/>
    <w:unhideWhenUsed/>
    <w:qFormat/>
    <w:rsid w:val="009B7138"/>
    <w:pPr>
      <w:keepNext/>
      <w:numPr>
        <w:ilvl w:val="1"/>
        <w:numId w:val="19"/>
      </w:numPr>
      <w:outlineLvl w:val="1"/>
    </w:pPr>
    <w:rPr>
      <w:rFonts w:eastAsiaTheme="majorEastAsia"/>
      <w:b/>
      <w:bCs/>
      <w:szCs w:val="26"/>
    </w:rPr>
  </w:style>
  <w:style w:type="paragraph" w:styleId="Nadpis3">
    <w:name w:val="heading 3"/>
    <w:basedOn w:val="Normlny"/>
    <w:next w:val="Text1"/>
    <w:link w:val="Nadpis3Char"/>
    <w:uiPriority w:val="9"/>
    <w:semiHidden/>
    <w:unhideWhenUsed/>
    <w:qFormat/>
    <w:rsid w:val="009B7138"/>
    <w:pPr>
      <w:keepNext/>
      <w:numPr>
        <w:ilvl w:val="2"/>
        <w:numId w:val="19"/>
      </w:numPr>
      <w:outlineLvl w:val="2"/>
    </w:pPr>
    <w:rPr>
      <w:rFonts w:eastAsiaTheme="majorEastAsia"/>
      <w:bCs/>
      <w:i/>
    </w:rPr>
  </w:style>
  <w:style w:type="paragraph" w:styleId="Nadpis4">
    <w:name w:val="heading 4"/>
    <w:basedOn w:val="Normlny"/>
    <w:next w:val="Text1"/>
    <w:link w:val="Nadpis4Char"/>
    <w:uiPriority w:val="9"/>
    <w:semiHidden/>
    <w:unhideWhenUsed/>
    <w:qFormat/>
    <w:rsid w:val="009B7138"/>
    <w:pPr>
      <w:keepNext/>
      <w:numPr>
        <w:ilvl w:val="3"/>
        <w:numId w:val="19"/>
      </w:numPr>
      <w:outlineLvl w:val="3"/>
    </w:pPr>
    <w:rPr>
      <w:rFonts w:eastAsiaTheme="majorEastAsia"/>
      <w:bCs/>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805BF"/>
    <w:pPr>
      <w:numPr>
        <w:numId w:val="2"/>
      </w:numPr>
      <w:contextualSpacing/>
    </w:pPr>
  </w:style>
  <w:style w:type="paragraph" w:styleId="slovanzoznam2">
    <w:name w:val="List Number 2"/>
    <w:basedOn w:val="Normlny"/>
    <w:uiPriority w:val="99"/>
    <w:semiHidden/>
    <w:unhideWhenUsed/>
    <w:rsid w:val="009805BF"/>
    <w:pPr>
      <w:numPr>
        <w:numId w:val="3"/>
      </w:numPr>
      <w:contextualSpacing/>
    </w:pPr>
  </w:style>
  <w:style w:type="paragraph" w:styleId="Popis">
    <w:name w:val="caption"/>
    <w:basedOn w:val="Normlny"/>
    <w:next w:val="Normlny"/>
    <w:uiPriority w:val="35"/>
    <w:semiHidden/>
    <w:unhideWhenUsed/>
    <w:qFormat/>
    <w:rsid w:val="00923BDE"/>
    <w:pPr>
      <w:spacing w:before="0" w:after="200"/>
    </w:pPr>
    <w:rPr>
      <w:i/>
      <w:iCs/>
      <w:color w:val="1F497D" w:themeColor="text2"/>
      <w:sz w:val="18"/>
      <w:szCs w:val="18"/>
    </w:rPr>
  </w:style>
  <w:style w:type="paragraph" w:styleId="Zoznamobrzkov">
    <w:name w:val="table of figures"/>
    <w:basedOn w:val="Normlny"/>
    <w:next w:val="Normlny"/>
    <w:uiPriority w:val="99"/>
    <w:semiHidden/>
    <w:unhideWhenUsed/>
    <w:rsid w:val="00923BDE"/>
    <w:pPr>
      <w:spacing w:after="0"/>
    </w:pPr>
  </w:style>
  <w:style w:type="paragraph" w:styleId="Zoznamsodrkami">
    <w:name w:val="List Bullet"/>
    <w:basedOn w:val="Normlny"/>
    <w:uiPriority w:val="99"/>
    <w:semiHidden/>
    <w:unhideWhenUsed/>
    <w:rsid w:val="00923BDE"/>
    <w:pPr>
      <w:numPr>
        <w:numId w:val="6"/>
      </w:numPr>
      <w:contextualSpacing/>
    </w:pPr>
  </w:style>
  <w:style w:type="paragraph" w:styleId="Zoznamsodrkami2">
    <w:name w:val="List Bullet 2"/>
    <w:basedOn w:val="Normlny"/>
    <w:uiPriority w:val="99"/>
    <w:semiHidden/>
    <w:unhideWhenUsed/>
    <w:rsid w:val="00923BDE"/>
    <w:pPr>
      <w:numPr>
        <w:numId w:val="7"/>
      </w:numPr>
      <w:contextualSpacing/>
    </w:pPr>
  </w:style>
  <w:style w:type="paragraph" w:styleId="Zoznamsodrkami3">
    <w:name w:val="List Bullet 3"/>
    <w:basedOn w:val="Normlny"/>
    <w:uiPriority w:val="99"/>
    <w:semiHidden/>
    <w:unhideWhenUsed/>
    <w:rsid w:val="00923BDE"/>
    <w:pPr>
      <w:numPr>
        <w:numId w:val="8"/>
      </w:numPr>
      <w:contextualSpacing/>
    </w:pPr>
  </w:style>
  <w:style w:type="paragraph" w:styleId="Zoznamsodrkami4">
    <w:name w:val="List Bullet 4"/>
    <w:basedOn w:val="Normlny"/>
    <w:uiPriority w:val="99"/>
    <w:semiHidden/>
    <w:unhideWhenUsed/>
    <w:rsid w:val="00923BDE"/>
    <w:pPr>
      <w:numPr>
        <w:numId w:val="9"/>
      </w:numPr>
      <w:contextualSpacing/>
    </w:pPr>
  </w:style>
  <w:style w:type="paragraph" w:styleId="slovanzoznam">
    <w:name w:val="List Number"/>
    <w:basedOn w:val="Normlny"/>
    <w:uiPriority w:val="99"/>
    <w:semiHidden/>
    <w:unhideWhenUsed/>
    <w:rsid w:val="00923BDE"/>
    <w:pPr>
      <w:numPr>
        <w:numId w:val="10"/>
      </w:numPr>
      <w:contextualSpacing/>
    </w:pPr>
  </w:style>
  <w:style w:type="paragraph" w:styleId="slovanzoznam3">
    <w:name w:val="List Number 3"/>
    <w:basedOn w:val="Normlny"/>
    <w:uiPriority w:val="99"/>
    <w:semiHidden/>
    <w:unhideWhenUsed/>
    <w:rsid w:val="00923BDE"/>
    <w:pPr>
      <w:numPr>
        <w:numId w:val="11"/>
      </w:numPr>
      <w:contextualSpacing/>
    </w:pPr>
  </w:style>
  <w:style w:type="paragraph" w:styleId="slovanzoznam4">
    <w:name w:val="List Number 4"/>
    <w:basedOn w:val="Normlny"/>
    <w:uiPriority w:val="99"/>
    <w:semiHidden/>
    <w:unhideWhenUsed/>
    <w:rsid w:val="00923BDE"/>
    <w:pPr>
      <w:numPr>
        <w:numId w:val="12"/>
      </w:numPr>
      <w:contextualSpacing/>
    </w:pPr>
  </w:style>
  <w:style w:type="character" w:styleId="Odkaznakomentr">
    <w:name w:val="annotation reference"/>
    <w:basedOn w:val="Predvolenpsmoodseku"/>
    <w:uiPriority w:val="99"/>
    <w:semiHidden/>
    <w:unhideWhenUsed/>
    <w:rsid w:val="004063DE"/>
    <w:rPr>
      <w:sz w:val="16"/>
      <w:szCs w:val="16"/>
    </w:rPr>
  </w:style>
  <w:style w:type="paragraph" w:styleId="Textkomentra">
    <w:name w:val="annotation text"/>
    <w:basedOn w:val="Normlny"/>
    <w:link w:val="TextkomentraChar"/>
    <w:uiPriority w:val="99"/>
    <w:semiHidden/>
    <w:unhideWhenUsed/>
    <w:rsid w:val="004063DE"/>
    <w:rPr>
      <w:sz w:val="20"/>
      <w:szCs w:val="20"/>
    </w:rPr>
  </w:style>
  <w:style w:type="character" w:customStyle="1" w:styleId="TextkomentraChar">
    <w:name w:val="Text komentára Char"/>
    <w:basedOn w:val="Predvolenpsmoodseku"/>
    <w:link w:val="Textkomentra"/>
    <w:uiPriority w:val="99"/>
    <w:semiHidden/>
    <w:rsid w:val="004063DE"/>
    <w:rPr>
      <w:rFonts w:ascii="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4063DE"/>
    <w:rPr>
      <w:b/>
      <w:bCs/>
    </w:rPr>
  </w:style>
  <w:style w:type="character" w:customStyle="1" w:styleId="PredmetkomentraChar">
    <w:name w:val="Predmet komentára Char"/>
    <w:basedOn w:val="TextkomentraChar"/>
    <w:link w:val="Predmetkomentra"/>
    <w:uiPriority w:val="99"/>
    <w:semiHidden/>
    <w:rsid w:val="004063DE"/>
    <w:rPr>
      <w:rFonts w:ascii="Times New Roman" w:hAnsi="Times New Roman" w:cs="Times New Roman"/>
      <w:b/>
      <w:bCs/>
      <w:sz w:val="20"/>
      <w:szCs w:val="20"/>
      <w:lang w:val="sk-SK"/>
    </w:rPr>
  </w:style>
  <w:style w:type="paragraph" w:styleId="Textbubliny">
    <w:name w:val="Balloon Text"/>
    <w:basedOn w:val="Normlny"/>
    <w:link w:val="TextbublinyChar"/>
    <w:uiPriority w:val="99"/>
    <w:semiHidden/>
    <w:unhideWhenUsed/>
    <w:rsid w:val="004063DE"/>
    <w:pPr>
      <w:spacing w:before="0"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063DE"/>
    <w:rPr>
      <w:rFonts w:ascii="Segoe UI" w:hAnsi="Segoe UI" w:cs="Segoe UI"/>
      <w:sz w:val="18"/>
      <w:szCs w:val="18"/>
      <w:lang w:val="sk-SK"/>
    </w:rPr>
  </w:style>
  <w:style w:type="character" w:styleId="Hypertextovprepojenie">
    <w:name w:val="Hyperlink"/>
    <w:basedOn w:val="Predvolenpsmoodseku"/>
    <w:uiPriority w:val="99"/>
    <w:unhideWhenUsed/>
    <w:rsid w:val="004063DE"/>
    <w:rPr>
      <w:color w:val="0000FF" w:themeColor="hyperlink"/>
      <w:u w:val="single"/>
    </w:rPr>
  </w:style>
  <w:style w:type="paragraph" w:styleId="Hlavika">
    <w:name w:val="header"/>
    <w:basedOn w:val="Normlny"/>
    <w:link w:val="HlavikaChar"/>
    <w:uiPriority w:val="99"/>
    <w:semiHidden/>
    <w:unhideWhenUsed/>
    <w:rsid w:val="009B7138"/>
    <w:pPr>
      <w:tabs>
        <w:tab w:val="center" w:pos="4535"/>
        <w:tab w:val="right" w:pos="9071"/>
      </w:tabs>
      <w:spacing w:before="0"/>
    </w:pPr>
  </w:style>
  <w:style w:type="character" w:customStyle="1" w:styleId="HlavikaChar">
    <w:name w:val="Hlavička Char"/>
    <w:basedOn w:val="Predvolenpsmoodseku"/>
    <w:link w:val="Hlavika"/>
    <w:uiPriority w:val="99"/>
    <w:semiHidden/>
    <w:rsid w:val="009B7138"/>
    <w:rPr>
      <w:rFonts w:ascii="Times New Roman" w:hAnsi="Times New Roman" w:cs="Times New Roman"/>
      <w:sz w:val="24"/>
      <w:shd w:val="clear" w:color="auto" w:fill="auto"/>
      <w:lang w:val="en-GB"/>
    </w:rPr>
  </w:style>
  <w:style w:type="paragraph" w:styleId="Pta">
    <w:name w:val="footer"/>
    <w:basedOn w:val="Normlny"/>
    <w:link w:val="PtaChar"/>
    <w:uiPriority w:val="99"/>
    <w:semiHidden/>
    <w:unhideWhenUsed/>
    <w:rsid w:val="009B7138"/>
    <w:pPr>
      <w:tabs>
        <w:tab w:val="center" w:pos="4535"/>
        <w:tab w:val="right" w:pos="9071"/>
        <w:tab w:val="right" w:pos="9921"/>
      </w:tabs>
      <w:spacing w:before="360" w:after="0"/>
      <w:ind w:left="-850" w:right="-850"/>
      <w:jc w:val="left"/>
    </w:pPr>
  </w:style>
  <w:style w:type="character" w:customStyle="1" w:styleId="PtaChar">
    <w:name w:val="Päta Char"/>
    <w:basedOn w:val="Predvolenpsmoodseku"/>
    <w:link w:val="Pta"/>
    <w:uiPriority w:val="99"/>
    <w:semiHidden/>
    <w:rsid w:val="009B7138"/>
    <w:rPr>
      <w:rFonts w:ascii="Times New Roman" w:hAnsi="Times New Roman" w:cs="Times New Roman"/>
      <w:sz w:val="24"/>
      <w:shd w:val="clear" w:color="auto" w:fill="auto"/>
      <w:lang w:val="en-GB"/>
    </w:rPr>
  </w:style>
  <w:style w:type="paragraph" w:styleId="Textpoznmkypodiarou">
    <w:name w:val="footnote text"/>
    <w:basedOn w:val="Normlny"/>
    <w:link w:val="TextpoznmkypodiarouChar"/>
    <w:uiPriority w:val="99"/>
    <w:semiHidden/>
    <w:unhideWhenUsed/>
    <w:rsid w:val="009B7138"/>
    <w:pPr>
      <w:spacing w:before="0" w:after="0"/>
      <w:ind w:left="720" w:hanging="720"/>
    </w:pPr>
    <w:rPr>
      <w:sz w:val="20"/>
      <w:szCs w:val="20"/>
    </w:rPr>
  </w:style>
  <w:style w:type="character" w:customStyle="1" w:styleId="TextpoznmkypodiarouChar">
    <w:name w:val="Text poznámky pod čiarou Char"/>
    <w:basedOn w:val="Predvolenpsmoodseku"/>
    <w:link w:val="Textpoznmkypodiarou"/>
    <w:uiPriority w:val="99"/>
    <w:semiHidden/>
    <w:rsid w:val="009B7138"/>
    <w:rPr>
      <w:rFonts w:ascii="Times New Roman" w:hAnsi="Times New Roman" w:cs="Times New Roman"/>
      <w:sz w:val="20"/>
      <w:szCs w:val="20"/>
      <w:shd w:val="clear" w:color="auto" w:fill="auto"/>
      <w:lang w:val="en-GB"/>
    </w:rPr>
  </w:style>
  <w:style w:type="character" w:customStyle="1" w:styleId="Nadpis1Char">
    <w:name w:val="Nadpis 1 Char"/>
    <w:basedOn w:val="Predvolenpsmoodseku"/>
    <w:link w:val="Nadpis1"/>
    <w:uiPriority w:val="9"/>
    <w:rsid w:val="009B7138"/>
    <w:rPr>
      <w:rFonts w:ascii="Times New Roman" w:eastAsiaTheme="majorEastAsia" w:hAnsi="Times New Roman" w:cs="Times New Roman"/>
      <w:b/>
      <w:bCs/>
      <w:smallCaps/>
      <w:sz w:val="24"/>
      <w:szCs w:val="28"/>
      <w:lang w:val="en-GB"/>
    </w:rPr>
  </w:style>
  <w:style w:type="character" w:customStyle="1" w:styleId="Nadpis2Char">
    <w:name w:val="Nadpis 2 Char"/>
    <w:basedOn w:val="Predvolenpsmoodseku"/>
    <w:link w:val="Nadpis2"/>
    <w:uiPriority w:val="9"/>
    <w:semiHidden/>
    <w:rsid w:val="009B7138"/>
    <w:rPr>
      <w:rFonts w:ascii="Times New Roman" w:eastAsiaTheme="majorEastAsia" w:hAnsi="Times New Roman" w:cs="Times New Roman"/>
      <w:b/>
      <w:bCs/>
      <w:sz w:val="24"/>
      <w:szCs w:val="26"/>
      <w:lang w:val="en-GB"/>
    </w:rPr>
  </w:style>
  <w:style w:type="character" w:customStyle="1" w:styleId="Nadpis3Char">
    <w:name w:val="Nadpis 3 Char"/>
    <w:basedOn w:val="Predvolenpsmoodseku"/>
    <w:link w:val="Nadpis3"/>
    <w:uiPriority w:val="9"/>
    <w:semiHidden/>
    <w:rsid w:val="009B7138"/>
    <w:rPr>
      <w:rFonts w:ascii="Times New Roman" w:eastAsiaTheme="majorEastAsia" w:hAnsi="Times New Roman" w:cs="Times New Roman"/>
      <w:bCs/>
      <w:i/>
      <w:sz w:val="24"/>
      <w:lang w:val="en-GB"/>
    </w:rPr>
  </w:style>
  <w:style w:type="character" w:customStyle="1" w:styleId="Nadpis4Char">
    <w:name w:val="Nadpis 4 Char"/>
    <w:basedOn w:val="Predvolenpsmoodseku"/>
    <w:link w:val="Nadpis4"/>
    <w:uiPriority w:val="9"/>
    <w:semiHidden/>
    <w:rsid w:val="009B7138"/>
    <w:rPr>
      <w:rFonts w:ascii="Times New Roman" w:eastAsiaTheme="majorEastAsia" w:hAnsi="Times New Roman" w:cs="Times New Roman"/>
      <w:bCs/>
      <w:iCs/>
      <w:sz w:val="24"/>
      <w:lang w:val="en-GB"/>
    </w:rPr>
  </w:style>
  <w:style w:type="paragraph" w:styleId="Hlavikaobsahu">
    <w:name w:val="TOC Heading"/>
    <w:basedOn w:val="Normlny"/>
    <w:next w:val="Normlny"/>
    <w:uiPriority w:val="39"/>
    <w:semiHidden/>
    <w:unhideWhenUsed/>
    <w:qFormat/>
    <w:rsid w:val="009B7138"/>
    <w:pPr>
      <w:spacing w:after="240"/>
      <w:jc w:val="center"/>
    </w:pPr>
    <w:rPr>
      <w:b/>
      <w:sz w:val="28"/>
    </w:rPr>
  </w:style>
  <w:style w:type="paragraph" w:styleId="Obsah1">
    <w:name w:val="toc 1"/>
    <w:basedOn w:val="Normlny"/>
    <w:next w:val="Normlny"/>
    <w:uiPriority w:val="39"/>
    <w:semiHidden/>
    <w:unhideWhenUsed/>
    <w:rsid w:val="009B7138"/>
    <w:pPr>
      <w:tabs>
        <w:tab w:val="right" w:leader="dot" w:pos="9071"/>
      </w:tabs>
      <w:spacing w:before="60"/>
      <w:ind w:left="850" w:hanging="850"/>
      <w:jc w:val="left"/>
    </w:pPr>
  </w:style>
  <w:style w:type="paragraph" w:styleId="Obsah2">
    <w:name w:val="toc 2"/>
    <w:basedOn w:val="Normlny"/>
    <w:next w:val="Normlny"/>
    <w:uiPriority w:val="39"/>
    <w:semiHidden/>
    <w:unhideWhenUsed/>
    <w:rsid w:val="009B7138"/>
    <w:pPr>
      <w:tabs>
        <w:tab w:val="right" w:leader="dot" w:pos="9071"/>
      </w:tabs>
      <w:spacing w:before="60"/>
      <w:ind w:left="850" w:hanging="850"/>
      <w:jc w:val="left"/>
    </w:pPr>
  </w:style>
  <w:style w:type="paragraph" w:styleId="Obsah3">
    <w:name w:val="toc 3"/>
    <w:basedOn w:val="Normlny"/>
    <w:next w:val="Normlny"/>
    <w:uiPriority w:val="39"/>
    <w:semiHidden/>
    <w:unhideWhenUsed/>
    <w:rsid w:val="009B7138"/>
    <w:pPr>
      <w:tabs>
        <w:tab w:val="right" w:leader="dot" w:pos="9071"/>
      </w:tabs>
      <w:spacing w:before="60"/>
      <w:ind w:left="850" w:hanging="850"/>
      <w:jc w:val="left"/>
    </w:pPr>
  </w:style>
  <w:style w:type="paragraph" w:styleId="Obsah4">
    <w:name w:val="toc 4"/>
    <w:basedOn w:val="Normlny"/>
    <w:next w:val="Normlny"/>
    <w:uiPriority w:val="39"/>
    <w:semiHidden/>
    <w:unhideWhenUsed/>
    <w:rsid w:val="009B7138"/>
    <w:pPr>
      <w:tabs>
        <w:tab w:val="right" w:leader="dot" w:pos="9071"/>
      </w:tabs>
      <w:spacing w:before="60"/>
      <w:ind w:left="850" w:hanging="850"/>
      <w:jc w:val="left"/>
    </w:pPr>
  </w:style>
  <w:style w:type="paragraph" w:styleId="Obsah5">
    <w:name w:val="toc 5"/>
    <w:basedOn w:val="Normlny"/>
    <w:next w:val="Normlny"/>
    <w:uiPriority w:val="39"/>
    <w:semiHidden/>
    <w:unhideWhenUsed/>
    <w:rsid w:val="009B7138"/>
    <w:pPr>
      <w:tabs>
        <w:tab w:val="right" w:leader="dot" w:pos="9071"/>
      </w:tabs>
      <w:spacing w:before="300"/>
      <w:jc w:val="left"/>
    </w:pPr>
  </w:style>
  <w:style w:type="paragraph" w:styleId="Obsah6">
    <w:name w:val="toc 6"/>
    <w:basedOn w:val="Normlny"/>
    <w:next w:val="Normlny"/>
    <w:uiPriority w:val="39"/>
    <w:semiHidden/>
    <w:unhideWhenUsed/>
    <w:rsid w:val="009B7138"/>
    <w:pPr>
      <w:tabs>
        <w:tab w:val="right" w:leader="dot" w:pos="9071"/>
      </w:tabs>
      <w:spacing w:before="240"/>
      <w:jc w:val="left"/>
    </w:pPr>
  </w:style>
  <w:style w:type="paragraph" w:styleId="Obsah7">
    <w:name w:val="toc 7"/>
    <w:basedOn w:val="Normlny"/>
    <w:next w:val="Normlny"/>
    <w:uiPriority w:val="39"/>
    <w:semiHidden/>
    <w:unhideWhenUsed/>
    <w:rsid w:val="009B7138"/>
    <w:pPr>
      <w:tabs>
        <w:tab w:val="right" w:leader="dot" w:pos="9071"/>
      </w:tabs>
      <w:spacing w:before="180"/>
      <w:jc w:val="left"/>
    </w:pPr>
  </w:style>
  <w:style w:type="paragraph" w:styleId="Obsah8">
    <w:name w:val="toc 8"/>
    <w:basedOn w:val="Normlny"/>
    <w:next w:val="Normlny"/>
    <w:uiPriority w:val="39"/>
    <w:semiHidden/>
    <w:unhideWhenUsed/>
    <w:rsid w:val="009B7138"/>
    <w:pPr>
      <w:tabs>
        <w:tab w:val="right" w:leader="dot" w:pos="9071"/>
      </w:tabs>
      <w:jc w:val="left"/>
    </w:pPr>
  </w:style>
  <w:style w:type="paragraph" w:styleId="Obsah9">
    <w:name w:val="toc 9"/>
    <w:basedOn w:val="Normlny"/>
    <w:next w:val="Normlny"/>
    <w:uiPriority w:val="39"/>
    <w:semiHidden/>
    <w:unhideWhenUsed/>
    <w:rsid w:val="009B7138"/>
    <w:pPr>
      <w:tabs>
        <w:tab w:val="right" w:leader="dot" w:pos="9071"/>
      </w:tabs>
    </w:pPr>
  </w:style>
  <w:style w:type="paragraph" w:customStyle="1" w:styleId="HeaderLandscape">
    <w:name w:val="HeaderLandscape"/>
    <w:basedOn w:val="Normlny"/>
    <w:rsid w:val="009B7138"/>
    <w:pPr>
      <w:tabs>
        <w:tab w:val="center" w:pos="7285"/>
        <w:tab w:val="right" w:pos="14003"/>
      </w:tabs>
      <w:spacing w:before="0"/>
    </w:pPr>
  </w:style>
  <w:style w:type="paragraph" w:customStyle="1" w:styleId="FooterLandscape">
    <w:name w:val="FooterLandscape"/>
    <w:basedOn w:val="Normlny"/>
    <w:rsid w:val="009B7138"/>
    <w:pPr>
      <w:tabs>
        <w:tab w:val="center" w:pos="7285"/>
        <w:tab w:val="center" w:pos="10913"/>
        <w:tab w:val="right" w:pos="15137"/>
      </w:tabs>
      <w:spacing w:before="360" w:after="0"/>
      <w:ind w:left="-567" w:right="-567"/>
      <w:jc w:val="left"/>
    </w:pPr>
  </w:style>
  <w:style w:type="character" w:styleId="Odkaznapoznmkupodiarou">
    <w:name w:val="footnote reference"/>
    <w:basedOn w:val="Predvolenpsmoodseku"/>
    <w:uiPriority w:val="99"/>
    <w:semiHidden/>
    <w:unhideWhenUsed/>
    <w:rsid w:val="009B7138"/>
    <w:rPr>
      <w:shd w:val="clear" w:color="auto" w:fill="auto"/>
      <w:vertAlign w:val="superscript"/>
    </w:rPr>
  </w:style>
  <w:style w:type="paragraph" w:customStyle="1" w:styleId="HeaderSensitivity">
    <w:name w:val="Header Sensitivity"/>
    <w:basedOn w:val="Normlny"/>
    <w:rsid w:val="009B713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lny"/>
    <w:rsid w:val="009B7138"/>
    <w:pPr>
      <w:spacing w:before="0"/>
      <w:jc w:val="right"/>
    </w:pPr>
    <w:rPr>
      <w:sz w:val="28"/>
    </w:rPr>
  </w:style>
  <w:style w:type="paragraph" w:customStyle="1" w:styleId="FooterSensitivity">
    <w:name w:val="Footer Sensitivity"/>
    <w:basedOn w:val="Normlny"/>
    <w:rsid w:val="009B713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lny"/>
    <w:rsid w:val="009B7138"/>
    <w:pPr>
      <w:ind w:left="850"/>
    </w:pPr>
  </w:style>
  <w:style w:type="paragraph" w:customStyle="1" w:styleId="Text2">
    <w:name w:val="Text 2"/>
    <w:basedOn w:val="Normlny"/>
    <w:rsid w:val="009B7138"/>
    <w:pPr>
      <w:ind w:left="1417"/>
    </w:pPr>
  </w:style>
  <w:style w:type="paragraph" w:customStyle="1" w:styleId="Text3">
    <w:name w:val="Text 3"/>
    <w:basedOn w:val="Normlny"/>
    <w:rsid w:val="009B7138"/>
    <w:pPr>
      <w:ind w:left="1984"/>
    </w:pPr>
  </w:style>
  <w:style w:type="paragraph" w:customStyle="1" w:styleId="Text4">
    <w:name w:val="Text 4"/>
    <w:basedOn w:val="Normlny"/>
    <w:rsid w:val="009B7138"/>
    <w:pPr>
      <w:ind w:left="2551"/>
    </w:pPr>
  </w:style>
  <w:style w:type="paragraph" w:customStyle="1" w:styleId="NormalCentered">
    <w:name w:val="Normal Centered"/>
    <w:basedOn w:val="Normlny"/>
    <w:rsid w:val="009B7138"/>
    <w:pPr>
      <w:jc w:val="center"/>
    </w:pPr>
  </w:style>
  <w:style w:type="paragraph" w:customStyle="1" w:styleId="NormalLeft">
    <w:name w:val="Normal Left"/>
    <w:basedOn w:val="Normlny"/>
    <w:rsid w:val="009B7138"/>
    <w:pPr>
      <w:jc w:val="left"/>
    </w:pPr>
  </w:style>
  <w:style w:type="paragraph" w:customStyle="1" w:styleId="NormalRight">
    <w:name w:val="Normal Right"/>
    <w:basedOn w:val="Normlny"/>
    <w:rsid w:val="009B7138"/>
    <w:pPr>
      <w:jc w:val="right"/>
    </w:pPr>
  </w:style>
  <w:style w:type="paragraph" w:customStyle="1" w:styleId="QuotedText">
    <w:name w:val="Quoted Text"/>
    <w:basedOn w:val="Normlny"/>
    <w:rsid w:val="009B7138"/>
    <w:pPr>
      <w:ind w:left="1417"/>
    </w:pPr>
  </w:style>
  <w:style w:type="paragraph" w:customStyle="1" w:styleId="Point0">
    <w:name w:val="Point 0"/>
    <w:basedOn w:val="Normlny"/>
    <w:rsid w:val="009B7138"/>
    <w:pPr>
      <w:ind w:left="850" w:hanging="850"/>
    </w:pPr>
  </w:style>
  <w:style w:type="paragraph" w:customStyle="1" w:styleId="Point1">
    <w:name w:val="Point 1"/>
    <w:basedOn w:val="Normlny"/>
    <w:rsid w:val="009B7138"/>
    <w:pPr>
      <w:ind w:left="1417" w:hanging="567"/>
    </w:pPr>
  </w:style>
  <w:style w:type="paragraph" w:customStyle="1" w:styleId="Point2">
    <w:name w:val="Point 2"/>
    <w:basedOn w:val="Normlny"/>
    <w:rsid w:val="009B7138"/>
    <w:pPr>
      <w:ind w:left="1984" w:hanging="567"/>
    </w:pPr>
  </w:style>
  <w:style w:type="paragraph" w:customStyle="1" w:styleId="Point3">
    <w:name w:val="Point 3"/>
    <w:basedOn w:val="Normlny"/>
    <w:rsid w:val="009B7138"/>
    <w:pPr>
      <w:ind w:left="2551" w:hanging="567"/>
    </w:pPr>
  </w:style>
  <w:style w:type="paragraph" w:customStyle="1" w:styleId="Point4">
    <w:name w:val="Point 4"/>
    <w:basedOn w:val="Normlny"/>
    <w:rsid w:val="009B7138"/>
    <w:pPr>
      <w:ind w:left="3118" w:hanging="567"/>
    </w:pPr>
  </w:style>
  <w:style w:type="paragraph" w:customStyle="1" w:styleId="Tiret0">
    <w:name w:val="Tiret 0"/>
    <w:basedOn w:val="Point0"/>
    <w:rsid w:val="009B7138"/>
    <w:pPr>
      <w:numPr>
        <w:numId w:val="13"/>
      </w:numPr>
    </w:pPr>
  </w:style>
  <w:style w:type="paragraph" w:customStyle="1" w:styleId="Tiret1">
    <w:name w:val="Tiret 1"/>
    <w:basedOn w:val="Point1"/>
    <w:rsid w:val="009B7138"/>
    <w:pPr>
      <w:numPr>
        <w:numId w:val="14"/>
      </w:numPr>
    </w:pPr>
  </w:style>
  <w:style w:type="paragraph" w:customStyle="1" w:styleId="Tiret2">
    <w:name w:val="Tiret 2"/>
    <w:basedOn w:val="Point2"/>
    <w:rsid w:val="009B7138"/>
    <w:pPr>
      <w:numPr>
        <w:numId w:val="15"/>
      </w:numPr>
    </w:pPr>
  </w:style>
  <w:style w:type="paragraph" w:customStyle="1" w:styleId="Tiret3">
    <w:name w:val="Tiret 3"/>
    <w:basedOn w:val="Point3"/>
    <w:rsid w:val="009B7138"/>
    <w:pPr>
      <w:numPr>
        <w:numId w:val="16"/>
      </w:numPr>
    </w:pPr>
  </w:style>
  <w:style w:type="paragraph" w:customStyle="1" w:styleId="Tiret4">
    <w:name w:val="Tiret 4"/>
    <w:basedOn w:val="Point4"/>
    <w:rsid w:val="009B7138"/>
    <w:pPr>
      <w:numPr>
        <w:numId w:val="17"/>
      </w:numPr>
    </w:pPr>
  </w:style>
  <w:style w:type="paragraph" w:customStyle="1" w:styleId="PointDouble0">
    <w:name w:val="PointDouble 0"/>
    <w:basedOn w:val="Normlny"/>
    <w:rsid w:val="009B7138"/>
    <w:pPr>
      <w:tabs>
        <w:tab w:val="left" w:pos="850"/>
      </w:tabs>
      <w:ind w:left="1417" w:hanging="1417"/>
    </w:pPr>
  </w:style>
  <w:style w:type="paragraph" w:customStyle="1" w:styleId="PointDouble1">
    <w:name w:val="PointDouble 1"/>
    <w:basedOn w:val="Normlny"/>
    <w:rsid w:val="009B7138"/>
    <w:pPr>
      <w:tabs>
        <w:tab w:val="left" w:pos="1417"/>
      </w:tabs>
      <w:ind w:left="1984" w:hanging="1134"/>
    </w:pPr>
  </w:style>
  <w:style w:type="paragraph" w:customStyle="1" w:styleId="PointDouble2">
    <w:name w:val="PointDouble 2"/>
    <w:basedOn w:val="Normlny"/>
    <w:rsid w:val="009B7138"/>
    <w:pPr>
      <w:tabs>
        <w:tab w:val="left" w:pos="1984"/>
      </w:tabs>
      <w:ind w:left="2551" w:hanging="1134"/>
    </w:pPr>
  </w:style>
  <w:style w:type="paragraph" w:customStyle="1" w:styleId="PointDouble3">
    <w:name w:val="PointDouble 3"/>
    <w:basedOn w:val="Normlny"/>
    <w:rsid w:val="009B7138"/>
    <w:pPr>
      <w:tabs>
        <w:tab w:val="left" w:pos="2551"/>
      </w:tabs>
      <w:ind w:left="3118" w:hanging="1134"/>
    </w:pPr>
  </w:style>
  <w:style w:type="paragraph" w:customStyle="1" w:styleId="PointDouble4">
    <w:name w:val="PointDouble 4"/>
    <w:basedOn w:val="Normlny"/>
    <w:rsid w:val="009B7138"/>
    <w:pPr>
      <w:tabs>
        <w:tab w:val="left" w:pos="3118"/>
      </w:tabs>
      <w:ind w:left="3685" w:hanging="1134"/>
    </w:pPr>
  </w:style>
  <w:style w:type="paragraph" w:customStyle="1" w:styleId="PointTriple0">
    <w:name w:val="PointTriple 0"/>
    <w:basedOn w:val="Normlny"/>
    <w:rsid w:val="009B7138"/>
    <w:pPr>
      <w:tabs>
        <w:tab w:val="left" w:pos="850"/>
        <w:tab w:val="left" w:pos="1417"/>
      </w:tabs>
      <w:ind w:left="1984" w:hanging="1984"/>
    </w:pPr>
  </w:style>
  <w:style w:type="paragraph" w:customStyle="1" w:styleId="PointTriple1">
    <w:name w:val="PointTriple 1"/>
    <w:basedOn w:val="Normlny"/>
    <w:rsid w:val="009B7138"/>
    <w:pPr>
      <w:tabs>
        <w:tab w:val="left" w:pos="1417"/>
        <w:tab w:val="left" w:pos="1984"/>
      </w:tabs>
      <w:ind w:left="2551" w:hanging="1701"/>
    </w:pPr>
  </w:style>
  <w:style w:type="paragraph" w:customStyle="1" w:styleId="PointTriple2">
    <w:name w:val="PointTriple 2"/>
    <w:basedOn w:val="Normlny"/>
    <w:rsid w:val="009B7138"/>
    <w:pPr>
      <w:tabs>
        <w:tab w:val="left" w:pos="1984"/>
        <w:tab w:val="left" w:pos="2551"/>
      </w:tabs>
      <w:ind w:left="3118" w:hanging="1701"/>
    </w:pPr>
  </w:style>
  <w:style w:type="paragraph" w:customStyle="1" w:styleId="PointTriple3">
    <w:name w:val="PointTriple 3"/>
    <w:basedOn w:val="Normlny"/>
    <w:rsid w:val="009B7138"/>
    <w:pPr>
      <w:tabs>
        <w:tab w:val="left" w:pos="2551"/>
        <w:tab w:val="left" w:pos="3118"/>
      </w:tabs>
      <w:ind w:left="3685" w:hanging="1701"/>
    </w:pPr>
  </w:style>
  <w:style w:type="paragraph" w:customStyle="1" w:styleId="PointTriple4">
    <w:name w:val="PointTriple 4"/>
    <w:basedOn w:val="Normlny"/>
    <w:rsid w:val="009B7138"/>
    <w:pPr>
      <w:tabs>
        <w:tab w:val="left" w:pos="3118"/>
        <w:tab w:val="left" w:pos="3685"/>
      </w:tabs>
      <w:ind w:left="4252" w:hanging="1701"/>
    </w:pPr>
  </w:style>
  <w:style w:type="paragraph" w:customStyle="1" w:styleId="NumPar1">
    <w:name w:val="NumPar 1"/>
    <w:basedOn w:val="Normlny"/>
    <w:next w:val="Text1"/>
    <w:rsid w:val="009B7138"/>
    <w:pPr>
      <w:numPr>
        <w:numId w:val="18"/>
      </w:numPr>
    </w:pPr>
  </w:style>
  <w:style w:type="paragraph" w:customStyle="1" w:styleId="NumPar2">
    <w:name w:val="NumPar 2"/>
    <w:basedOn w:val="Normlny"/>
    <w:next w:val="Text1"/>
    <w:rsid w:val="009B7138"/>
    <w:pPr>
      <w:numPr>
        <w:ilvl w:val="1"/>
        <w:numId w:val="18"/>
      </w:numPr>
    </w:pPr>
  </w:style>
  <w:style w:type="paragraph" w:customStyle="1" w:styleId="NumPar3">
    <w:name w:val="NumPar 3"/>
    <w:basedOn w:val="Normlny"/>
    <w:next w:val="Text1"/>
    <w:rsid w:val="009B7138"/>
    <w:pPr>
      <w:numPr>
        <w:ilvl w:val="2"/>
        <w:numId w:val="18"/>
      </w:numPr>
    </w:pPr>
  </w:style>
  <w:style w:type="paragraph" w:customStyle="1" w:styleId="NumPar4">
    <w:name w:val="NumPar 4"/>
    <w:basedOn w:val="Normlny"/>
    <w:next w:val="Text1"/>
    <w:rsid w:val="009B7138"/>
    <w:pPr>
      <w:numPr>
        <w:ilvl w:val="3"/>
        <w:numId w:val="18"/>
      </w:numPr>
    </w:pPr>
  </w:style>
  <w:style w:type="paragraph" w:customStyle="1" w:styleId="ManualNumPar1">
    <w:name w:val="Manual NumPar 1"/>
    <w:basedOn w:val="Normlny"/>
    <w:next w:val="Text1"/>
    <w:rsid w:val="009B7138"/>
    <w:pPr>
      <w:ind w:left="850" w:hanging="850"/>
    </w:pPr>
  </w:style>
  <w:style w:type="paragraph" w:customStyle="1" w:styleId="ManualNumPar2">
    <w:name w:val="Manual NumPar 2"/>
    <w:basedOn w:val="Normlny"/>
    <w:next w:val="Text1"/>
    <w:rsid w:val="009B7138"/>
    <w:pPr>
      <w:ind w:left="850" w:hanging="850"/>
    </w:pPr>
  </w:style>
  <w:style w:type="paragraph" w:customStyle="1" w:styleId="ManualNumPar3">
    <w:name w:val="Manual NumPar 3"/>
    <w:basedOn w:val="Normlny"/>
    <w:next w:val="Text1"/>
    <w:rsid w:val="009B7138"/>
    <w:pPr>
      <w:ind w:left="850" w:hanging="850"/>
    </w:pPr>
  </w:style>
  <w:style w:type="paragraph" w:customStyle="1" w:styleId="ManualNumPar4">
    <w:name w:val="Manual NumPar 4"/>
    <w:basedOn w:val="Normlny"/>
    <w:next w:val="Text1"/>
    <w:rsid w:val="009B7138"/>
    <w:pPr>
      <w:ind w:left="850" w:hanging="850"/>
    </w:pPr>
  </w:style>
  <w:style w:type="paragraph" w:customStyle="1" w:styleId="QuotedNumPar">
    <w:name w:val="Quoted NumPar"/>
    <w:basedOn w:val="Normlny"/>
    <w:rsid w:val="009B7138"/>
    <w:pPr>
      <w:ind w:left="1417" w:hanging="567"/>
    </w:pPr>
  </w:style>
  <w:style w:type="paragraph" w:customStyle="1" w:styleId="ManualHeading1">
    <w:name w:val="Manual Heading 1"/>
    <w:basedOn w:val="Normlny"/>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lny"/>
    <w:next w:val="Text1"/>
    <w:rsid w:val="009B7138"/>
    <w:pPr>
      <w:keepNext/>
      <w:tabs>
        <w:tab w:val="left" w:pos="850"/>
      </w:tabs>
      <w:ind w:left="850" w:hanging="850"/>
      <w:outlineLvl w:val="1"/>
    </w:pPr>
    <w:rPr>
      <w:b/>
    </w:rPr>
  </w:style>
  <w:style w:type="paragraph" w:customStyle="1" w:styleId="ManualHeading3">
    <w:name w:val="Manual Heading 3"/>
    <w:basedOn w:val="Normlny"/>
    <w:next w:val="Text1"/>
    <w:rsid w:val="009B7138"/>
    <w:pPr>
      <w:keepNext/>
      <w:tabs>
        <w:tab w:val="left" w:pos="850"/>
      </w:tabs>
      <w:ind w:left="850" w:hanging="850"/>
      <w:outlineLvl w:val="2"/>
    </w:pPr>
    <w:rPr>
      <w:i/>
    </w:rPr>
  </w:style>
  <w:style w:type="paragraph" w:customStyle="1" w:styleId="ManualHeading4">
    <w:name w:val="Manual Heading 4"/>
    <w:basedOn w:val="Normlny"/>
    <w:next w:val="Text1"/>
    <w:rsid w:val="009B7138"/>
    <w:pPr>
      <w:keepNext/>
      <w:tabs>
        <w:tab w:val="left" w:pos="850"/>
      </w:tabs>
      <w:ind w:left="850" w:hanging="850"/>
      <w:outlineLvl w:val="3"/>
    </w:pPr>
  </w:style>
  <w:style w:type="paragraph" w:customStyle="1" w:styleId="ChapterTitle">
    <w:name w:val="ChapterTitle"/>
    <w:basedOn w:val="Normlny"/>
    <w:next w:val="Normlny"/>
    <w:rsid w:val="009B7138"/>
    <w:pPr>
      <w:keepNext/>
      <w:spacing w:after="360"/>
      <w:jc w:val="center"/>
    </w:pPr>
    <w:rPr>
      <w:b/>
      <w:sz w:val="32"/>
    </w:rPr>
  </w:style>
  <w:style w:type="paragraph" w:customStyle="1" w:styleId="PartTitle">
    <w:name w:val="PartTitle"/>
    <w:basedOn w:val="Normlny"/>
    <w:next w:val="ChapterTitle"/>
    <w:rsid w:val="009B7138"/>
    <w:pPr>
      <w:keepNext/>
      <w:pageBreakBefore/>
      <w:spacing w:after="360"/>
      <w:jc w:val="center"/>
    </w:pPr>
    <w:rPr>
      <w:b/>
      <w:sz w:val="36"/>
    </w:rPr>
  </w:style>
  <w:style w:type="paragraph" w:customStyle="1" w:styleId="SectionTitle">
    <w:name w:val="SectionTitle"/>
    <w:basedOn w:val="Normlny"/>
    <w:next w:val="Nadpis1"/>
    <w:rsid w:val="009B7138"/>
    <w:pPr>
      <w:keepNext/>
      <w:spacing w:after="360"/>
      <w:jc w:val="center"/>
    </w:pPr>
    <w:rPr>
      <w:b/>
      <w:smallCaps/>
      <w:sz w:val="28"/>
    </w:rPr>
  </w:style>
  <w:style w:type="paragraph" w:customStyle="1" w:styleId="TableTitle">
    <w:name w:val="Table Title"/>
    <w:basedOn w:val="Normlny"/>
    <w:next w:val="Normlny"/>
    <w:rsid w:val="009B7138"/>
    <w:pPr>
      <w:jc w:val="center"/>
    </w:pPr>
    <w:rPr>
      <w:b/>
    </w:rPr>
  </w:style>
  <w:style w:type="character" w:customStyle="1" w:styleId="Marker">
    <w:name w:val="Marker"/>
    <w:basedOn w:val="Predvolenpsmoodseku"/>
    <w:rsid w:val="009B7138"/>
    <w:rPr>
      <w:color w:val="0000FF"/>
      <w:shd w:val="clear" w:color="auto" w:fill="auto"/>
    </w:rPr>
  </w:style>
  <w:style w:type="character" w:customStyle="1" w:styleId="Marker1">
    <w:name w:val="Marker1"/>
    <w:basedOn w:val="Predvolenpsmoodseku"/>
    <w:rsid w:val="009B7138"/>
    <w:rPr>
      <w:color w:val="008000"/>
      <w:shd w:val="clear" w:color="auto" w:fill="auto"/>
    </w:rPr>
  </w:style>
  <w:style w:type="character" w:customStyle="1" w:styleId="Marker2">
    <w:name w:val="Marker2"/>
    <w:basedOn w:val="Predvolenpsmoodseku"/>
    <w:rsid w:val="009B7138"/>
    <w:rPr>
      <w:color w:val="FF0000"/>
      <w:shd w:val="clear" w:color="auto" w:fill="auto"/>
    </w:rPr>
  </w:style>
  <w:style w:type="paragraph" w:customStyle="1" w:styleId="Point0number">
    <w:name w:val="Point 0 (number)"/>
    <w:basedOn w:val="Normlny"/>
    <w:rsid w:val="009B7138"/>
    <w:pPr>
      <w:numPr>
        <w:numId w:val="20"/>
      </w:numPr>
    </w:pPr>
  </w:style>
  <w:style w:type="paragraph" w:customStyle="1" w:styleId="Point1number">
    <w:name w:val="Point 1 (number)"/>
    <w:basedOn w:val="Normlny"/>
    <w:rsid w:val="009B7138"/>
    <w:pPr>
      <w:numPr>
        <w:ilvl w:val="2"/>
        <w:numId w:val="20"/>
      </w:numPr>
    </w:pPr>
  </w:style>
  <w:style w:type="paragraph" w:customStyle="1" w:styleId="Point2number">
    <w:name w:val="Point 2 (number)"/>
    <w:basedOn w:val="Normlny"/>
    <w:rsid w:val="009B7138"/>
    <w:pPr>
      <w:numPr>
        <w:ilvl w:val="4"/>
        <w:numId w:val="20"/>
      </w:numPr>
    </w:pPr>
  </w:style>
  <w:style w:type="paragraph" w:customStyle="1" w:styleId="Point3number">
    <w:name w:val="Point 3 (number)"/>
    <w:basedOn w:val="Normlny"/>
    <w:rsid w:val="009B7138"/>
    <w:pPr>
      <w:numPr>
        <w:ilvl w:val="6"/>
        <w:numId w:val="20"/>
      </w:numPr>
    </w:pPr>
  </w:style>
  <w:style w:type="paragraph" w:customStyle="1" w:styleId="Point0letter">
    <w:name w:val="Point 0 (letter)"/>
    <w:basedOn w:val="Normlny"/>
    <w:rsid w:val="009B7138"/>
    <w:pPr>
      <w:numPr>
        <w:ilvl w:val="1"/>
        <w:numId w:val="20"/>
      </w:numPr>
    </w:pPr>
  </w:style>
  <w:style w:type="paragraph" w:customStyle="1" w:styleId="Point1letter">
    <w:name w:val="Point 1 (letter)"/>
    <w:basedOn w:val="Normlny"/>
    <w:rsid w:val="009B7138"/>
    <w:pPr>
      <w:numPr>
        <w:ilvl w:val="3"/>
        <w:numId w:val="20"/>
      </w:numPr>
    </w:pPr>
  </w:style>
  <w:style w:type="paragraph" w:customStyle="1" w:styleId="Point2letter">
    <w:name w:val="Point 2 (letter)"/>
    <w:basedOn w:val="Normlny"/>
    <w:rsid w:val="009B7138"/>
    <w:pPr>
      <w:numPr>
        <w:ilvl w:val="5"/>
        <w:numId w:val="20"/>
      </w:numPr>
    </w:pPr>
  </w:style>
  <w:style w:type="paragraph" w:customStyle="1" w:styleId="Point3letter">
    <w:name w:val="Point 3 (letter)"/>
    <w:basedOn w:val="Normlny"/>
    <w:rsid w:val="009B7138"/>
    <w:pPr>
      <w:numPr>
        <w:ilvl w:val="7"/>
        <w:numId w:val="20"/>
      </w:numPr>
    </w:pPr>
  </w:style>
  <w:style w:type="paragraph" w:customStyle="1" w:styleId="Point4letter">
    <w:name w:val="Point 4 (letter)"/>
    <w:basedOn w:val="Normlny"/>
    <w:rsid w:val="009B7138"/>
    <w:pPr>
      <w:numPr>
        <w:ilvl w:val="8"/>
        <w:numId w:val="20"/>
      </w:numPr>
    </w:pPr>
  </w:style>
  <w:style w:type="paragraph" w:customStyle="1" w:styleId="Bullet0">
    <w:name w:val="Bullet 0"/>
    <w:basedOn w:val="Normlny"/>
    <w:rsid w:val="009B7138"/>
    <w:pPr>
      <w:numPr>
        <w:numId w:val="21"/>
      </w:numPr>
    </w:pPr>
  </w:style>
  <w:style w:type="paragraph" w:customStyle="1" w:styleId="Bullet1">
    <w:name w:val="Bullet 1"/>
    <w:basedOn w:val="Normlny"/>
    <w:rsid w:val="009B7138"/>
    <w:pPr>
      <w:numPr>
        <w:numId w:val="22"/>
      </w:numPr>
    </w:pPr>
  </w:style>
  <w:style w:type="paragraph" w:customStyle="1" w:styleId="Bullet2">
    <w:name w:val="Bullet 2"/>
    <w:basedOn w:val="Normlny"/>
    <w:rsid w:val="009B7138"/>
    <w:pPr>
      <w:numPr>
        <w:numId w:val="23"/>
      </w:numPr>
    </w:pPr>
  </w:style>
  <w:style w:type="paragraph" w:customStyle="1" w:styleId="Bullet3">
    <w:name w:val="Bullet 3"/>
    <w:basedOn w:val="Normlny"/>
    <w:rsid w:val="009B7138"/>
    <w:pPr>
      <w:numPr>
        <w:numId w:val="24"/>
      </w:numPr>
    </w:pPr>
  </w:style>
  <w:style w:type="paragraph" w:customStyle="1" w:styleId="Bullet4">
    <w:name w:val="Bullet 4"/>
    <w:basedOn w:val="Normlny"/>
    <w:rsid w:val="009B7138"/>
    <w:pPr>
      <w:numPr>
        <w:numId w:val="25"/>
      </w:numPr>
    </w:pPr>
  </w:style>
  <w:style w:type="paragraph" w:customStyle="1" w:styleId="Langue">
    <w:name w:val="Langue"/>
    <w:basedOn w:val="Normlny"/>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lny"/>
    <w:next w:val="Emission"/>
    <w:rsid w:val="009B7138"/>
    <w:pPr>
      <w:spacing w:before="0" w:after="0"/>
      <w:jc w:val="left"/>
    </w:pPr>
    <w:rPr>
      <w:rFonts w:ascii="Arial" w:hAnsi="Arial" w:cs="Arial"/>
    </w:rPr>
  </w:style>
  <w:style w:type="paragraph" w:customStyle="1" w:styleId="Emission">
    <w:name w:val="Emission"/>
    <w:basedOn w:val="Normlny"/>
    <w:next w:val="Rfrenceinstitutionnelle"/>
    <w:rsid w:val="009B7138"/>
    <w:pPr>
      <w:spacing w:before="0" w:after="0"/>
      <w:ind w:left="5103"/>
      <w:jc w:val="left"/>
    </w:pPr>
  </w:style>
  <w:style w:type="paragraph" w:customStyle="1" w:styleId="Rfrenceinstitutionnelle">
    <w:name w:val="Référence institutionnelle"/>
    <w:basedOn w:val="Normlny"/>
    <w:next w:val="Confidentialit"/>
    <w:rsid w:val="009B7138"/>
    <w:pPr>
      <w:spacing w:before="0" w:after="240"/>
      <w:ind w:left="5103"/>
      <w:jc w:val="left"/>
    </w:pPr>
  </w:style>
  <w:style w:type="paragraph" w:customStyle="1" w:styleId="Pagedecouverture">
    <w:name w:val="Page de couverture"/>
    <w:basedOn w:val="Normlny"/>
    <w:next w:val="Normlny"/>
    <w:rsid w:val="009B7138"/>
    <w:pPr>
      <w:spacing w:before="0" w:after="0"/>
    </w:pPr>
  </w:style>
  <w:style w:type="paragraph" w:customStyle="1" w:styleId="Declassification">
    <w:name w:val="Declassification"/>
    <w:basedOn w:val="Normlny"/>
    <w:next w:val="Normlny"/>
    <w:rsid w:val="009B7138"/>
    <w:pPr>
      <w:spacing w:before="0" w:after="0"/>
    </w:pPr>
  </w:style>
  <w:style w:type="paragraph" w:customStyle="1" w:styleId="Disclaimer">
    <w:name w:val="Disclaimer"/>
    <w:basedOn w:val="Normlny"/>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lny"/>
    <w:rsid w:val="009B7138"/>
    <w:pPr>
      <w:spacing w:before="0" w:after="0" w:line="276" w:lineRule="auto"/>
      <w:ind w:left="5103"/>
      <w:jc w:val="left"/>
    </w:pPr>
    <w:rPr>
      <w:sz w:val="28"/>
    </w:rPr>
  </w:style>
  <w:style w:type="paragraph" w:customStyle="1" w:styleId="DateMarking">
    <w:name w:val="DateMarking"/>
    <w:basedOn w:val="Normlny"/>
    <w:rsid w:val="009B7138"/>
    <w:pPr>
      <w:spacing w:before="0" w:after="0" w:line="276" w:lineRule="auto"/>
      <w:ind w:left="5103"/>
      <w:jc w:val="left"/>
    </w:pPr>
    <w:rPr>
      <w:i/>
      <w:sz w:val="28"/>
    </w:rPr>
  </w:style>
  <w:style w:type="paragraph" w:customStyle="1" w:styleId="ReleasableTo">
    <w:name w:val="ReleasableTo"/>
    <w:basedOn w:val="Normlny"/>
    <w:rsid w:val="009B7138"/>
    <w:pPr>
      <w:spacing w:before="0" w:after="0" w:line="276" w:lineRule="auto"/>
      <w:ind w:left="5103"/>
      <w:jc w:val="left"/>
    </w:pPr>
    <w:rPr>
      <w:i/>
      <w:sz w:val="28"/>
    </w:rPr>
  </w:style>
  <w:style w:type="paragraph" w:customStyle="1" w:styleId="Annexetitreexpos">
    <w:name w:val="Annexe titre (exposé)"/>
    <w:basedOn w:val="Normlny"/>
    <w:next w:val="Normlny"/>
    <w:rsid w:val="009B7138"/>
    <w:pPr>
      <w:jc w:val="center"/>
    </w:pPr>
    <w:rPr>
      <w:b/>
      <w:u w:val="single"/>
    </w:rPr>
  </w:style>
  <w:style w:type="paragraph" w:customStyle="1" w:styleId="Annexetitre">
    <w:name w:val="Annexe titre"/>
    <w:basedOn w:val="Normlny"/>
    <w:next w:val="Normlny"/>
    <w:rsid w:val="009B7138"/>
    <w:pPr>
      <w:jc w:val="center"/>
    </w:pPr>
    <w:rPr>
      <w:b/>
      <w:u w:val="single"/>
    </w:rPr>
  </w:style>
  <w:style w:type="paragraph" w:customStyle="1" w:styleId="Annexetitrefichefinancire">
    <w:name w:val="Annexe titre (fiche financière)"/>
    <w:basedOn w:val="Normlny"/>
    <w:next w:val="Normlny"/>
    <w:rsid w:val="009B7138"/>
    <w:pPr>
      <w:jc w:val="center"/>
    </w:pPr>
    <w:rPr>
      <w:b/>
      <w:u w:val="single"/>
    </w:rPr>
  </w:style>
  <w:style w:type="paragraph" w:customStyle="1" w:styleId="Applicationdirecte">
    <w:name w:val="Application directe"/>
    <w:basedOn w:val="Normlny"/>
    <w:next w:val="Fait"/>
    <w:rsid w:val="009B7138"/>
    <w:pPr>
      <w:spacing w:before="480"/>
    </w:pPr>
  </w:style>
  <w:style w:type="paragraph" w:customStyle="1" w:styleId="Avertissementtitre">
    <w:name w:val="Avertissement titre"/>
    <w:basedOn w:val="Normlny"/>
    <w:next w:val="Normlny"/>
    <w:rsid w:val="009B7138"/>
    <w:pPr>
      <w:keepNext/>
      <w:spacing w:before="480"/>
    </w:pPr>
    <w:rPr>
      <w:u w:val="single"/>
    </w:rPr>
  </w:style>
  <w:style w:type="paragraph" w:customStyle="1" w:styleId="Confidence">
    <w:name w:val="Confidence"/>
    <w:basedOn w:val="Normlny"/>
    <w:next w:val="Normlny"/>
    <w:rsid w:val="009B7138"/>
    <w:pPr>
      <w:spacing w:before="360"/>
      <w:jc w:val="center"/>
    </w:pPr>
  </w:style>
  <w:style w:type="paragraph" w:customStyle="1" w:styleId="Confidentialit">
    <w:name w:val="Confidentialité"/>
    <w:basedOn w:val="Normlny"/>
    <w:next w:val="TypedudocumentPagedecouverture"/>
    <w:rsid w:val="009B7138"/>
    <w:pPr>
      <w:spacing w:before="240" w:after="240"/>
      <w:ind w:left="5103"/>
      <w:jc w:val="left"/>
    </w:pPr>
    <w:rPr>
      <w:i/>
      <w:sz w:val="32"/>
    </w:rPr>
  </w:style>
  <w:style w:type="paragraph" w:customStyle="1" w:styleId="Considrant">
    <w:name w:val="Considérant"/>
    <w:basedOn w:val="Normlny"/>
    <w:rsid w:val="009B7138"/>
    <w:pPr>
      <w:numPr>
        <w:numId w:val="26"/>
      </w:numPr>
    </w:pPr>
  </w:style>
  <w:style w:type="paragraph" w:customStyle="1" w:styleId="Corrigendum">
    <w:name w:val="Corrigendum"/>
    <w:basedOn w:val="Normlny"/>
    <w:next w:val="Normlny"/>
    <w:rsid w:val="009B7138"/>
    <w:pPr>
      <w:spacing w:before="0" w:after="240"/>
      <w:jc w:val="left"/>
    </w:pPr>
  </w:style>
  <w:style w:type="paragraph" w:customStyle="1" w:styleId="Datedadoption">
    <w:name w:val="Date d'adoption"/>
    <w:basedOn w:val="Normlny"/>
    <w:next w:val="Titreobjet"/>
    <w:rsid w:val="009B7138"/>
    <w:pPr>
      <w:spacing w:before="360" w:after="0"/>
      <w:jc w:val="center"/>
    </w:pPr>
    <w:rPr>
      <w:b/>
    </w:rPr>
  </w:style>
  <w:style w:type="paragraph" w:customStyle="1" w:styleId="Exposdesmotifstitre">
    <w:name w:val="Exposé des motifs titre"/>
    <w:basedOn w:val="Normlny"/>
    <w:next w:val="Normlny"/>
    <w:rsid w:val="009B7138"/>
    <w:pPr>
      <w:jc w:val="center"/>
    </w:pPr>
    <w:rPr>
      <w:b/>
      <w:u w:val="single"/>
    </w:rPr>
  </w:style>
  <w:style w:type="paragraph" w:customStyle="1" w:styleId="Fait">
    <w:name w:val="Fait à"/>
    <w:basedOn w:val="Normlny"/>
    <w:next w:val="Institutionquisigne"/>
    <w:rsid w:val="009B7138"/>
    <w:pPr>
      <w:keepNext/>
      <w:spacing w:after="0"/>
    </w:pPr>
  </w:style>
  <w:style w:type="paragraph" w:customStyle="1" w:styleId="Formuledadoption">
    <w:name w:val="Formule d'adoption"/>
    <w:basedOn w:val="Normlny"/>
    <w:next w:val="Titrearticle"/>
    <w:rsid w:val="009B7138"/>
    <w:pPr>
      <w:keepNext/>
    </w:pPr>
  </w:style>
  <w:style w:type="paragraph" w:customStyle="1" w:styleId="Institutionquiagit">
    <w:name w:val="Institution qui agit"/>
    <w:basedOn w:val="Normlny"/>
    <w:next w:val="Normlny"/>
    <w:rsid w:val="009B7138"/>
    <w:pPr>
      <w:keepNext/>
      <w:spacing w:before="600"/>
    </w:pPr>
  </w:style>
  <w:style w:type="paragraph" w:customStyle="1" w:styleId="Institutionquisigne">
    <w:name w:val="Institution qui signe"/>
    <w:basedOn w:val="Normlny"/>
    <w:next w:val="Personnequisigne"/>
    <w:rsid w:val="009B7138"/>
    <w:pPr>
      <w:keepNext/>
      <w:tabs>
        <w:tab w:val="left" w:pos="4252"/>
      </w:tabs>
      <w:spacing w:before="720" w:after="0"/>
    </w:pPr>
    <w:rPr>
      <w:i/>
    </w:rPr>
  </w:style>
  <w:style w:type="paragraph" w:customStyle="1" w:styleId="ManualConsidrant">
    <w:name w:val="Manual Considérant"/>
    <w:basedOn w:val="Normlny"/>
    <w:rsid w:val="009B7138"/>
    <w:pPr>
      <w:ind w:left="709" w:hanging="709"/>
    </w:pPr>
  </w:style>
  <w:style w:type="paragraph" w:customStyle="1" w:styleId="Personnequisigne">
    <w:name w:val="Personne qui signe"/>
    <w:basedOn w:val="Normlny"/>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lny"/>
    <w:next w:val="Statut"/>
    <w:rsid w:val="009B7138"/>
    <w:pPr>
      <w:spacing w:before="0" w:after="0"/>
      <w:ind w:left="5103"/>
      <w:jc w:val="left"/>
    </w:pPr>
  </w:style>
  <w:style w:type="paragraph" w:customStyle="1" w:styleId="Rfrenceinterne">
    <w:name w:val="Référence interne"/>
    <w:basedOn w:val="Normlny"/>
    <w:next w:val="Rfrenceinterinstitutionnelle"/>
    <w:rsid w:val="009B7138"/>
    <w:pPr>
      <w:spacing w:before="0" w:after="0"/>
      <w:ind w:left="5103"/>
      <w:jc w:val="left"/>
    </w:pPr>
  </w:style>
  <w:style w:type="paragraph" w:customStyle="1" w:styleId="Statut">
    <w:name w:val="Statut"/>
    <w:basedOn w:val="Normlny"/>
    <w:next w:val="Typedudocument"/>
    <w:rsid w:val="009B7138"/>
    <w:pPr>
      <w:spacing w:before="360" w:after="0"/>
      <w:jc w:val="center"/>
    </w:pPr>
  </w:style>
  <w:style w:type="paragraph" w:customStyle="1" w:styleId="Titrearticle">
    <w:name w:val="Titre article"/>
    <w:basedOn w:val="Normlny"/>
    <w:next w:val="Normlny"/>
    <w:rsid w:val="009B7138"/>
    <w:pPr>
      <w:keepNext/>
      <w:spacing w:before="360"/>
      <w:jc w:val="center"/>
    </w:pPr>
    <w:rPr>
      <w:i/>
    </w:rPr>
  </w:style>
  <w:style w:type="paragraph" w:customStyle="1" w:styleId="Titreobjet">
    <w:name w:val="Titre objet"/>
    <w:basedOn w:val="Normlny"/>
    <w:next w:val="IntrtEEE"/>
    <w:rsid w:val="009B7138"/>
    <w:pPr>
      <w:spacing w:before="360" w:after="360"/>
      <w:jc w:val="center"/>
    </w:pPr>
    <w:rPr>
      <w:b/>
    </w:rPr>
  </w:style>
  <w:style w:type="paragraph" w:customStyle="1" w:styleId="Typedudocument">
    <w:name w:val="Type du document"/>
    <w:basedOn w:val="Normlny"/>
    <w:next w:val="Titreobjet"/>
    <w:rsid w:val="009B7138"/>
    <w:pPr>
      <w:spacing w:before="360" w:after="0"/>
      <w:jc w:val="center"/>
    </w:pPr>
    <w:rPr>
      <w:b/>
    </w:rPr>
  </w:style>
  <w:style w:type="character" w:customStyle="1" w:styleId="Added">
    <w:name w:val="Added"/>
    <w:basedOn w:val="Predvolenpsmoodseku"/>
    <w:rsid w:val="009B7138"/>
    <w:rPr>
      <w:b/>
      <w:u w:val="single"/>
      <w:shd w:val="clear" w:color="auto" w:fill="auto"/>
    </w:rPr>
  </w:style>
  <w:style w:type="character" w:customStyle="1" w:styleId="Deleted">
    <w:name w:val="Deleted"/>
    <w:basedOn w:val="Predvolenpsmoodseku"/>
    <w:rsid w:val="009B7138"/>
    <w:rPr>
      <w:strike/>
      <w:dstrike w:val="0"/>
      <w:shd w:val="clear" w:color="auto" w:fill="auto"/>
    </w:rPr>
  </w:style>
  <w:style w:type="paragraph" w:customStyle="1" w:styleId="Address">
    <w:name w:val="Address"/>
    <w:basedOn w:val="Normlny"/>
    <w:next w:val="Normlny"/>
    <w:rsid w:val="009B7138"/>
    <w:pPr>
      <w:keepLines/>
      <w:spacing w:line="360" w:lineRule="auto"/>
      <w:ind w:left="3402"/>
      <w:jc w:val="left"/>
    </w:pPr>
  </w:style>
  <w:style w:type="paragraph" w:customStyle="1" w:styleId="Objetexterne">
    <w:name w:val="Objet externe"/>
    <w:basedOn w:val="Normlny"/>
    <w:next w:val="Normlny"/>
    <w:rsid w:val="009B7138"/>
    <w:rPr>
      <w:i/>
      <w:caps/>
    </w:rPr>
  </w:style>
  <w:style w:type="paragraph" w:customStyle="1" w:styleId="Supertitre">
    <w:name w:val="Supertitre"/>
    <w:basedOn w:val="Normlny"/>
    <w:next w:val="Normlny"/>
    <w:rsid w:val="009B7138"/>
    <w:pPr>
      <w:spacing w:before="0" w:after="600"/>
      <w:jc w:val="center"/>
    </w:pPr>
    <w:rPr>
      <w:b/>
    </w:rPr>
  </w:style>
  <w:style w:type="paragraph" w:customStyle="1" w:styleId="Languesfaisantfoi">
    <w:name w:val="Langues faisant foi"/>
    <w:basedOn w:val="Normlny"/>
    <w:next w:val="Normlny"/>
    <w:rsid w:val="009B7138"/>
    <w:pPr>
      <w:spacing w:before="360" w:after="0"/>
      <w:jc w:val="center"/>
    </w:pPr>
  </w:style>
  <w:style w:type="paragraph" w:customStyle="1" w:styleId="Rfrencecroise">
    <w:name w:val="Référence croisée"/>
    <w:basedOn w:val="Normlny"/>
    <w:rsid w:val="009B7138"/>
    <w:pPr>
      <w:spacing w:before="0" w:after="0"/>
      <w:jc w:val="center"/>
    </w:pPr>
  </w:style>
  <w:style w:type="paragraph" w:customStyle="1" w:styleId="Fichefinanciretitre">
    <w:name w:val="Fiche financière titre"/>
    <w:basedOn w:val="Normlny"/>
    <w:next w:val="Normlny"/>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lny"/>
    <w:next w:val="Confidentialit"/>
    <w:rsid w:val="009B7138"/>
    <w:pPr>
      <w:spacing w:before="0" w:after="240"/>
      <w:ind w:left="5103"/>
      <w:jc w:val="left"/>
    </w:pPr>
  </w:style>
  <w:style w:type="paragraph" w:customStyle="1" w:styleId="IntrtEEE">
    <w:name w:val="Intérêt EEE"/>
    <w:basedOn w:val="Languesfaisantfoi"/>
    <w:next w:val="Normlny"/>
    <w:rsid w:val="009B7138"/>
    <w:pPr>
      <w:spacing w:after="240"/>
    </w:pPr>
  </w:style>
  <w:style w:type="paragraph" w:customStyle="1" w:styleId="Accompagnant">
    <w:name w:val="Accompagnant"/>
    <w:basedOn w:val="Normlny"/>
    <w:next w:val="Typeacteprincipal"/>
    <w:rsid w:val="009B7138"/>
    <w:pPr>
      <w:spacing w:before="0" w:after="240"/>
      <w:jc w:val="center"/>
    </w:pPr>
    <w:rPr>
      <w:b/>
      <w:i/>
    </w:rPr>
  </w:style>
  <w:style w:type="paragraph" w:customStyle="1" w:styleId="Typeacteprincipal">
    <w:name w:val="Type acte principal"/>
    <w:basedOn w:val="Normlny"/>
    <w:next w:val="Objetacteprincipal"/>
    <w:rsid w:val="009B7138"/>
    <w:pPr>
      <w:spacing w:before="0" w:after="240"/>
      <w:jc w:val="center"/>
    </w:pPr>
    <w:rPr>
      <w:b/>
    </w:rPr>
  </w:style>
  <w:style w:type="paragraph" w:customStyle="1" w:styleId="Objetacteprincipal">
    <w:name w:val="Objet acte principal"/>
    <w:basedOn w:val="Normlny"/>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lny"/>
    <w:next w:val="Normlny"/>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49800-F4B1-4E57-8171-06FC0250D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5</Pages>
  <Words>1358</Words>
  <Characters>7745</Characters>
  <Application>Microsoft Office Word</Application>
  <DocSecurity>0</DocSecurity>
  <Lines>64</Lines>
  <Paragraphs>18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TADAJEWSKI Miroslaw (FISMA)</dc:creator>
  <cp:keywords/>
  <dc:description/>
  <cp:lastModifiedBy>Kucera Lubomir</cp:lastModifiedBy>
  <cp:revision>2</cp:revision>
  <dcterms:created xsi:type="dcterms:W3CDTF">2021-07-16T08:13:00Z</dcterms:created>
  <dcterms:modified xsi:type="dcterms:W3CDTF">2021-07-16T08:13:00Z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SJ-001</vt:lpwstr>
  </property>
  <property fmtid="{D5CDD505-2E9C-101B-9397-08002B2CF9AE}" pid="10" name="DQCStatus">
    <vt:lpwstr>Green (DQC version 03)</vt:lpwstr>
  </property>
</Properties>
</file>