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Mriekatabuky"/>
        <w:tblW w:w="9214" w:type="dxa"/>
        <w:tblInd w:w="-147" w:type="dxa"/>
        <w:tblLayout w:type="fixed"/>
        <w:tblLook w:val="04A0" w:firstRow="1" w:lastRow="0" w:firstColumn="1" w:lastColumn="0" w:noHBand="0" w:noVBand="1"/>
      </w:tblPr>
      <w:tblGrid>
        <w:gridCol w:w="555"/>
        <w:gridCol w:w="7"/>
        <w:gridCol w:w="1442"/>
        <w:gridCol w:w="7210"/>
      </w:tblGrid>
      <w:tr w:rsidR="00F04317" w:rsidRPr="00FE1605" w:rsidTr="000D32B6">
        <w:trPr>
          <w:trHeight w:val="375"/>
        </w:trPr>
        <w:tc>
          <w:tcPr>
            <w:tcW w:w="9214" w:type="dxa"/>
            <w:gridSpan w:val="4"/>
            <w:hideMark/>
          </w:tcPr>
          <w:p w:rsidR="00F04317" w:rsidRPr="00FE1605" w:rsidRDefault="00F04317" w:rsidP="00760357">
            <w:pPr>
              <w:jc w:val="center"/>
              <w:rPr>
                <w:b/>
                <w:bCs/>
              </w:rPr>
            </w:pPr>
            <w:r w:rsidRPr="00FE1605">
              <w:rPr>
                <w:b/>
                <w:bCs/>
              </w:rPr>
              <w:t>Opatrenia na podporu inovácií na finančnom trhu</w:t>
            </w:r>
          </w:p>
        </w:tc>
      </w:tr>
      <w:tr w:rsidR="000D32B6" w:rsidRPr="00FE1605" w:rsidTr="00760357">
        <w:trPr>
          <w:trHeight w:val="317"/>
        </w:trPr>
        <w:tc>
          <w:tcPr>
            <w:tcW w:w="555" w:type="dxa"/>
            <w:hideMark/>
          </w:tcPr>
          <w:p w:rsidR="000D32B6" w:rsidRPr="00FE1605" w:rsidRDefault="000D32B6" w:rsidP="00760357">
            <w:pPr>
              <w:jc w:val="center"/>
              <w:rPr>
                <w:b/>
                <w:bCs/>
              </w:rPr>
            </w:pPr>
            <w:proofErr w:type="spellStart"/>
            <w:r w:rsidRPr="00FE1605">
              <w:rPr>
                <w:b/>
                <w:bCs/>
              </w:rPr>
              <w:t>Nr</w:t>
            </w:r>
            <w:proofErr w:type="spellEnd"/>
            <w:r w:rsidRPr="00FE1605">
              <w:rPr>
                <w:b/>
                <w:bCs/>
              </w:rPr>
              <w:t>.</w:t>
            </w:r>
          </w:p>
        </w:tc>
        <w:tc>
          <w:tcPr>
            <w:tcW w:w="1449" w:type="dxa"/>
            <w:gridSpan w:val="2"/>
            <w:hideMark/>
          </w:tcPr>
          <w:p w:rsidR="000D32B6" w:rsidRPr="00FE1605" w:rsidRDefault="000D32B6" w:rsidP="00760357">
            <w:pPr>
              <w:jc w:val="center"/>
              <w:rPr>
                <w:b/>
                <w:bCs/>
              </w:rPr>
            </w:pPr>
            <w:r w:rsidRPr="00FE1605">
              <w:rPr>
                <w:b/>
                <w:bCs/>
              </w:rPr>
              <w:t>Názov</w:t>
            </w:r>
          </w:p>
        </w:tc>
        <w:tc>
          <w:tcPr>
            <w:tcW w:w="7210" w:type="dxa"/>
            <w:hideMark/>
          </w:tcPr>
          <w:p w:rsidR="000D32B6" w:rsidRPr="00FE1605" w:rsidRDefault="000D32B6" w:rsidP="00760357">
            <w:pPr>
              <w:ind w:right="175"/>
              <w:jc w:val="center"/>
              <w:rPr>
                <w:b/>
                <w:bCs/>
              </w:rPr>
            </w:pPr>
            <w:r w:rsidRPr="00FE1605">
              <w:rPr>
                <w:b/>
                <w:bCs/>
              </w:rPr>
              <w:t>Obsah</w:t>
            </w:r>
          </w:p>
        </w:tc>
      </w:tr>
      <w:tr w:rsidR="000D32B6" w:rsidRPr="00FE1605" w:rsidTr="00760357">
        <w:trPr>
          <w:trHeight w:val="2126"/>
        </w:trPr>
        <w:tc>
          <w:tcPr>
            <w:tcW w:w="555" w:type="dxa"/>
            <w:hideMark/>
          </w:tcPr>
          <w:p w:rsidR="000D32B6" w:rsidRPr="00FE1605" w:rsidRDefault="000D32B6" w:rsidP="00F04317">
            <w:pPr>
              <w:jc w:val="both"/>
              <w:rPr>
                <w:b/>
                <w:bCs/>
              </w:rPr>
            </w:pPr>
            <w:r w:rsidRPr="00FE1605">
              <w:rPr>
                <w:b/>
                <w:bCs/>
              </w:rPr>
              <w:t>1</w:t>
            </w:r>
          </w:p>
        </w:tc>
        <w:tc>
          <w:tcPr>
            <w:tcW w:w="1449" w:type="dxa"/>
            <w:gridSpan w:val="2"/>
            <w:hideMark/>
          </w:tcPr>
          <w:p w:rsidR="000D32B6" w:rsidRPr="00FE1605" w:rsidRDefault="000D32B6" w:rsidP="00F04317">
            <w:pPr>
              <w:jc w:val="both"/>
            </w:pPr>
            <w:r w:rsidRPr="00FE1605">
              <w:t>Inovačný hub</w:t>
            </w:r>
          </w:p>
        </w:tc>
        <w:tc>
          <w:tcPr>
            <w:tcW w:w="7210" w:type="dxa"/>
            <w:hideMark/>
          </w:tcPr>
          <w:p w:rsidR="000D32B6" w:rsidRDefault="000D32B6" w:rsidP="00F04317">
            <w:pPr>
              <w:jc w:val="both"/>
            </w:pPr>
            <w:r>
              <w:t xml:space="preserve">Slovenský </w:t>
            </w:r>
            <w:r w:rsidRPr="00FE1605">
              <w:t>Inovačný hub by mal pozostávať z </w:t>
            </w:r>
            <w:r w:rsidRPr="00FE1605">
              <w:rPr>
                <w:u w:val="single"/>
              </w:rPr>
              <w:t>virtuálnej</w:t>
            </w:r>
            <w:r w:rsidRPr="00FE1605">
              <w:t xml:space="preserve"> a </w:t>
            </w:r>
            <w:r w:rsidRPr="00FE1605">
              <w:rPr>
                <w:u w:val="single"/>
              </w:rPr>
              <w:t>personálnej</w:t>
            </w:r>
            <w:r w:rsidRPr="00FE1605">
              <w:t xml:space="preserve"> zložky. Virtuálnou je </w:t>
            </w:r>
            <w:r w:rsidR="00C76AC0">
              <w:t>doplnenie už existujúcich informácií na stránke Národnej banky Slovenska (NBS) a Ministerstva financií SR (MF SR) a ich sprehľadnenie</w:t>
            </w:r>
            <w:r w:rsidRPr="00FE1605">
              <w:t xml:space="preserve"> (</w:t>
            </w:r>
            <w:r w:rsidR="00C76AC0">
              <w:t xml:space="preserve">s využitím aj </w:t>
            </w:r>
            <w:r w:rsidRPr="00FE1605">
              <w:t xml:space="preserve">záložky Centra pre finančné inovácie. Tie by </w:t>
            </w:r>
            <w:r w:rsidR="00C76AC0">
              <w:t>mali</w:t>
            </w:r>
            <w:r>
              <w:t>:</w:t>
            </w:r>
          </w:p>
          <w:p w:rsidR="000D32B6" w:rsidRDefault="00C76AC0" w:rsidP="00F04317">
            <w:pPr>
              <w:pStyle w:val="Odsekzoznamu"/>
              <w:numPr>
                <w:ilvl w:val="0"/>
                <w:numId w:val="1"/>
              </w:numPr>
              <w:spacing w:line="240" w:lineRule="auto"/>
              <w:ind w:left="286" w:hanging="218"/>
              <w:jc w:val="both"/>
            </w:pPr>
            <w:r>
              <w:t xml:space="preserve">byť </w:t>
            </w:r>
            <w:r w:rsidR="000D32B6" w:rsidRPr="00FE1605">
              <w:t>ja</w:t>
            </w:r>
            <w:r w:rsidR="000D32B6">
              <w:t>s</w:t>
            </w:r>
            <w:r w:rsidR="000D32B6" w:rsidRPr="00FE1605">
              <w:t>ne označené (FinTech, Finančné inovácie etc.)</w:t>
            </w:r>
          </w:p>
          <w:p w:rsidR="000D32B6" w:rsidRDefault="00C76AC0" w:rsidP="00F04317">
            <w:pPr>
              <w:pStyle w:val="Odsekzoznamu"/>
              <w:numPr>
                <w:ilvl w:val="0"/>
                <w:numId w:val="1"/>
              </w:numPr>
              <w:spacing w:line="240" w:lineRule="auto"/>
              <w:ind w:left="286" w:hanging="218"/>
              <w:jc w:val="both"/>
            </w:pPr>
            <w:r>
              <w:t>byť do</w:t>
            </w:r>
            <w:r w:rsidR="000D32B6" w:rsidRPr="00FE1605">
              <w:t>plnené prehľadnými informáciami o licenčných podmienkach a podmienkach výkonu činnosti finančných inštitúcií a FinTech spoločností</w:t>
            </w:r>
            <w:r>
              <w:t xml:space="preserve"> s prepojeniami na už existujúce informácie na stránkach NBS a MF SR,</w:t>
            </w:r>
          </w:p>
          <w:p w:rsidR="000D32B6" w:rsidRDefault="000D32B6" w:rsidP="00F04317">
            <w:pPr>
              <w:pStyle w:val="Odsekzoznamu"/>
              <w:numPr>
                <w:ilvl w:val="0"/>
                <w:numId w:val="1"/>
              </w:numPr>
              <w:spacing w:line="240" w:lineRule="auto"/>
              <w:ind w:left="286" w:hanging="218"/>
              <w:jc w:val="both"/>
            </w:pPr>
            <w:r>
              <w:t>obsahova</w:t>
            </w:r>
            <w:r w:rsidR="000D7199">
              <w:t>ť</w:t>
            </w:r>
            <w:r>
              <w:t xml:space="preserve"> info</w:t>
            </w:r>
            <w:r w:rsidR="00376D9F">
              <w:t>rmácie</w:t>
            </w:r>
            <w:r>
              <w:t xml:space="preserve"> o </w:t>
            </w:r>
            <w:r w:rsidRPr="00FE1605">
              <w:t xml:space="preserve">nových technológiách na finančnom trhu (alternatívni poskytovatelia platobných služieb, crowdfunding, virtuálne meny, blockchain, </w:t>
            </w:r>
            <w:proofErr w:type="spellStart"/>
            <w:r w:rsidRPr="00FE1605">
              <w:t>artificial</w:t>
            </w:r>
            <w:proofErr w:type="spellEnd"/>
            <w:r w:rsidRPr="00FE1605">
              <w:t xml:space="preserve"> </w:t>
            </w:r>
            <w:proofErr w:type="spellStart"/>
            <w:r w:rsidRPr="00FE1605">
              <w:t>intelligence</w:t>
            </w:r>
            <w:proofErr w:type="spellEnd"/>
            <w:r w:rsidRPr="00FE1605">
              <w:t xml:space="preserve"> etc.)</w:t>
            </w:r>
            <w:r>
              <w:t>,</w:t>
            </w:r>
          </w:p>
          <w:p w:rsidR="000D32B6" w:rsidRDefault="000D32B6" w:rsidP="00F04317">
            <w:pPr>
              <w:pStyle w:val="Odsekzoznamu"/>
              <w:numPr>
                <w:ilvl w:val="0"/>
                <w:numId w:val="1"/>
              </w:numPr>
              <w:spacing w:line="240" w:lineRule="auto"/>
              <w:ind w:left="286" w:hanging="218"/>
              <w:jc w:val="both"/>
            </w:pPr>
            <w:r>
              <w:t>o</w:t>
            </w:r>
            <w:r w:rsidRPr="00FE1605">
              <w:t>bs</w:t>
            </w:r>
            <w:r w:rsidR="00376D9F">
              <w:t>ahova</w:t>
            </w:r>
            <w:r w:rsidR="00C76AC0">
              <w:t>ť</w:t>
            </w:r>
            <w:r w:rsidR="00376D9F">
              <w:t xml:space="preserve"> </w:t>
            </w:r>
            <w:proofErr w:type="spellStart"/>
            <w:r w:rsidR="00376D9F">
              <w:t>FAQs</w:t>
            </w:r>
            <w:proofErr w:type="spellEnd"/>
            <w:r w:rsidRPr="00FE1605">
              <w:t xml:space="preserve"> a dostupné stanoviská a informácie NBS, MF SR, ECB, </w:t>
            </w:r>
            <w:proofErr w:type="spellStart"/>
            <w:r w:rsidRPr="00FE1605">
              <w:t>ESAs</w:t>
            </w:r>
            <w:proofErr w:type="spellEnd"/>
            <w:r w:rsidRPr="00FE1605">
              <w:t xml:space="preserve"> etc. k danej problematike</w:t>
            </w:r>
            <w:r w:rsidR="00E94378">
              <w:t>,</w:t>
            </w:r>
          </w:p>
          <w:p w:rsidR="000D32B6" w:rsidRDefault="00C76AC0" w:rsidP="00F04317">
            <w:pPr>
              <w:pStyle w:val="Odsekzoznamu"/>
              <w:numPr>
                <w:ilvl w:val="0"/>
                <w:numId w:val="1"/>
              </w:numPr>
              <w:spacing w:line="240" w:lineRule="auto"/>
              <w:ind w:left="286" w:hanging="218"/>
              <w:jc w:val="both"/>
            </w:pPr>
            <w:r>
              <w:t xml:space="preserve">mať ako súčasť </w:t>
            </w:r>
            <w:r w:rsidR="000D32B6" w:rsidRPr="00FE1605">
              <w:t>knižnic</w:t>
            </w:r>
            <w:r>
              <w:t>u</w:t>
            </w:r>
            <w:r w:rsidR="000D32B6" w:rsidRPr="00FE1605">
              <w:t xml:space="preserve"> s odkazmi na platné právne predpisy v danej oblasti a podrobnejší rozpis pravidiel podnikania pre danú oblasť</w:t>
            </w:r>
            <w:r w:rsidR="000D32B6">
              <w:t>,</w:t>
            </w:r>
          </w:p>
          <w:p w:rsidR="000D32B6" w:rsidRDefault="00C76AC0" w:rsidP="00F04317">
            <w:pPr>
              <w:pStyle w:val="Odsekzoznamu"/>
              <w:numPr>
                <w:ilvl w:val="0"/>
                <w:numId w:val="1"/>
              </w:numPr>
              <w:spacing w:line="240" w:lineRule="auto"/>
              <w:ind w:left="286" w:hanging="218"/>
              <w:jc w:val="both"/>
            </w:pPr>
            <w:r>
              <w:t>obsahovať</w:t>
            </w:r>
            <w:r w:rsidR="000D32B6">
              <w:t xml:space="preserve"> zjednodušený licenčný manuál pre finančné inštitúcie,</w:t>
            </w:r>
          </w:p>
          <w:p w:rsidR="000D32B6" w:rsidRPr="00FE1605" w:rsidRDefault="00C76AC0" w:rsidP="00F04317">
            <w:pPr>
              <w:pStyle w:val="Odsekzoznamu"/>
              <w:numPr>
                <w:ilvl w:val="0"/>
                <w:numId w:val="1"/>
              </w:numPr>
              <w:spacing w:line="240" w:lineRule="auto"/>
              <w:ind w:left="286" w:hanging="218"/>
              <w:jc w:val="both"/>
            </w:pPr>
            <w:r>
              <w:t xml:space="preserve">mať </w:t>
            </w:r>
            <w:r w:rsidR="000D32B6">
              <w:t xml:space="preserve">ďalšie </w:t>
            </w:r>
            <w:proofErr w:type="spellStart"/>
            <w:r w:rsidR="000D32B6">
              <w:t>features</w:t>
            </w:r>
            <w:proofErr w:type="spellEnd"/>
            <w:r w:rsidR="000D32B6">
              <w:t xml:space="preserve"> – podľa potreby </w:t>
            </w:r>
            <w:r>
              <w:t xml:space="preserve">a nápadov </w:t>
            </w:r>
            <w:r w:rsidR="000D32B6">
              <w:t>sa dá doplniť</w:t>
            </w:r>
            <w:r w:rsidR="000D32B6" w:rsidRPr="00FE1605">
              <w:t xml:space="preserve">. </w:t>
            </w:r>
          </w:p>
          <w:p w:rsidR="000D32B6" w:rsidRDefault="000D32B6" w:rsidP="00F04317">
            <w:pPr>
              <w:jc w:val="both"/>
            </w:pPr>
          </w:p>
          <w:p w:rsidR="000D32B6" w:rsidRPr="00FE1605" w:rsidRDefault="000D32B6" w:rsidP="00F04317">
            <w:pPr>
              <w:jc w:val="both"/>
            </w:pPr>
            <w:r w:rsidRPr="00FE1605">
              <w:t>Personálna zložka</w:t>
            </w:r>
            <w:r w:rsidR="00E94378">
              <w:t xml:space="preserve"> Inovačného hubu</w:t>
            </w:r>
            <w:r w:rsidRPr="00FE1605">
              <w:t xml:space="preserve"> by pozostávala zo skupiny zamestnancov MF SR a NBS, ktorí by boli dostupn</w:t>
            </w:r>
            <w:r>
              <w:t>í</w:t>
            </w:r>
            <w:r w:rsidRPr="00FE1605">
              <w:t xml:space="preserve"> prostredníctvom mailu, telefonicky pre dotazy podnikateľov. Mala by byť stanovená možnosť stretnutia za účelom prediskutovania biznis plánov a ich regulatórnych podmienok.</w:t>
            </w:r>
          </w:p>
          <w:p w:rsidR="000D32B6" w:rsidRDefault="000D32B6" w:rsidP="00F04317">
            <w:pPr>
              <w:jc w:val="both"/>
            </w:pPr>
            <w:r w:rsidRPr="00FE1605">
              <w:t>Možné je do tímu pribrať aj expertov z</w:t>
            </w:r>
            <w:r w:rsidR="00376D9F">
              <w:t> iných rezortov a zástupcov podnikateľskej komunity</w:t>
            </w:r>
            <w:r w:rsidRPr="00FE1605">
              <w:t>.</w:t>
            </w:r>
          </w:p>
          <w:p w:rsidR="00E94378" w:rsidRPr="00FE1605" w:rsidRDefault="00E94378" w:rsidP="00F04317">
            <w:pPr>
              <w:jc w:val="both"/>
            </w:pPr>
            <w:r>
              <w:t>Po počiatočnej komunikácií by mohol byť danému subjektu pridelený jeden člen Inovačného hubu ako kontaktná osoba pre komunikáciu</w:t>
            </w:r>
            <w:r w:rsidR="00C76AC0">
              <w:t>/</w:t>
            </w:r>
            <w:r>
              <w:t>konzultáciu.</w:t>
            </w:r>
          </w:p>
          <w:p w:rsidR="000D32B6" w:rsidRDefault="000D32B6" w:rsidP="00F04317">
            <w:pPr>
              <w:jc w:val="both"/>
            </w:pPr>
          </w:p>
          <w:p w:rsidR="00376D9F" w:rsidRPr="00FE1605" w:rsidRDefault="00376D9F" w:rsidP="00F04317">
            <w:pPr>
              <w:jc w:val="both"/>
            </w:pPr>
            <w:r>
              <w:t xml:space="preserve">Komunikácia v rámci Inovačného hubu mala okrem obligatórneho slovenského jazyka prebiehať aj </w:t>
            </w:r>
            <w:r w:rsidRPr="00376D9F">
              <w:rPr>
                <w:u w:val="single"/>
              </w:rPr>
              <w:t>v anglickom jazyku</w:t>
            </w:r>
            <w:r>
              <w:t>. Rozsah podkladov, ktoré by bolo možné predkladať napr. pri licenčnom konaní v angličtine je potrebné stanoviť na základe požiadaviek a praxe Národnej banky Slovenska.</w:t>
            </w:r>
          </w:p>
          <w:p w:rsidR="000D32B6" w:rsidRPr="00C018D4" w:rsidRDefault="000D32B6" w:rsidP="00376D9F">
            <w:pPr>
              <w:jc w:val="both"/>
            </w:pPr>
          </w:p>
          <w:p w:rsidR="000D7199" w:rsidRPr="00C018D4" w:rsidRDefault="000D7199" w:rsidP="000D7199">
            <w:pPr>
              <w:jc w:val="both"/>
            </w:pPr>
            <w:r w:rsidRPr="00C018D4">
              <w:t>Podstatným uľahčením pri implementácií Inovačného hubu na Slovensku je skutočnosť, že mnohé z uvedených činností Národná banka Slovenska už v súčasnosti vykonáva. Prínosom Inovačného hubu by bolo zjednotenie informácií a procesov poskytovania informácií na jednom mieste, jednoduchšie získavanie informácií zo strany podnikateľských subjektov a jednoduchšia komunikácia opatrenia navonok voči slovenským a zahraničným subjektom.</w:t>
            </w:r>
          </w:p>
          <w:p w:rsidR="000D7199" w:rsidRPr="000D7199" w:rsidRDefault="000D7199" w:rsidP="00C018D4">
            <w:pPr>
              <w:jc w:val="both"/>
              <w:rPr>
                <w:i/>
              </w:rPr>
            </w:pPr>
            <w:r w:rsidRPr="00C018D4">
              <w:t xml:space="preserve">Súčasťou </w:t>
            </w:r>
            <w:r w:rsidR="00C018D4" w:rsidRPr="00C018D4">
              <w:t>diskusií o implementácií Inovačného hubu v podmienkach Slovenskej republiky, ktoré budú vedené s Národnou bankou Slovenska a účastníkmi trhu bude rozsah a obsah informácií zverejňovaných v rámci webových sídiel, vytvorenie užšej expertnej skupiny, ktorá sa bude venovať finančným inováciám a komunikácií s účastníkmi trhu, otázka využívania cudzích jazykov v procese komunikácie, elektronizácia predkladaných podkladov a iné formy komunikácie (</w:t>
            </w:r>
            <w:proofErr w:type="spellStart"/>
            <w:r w:rsidR="00C018D4" w:rsidRPr="00C018D4">
              <w:t>regChat</w:t>
            </w:r>
            <w:proofErr w:type="spellEnd"/>
            <w:r w:rsidR="00C018D4" w:rsidRPr="00C018D4">
              <w:t>). Zaujímavou môže byť aj možnosť mentorského programu pre začínajúcich podnikateľov.</w:t>
            </w:r>
          </w:p>
        </w:tc>
      </w:tr>
      <w:tr w:rsidR="00376D9F" w:rsidRPr="00FE1605" w:rsidTr="00E94378">
        <w:trPr>
          <w:trHeight w:val="708"/>
        </w:trPr>
        <w:tc>
          <w:tcPr>
            <w:tcW w:w="555" w:type="dxa"/>
          </w:tcPr>
          <w:p w:rsidR="00376D9F" w:rsidRPr="00FE1605" w:rsidRDefault="003D76BF" w:rsidP="00F04317">
            <w:pPr>
              <w:jc w:val="both"/>
              <w:rPr>
                <w:b/>
                <w:bCs/>
              </w:rPr>
            </w:pPr>
            <w:r>
              <w:rPr>
                <w:b/>
                <w:bCs/>
              </w:rPr>
              <w:t>2</w:t>
            </w:r>
          </w:p>
        </w:tc>
        <w:tc>
          <w:tcPr>
            <w:tcW w:w="1449" w:type="dxa"/>
            <w:gridSpan w:val="2"/>
          </w:tcPr>
          <w:p w:rsidR="00376D9F" w:rsidRPr="00FE1605" w:rsidRDefault="00376D9F" w:rsidP="00376D9F">
            <w:pPr>
              <w:jc w:val="both"/>
            </w:pPr>
            <w:r>
              <w:t>Inovačný Hub – Európsky rozmer</w:t>
            </w:r>
          </w:p>
          <w:p w:rsidR="00376D9F" w:rsidRPr="00FE1605" w:rsidRDefault="00376D9F" w:rsidP="00F04317">
            <w:pPr>
              <w:jc w:val="both"/>
            </w:pPr>
          </w:p>
        </w:tc>
        <w:tc>
          <w:tcPr>
            <w:tcW w:w="7210" w:type="dxa"/>
          </w:tcPr>
          <w:p w:rsidR="00376D9F" w:rsidRPr="00E94378" w:rsidRDefault="00376D9F" w:rsidP="00E94378">
            <w:pPr>
              <w:jc w:val="both"/>
              <w:rPr>
                <w:color w:val="000000"/>
              </w:rPr>
            </w:pPr>
            <w:r w:rsidRPr="00E94378">
              <w:rPr>
                <w:color w:val="000000"/>
              </w:rPr>
              <w:lastRenderedPageBreak/>
              <w:t>Vytvorenie platformy na výmenu informácií pre spoločnosti z jednotlivých spolupracujúcich členských štátov Európskej únie (</w:t>
            </w:r>
            <w:proofErr w:type="spellStart"/>
            <w:r w:rsidRPr="00E94378">
              <w:rPr>
                <w:color w:val="000000"/>
              </w:rPr>
              <w:t>One</w:t>
            </w:r>
            <w:proofErr w:type="spellEnd"/>
            <w:r w:rsidRPr="00E94378">
              <w:rPr>
                <w:color w:val="000000"/>
              </w:rPr>
              <w:t xml:space="preserve">-stop </w:t>
            </w:r>
            <w:proofErr w:type="spellStart"/>
            <w:r w:rsidRPr="00E94378">
              <w:rPr>
                <w:color w:val="000000"/>
              </w:rPr>
              <w:t>shop</w:t>
            </w:r>
            <w:proofErr w:type="spellEnd"/>
            <w:r w:rsidRPr="00E94378">
              <w:rPr>
                <w:color w:val="000000"/>
              </w:rPr>
              <w:t>).</w:t>
            </w:r>
          </w:p>
          <w:p w:rsidR="00E94378" w:rsidRDefault="00E94378" w:rsidP="00E94378">
            <w:pPr>
              <w:jc w:val="both"/>
              <w:rPr>
                <w:color w:val="000000"/>
              </w:rPr>
            </w:pPr>
          </w:p>
          <w:p w:rsidR="00376D9F" w:rsidRPr="00E94378" w:rsidRDefault="00376D9F" w:rsidP="00E94378">
            <w:pPr>
              <w:jc w:val="both"/>
              <w:rPr>
                <w:color w:val="000000"/>
              </w:rPr>
            </w:pPr>
            <w:proofErr w:type="spellStart"/>
            <w:r w:rsidRPr="00E94378">
              <w:rPr>
                <w:color w:val="000000"/>
              </w:rPr>
              <w:lastRenderedPageBreak/>
              <w:t>Experience</w:t>
            </w:r>
            <w:proofErr w:type="spellEnd"/>
            <w:r w:rsidRPr="00E94378">
              <w:rPr>
                <w:color w:val="000000"/>
              </w:rPr>
              <w:t>/</w:t>
            </w:r>
            <w:proofErr w:type="spellStart"/>
            <w:r w:rsidRPr="00E94378">
              <w:rPr>
                <w:color w:val="000000"/>
              </w:rPr>
              <w:t>knowledge</w:t>
            </w:r>
            <w:proofErr w:type="spellEnd"/>
            <w:r w:rsidRPr="00E94378">
              <w:rPr>
                <w:color w:val="000000"/>
              </w:rPr>
              <w:t xml:space="preserve"> </w:t>
            </w:r>
            <w:proofErr w:type="spellStart"/>
            <w:r w:rsidRPr="00E94378">
              <w:rPr>
                <w:color w:val="000000"/>
              </w:rPr>
              <w:t>sharing</w:t>
            </w:r>
            <w:proofErr w:type="spellEnd"/>
            <w:r w:rsidRPr="00E94378">
              <w:rPr>
                <w:color w:val="000000"/>
              </w:rPr>
              <w:t xml:space="preserve"> – zdieľanie informácií v prípade zlepšovania prostredia v jednotlivých štátoch (v súčasnosti už bola vytvorená databáza kontaktov na senior úrovni na zdieľanie </w:t>
            </w:r>
            <w:r w:rsidR="00C76AC0" w:rsidRPr="00E94378">
              <w:rPr>
                <w:color w:val="000000"/>
              </w:rPr>
              <w:t>skúseností</w:t>
            </w:r>
            <w:r w:rsidRPr="00E94378">
              <w:rPr>
                <w:color w:val="000000"/>
              </w:rPr>
              <w:t xml:space="preserve"> členských štátov) – napr. udelenie mandátu orgánu dohľadu podporovať nové formy pôsobenia na finančných trhoch. </w:t>
            </w:r>
          </w:p>
          <w:p w:rsidR="00E94378" w:rsidRDefault="00E94378" w:rsidP="00E94378">
            <w:pPr>
              <w:jc w:val="both"/>
              <w:rPr>
                <w:color w:val="000000"/>
              </w:rPr>
            </w:pPr>
          </w:p>
          <w:p w:rsidR="00376D9F" w:rsidRPr="00E94378" w:rsidRDefault="00376D9F" w:rsidP="00E94378">
            <w:pPr>
              <w:jc w:val="both"/>
              <w:rPr>
                <w:color w:val="000000"/>
              </w:rPr>
            </w:pPr>
            <w:proofErr w:type="spellStart"/>
            <w:r w:rsidRPr="00E94378">
              <w:rPr>
                <w:color w:val="000000"/>
              </w:rPr>
              <w:t>Common</w:t>
            </w:r>
            <w:proofErr w:type="spellEnd"/>
            <w:r w:rsidRPr="00E94378">
              <w:rPr>
                <w:color w:val="000000"/>
              </w:rPr>
              <w:t xml:space="preserve"> </w:t>
            </w:r>
            <w:proofErr w:type="spellStart"/>
            <w:r w:rsidRPr="00E94378">
              <w:rPr>
                <w:color w:val="000000"/>
              </w:rPr>
              <w:t>Voice</w:t>
            </w:r>
            <w:proofErr w:type="spellEnd"/>
            <w:r w:rsidRPr="00E94378">
              <w:rPr>
                <w:color w:val="000000"/>
              </w:rPr>
              <w:t xml:space="preserve"> – pri nových EU iniciatívach a legislatívnych návrhoch zo strany Európskej Komisie, možnosť koordinovaného prístupu participujúcich členských štátov s cieľom pozitívne vplývať na vývoj regulácie na EU úrovni</w:t>
            </w:r>
          </w:p>
          <w:p w:rsidR="00E94378" w:rsidRDefault="00E94378" w:rsidP="00E94378">
            <w:pPr>
              <w:jc w:val="both"/>
              <w:rPr>
                <w:color w:val="000000"/>
              </w:rPr>
            </w:pPr>
          </w:p>
          <w:p w:rsidR="00376D9F" w:rsidRPr="00E94378" w:rsidRDefault="00376D9F" w:rsidP="00E94378">
            <w:pPr>
              <w:jc w:val="both"/>
              <w:rPr>
                <w:color w:val="000000"/>
              </w:rPr>
            </w:pPr>
            <w:r w:rsidRPr="00E94378">
              <w:rPr>
                <w:color w:val="000000"/>
              </w:rPr>
              <w:t xml:space="preserve">Hľadanie možností financovania pre FinTech spoločnosti v rámci existujúceho EU rámca – ide napríklad o diskusiu o využití EU finančného rámca po roku 2020, program EU fondu pre strategické investície, nástroje EIB (EU investičnej banky) a pod. </w:t>
            </w:r>
          </w:p>
          <w:p w:rsidR="00E94378" w:rsidRDefault="00E94378" w:rsidP="00376D9F">
            <w:pPr>
              <w:jc w:val="both"/>
            </w:pPr>
          </w:p>
          <w:p w:rsidR="00376D9F" w:rsidRDefault="00376D9F" w:rsidP="00376D9F">
            <w:pPr>
              <w:jc w:val="both"/>
            </w:pPr>
            <w:r w:rsidRPr="00FE1605">
              <w:t xml:space="preserve">Zatiaľ sa podarilo aktívne osloviť 14 </w:t>
            </w:r>
            <w:proofErr w:type="spellStart"/>
            <w:r w:rsidRPr="00FE1605">
              <w:t>MSs</w:t>
            </w:r>
            <w:proofErr w:type="spellEnd"/>
            <w:r w:rsidRPr="00FE1605">
              <w:t xml:space="preserve">, ktoré </w:t>
            </w:r>
            <w:r>
              <w:t>sú ochotné sa do tejto iniciatívy zapojiť.</w:t>
            </w:r>
          </w:p>
          <w:p w:rsidR="00E94378" w:rsidRDefault="00E94378" w:rsidP="00376D9F">
            <w:pPr>
              <w:jc w:val="both"/>
            </w:pPr>
          </w:p>
        </w:tc>
      </w:tr>
      <w:tr w:rsidR="000D32B6" w:rsidRPr="00FE1605" w:rsidTr="00760357">
        <w:trPr>
          <w:trHeight w:val="1593"/>
        </w:trPr>
        <w:tc>
          <w:tcPr>
            <w:tcW w:w="555" w:type="dxa"/>
            <w:hideMark/>
          </w:tcPr>
          <w:p w:rsidR="000D32B6" w:rsidRPr="00FE1605" w:rsidRDefault="000D32B6" w:rsidP="00F04317">
            <w:pPr>
              <w:jc w:val="both"/>
              <w:rPr>
                <w:b/>
                <w:bCs/>
              </w:rPr>
            </w:pPr>
            <w:r w:rsidRPr="00FE1605">
              <w:rPr>
                <w:b/>
                <w:bCs/>
              </w:rPr>
              <w:lastRenderedPageBreak/>
              <w:t>3</w:t>
            </w:r>
          </w:p>
        </w:tc>
        <w:tc>
          <w:tcPr>
            <w:tcW w:w="1449" w:type="dxa"/>
            <w:gridSpan w:val="2"/>
            <w:hideMark/>
          </w:tcPr>
          <w:p w:rsidR="000D32B6" w:rsidRPr="00FE1605" w:rsidRDefault="000D32B6" w:rsidP="00F04317">
            <w:pPr>
              <w:jc w:val="both"/>
            </w:pPr>
            <w:proofErr w:type="spellStart"/>
            <w:r w:rsidRPr="00FE1605">
              <w:t>regChat</w:t>
            </w:r>
            <w:proofErr w:type="spellEnd"/>
          </w:p>
        </w:tc>
        <w:tc>
          <w:tcPr>
            <w:tcW w:w="7210" w:type="dxa"/>
            <w:hideMark/>
          </w:tcPr>
          <w:p w:rsidR="000D32B6" w:rsidRDefault="000D32B6" w:rsidP="00F04317">
            <w:pPr>
              <w:jc w:val="both"/>
            </w:pPr>
            <w:r w:rsidRPr="00563705">
              <w:rPr>
                <w:u w:val="single"/>
              </w:rPr>
              <w:t xml:space="preserve">Vytvorenie </w:t>
            </w:r>
            <w:r>
              <w:rPr>
                <w:u w:val="single"/>
              </w:rPr>
              <w:t xml:space="preserve">inovatívneho </w:t>
            </w:r>
            <w:r w:rsidR="00376D9F">
              <w:rPr>
                <w:u w:val="single"/>
              </w:rPr>
              <w:t>komunikačného kanála ako doplnku ku komunikácií mailom alebo telefonicky</w:t>
            </w:r>
            <w:r>
              <w:t xml:space="preserve">. V skôr diskusná skupina, do ktorej by záujemcovia mohli poslať požiadavku a dostali by odpoveď v rozumnom čase. </w:t>
            </w:r>
            <w:r w:rsidRPr="00FE1605">
              <w:t xml:space="preserve">Napojení by boli </w:t>
            </w:r>
            <w:r w:rsidR="00376D9F">
              <w:t>členovia</w:t>
            </w:r>
            <w:r w:rsidRPr="00FE1605">
              <w:t xml:space="preserve"> Inovačného hubu. Po počiatočnej komunikácii a zistení požiadavky a vážnosti záujmu by bol záujemca pridelený konkrétnemu človeku v rámci In</w:t>
            </w:r>
            <w:r w:rsidR="00376D9F">
              <w:t xml:space="preserve">ovačného </w:t>
            </w:r>
            <w:r w:rsidRPr="00FE1605">
              <w:t>Hubu.</w:t>
            </w:r>
          </w:p>
          <w:p w:rsidR="000D32B6" w:rsidRPr="00FE1605" w:rsidRDefault="000D32B6" w:rsidP="00F04317">
            <w:pPr>
              <w:jc w:val="both"/>
            </w:pPr>
          </w:p>
        </w:tc>
      </w:tr>
      <w:tr w:rsidR="000D32B6" w:rsidRPr="00FE1605" w:rsidTr="00760357">
        <w:trPr>
          <w:trHeight w:val="990"/>
        </w:trPr>
        <w:tc>
          <w:tcPr>
            <w:tcW w:w="555" w:type="dxa"/>
            <w:hideMark/>
          </w:tcPr>
          <w:p w:rsidR="000D32B6" w:rsidRPr="00FE1605" w:rsidRDefault="000D32B6" w:rsidP="00F04317">
            <w:pPr>
              <w:jc w:val="both"/>
              <w:rPr>
                <w:b/>
                <w:bCs/>
              </w:rPr>
            </w:pPr>
            <w:r w:rsidRPr="00FE1605">
              <w:rPr>
                <w:b/>
                <w:bCs/>
              </w:rPr>
              <w:t>4</w:t>
            </w:r>
          </w:p>
        </w:tc>
        <w:tc>
          <w:tcPr>
            <w:tcW w:w="1449" w:type="dxa"/>
            <w:gridSpan w:val="2"/>
            <w:hideMark/>
          </w:tcPr>
          <w:p w:rsidR="000D32B6" w:rsidRPr="00FE1605" w:rsidRDefault="000D32B6" w:rsidP="00F04317">
            <w:pPr>
              <w:jc w:val="both"/>
            </w:pPr>
            <w:r w:rsidRPr="00FE1605">
              <w:t>Elek</w:t>
            </w:r>
            <w:r>
              <w:t>tronické predkladanie podkladov</w:t>
            </w:r>
          </w:p>
        </w:tc>
        <w:tc>
          <w:tcPr>
            <w:tcW w:w="7210" w:type="dxa"/>
            <w:hideMark/>
          </w:tcPr>
          <w:p w:rsidR="000D32B6" w:rsidRDefault="000D32B6" w:rsidP="00F04317">
            <w:pPr>
              <w:jc w:val="both"/>
            </w:pPr>
            <w:r w:rsidRPr="00FE1605">
              <w:t xml:space="preserve">Zvýšenie objemu elektronizácie procesu predkladania podkladov v procese žiadosti o udelenie licencie. </w:t>
            </w:r>
            <w:r w:rsidR="00E94378">
              <w:t xml:space="preserve">Litva napríklad začiatkom septembra oznámila plnú elektronizáciu licenčného konania ako nástroj </w:t>
            </w:r>
            <w:proofErr w:type="spellStart"/>
            <w:r w:rsidR="00E94378">
              <w:t>regtech</w:t>
            </w:r>
            <w:proofErr w:type="spellEnd"/>
            <w:r w:rsidR="00E94378">
              <w:t>, ktorý umožňuje elektronické predkladanie podkladov.</w:t>
            </w:r>
          </w:p>
          <w:p w:rsidR="00E94378" w:rsidRPr="00FE1605" w:rsidRDefault="00E94378" w:rsidP="00F04317">
            <w:pPr>
              <w:jc w:val="both"/>
            </w:pPr>
          </w:p>
        </w:tc>
      </w:tr>
      <w:tr w:rsidR="000D32B6" w:rsidRPr="00FE1605" w:rsidTr="00E94378">
        <w:trPr>
          <w:trHeight w:val="1430"/>
        </w:trPr>
        <w:tc>
          <w:tcPr>
            <w:tcW w:w="555" w:type="dxa"/>
            <w:hideMark/>
          </w:tcPr>
          <w:p w:rsidR="000D32B6" w:rsidRPr="00FE1605" w:rsidRDefault="000D32B6" w:rsidP="00F04317">
            <w:pPr>
              <w:jc w:val="both"/>
              <w:rPr>
                <w:b/>
                <w:bCs/>
              </w:rPr>
            </w:pPr>
            <w:r w:rsidRPr="00FE1605">
              <w:rPr>
                <w:b/>
                <w:bCs/>
              </w:rPr>
              <w:t>5</w:t>
            </w:r>
          </w:p>
        </w:tc>
        <w:tc>
          <w:tcPr>
            <w:tcW w:w="1449" w:type="dxa"/>
            <w:gridSpan w:val="2"/>
            <w:hideMark/>
          </w:tcPr>
          <w:p w:rsidR="000D32B6" w:rsidRPr="00FE1605" w:rsidRDefault="000D32B6" w:rsidP="00F04317">
            <w:pPr>
              <w:jc w:val="both"/>
            </w:pPr>
            <w:r w:rsidRPr="00FE1605">
              <w:t>Business Mentori</w:t>
            </w:r>
          </w:p>
        </w:tc>
        <w:tc>
          <w:tcPr>
            <w:tcW w:w="7210" w:type="dxa"/>
            <w:hideMark/>
          </w:tcPr>
          <w:p w:rsidR="00E94378" w:rsidRDefault="000D32B6" w:rsidP="00E94378">
            <w:pPr>
              <w:jc w:val="both"/>
            </w:pPr>
            <w:r w:rsidRPr="00563705">
              <w:rPr>
                <w:u w:val="single"/>
              </w:rPr>
              <w:t>Spolupráca s externými odborníkmi/podnikateľ</w:t>
            </w:r>
            <w:r w:rsidR="00E94378">
              <w:rPr>
                <w:u w:val="single"/>
              </w:rPr>
              <w:t>mi</w:t>
            </w:r>
            <w:r w:rsidR="00E94378" w:rsidRPr="00E94378">
              <w:t>, ktorí majú za sebou úspešnú podnikateľ</w:t>
            </w:r>
            <w:r w:rsidR="00E94378">
              <w:t>s</w:t>
            </w:r>
            <w:r w:rsidR="00E94378" w:rsidRPr="00E94378">
              <w:t xml:space="preserve">kú činnosť </w:t>
            </w:r>
            <w:r w:rsidRPr="00E94378">
              <w:t xml:space="preserve">a boli by ochotní pomáhať radami </w:t>
            </w:r>
            <w:r w:rsidR="00E94378">
              <w:t xml:space="preserve">a skúsenosťami </w:t>
            </w:r>
            <w:r w:rsidRPr="00E94378">
              <w:t xml:space="preserve">novým podnikateľom. </w:t>
            </w:r>
            <w:r w:rsidR="00E94378">
              <w:t xml:space="preserve">Podobné projekty existujú vo svete a sú veľkým prínosom pre rozvoj </w:t>
            </w:r>
            <w:r w:rsidR="00C76AC0">
              <w:t>podnikateľského</w:t>
            </w:r>
            <w:r w:rsidR="00E94378">
              <w:t xml:space="preserve"> </w:t>
            </w:r>
            <w:r w:rsidR="00C76AC0">
              <w:t>prostredia</w:t>
            </w:r>
            <w:r w:rsidR="00E94378">
              <w:t>.</w:t>
            </w:r>
          </w:p>
          <w:p w:rsidR="000D32B6" w:rsidRPr="00FE1605" w:rsidRDefault="000D32B6" w:rsidP="00E94378">
            <w:pPr>
              <w:jc w:val="both"/>
            </w:pPr>
          </w:p>
        </w:tc>
      </w:tr>
      <w:tr w:rsidR="000D32B6" w:rsidRPr="00FE1605" w:rsidTr="00D7407B">
        <w:trPr>
          <w:trHeight w:val="708"/>
        </w:trPr>
        <w:tc>
          <w:tcPr>
            <w:tcW w:w="555" w:type="dxa"/>
            <w:hideMark/>
          </w:tcPr>
          <w:p w:rsidR="000D32B6" w:rsidRPr="00FE1605" w:rsidRDefault="000D32B6" w:rsidP="00F04317">
            <w:pPr>
              <w:jc w:val="both"/>
              <w:rPr>
                <w:b/>
                <w:bCs/>
              </w:rPr>
            </w:pPr>
            <w:r w:rsidRPr="00FE1605">
              <w:rPr>
                <w:b/>
                <w:bCs/>
              </w:rPr>
              <w:t>6</w:t>
            </w:r>
          </w:p>
        </w:tc>
        <w:tc>
          <w:tcPr>
            <w:tcW w:w="1449" w:type="dxa"/>
            <w:gridSpan w:val="2"/>
            <w:hideMark/>
          </w:tcPr>
          <w:p w:rsidR="000D32B6" w:rsidRPr="00FE1605" w:rsidRDefault="000D32B6" w:rsidP="00F04317">
            <w:pPr>
              <w:jc w:val="both"/>
            </w:pPr>
            <w:r w:rsidRPr="00FE1605">
              <w:t>Sandbox</w:t>
            </w:r>
          </w:p>
        </w:tc>
        <w:tc>
          <w:tcPr>
            <w:tcW w:w="7210" w:type="dxa"/>
            <w:hideMark/>
          </w:tcPr>
          <w:p w:rsidR="000D32B6" w:rsidRDefault="000D32B6" w:rsidP="00F04317">
            <w:pPr>
              <w:jc w:val="both"/>
            </w:pPr>
            <w:r w:rsidRPr="00563705">
              <w:rPr>
                <w:u w:val="single"/>
              </w:rPr>
              <w:t>Dohliadanie subjektov počas stanoveného obdobia (väčšinou 1 rok) s väčším zameraním na odstránenie nedostatkov bez zásadných sankcií.</w:t>
            </w:r>
            <w:r w:rsidRPr="00FE1605">
              <w:t xml:space="preserve"> Počas tohto obdobia väčšinou spoločnosť poskytuje len jeden produkt v obmedzenej funkcionalite a testujú sa jeho bezpečnosť, spoľahlivosť procesov, komunikácia, ochrana dát etc. Môže fungovať aj ako uzavretá schéma so "živými" dátami klientov (anonymizovanými), na ktorých sa testuje technologické riešenie bez prieniku na "živý" trh. Tento spôsob sa využíva skôr pre </w:t>
            </w:r>
            <w:proofErr w:type="spellStart"/>
            <w:r w:rsidRPr="00FE1605">
              <w:t>data</w:t>
            </w:r>
            <w:proofErr w:type="spellEnd"/>
            <w:r w:rsidRPr="00FE1605">
              <w:t xml:space="preserve"> </w:t>
            </w:r>
            <w:proofErr w:type="spellStart"/>
            <w:r w:rsidRPr="00FE1605">
              <w:t>procesing</w:t>
            </w:r>
            <w:proofErr w:type="spellEnd"/>
            <w:r w:rsidRPr="00FE1605">
              <w:t>/</w:t>
            </w:r>
            <w:proofErr w:type="spellStart"/>
            <w:r w:rsidRPr="00FE1605">
              <w:t>mining</w:t>
            </w:r>
            <w:proofErr w:type="spellEnd"/>
            <w:r w:rsidRPr="00FE1605">
              <w:t xml:space="preserve"> technológie. Pre bankové a platobné schémy je vhodnejší skôr prvý model s obmedzenou živou prevádzkou.</w:t>
            </w:r>
          </w:p>
          <w:p w:rsidR="008D4B01" w:rsidRDefault="008D4B01" w:rsidP="00F04317">
            <w:pPr>
              <w:jc w:val="both"/>
            </w:pPr>
          </w:p>
          <w:p w:rsidR="00C018D4" w:rsidRDefault="00C018D4" w:rsidP="00D7407B">
            <w:pPr>
              <w:jc w:val="both"/>
            </w:pPr>
            <w:r>
              <w:t xml:space="preserve">Téma Sandboxu si vyžaduje detailnú analýzu a diskusiu na úrovni Ministerstva financií SR a Národnej banky Slovenska so zapojením trhových subjektov. Jedná sa relatívne nový prístup, ktorý prináša pozitíva, ale aj možné otázky </w:t>
            </w:r>
            <w:r w:rsidR="00D7407B">
              <w:t xml:space="preserve">udržiavania „level </w:t>
            </w:r>
            <w:proofErr w:type="spellStart"/>
            <w:r w:rsidR="00D7407B">
              <w:t>playing</w:t>
            </w:r>
            <w:proofErr w:type="spellEnd"/>
            <w:r w:rsidR="00D7407B">
              <w:t xml:space="preserve"> </w:t>
            </w:r>
            <w:proofErr w:type="spellStart"/>
            <w:r w:rsidR="00D7407B">
              <w:t>field</w:t>
            </w:r>
            <w:proofErr w:type="spellEnd"/>
            <w:r w:rsidR="00D7407B">
              <w:t xml:space="preserve">“ medzi existujúcimi a novými podnikateľmi. Skúsenosti zo zahraničia (najmä UK) však potvrdili životaschopnosť </w:t>
            </w:r>
            <w:proofErr w:type="spellStart"/>
            <w:r w:rsidR="00D7407B">
              <w:lastRenderedPageBreak/>
              <w:t>sandboxových</w:t>
            </w:r>
            <w:proofErr w:type="spellEnd"/>
            <w:r w:rsidR="00D7407B">
              <w:t xml:space="preserve"> riešení a to či už vo forme regulatórneho sandboxu so zapojením orgánov dohľadu daného štátu alebo súkromných </w:t>
            </w:r>
            <w:proofErr w:type="spellStart"/>
            <w:r w:rsidR="00D7407B">
              <w:t>sandboxových</w:t>
            </w:r>
            <w:proofErr w:type="spellEnd"/>
            <w:r w:rsidR="00D7407B">
              <w:t xml:space="preserve"> iniciatív. </w:t>
            </w:r>
          </w:p>
          <w:p w:rsidR="00D7407B" w:rsidRDefault="00D7407B" w:rsidP="00D7407B">
            <w:pPr>
              <w:jc w:val="both"/>
            </w:pPr>
            <w:r>
              <w:t>Zaujímavým riešení problematiky sandboxu môže byť tzv. V4 Sandbox, ktorý by v spolupráci krajín V4 zabezpečoval testovanie produktov a služieb voči regulačným pravidlám všetkých jurisdikcií v rámci V4. Slovenským ako aj spolupracujúcim krajinám by umožnil prístup finančných inštitúcií nie len na domáce trhy, ale na trh V4 s počtom cca. 65 miliónov potenciálnych klientov. V tejto otázke budú prebiehať ďalšie analýzy a v prípade záujmu MF SR osloví V4 partnerov s ponukou na analýzu V4 Sandbox riešenia.</w:t>
            </w:r>
          </w:p>
          <w:p w:rsidR="00D7407B" w:rsidRPr="00FE1605" w:rsidRDefault="00D7407B" w:rsidP="00D7407B">
            <w:pPr>
              <w:jc w:val="both"/>
            </w:pPr>
          </w:p>
        </w:tc>
      </w:tr>
      <w:tr w:rsidR="003D76BF" w:rsidRPr="00FE1605" w:rsidTr="005C051C">
        <w:trPr>
          <w:trHeight w:val="900"/>
        </w:trPr>
        <w:tc>
          <w:tcPr>
            <w:tcW w:w="562" w:type="dxa"/>
            <w:gridSpan w:val="2"/>
            <w:hideMark/>
          </w:tcPr>
          <w:p w:rsidR="003D76BF" w:rsidRPr="00FE1605" w:rsidRDefault="003D76BF" w:rsidP="003D76BF">
            <w:pPr>
              <w:jc w:val="both"/>
              <w:rPr>
                <w:b/>
                <w:bCs/>
              </w:rPr>
            </w:pPr>
            <w:r>
              <w:rPr>
                <w:b/>
                <w:bCs/>
              </w:rPr>
              <w:lastRenderedPageBreak/>
              <w:t>7</w:t>
            </w:r>
          </w:p>
        </w:tc>
        <w:tc>
          <w:tcPr>
            <w:tcW w:w="1442" w:type="dxa"/>
            <w:hideMark/>
          </w:tcPr>
          <w:p w:rsidR="003D76BF" w:rsidRPr="00FE1605" w:rsidRDefault="003D76BF" w:rsidP="005C051C">
            <w:pPr>
              <w:jc w:val="both"/>
            </w:pPr>
            <w:r w:rsidRPr="00FE1605">
              <w:t>Elektronické podpisovanie zmlúv</w:t>
            </w:r>
          </w:p>
        </w:tc>
        <w:tc>
          <w:tcPr>
            <w:tcW w:w="7210" w:type="dxa"/>
            <w:hideMark/>
          </w:tcPr>
          <w:p w:rsidR="003D76BF" w:rsidRDefault="003D76BF" w:rsidP="00C76AC0">
            <w:pPr>
              <w:jc w:val="both"/>
            </w:pPr>
            <w:r w:rsidRPr="00FE1605">
              <w:t xml:space="preserve">Možnosť využívania digitálneho/elektronického podpisu </w:t>
            </w:r>
            <w:r w:rsidR="00C76AC0">
              <w:t xml:space="preserve">aj </w:t>
            </w:r>
            <w:r w:rsidRPr="00FE1605">
              <w:t xml:space="preserve">bez nutnosti používania </w:t>
            </w:r>
            <w:proofErr w:type="spellStart"/>
            <w:r w:rsidRPr="00FE1605">
              <w:t>eID</w:t>
            </w:r>
            <w:proofErr w:type="spellEnd"/>
            <w:r w:rsidRPr="00FE1605">
              <w:t xml:space="preserve"> tak, aby bola zabezpečená vymáhateľnosť takéhoto kontraktu aj v prípad</w:t>
            </w:r>
            <w:r w:rsidR="00C76AC0">
              <w:t>och</w:t>
            </w:r>
            <w:r w:rsidRPr="00FE1605">
              <w:t xml:space="preserve"> jeho porušenia zo strany klienta/obchodného partnera. Právna úprava na finančnom trhu </w:t>
            </w:r>
            <w:r w:rsidR="00C76AC0">
              <w:t>je v týchto aspektoch limitujúca</w:t>
            </w:r>
            <w:r w:rsidRPr="00FE1605">
              <w:t>.</w:t>
            </w:r>
          </w:p>
          <w:p w:rsidR="00854ABB" w:rsidRDefault="00854ABB" w:rsidP="00C76AC0">
            <w:pPr>
              <w:jc w:val="both"/>
            </w:pPr>
            <w:r>
              <w:t>MF SR v spolupráci s NBS pripravuje analýzu využívania a zefektívnenia používania elektronických podpisov s ohľadom na právne požiadavky existujúceho legislatívneho rámca. Analýzu bude konzultovať s účastníkmi trhu a v prípade potreby budú navrhnuté zmeny existujúcich pravidiel používania tejto formy podpisu dokumentov.</w:t>
            </w:r>
          </w:p>
          <w:p w:rsidR="008D4B01" w:rsidRPr="00FE1605" w:rsidRDefault="008D4B01" w:rsidP="00C76AC0">
            <w:pPr>
              <w:jc w:val="both"/>
            </w:pPr>
          </w:p>
        </w:tc>
      </w:tr>
      <w:tr w:rsidR="003D76BF" w:rsidRPr="00FE1605" w:rsidTr="008D4B01">
        <w:trPr>
          <w:trHeight w:val="927"/>
        </w:trPr>
        <w:tc>
          <w:tcPr>
            <w:tcW w:w="562" w:type="dxa"/>
            <w:gridSpan w:val="2"/>
            <w:hideMark/>
          </w:tcPr>
          <w:p w:rsidR="003D76BF" w:rsidRPr="00FE1605" w:rsidRDefault="003D76BF" w:rsidP="003D76BF">
            <w:pPr>
              <w:jc w:val="both"/>
              <w:rPr>
                <w:b/>
                <w:bCs/>
              </w:rPr>
            </w:pPr>
            <w:r>
              <w:rPr>
                <w:b/>
                <w:bCs/>
              </w:rPr>
              <w:t>8</w:t>
            </w:r>
          </w:p>
        </w:tc>
        <w:tc>
          <w:tcPr>
            <w:tcW w:w="1442" w:type="dxa"/>
            <w:hideMark/>
          </w:tcPr>
          <w:p w:rsidR="003D76BF" w:rsidRPr="00FE1605" w:rsidRDefault="003D76BF" w:rsidP="005C051C">
            <w:pPr>
              <w:jc w:val="both"/>
            </w:pPr>
            <w:proofErr w:type="spellStart"/>
            <w:r w:rsidRPr="00FE1605">
              <w:t>Non</w:t>
            </w:r>
            <w:proofErr w:type="spellEnd"/>
            <w:r w:rsidRPr="00FE1605">
              <w:t>-</w:t>
            </w:r>
            <w:proofErr w:type="spellStart"/>
            <w:r w:rsidRPr="00FE1605">
              <w:t>face</w:t>
            </w:r>
            <w:proofErr w:type="spellEnd"/>
            <w:r w:rsidRPr="00FE1605">
              <w:t>-to-</w:t>
            </w:r>
            <w:proofErr w:type="spellStart"/>
            <w:r w:rsidRPr="00FE1605">
              <w:t>face</w:t>
            </w:r>
            <w:proofErr w:type="spellEnd"/>
            <w:r w:rsidRPr="00FE1605">
              <w:t xml:space="preserve"> identifikácia</w:t>
            </w:r>
          </w:p>
        </w:tc>
        <w:tc>
          <w:tcPr>
            <w:tcW w:w="7210" w:type="dxa"/>
            <w:hideMark/>
          </w:tcPr>
          <w:p w:rsidR="003D76BF" w:rsidRDefault="00854ABB" w:rsidP="005C051C">
            <w:pPr>
              <w:jc w:val="both"/>
            </w:pPr>
            <w:r>
              <w:t>Analýza súčasného právneho rámca</w:t>
            </w:r>
            <w:r w:rsidR="003D76BF" w:rsidRPr="00FE1605">
              <w:t xml:space="preserve"> </w:t>
            </w:r>
            <w:proofErr w:type="spellStart"/>
            <w:r w:rsidR="003D76BF" w:rsidRPr="00FE1605">
              <w:t>non</w:t>
            </w:r>
            <w:proofErr w:type="spellEnd"/>
            <w:r w:rsidR="003D76BF" w:rsidRPr="00FE1605">
              <w:t>-</w:t>
            </w:r>
            <w:proofErr w:type="spellStart"/>
            <w:r w:rsidR="003D76BF" w:rsidRPr="00FE1605">
              <w:t>face</w:t>
            </w:r>
            <w:proofErr w:type="spellEnd"/>
            <w:r w:rsidR="003D76BF" w:rsidRPr="00FE1605">
              <w:t>-to-</w:t>
            </w:r>
            <w:proofErr w:type="spellStart"/>
            <w:r w:rsidR="003D76BF" w:rsidRPr="00FE1605">
              <w:t>face</w:t>
            </w:r>
            <w:proofErr w:type="spellEnd"/>
            <w:r w:rsidR="003D76BF" w:rsidRPr="00FE1605">
              <w:t xml:space="preserve"> identifikácie </w:t>
            </w:r>
            <w:r>
              <w:t xml:space="preserve">podľa platného </w:t>
            </w:r>
            <w:r w:rsidR="003D76BF" w:rsidRPr="00FE1605">
              <w:t>právneho por</w:t>
            </w:r>
            <w:r w:rsidR="003D76BF">
              <w:t xml:space="preserve">iadku </w:t>
            </w:r>
            <w:r>
              <w:t>s ohľadom najmä na AML reguláciu</w:t>
            </w:r>
            <w:r w:rsidR="003D76BF">
              <w:t>.</w:t>
            </w:r>
          </w:p>
          <w:p w:rsidR="008D4B01" w:rsidRPr="00FE1605" w:rsidRDefault="008D4B01" w:rsidP="005C051C">
            <w:pPr>
              <w:jc w:val="both"/>
            </w:pPr>
          </w:p>
        </w:tc>
      </w:tr>
      <w:tr w:rsidR="00E94378" w:rsidRPr="00FE1605" w:rsidTr="00E94378">
        <w:trPr>
          <w:trHeight w:val="1418"/>
        </w:trPr>
        <w:tc>
          <w:tcPr>
            <w:tcW w:w="555" w:type="dxa"/>
            <w:hideMark/>
          </w:tcPr>
          <w:p w:rsidR="00E94378" w:rsidRPr="00FE1605" w:rsidRDefault="003D76BF" w:rsidP="00F04317">
            <w:pPr>
              <w:jc w:val="both"/>
              <w:rPr>
                <w:b/>
                <w:bCs/>
              </w:rPr>
            </w:pPr>
            <w:r>
              <w:rPr>
                <w:b/>
                <w:bCs/>
              </w:rPr>
              <w:t>9</w:t>
            </w:r>
          </w:p>
        </w:tc>
        <w:tc>
          <w:tcPr>
            <w:tcW w:w="1449" w:type="dxa"/>
            <w:gridSpan w:val="2"/>
            <w:hideMark/>
          </w:tcPr>
          <w:p w:rsidR="00E94378" w:rsidRPr="00FE1605" w:rsidRDefault="00C76AC0" w:rsidP="00F04317">
            <w:pPr>
              <w:jc w:val="both"/>
            </w:pPr>
            <w:r w:rsidRPr="00FE1605">
              <w:t xml:space="preserve">Prístup </w:t>
            </w:r>
            <w:r>
              <w:t xml:space="preserve">nebankových </w:t>
            </w:r>
            <w:proofErr w:type="spellStart"/>
            <w:r>
              <w:t>PSPs</w:t>
            </w:r>
            <w:proofErr w:type="spellEnd"/>
            <w:r>
              <w:t xml:space="preserve"> do platobných systémov</w:t>
            </w:r>
          </w:p>
        </w:tc>
        <w:tc>
          <w:tcPr>
            <w:tcW w:w="7210" w:type="dxa"/>
            <w:hideMark/>
          </w:tcPr>
          <w:p w:rsidR="00C76AC0" w:rsidRDefault="00C76AC0" w:rsidP="00C76AC0">
            <w:pPr>
              <w:jc w:val="both"/>
            </w:pPr>
            <w:r w:rsidRPr="00563705">
              <w:rPr>
                <w:u w:val="single"/>
              </w:rPr>
              <w:t>Analýza možnost</w:t>
            </w:r>
            <w:r>
              <w:rPr>
                <w:u w:val="single"/>
              </w:rPr>
              <w:t xml:space="preserve">í prístupu </w:t>
            </w:r>
            <w:r w:rsidRPr="00563705">
              <w:rPr>
                <w:u w:val="single"/>
              </w:rPr>
              <w:t xml:space="preserve">platobných inštitúcií a </w:t>
            </w:r>
            <w:proofErr w:type="spellStart"/>
            <w:r w:rsidRPr="00563705">
              <w:rPr>
                <w:u w:val="single"/>
              </w:rPr>
              <w:t>eMoney</w:t>
            </w:r>
            <w:proofErr w:type="spellEnd"/>
            <w:r w:rsidRPr="00563705">
              <w:rPr>
                <w:u w:val="single"/>
              </w:rPr>
              <w:t xml:space="preserve"> inštitúcií </w:t>
            </w:r>
            <w:r>
              <w:rPr>
                <w:u w:val="single"/>
              </w:rPr>
              <w:t>do</w:t>
            </w:r>
            <w:r w:rsidRPr="00563705">
              <w:rPr>
                <w:u w:val="single"/>
              </w:rPr>
              <w:t xml:space="preserve"> </w:t>
            </w:r>
            <w:r>
              <w:rPr>
                <w:u w:val="single"/>
              </w:rPr>
              <w:t>platobných systémov</w:t>
            </w:r>
            <w:r w:rsidRPr="00FE1605">
              <w:t>.</w:t>
            </w:r>
            <w:r>
              <w:t xml:space="preserve"> Ide najmä o</w:t>
            </w:r>
            <w:r w:rsidR="00854ABB">
              <w:t> analýzu existujúceho regulatórneho rámca. Po ukončení analýzy bude táto dostupná v rámci Inovačného hubu na webových stránkach NBS a MF SR na uľahčenie</w:t>
            </w:r>
            <w:r>
              <w:t xml:space="preserve"> prístupu nebankových </w:t>
            </w:r>
            <w:proofErr w:type="spellStart"/>
            <w:r>
              <w:t>PSPs</w:t>
            </w:r>
            <w:proofErr w:type="spellEnd"/>
            <w:r>
              <w:t xml:space="preserve"> do bankových systémov.</w:t>
            </w:r>
            <w:r w:rsidRPr="00FE1605">
              <w:t xml:space="preserve"> </w:t>
            </w:r>
          </w:p>
          <w:p w:rsidR="00E94378" w:rsidRPr="00FE1605" w:rsidRDefault="00E94378" w:rsidP="00E94378">
            <w:pPr>
              <w:jc w:val="both"/>
            </w:pPr>
          </w:p>
        </w:tc>
      </w:tr>
      <w:tr w:rsidR="00E94378" w:rsidRPr="00FE1605" w:rsidTr="00760357">
        <w:trPr>
          <w:trHeight w:val="708"/>
        </w:trPr>
        <w:tc>
          <w:tcPr>
            <w:tcW w:w="555" w:type="dxa"/>
            <w:hideMark/>
          </w:tcPr>
          <w:p w:rsidR="00E94378" w:rsidRPr="00FE1605" w:rsidRDefault="00E94378" w:rsidP="00F04317">
            <w:pPr>
              <w:jc w:val="both"/>
              <w:rPr>
                <w:b/>
                <w:bCs/>
              </w:rPr>
            </w:pPr>
            <w:r>
              <w:rPr>
                <w:b/>
                <w:bCs/>
              </w:rPr>
              <w:t>10</w:t>
            </w:r>
          </w:p>
        </w:tc>
        <w:tc>
          <w:tcPr>
            <w:tcW w:w="1449" w:type="dxa"/>
            <w:gridSpan w:val="2"/>
            <w:hideMark/>
          </w:tcPr>
          <w:p w:rsidR="00E94378" w:rsidRPr="00FE1605" w:rsidRDefault="00E94378" w:rsidP="00F04317">
            <w:pPr>
              <w:jc w:val="both"/>
            </w:pPr>
            <w:r w:rsidRPr="00FE1605">
              <w:t>Certifikácia inovačných technológií</w:t>
            </w:r>
          </w:p>
        </w:tc>
        <w:tc>
          <w:tcPr>
            <w:tcW w:w="7210" w:type="dxa"/>
            <w:hideMark/>
          </w:tcPr>
          <w:p w:rsidR="00E94378" w:rsidRPr="00FE1605" w:rsidRDefault="00E94378" w:rsidP="00F04317">
            <w:pPr>
              <w:jc w:val="both"/>
            </w:pPr>
            <w:r w:rsidRPr="00FE1605">
              <w:t>Možnosť "</w:t>
            </w:r>
            <w:proofErr w:type="spellStart"/>
            <w:r w:rsidRPr="00FE1605">
              <w:t>predschválenia</w:t>
            </w:r>
            <w:proofErr w:type="spellEnd"/>
            <w:r w:rsidRPr="00FE1605">
              <w:t>" technológií zo stran</w:t>
            </w:r>
            <w:bookmarkStart w:id="0" w:name="_GoBack"/>
            <w:bookmarkEnd w:id="0"/>
            <w:r w:rsidRPr="00FE1605">
              <w:t>y NBS a to t</w:t>
            </w:r>
            <w:r>
              <w:t>ým, že raz použitá technológia</w:t>
            </w:r>
            <w:r w:rsidRPr="00FE1605">
              <w:t xml:space="preserve">, by nebola predmetov zdĺhavého posudzovania zo strany NBS, ak by ju použila iná firma. Posudzovalo by sa len individuálne nastavenie procesov a systému technológie, nie jej základné funkcionality a fungovanie. FinTech spoločnosti totiž už v súčasnosti budujú na prístupných technických riešeniach pre jednotlivé moduly činnosti (napr. </w:t>
            </w:r>
            <w:proofErr w:type="spellStart"/>
            <w:r w:rsidRPr="00FE1605">
              <w:t>onboarding</w:t>
            </w:r>
            <w:proofErr w:type="spellEnd"/>
            <w:r w:rsidRPr="00FE1605">
              <w:t xml:space="preserve"> klienta, identifikácia online, podpisovanie zmlúv online etc.). Do budúcnosti sa tento trend len zvýši. Znalosť týchto modulov a predbežná "akceptácia" by zrýchlila proces vzniku a začiatku fungovania spoločnosti na trhu, znížila by jej náklady. Na druhej strane by zaručovala znalosť danej technológie pre NBS. </w:t>
            </w:r>
          </w:p>
          <w:p w:rsidR="00E94378" w:rsidRPr="00FE1605" w:rsidRDefault="00E94378" w:rsidP="00F04317">
            <w:pPr>
              <w:jc w:val="both"/>
            </w:pPr>
          </w:p>
        </w:tc>
      </w:tr>
      <w:tr w:rsidR="00E94378" w:rsidRPr="00FE1605" w:rsidTr="00760357">
        <w:trPr>
          <w:trHeight w:val="836"/>
        </w:trPr>
        <w:tc>
          <w:tcPr>
            <w:tcW w:w="555" w:type="dxa"/>
            <w:hideMark/>
          </w:tcPr>
          <w:p w:rsidR="00E94378" w:rsidRPr="00FE1605" w:rsidRDefault="00E94378" w:rsidP="00F04317">
            <w:pPr>
              <w:jc w:val="both"/>
              <w:rPr>
                <w:b/>
                <w:bCs/>
              </w:rPr>
            </w:pPr>
            <w:r w:rsidRPr="00FE1605">
              <w:rPr>
                <w:b/>
                <w:bCs/>
              </w:rPr>
              <w:t>1</w:t>
            </w:r>
            <w:r>
              <w:rPr>
                <w:b/>
                <w:bCs/>
              </w:rPr>
              <w:t>1</w:t>
            </w:r>
          </w:p>
        </w:tc>
        <w:tc>
          <w:tcPr>
            <w:tcW w:w="1449" w:type="dxa"/>
            <w:gridSpan w:val="2"/>
            <w:hideMark/>
          </w:tcPr>
          <w:p w:rsidR="00E94378" w:rsidRPr="00FE1605" w:rsidRDefault="00E94378" w:rsidP="00F04317">
            <w:pPr>
              <w:jc w:val="both"/>
            </w:pPr>
            <w:r w:rsidRPr="00FE1605">
              <w:t>Uznávanie certifikácií</w:t>
            </w:r>
          </w:p>
        </w:tc>
        <w:tc>
          <w:tcPr>
            <w:tcW w:w="7210" w:type="dxa"/>
            <w:hideMark/>
          </w:tcPr>
          <w:p w:rsidR="00E94378" w:rsidRDefault="00E94378" w:rsidP="00B931F4">
            <w:pPr>
              <w:jc w:val="both"/>
            </w:pPr>
            <w:r>
              <w:t xml:space="preserve">Niektoré trhové subjekty vzniesli pripomienku, že zahraničné certifikáty nie sú plne akceptované zo strany NBS. Túto požiadavku musíme analyzovať a v prípade, ka je to tak, tak zabezpečiť možnosť akceptácie certifikátov </w:t>
            </w:r>
            <w:r w:rsidRPr="00FE1605">
              <w:t xml:space="preserve">bez potreby zdĺhavého </w:t>
            </w:r>
            <w:r>
              <w:t>overovania</w:t>
            </w:r>
            <w:r w:rsidRPr="00FE1605">
              <w:t xml:space="preserve"> vhodnosti danej certifikovanej technológie a jej bezpečnosti, spoľahlivosti etc.</w:t>
            </w:r>
          </w:p>
          <w:p w:rsidR="00E94378" w:rsidRPr="00FE1605" w:rsidRDefault="00E94378" w:rsidP="00F04317">
            <w:pPr>
              <w:jc w:val="both"/>
            </w:pPr>
          </w:p>
        </w:tc>
      </w:tr>
      <w:tr w:rsidR="00E94378" w:rsidRPr="00FE1605" w:rsidTr="00760357">
        <w:trPr>
          <w:trHeight w:val="567"/>
        </w:trPr>
        <w:tc>
          <w:tcPr>
            <w:tcW w:w="555" w:type="dxa"/>
            <w:hideMark/>
          </w:tcPr>
          <w:p w:rsidR="00E94378" w:rsidRPr="00FE1605" w:rsidRDefault="00E94378" w:rsidP="00F04317">
            <w:pPr>
              <w:jc w:val="both"/>
              <w:rPr>
                <w:b/>
                <w:bCs/>
              </w:rPr>
            </w:pPr>
            <w:r w:rsidRPr="00FE1605">
              <w:rPr>
                <w:b/>
                <w:bCs/>
              </w:rPr>
              <w:t>1</w:t>
            </w:r>
            <w:r>
              <w:rPr>
                <w:b/>
                <w:bCs/>
              </w:rPr>
              <w:t>2</w:t>
            </w:r>
          </w:p>
        </w:tc>
        <w:tc>
          <w:tcPr>
            <w:tcW w:w="1449" w:type="dxa"/>
            <w:gridSpan w:val="2"/>
            <w:hideMark/>
          </w:tcPr>
          <w:p w:rsidR="00E94378" w:rsidRPr="00FE1605" w:rsidRDefault="00E94378" w:rsidP="00F04317">
            <w:pPr>
              <w:jc w:val="both"/>
            </w:pPr>
            <w:r w:rsidRPr="00FE1605">
              <w:t>Outsourcing funkcií finančnej inštitúcie</w:t>
            </w:r>
          </w:p>
        </w:tc>
        <w:tc>
          <w:tcPr>
            <w:tcW w:w="7210" w:type="dxa"/>
            <w:hideMark/>
          </w:tcPr>
          <w:p w:rsidR="00E94378" w:rsidRDefault="00E94378" w:rsidP="00F04317">
            <w:pPr>
              <w:jc w:val="both"/>
            </w:pPr>
            <w:r>
              <w:t>Analýza o</w:t>
            </w:r>
            <w:r w:rsidRPr="00FE1605">
              <w:t>utsourcing</w:t>
            </w:r>
            <w:r>
              <w:t>u v oblasti finančných inštitúcií a prípadných návrhov na zlepšenie úpravy</w:t>
            </w:r>
            <w:r w:rsidRPr="00FE1605">
              <w:t xml:space="preserve"> - zodpovednostné vzťahy a </w:t>
            </w:r>
            <w:proofErr w:type="spellStart"/>
            <w:r w:rsidRPr="00FE1605">
              <w:t>sub</w:t>
            </w:r>
            <w:proofErr w:type="spellEnd"/>
            <w:r w:rsidRPr="00FE1605">
              <w:t xml:space="preserve"> - outsourcing služieb finančných inštitúcií.</w:t>
            </w:r>
          </w:p>
          <w:p w:rsidR="00E94378" w:rsidRDefault="00E94378" w:rsidP="00B931F4">
            <w:pPr>
              <w:jc w:val="both"/>
            </w:pPr>
            <w:r>
              <w:t>An</w:t>
            </w:r>
            <w:r w:rsidRPr="00FE1605">
              <w:t>alýza prípustnosti outsourcingu niektorých kritických funkcií - interná kontrola, audit, právne služby, compliance, AML &amp; CTF.</w:t>
            </w:r>
          </w:p>
          <w:p w:rsidR="008D4B01" w:rsidRPr="00FE1605" w:rsidRDefault="008D4B01" w:rsidP="00B931F4">
            <w:pPr>
              <w:jc w:val="both"/>
            </w:pPr>
          </w:p>
        </w:tc>
      </w:tr>
      <w:tr w:rsidR="00E94378" w:rsidRPr="00FE1605" w:rsidTr="00760357">
        <w:trPr>
          <w:trHeight w:val="600"/>
        </w:trPr>
        <w:tc>
          <w:tcPr>
            <w:tcW w:w="562" w:type="dxa"/>
            <w:gridSpan w:val="2"/>
            <w:hideMark/>
          </w:tcPr>
          <w:p w:rsidR="00E94378" w:rsidRPr="00FE1605" w:rsidRDefault="003D76BF" w:rsidP="00F04317">
            <w:pPr>
              <w:jc w:val="both"/>
              <w:rPr>
                <w:b/>
                <w:bCs/>
              </w:rPr>
            </w:pPr>
            <w:r>
              <w:rPr>
                <w:b/>
                <w:bCs/>
              </w:rPr>
              <w:lastRenderedPageBreak/>
              <w:t>13</w:t>
            </w:r>
          </w:p>
        </w:tc>
        <w:tc>
          <w:tcPr>
            <w:tcW w:w="1442" w:type="dxa"/>
            <w:hideMark/>
          </w:tcPr>
          <w:p w:rsidR="00E94378" w:rsidRPr="00FE1605" w:rsidRDefault="00E94378" w:rsidP="00F04317">
            <w:pPr>
              <w:jc w:val="both"/>
            </w:pPr>
            <w:r w:rsidRPr="00FE1605">
              <w:t>Regulácia crowdfunding</w:t>
            </w:r>
          </w:p>
        </w:tc>
        <w:tc>
          <w:tcPr>
            <w:tcW w:w="7210" w:type="dxa"/>
            <w:hideMark/>
          </w:tcPr>
          <w:p w:rsidR="008D4B01" w:rsidRDefault="008D4B01" w:rsidP="008D4B01">
            <w:pPr>
              <w:jc w:val="both"/>
            </w:pPr>
            <w:r w:rsidRPr="00FE1605">
              <w:t>Analýza potreby regulácie crowdinvestingu a crowdlendingu v podmienkach SR.</w:t>
            </w:r>
            <w:r>
              <w:t xml:space="preserve"> Na základe analýzy rozhodnúť o príprave regulácie crowdfundingu.</w:t>
            </w:r>
          </w:p>
          <w:p w:rsidR="00E94378" w:rsidRDefault="008D4B01" w:rsidP="008D4B01">
            <w:pPr>
              <w:jc w:val="both"/>
            </w:pPr>
            <w:r>
              <w:t>V</w:t>
            </w:r>
            <w:r w:rsidR="00E94378">
              <w:t xml:space="preserve"> súčasnej dobe </w:t>
            </w:r>
            <w:r>
              <w:t xml:space="preserve">neexistencia regulácie oblasti crowdfundingu pôsobí </w:t>
            </w:r>
            <w:r w:rsidR="00E94378">
              <w:t>ako prekážk</w:t>
            </w:r>
            <w:r>
              <w:t>a</w:t>
            </w:r>
            <w:r w:rsidR="00E94378">
              <w:t xml:space="preserve"> rozvoja tohto odvetvia na Slovensku. Je preto potrebné zistiť vhodnosť a rozsah prípadnej regulácie a v prípade potreby ju pripraviť.</w:t>
            </w:r>
          </w:p>
          <w:p w:rsidR="008D4B01" w:rsidRPr="00FE1605" w:rsidRDefault="008D4B01" w:rsidP="008D4B01">
            <w:pPr>
              <w:jc w:val="both"/>
            </w:pPr>
          </w:p>
        </w:tc>
      </w:tr>
      <w:tr w:rsidR="00E94378" w:rsidRPr="00FE1605" w:rsidTr="00760357">
        <w:trPr>
          <w:trHeight w:val="900"/>
        </w:trPr>
        <w:tc>
          <w:tcPr>
            <w:tcW w:w="562" w:type="dxa"/>
            <w:gridSpan w:val="2"/>
            <w:hideMark/>
          </w:tcPr>
          <w:p w:rsidR="00E94378" w:rsidRPr="00FE1605" w:rsidRDefault="003D76BF" w:rsidP="00F04317">
            <w:pPr>
              <w:jc w:val="both"/>
              <w:rPr>
                <w:b/>
                <w:bCs/>
              </w:rPr>
            </w:pPr>
            <w:r>
              <w:rPr>
                <w:b/>
                <w:bCs/>
              </w:rPr>
              <w:t>14</w:t>
            </w:r>
          </w:p>
        </w:tc>
        <w:tc>
          <w:tcPr>
            <w:tcW w:w="1442" w:type="dxa"/>
            <w:hideMark/>
          </w:tcPr>
          <w:p w:rsidR="00E94378" w:rsidRPr="00FE1605" w:rsidRDefault="00E94378" w:rsidP="00F04317">
            <w:pPr>
              <w:jc w:val="both"/>
            </w:pPr>
            <w:r w:rsidRPr="00FE1605">
              <w:t>Zefektívnenie JSA</w:t>
            </w:r>
          </w:p>
        </w:tc>
        <w:tc>
          <w:tcPr>
            <w:tcW w:w="7210" w:type="dxa"/>
            <w:hideMark/>
          </w:tcPr>
          <w:p w:rsidR="00E94378" w:rsidRDefault="008D4B01" w:rsidP="00563705">
            <w:pPr>
              <w:jc w:val="both"/>
            </w:pPr>
            <w:r w:rsidRPr="00563705">
              <w:rPr>
                <w:u w:val="single"/>
              </w:rPr>
              <w:t xml:space="preserve">Zefektívnenie </w:t>
            </w:r>
            <w:r>
              <w:rPr>
                <w:u w:val="single"/>
              </w:rPr>
              <w:t>inštitútu</w:t>
            </w:r>
            <w:r w:rsidRPr="00563705">
              <w:rPr>
                <w:u w:val="single"/>
              </w:rPr>
              <w:t xml:space="preserve"> Jednoduchej spoločnosti </w:t>
            </w:r>
            <w:r>
              <w:rPr>
                <w:u w:val="single"/>
              </w:rPr>
              <w:t xml:space="preserve">na </w:t>
            </w:r>
            <w:r w:rsidRPr="00563705">
              <w:rPr>
                <w:u w:val="single"/>
              </w:rPr>
              <w:t>akcie</w:t>
            </w:r>
            <w:r w:rsidRPr="00FE1605">
              <w:t xml:space="preserve"> (JSA) </w:t>
            </w:r>
            <w:r>
              <w:t xml:space="preserve"> z dôvodu zefektívnenia najmä </w:t>
            </w:r>
            <w:proofErr w:type="spellStart"/>
            <w:r>
              <w:t>crowdinvestigu</w:t>
            </w:r>
            <w:proofErr w:type="spellEnd"/>
            <w:r>
              <w:t>, ako aj celkového startup prostredia v SR.</w:t>
            </w:r>
          </w:p>
          <w:p w:rsidR="008D4B01" w:rsidRPr="00FE1605" w:rsidRDefault="008D4B01" w:rsidP="00563705">
            <w:pPr>
              <w:jc w:val="both"/>
            </w:pPr>
          </w:p>
        </w:tc>
      </w:tr>
      <w:tr w:rsidR="00E94378" w:rsidRPr="00FE1605" w:rsidTr="00760357">
        <w:trPr>
          <w:trHeight w:val="600"/>
        </w:trPr>
        <w:tc>
          <w:tcPr>
            <w:tcW w:w="562" w:type="dxa"/>
            <w:gridSpan w:val="2"/>
            <w:hideMark/>
          </w:tcPr>
          <w:p w:rsidR="00E94378" w:rsidRPr="00FE1605" w:rsidRDefault="003D76BF" w:rsidP="00F04317">
            <w:pPr>
              <w:jc w:val="both"/>
              <w:rPr>
                <w:b/>
                <w:bCs/>
              </w:rPr>
            </w:pPr>
            <w:r>
              <w:rPr>
                <w:b/>
                <w:bCs/>
              </w:rPr>
              <w:t>15</w:t>
            </w:r>
          </w:p>
        </w:tc>
        <w:tc>
          <w:tcPr>
            <w:tcW w:w="1442" w:type="dxa"/>
            <w:hideMark/>
          </w:tcPr>
          <w:p w:rsidR="00E94378" w:rsidRPr="00FE1605" w:rsidRDefault="00E94378" w:rsidP="00F04317">
            <w:pPr>
              <w:jc w:val="both"/>
            </w:pPr>
            <w:r w:rsidRPr="00FE1605">
              <w:t>Regulácia ICO</w:t>
            </w:r>
          </w:p>
        </w:tc>
        <w:tc>
          <w:tcPr>
            <w:tcW w:w="7210" w:type="dxa"/>
            <w:hideMark/>
          </w:tcPr>
          <w:p w:rsidR="00E94378" w:rsidRPr="00FE1605" w:rsidRDefault="00E94378" w:rsidP="00F04317">
            <w:pPr>
              <w:jc w:val="both"/>
            </w:pPr>
            <w:r w:rsidRPr="00563705">
              <w:rPr>
                <w:u w:val="single"/>
              </w:rPr>
              <w:t>Komplexná regulácia ICO (</w:t>
            </w:r>
            <w:proofErr w:type="spellStart"/>
            <w:r w:rsidRPr="00563705">
              <w:rPr>
                <w:u w:val="single"/>
              </w:rPr>
              <w:t>Initial</w:t>
            </w:r>
            <w:proofErr w:type="spellEnd"/>
            <w:r w:rsidRPr="00563705">
              <w:rPr>
                <w:u w:val="single"/>
              </w:rPr>
              <w:t xml:space="preserve"> </w:t>
            </w:r>
            <w:proofErr w:type="spellStart"/>
            <w:r w:rsidRPr="00563705">
              <w:rPr>
                <w:u w:val="single"/>
              </w:rPr>
              <w:t>Coin</w:t>
            </w:r>
            <w:proofErr w:type="spellEnd"/>
            <w:r w:rsidRPr="00563705">
              <w:rPr>
                <w:u w:val="single"/>
              </w:rPr>
              <w:t xml:space="preserve"> </w:t>
            </w:r>
            <w:proofErr w:type="spellStart"/>
            <w:r w:rsidRPr="00563705">
              <w:rPr>
                <w:u w:val="single"/>
              </w:rPr>
              <w:t>Offering</w:t>
            </w:r>
            <w:proofErr w:type="spellEnd"/>
            <w:r w:rsidRPr="00563705">
              <w:rPr>
                <w:u w:val="single"/>
              </w:rPr>
              <w:t>)</w:t>
            </w:r>
            <w:r w:rsidRPr="00FE1605">
              <w:t>.</w:t>
            </w:r>
            <w:r>
              <w:t xml:space="preserve"> </w:t>
            </w:r>
            <w:r w:rsidRPr="00FE1605">
              <w:t>Zavedenie jasných štandardov pre ICO a virtuálne meny (napr. plnenie podmienok AML</w:t>
            </w:r>
            <w:r>
              <w:t>, transparentnosť, organizačné požiadavky) (legislatívny zámer 2019).</w:t>
            </w:r>
          </w:p>
          <w:p w:rsidR="00E94378" w:rsidRDefault="00E94378" w:rsidP="008D4B01">
            <w:pPr>
              <w:jc w:val="both"/>
            </w:pPr>
            <w:r>
              <w:t xml:space="preserve">Toto opatrenie by bolo najviac inovatívne s najväčším potenciálom pritiahnuť zahraničných investorov a udržať slovenské inovatívne spoločnosti na Slovensku. Hoci sa jedná o vydávanie a predaj virtuálnych mien, tieto by boli vydávané a predávané za presne stanovených podmienok a správali </w:t>
            </w:r>
            <w:r w:rsidR="008D4B01">
              <w:t xml:space="preserve">by sa </w:t>
            </w:r>
            <w:r>
              <w:t xml:space="preserve">ako </w:t>
            </w:r>
            <w:r w:rsidR="008D4B01">
              <w:t>finančné nástroje</w:t>
            </w:r>
            <w:r>
              <w:t>.</w:t>
            </w:r>
          </w:p>
          <w:p w:rsidR="008D4B01" w:rsidRPr="00FE1605" w:rsidRDefault="008D4B01" w:rsidP="008D4B01">
            <w:pPr>
              <w:jc w:val="both"/>
            </w:pPr>
          </w:p>
        </w:tc>
      </w:tr>
      <w:tr w:rsidR="00E94378" w:rsidRPr="00FE1605" w:rsidTr="00760357">
        <w:trPr>
          <w:trHeight w:val="900"/>
        </w:trPr>
        <w:tc>
          <w:tcPr>
            <w:tcW w:w="562" w:type="dxa"/>
            <w:gridSpan w:val="2"/>
            <w:hideMark/>
          </w:tcPr>
          <w:p w:rsidR="00E94378" w:rsidRPr="00FE1605" w:rsidRDefault="003D76BF" w:rsidP="00F04317">
            <w:pPr>
              <w:jc w:val="both"/>
              <w:rPr>
                <w:b/>
                <w:bCs/>
              </w:rPr>
            </w:pPr>
            <w:r>
              <w:rPr>
                <w:b/>
                <w:bCs/>
              </w:rPr>
              <w:t>16</w:t>
            </w:r>
          </w:p>
        </w:tc>
        <w:tc>
          <w:tcPr>
            <w:tcW w:w="1442" w:type="dxa"/>
            <w:hideMark/>
          </w:tcPr>
          <w:p w:rsidR="00E94378" w:rsidRPr="00FE1605" w:rsidRDefault="00E94378" w:rsidP="00F04317">
            <w:pPr>
              <w:jc w:val="both"/>
            </w:pPr>
            <w:r w:rsidRPr="00FE1605">
              <w:t xml:space="preserve">Virtuálna peňaženka </w:t>
            </w:r>
          </w:p>
        </w:tc>
        <w:tc>
          <w:tcPr>
            <w:tcW w:w="7210" w:type="dxa"/>
            <w:hideMark/>
          </w:tcPr>
          <w:p w:rsidR="00E94378" w:rsidRDefault="00E94378" w:rsidP="00C76AC0">
            <w:pPr>
              <w:jc w:val="both"/>
            </w:pPr>
            <w:r w:rsidRPr="00563705">
              <w:rPr>
                <w:u w:val="single"/>
              </w:rPr>
              <w:t xml:space="preserve">Umožnenie registrácie virtuálnej peňaženky na účely daňového priznania </w:t>
            </w:r>
            <w:r w:rsidRPr="00FE1605">
              <w:t>(FR SR). V spojitosti s</w:t>
            </w:r>
            <w:r w:rsidR="003D76BF">
              <w:t> diskusiou o zdaňovaní virtuálnych mien</w:t>
            </w:r>
            <w:r w:rsidRPr="00FE1605">
              <w:t xml:space="preserve"> </w:t>
            </w:r>
            <w:r w:rsidR="003D76BF">
              <w:t>mohla umožniť</w:t>
            </w:r>
            <w:r w:rsidRPr="00FE1605">
              <w:t xml:space="preserve"> rýchly a prehľadný výber dane a zároveň transparentné podmienky zdanenie transakcií s</w:t>
            </w:r>
            <w:r w:rsidR="00C76AC0">
              <w:t> virtuálnymi menami</w:t>
            </w:r>
            <w:r w:rsidR="003D76BF">
              <w:t xml:space="preserve">. </w:t>
            </w:r>
            <w:r>
              <w:t xml:space="preserve">Opatrenie by </w:t>
            </w:r>
            <w:r w:rsidR="003D76BF">
              <w:t>muselo tvoriť</w:t>
            </w:r>
            <w:r>
              <w:t xml:space="preserve"> dopln</w:t>
            </w:r>
            <w:r w:rsidR="003D76BF">
              <w:t>o</w:t>
            </w:r>
            <w:r>
              <w:t>k</w:t>
            </w:r>
            <w:r w:rsidR="003D76BF">
              <w:t xml:space="preserve"> v prípade regulácie ICO.</w:t>
            </w:r>
          </w:p>
          <w:p w:rsidR="008D4B01" w:rsidRPr="00FE1605" w:rsidRDefault="008D4B01" w:rsidP="00C76AC0">
            <w:pPr>
              <w:jc w:val="both"/>
            </w:pPr>
          </w:p>
        </w:tc>
      </w:tr>
      <w:tr w:rsidR="00E94378" w:rsidRPr="00FE1605" w:rsidTr="008D4B01">
        <w:trPr>
          <w:trHeight w:val="1252"/>
        </w:trPr>
        <w:tc>
          <w:tcPr>
            <w:tcW w:w="562" w:type="dxa"/>
            <w:gridSpan w:val="2"/>
            <w:hideMark/>
          </w:tcPr>
          <w:p w:rsidR="00E94378" w:rsidRPr="00FE1605" w:rsidRDefault="003D76BF" w:rsidP="00F04317">
            <w:pPr>
              <w:jc w:val="both"/>
              <w:rPr>
                <w:b/>
                <w:bCs/>
              </w:rPr>
            </w:pPr>
            <w:r>
              <w:rPr>
                <w:b/>
                <w:bCs/>
              </w:rPr>
              <w:t>17</w:t>
            </w:r>
          </w:p>
        </w:tc>
        <w:tc>
          <w:tcPr>
            <w:tcW w:w="1442" w:type="dxa"/>
            <w:hideMark/>
          </w:tcPr>
          <w:p w:rsidR="00E94378" w:rsidRPr="00FE1605" w:rsidRDefault="00E94378" w:rsidP="00F04317">
            <w:pPr>
              <w:jc w:val="both"/>
            </w:pPr>
            <w:r w:rsidRPr="00FE1605">
              <w:t>Zrážková daň na virtuálne meny</w:t>
            </w:r>
          </w:p>
        </w:tc>
        <w:tc>
          <w:tcPr>
            <w:tcW w:w="7210" w:type="dxa"/>
            <w:hideMark/>
          </w:tcPr>
          <w:p w:rsidR="00E94378" w:rsidRDefault="00E94378" w:rsidP="00F04317">
            <w:pPr>
              <w:jc w:val="both"/>
            </w:pPr>
            <w:r>
              <w:t xml:space="preserve">Analýza možnosti </w:t>
            </w:r>
            <w:r w:rsidRPr="00563705">
              <w:rPr>
                <w:u w:val="single"/>
              </w:rPr>
              <w:t>zmeny súčasného nastavenia zdaňovania virtuálnych mien</w:t>
            </w:r>
            <w:r w:rsidRPr="00563705">
              <w:t xml:space="preserve"> z dôvodu komplikovanosti</w:t>
            </w:r>
            <w:r>
              <w:t>. Viedlo by k zjednodušeniu a zároveň by v kombinácií s virtuálnou peňaženkou mohlo vytvoriť prehľadný systém zdaňovania virtuálnych mien.</w:t>
            </w:r>
          </w:p>
          <w:p w:rsidR="008D4B01" w:rsidRPr="00FE1605" w:rsidRDefault="008D4B01" w:rsidP="00F04317">
            <w:pPr>
              <w:jc w:val="both"/>
            </w:pPr>
          </w:p>
        </w:tc>
      </w:tr>
      <w:tr w:rsidR="00E94378" w:rsidRPr="00FE1605" w:rsidTr="00760357">
        <w:trPr>
          <w:trHeight w:val="600"/>
        </w:trPr>
        <w:tc>
          <w:tcPr>
            <w:tcW w:w="562" w:type="dxa"/>
            <w:gridSpan w:val="2"/>
            <w:hideMark/>
          </w:tcPr>
          <w:p w:rsidR="00E94378" w:rsidRPr="00FE1605" w:rsidRDefault="003D76BF" w:rsidP="00F04317">
            <w:pPr>
              <w:jc w:val="both"/>
              <w:rPr>
                <w:b/>
                <w:bCs/>
              </w:rPr>
            </w:pPr>
            <w:r>
              <w:rPr>
                <w:b/>
                <w:bCs/>
              </w:rPr>
              <w:t>18</w:t>
            </w:r>
          </w:p>
        </w:tc>
        <w:tc>
          <w:tcPr>
            <w:tcW w:w="1442" w:type="dxa"/>
            <w:hideMark/>
          </w:tcPr>
          <w:p w:rsidR="00E94378" w:rsidRPr="00FE1605" w:rsidRDefault="00E94378" w:rsidP="00F04317">
            <w:pPr>
              <w:jc w:val="both"/>
            </w:pPr>
            <w:r w:rsidRPr="00FE1605">
              <w:t>Zrážková daň pri crowdfundingu</w:t>
            </w:r>
          </w:p>
        </w:tc>
        <w:tc>
          <w:tcPr>
            <w:tcW w:w="7210" w:type="dxa"/>
            <w:hideMark/>
          </w:tcPr>
          <w:p w:rsidR="00E94378" w:rsidRDefault="003D76BF" w:rsidP="003D76BF">
            <w:pPr>
              <w:jc w:val="both"/>
            </w:pPr>
            <w:r>
              <w:rPr>
                <w:u w:val="single"/>
              </w:rPr>
              <w:t>Analýza možností zjednodušenia</w:t>
            </w:r>
            <w:r w:rsidR="00E94378" w:rsidRPr="00563705">
              <w:rPr>
                <w:u w:val="single"/>
              </w:rPr>
              <w:t xml:space="preserve"> zdaňovania pri crowdfundingu</w:t>
            </w:r>
            <w:r w:rsidR="00E94378">
              <w:t>. Zjednotenie spôsobu zdaňovania</w:t>
            </w:r>
            <w:r>
              <w:t xml:space="preserve"> pri crowdinvestingu a crowdlendingu.</w:t>
            </w:r>
          </w:p>
          <w:p w:rsidR="008D4B01" w:rsidRPr="00FE1605" w:rsidRDefault="008D4B01" w:rsidP="003D76BF">
            <w:pPr>
              <w:jc w:val="both"/>
            </w:pPr>
          </w:p>
        </w:tc>
      </w:tr>
      <w:tr w:rsidR="00E94378" w:rsidRPr="00FE1605" w:rsidTr="00760357">
        <w:trPr>
          <w:trHeight w:val="600"/>
        </w:trPr>
        <w:tc>
          <w:tcPr>
            <w:tcW w:w="562" w:type="dxa"/>
            <w:gridSpan w:val="2"/>
            <w:hideMark/>
          </w:tcPr>
          <w:p w:rsidR="00E94378" w:rsidRPr="00FE1605" w:rsidRDefault="003D76BF" w:rsidP="00563705">
            <w:pPr>
              <w:jc w:val="both"/>
              <w:rPr>
                <w:b/>
                <w:bCs/>
              </w:rPr>
            </w:pPr>
            <w:r>
              <w:rPr>
                <w:b/>
                <w:bCs/>
              </w:rPr>
              <w:t>19</w:t>
            </w:r>
          </w:p>
        </w:tc>
        <w:tc>
          <w:tcPr>
            <w:tcW w:w="1442" w:type="dxa"/>
            <w:hideMark/>
          </w:tcPr>
          <w:p w:rsidR="00E94378" w:rsidRPr="00FE1605" w:rsidRDefault="00E94378" w:rsidP="00F04317">
            <w:pPr>
              <w:jc w:val="both"/>
            </w:pPr>
            <w:r w:rsidRPr="00FE1605">
              <w:t>Zdaňovanie pri ICO</w:t>
            </w:r>
          </w:p>
        </w:tc>
        <w:tc>
          <w:tcPr>
            <w:tcW w:w="7210" w:type="dxa"/>
            <w:hideMark/>
          </w:tcPr>
          <w:p w:rsidR="00E94378" w:rsidRDefault="00E94378" w:rsidP="003D76BF">
            <w:pPr>
              <w:jc w:val="both"/>
            </w:pPr>
            <w:r w:rsidRPr="00563705">
              <w:rPr>
                <w:u w:val="single"/>
              </w:rPr>
              <w:t xml:space="preserve">Potreba </w:t>
            </w:r>
            <w:r w:rsidR="003D76BF">
              <w:rPr>
                <w:u w:val="single"/>
              </w:rPr>
              <w:t xml:space="preserve">analýzy </w:t>
            </w:r>
            <w:r w:rsidRPr="00563705">
              <w:rPr>
                <w:u w:val="single"/>
              </w:rPr>
              <w:t>komplexnej úpravy zdaňovania v prípade regulácie a vykonávania ICO v SR</w:t>
            </w:r>
            <w:r>
              <w:t>. Potrebné riešiť v spojitosti s virtuálnou peňaženkou a zrážkovou daňou na virtuálne meny. Citlivé nastavenie by mohlo priniesť prospech SR v zvýšení zdaňovania z transakcií pri ICO/obchodovaní s virtuálnymi menami a zároveň sprehľadniť systém.</w:t>
            </w:r>
          </w:p>
          <w:p w:rsidR="003D76BF" w:rsidRPr="00FE1605" w:rsidRDefault="003D76BF" w:rsidP="003D76BF">
            <w:pPr>
              <w:jc w:val="both"/>
            </w:pPr>
          </w:p>
        </w:tc>
      </w:tr>
      <w:tr w:rsidR="00E94378" w:rsidRPr="00FE1605" w:rsidTr="00760357">
        <w:trPr>
          <w:trHeight w:val="600"/>
        </w:trPr>
        <w:tc>
          <w:tcPr>
            <w:tcW w:w="562" w:type="dxa"/>
            <w:gridSpan w:val="2"/>
            <w:hideMark/>
          </w:tcPr>
          <w:p w:rsidR="00E94378" w:rsidRPr="00FE1605" w:rsidRDefault="003D76BF" w:rsidP="00563705">
            <w:pPr>
              <w:jc w:val="both"/>
              <w:rPr>
                <w:b/>
                <w:bCs/>
              </w:rPr>
            </w:pPr>
            <w:r>
              <w:rPr>
                <w:b/>
                <w:bCs/>
              </w:rPr>
              <w:t>20</w:t>
            </w:r>
          </w:p>
        </w:tc>
        <w:tc>
          <w:tcPr>
            <w:tcW w:w="1442" w:type="dxa"/>
            <w:hideMark/>
          </w:tcPr>
          <w:p w:rsidR="00E94378" w:rsidRDefault="00E94378" w:rsidP="00F04317">
            <w:pPr>
              <w:jc w:val="both"/>
            </w:pPr>
            <w:r w:rsidRPr="00FE1605">
              <w:t>Identifikácia právnych otázok/</w:t>
            </w:r>
          </w:p>
          <w:p w:rsidR="00E94378" w:rsidRPr="00FE1605" w:rsidRDefault="00E94378" w:rsidP="00F04317">
            <w:pPr>
              <w:jc w:val="both"/>
            </w:pPr>
            <w:r w:rsidRPr="00FE1605">
              <w:t>problémov pri zavádzaní nových technológií</w:t>
            </w:r>
          </w:p>
        </w:tc>
        <w:tc>
          <w:tcPr>
            <w:tcW w:w="7210" w:type="dxa"/>
            <w:hideMark/>
          </w:tcPr>
          <w:p w:rsidR="00E94378" w:rsidRDefault="00E94378" w:rsidP="00F04317">
            <w:pPr>
              <w:jc w:val="both"/>
            </w:pPr>
            <w:r>
              <w:t xml:space="preserve">Všeobecná diskusia s NBS, bankami, poisťovňami a obchodníkmi s cennými papiermi </w:t>
            </w:r>
            <w:r w:rsidRPr="00FE1605">
              <w:t>o právnych a iných pra</w:t>
            </w:r>
            <w:r>
              <w:t>ktických otázkach súvisiacich so zavádzaním inovačných procesov. Banky a poisťovne komunikovali zatiaľ málo podnetov, pričom práve TB alebo SLSP zavádzajú aj v súčasnosti nové inovatívne produkty, takže musia mať dostatok identifikovaných „bariér“, ktoré by sme mohli analyzovať. V tejto oblasti pomôže aj projekt SRSP financovaný komisiou, ktorý bude zameraný na konkrétne legislatívne prekážky zavádzania inovácií (začiatok 11/2018).</w:t>
            </w:r>
          </w:p>
          <w:p w:rsidR="008D4B01" w:rsidRPr="00FE1605" w:rsidRDefault="008D4B01" w:rsidP="00F04317">
            <w:pPr>
              <w:jc w:val="both"/>
            </w:pPr>
          </w:p>
        </w:tc>
      </w:tr>
      <w:tr w:rsidR="00E94378" w:rsidRPr="00FE1605" w:rsidTr="00760357">
        <w:trPr>
          <w:trHeight w:val="1800"/>
        </w:trPr>
        <w:tc>
          <w:tcPr>
            <w:tcW w:w="562" w:type="dxa"/>
            <w:gridSpan w:val="2"/>
            <w:hideMark/>
          </w:tcPr>
          <w:p w:rsidR="00E94378" w:rsidRPr="00FE1605" w:rsidRDefault="00E94378" w:rsidP="00563705">
            <w:pPr>
              <w:jc w:val="both"/>
              <w:rPr>
                <w:b/>
                <w:bCs/>
              </w:rPr>
            </w:pPr>
            <w:r w:rsidRPr="00FE1605">
              <w:rPr>
                <w:b/>
                <w:bCs/>
              </w:rPr>
              <w:lastRenderedPageBreak/>
              <w:t>2</w:t>
            </w:r>
            <w:r w:rsidR="003D76BF">
              <w:rPr>
                <w:b/>
                <w:bCs/>
              </w:rPr>
              <w:t>1</w:t>
            </w:r>
          </w:p>
        </w:tc>
        <w:tc>
          <w:tcPr>
            <w:tcW w:w="1442" w:type="dxa"/>
            <w:hideMark/>
          </w:tcPr>
          <w:p w:rsidR="00E94378" w:rsidRPr="00FE1605" w:rsidRDefault="00E94378" w:rsidP="00F04317">
            <w:pPr>
              <w:jc w:val="both"/>
            </w:pPr>
            <w:r w:rsidRPr="00FE1605">
              <w:t>Blockchain</w:t>
            </w:r>
          </w:p>
        </w:tc>
        <w:tc>
          <w:tcPr>
            <w:tcW w:w="7210" w:type="dxa"/>
            <w:hideMark/>
          </w:tcPr>
          <w:p w:rsidR="00E94378" w:rsidRDefault="00E94378" w:rsidP="00F04317">
            <w:pPr>
              <w:jc w:val="both"/>
            </w:pPr>
            <w:r w:rsidRPr="00563705">
              <w:rPr>
                <w:u w:val="single"/>
              </w:rPr>
              <w:t>Využitie blockchain technológie pre potreby finančných inštitúcií</w:t>
            </w:r>
            <w:r w:rsidRPr="00FE1605">
              <w:t>, ich regulácie etc.</w:t>
            </w:r>
            <w:r>
              <w:t xml:space="preserve"> V súčasnosti prebieha analýza ÚVPII o možnostiach využitia blockchain technológie v podmienkach verejnej správy. Po jej ukončení (do konca roka 2018) by bolo vhodné túto tému rozbehnúť. Zatiaľ sa blockchain javí ako vhodný na vytváranie databáz operácií (napr. zmeny vlastníckych práv k cenným papierom) alebo transakcií . Nasadenie blockchain technológie do prostredia bánk a iných finančných inštitúcií </w:t>
            </w:r>
          </w:p>
          <w:p w:rsidR="008D4B01" w:rsidRPr="00FE1605" w:rsidRDefault="008D4B01" w:rsidP="00F04317">
            <w:pPr>
              <w:jc w:val="both"/>
            </w:pPr>
          </w:p>
        </w:tc>
      </w:tr>
      <w:tr w:rsidR="00E94378" w:rsidRPr="00FE1605" w:rsidTr="00760357">
        <w:trPr>
          <w:trHeight w:val="300"/>
        </w:trPr>
        <w:tc>
          <w:tcPr>
            <w:tcW w:w="562" w:type="dxa"/>
            <w:gridSpan w:val="2"/>
            <w:hideMark/>
          </w:tcPr>
          <w:p w:rsidR="00E94378" w:rsidRPr="00FE1605" w:rsidRDefault="00E94378" w:rsidP="00563705">
            <w:pPr>
              <w:jc w:val="both"/>
              <w:rPr>
                <w:b/>
                <w:bCs/>
              </w:rPr>
            </w:pPr>
            <w:r w:rsidRPr="00FE1605">
              <w:rPr>
                <w:b/>
                <w:bCs/>
              </w:rPr>
              <w:t>2</w:t>
            </w:r>
            <w:r w:rsidR="003D76BF">
              <w:rPr>
                <w:b/>
                <w:bCs/>
              </w:rPr>
              <w:t>2</w:t>
            </w:r>
          </w:p>
        </w:tc>
        <w:tc>
          <w:tcPr>
            <w:tcW w:w="1442" w:type="dxa"/>
            <w:hideMark/>
          </w:tcPr>
          <w:p w:rsidR="00E94378" w:rsidRPr="00FE1605" w:rsidRDefault="00E94378" w:rsidP="00F04317">
            <w:pPr>
              <w:jc w:val="both"/>
            </w:pPr>
            <w:proofErr w:type="spellStart"/>
            <w:r w:rsidRPr="00FE1605">
              <w:t>Challenger</w:t>
            </w:r>
            <w:proofErr w:type="spellEnd"/>
            <w:r w:rsidRPr="00FE1605">
              <w:t xml:space="preserve"> </w:t>
            </w:r>
            <w:proofErr w:type="spellStart"/>
            <w:r w:rsidRPr="00FE1605">
              <w:t>banks</w:t>
            </w:r>
            <w:proofErr w:type="spellEnd"/>
          </w:p>
        </w:tc>
        <w:tc>
          <w:tcPr>
            <w:tcW w:w="7210" w:type="dxa"/>
            <w:hideMark/>
          </w:tcPr>
          <w:p w:rsidR="00E94378" w:rsidRDefault="00E94378" w:rsidP="003D76BF">
            <w:pPr>
              <w:jc w:val="both"/>
            </w:pPr>
            <w:r w:rsidRPr="00563705">
              <w:rPr>
                <w:u w:val="single"/>
              </w:rPr>
              <w:t>Možnosť zjednodušenia zakladania tzv. "</w:t>
            </w:r>
            <w:proofErr w:type="spellStart"/>
            <w:r w:rsidRPr="00563705">
              <w:rPr>
                <w:u w:val="single"/>
              </w:rPr>
              <w:t>challenger</w:t>
            </w:r>
            <w:proofErr w:type="spellEnd"/>
            <w:r w:rsidRPr="00563705">
              <w:rPr>
                <w:u w:val="single"/>
              </w:rPr>
              <w:t xml:space="preserve">" </w:t>
            </w:r>
            <w:r w:rsidRPr="003D76BF">
              <w:t>bánk</w:t>
            </w:r>
            <w:r w:rsidRPr="00FE1605">
              <w:t xml:space="preserve">, ktoré by mali na jedenej strane nižšie požiadavky </w:t>
            </w:r>
            <w:r w:rsidR="00C76AC0">
              <w:t>na počiatočný kapitál</w:t>
            </w:r>
            <w:r w:rsidRPr="00FE1605">
              <w:t xml:space="preserve"> a na druhej strane obmedzenú licenciu s ohľadom na rozsah vykonávaných (licencovaných) služieb.</w:t>
            </w:r>
            <w:r>
              <w:t xml:space="preserve"> </w:t>
            </w:r>
            <w:proofErr w:type="spellStart"/>
            <w:r w:rsidR="003D76BF">
              <w:t>Challenger</w:t>
            </w:r>
            <w:proofErr w:type="spellEnd"/>
            <w:r w:rsidR="003D76BF">
              <w:t xml:space="preserve"> banky sa </w:t>
            </w:r>
            <w:r>
              <w:t>väčšinou sústredia na poskytovanie inovatívnych online bankových a platobných služieb. Zvýšené riziko je potrebné kompenzovať znížením rizík vyplývajúcich z činnosti takejto banky (napr. obmedzenia v oblasti rozsahu vykonávaných činností). Je potrebná hlbšia analýza prospešnosti takéhoto opatrenia.</w:t>
            </w:r>
          </w:p>
          <w:p w:rsidR="003D76BF" w:rsidRPr="00FE1605" w:rsidRDefault="003D76BF" w:rsidP="003D76BF">
            <w:pPr>
              <w:jc w:val="both"/>
            </w:pPr>
          </w:p>
        </w:tc>
      </w:tr>
      <w:tr w:rsidR="00E94378" w:rsidRPr="00FE1605" w:rsidTr="00760357">
        <w:trPr>
          <w:trHeight w:val="900"/>
        </w:trPr>
        <w:tc>
          <w:tcPr>
            <w:tcW w:w="562" w:type="dxa"/>
            <w:gridSpan w:val="2"/>
            <w:hideMark/>
          </w:tcPr>
          <w:p w:rsidR="00E94378" w:rsidRPr="00FE1605" w:rsidRDefault="00E94378" w:rsidP="00563705">
            <w:pPr>
              <w:jc w:val="both"/>
              <w:rPr>
                <w:b/>
                <w:bCs/>
              </w:rPr>
            </w:pPr>
            <w:r w:rsidRPr="00FE1605">
              <w:rPr>
                <w:b/>
                <w:bCs/>
              </w:rPr>
              <w:t>2</w:t>
            </w:r>
            <w:r w:rsidR="003D76BF">
              <w:rPr>
                <w:b/>
                <w:bCs/>
              </w:rPr>
              <w:t>3</w:t>
            </w:r>
          </w:p>
        </w:tc>
        <w:tc>
          <w:tcPr>
            <w:tcW w:w="1442" w:type="dxa"/>
            <w:hideMark/>
          </w:tcPr>
          <w:p w:rsidR="00E94378" w:rsidRPr="00FE1605" w:rsidRDefault="00E94378" w:rsidP="00F04317">
            <w:pPr>
              <w:jc w:val="both"/>
            </w:pPr>
            <w:r w:rsidRPr="00FE1605">
              <w:t>Financovanie inovácii</w:t>
            </w:r>
          </w:p>
        </w:tc>
        <w:tc>
          <w:tcPr>
            <w:tcW w:w="7210" w:type="dxa"/>
            <w:hideMark/>
          </w:tcPr>
          <w:p w:rsidR="00E94378" w:rsidRDefault="00E94378" w:rsidP="00F04317">
            <w:pPr>
              <w:jc w:val="both"/>
            </w:pPr>
            <w:r w:rsidRPr="00563705">
              <w:rPr>
                <w:u w:val="single"/>
              </w:rPr>
              <w:t>Vytvorenie súhrnnej a prehľadnej informácie a postupu pre inovatívne spoločnosti o možnostiach financovania vývoja a výskumu a zavádzania projektov do života</w:t>
            </w:r>
            <w:r>
              <w:t>. Cieľ nie je vytvárať nové mechanizmy, ale prepojiť už existujúce štruktúry.</w:t>
            </w:r>
          </w:p>
          <w:p w:rsidR="00E94378" w:rsidRDefault="00E94378" w:rsidP="00F04317">
            <w:pPr>
              <w:jc w:val="both"/>
            </w:pPr>
            <w:r>
              <w:t xml:space="preserve">Regulácia Crowdfundingu a ICO by mohla technologickým </w:t>
            </w:r>
            <w:r w:rsidR="003D76BF">
              <w:t xml:space="preserve">a iným </w:t>
            </w:r>
            <w:r>
              <w:t>spoločnostiam vytvoriť alternatívne zdroje pre financovanie v SR, čo by mohlo podporiť domácich a prilákať zahraničných podnikateľov.</w:t>
            </w:r>
          </w:p>
          <w:p w:rsidR="008D4B01" w:rsidRPr="00FE1605" w:rsidRDefault="008D4B01" w:rsidP="00F04317">
            <w:pPr>
              <w:jc w:val="both"/>
            </w:pPr>
          </w:p>
        </w:tc>
      </w:tr>
      <w:tr w:rsidR="00C76AC0" w:rsidRPr="00FE1605" w:rsidTr="00760357">
        <w:trPr>
          <w:trHeight w:val="900"/>
        </w:trPr>
        <w:tc>
          <w:tcPr>
            <w:tcW w:w="562" w:type="dxa"/>
            <w:gridSpan w:val="2"/>
          </w:tcPr>
          <w:p w:rsidR="00C76AC0" w:rsidRPr="00FE1605" w:rsidRDefault="00C76AC0" w:rsidP="00C76AC0">
            <w:pPr>
              <w:jc w:val="both"/>
              <w:rPr>
                <w:b/>
                <w:bCs/>
              </w:rPr>
            </w:pPr>
            <w:r>
              <w:rPr>
                <w:b/>
                <w:bCs/>
              </w:rPr>
              <w:t>24</w:t>
            </w:r>
          </w:p>
        </w:tc>
        <w:tc>
          <w:tcPr>
            <w:tcW w:w="1442" w:type="dxa"/>
          </w:tcPr>
          <w:p w:rsidR="00C76AC0" w:rsidRPr="00FE1605" w:rsidRDefault="00C76AC0" w:rsidP="00C76AC0">
            <w:pPr>
              <w:jc w:val="both"/>
            </w:pPr>
            <w:r>
              <w:t>Spolupráca so vzdelávacími inštitúciami</w:t>
            </w:r>
          </w:p>
        </w:tc>
        <w:tc>
          <w:tcPr>
            <w:tcW w:w="7210" w:type="dxa"/>
          </w:tcPr>
          <w:p w:rsidR="00C76AC0" w:rsidRDefault="00C76AC0" w:rsidP="00C76AC0">
            <w:pPr>
              <w:jc w:val="both"/>
            </w:pPr>
            <w:r w:rsidRPr="00563705">
              <w:rPr>
                <w:u w:val="single"/>
              </w:rPr>
              <w:t>Vytvorenie spolupráce s univerzitami na Slovensku za účelom propagácie finančných inovácií</w:t>
            </w:r>
            <w:r>
              <w:t xml:space="preserve"> a podpory výučby so zameraním na inovačné myslenie, využitie v praxi a podporu podnikateľského myslenia. Spolupráca s existujúcimi spoločnosťami na prezentáciách „</w:t>
            </w:r>
            <w:proofErr w:type="spellStart"/>
            <w:r w:rsidRPr="00F04317">
              <w:t>success</w:t>
            </w:r>
            <w:proofErr w:type="spellEnd"/>
            <w:r w:rsidRPr="00F04317">
              <w:t xml:space="preserve"> </w:t>
            </w:r>
            <w:proofErr w:type="spellStart"/>
            <w:r w:rsidRPr="00F04317">
              <w:t>stories</w:t>
            </w:r>
            <w:proofErr w:type="spellEnd"/>
            <w:r>
              <w:t>“. Organizovanie workshopov a konferencií, či už samostatne alebo v spolupráci s už existujúcimi platformami (napr. FinTech Summit).</w:t>
            </w:r>
          </w:p>
          <w:p w:rsidR="00C76AC0" w:rsidRDefault="00C76AC0" w:rsidP="00C76AC0">
            <w:pPr>
              <w:jc w:val="both"/>
            </w:pPr>
          </w:p>
        </w:tc>
      </w:tr>
    </w:tbl>
    <w:p w:rsidR="00127BBE" w:rsidRPr="00FE1605" w:rsidRDefault="00127BBE" w:rsidP="00F04317">
      <w:pPr>
        <w:jc w:val="both"/>
      </w:pPr>
    </w:p>
    <w:sectPr w:rsidR="00127BBE" w:rsidRPr="00FE1605" w:rsidSect="00F043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Arial"/>
    <w:panose1 w:val="020F0502020204030204"/>
    <w:charset w:val="EE"/>
    <w:family w:val="swiss"/>
    <w:pitch w:val="variable"/>
    <w:sig w:usb0="E00002FF" w:usb1="4000ACFF" w:usb2="00000001" w:usb3="00000000" w:csb0="0000019F" w:csb1="00000000"/>
  </w:font>
  <w:font w:name="Times New Roman">
    <w:altName w:val="Times New Roman"/>
    <w:panose1 w:val="02020603050405020304"/>
    <w:charset w:val="EE"/>
    <w:family w:val="roman"/>
    <w:pitch w:val="variable"/>
    <w:sig w:usb0="E0002AFF" w:usb1="C0007841" w:usb2="00000009" w:usb3="00000000" w:csb0="000001FF" w:csb1="00000000"/>
  </w:font>
  <w:font w:name="Courier New">
    <w:altName w:val="Courier New"/>
    <w:panose1 w:val="02070309020205020404"/>
    <w:charset w:val="EE"/>
    <w:family w:val="modern"/>
    <w:pitch w:val="fixed"/>
    <w:sig w:usb0="E0002A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Symbol">
    <w:altName w:val="Times New Roman"/>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FE7355"/>
    <w:multiLevelType w:val="hybridMultilevel"/>
    <w:tmpl w:val="A288C2EC"/>
    <w:lvl w:ilvl="0" w:tplc="0BEE0A6E">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974"/>
    <w:rsid w:val="000609A7"/>
    <w:rsid w:val="000A231F"/>
    <w:rsid w:val="000D32B6"/>
    <w:rsid w:val="000D7199"/>
    <w:rsid w:val="00127BBE"/>
    <w:rsid w:val="001D5CF5"/>
    <w:rsid w:val="001E1E9E"/>
    <w:rsid w:val="002D2E9F"/>
    <w:rsid w:val="00376D9F"/>
    <w:rsid w:val="003D76BF"/>
    <w:rsid w:val="00441CFB"/>
    <w:rsid w:val="00563705"/>
    <w:rsid w:val="006E57A7"/>
    <w:rsid w:val="00760357"/>
    <w:rsid w:val="00777240"/>
    <w:rsid w:val="00854ABB"/>
    <w:rsid w:val="00880754"/>
    <w:rsid w:val="008D4B01"/>
    <w:rsid w:val="009C0974"/>
    <w:rsid w:val="00A13C78"/>
    <w:rsid w:val="00A53CF3"/>
    <w:rsid w:val="00A64705"/>
    <w:rsid w:val="00B87C33"/>
    <w:rsid w:val="00B931F4"/>
    <w:rsid w:val="00C018D4"/>
    <w:rsid w:val="00C61B3A"/>
    <w:rsid w:val="00C76AC0"/>
    <w:rsid w:val="00D7407B"/>
    <w:rsid w:val="00DF46B4"/>
    <w:rsid w:val="00E94378"/>
    <w:rsid w:val="00EB4401"/>
    <w:rsid w:val="00F04317"/>
    <w:rsid w:val="00FA3DBE"/>
    <w:rsid w:val="00FE160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2870D2-B5BA-4404-BFFE-FB183ED65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9C09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9C097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0974"/>
    <w:rPr>
      <w:rFonts w:ascii="Segoe UI" w:hAnsi="Segoe UI" w:cs="Segoe UI"/>
      <w:sz w:val="18"/>
      <w:szCs w:val="18"/>
    </w:rPr>
  </w:style>
  <w:style w:type="paragraph" w:styleId="Odsekzoznamu">
    <w:name w:val="List Paragraph"/>
    <w:basedOn w:val="Normlny"/>
    <w:uiPriority w:val="34"/>
    <w:qFormat/>
    <w:rsid w:val="001D5CF5"/>
    <w:pPr>
      <w:spacing w:line="252" w:lineRule="auto"/>
      <w:ind w:left="720"/>
    </w:pPr>
    <w:rPr>
      <w:rFonts w:ascii="Calibri" w:hAnsi="Calibri" w:cs="Times New Roman"/>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224732">
      <w:bodyDiv w:val="1"/>
      <w:marLeft w:val="0"/>
      <w:marRight w:val="0"/>
      <w:marTop w:val="0"/>
      <w:marBottom w:val="0"/>
      <w:divBdr>
        <w:top w:val="none" w:sz="0" w:space="0" w:color="auto"/>
        <w:left w:val="none" w:sz="0" w:space="0" w:color="auto"/>
        <w:bottom w:val="none" w:sz="0" w:space="0" w:color="auto"/>
        <w:right w:val="none" w:sz="0" w:space="0" w:color="auto"/>
      </w:divBdr>
    </w:div>
    <w:div w:id="186648571">
      <w:bodyDiv w:val="1"/>
      <w:marLeft w:val="0"/>
      <w:marRight w:val="0"/>
      <w:marTop w:val="0"/>
      <w:marBottom w:val="0"/>
      <w:divBdr>
        <w:top w:val="none" w:sz="0" w:space="0" w:color="auto"/>
        <w:left w:val="none" w:sz="0" w:space="0" w:color="auto"/>
        <w:bottom w:val="none" w:sz="0" w:space="0" w:color="auto"/>
        <w:right w:val="none" w:sz="0" w:space="0" w:color="auto"/>
      </w:divBdr>
    </w:div>
    <w:div w:id="1094545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6D4DF5-4FBD-4855-90AA-CE83020E9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2107</Words>
  <Characters>12016</Characters>
  <Application>Microsoft Office Word</Application>
  <DocSecurity>0</DocSecurity>
  <Lines>100</Lines>
  <Paragraphs>28</Paragraphs>
  <ScaleCrop>false</ScaleCrop>
  <HeadingPairs>
    <vt:vector size="2" baseType="variant">
      <vt:variant>
        <vt:lpstr>Názov</vt:lpstr>
      </vt:variant>
      <vt:variant>
        <vt:i4>1</vt:i4>
      </vt:variant>
    </vt:vector>
  </HeadingPairs>
  <TitlesOfParts>
    <vt:vector size="1" baseType="lpstr">
      <vt:lpstr/>
    </vt:vector>
  </TitlesOfParts>
  <Company>Ministerstvo financií SR</Company>
  <LinksUpToDate>false</LinksUpToDate>
  <CharactersWithSpaces>14095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Chandoga Roman</dc:creator>
  <cp:keywords/>
  <dc:description/>
  <cp:lastModifiedBy>Peter Martin</cp:lastModifiedBy>
  <cp:revision>2</cp:revision>
  <dcterms:created xsi:type="dcterms:W3CDTF">2018-09-20T14:32:00Z</dcterms:created>
  <dcterms:modified xsi:type="dcterms:W3CDTF">2018-09-20T14:32:00Z</dcterms:modified>
</cp:coreProperties>
</file>