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8D" w:rsidRDefault="00D00E8D" w:rsidP="00D00E8D">
      <w:r>
        <w:rPr>
          <w:rFonts w:ascii="Arial" w:hAnsi="Arial" w:cs="Arial"/>
          <w:sz w:val="20"/>
          <w:szCs w:val="20"/>
        </w:rPr>
        <w:t>Vážení členovia pracovnej skupiny,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nadväznosti na email MF SR zo dňa 7. apríla 2011 a v súvislosti s posledným zasadaním Pracovnej skupiny k transpozícii smernice Solventnosť II by sme si Vám za Národnú banku Slovenska dovolili oznámiť nasledovné: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Vítame začatie prác na transpozícii smernice o Solventnosti II do národnej legislatívy a doterajší </w:t>
      </w:r>
      <w:proofErr w:type="spellStart"/>
      <w:r>
        <w:rPr>
          <w:rFonts w:ascii="Arial" w:hAnsi="Arial" w:cs="Arial"/>
          <w:sz w:val="20"/>
          <w:szCs w:val="20"/>
        </w:rPr>
        <w:t>pro-aktívny</w:t>
      </w:r>
      <w:proofErr w:type="spellEnd"/>
      <w:r>
        <w:rPr>
          <w:rFonts w:ascii="Arial" w:hAnsi="Arial" w:cs="Arial"/>
          <w:sz w:val="20"/>
          <w:szCs w:val="20"/>
        </w:rPr>
        <w:t xml:space="preserve"> a transparentný prístup MF SR v rámci projektu Solventnosť II (ako sme spomínali na poslednom stretnutí, podľa našich informácií mnoho členských štátov EÚ s týmito prácami ešte nezačalo).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Pracovnú skupinu k transpozícii smernice Solventnosť II považujeme za aktívny </w:t>
      </w:r>
      <w:r>
        <w:rPr>
          <w:rFonts w:ascii="Arial" w:hAnsi="Arial" w:cs="Arial"/>
          <w:b/>
          <w:bCs/>
          <w:sz w:val="20"/>
          <w:szCs w:val="20"/>
        </w:rPr>
        <w:t>nástroj pri tvorbe nového zákona o poisťovníctve</w:t>
      </w:r>
      <w:r>
        <w:rPr>
          <w:rFonts w:ascii="Arial" w:hAnsi="Arial" w:cs="Arial"/>
          <w:sz w:val="20"/>
          <w:szCs w:val="20"/>
        </w:rPr>
        <w:t>, ktorý by mohol prispieť k vytvoreniu kvalitného legislatívneho prostredia v oblasti poistného trhu. Podľa nášho názoru predpokladom pre efektívne fungovanie takejto skupiny je náležitá znalosť smernice o Solventnosti II (v anglickom a slovenskom znení) a na ňu nadväzujúcich návrhov vykonávacích právnych predpisov (</w:t>
      </w:r>
      <w:proofErr w:type="spellStart"/>
      <w:r>
        <w:rPr>
          <w:rFonts w:ascii="Arial" w:hAnsi="Arial" w:cs="Arial"/>
          <w:sz w:val="20"/>
          <w:szCs w:val="20"/>
        </w:rPr>
        <w:t>level</w:t>
      </w:r>
      <w:proofErr w:type="spellEnd"/>
      <w:r>
        <w:rPr>
          <w:rFonts w:ascii="Arial" w:hAnsi="Arial" w:cs="Arial"/>
          <w:sz w:val="20"/>
          <w:szCs w:val="20"/>
        </w:rPr>
        <w:t xml:space="preserve"> 2 a </w:t>
      </w:r>
      <w:proofErr w:type="spellStart"/>
      <w:r>
        <w:rPr>
          <w:rFonts w:ascii="Arial" w:hAnsi="Arial" w:cs="Arial"/>
          <w:sz w:val="20"/>
          <w:szCs w:val="20"/>
        </w:rPr>
        <w:t>level</w:t>
      </w:r>
      <w:proofErr w:type="spellEnd"/>
      <w:r>
        <w:rPr>
          <w:rFonts w:ascii="Arial" w:hAnsi="Arial" w:cs="Arial"/>
          <w:sz w:val="20"/>
          <w:szCs w:val="20"/>
        </w:rPr>
        <w:t xml:space="preserve"> 3) a konštruktívny a pragmatický dialóg všetkých zúčastnených strán. Z uvedeného dôvodu považujeme za správnu aj skutočnosť, že sa táto skupina doteraz venovala pracovným návrhom Európskej komisie v rámci </w:t>
      </w:r>
      <w:proofErr w:type="spellStart"/>
      <w:r>
        <w:rPr>
          <w:rFonts w:ascii="Arial" w:hAnsi="Arial" w:cs="Arial"/>
          <w:sz w:val="20"/>
          <w:szCs w:val="20"/>
        </w:rPr>
        <w:t>level</w:t>
      </w:r>
      <w:proofErr w:type="spellEnd"/>
      <w:r>
        <w:rPr>
          <w:rFonts w:ascii="Arial" w:hAnsi="Arial" w:cs="Arial"/>
          <w:sz w:val="20"/>
          <w:szCs w:val="20"/>
        </w:rPr>
        <w:t xml:space="preserve"> 2.</w:t>
      </w:r>
      <w:r>
        <w:t xml:space="preserve"> </w:t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K jednotlivým bodom stretnutia: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Privítali by sme takú </w:t>
      </w:r>
      <w:r>
        <w:rPr>
          <w:rFonts w:ascii="Arial" w:hAnsi="Arial" w:cs="Arial"/>
          <w:b/>
          <w:bCs/>
          <w:sz w:val="20"/>
          <w:szCs w:val="20"/>
        </w:rPr>
        <w:t>štruktúru nového zákona o poisťovníctve</w:t>
      </w:r>
      <w:r>
        <w:rPr>
          <w:rFonts w:ascii="Arial" w:hAnsi="Arial" w:cs="Arial"/>
          <w:sz w:val="20"/>
          <w:szCs w:val="20"/>
        </w:rPr>
        <w:t xml:space="preserve">, ktorá umožní čo najjednoduchšiu a najefektívnejšiu prácu pri transpozícii smernice o Solventnosti II do národnej legislatívy. Preto odporúčame, aby nový zákon o poisťovníctve kopíroval postupnosť smernice o Solventnosti II (to však napríklad neznamená, že nový zákon o poisťovníctve by mal mať rovnaký počet paragrafov ako je počet článkov v smernici o Solventnosti II, nakoľko to podľa nášho názoru nie je z legislatívneho hľadiska možné), čo je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facto koncept, ktorý sleduje už aj súčasný zákon o poisťovníctve.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sz w:val="20"/>
          <w:szCs w:val="20"/>
        </w:rPr>
        <w:t>kľúčové oblasti</w:t>
      </w:r>
      <w:r>
        <w:rPr>
          <w:rFonts w:ascii="Arial" w:hAnsi="Arial" w:cs="Arial"/>
          <w:sz w:val="20"/>
          <w:szCs w:val="20"/>
        </w:rPr>
        <w:t xml:space="preserve"> v rámci prípravy nového zákona a poisťovníctve považujeme:</w:t>
      </w:r>
      <w:r>
        <w:t xml:space="preserve"> </w:t>
      </w:r>
    </w:p>
    <w:p w:rsidR="00D00E8D" w:rsidRDefault="00D00E8D" w:rsidP="00D00E8D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správnu transpozíciu </w:t>
      </w:r>
      <w:proofErr w:type="spellStart"/>
      <w:r>
        <w:rPr>
          <w:rFonts w:ascii="Arial" w:hAnsi="Arial" w:cs="Arial"/>
          <w:sz w:val="20"/>
          <w:szCs w:val="20"/>
        </w:rPr>
        <w:t>rekodifikovaných</w:t>
      </w:r>
      <w:proofErr w:type="spellEnd"/>
      <w:r>
        <w:rPr>
          <w:rFonts w:ascii="Arial" w:hAnsi="Arial" w:cs="Arial"/>
          <w:sz w:val="20"/>
          <w:szCs w:val="20"/>
        </w:rPr>
        <w:t xml:space="preserve"> častí smernice o Solventnosti II do nového zákona o poisťovníctve a</w:t>
      </w:r>
      <w:r>
        <w:t xml:space="preserve"> </w:t>
      </w:r>
    </w:p>
    <w:p w:rsidR="00D00E8D" w:rsidRDefault="00D00E8D" w:rsidP="00D00E8D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ustanovenia zákona o poisťovníctve, ktoré budú regulovať výkon dohľadu.</w:t>
      </w:r>
    </w:p>
    <w:p w:rsidR="004E1222" w:rsidRDefault="00D00E8D" w:rsidP="00D00E8D">
      <w:r>
        <w:br/>
      </w:r>
      <w:r>
        <w:rPr>
          <w:rFonts w:ascii="Arial" w:hAnsi="Arial" w:cs="Arial"/>
          <w:sz w:val="20"/>
          <w:szCs w:val="20"/>
        </w:rPr>
        <w:t xml:space="preserve">Poskytneme ako </w:t>
      </w:r>
      <w:proofErr w:type="spellStart"/>
      <w:r>
        <w:rPr>
          <w:rFonts w:ascii="Arial" w:hAnsi="Arial" w:cs="Arial"/>
          <w:sz w:val="20"/>
          <w:szCs w:val="20"/>
        </w:rPr>
        <w:t>spolugestor</w:t>
      </w:r>
      <w:proofErr w:type="spellEnd"/>
      <w:r>
        <w:rPr>
          <w:rFonts w:ascii="Arial" w:hAnsi="Arial" w:cs="Arial"/>
          <w:sz w:val="20"/>
          <w:szCs w:val="20"/>
        </w:rPr>
        <w:t xml:space="preserve"> nového zákona o poisťovníctve (tak ako aj doteraz pri prácach na projekte Solventnosť II) plnú podporu MF SR pri tvorbe nového zákona a urobíme všetko čo jej v našej moci, aby bol dodržaný </w:t>
      </w:r>
      <w:r>
        <w:rPr>
          <w:rFonts w:ascii="Arial" w:hAnsi="Arial" w:cs="Arial"/>
          <w:b/>
          <w:bCs/>
          <w:sz w:val="20"/>
          <w:szCs w:val="20"/>
        </w:rPr>
        <w:t>harmonogram prác</w:t>
      </w:r>
      <w:r>
        <w:rPr>
          <w:rFonts w:ascii="Arial" w:hAnsi="Arial" w:cs="Arial"/>
          <w:sz w:val="20"/>
          <w:szCs w:val="20"/>
        </w:rPr>
        <w:t xml:space="preserve"> navrhnutý MF SR. Privítali by sme však určitú mieru flexibility pri nastavovaní tém stretnutí pracovnej skupiny a možnosť (vzhľadom na rozsah očakávaných prác) zvolávať zasadania pracovnej skupiny aj mimo mesačne nastavených cyklov.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Ku konkrétnym paragrafovým zneniam doteraz navrhnutých MF SR by sme zaslali pripomienky neskôr.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úctou,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Peter </w:t>
      </w:r>
      <w:proofErr w:type="spellStart"/>
      <w:r>
        <w:rPr>
          <w:rFonts w:ascii="Arial" w:hAnsi="Arial" w:cs="Arial"/>
          <w:sz w:val="20"/>
          <w:szCs w:val="20"/>
        </w:rPr>
        <w:t>Paluš</w:t>
      </w:r>
      <w:proofErr w:type="spellEnd"/>
      <w:r>
        <w:t xml:space="preserve"> </w:t>
      </w:r>
      <w:r>
        <w:br/>
      </w:r>
    </w:p>
    <w:sectPr w:rsidR="004E1222" w:rsidSect="004E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7426"/>
    <w:multiLevelType w:val="multilevel"/>
    <w:tmpl w:val="B90A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E8D"/>
    <w:rsid w:val="004E1222"/>
    <w:rsid w:val="00D0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0E8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2011-04-19T07:23:00Z</dcterms:created>
  <dcterms:modified xsi:type="dcterms:W3CDTF">2011-04-19T07:24:00Z</dcterms:modified>
</cp:coreProperties>
</file>