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C9" w:rsidRPr="003447A7" w:rsidRDefault="00322BC9" w:rsidP="00AA6AA6">
      <w:pPr>
        <w:spacing w:line="240" w:lineRule="auto"/>
        <w:jc w:val="center"/>
        <w:rPr>
          <w:rFonts w:ascii="Verdana" w:hAnsi="Verdana" w:cs="Arial"/>
          <w:b/>
        </w:rPr>
      </w:pPr>
      <w:r w:rsidRPr="003447A7">
        <w:rPr>
          <w:rFonts w:ascii="Verdana" w:hAnsi="Verdana"/>
          <w:b/>
        </w:rPr>
        <w:t xml:space="preserve">Predbežné stanovisko k súčasnej </w:t>
      </w:r>
      <w:r w:rsidRPr="003447A7">
        <w:rPr>
          <w:rFonts w:ascii="Verdana" w:hAnsi="Verdana" w:cs="Arial"/>
          <w:b/>
        </w:rPr>
        <w:t>legislatívnej úprave výplaty dôchodkov v starobnom dôchodkovom sporení</w:t>
      </w:r>
    </w:p>
    <w:p w:rsidR="00322BC9" w:rsidRPr="009E0D1F" w:rsidRDefault="00322BC9" w:rsidP="00AA6AA6">
      <w:pPr>
        <w:spacing w:line="240" w:lineRule="auto"/>
        <w:jc w:val="both"/>
        <w:rPr>
          <w:rFonts w:ascii="Tahoma" w:hAnsi="Tahoma" w:cs="Tahoma"/>
          <w:sz w:val="20"/>
          <w:szCs w:val="20"/>
        </w:rPr>
      </w:pPr>
    </w:p>
    <w:p w:rsidR="00322BC9" w:rsidRPr="00AA6AA6" w:rsidRDefault="00322BC9" w:rsidP="00AA6AA6">
      <w:pPr>
        <w:spacing w:line="240" w:lineRule="auto"/>
        <w:jc w:val="both"/>
        <w:rPr>
          <w:rFonts w:ascii="Tahoma" w:hAnsi="Tahoma" w:cs="Tahoma"/>
          <w:sz w:val="20"/>
          <w:szCs w:val="20"/>
          <w:u w:val="single"/>
        </w:rPr>
      </w:pPr>
      <w:r w:rsidRPr="00AA6AA6">
        <w:rPr>
          <w:rFonts w:ascii="Tahoma" w:hAnsi="Tahoma" w:cs="Tahoma"/>
          <w:sz w:val="20"/>
          <w:szCs w:val="20"/>
          <w:u w:val="single"/>
        </w:rPr>
        <w:t>Všeobecné pripomienky:</w:t>
      </w:r>
    </w:p>
    <w:p w:rsidR="00322BC9" w:rsidRDefault="00322BC9" w:rsidP="00AA6AA6">
      <w:pPr>
        <w:pStyle w:val="ListParagraph"/>
        <w:numPr>
          <w:ilvl w:val="0"/>
          <w:numId w:val="3"/>
        </w:numPr>
        <w:spacing w:line="240" w:lineRule="auto"/>
        <w:jc w:val="both"/>
        <w:rPr>
          <w:rFonts w:ascii="Tahoma" w:hAnsi="Tahoma" w:cs="Tahoma"/>
          <w:sz w:val="20"/>
          <w:szCs w:val="20"/>
        </w:rPr>
      </w:pPr>
      <w:r w:rsidRPr="00AA6AA6">
        <w:rPr>
          <w:rFonts w:ascii="Tahoma" w:hAnsi="Tahoma" w:cs="Tahoma"/>
          <w:sz w:val="20"/>
          <w:szCs w:val="20"/>
        </w:rPr>
        <w:t>chýbajúca nadväznosť (premostenie) medzi zákonom č. 43/2004 Z. z. o starobnom dôchodkovom sporení v platnom znení, zákonom č. 8/2008 Z.z. o poisťovníctve a Občianskym zákonníkom</w:t>
      </w:r>
    </w:p>
    <w:p w:rsidR="00322BC9" w:rsidRDefault="00322BC9" w:rsidP="00AA6AA6">
      <w:pPr>
        <w:pStyle w:val="ListParagraph"/>
        <w:spacing w:line="240" w:lineRule="auto"/>
        <w:jc w:val="both"/>
        <w:rPr>
          <w:rFonts w:ascii="Tahoma" w:hAnsi="Tahoma" w:cs="Tahoma"/>
          <w:sz w:val="20"/>
          <w:szCs w:val="20"/>
        </w:rPr>
      </w:pPr>
    </w:p>
    <w:p w:rsidR="00322BC9" w:rsidRDefault="00322BC9" w:rsidP="00AA6AA6">
      <w:pPr>
        <w:pStyle w:val="ListParagraph"/>
        <w:numPr>
          <w:ilvl w:val="0"/>
          <w:numId w:val="3"/>
        </w:numPr>
        <w:spacing w:line="240" w:lineRule="auto"/>
        <w:jc w:val="both"/>
        <w:rPr>
          <w:rFonts w:ascii="Tahoma" w:hAnsi="Tahoma" w:cs="Tahoma"/>
          <w:sz w:val="20"/>
          <w:szCs w:val="20"/>
        </w:rPr>
      </w:pPr>
      <w:r w:rsidRPr="00AA6AA6">
        <w:rPr>
          <w:rFonts w:ascii="Tahoma" w:hAnsi="Tahoma" w:cs="Tahoma"/>
          <w:sz w:val="20"/>
          <w:szCs w:val="20"/>
        </w:rPr>
        <w:t xml:space="preserve">do zákona potrebné doplniť odkazy na jednotlivé </w:t>
      </w:r>
      <w:r>
        <w:rPr>
          <w:rFonts w:ascii="Tahoma" w:hAnsi="Tahoma" w:cs="Tahoma"/>
          <w:sz w:val="20"/>
          <w:szCs w:val="20"/>
        </w:rPr>
        <w:t xml:space="preserve">pr. </w:t>
      </w:r>
      <w:r w:rsidRPr="00AA6AA6">
        <w:rPr>
          <w:rFonts w:ascii="Tahoma" w:hAnsi="Tahoma" w:cs="Tahoma"/>
          <w:sz w:val="20"/>
          <w:szCs w:val="20"/>
        </w:rPr>
        <w:t>predpisy v časti zmluvy medzi sporiteľom a príslušnou poisťovňou, t.j. či ide o zmluvný typ, na ktorý sa vzťahuje úprava poistnej zmluvy (čo by logicky malo byť, keďže poisťovňou sa rozumie poisťovňa na základe povolenia na vykonávanie poisťovacej činnosti podľa osobitného predpisu</w:t>
      </w:r>
      <w:r>
        <w:rPr>
          <w:rFonts w:ascii="Tahoma" w:hAnsi="Tahoma" w:cs="Tahoma"/>
          <w:sz w:val="20"/>
          <w:szCs w:val="20"/>
        </w:rPr>
        <w:t>)</w:t>
      </w:r>
      <w:r w:rsidRPr="00AA6AA6">
        <w:rPr>
          <w:rFonts w:ascii="Tahoma" w:hAnsi="Tahoma" w:cs="Tahoma"/>
          <w:sz w:val="20"/>
          <w:szCs w:val="20"/>
        </w:rPr>
        <w:t xml:space="preserve"> </w:t>
      </w:r>
    </w:p>
    <w:p w:rsidR="00322BC9" w:rsidRPr="00AA6AA6" w:rsidRDefault="00322BC9" w:rsidP="00AA6AA6">
      <w:pPr>
        <w:pStyle w:val="ListParagraph"/>
        <w:rPr>
          <w:rFonts w:ascii="Tahoma" w:hAnsi="Tahoma" w:cs="Tahoma"/>
          <w:sz w:val="20"/>
          <w:szCs w:val="20"/>
        </w:rPr>
      </w:pPr>
    </w:p>
    <w:p w:rsidR="00322BC9" w:rsidRDefault="00322BC9" w:rsidP="00AA6AA6">
      <w:pPr>
        <w:pStyle w:val="ListParagraph"/>
        <w:numPr>
          <w:ilvl w:val="0"/>
          <w:numId w:val="3"/>
        </w:numPr>
        <w:spacing w:line="240" w:lineRule="auto"/>
        <w:jc w:val="both"/>
        <w:rPr>
          <w:rFonts w:ascii="Tahoma" w:hAnsi="Tahoma" w:cs="Tahoma"/>
          <w:sz w:val="20"/>
          <w:szCs w:val="20"/>
        </w:rPr>
      </w:pPr>
      <w:r w:rsidRPr="00AA6AA6">
        <w:rPr>
          <w:rFonts w:ascii="Tahoma" w:hAnsi="Tahoma" w:cs="Tahoma"/>
          <w:sz w:val="20"/>
          <w:szCs w:val="20"/>
        </w:rPr>
        <w:t xml:space="preserve">bližšie upraviť vzťahy medzi poisťovňou a dôchodkovou správcovskou spoločnosťou </w:t>
      </w:r>
    </w:p>
    <w:p w:rsidR="00322BC9" w:rsidRPr="00AA6AA6" w:rsidRDefault="00322BC9" w:rsidP="00AA6AA6">
      <w:pPr>
        <w:pStyle w:val="ListParagraph"/>
        <w:rPr>
          <w:rFonts w:ascii="Tahoma" w:hAnsi="Tahoma" w:cs="Tahoma"/>
          <w:sz w:val="20"/>
          <w:szCs w:val="20"/>
        </w:rPr>
      </w:pPr>
    </w:p>
    <w:p w:rsidR="00322BC9" w:rsidRDefault="00322BC9" w:rsidP="00AA6AA6">
      <w:pPr>
        <w:pStyle w:val="ListParagraph"/>
        <w:numPr>
          <w:ilvl w:val="0"/>
          <w:numId w:val="3"/>
        </w:numPr>
        <w:spacing w:line="240" w:lineRule="auto"/>
        <w:jc w:val="both"/>
        <w:rPr>
          <w:rFonts w:ascii="Tahoma" w:hAnsi="Tahoma" w:cs="Tahoma"/>
          <w:sz w:val="20"/>
          <w:szCs w:val="20"/>
        </w:rPr>
      </w:pPr>
      <w:r w:rsidRPr="00AA6AA6">
        <w:rPr>
          <w:rFonts w:ascii="Tahoma" w:hAnsi="Tahoma" w:cs="Tahoma"/>
          <w:sz w:val="20"/>
          <w:szCs w:val="20"/>
        </w:rPr>
        <w:t>up</w:t>
      </w:r>
      <w:r>
        <w:rPr>
          <w:rFonts w:ascii="Tahoma" w:hAnsi="Tahoma" w:cs="Tahoma"/>
          <w:sz w:val="20"/>
          <w:szCs w:val="20"/>
        </w:rPr>
        <w:t xml:space="preserve">resniť </w:t>
      </w:r>
      <w:r w:rsidRPr="00AA6AA6">
        <w:rPr>
          <w:rFonts w:ascii="Tahoma" w:hAnsi="Tahoma" w:cs="Tahoma"/>
          <w:sz w:val="20"/>
          <w:szCs w:val="20"/>
        </w:rPr>
        <w:t xml:space="preserve">definíciu príslušnej poisťovne </w:t>
      </w:r>
      <w:r>
        <w:rPr>
          <w:rFonts w:ascii="Tahoma" w:hAnsi="Tahoma" w:cs="Tahoma"/>
          <w:sz w:val="20"/>
          <w:szCs w:val="20"/>
        </w:rPr>
        <w:t>v zákone č. 43/2004 Z.z.</w:t>
      </w:r>
      <w:r w:rsidRPr="00AA6AA6">
        <w:rPr>
          <w:rFonts w:ascii="Tahoma" w:hAnsi="Tahoma" w:cs="Tahoma"/>
          <w:sz w:val="20"/>
          <w:szCs w:val="20"/>
        </w:rPr>
        <w:t xml:space="preserve"> </w:t>
      </w:r>
    </w:p>
    <w:p w:rsidR="00322BC9" w:rsidRPr="00AA6AA6" w:rsidRDefault="00322BC9" w:rsidP="00AA6AA6">
      <w:pPr>
        <w:pStyle w:val="ListParagraph"/>
        <w:rPr>
          <w:rFonts w:ascii="Tahoma" w:hAnsi="Tahoma" w:cs="Tahoma"/>
          <w:sz w:val="20"/>
          <w:szCs w:val="20"/>
        </w:rPr>
      </w:pPr>
    </w:p>
    <w:p w:rsidR="00322BC9" w:rsidRDefault="00322BC9" w:rsidP="00AA6AA6">
      <w:pPr>
        <w:pStyle w:val="ListParagraph"/>
        <w:numPr>
          <w:ilvl w:val="0"/>
          <w:numId w:val="3"/>
        </w:numPr>
        <w:spacing w:line="240" w:lineRule="auto"/>
        <w:jc w:val="both"/>
        <w:rPr>
          <w:rFonts w:ascii="Tahoma" w:hAnsi="Tahoma" w:cs="Tahoma"/>
          <w:sz w:val="20"/>
          <w:szCs w:val="20"/>
        </w:rPr>
      </w:pPr>
      <w:r w:rsidRPr="00AA6AA6">
        <w:rPr>
          <w:rFonts w:ascii="Tahoma" w:hAnsi="Tahoma" w:cs="Tahoma"/>
          <w:sz w:val="20"/>
          <w:szCs w:val="20"/>
        </w:rPr>
        <w:t>vyriešiť možné dopady tejto právnej úpravy z pohľadu prechodu poisťovní na režim Solventnosť II</w:t>
      </w:r>
    </w:p>
    <w:p w:rsidR="00322BC9" w:rsidRPr="00AA6AA6" w:rsidRDefault="00322BC9" w:rsidP="00AA6AA6">
      <w:pPr>
        <w:pStyle w:val="ListParagraph"/>
        <w:rPr>
          <w:rFonts w:ascii="Tahoma" w:hAnsi="Tahoma" w:cs="Tahoma"/>
          <w:sz w:val="20"/>
          <w:szCs w:val="20"/>
        </w:rPr>
      </w:pPr>
    </w:p>
    <w:p w:rsidR="00322BC9" w:rsidRDefault="00322BC9" w:rsidP="00AA6AA6">
      <w:pPr>
        <w:pStyle w:val="ListParagraph"/>
        <w:numPr>
          <w:ilvl w:val="0"/>
          <w:numId w:val="3"/>
        </w:numPr>
        <w:spacing w:line="240" w:lineRule="auto"/>
        <w:jc w:val="both"/>
        <w:rPr>
          <w:rFonts w:ascii="Tahoma" w:hAnsi="Tahoma" w:cs="Tahoma"/>
          <w:sz w:val="20"/>
          <w:szCs w:val="20"/>
        </w:rPr>
      </w:pPr>
      <w:r w:rsidRPr="00AA6AA6">
        <w:rPr>
          <w:rFonts w:ascii="Tahoma" w:hAnsi="Tahoma" w:cs="Tahoma"/>
          <w:sz w:val="20"/>
          <w:szCs w:val="20"/>
        </w:rPr>
        <w:t xml:space="preserve">nutnosť „otvorenia“ právnych predpisov (Občiansky zákonník, zákon č. 8/2008 Z.z. o poisťovníctve v platnom znení, zákon č. 461/2003 Z.z. o sociálnom poistení v platnom znení, zákon č. 186/2009 Z.z. v platnom znení) </w:t>
      </w:r>
    </w:p>
    <w:p w:rsidR="00A7059A" w:rsidRDefault="00A7059A" w:rsidP="00A7059A">
      <w:pPr>
        <w:pStyle w:val="ListParagraph"/>
        <w:rPr>
          <w:rFonts w:ascii="Tahoma" w:hAnsi="Tahoma" w:cs="Tahoma"/>
          <w:sz w:val="20"/>
          <w:szCs w:val="20"/>
        </w:rPr>
      </w:pPr>
    </w:p>
    <w:p w:rsidR="00A7059A" w:rsidRPr="00AA6AA6" w:rsidRDefault="00A7059A" w:rsidP="00AA6AA6">
      <w:pPr>
        <w:pStyle w:val="ListParagraph"/>
        <w:numPr>
          <w:ilvl w:val="0"/>
          <w:numId w:val="3"/>
        </w:numPr>
        <w:spacing w:line="240" w:lineRule="auto"/>
        <w:jc w:val="both"/>
        <w:rPr>
          <w:rFonts w:ascii="Tahoma" w:hAnsi="Tahoma" w:cs="Tahoma"/>
          <w:sz w:val="20"/>
          <w:szCs w:val="20"/>
        </w:rPr>
      </w:pPr>
      <w:r>
        <w:rPr>
          <w:rFonts w:ascii="Tahoma" w:hAnsi="Tahoma" w:cs="Tahoma"/>
          <w:sz w:val="20"/>
          <w:szCs w:val="20"/>
        </w:rPr>
        <w:t xml:space="preserve">nevykonateľnosť súčasných ustanovení </w:t>
      </w:r>
      <w:r w:rsidR="00081CEB">
        <w:rPr>
          <w:rFonts w:ascii="Tahoma" w:hAnsi="Tahoma" w:cs="Tahoma"/>
          <w:sz w:val="20"/>
          <w:szCs w:val="20"/>
        </w:rPr>
        <w:t xml:space="preserve">zákona č. 43/2004 Z.z. </w:t>
      </w:r>
      <w:r>
        <w:rPr>
          <w:rFonts w:ascii="Tahoma" w:hAnsi="Tahoma" w:cs="Tahoma"/>
          <w:sz w:val="20"/>
          <w:szCs w:val="20"/>
        </w:rPr>
        <w:t xml:space="preserve">o vyplácaní </w:t>
      </w:r>
      <w:r w:rsidRPr="00AA6AA6">
        <w:rPr>
          <w:rFonts w:ascii="Tahoma" w:hAnsi="Tahoma" w:cs="Tahoma"/>
          <w:sz w:val="20"/>
          <w:szCs w:val="20"/>
        </w:rPr>
        <w:t>starobného dôchodku alebo predčasného starobného dôchodku</w:t>
      </w:r>
    </w:p>
    <w:p w:rsidR="00322BC9" w:rsidRDefault="00322BC9" w:rsidP="00AA6AA6">
      <w:pPr>
        <w:spacing w:line="240" w:lineRule="auto"/>
        <w:jc w:val="both"/>
        <w:rPr>
          <w:rFonts w:ascii="Tahoma" w:hAnsi="Tahoma" w:cs="Tahoma"/>
          <w:sz w:val="20"/>
          <w:szCs w:val="20"/>
          <w:u w:val="single"/>
        </w:rPr>
      </w:pPr>
      <w:r>
        <w:rPr>
          <w:rFonts w:ascii="Tahoma" w:hAnsi="Tahoma" w:cs="Tahoma"/>
          <w:sz w:val="20"/>
          <w:szCs w:val="20"/>
          <w:u w:val="single"/>
        </w:rPr>
        <w:t>Osobitné pripomienky:</w:t>
      </w:r>
    </w:p>
    <w:p w:rsidR="00322BC9" w:rsidRPr="00AA6AA6" w:rsidRDefault="00322BC9" w:rsidP="00AA6AA6">
      <w:pPr>
        <w:spacing w:line="240" w:lineRule="auto"/>
        <w:jc w:val="both"/>
        <w:rPr>
          <w:rFonts w:ascii="Tahoma" w:hAnsi="Tahoma" w:cs="Tahoma"/>
          <w:sz w:val="20"/>
          <w:szCs w:val="20"/>
          <w:u w:val="single"/>
        </w:rPr>
      </w:pPr>
      <w:r w:rsidRPr="00AA6AA6">
        <w:rPr>
          <w:rFonts w:ascii="Tahoma" w:hAnsi="Tahoma" w:cs="Tahoma"/>
          <w:sz w:val="20"/>
          <w:szCs w:val="20"/>
          <w:u w:val="single"/>
        </w:rPr>
        <w:t>1. Definície</w:t>
      </w:r>
      <w:r>
        <w:rPr>
          <w:rFonts w:ascii="Tahoma" w:hAnsi="Tahoma" w:cs="Tahoma"/>
          <w:sz w:val="20"/>
          <w:szCs w:val="20"/>
          <w:u w:val="single"/>
        </w:rPr>
        <w:t xml:space="preserve"> v </w:t>
      </w:r>
      <w:r w:rsidRPr="00AA6AA6">
        <w:rPr>
          <w:rFonts w:ascii="Tahoma" w:hAnsi="Tahoma" w:cs="Tahoma"/>
          <w:sz w:val="20"/>
          <w:szCs w:val="20"/>
          <w:u w:val="single"/>
        </w:rPr>
        <w:t>§ 11 a § 12</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Poisťovňa</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Poisťovňa a pobočka zahraničnej poisťovne (ďalej len „poisťovňa“) na účely tohto zákona je poisťovňa, ktorá na základe povolenia na vykonávanie poisťovacej činnosti podľa osobitného predpisu8) je oprávnená vyplácať starobný dôchodok, predčasný starobný dôchodok a</w:t>
      </w:r>
      <w:r>
        <w:rPr>
          <w:rFonts w:ascii="Tahoma" w:hAnsi="Tahoma" w:cs="Tahoma"/>
          <w:sz w:val="20"/>
          <w:szCs w:val="20"/>
        </w:rPr>
        <w:t> </w:t>
      </w:r>
      <w:r w:rsidRPr="00AA6AA6">
        <w:rPr>
          <w:rFonts w:ascii="Tahoma" w:hAnsi="Tahoma" w:cs="Tahoma"/>
          <w:sz w:val="20"/>
          <w:szCs w:val="20"/>
        </w:rPr>
        <w:t>pozostalostný</w:t>
      </w:r>
      <w:r>
        <w:rPr>
          <w:rFonts w:ascii="Tahoma" w:hAnsi="Tahoma" w:cs="Tahoma"/>
          <w:sz w:val="20"/>
          <w:szCs w:val="20"/>
        </w:rPr>
        <w:t xml:space="preserve"> </w:t>
      </w:r>
      <w:r w:rsidRPr="00AA6AA6">
        <w:rPr>
          <w:rFonts w:ascii="Tahoma" w:hAnsi="Tahoma" w:cs="Tahoma"/>
          <w:sz w:val="20"/>
          <w:szCs w:val="20"/>
        </w:rPr>
        <w:t>dôchodok podľa tohto zákona.</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 12</w:t>
      </w:r>
    </w:p>
    <w:p w:rsidR="00322BC9" w:rsidRPr="00AA6AA6" w:rsidRDefault="00322BC9" w:rsidP="000320C8">
      <w:pPr>
        <w:spacing w:line="240" w:lineRule="auto"/>
        <w:jc w:val="both"/>
        <w:rPr>
          <w:rFonts w:ascii="Tahoma" w:hAnsi="Tahoma" w:cs="Tahoma"/>
          <w:sz w:val="20"/>
          <w:szCs w:val="20"/>
        </w:rPr>
      </w:pPr>
      <w:r w:rsidRPr="00AA6AA6">
        <w:rPr>
          <w:rFonts w:ascii="Tahoma" w:hAnsi="Tahoma" w:cs="Tahoma"/>
          <w:sz w:val="20"/>
          <w:szCs w:val="20"/>
        </w:rPr>
        <w:t>Príslušná poisťovňa</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Príslušná poisťovňa podľa tohto zákona je poisťovňa podľa § 11, ktorú sporiteľ určil v žiadosti o</w:t>
      </w:r>
      <w:r>
        <w:rPr>
          <w:rFonts w:ascii="Tahoma" w:hAnsi="Tahoma" w:cs="Tahoma"/>
          <w:sz w:val="20"/>
          <w:szCs w:val="20"/>
        </w:rPr>
        <w:t xml:space="preserve"> </w:t>
      </w:r>
      <w:r w:rsidRPr="00AA6AA6">
        <w:rPr>
          <w:rFonts w:ascii="Tahoma" w:hAnsi="Tahoma" w:cs="Tahoma"/>
          <w:sz w:val="20"/>
          <w:szCs w:val="20"/>
        </w:rPr>
        <w:t>vyplácanie starobného dôchodku alebo predčasného starobného dôchodku ako poisťovňu príslušnú</w:t>
      </w:r>
      <w:r>
        <w:rPr>
          <w:rFonts w:ascii="Tahoma" w:hAnsi="Tahoma" w:cs="Tahoma"/>
          <w:sz w:val="20"/>
          <w:szCs w:val="20"/>
        </w:rPr>
        <w:t xml:space="preserve"> </w:t>
      </w:r>
      <w:r w:rsidRPr="00AA6AA6">
        <w:rPr>
          <w:rFonts w:ascii="Tahoma" w:hAnsi="Tahoma" w:cs="Tahoma"/>
          <w:sz w:val="20"/>
          <w:szCs w:val="20"/>
        </w:rPr>
        <w:t>na uzatvorenie zmluvy so sporiteľom o vyplácaní starobného dôchodku, predčasného starobného</w:t>
      </w:r>
      <w:r>
        <w:rPr>
          <w:rFonts w:ascii="Tahoma" w:hAnsi="Tahoma" w:cs="Tahoma"/>
          <w:sz w:val="20"/>
          <w:szCs w:val="20"/>
        </w:rPr>
        <w:t xml:space="preserve"> </w:t>
      </w:r>
      <w:r w:rsidRPr="00AA6AA6">
        <w:rPr>
          <w:rFonts w:ascii="Tahoma" w:hAnsi="Tahoma" w:cs="Tahoma"/>
          <w:sz w:val="20"/>
          <w:szCs w:val="20"/>
        </w:rPr>
        <w:t>dôchodku alebo pozostalostného dôchodku.</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u w:val="single"/>
        </w:rPr>
        <w:t>Pripomienky:</w:t>
      </w:r>
      <w:r w:rsidRPr="00AA6AA6">
        <w:rPr>
          <w:rFonts w:ascii="Tahoma" w:hAnsi="Tahoma" w:cs="Tahoma"/>
          <w:sz w:val="20"/>
          <w:szCs w:val="20"/>
        </w:rPr>
        <w:t xml:space="preserve"> zákon v § 12 vymedzuje príslušnú poisťovňu ako poisťovňu podľa § 11, ktorú sporiteľ určil v žiadosti o vyplácanie starobného dôchodku alebo predčasného starobného dôchodku ako poisťovňu príslušnú na uzatvorenie zmluvy so sporiteľom o vyplácaní starobného dôchodku, predčasného starobného dôchodku alebo pozostalostného dôchodku. Znamená to, že na základe žiadosti o vyplácanie starobného dôchodku alebo predčasného starobného dôchodku bude poisťovňa povinná uzatvoriť zmluvu o vyplácaní starobného dôchodku, predčasného starobného dôchodku alebo pozostalostného dôchodku, keďže ju sporiteľ určil v žiadosti o vyplácanie daného dôchodku? Možno chápať toto poistenie ako povinné zmluvné poistenie podľa Občianskeho zákonníka? </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lastRenderedPageBreak/>
        <w:t xml:space="preserve">2. Máme chápať doživotný dôchodok </w:t>
      </w:r>
      <w:r>
        <w:rPr>
          <w:rFonts w:ascii="Tahoma" w:hAnsi="Tahoma" w:cs="Tahoma"/>
          <w:sz w:val="20"/>
          <w:szCs w:val="20"/>
        </w:rPr>
        <w:t xml:space="preserve">a </w:t>
      </w:r>
      <w:r w:rsidRPr="00AA6AA6">
        <w:rPr>
          <w:rFonts w:ascii="Tahoma" w:hAnsi="Tahoma" w:cs="Tahoma"/>
          <w:sz w:val="20"/>
          <w:szCs w:val="20"/>
        </w:rPr>
        <w:t>doživotn</w:t>
      </w:r>
      <w:r>
        <w:rPr>
          <w:rFonts w:ascii="Tahoma" w:hAnsi="Tahoma" w:cs="Tahoma"/>
          <w:sz w:val="20"/>
          <w:szCs w:val="20"/>
        </w:rPr>
        <w:t>ý</w:t>
      </w:r>
      <w:r w:rsidRPr="00AA6AA6">
        <w:rPr>
          <w:rFonts w:ascii="Tahoma" w:hAnsi="Tahoma" w:cs="Tahoma"/>
          <w:sz w:val="20"/>
          <w:szCs w:val="20"/>
        </w:rPr>
        <w:t xml:space="preserve"> starobn</w:t>
      </w:r>
      <w:r>
        <w:rPr>
          <w:rFonts w:ascii="Tahoma" w:hAnsi="Tahoma" w:cs="Tahoma"/>
          <w:sz w:val="20"/>
          <w:szCs w:val="20"/>
        </w:rPr>
        <w:t>ý</w:t>
      </w:r>
      <w:r w:rsidRPr="00AA6AA6">
        <w:rPr>
          <w:rFonts w:ascii="Tahoma" w:hAnsi="Tahoma" w:cs="Tahoma"/>
          <w:sz w:val="20"/>
          <w:szCs w:val="20"/>
        </w:rPr>
        <w:t xml:space="preserve"> dôchod</w:t>
      </w:r>
      <w:r>
        <w:rPr>
          <w:rFonts w:ascii="Tahoma" w:hAnsi="Tahoma" w:cs="Tahoma"/>
          <w:sz w:val="20"/>
          <w:szCs w:val="20"/>
        </w:rPr>
        <w:t>o</w:t>
      </w:r>
      <w:r w:rsidRPr="00AA6AA6">
        <w:rPr>
          <w:rFonts w:ascii="Tahoma" w:hAnsi="Tahoma" w:cs="Tahoma"/>
          <w:sz w:val="20"/>
          <w:szCs w:val="20"/>
        </w:rPr>
        <w:t>k vyplácaný podľa zákona č. 43/2004 Z. z. ako dôchodkové poistenie, ktoré je poistným druhom A-5. podľa prílohy č. 1 k zákonu o poisťovníctve, ak má</w:t>
      </w:r>
      <w:r>
        <w:rPr>
          <w:rFonts w:ascii="Tahoma" w:hAnsi="Tahoma" w:cs="Tahoma"/>
          <w:sz w:val="20"/>
          <w:szCs w:val="20"/>
        </w:rPr>
        <w:t xml:space="preserve"> vyplácať </w:t>
      </w:r>
      <w:r w:rsidRPr="00AA6AA6">
        <w:rPr>
          <w:rFonts w:ascii="Tahoma" w:hAnsi="Tahoma" w:cs="Tahoma"/>
          <w:sz w:val="20"/>
          <w:szCs w:val="20"/>
        </w:rPr>
        <w:t>komerčná poisťovňa podnikajúca podľa</w:t>
      </w:r>
      <w:r>
        <w:rPr>
          <w:rFonts w:ascii="Tahoma" w:hAnsi="Tahoma" w:cs="Tahoma"/>
          <w:sz w:val="20"/>
          <w:szCs w:val="20"/>
        </w:rPr>
        <w:t xml:space="preserve"> zákona o poisťovníctve</w:t>
      </w:r>
      <w:r w:rsidRPr="00AA6AA6">
        <w:rPr>
          <w:rFonts w:ascii="Tahoma" w:hAnsi="Tahoma" w:cs="Tahoma"/>
          <w:sz w:val="20"/>
          <w:szCs w:val="20"/>
        </w:rPr>
        <w:t xml:space="preserve">? Zo súčasnej úpravy nám de facto vyplýva, že by malo ísť o tento poistný druh, avšak chýba jasné zadefinovanie, že ide o dôchodkové poistenie podľa osobitného právneho predpisu (zákona o poisťovníctve) prípadne </w:t>
      </w:r>
      <w:r>
        <w:rPr>
          <w:rFonts w:ascii="Tahoma" w:hAnsi="Tahoma" w:cs="Tahoma"/>
          <w:sz w:val="20"/>
          <w:szCs w:val="20"/>
        </w:rPr>
        <w:t xml:space="preserve">potrebné </w:t>
      </w:r>
      <w:r w:rsidRPr="00AA6AA6">
        <w:rPr>
          <w:rFonts w:ascii="Tahoma" w:hAnsi="Tahoma" w:cs="Tahoma"/>
          <w:sz w:val="20"/>
          <w:szCs w:val="20"/>
        </w:rPr>
        <w:t>riešiť aspoň odkazom na zákon o poisťovníctve, t.j. že ide o dôchodkové poistenie podľa tohto zákona, aby nedochádzalo k zamieňaniu tohto dôchodku s dôchodkami podľa zákona č. 461/2003 Z. z. o sociálnom poistení v znení neskorších predpisov.</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3. Spravuje sa táto zmluva ustanoveniami o poistnej zmluve podľa § 788 a nasl. Občianskeho zákonníka? Ide o druh povinného zmluvného poistenia podľa § 789 ods. 2 Občianskeho zákonníka v platnom znení?</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 xml:space="preserve">4. V akom okamihu fázy sporenia by malo dôjsť k uzavretiu zmluvy o budúcej zmluve o vyplácaní  doživotného starobného dôchodku alebo doživotného predčasného starobného dôchodku? Čo v prípade, ak takúto zmluvu sporiteľ neuzavrie? </w:t>
      </w:r>
    </w:p>
    <w:p w:rsidR="00322BC9" w:rsidRPr="00AA6AA6" w:rsidRDefault="00322BC9" w:rsidP="00AA6AA6">
      <w:pPr>
        <w:spacing w:line="240" w:lineRule="auto"/>
        <w:jc w:val="both"/>
        <w:rPr>
          <w:rFonts w:ascii="Tahoma" w:hAnsi="Tahoma" w:cs="Tahoma"/>
          <w:sz w:val="20"/>
          <w:szCs w:val="20"/>
        </w:rPr>
      </w:pPr>
      <w:r w:rsidRPr="00AA6AA6">
        <w:rPr>
          <w:rFonts w:ascii="Tahoma" w:hAnsi="Tahoma" w:cs="Tahoma"/>
          <w:sz w:val="20"/>
          <w:szCs w:val="20"/>
        </w:rPr>
        <w:t>5. Podľa ust. § 32 ods. 4 zákona č. 43/2004 Z.z. príslušná poisťovňa po nadobudnutí aktív podľa odseku 3 je povinná uzatvoriť zmluvu so sporiteľom o vyplácaní doživotného starobného dôchodku alebo doživotného predčasného starobného dôchodku najmenej v sume určenej podľa prílohy č. 1. Podľa uvedeného ustanovenia sa predpokladá, že príslušná poisťovňa uzavrie zmluvu o vyplácaní doživotného starobného dôchodku alebo doživotného predčasného starobného dôchodku až po obdržaní aktív. Ak sa má takýto vzťah spravovať ustanoveniami o poistnej zmluve, tak prevod uvedených aktív možno chápať, ako zaplatenie poistného na príslušnú poistnú zmluvu, ktorá ešte v čase prevodu prostriedkov nie je uzavretá, čo môže byť problém. Podľa súčasného ust. § 35 ods. 1 zákona o poisťovníctve sú poisťovňa a pobočka zahraničnej poisťovne povinné určiť výšku poistného na základe poistno-matematických metód tak, aby výška poistného zabezpečovala trvalú splniteľnosť všetkých záväzkov poisťovne a pobočky zahraničnej poisťovne vrátane tvorby dostatočných technických rezerv. Predstavujú teda dané aktíva zaplatenie poistného na danú poistnú zmluvu resp. zmluvu o vyplácaní doživotného starobného dôchodku alebo doživotného predčasného starobného dôchodku? Poisťovňa tu naviac nebude mať možnosť stanoviť výšku poistného na prís</w:t>
      </w:r>
      <w:r>
        <w:rPr>
          <w:rFonts w:ascii="Tahoma" w:hAnsi="Tahoma" w:cs="Tahoma"/>
          <w:sz w:val="20"/>
          <w:szCs w:val="20"/>
        </w:rPr>
        <w:t>l</w:t>
      </w:r>
      <w:r w:rsidRPr="00AA6AA6">
        <w:rPr>
          <w:rFonts w:ascii="Tahoma" w:hAnsi="Tahoma" w:cs="Tahoma"/>
          <w:sz w:val="20"/>
          <w:szCs w:val="20"/>
        </w:rPr>
        <w:t>ušnú poistnú zmluvu, keďže musí postupovať podľa zákona č. 43/2004 Z.z.</w:t>
      </w:r>
    </w:p>
    <w:p w:rsidR="00322BC9" w:rsidRPr="000320C8" w:rsidRDefault="00322BC9" w:rsidP="000320C8">
      <w:pPr>
        <w:spacing w:line="240" w:lineRule="auto"/>
        <w:jc w:val="both"/>
        <w:rPr>
          <w:rFonts w:ascii="Tahoma" w:hAnsi="Tahoma" w:cs="Tahoma"/>
          <w:sz w:val="20"/>
          <w:szCs w:val="20"/>
        </w:rPr>
      </w:pPr>
      <w:r>
        <w:rPr>
          <w:rFonts w:ascii="Tahoma" w:hAnsi="Tahoma" w:cs="Tahoma"/>
          <w:sz w:val="20"/>
          <w:szCs w:val="20"/>
        </w:rPr>
        <w:t xml:space="preserve">6. </w:t>
      </w:r>
      <w:r w:rsidRPr="00AA6AA6">
        <w:rPr>
          <w:rFonts w:ascii="Tahoma" w:hAnsi="Tahoma" w:cs="Tahoma"/>
          <w:sz w:val="20"/>
          <w:szCs w:val="20"/>
        </w:rPr>
        <w:t>Navrhujeme vypustiť vzorc</w:t>
      </w:r>
      <w:r>
        <w:rPr>
          <w:rFonts w:ascii="Tahoma" w:hAnsi="Tahoma" w:cs="Tahoma"/>
          <w:sz w:val="20"/>
          <w:szCs w:val="20"/>
        </w:rPr>
        <w:t>e</w:t>
      </w:r>
      <w:r w:rsidRPr="00AA6AA6">
        <w:rPr>
          <w:rFonts w:ascii="Tahoma" w:hAnsi="Tahoma" w:cs="Tahoma"/>
          <w:sz w:val="20"/>
          <w:szCs w:val="20"/>
        </w:rPr>
        <w:t xml:space="preserve"> na výpočet starobného dôchodku alebo predčasného starobného dôchodku vyplácaných doživotne a pozostalostných dôchodkov zo zákona alebo aspon zmeniť metodiku </w:t>
      </w:r>
      <w:r>
        <w:rPr>
          <w:rFonts w:ascii="Tahoma" w:hAnsi="Tahoma" w:cs="Tahoma"/>
          <w:sz w:val="20"/>
          <w:szCs w:val="20"/>
        </w:rPr>
        <w:t xml:space="preserve">ich </w:t>
      </w:r>
      <w:r w:rsidRPr="00AA6AA6">
        <w:rPr>
          <w:rFonts w:ascii="Tahoma" w:hAnsi="Tahoma" w:cs="Tahoma"/>
          <w:sz w:val="20"/>
          <w:szCs w:val="20"/>
        </w:rPr>
        <w:t>výpočtu aj z dôvodu zmeny regulácie poistných odvetví podľa režimu Solventnosť II, ktorá núti poisťovne prehodnotiť výpočet poistného pre všetky produkty z dôvodu vyšších požiadaviek na kapitál. V zákone uvedený výpočet nesplňa tieto postupy, a taktiež ani z pohľadu súčasného právneho prostredia nespĺňa všetky požiadavky, ke</w:t>
      </w:r>
      <w:r>
        <w:rPr>
          <w:rFonts w:ascii="Tahoma" w:hAnsi="Tahoma" w:cs="Tahoma"/>
          <w:sz w:val="20"/>
          <w:szCs w:val="20"/>
        </w:rPr>
        <w:t>ďže</w:t>
      </w:r>
      <w:r w:rsidRPr="00AA6AA6">
        <w:rPr>
          <w:rFonts w:ascii="Tahoma" w:hAnsi="Tahoma" w:cs="Tahoma"/>
          <w:sz w:val="20"/>
          <w:szCs w:val="20"/>
        </w:rPr>
        <w:t xml:space="preserve"> poisťovňa musí kalkulovať poistné tak, aby bola schopná kryť všetky svoje záväzky, čo znamená</w:t>
      </w:r>
      <w:r>
        <w:rPr>
          <w:rFonts w:ascii="Tahoma" w:hAnsi="Tahoma" w:cs="Tahoma"/>
          <w:sz w:val="20"/>
          <w:szCs w:val="20"/>
        </w:rPr>
        <w:t xml:space="preserve">, že poisťovňa musí zohľadniť všetky </w:t>
      </w:r>
      <w:r w:rsidRPr="00AA6AA6">
        <w:rPr>
          <w:rFonts w:ascii="Tahoma" w:hAnsi="Tahoma" w:cs="Tahoma"/>
          <w:sz w:val="20"/>
          <w:szCs w:val="20"/>
        </w:rPr>
        <w:t xml:space="preserve">náklady </w:t>
      </w:r>
      <w:r>
        <w:rPr>
          <w:rFonts w:ascii="Tahoma" w:hAnsi="Tahoma" w:cs="Tahoma"/>
          <w:sz w:val="20"/>
          <w:szCs w:val="20"/>
        </w:rPr>
        <w:t>pri kalkulácii poistného.</w:t>
      </w:r>
      <w:r w:rsidRPr="00AA6AA6">
        <w:rPr>
          <w:rFonts w:ascii="Tahoma" w:hAnsi="Tahoma" w:cs="Tahoma"/>
          <w:sz w:val="20"/>
          <w:szCs w:val="20"/>
        </w:rPr>
        <w:t xml:space="preserve"> V tejto súvislosti dávame do pozornosti § 35 ods. 1 zákona o poisťovníctve, podľa ktorého poisťovňa a pobočka zahraničnej poisťovne sú povinné určiť výšku poistného na základe poistno-matematických metód tak, aby výška poistného zabezpečovala trvalú splniteľnosť všetkých záväzkov poisťovne a pobočky </w:t>
      </w:r>
      <w:r w:rsidRPr="000320C8">
        <w:rPr>
          <w:rFonts w:ascii="Tahoma" w:hAnsi="Tahoma" w:cs="Tahoma"/>
          <w:sz w:val="20"/>
          <w:szCs w:val="20"/>
        </w:rPr>
        <w:t>zahraničnej poisťovne vrátane tvorby dostatočných technických rezerv.</w:t>
      </w:r>
    </w:p>
    <w:p w:rsidR="00322BC9" w:rsidRPr="000320C8" w:rsidRDefault="00322BC9" w:rsidP="000320C8">
      <w:pPr>
        <w:spacing w:line="240" w:lineRule="auto"/>
        <w:jc w:val="both"/>
        <w:rPr>
          <w:rFonts w:ascii="Tahoma" w:hAnsi="Tahoma" w:cs="Tahoma"/>
          <w:sz w:val="20"/>
          <w:szCs w:val="20"/>
        </w:rPr>
      </w:pPr>
      <w:r>
        <w:rPr>
          <w:rFonts w:ascii="Tahoma" w:hAnsi="Tahoma" w:cs="Tahoma"/>
          <w:sz w:val="20"/>
          <w:szCs w:val="20"/>
        </w:rPr>
        <w:t>7</w:t>
      </w:r>
      <w:r w:rsidRPr="000320C8">
        <w:rPr>
          <w:rFonts w:ascii="Tahoma" w:hAnsi="Tahoma" w:cs="Tahoma"/>
          <w:sz w:val="20"/>
          <w:szCs w:val="20"/>
        </w:rPr>
        <w:t>. Finančné sprostredkovanie</w:t>
      </w:r>
    </w:p>
    <w:p w:rsidR="00322BC9" w:rsidRDefault="00322BC9" w:rsidP="000320C8">
      <w:pPr>
        <w:autoSpaceDE w:val="0"/>
        <w:autoSpaceDN w:val="0"/>
        <w:adjustRightInd w:val="0"/>
        <w:spacing w:after="0" w:line="240" w:lineRule="auto"/>
        <w:jc w:val="both"/>
        <w:rPr>
          <w:rFonts w:ascii="Tahoma" w:hAnsi="Tahoma" w:cs="Tahoma"/>
          <w:sz w:val="20"/>
          <w:szCs w:val="20"/>
        </w:rPr>
      </w:pPr>
      <w:r w:rsidRPr="000320C8">
        <w:rPr>
          <w:rFonts w:ascii="Tahoma" w:hAnsi="Tahoma" w:cs="Tahoma"/>
          <w:sz w:val="20"/>
          <w:szCs w:val="20"/>
        </w:rPr>
        <w:t xml:space="preserve">Bude nevyhnutné vyriešiť otázku sprostredkovania produktov, ktoré sa vzťahujú k II. pilieru, keďže </w:t>
      </w:r>
      <w:r>
        <w:rPr>
          <w:rFonts w:ascii="Tahoma" w:hAnsi="Tahoma" w:cs="Tahoma"/>
          <w:sz w:val="20"/>
          <w:szCs w:val="20"/>
        </w:rPr>
        <w:t xml:space="preserve">podľa zákona </w:t>
      </w:r>
      <w:r w:rsidR="00081CEB">
        <w:rPr>
          <w:rFonts w:ascii="Tahoma" w:hAnsi="Tahoma" w:cs="Tahoma"/>
          <w:sz w:val="20"/>
          <w:szCs w:val="20"/>
        </w:rPr>
        <w:t xml:space="preserve">č. 43/2004 Z.z. </w:t>
      </w:r>
      <w:r>
        <w:rPr>
          <w:rFonts w:ascii="Tahoma" w:hAnsi="Tahoma" w:cs="Tahoma"/>
          <w:sz w:val="20"/>
          <w:szCs w:val="20"/>
        </w:rPr>
        <w:t xml:space="preserve">sa </w:t>
      </w:r>
      <w:r w:rsidRPr="000320C8">
        <w:rPr>
          <w:rFonts w:ascii="Tahoma" w:hAnsi="Tahoma" w:cs="Tahoma"/>
          <w:sz w:val="20"/>
          <w:szCs w:val="20"/>
        </w:rPr>
        <w:t xml:space="preserve">predpokladá uzatvorenie </w:t>
      </w:r>
      <w:r>
        <w:rPr>
          <w:rFonts w:ascii="Tahoma" w:hAnsi="Tahoma" w:cs="Tahoma"/>
          <w:sz w:val="20"/>
          <w:szCs w:val="20"/>
        </w:rPr>
        <w:t xml:space="preserve">budúcej zmluvy a </w:t>
      </w:r>
      <w:r w:rsidRPr="000320C8">
        <w:rPr>
          <w:rFonts w:ascii="Tahoma" w:hAnsi="Tahoma" w:cs="Tahoma"/>
          <w:sz w:val="20"/>
          <w:szCs w:val="20"/>
        </w:rPr>
        <w:t xml:space="preserve">zmluvy o vyplácaní doživotného starobného dôchodku alebo doživotného predčasného starobného dôchodku, a keďže pôjde </w:t>
      </w:r>
      <w:r>
        <w:rPr>
          <w:rFonts w:ascii="Tahoma" w:hAnsi="Tahoma" w:cs="Tahoma"/>
          <w:sz w:val="20"/>
          <w:szCs w:val="20"/>
        </w:rPr>
        <w:t xml:space="preserve">z pohľadu komerčných poisťovní </w:t>
      </w:r>
      <w:r w:rsidRPr="000320C8">
        <w:rPr>
          <w:rFonts w:ascii="Tahoma" w:hAnsi="Tahoma" w:cs="Tahoma"/>
          <w:sz w:val="20"/>
          <w:szCs w:val="20"/>
        </w:rPr>
        <w:t>o</w:t>
      </w:r>
      <w:r>
        <w:rPr>
          <w:rFonts w:ascii="Tahoma" w:hAnsi="Tahoma" w:cs="Tahoma"/>
          <w:sz w:val="20"/>
          <w:szCs w:val="20"/>
        </w:rPr>
        <w:t xml:space="preserve"> </w:t>
      </w:r>
      <w:r w:rsidRPr="000320C8">
        <w:rPr>
          <w:rFonts w:ascii="Tahoma" w:hAnsi="Tahoma" w:cs="Tahoma"/>
          <w:sz w:val="20"/>
          <w:szCs w:val="20"/>
        </w:rPr>
        <w:t xml:space="preserve">poistenie, prichádza do úvahy finančné sprostredkovanie tohto druhu poistenia cez finačných sprostredkovateľov. </w:t>
      </w:r>
      <w:r w:rsidR="00081CEB">
        <w:rPr>
          <w:rFonts w:ascii="Tahoma" w:hAnsi="Tahoma" w:cs="Tahoma"/>
          <w:sz w:val="20"/>
          <w:szCs w:val="20"/>
        </w:rPr>
        <w:t>Na druhej strane však p</w:t>
      </w:r>
      <w:r w:rsidRPr="000320C8">
        <w:rPr>
          <w:rFonts w:ascii="Tahoma" w:hAnsi="Tahoma" w:cs="Tahoma"/>
          <w:sz w:val="20"/>
          <w:szCs w:val="20"/>
        </w:rPr>
        <w:t xml:space="preserve">odľa § 123b ods. 1 zákona </w:t>
      </w:r>
      <w:r w:rsidR="00081CEB">
        <w:rPr>
          <w:rFonts w:ascii="Tahoma" w:hAnsi="Tahoma" w:cs="Tahoma"/>
          <w:sz w:val="20"/>
          <w:szCs w:val="20"/>
        </w:rPr>
        <w:t xml:space="preserve">č. 43/2004 Z.z. </w:t>
      </w:r>
      <w:r w:rsidRPr="000320C8">
        <w:rPr>
          <w:rFonts w:ascii="Tahoma" w:hAnsi="Tahoma" w:cs="Tahoma"/>
          <w:sz w:val="20"/>
          <w:szCs w:val="20"/>
        </w:rPr>
        <w:t xml:space="preserve">povolenia na vykonávanie </w:t>
      </w:r>
      <w:r w:rsidRPr="000320C8">
        <w:rPr>
          <w:rFonts w:ascii="Tahoma" w:eastAsia="PalatinoLinotype-Roman" w:hAnsi="Tahoma" w:cs="Tahoma"/>
          <w:sz w:val="20"/>
          <w:szCs w:val="20"/>
        </w:rPr>
        <w:t>č</w:t>
      </w:r>
      <w:r w:rsidRPr="000320C8">
        <w:rPr>
          <w:rFonts w:ascii="Tahoma" w:hAnsi="Tahoma" w:cs="Tahoma"/>
          <w:sz w:val="20"/>
          <w:szCs w:val="20"/>
        </w:rPr>
        <w:t>innosti sprostredkovate</w:t>
      </w:r>
      <w:r w:rsidRPr="000320C8">
        <w:rPr>
          <w:rFonts w:ascii="Tahoma" w:eastAsia="PalatinoLinotype-Roman" w:hAnsi="Tahoma" w:cs="Tahoma"/>
          <w:sz w:val="20"/>
          <w:szCs w:val="20"/>
        </w:rPr>
        <w:t>ľ</w:t>
      </w:r>
      <w:r w:rsidRPr="000320C8">
        <w:rPr>
          <w:rFonts w:ascii="Tahoma" w:hAnsi="Tahoma" w:cs="Tahoma"/>
          <w:sz w:val="20"/>
          <w:szCs w:val="20"/>
        </w:rPr>
        <w:t xml:space="preserve">a </w:t>
      </w:r>
      <w:r w:rsidR="00081CEB">
        <w:rPr>
          <w:rFonts w:ascii="Tahoma" w:hAnsi="Tahoma" w:cs="Tahoma"/>
          <w:sz w:val="20"/>
          <w:szCs w:val="20"/>
        </w:rPr>
        <w:t xml:space="preserve">starobného dôchodkového sporenia </w:t>
      </w:r>
      <w:r w:rsidRPr="000320C8">
        <w:rPr>
          <w:rFonts w:ascii="Tahoma" w:hAnsi="Tahoma" w:cs="Tahoma"/>
          <w:sz w:val="20"/>
          <w:szCs w:val="20"/>
        </w:rPr>
        <w:t>zanikli 1. januára 2007.</w:t>
      </w:r>
    </w:p>
    <w:p w:rsidR="00322BC9" w:rsidRDefault="00322BC9" w:rsidP="000320C8">
      <w:pPr>
        <w:autoSpaceDE w:val="0"/>
        <w:autoSpaceDN w:val="0"/>
        <w:adjustRightInd w:val="0"/>
        <w:spacing w:after="0" w:line="240" w:lineRule="auto"/>
        <w:jc w:val="both"/>
        <w:rPr>
          <w:rFonts w:ascii="Tahoma" w:hAnsi="Tahoma" w:cs="Tahoma"/>
          <w:sz w:val="20"/>
          <w:szCs w:val="20"/>
        </w:rPr>
      </w:pPr>
    </w:p>
    <w:p w:rsidR="00322BC9" w:rsidRPr="000320C8" w:rsidRDefault="00322BC9" w:rsidP="000320C8">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Informovanie občanov o ponukách </w:t>
      </w:r>
      <w:r w:rsidR="00081CEB">
        <w:rPr>
          <w:rFonts w:ascii="Tahoma" w:hAnsi="Tahoma" w:cs="Tahoma"/>
          <w:sz w:val="20"/>
          <w:szCs w:val="20"/>
        </w:rPr>
        <w:t xml:space="preserve">príslušných </w:t>
      </w:r>
      <w:r>
        <w:rPr>
          <w:rFonts w:ascii="Tahoma" w:hAnsi="Tahoma" w:cs="Tahoma"/>
          <w:sz w:val="20"/>
          <w:szCs w:val="20"/>
        </w:rPr>
        <w:t xml:space="preserve">poisťovní </w:t>
      </w:r>
      <w:r w:rsidR="00081CEB">
        <w:rPr>
          <w:rFonts w:ascii="Tahoma" w:hAnsi="Tahoma" w:cs="Tahoma"/>
          <w:sz w:val="20"/>
          <w:szCs w:val="20"/>
        </w:rPr>
        <w:t xml:space="preserve">v tejto oblasti </w:t>
      </w:r>
      <w:r>
        <w:rPr>
          <w:rFonts w:ascii="Tahoma" w:hAnsi="Tahoma" w:cs="Tahoma"/>
          <w:sz w:val="20"/>
          <w:szCs w:val="20"/>
        </w:rPr>
        <w:t>pokladáme za nevyhnutnú podmienku vytvorenia trhového prostredia</w:t>
      </w:r>
      <w:r w:rsidR="00081CEB">
        <w:rPr>
          <w:rFonts w:ascii="Tahoma" w:hAnsi="Tahoma" w:cs="Tahoma"/>
          <w:sz w:val="20"/>
          <w:szCs w:val="20"/>
        </w:rPr>
        <w:t xml:space="preserve"> a </w:t>
      </w:r>
      <w:r>
        <w:rPr>
          <w:rFonts w:ascii="Tahoma" w:hAnsi="Tahoma" w:cs="Tahoma"/>
          <w:sz w:val="20"/>
          <w:szCs w:val="20"/>
        </w:rPr>
        <w:t xml:space="preserve">férovej ceny </w:t>
      </w:r>
      <w:r w:rsidR="00081CEB">
        <w:rPr>
          <w:rFonts w:ascii="Tahoma" w:hAnsi="Tahoma" w:cs="Tahoma"/>
          <w:sz w:val="20"/>
          <w:szCs w:val="20"/>
        </w:rPr>
        <w:t xml:space="preserve">za </w:t>
      </w:r>
      <w:r>
        <w:rPr>
          <w:rFonts w:ascii="Tahoma" w:hAnsi="Tahoma" w:cs="Tahoma"/>
          <w:sz w:val="20"/>
          <w:szCs w:val="20"/>
        </w:rPr>
        <w:t>dôchodkové poisteni</w:t>
      </w:r>
      <w:r w:rsidR="00081CEB">
        <w:rPr>
          <w:rFonts w:ascii="Tahoma" w:hAnsi="Tahoma" w:cs="Tahoma"/>
          <w:sz w:val="20"/>
          <w:szCs w:val="20"/>
        </w:rPr>
        <w:t>e</w:t>
      </w:r>
      <w:r>
        <w:rPr>
          <w:rFonts w:ascii="Tahoma" w:hAnsi="Tahoma" w:cs="Tahoma"/>
          <w:sz w:val="20"/>
          <w:szCs w:val="20"/>
        </w:rPr>
        <w:t xml:space="preserve">. Vzhľadom na komplexnosť produktu by neúčasť </w:t>
      </w:r>
      <w:r w:rsidR="00081CEB">
        <w:rPr>
          <w:rFonts w:ascii="Tahoma" w:hAnsi="Tahoma" w:cs="Tahoma"/>
          <w:sz w:val="20"/>
          <w:szCs w:val="20"/>
        </w:rPr>
        <w:t xml:space="preserve">fin. </w:t>
      </w:r>
      <w:r>
        <w:rPr>
          <w:rFonts w:ascii="Tahoma" w:hAnsi="Tahoma" w:cs="Tahoma"/>
          <w:sz w:val="20"/>
          <w:szCs w:val="20"/>
        </w:rPr>
        <w:t>sprostredkovateľov a nezahrnutie nákladov na spro</w:t>
      </w:r>
      <w:r w:rsidR="00081CEB">
        <w:rPr>
          <w:rFonts w:ascii="Tahoma" w:hAnsi="Tahoma" w:cs="Tahoma"/>
          <w:sz w:val="20"/>
          <w:szCs w:val="20"/>
        </w:rPr>
        <w:t>s</w:t>
      </w:r>
      <w:r>
        <w:rPr>
          <w:rFonts w:ascii="Tahoma" w:hAnsi="Tahoma" w:cs="Tahoma"/>
          <w:sz w:val="20"/>
          <w:szCs w:val="20"/>
        </w:rPr>
        <w:t xml:space="preserve">tredkovanie do kalkulácie ceny </w:t>
      </w:r>
      <w:r w:rsidR="00081CEB">
        <w:rPr>
          <w:rFonts w:ascii="Tahoma" w:hAnsi="Tahoma" w:cs="Tahoma"/>
          <w:sz w:val="20"/>
          <w:szCs w:val="20"/>
        </w:rPr>
        <w:t xml:space="preserve">produktu </w:t>
      </w:r>
      <w:r>
        <w:rPr>
          <w:rFonts w:ascii="Tahoma" w:hAnsi="Tahoma" w:cs="Tahoma"/>
          <w:sz w:val="20"/>
          <w:szCs w:val="20"/>
        </w:rPr>
        <w:t xml:space="preserve">mohlo viesť ku krížovému dotovaniu procesu </w:t>
      </w:r>
      <w:r>
        <w:rPr>
          <w:rFonts w:ascii="Tahoma" w:hAnsi="Tahoma" w:cs="Tahoma"/>
          <w:sz w:val="20"/>
          <w:szCs w:val="20"/>
        </w:rPr>
        <w:lastRenderedPageBreak/>
        <w:t xml:space="preserve">informovania občanov (vrátane sprostredkovania) z iných produktov, ako aj k deformácii trhového prostredia v oblasti dôchodkového poistenia vzhľadom na obmedzenú možnosť informovania občanov </w:t>
      </w:r>
      <w:r w:rsidR="00081CEB">
        <w:rPr>
          <w:rFonts w:ascii="Tahoma" w:hAnsi="Tahoma" w:cs="Tahoma"/>
          <w:sz w:val="20"/>
          <w:szCs w:val="20"/>
        </w:rPr>
        <w:t>poisťovňami cez cez fin. sprostredkovateľov poi</w:t>
      </w:r>
      <w:r>
        <w:rPr>
          <w:rFonts w:ascii="Tahoma" w:hAnsi="Tahoma" w:cs="Tahoma"/>
          <w:sz w:val="20"/>
          <w:szCs w:val="20"/>
        </w:rPr>
        <w:t xml:space="preserve">. Je potrebné si tiež uvedomiť, že na rozdiel od situácie so sprostredkovaním </w:t>
      </w:r>
      <w:r w:rsidR="00B11E71">
        <w:rPr>
          <w:rFonts w:ascii="Tahoma" w:hAnsi="Tahoma" w:cs="Tahoma"/>
          <w:sz w:val="20"/>
          <w:szCs w:val="20"/>
        </w:rPr>
        <w:t xml:space="preserve">starob. </w:t>
      </w:r>
      <w:r>
        <w:rPr>
          <w:rFonts w:ascii="Tahoma" w:hAnsi="Tahoma" w:cs="Tahoma"/>
          <w:sz w:val="20"/>
          <w:szCs w:val="20"/>
        </w:rPr>
        <w:t xml:space="preserve">dôchodkového sporenia </w:t>
      </w:r>
      <w:r w:rsidR="00B11E71">
        <w:rPr>
          <w:rFonts w:ascii="Tahoma" w:hAnsi="Tahoma" w:cs="Tahoma"/>
          <w:sz w:val="20"/>
          <w:szCs w:val="20"/>
        </w:rPr>
        <w:t xml:space="preserve">pri jeho spustení, </w:t>
      </w:r>
      <w:r>
        <w:rPr>
          <w:rFonts w:ascii="Tahoma" w:hAnsi="Tahoma" w:cs="Tahoma"/>
          <w:sz w:val="20"/>
          <w:szCs w:val="20"/>
        </w:rPr>
        <w:t xml:space="preserve">nepôjde </w:t>
      </w:r>
      <w:r w:rsidR="00B11E71">
        <w:rPr>
          <w:rFonts w:ascii="Tahoma" w:hAnsi="Tahoma" w:cs="Tahoma"/>
          <w:sz w:val="20"/>
          <w:szCs w:val="20"/>
        </w:rPr>
        <w:t xml:space="preserve">tu </w:t>
      </w:r>
      <w:r>
        <w:rPr>
          <w:rFonts w:ascii="Tahoma" w:hAnsi="Tahoma" w:cs="Tahoma"/>
          <w:sz w:val="20"/>
          <w:szCs w:val="20"/>
        </w:rPr>
        <w:t xml:space="preserve">o jednorazový nábor obrovského počtu klientov, ale o veľmi pozvoľný nárast, pri ktorom sú iné komunikačné kanály ako </w:t>
      </w:r>
      <w:r w:rsidR="00B11E71">
        <w:rPr>
          <w:rFonts w:ascii="Tahoma" w:hAnsi="Tahoma" w:cs="Tahoma"/>
          <w:sz w:val="20"/>
          <w:szCs w:val="20"/>
        </w:rPr>
        <w:t xml:space="preserve">fin. </w:t>
      </w:r>
      <w:r>
        <w:rPr>
          <w:rFonts w:ascii="Tahoma" w:hAnsi="Tahoma" w:cs="Tahoma"/>
          <w:sz w:val="20"/>
          <w:szCs w:val="20"/>
        </w:rPr>
        <w:t>sprostredkovatelia omnoho menej efektívne.</w:t>
      </w:r>
    </w:p>
    <w:p w:rsidR="00322BC9" w:rsidRPr="000320C8" w:rsidRDefault="00322BC9" w:rsidP="000320C8">
      <w:pPr>
        <w:autoSpaceDE w:val="0"/>
        <w:autoSpaceDN w:val="0"/>
        <w:adjustRightInd w:val="0"/>
        <w:spacing w:after="0" w:line="240" w:lineRule="auto"/>
        <w:jc w:val="both"/>
        <w:rPr>
          <w:rFonts w:ascii="Tahoma" w:hAnsi="Tahoma" w:cs="Tahoma"/>
          <w:sz w:val="20"/>
          <w:szCs w:val="20"/>
        </w:rPr>
      </w:pPr>
    </w:p>
    <w:p w:rsidR="00322BC9" w:rsidRPr="00F7461C" w:rsidRDefault="00322BC9" w:rsidP="00AA6AA6">
      <w:pPr>
        <w:spacing w:line="240" w:lineRule="auto"/>
        <w:jc w:val="both"/>
        <w:rPr>
          <w:rFonts w:ascii="Tahoma" w:hAnsi="Tahoma" w:cs="Tahoma"/>
          <w:sz w:val="20"/>
          <w:szCs w:val="20"/>
        </w:rPr>
      </w:pPr>
      <w:r w:rsidRPr="00F7461C">
        <w:rPr>
          <w:rFonts w:ascii="Tahoma" w:hAnsi="Tahoma" w:cs="Tahoma"/>
          <w:sz w:val="20"/>
          <w:szCs w:val="20"/>
        </w:rPr>
        <w:t>Bratislava, 03.10.2011</w:t>
      </w:r>
    </w:p>
    <w:p w:rsidR="00322BC9" w:rsidRPr="00F7461C" w:rsidRDefault="00322BC9" w:rsidP="00AA6AA6">
      <w:pPr>
        <w:spacing w:line="240" w:lineRule="auto"/>
        <w:jc w:val="both"/>
        <w:rPr>
          <w:rFonts w:ascii="Tahoma" w:hAnsi="Tahoma" w:cs="Tahoma"/>
          <w:sz w:val="20"/>
          <w:szCs w:val="20"/>
        </w:rPr>
      </w:pPr>
      <w:r w:rsidRPr="00F7461C">
        <w:rPr>
          <w:rFonts w:ascii="Tahoma" w:hAnsi="Tahoma" w:cs="Tahoma"/>
          <w:sz w:val="20"/>
          <w:szCs w:val="20"/>
        </w:rPr>
        <w:t>Amslico poisťovňa – Alico, a.s.</w:t>
      </w:r>
    </w:p>
    <w:p w:rsidR="00322BC9" w:rsidRPr="00F7461C" w:rsidRDefault="00322BC9">
      <w:pPr>
        <w:spacing w:line="240" w:lineRule="auto"/>
        <w:jc w:val="both"/>
        <w:rPr>
          <w:rFonts w:ascii="Tahoma" w:hAnsi="Tahoma" w:cs="Tahoma"/>
          <w:sz w:val="20"/>
          <w:szCs w:val="20"/>
        </w:rPr>
      </w:pPr>
    </w:p>
    <w:sectPr w:rsidR="00322BC9" w:rsidRPr="00F7461C" w:rsidSect="00FD27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5172"/>
    <w:multiLevelType w:val="hybridMultilevel"/>
    <w:tmpl w:val="13526D64"/>
    <w:lvl w:ilvl="0" w:tplc="041B000B">
      <w:start w:val="1"/>
      <w:numFmt w:val="bullet"/>
      <w:lvlText w:val=""/>
      <w:lvlJc w:val="left"/>
      <w:pPr>
        <w:ind w:left="420" w:hanging="360"/>
      </w:pPr>
      <w:rPr>
        <w:rFonts w:ascii="Wingdings" w:hAnsi="Wingdings"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
    <w:nsid w:val="57395DEA"/>
    <w:multiLevelType w:val="hybridMultilevel"/>
    <w:tmpl w:val="675E016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
    <w:nsid w:val="5F1E4ABF"/>
    <w:multiLevelType w:val="hybridMultilevel"/>
    <w:tmpl w:val="6876DAD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1C3"/>
    <w:rsid w:val="000320C8"/>
    <w:rsid w:val="00081CEB"/>
    <w:rsid w:val="00301B82"/>
    <w:rsid w:val="00322BC9"/>
    <w:rsid w:val="00323264"/>
    <w:rsid w:val="00324120"/>
    <w:rsid w:val="003447A7"/>
    <w:rsid w:val="00351D0B"/>
    <w:rsid w:val="003E5CD5"/>
    <w:rsid w:val="00545F94"/>
    <w:rsid w:val="006420AF"/>
    <w:rsid w:val="0066770D"/>
    <w:rsid w:val="00675E56"/>
    <w:rsid w:val="006B01C3"/>
    <w:rsid w:val="009B34C8"/>
    <w:rsid w:val="009C6BE1"/>
    <w:rsid w:val="009E0D1F"/>
    <w:rsid w:val="00A41AA8"/>
    <w:rsid w:val="00A7059A"/>
    <w:rsid w:val="00AA6AA6"/>
    <w:rsid w:val="00AB0070"/>
    <w:rsid w:val="00B11E71"/>
    <w:rsid w:val="00C124AE"/>
    <w:rsid w:val="00C202F4"/>
    <w:rsid w:val="00C5267A"/>
    <w:rsid w:val="00CC2964"/>
    <w:rsid w:val="00D42F15"/>
    <w:rsid w:val="00DA0600"/>
    <w:rsid w:val="00DF1BB9"/>
    <w:rsid w:val="00EC4D18"/>
    <w:rsid w:val="00EE4FF3"/>
    <w:rsid w:val="00F12AB1"/>
    <w:rsid w:val="00F22488"/>
    <w:rsid w:val="00F7461C"/>
    <w:rsid w:val="00FD277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7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0D1F"/>
    <w:pPr>
      <w:ind w:left="720"/>
      <w:contextualSpacing/>
    </w:pPr>
  </w:style>
  <w:style w:type="paragraph" w:styleId="BalloonText">
    <w:name w:val="Balloon Text"/>
    <w:basedOn w:val="Normal"/>
    <w:link w:val="BalloonTextChar"/>
    <w:uiPriority w:val="99"/>
    <w:semiHidden/>
    <w:rsid w:val="00EC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4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2400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1077</Words>
  <Characters>6817</Characters>
  <Application>Microsoft Office Word</Application>
  <DocSecurity>0</DocSecurity>
  <Lines>56</Lines>
  <Paragraphs>15</Paragraphs>
  <ScaleCrop>false</ScaleCrop>
  <Company>Microsoft</Company>
  <LinksUpToDate>false</LinksUpToDate>
  <CharactersWithSpaces>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eliasova</dc:creator>
  <cp:keywords/>
  <dc:description/>
  <cp:lastModifiedBy>eliasova</cp:lastModifiedBy>
  <cp:revision>18</cp:revision>
  <cp:lastPrinted>2011-10-03T13:33:00Z</cp:lastPrinted>
  <dcterms:created xsi:type="dcterms:W3CDTF">2011-10-03T11:52:00Z</dcterms:created>
  <dcterms:modified xsi:type="dcterms:W3CDTF">2011-10-03T15:25:00Z</dcterms:modified>
</cp:coreProperties>
</file>