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3FA" w:rsidRPr="005C63FA" w:rsidRDefault="005C63FA" w:rsidP="005C63FA">
      <w:pPr>
        <w:jc w:val="center"/>
        <w:rPr>
          <w:b/>
        </w:rPr>
      </w:pPr>
      <w:r w:rsidRPr="005C63FA">
        <w:rPr>
          <w:b/>
        </w:rPr>
        <w:t>Usmernenia k vybavovaniu sťažností poisťovňami</w:t>
      </w:r>
    </w:p>
    <w:p w:rsidR="00997065" w:rsidRPr="005B1F4B" w:rsidRDefault="00333313" w:rsidP="00F53236">
      <w:pPr>
        <w:pStyle w:val="Obyajntext"/>
        <w:numPr>
          <w:ilvl w:val="0"/>
          <w:numId w:val="6"/>
        </w:numPr>
        <w:ind w:left="0" w:hanging="284"/>
        <w:rPr>
          <w:rFonts w:asciiTheme="minorHAnsi" w:hAnsiTheme="minorHAnsi"/>
          <w:sz w:val="22"/>
          <w:szCs w:val="22"/>
        </w:rPr>
      </w:pPr>
      <w:r w:rsidRPr="005B1F4B">
        <w:rPr>
          <w:rFonts w:asciiTheme="minorHAnsi" w:hAnsiTheme="minorHAnsi"/>
          <w:sz w:val="22"/>
          <w:szCs w:val="22"/>
        </w:rPr>
        <w:t>A</w:t>
      </w:r>
      <w:r w:rsidR="00997065" w:rsidRPr="005B1F4B">
        <w:rPr>
          <w:rFonts w:asciiTheme="minorHAnsi" w:hAnsiTheme="minorHAnsi"/>
          <w:sz w:val="22"/>
          <w:szCs w:val="22"/>
        </w:rPr>
        <w:t>k</w:t>
      </w:r>
      <w:r w:rsidR="0085085A" w:rsidRPr="005B1F4B">
        <w:rPr>
          <w:rFonts w:asciiTheme="minorHAnsi" w:hAnsiTheme="minorHAnsi"/>
          <w:sz w:val="22"/>
          <w:szCs w:val="22"/>
        </w:rPr>
        <w:t>á</w:t>
      </w:r>
      <w:r w:rsidR="00997065" w:rsidRPr="005B1F4B">
        <w:rPr>
          <w:rFonts w:asciiTheme="minorHAnsi" w:hAnsiTheme="minorHAnsi"/>
          <w:sz w:val="22"/>
          <w:szCs w:val="22"/>
        </w:rPr>
        <w:t xml:space="preserve"> je pr</w:t>
      </w:r>
      <w:r w:rsidR="0085085A" w:rsidRPr="005B1F4B">
        <w:rPr>
          <w:rFonts w:asciiTheme="minorHAnsi" w:hAnsiTheme="minorHAnsi"/>
          <w:sz w:val="22"/>
          <w:szCs w:val="22"/>
        </w:rPr>
        <w:t>á</w:t>
      </w:r>
      <w:r w:rsidR="00997065" w:rsidRPr="005B1F4B">
        <w:rPr>
          <w:rFonts w:asciiTheme="minorHAnsi" w:hAnsiTheme="minorHAnsi"/>
          <w:sz w:val="22"/>
          <w:szCs w:val="22"/>
        </w:rPr>
        <w:t>vna z</w:t>
      </w:r>
      <w:r w:rsidR="0085085A" w:rsidRPr="005B1F4B">
        <w:rPr>
          <w:rFonts w:asciiTheme="minorHAnsi" w:hAnsiTheme="minorHAnsi"/>
          <w:sz w:val="22"/>
          <w:szCs w:val="22"/>
        </w:rPr>
        <w:t>á</w:t>
      </w:r>
      <w:r w:rsidR="00997065" w:rsidRPr="005B1F4B">
        <w:rPr>
          <w:rFonts w:asciiTheme="minorHAnsi" w:hAnsiTheme="minorHAnsi"/>
          <w:sz w:val="22"/>
          <w:szCs w:val="22"/>
        </w:rPr>
        <w:t>v</w:t>
      </w:r>
      <w:r w:rsidR="0085085A" w:rsidRPr="005B1F4B">
        <w:rPr>
          <w:rFonts w:asciiTheme="minorHAnsi" w:hAnsiTheme="minorHAnsi"/>
          <w:sz w:val="22"/>
          <w:szCs w:val="22"/>
        </w:rPr>
        <w:t>ä</w:t>
      </w:r>
      <w:r w:rsidR="00997065" w:rsidRPr="005B1F4B">
        <w:rPr>
          <w:rFonts w:asciiTheme="minorHAnsi" w:hAnsiTheme="minorHAnsi"/>
          <w:sz w:val="22"/>
          <w:szCs w:val="22"/>
        </w:rPr>
        <w:t>znos</w:t>
      </w:r>
      <w:r w:rsidR="0085085A" w:rsidRPr="005B1F4B">
        <w:rPr>
          <w:rFonts w:asciiTheme="minorHAnsi" w:hAnsiTheme="minorHAnsi"/>
          <w:sz w:val="22"/>
          <w:szCs w:val="22"/>
        </w:rPr>
        <w:t>ť</w:t>
      </w:r>
      <w:r w:rsidR="006839D2" w:rsidRPr="005B1F4B">
        <w:rPr>
          <w:rFonts w:asciiTheme="minorHAnsi" w:hAnsiTheme="minorHAnsi"/>
          <w:sz w:val="22"/>
          <w:szCs w:val="22"/>
        </w:rPr>
        <w:t xml:space="preserve"> </w:t>
      </w:r>
      <w:r w:rsidR="00881EC6" w:rsidRPr="005B1F4B">
        <w:rPr>
          <w:rFonts w:asciiTheme="minorHAnsi" w:hAnsiTheme="minorHAnsi"/>
          <w:sz w:val="22"/>
          <w:szCs w:val="22"/>
        </w:rPr>
        <w:t>usmernenia</w:t>
      </w:r>
      <w:r w:rsidRPr="005B1F4B">
        <w:rPr>
          <w:rFonts w:asciiTheme="minorHAnsi" w:hAnsiTheme="minorHAnsi"/>
          <w:sz w:val="22"/>
          <w:szCs w:val="22"/>
        </w:rPr>
        <w:t xml:space="preserve"> k vybavovaniu sťažností poisťovňami</w:t>
      </w:r>
      <w:r w:rsidR="006839D2" w:rsidRPr="005B1F4B">
        <w:rPr>
          <w:rFonts w:asciiTheme="minorHAnsi" w:hAnsiTheme="minorHAnsi"/>
          <w:sz w:val="22"/>
          <w:szCs w:val="22"/>
        </w:rPr>
        <w:t>?</w:t>
      </w:r>
    </w:p>
    <w:p w:rsidR="00881EC6" w:rsidRPr="005B1F4B" w:rsidRDefault="00881EC6" w:rsidP="00F53236">
      <w:pPr>
        <w:pStyle w:val="Obyajntext"/>
        <w:ind w:hanging="284"/>
        <w:rPr>
          <w:rFonts w:asciiTheme="minorHAnsi" w:hAnsiTheme="minorHAnsi"/>
          <w:sz w:val="22"/>
          <w:szCs w:val="22"/>
        </w:rPr>
      </w:pPr>
    </w:p>
    <w:p w:rsidR="00881EC6" w:rsidRDefault="00881EC6" w:rsidP="00F53236">
      <w:pPr>
        <w:pStyle w:val="Odsekzoznamu"/>
        <w:numPr>
          <w:ilvl w:val="0"/>
          <w:numId w:val="6"/>
        </w:numPr>
        <w:ind w:left="0" w:hanging="284"/>
        <w:contextualSpacing/>
        <w:jc w:val="both"/>
        <w:rPr>
          <w:rFonts w:asciiTheme="minorHAnsi" w:hAnsiTheme="minorHAnsi" w:cs="Arial"/>
        </w:rPr>
      </w:pPr>
      <w:r w:rsidRPr="005B1F4B">
        <w:rPr>
          <w:rFonts w:asciiTheme="minorHAnsi" w:hAnsiTheme="minorHAnsi" w:cs="Arial"/>
        </w:rPr>
        <w:t>Aká je záväznosť  usmernenia a </w:t>
      </w:r>
      <w:proofErr w:type="spellStart"/>
      <w:r w:rsidRPr="005B1F4B">
        <w:rPr>
          <w:rFonts w:asciiTheme="minorHAnsi" w:hAnsiTheme="minorHAnsi" w:cs="Arial"/>
        </w:rPr>
        <w:t>Best</w:t>
      </w:r>
      <w:proofErr w:type="spellEnd"/>
      <w:r w:rsidRPr="005B1F4B">
        <w:rPr>
          <w:rFonts w:asciiTheme="minorHAnsi" w:hAnsiTheme="minorHAnsi" w:cs="Arial"/>
        </w:rPr>
        <w:t xml:space="preserve"> </w:t>
      </w:r>
      <w:proofErr w:type="spellStart"/>
      <w:r w:rsidRPr="005B1F4B">
        <w:rPr>
          <w:rFonts w:asciiTheme="minorHAnsi" w:hAnsiTheme="minorHAnsi" w:cs="Arial"/>
        </w:rPr>
        <w:t>Practices</w:t>
      </w:r>
      <w:proofErr w:type="spellEnd"/>
      <w:r w:rsidRPr="005B1F4B">
        <w:rPr>
          <w:rFonts w:asciiTheme="minorHAnsi" w:hAnsiTheme="minorHAnsi" w:cs="Arial"/>
        </w:rPr>
        <w:t xml:space="preserve"> (EIOPA-BoS-12/070), na ktoré odkazuje bod 9 Usmernenia?</w:t>
      </w:r>
    </w:p>
    <w:p w:rsidR="005719E7" w:rsidRPr="005719E7" w:rsidRDefault="005719E7" w:rsidP="005719E7">
      <w:pPr>
        <w:pStyle w:val="Odsekzoznamu"/>
        <w:rPr>
          <w:rFonts w:asciiTheme="minorHAnsi" w:hAnsiTheme="minorHAnsi" w:cs="Arial"/>
        </w:rPr>
      </w:pPr>
    </w:p>
    <w:p w:rsidR="00997065" w:rsidRPr="005B1F4B" w:rsidRDefault="00FA27B4" w:rsidP="00F53236">
      <w:pPr>
        <w:pStyle w:val="Obyajntext"/>
        <w:numPr>
          <w:ilvl w:val="0"/>
          <w:numId w:val="6"/>
        </w:numPr>
        <w:ind w:left="0" w:hanging="284"/>
        <w:rPr>
          <w:rFonts w:asciiTheme="minorHAnsi" w:hAnsiTheme="minorHAnsi"/>
          <w:sz w:val="22"/>
          <w:szCs w:val="22"/>
        </w:rPr>
      </w:pPr>
      <w:r w:rsidRPr="005B1F4B">
        <w:rPr>
          <w:rFonts w:asciiTheme="minorHAnsi" w:hAnsiTheme="minorHAnsi"/>
          <w:sz w:val="22"/>
          <w:szCs w:val="22"/>
        </w:rPr>
        <w:t>Č</w:t>
      </w:r>
      <w:r w:rsidR="00997065" w:rsidRPr="005B1F4B">
        <w:rPr>
          <w:rFonts w:asciiTheme="minorHAnsi" w:hAnsiTheme="minorHAnsi"/>
          <w:sz w:val="22"/>
          <w:szCs w:val="22"/>
        </w:rPr>
        <w:t>o v pr</w:t>
      </w:r>
      <w:r w:rsidR="0085085A" w:rsidRPr="005B1F4B">
        <w:rPr>
          <w:rFonts w:asciiTheme="minorHAnsi" w:hAnsiTheme="minorHAnsi"/>
          <w:sz w:val="22"/>
          <w:szCs w:val="22"/>
        </w:rPr>
        <w:t>í</w:t>
      </w:r>
      <w:r w:rsidR="00997065" w:rsidRPr="005B1F4B">
        <w:rPr>
          <w:rFonts w:asciiTheme="minorHAnsi" w:hAnsiTheme="minorHAnsi"/>
          <w:sz w:val="22"/>
          <w:szCs w:val="22"/>
        </w:rPr>
        <w:t>pade, ak niektor</w:t>
      </w:r>
      <w:r w:rsidR="0085085A" w:rsidRPr="005B1F4B">
        <w:rPr>
          <w:rFonts w:asciiTheme="minorHAnsi" w:hAnsiTheme="minorHAnsi"/>
          <w:sz w:val="22"/>
          <w:szCs w:val="22"/>
        </w:rPr>
        <w:t>é</w:t>
      </w:r>
      <w:r w:rsidR="00997065" w:rsidRPr="005B1F4B">
        <w:rPr>
          <w:rFonts w:asciiTheme="minorHAnsi" w:hAnsiTheme="minorHAnsi"/>
          <w:sz w:val="22"/>
          <w:szCs w:val="22"/>
        </w:rPr>
        <w:t xml:space="preserve"> z ustanoveni</w:t>
      </w:r>
      <w:r w:rsidR="0085085A" w:rsidRPr="005B1F4B">
        <w:rPr>
          <w:rFonts w:asciiTheme="minorHAnsi" w:hAnsiTheme="minorHAnsi"/>
          <w:sz w:val="22"/>
          <w:szCs w:val="22"/>
        </w:rPr>
        <w:t>a</w:t>
      </w:r>
      <w:r w:rsidR="00997065" w:rsidRPr="005B1F4B">
        <w:rPr>
          <w:rFonts w:asciiTheme="minorHAnsi" w:hAnsiTheme="minorHAnsi"/>
          <w:sz w:val="22"/>
          <w:szCs w:val="22"/>
        </w:rPr>
        <w:t xml:space="preserve"> odpor</w:t>
      </w:r>
      <w:r w:rsidR="0085085A" w:rsidRPr="005B1F4B">
        <w:rPr>
          <w:rFonts w:asciiTheme="minorHAnsi" w:hAnsiTheme="minorHAnsi"/>
          <w:sz w:val="22"/>
          <w:szCs w:val="22"/>
        </w:rPr>
        <w:t>úč</w:t>
      </w:r>
      <w:r w:rsidR="00997065" w:rsidRPr="005B1F4B">
        <w:rPr>
          <w:rFonts w:asciiTheme="minorHAnsi" w:hAnsiTheme="minorHAnsi"/>
          <w:sz w:val="22"/>
          <w:szCs w:val="22"/>
        </w:rPr>
        <w:t>ania nebude pois</w:t>
      </w:r>
      <w:r w:rsidR="0085085A" w:rsidRPr="005B1F4B">
        <w:rPr>
          <w:rFonts w:asciiTheme="minorHAnsi" w:hAnsiTheme="minorHAnsi"/>
          <w:sz w:val="22"/>
          <w:szCs w:val="22"/>
        </w:rPr>
        <w:t>ť</w:t>
      </w:r>
      <w:r w:rsidR="00997065" w:rsidRPr="005B1F4B">
        <w:rPr>
          <w:rFonts w:asciiTheme="minorHAnsi" w:hAnsiTheme="minorHAnsi"/>
          <w:sz w:val="22"/>
          <w:szCs w:val="22"/>
        </w:rPr>
        <w:t>ov</w:t>
      </w:r>
      <w:r w:rsidR="0085085A" w:rsidRPr="005B1F4B">
        <w:rPr>
          <w:rFonts w:asciiTheme="minorHAnsi" w:hAnsiTheme="minorHAnsi"/>
          <w:sz w:val="22"/>
          <w:szCs w:val="22"/>
        </w:rPr>
        <w:t>ň</w:t>
      </w:r>
      <w:r w:rsidR="00997065" w:rsidRPr="005B1F4B">
        <w:rPr>
          <w:rFonts w:asciiTheme="minorHAnsi" w:hAnsiTheme="minorHAnsi"/>
          <w:sz w:val="22"/>
          <w:szCs w:val="22"/>
        </w:rPr>
        <w:t>a dodr</w:t>
      </w:r>
      <w:r w:rsidR="0085085A" w:rsidRPr="005B1F4B">
        <w:rPr>
          <w:rFonts w:asciiTheme="minorHAnsi" w:hAnsiTheme="minorHAnsi"/>
          <w:sz w:val="22"/>
          <w:szCs w:val="22"/>
        </w:rPr>
        <w:t>ž</w:t>
      </w:r>
      <w:r w:rsidR="00997065" w:rsidRPr="005B1F4B">
        <w:rPr>
          <w:rFonts w:asciiTheme="minorHAnsi" w:hAnsiTheme="minorHAnsi"/>
          <w:sz w:val="22"/>
          <w:szCs w:val="22"/>
        </w:rPr>
        <w:t>iava</w:t>
      </w:r>
      <w:r w:rsidR="0085085A" w:rsidRPr="005B1F4B">
        <w:rPr>
          <w:rFonts w:asciiTheme="minorHAnsi" w:hAnsiTheme="minorHAnsi"/>
          <w:sz w:val="22"/>
          <w:szCs w:val="22"/>
        </w:rPr>
        <w:t>ť</w:t>
      </w:r>
      <w:r w:rsidR="00997065" w:rsidRPr="005B1F4B">
        <w:rPr>
          <w:rFonts w:asciiTheme="minorHAnsi" w:hAnsiTheme="minorHAnsi"/>
          <w:sz w:val="22"/>
          <w:szCs w:val="22"/>
        </w:rPr>
        <w:t>?</w:t>
      </w:r>
    </w:p>
    <w:p w:rsidR="00FA27B4" w:rsidRPr="005B1F4B" w:rsidRDefault="00FA27B4" w:rsidP="00F53236">
      <w:pPr>
        <w:pStyle w:val="Obyajntext"/>
        <w:rPr>
          <w:rFonts w:asciiTheme="minorHAnsi" w:hAnsiTheme="minorHAnsi"/>
          <w:sz w:val="22"/>
          <w:szCs w:val="22"/>
        </w:rPr>
      </w:pPr>
    </w:p>
    <w:p w:rsidR="00333313" w:rsidRPr="00F53236" w:rsidRDefault="00FA27B4" w:rsidP="00F53236">
      <w:pPr>
        <w:pStyle w:val="Odsekzoznamu"/>
        <w:numPr>
          <w:ilvl w:val="0"/>
          <w:numId w:val="6"/>
        </w:numPr>
        <w:ind w:left="0" w:hanging="284"/>
        <w:contextualSpacing/>
        <w:jc w:val="both"/>
        <w:rPr>
          <w:rFonts w:asciiTheme="minorHAnsi" w:hAnsiTheme="minorHAnsi"/>
        </w:rPr>
      </w:pPr>
      <w:r w:rsidRPr="00F53236">
        <w:rPr>
          <w:rFonts w:asciiTheme="minorHAnsi" w:hAnsiTheme="minorHAnsi" w:cs="Arial"/>
        </w:rPr>
        <w:t xml:space="preserve">Definícia sťažnosti je pomerne široká, v podstate sem spadajú takmer všetky podnety klientov. Pripravuje sa v tomto smere vnútroštátna právna úprava, napr. zmena existujúceho zákona o  poisťovníctve? </w:t>
      </w:r>
    </w:p>
    <w:p w:rsidR="00F53236" w:rsidRPr="00F53236" w:rsidRDefault="00F53236" w:rsidP="00F53236">
      <w:pPr>
        <w:pStyle w:val="Odsekzoznamu"/>
        <w:ind w:left="0"/>
        <w:rPr>
          <w:rFonts w:asciiTheme="minorHAnsi" w:hAnsiTheme="minorHAnsi"/>
        </w:rPr>
      </w:pPr>
    </w:p>
    <w:p w:rsidR="00333313" w:rsidRPr="005B1F4B" w:rsidRDefault="00333313" w:rsidP="00F53236">
      <w:pPr>
        <w:pStyle w:val="Odsekzoznamu"/>
        <w:numPr>
          <w:ilvl w:val="0"/>
          <w:numId w:val="6"/>
        </w:numPr>
        <w:ind w:left="0" w:hanging="284"/>
        <w:contextualSpacing/>
        <w:jc w:val="both"/>
        <w:rPr>
          <w:rFonts w:asciiTheme="minorHAnsi" w:hAnsiTheme="minorHAnsi" w:cs="Arial"/>
        </w:rPr>
      </w:pPr>
      <w:r w:rsidRPr="005B1F4B">
        <w:rPr>
          <w:rFonts w:asciiTheme="minorHAnsi" w:hAnsiTheme="minorHAnsi" w:cs="Arial"/>
        </w:rPr>
        <w:t>V definícii sťažovateľa je uvedené: „... osoba, o ktorej sa predpokladá, že je oprávnená na to, aby poisťovňa posúdila jej sťažnosť, a ktorá už podala sťažnosť...“</w:t>
      </w:r>
    </w:p>
    <w:p w:rsidR="00333313" w:rsidRPr="005B1F4B" w:rsidRDefault="00333313" w:rsidP="00F53236">
      <w:pPr>
        <w:pStyle w:val="Odsekzoznamu"/>
        <w:ind w:left="0" w:hanging="284"/>
        <w:jc w:val="both"/>
        <w:rPr>
          <w:rFonts w:asciiTheme="minorHAnsi" w:hAnsiTheme="minorHAnsi" w:cs="Arial"/>
        </w:rPr>
      </w:pPr>
      <w:r w:rsidRPr="005B1F4B">
        <w:rPr>
          <w:rFonts w:asciiTheme="minorHAnsi" w:hAnsiTheme="minorHAnsi" w:cs="Arial"/>
        </w:rPr>
        <w:t>Čo presne sa tým myslí? V príkladoch je uvedené poistník, poistený, oprávnená osoba a v niektorých jurisdikciách poškodená tretia osoba. Môže byť takou treťou osobou napr. rodinný príslušník, dedič a pod.?</w:t>
      </w:r>
    </w:p>
    <w:p w:rsidR="00333313" w:rsidRPr="005B1F4B" w:rsidRDefault="00333313" w:rsidP="00F53236">
      <w:pPr>
        <w:pStyle w:val="Obyajntext"/>
        <w:ind w:hanging="284"/>
        <w:rPr>
          <w:rFonts w:asciiTheme="minorHAnsi" w:hAnsiTheme="minorHAnsi"/>
          <w:sz w:val="22"/>
          <w:szCs w:val="22"/>
        </w:rPr>
      </w:pPr>
    </w:p>
    <w:p w:rsidR="00997065" w:rsidRPr="005B1F4B" w:rsidRDefault="00E44687" w:rsidP="00F53236">
      <w:pPr>
        <w:pStyle w:val="Obyajntext"/>
        <w:numPr>
          <w:ilvl w:val="0"/>
          <w:numId w:val="6"/>
        </w:numPr>
        <w:ind w:left="0" w:hanging="284"/>
        <w:rPr>
          <w:rFonts w:asciiTheme="minorHAnsi" w:hAnsiTheme="minorHAnsi"/>
          <w:sz w:val="22"/>
          <w:szCs w:val="22"/>
        </w:rPr>
      </w:pPr>
      <w:r w:rsidRPr="005B1F4B">
        <w:rPr>
          <w:rFonts w:asciiTheme="minorHAnsi" w:hAnsiTheme="minorHAnsi"/>
          <w:sz w:val="22"/>
          <w:szCs w:val="22"/>
        </w:rPr>
        <w:t>P</w:t>
      </w:r>
      <w:r w:rsidR="0085085A" w:rsidRPr="005B1F4B">
        <w:rPr>
          <w:rFonts w:asciiTheme="minorHAnsi" w:hAnsiTheme="minorHAnsi"/>
          <w:sz w:val="22"/>
          <w:szCs w:val="22"/>
        </w:rPr>
        <w:t>odľ</w:t>
      </w:r>
      <w:r w:rsidR="00997065" w:rsidRPr="005B1F4B">
        <w:rPr>
          <w:rFonts w:asciiTheme="minorHAnsi" w:hAnsiTheme="minorHAnsi"/>
          <w:sz w:val="22"/>
          <w:szCs w:val="22"/>
        </w:rPr>
        <w:t xml:space="preserve">a </w:t>
      </w:r>
      <w:r w:rsidR="00FA27B4" w:rsidRPr="005B1F4B">
        <w:rPr>
          <w:rFonts w:asciiTheme="minorHAnsi" w:hAnsiTheme="minorHAnsi"/>
          <w:sz w:val="22"/>
          <w:szCs w:val="22"/>
        </w:rPr>
        <w:t xml:space="preserve">10 </w:t>
      </w:r>
      <w:r w:rsidR="00997065" w:rsidRPr="005B1F4B">
        <w:rPr>
          <w:rFonts w:asciiTheme="minorHAnsi" w:hAnsiTheme="minorHAnsi"/>
          <w:sz w:val="22"/>
          <w:szCs w:val="22"/>
        </w:rPr>
        <w:t xml:space="preserve">bodu </w:t>
      </w:r>
      <w:r w:rsidR="00FA27B4" w:rsidRPr="005B1F4B">
        <w:rPr>
          <w:rFonts w:asciiTheme="minorHAnsi" w:hAnsiTheme="minorHAnsi"/>
          <w:sz w:val="22"/>
          <w:szCs w:val="22"/>
        </w:rPr>
        <w:t xml:space="preserve">usmernenia 1 </w:t>
      </w:r>
      <w:r w:rsidR="00997065" w:rsidRPr="005B1F4B">
        <w:rPr>
          <w:rFonts w:asciiTheme="minorHAnsi" w:hAnsiTheme="minorHAnsi"/>
          <w:sz w:val="22"/>
          <w:szCs w:val="22"/>
        </w:rPr>
        <w:t>m</w:t>
      </w:r>
      <w:r w:rsidR="004A6B38" w:rsidRPr="005B1F4B">
        <w:rPr>
          <w:rFonts w:asciiTheme="minorHAnsi" w:hAnsiTheme="minorHAnsi"/>
          <w:sz w:val="22"/>
          <w:szCs w:val="22"/>
        </w:rPr>
        <w:t>á</w:t>
      </w:r>
      <w:r w:rsidR="00997065" w:rsidRPr="005B1F4B">
        <w:rPr>
          <w:rFonts w:asciiTheme="minorHAnsi" w:hAnsiTheme="minorHAnsi"/>
          <w:sz w:val="22"/>
          <w:szCs w:val="22"/>
        </w:rPr>
        <w:t xml:space="preserve"> koncepciu vybavovania s</w:t>
      </w:r>
      <w:r w:rsidR="0085085A" w:rsidRPr="005B1F4B">
        <w:rPr>
          <w:rFonts w:asciiTheme="minorHAnsi" w:hAnsiTheme="minorHAnsi"/>
          <w:sz w:val="22"/>
          <w:szCs w:val="22"/>
        </w:rPr>
        <w:t>ť</w:t>
      </w:r>
      <w:r w:rsidR="00997065" w:rsidRPr="005B1F4B">
        <w:rPr>
          <w:rFonts w:asciiTheme="minorHAnsi" w:hAnsiTheme="minorHAnsi"/>
          <w:sz w:val="22"/>
          <w:szCs w:val="22"/>
        </w:rPr>
        <w:t>a</w:t>
      </w:r>
      <w:r w:rsidR="0085085A" w:rsidRPr="005B1F4B">
        <w:rPr>
          <w:rFonts w:asciiTheme="minorHAnsi" w:hAnsiTheme="minorHAnsi"/>
          <w:sz w:val="22"/>
          <w:szCs w:val="22"/>
        </w:rPr>
        <w:t>ž</w:t>
      </w:r>
      <w:r w:rsidR="00997065" w:rsidRPr="005B1F4B">
        <w:rPr>
          <w:rFonts w:asciiTheme="minorHAnsi" w:hAnsiTheme="minorHAnsi"/>
          <w:sz w:val="22"/>
          <w:szCs w:val="22"/>
        </w:rPr>
        <w:t>nosti schva</w:t>
      </w:r>
      <w:r w:rsidR="0085085A" w:rsidRPr="005B1F4B">
        <w:rPr>
          <w:rFonts w:asciiTheme="minorHAnsi" w:hAnsiTheme="minorHAnsi"/>
          <w:sz w:val="22"/>
          <w:szCs w:val="22"/>
        </w:rPr>
        <w:t>ľ</w:t>
      </w:r>
      <w:r w:rsidR="00997065" w:rsidRPr="005B1F4B">
        <w:rPr>
          <w:rFonts w:asciiTheme="minorHAnsi" w:hAnsiTheme="minorHAnsi"/>
          <w:sz w:val="22"/>
          <w:szCs w:val="22"/>
        </w:rPr>
        <w:t>ova</w:t>
      </w:r>
      <w:r w:rsidR="0085085A" w:rsidRPr="005B1F4B">
        <w:rPr>
          <w:rFonts w:asciiTheme="minorHAnsi" w:hAnsiTheme="minorHAnsi"/>
          <w:sz w:val="22"/>
          <w:szCs w:val="22"/>
        </w:rPr>
        <w:t>ť</w:t>
      </w:r>
      <w:r w:rsidR="00997065" w:rsidRPr="005B1F4B">
        <w:rPr>
          <w:rFonts w:asciiTheme="minorHAnsi" w:hAnsiTheme="minorHAnsi"/>
          <w:sz w:val="22"/>
          <w:szCs w:val="22"/>
        </w:rPr>
        <w:t xml:space="preserve"> predstavenstvo pois</w:t>
      </w:r>
      <w:r w:rsidR="0085085A" w:rsidRPr="005B1F4B">
        <w:rPr>
          <w:rFonts w:asciiTheme="minorHAnsi" w:hAnsiTheme="minorHAnsi"/>
          <w:sz w:val="22"/>
          <w:szCs w:val="22"/>
        </w:rPr>
        <w:t>ť</w:t>
      </w:r>
      <w:r w:rsidR="00997065" w:rsidRPr="005B1F4B">
        <w:rPr>
          <w:rFonts w:asciiTheme="minorHAnsi" w:hAnsiTheme="minorHAnsi"/>
          <w:sz w:val="22"/>
          <w:szCs w:val="22"/>
        </w:rPr>
        <w:t xml:space="preserve">ovne - </w:t>
      </w:r>
    </w:p>
    <w:p w:rsidR="004A6B38" w:rsidRPr="005B1F4B" w:rsidRDefault="00A11280" w:rsidP="00F53236">
      <w:pPr>
        <w:pStyle w:val="Odsekzoznamu"/>
        <w:ind w:left="0"/>
        <w:rPr>
          <w:rFonts w:asciiTheme="minorHAnsi" w:hAnsiTheme="minorHAnsi"/>
        </w:rPr>
      </w:pPr>
      <w:r w:rsidRPr="005B1F4B">
        <w:rPr>
          <w:rFonts w:asciiTheme="minorHAnsi" w:hAnsiTheme="minorHAnsi"/>
        </w:rPr>
        <w:t xml:space="preserve">kto má schvaľovať písomnú koncepciu pre vybavovanie sťažností? V anglickom origináli sa uvádza pojem „senior </w:t>
      </w:r>
      <w:proofErr w:type="spellStart"/>
      <w:r w:rsidRPr="005B1F4B">
        <w:rPr>
          <w:rFonts w:asciiTheme="minorHAnsi" w:hAnsiTheme="minorHAnsi"/>
        </w:rPr>
        <w:t>management</w:t>
      </w:r>
      <w:proofErr w:type="spellEnd"/>
      <w:r w:rsidRPr="005B1F4B">
        <w:rPr>
          <w:rFonts w:asciiTheme="minorHAnsi" w:hAnsiTheme="minorHAnsi"/>
        </w:rPr>
        <w:t xml:space="preserve">“, slovenský preklad hovorí o predstavenstve. Máme za to, že ide o značný posun v preklade, podľa nášho názoru nie je odôvodnené, aby bola koncepcia prijímaná na úrovni predstavenstva a plne postačuje, keď bude prijatá na úrovni senior </w:t>
      </w:r>
      <w:proofErr w:type="spellStart"/>
      <w:r w:rsidRPr="005B1F4B">
        <w:rPr>
          <w:rFonts w:asciiTheme="minorHAnsi" w:hAnsiTheme="minorHAnsi"/>
        </w:rPr>
        <w:t>managementu</w:t>
      </w:r>
      <w:proofErr w:type="spellEnd"/>
      <w:r w:rsidRPr="005B1F4B">
        <w:rPr>
          <w:rFonts w:asciiTheme="minorHAnsi" w:hAnsiTheme="minorHAnsi"/>
        </w:rPr>
        <w:t xml:space="preserve">, t.j. v ponímaní zákona o poisťovníctve na úrovni vedúceho </w:t>
      </w:r>
    </w:p>
    <w:p w:rsidR="00AB59A0" w:rsidRPr="005B1F4B" w:rsidRDefault="0085085A" w:rsidP="00F53236">
      <w:pPr>
        <w:pStyle w:val="Odsekzoznamu"/>
        <w:numPr>
          <w:ilvl w:val="2"/>
          <w:numId w:val="6"/>
        </w:numPr>
        <w:tabs>
          <w:tab w:val="left" w:pos="851"/>
        </w:tabs>
        <w:ind w:left="0" w:hanging="284"/>
        <w:rPr>
          <w:rFonts w:asciiTheme="minorHAnsi" w:hAnsiTheme="minorHAnsi"/>
        </w:rPr>
      </w:pPr>
      <w:r w:rsidRPr="005B1F4B">
        <w:rPr>
          <w:rFonts w:asciiTheme="minorHAnsi" w:hAnsiTheme="minorHAnsi"/>
        </w:rPr>
        <w:t>č</w:t>
      </w:r>
      <w:r w:rsidR="004A6B38" w:rsidRPr="005B1F4B">
        <w:rPr>
          <w:rFonts w:asciiTheme="minorHAnsi" w:hAnsiTheme="minorHAnsi"/>
        </w:rPr>
        <w:t>o v pr</w:t>
      </w:r>
      <w:r w:rsidRPr="005B1F4B">
        <w:rPr>
          <w:rFonts w:asciiTheme="minorHAnsi" w:hAnsiTheme="minorHAnsi"/>
        </w:rPr>
        <w:t>í</w:t>
      </w:r>
      <w:r w:rsidR="004A6B38" w:rsidRPr="005B1F4B">
        <w:rPr>
          <w:rFonts w:asciiTheme="minorHAnsi" w:hAnsiTheme="minorHAnsi"/>
        </w:rPr>
        <w:t>pade, ak je intern</w:t>
      </w:r>
      <w:r w:rsidRPr="005B1F4B">
        <w:rPr>
          <w:rFonts w:asciiTheme="minorHAnsi" w:hAnsiTheme="minorHAnsi"/>
        </w:rPr>
        <w:t>ý</w:t>
      </w:r>
      <w:r w:rsidR="004A6B38" w:rsidRPr="005B1F4B">
        <w:rPr>
          <w:rFonts w:asciiTheme="minorHAnsi" w:hAnsiTheme="minorHAnsi"/>
        </w:rPr>
        <w:t xml:space="preserve"> predpis o vybavovan</w:t>
      </w:r>
      <w:r w:rsidRPr="005B1F4B">
        <w:rPr>
          <w:rFonts w:asciiTheme="minorHAnsi" w:hAnsiTheme="minorHAnsi"/>
        </w:rPr>
        <w:t>í</w:t>
      </w:r>
      <w:r w:rsidR="004A6B38" w:rsidRPr="005B1F4B">
        <w:rPr>
          <w:rFonts w:asciiTheme="minorHAnsi" w:hAnsiTheme="minorHAnsi"/>
        </w:rPr>
        <w:t xml:space="preserve"> s</w:t>
      </w:r>
      <w:r w:rsidRPr="005B1F4B">
        <w:rPr>
          <w:rFonts w:asciiTheme="minorHAnsi" w:hAnsiTheme="minorHAnsi"/>
        </w:rPr>
        <w:t>ť</w:t>
      </w:r>
      <w:r w:rsidR="004A6B38" w:rsidRPr="005B1F4B">
        <w:rPr>
          <w:rFonts w:asciiTheme="minorHAnsi" w:hAnsiTheme="minorHAnsi"/>
        </w:rPr>
        <w:t>a</w:t>
      </w:r>
      <w:r w:rsidRPr="005B1F4B">
        <w:rPr>
          <w:rFonts w:asciiTheme="minorHAnsi" w:hAnsiTheme="minorHAnsi"/>
        </w:rPr>
        <w:t>ž</w:t>
      </w:r>
      <w:r w:rsidR="004A6B38" w:rsidRPr="005B1F4B">
        <w:rPr>
          <w:rFonts w:asciiTheme="minorHAnsi" w:hAnsiTheme="minorHAnsi"/>
        </w:rPr>
        <w:t>nosti schva</w:t>
      </w:r>
      <w:r w:rsidRPr="005B1F4B">
        <w:rPr>
          <w:rFonts w:asciiTheme="minorHAnsi" w:hAnsiTheme="minorHAnsi"/>
        </w:rPr>
        <w:t>ľ</w:t>
      </w:r>
      <w:r w:rsidR="004A6B38" w:rsidRPr="005B1F4B">
        <w:rPr>
          <w:rFonts w:asciiTheme="minorHAnsi" w:hAnsiTheme="minorHAnsi"/>
        </w:rPr>
        <w:t>ovan</w:t>
      </w:r>
      <w:r w:rsidRPr="005B1F4B">
        <w:rPr>
          <w:rFonts w:asciiTheme="minorHAnsi" w:hAnsiTheme="minorHAnsi"/>
        </w:rPr>
        <w:t>ý</w:t>
      </w:r>
      <w:r w:rsidR="004A6B38" w:rsidRPr="005B1F4B">
        <w:rPr>
          <w:rFonts w:asciiTheme="minorHAnsi" w:hAnsiTheme="minorHAnsi"/>
        </w:rPr>
        <w:t xml:space="preserve"> in</w:t>
      </w:r>
      <w:r w:rsidRPr="005B1F4B">
        <w:rPr>
          <w:rFonts w:asciiTheme="minorHAnsi" w:hAnsiTheme="minorHAnsi"/>
        </w:rPr>
        <w:t>ý</w:t>
      </w:r>
      <w:r w:rsidR="004A6B38" w:rsidRPr="005B1F4B">
        <w:rPr>
          <w:rFonts w:asciiTheme="minorHAnsi" w:hAnsiTheme="minorHAnsi"/>
        </w:rPr>
        <w:t>m organom/osobou - napr. gener</w:t>
      </w:r>
      <w:r w:rsidRPr="005B1F4B">
        <w:rPr>
          <w:rFonts w:asciiTheme="minorHAnsi" w:hAnsiTheme="minorHAnsi"/>
        </w:rPr>
        <w:t>á</w:t>
      </w:r>
      <w:r w:rsidR="004A6B38" w:rsidRPr="005B1F4B">
        <w:rPr>
          <w:rFonts w:asciiTheme="minorHAnsi" w:hAnsiTheme="minorHAnsi"/>
        </w:rPr>
        <w:t>lnym riadite</w:t>
      </w:r>
      <w:r w:rsidRPr="005B1F4B">
        <w:rPr>
          <w:rFonts w:asciiTheme="minorHAnsi" w:hAnsiTheme="minorHAnsi"/>
        </w:rPr>
        <w:t>ľ</w:t>
      </w:r>
      <w:r w:rsidR="004A6B38" w:rsidRPr="005B1F4B">
        <w:rPr>
          <w:rFonts w:asciiTheme="minorHAnsi" w:hAnsiTheme="minorHAnsi"/>
        </w:rPr>
        <w:t>om spolo</w:t>
      </w:r>
      <w:r w:rsidRPr="005B1F4B">
        <w:rPr>
          <w:rFonts w:asciiTheme="minorHAnsi" w:hAnsiTheme="minorHAnsi"/>
        </w:rPr>
        <w:t>č</w:t>
      </w:r>
      <w:r w:rsidR="004A6B38" w:rsidRPr="005B1F4B">
        <w:rPr>
          <w:rFonts w:asciiTheme="minorHAnsi" w:hAnsiTheme="minorHAnsi"/>
        </w:rPr>
        <w:t>nosti v zmysle organiza</w:t>
      </w:r>
      <w:r w:rsidRPr="005B1F4B">
        <w:rPr>
          <w:rFonts w:asciiTheme="minorHAnsi" w:hAnsiTheme="minorHAnsi"/>
        </w:rPr>
        <w:t>č</w:t>
      </w:r>
      <w:r w:rsidR="004A6B38" w:rsidRPr="005B1F4B">
        <w:rPr>
          <w:rFonts w:asciiTheme="minorHAnsi" w:hAnsiTheme="minorHAnsi"/>
        </w:rPr>
        <w:t>n</w:t>
      </w:r>
      <w:r w:rsidRPr="005B1F4B">
        <w:rPr>
          <w:rFonts w:asciiTheme="minorHAnsi" w:hAnsiTheme="minorHAnsi"/>
        </w:rPr>
        <w:t>é</w:t>
      </w:r>
      <w:r w:rsidR="004A6B38" w:rsidRPr="005B1F4B">
        <w:rPr>
          <w:rFonts w:asciiTheme="minorHAnsi" w:hAnsiTheme="minorHAnsi"/>
        </w:rPr>
        <w:t>ho poriadku</w:t>
      </w:r>
      <w:r w:rsidRPr="005B1F4B">
        <w:rPr>
          <w:rFonts w:asciiTheme="minorHAnsi" w:hAnsiTheme="minorHAnsi"/>
        </w:rPr>
        <w:t xml:space="preserve">, </w:t>
      </w:r>
      <w:r w:rsidR="00A11280" w:rsidRPr="005B1F4B">
        <w:rPr>
          <w:rFonts w:asciiTheme="minorHAnsi" w:hAnsiTheme="minorHAnsi"/>
        </w:rPr>
        <w:t>zamestnanca v priamej riadiacej pôsobnosti predstavenstva (úroveň BOARD -1)</w:t>
      </w:r>
      <w:r w:rsidRPr="005B1F4B">
        <w:rPr>
          <w:rFonts w:asciiTheme="minorHAnsi" w:hAnsiTheme="minorHAnsi"/>
        </w:rPr>
        <w:t>?</w:t>
      </w:r>
    </w:p>
    <w:p w:rsidR="00E44687" w:rsidRPr="005B1F4B" w:rsidRDefault="00E44687" w:rsidP="00F53236">
      <w:pPr>
        <w:pStyle w:val="Odsekzoznamu"/>
        <w:tabs>
          <w:tab w:val="left" w:pos="851"/>
        </w:tabs>
        <w:ind w:left="0" w:hanging="284"/>
        <w:rPr>
          <w:rFonts w:asciiTheme="minorHAnsi" w:hAnsiTheme="minorHAnsi"/>
        </w:rPr>
      </w:pPr>
    </w:p>
    <w:p w:rsidR="00E44687" w:rsidRPr="005B1F4B" w:rsidRDefault="00E44687" w:rsidP="00F53236">
      <w:pPr>
        <w:pStyle w:val="Odsekzoznamu"/>
        <w:ind w:left="0"/>
        <w:contextualSpacing/>
        <w:jc w:val="both"/>
        <w:rPr>
          <w:rFonts w:asciiTheme="minorHAnsi" w:hAnsiTheme="minorHAnsi" w:cs="Arial"/>
        </w:rPr>
      </w:pPr>
      <w:r w:rsidRPr="005B1F4B">
        <w:rPr>
          <w:rFonts w:asciiTheme="minorHAnsi" w:hAnsiTheme="minorHAnsi" w:cs="Arial"/>
        </w:rPr>
        <w:t xml:space="preserve">Kto je senior </w:t>
      </w:r>
      <w:proofErr w:type="spellStart"/>
      <w:r w:rsidRPr="005B1F4B">
        <w:rPr>
          <w:rFonts w:asciiTheme="minorHAnsi" w:hAnsiTheme="minorHAnsi" w:cs="Arial"/>
        </w:rPr>
        <w:t>manager</w:t>
      </w:r>
      <w:proofErr w:type="spellEnd"/>
      <w:r w:rsidRPr="005B1F4B">
        <w:rPr>
          <w:rFonts w:asciiTheme="minorHAnsi" w:hAnsiTheme="minorHAnsi" w:cs="Arial"/>
        </w:rPr>
        <w:t xml:space="preserve">? V odporúčaní NBS bol senior </w:t>
      </w:r>
      <w:proofErr w:type="spellStart"/>
      <w:r w:rsidRPr="005B1F4B">
        <w:rPr>
          <w:rFonts w:asciiTheme="minorHAnsi" w:hAnsiTheme="minorHAnsi" w:cs="Arial"/>
        </w:rPr>
        <w:t>management</w:t>
      </w:r>
      <w:proofErr w:type="spellEnd"/>
      <w:r w:rsidRPr="005B1F4B">
        <w:rPr>
          <w:rFonts w:asciiTheme="minorHAnsi" w:hAnsiTheme="minorHAnsi" w:cs="Arial"/>
        </w:rPr>
        <w:t xml:space="preserve"> preložený ako predstavenstvo (bod 10 Usmernenia). Podľa </w:t>
      </w:r>
      <w:proofErr w:type="spellStart"/>
      <w:r w:rsidRPr="005B1F4B">
        <w:rPr>
          <w:rFonts w:asciiTheme="minorHAnsi" w:hAnsiTheme="minorHAnsi" w:cs="Arial"/>
        </w:rPr>
        <w:t>Best</w:t>
      </w:r>
      <w:proofErr w:type="spellEnd"/>
      <w:r w:rsidRPr="005B1F4B">
        <w:rPr>
          <w:rFonts w:asciiTheme="minorHAnsi" w:hAnsiTheme="minorHAnsi" w:cs="Arial"/>
        </w:rPr>
        <w:t xml:space="preserve"> </w:t>
      </w:r>
      <w:proofErr w:type="spellStart"/>
      <w:r w:rsidRPr="005B1F4B">
        <w:rPr>
          <w:rFonts w:asciiTheme="minorHAnsi" w:hAnsiTheme="minorHAnsi" w:cs="Arial"/>
        </w:rPr>
        <w:t>Practices</w:t>
      </w:r>
      <w:proofErr w:type="spellEnd"/>
      <w:r w:rsidRPr="005B1F4B">
        <w:rPr>
          <w:rFonts w:asciiTheme="minorHAnsi" w:hAnsiTheme="minorHAnsi" w:cs="Arial"/>
        </w:rPr>
        <w:t xml:space="preserve"> má byť určený senior </w:t>
      </w:r>
      <w:proofErr w:type="spellStart"/>
      <w:r w:rsidRPr="005B1F4B">
        <w:rPr>
          <w:rFonts w:asciiTheme="minorHAnsi" w:hAnsiTheme="minorHAnsi" w:cs="Arial"/>
        </w:rPr>
        <w:t>manager</w:t>
      </w:r>
      <w:proofErr w:type="spellEnd"/>
      <w:r w:rsidRPr="005B1F4B">
        <w:rPr>
          <w:rFonts w:asciiTheme="minorHAnsi" w:hAnsiTheme="minorHAnsi" w:cs="Arial"/>
        </w:rPr>
        <w:t xml:space="preserve"> (jeden alebo viacerí) ako tzv. </w:t>
      </w:r>
      <w:proofErr w:type="spellStart"/>
      <w:r w:rsidRPr="005B1F4B">
        <w:rPr>
          <w:rFonts w:asciiTheme="minorHAnsi" w:hAnsiTheme="minorHAnsi" w:cs="Arial"/>
        </w:rPr>
        <w:t>Complaints</w:t>
      </w:r>
      <w:proofErr w:type="spellEnd"/>
      <w:r w:rsidRPr="005B1F4B">
        <w:rPr>
          <w:rFonts w:asciiTheme="minorHAnsi" w:hAnsiTheme="minorHAnsi" w:cs="Arial"/>
        </w:rPr>
        <w:t xml:space="preserve"> </w:t>
      </w:r>
      <w:proofErr w:type="spellStart"/>
      <w:r w:rsidRPr="005B1F4B">
        <w:rPr>
          <w:rFonts w:asciiTheme="minorHAnsi" w:hAnsiTheme="minorHAnsi" w:cs="Arial"/>
        </w:rPr>
        <w:t>Management</w:t>
      </w:r>
      <w:proofErr w:type="spellEnd"/>
      <w:r w:rsidRPr="005B1F4B">
        <w:rPr>
          <w:rFonts w:asciiTheme="minorHAnsi" w:hAnsiTheme="minorHAnsi" w:cs="Arial"/>
        </w:rPr>
        <w:t xml:space="preserve"> </w:t>
      </w:r>
      <w:proofErr w:type="spellStart"/>
      <w:r w:rsidRPr="005B1F4B">
        <w:rPr>
          <w:rFonts w:asciiTheme="minorHAnsi" w:hAnsiTheme="minorHAnsi" w:cs="Arial"/>
        </w:rPr>
        <w:t>Function</w:t>
      </w:r>
      <w:proofErr w:type="spellEnd"/>
      <w:r w:rsidRPr="005B1F4B">
        <w:rPr>
          <w:rFonts w:asciiTheme="minorHAnsi" w:hAnsiTheme="minorHAnsi" w:cs="Arial"/>
        </w:rPr>
        <w:t xml:space="preserve"> – stačí, ak to bude vedúci zamestnanec?</w:t>
      </w:r>
    </w:p>
    <w:p w:rsidR="00A11280" w:rsidRPr="005B1F4B" w:rsidRDefault="00A11280" w:rsidP="00F53236">
      <w:pPr>
        <w:pStyle w:val="Odsekzoznamu"/>
        <w:tabs>
          <w:tab w:val="left" w:pos="851"/>
        </w:tabs>
        <w:ind w:left="0" w:hanging="284"/>
        <w:rPr>
          <w:rFonts w:asciiTheme="minorHAnsi" w:hAnsiTheme="minorHAnsi"/>
        </w:rPr>
      </w:pPr>
      <w:r w:rsidRPr="005B1F4B">
        <w:rPr>
          <w:rFonts w:asciiTheme="minorHAnsi" w:hAnsiTheme="minorHAnsi"/>
        </w:rPr>
        <w:t xml:space="preserve"> </w:t>
      </w:r>
    </w:p>
    <w:p w:rsidR="00AB59A0" w:rsidRPr="005B1F4B" w:rsidRDefault="00AB59A0" w:rsidP="00F53236">
      <w:pPr>
        <w:pStyle w:val="Odsekzoznamu"/>
        <w:numPr>
          <w:ilvl w:val="0"/>
          <w:numId w:val="6"/>
        </w:numPr>
        <w:ind w:left="0" w:hanging="284"/>
        <w:contextualSpacing/>
        <w:jc w:val="both"/>
        <w:rPr>
          <w:rFonts w:asciiTheme="minorHAnsi" w:hAnsiTheme="minorHAnsi" w:cs="Arial"/>
        </w:rPr>
      </w:pPr>
      <w:r w:rsidRPr="005B1F4B">
        <w:rPr>
          <w:rFonts w:asciiTheme="minorHAnsi" w:hAnsiTheme="minorHAnsi" w:cs="Arial"/>
        </w:rPr>
        <w:t>Čo sa myslí pod konfliktom záujmov v podmienkach poisťovne - bod 11 Usmernenia 2?</w:t>
      </w:r>
    </w:p>
    <w:p w:rsidR="00AB59A0" w:rsidRPr="005B1F4B" w:rsidRDefault="00AB59A0" w:rsidP="00F53236">
      <w:pPr>
        <w:pStyle w:val="Odsekzoznamu"/>
        <w:ind w:left="0" w:hanging="284"/>
        <w:rPr>
          <w:rFonts w:asciiTheme="minorHAnsi" w:hAnsiTheme="minorHAnsi"/>
        </w:rPr>
      </w:pPr>
    </w:p>
    <w:p w:rsidR="00A11280" w:rsidRPr="005B1F4B" w:rsidRDefault="00A11280" w:rsidP="00F53236">
      <w:pPr>
        <w:pStyle w:val="Odsekzoznamu"/>
        <w:numPr>
          <w:ilvl w:val="0"/>
          <w:numId w:val="6"/>
        </w:numPr>
        <w:ind w:left="0" w:hanging="284"/>
        <w:rPr>
          <w:rFonts w:asciiTheme="minorHAnsi" w:hAnsiTheme="minorHAnsi"/>
        </w:rPr>
      </w:pPr>
      <w:r w:rsidRPr="005B1F4B">
        <w:rPr>
          <w:rFonts w:asciiTheme="minorHAnsi" w:hAnsiTheme="minorHAnsi"/>
        </w:rPr>
        <w:t>sťažnosť je podľa odporúčania definovaná ako „vyjadrenie nespokojnosti, ktoré adresuje poisťovni osoba v súvislosti s poistnou zmluvou alebo službami poskytnutými tejto osobe. Vybavovanie sťažností treba odlišovať od vybavovania žiadosti o výplatu poistného plnenia, ako aj od jednoduchých žiadostí o poskytnutie informácii alebo vysvetlení v súvislosti s poistnou zmluvou.“ Môže poisťovňa vo svojom predpise upraviť bližšie špecifikovať vyjadrenie nespokojnosti tak, aby do osobitného režimu vybavovania sťažností neboli zaraďované podnety od klientov, ktoré vzhľadom na svoju povahu zjavne osobitný prístup nevyžadujú? (napr. klient sa sťažuje, že mu nebol doručený poštový peňažný poukaz na úhradu poistného na ďalšie poistné obdobie – pričom chyba nie je v poisťovni ale v poštovom styku). Máme za to, že do osobitného režimu vybavovania sťažností by mali byť zaradené iba tie „vyjadrenia nespokojnosti“, ktoré si to vzhľadom na svoju povahu vyžadujú. Nie je podľa nášho názoru zmyslom usmernenia, aby bol systém vybavovania sťažností zbytočne zahlcovaný podnetmi, ktoré si takú pozornosť nevyžadujú a zbytočne oslabujú jeho efektívne fungovanie.</w:t>
      </w:r>
    </w:p>
    <w:p w:rsidR="006839D2" w:rsidRPr="005B1F4B" w:rsidRDefault="006839D2" w:rsidP="00F53236">
      <w:pPr>
        <w:pStyle w:val="Odsekzoznamu"/>
        <w:ind w:left="0" w:hanging="284"/>
        <w:rPr>
          <w:rFonts w:asciiTheme="minorHAnsi" w:hAnsiTheme="minorHAnsi"/>
        </w:rPr>
      </w:pPr>
    </w:p>
    <w:p w:rsidR="00A11280" w:rsidRPr="005B1F4B" w:rsidRDefault="00A11280" w:rsidP="00F53236">
      <w:pPr>
        <w:pStyle w:val="Odsekzoznamu"/>
        <w:numPr>
          <w:ilvl w:val="0"/>
          <w:numId w:val="6"/>
        </w:numPr>
        <w:ind w:left="0" w:hanging="284"/>
        <w:rPr>
          <w:rFonts w:asciiTheme="minorHAnsi" w:hAnsiTheme="minorHAnsi"/>
        </w:rPr>
      </w:pPr>
      <w:r w:rsidRPr="005B1F4B">
        <w:rPr>
          <w:rFonts w:asciiTheme="minorHAnsi" w:hAnsiTheme="minorHAnsi"/>
        </w:rPr>
        <w:t xml:space="preserve">ako si treba vykladať usmernenie 3 k registrácii? Je účelom usmernenia zabezpečiť, aby boli sťažnosti registrované do evidencie bezodkladne po ich doručení poisťovni, alebo sa majú usmernením </w:t>
      </w:r>
      <w:r w:rsidRPr="005B1F4B">
        <w:rPr>
          <w:rFonts w:asciiTheme="minorHAnsi" w:hAnsiTheme="minorHAnsi"/>
        </w:rPr>
        <w:lastRenderedPageBreak/>
        <w:t>zabezpečiť aj ďalšie požiadavky na evidenciu? Čo sa má na mysli bezpečným elektronickým registrom?</w:t>
      </w:r>
    </w:p>
    <w:p w:rsidR="00FA27B4" w:rsidRPr="005B1F4B" w:rsidRDefault="00FA27B4" w:rsidP="00F53236">
      <w:pPr>
        <w:pStyle w:val="Odsekzoznamu"/>
        <w:ind w:left="0" w:hanging="284"/>
        <w:rPr>
          <w:rFonts w:asciiTheme="minorHAnsi" w:hAnsiTheme="minorHAnsi"/>
        </w:rPr>
      </w:pPr>
    </w:p>
    <w:p w:rsidR="00FA27B4" w:rsidRPr="005B1F4B" w:rsidRDefault="00FA27B4" w:rsidP="00F53236">
      <w:pPr>
        <w:pStyle w:val="Odsekzoznamu"/>
        <w:numPr>
          <w:ilvl w:val="0"/>
          <w:numId w:val="6"/>
        </w:numPr>
        <w:ind w:left="0" w:hanging="284"/>
        <w:contextualSpacing/>
        <w:jc w:val="both"/>
        <w:rPr>
          <w:rFonts w:asciiTheme="minorHAnsi" w:hAnsiTheme="minorHAnsi" w:cs="Arial"/>
        </w:rPr>
      </w:pPr>
      <w:r w:rsidRPr="005B1F4B">
        <w:rPr>
          <w:rFonts w:asciiTheme="minorHAnsi" w:hAnsiTheme="minorHAnsi" w:cs="Arial"/>
        </w:rPr>
        <w:t>V podmienkach SR čo v praxi znamená „ďalšie možnosti riešenia sťažnosti?“ O čom presne sme povinní informovať klienta? Napr. preskúmanie sťažnosti Národnou bankou Slovenska, podanie žaloby na príslušný súd?</w:t>
      </w:r>
    </w:p>
    <w:p w:rsidR="004A3222" w:rsidRPr="005B1F4B" w:rsidRDefault="004A3222" w:rsidP="00F53236">
      <w:pPr>
        <w:pStyle w:val="Odsekzoznamu"/>
        <w:ind w:left="0" w:hanging="284"/>
        <w:rPr>
          <w:rFonts w:asciiTheme="minorHAnsi" w:hAnsiTheme="minorHAnsi" w:cs="Arial"/>
        </w:rPr>
      </w:pPr>
    </w:p>
    <w:p w:rsidR="004A3222" w:rsidRPr="005B1F4B" w:rsidRDefault="004A3222" w:rsidP="00F53236">
      <w:pPr>
        <w:pStyle w:val="Odsekzoznamu"/>
        <w:numPr>
          <w:ilvl w:val="0"/>
          <w:numId w:val="6"/>
        </w:numPr>
        <w:ind w:left="0" w:hanging="284"/>
        <w:contextualSpacing/>
        <w:jc w:val="both"/>
        <w:rPr>
          <w:rFonts w:asciiTheme="minorHAnsi" w:hAnsiTheme="minorHAnsi" w:cs="Arial"/>
        </w:rPr>
      </w:pPr>
      <w:r w:rsidRPr="005B1F4B">
        <w:rPr>
          <w:rFonts w:asciiTheme="minorHAnsi" w:hAnsiTheme="minorHAnsi" w:cs="Arial"/>
        </w:rPr>
        <w:t xml:space="preserve">Usmernenie 6, bod 15, písm. a) – poisťovňa má na požiadanie </w:t>
      </w:r>
      <w:r w:rsidRPr="005B1F4B">
        <w:rPr>
          <w:rFonts w:asciiTheme="minorHAnsi" w:hAnsiTheme="minorHAnsi" w:cs="Arial"/>
          <w:b/>
        </w:rPr>
        <w:t>alebo</w:t>
      </w:r>
      <w:r w:rsidRPr="005B1F4B">
        <w:rPr>
          <w:rFonts w:asciiTheme="minorHAnsi" w:hAnsiTheme="minorHAnsi" w:cs="Arial"/>
        </w:rPr>
        <w:t xml:space="preserve"> po potvrdení doručenia sťažnosti písomne poskytnúť informácie o postupe pri vybavovaní sťažnosti. Je na rozhodnutí poisťovne, či bude uvedené informácie poskytovať iba na základe konkrétnej požiadavky klienta alebo každému sťažovateľovi automaticky po doručení jeho sťažnosti?</w:t>
      </w:r>
      <w:bookmarkStart w:id="0" w:name="_GoBack"/>
      <w:bookmarkEnd w:id="0"/>
    </w:p>
    <w:p w:rsidR="00582E60" w:rsidRPr="005B1F4B" w:rsidRDefault="00582E60" w:rsidP="00F53236">
      <w:pPr>
        <w:pStyle w:val="Odsekzoznamu"/>
        <w:ind w:left="0" w:hanging="284"/>
        <w:rPr>
          <w:rFonts w:asciiTheme="minorHAnsi" w:hAnsiTheme="minorHAnsi" w:cs="Arial"/>
        </w:rPr>
      </w:pPr>
    </w:p>
    <w:p w:rsidR="00582E60" w:rsidRPr="005B1F4B" w:rsidRDefault="00582E60" w:rsidP="00F53236">
      <w:pPr>
        <w:pStyle w:val="Odsekzoznamu"/>
        <w:numPr>
          <w:ilvl w:val="0"/>
          <w:numId w:val="6"/>
        </w:numPr>
        <w:ind w:left="0" w:hanging="284"/>
        <w:rPr>
          <w:rFonts w:asciiTheme="minorHAnsi" w:hAnsiTheme="minorHAnsi"/>
          <w:noProof/>
        </w:rPr>
      </w:pPr>
      <w:r w:rsidRPr="005B1F4B">
        <w:rPr>
          <w:rFonts w:asciiTheme="minorHAnsi" w:hAnsiTheme="minorHAnsi" w:cs="Arial"/>
          <w:b/>
          <w:bCs/>
          <w:noProof/>
        </w:rPr>
        <w:t xml:space="preserve">(upozornujem na nasledovne nepresnosti prekladu do SJ v Usmerneni NBS): </w:t>
      </w:r>
    </w:p>
    <w:p w:rsidR="00582E60" w:rsidRPr="005B1F4B" w:rsidRDefault="00582E60" w:rsidP="00F53236">
      <w:pPr>
        <w:pStyle w:val="Odsekzoznamu"/>
        <w:ind w:left="0"/>
        <w:rPr>
          <w:rFonts w:asciiTheme="minorHAnsi" w:hAnsiTheme="minorHAnsi" w:cs="Arial"/>
          <w:noProof/>
        </w:rPr>
      </w:pPr>
      <w:r w:rsidRPr="005B1F4B">
        <w:rPr>
          <w:rFonts w:asciiTheme="minorHAnsi" w:hAnsiTheme="minorHAnsi" w:cs="Arial"/>
          <w:noProof/>
        </w:rPr>
        <w:t>Str. 806 Usmernenie 6 – Poskytovanie informacii, Clanok 15. pism. c) ii) v zatvorke „(napr. kedy bude pisomne potvrdene dorucenie staznosti,....)“. V usmerneni EIOPA sa uvadza „when the complaint will be acknowledged..)“. Z uvedeneho nevyplyva poziadavka na pisomne potvrdenie dorucenia staznosti, ale sucastou popisu postupu pri vybavovani staznosti ma byt informacia, kedy poistovna nadobudla vedomost/ziskala informaciu o staznosti</w:t>
      </w:r>
    </w:p>
    <w:p w:rsidR="006839D2" w:rsidRPr="005B1F4B" w:rsidRDefault="006839D2" w:rsidP="00F53236">
      <w:pPr>
        <w:pStyle w:val="Odsekzoznamu"/>
        <w:ind w:left="0" w:hanging="284"/>
        <w:rPr>
          <w:rFonts w:asciiTheme="minorHAnsi" w:hAnsiTheme="minorHAnsi"/>
        </w:rPr>
      </w:pPr>
    </w:p>
    <w:p w:rsidR="00582E60" w:rsidRPr="005B1F4B" w:rsidRDefault="00582E60" w:rsidP="00F53236">
      <w:pPr>
        <w:pStyle w:val="Odsekzoznamu"/>
        <w:numPr>
          <w:ilvl w:val="0"/>
          <w:numId w:val="6"/>
        </w:numPr>
        <w:ind w:left="0" w:hanging="284"/>
        <w:rPr>
          <w:rFonts w:asciiTheme="minorHAnsi" w:hAnsiTheme="minorHAnsi"/>
          <w:noProof/>
        </w:rPr>
      </w:pPr>
      <w:r w:rsidRPr="005B1F4B">
        <w:rPr>
          <w:rFonts w:asciiTheme="minorHAnsi" w:hAnsiTheme="minorHAnsi" w:cs="Arial"/>
          <w:noProof/>
        </w:rPr>
        <w:t>Str. 806 Usmernenie 6 – Poskytovanie informacii, Clanok 15. pism. d) uvadza .... „informovali stazovatela o dalsich moznostiach riesenia staznostii“. Usmernenie EIOPA pozaduje „keep the complainant informed about further handling of the complaint“. Z uvedeneho Usmernenia EIOPA vyplyva povinnost informovat o dalsom vybavovani staznosti a nie o dalsich moznostiach riesenia staznosti, ako to uvadza odporucanie NBS.</w:t>
      </w:r>
    </w:p>
    <w:p w:rsidR="00582E60" w:rsidRPr="005B1F4B" w:rsidRDefault="00582E60" w:rsidP="00F53236">
      <w:pPr>
        <w:pStyle w:val="Obyajntext"/>
        <w:ind w:hanging="284"/>
        <w:rPr>
          <w:rFonts w:asciiTheme="minorHAnsi" w:hAnsiTheme="minorHAnsi"/>
          <w:sz w:val="22"/>
          <w:szCs w:val="22"/>
        </w:rPr>
      </w:pPr>
    </w:p>
    <w:p w:rsidR="004A6B38" w:rsidRPr="005B1F4B" w:rsidRDefault="004A3222" w:rsidP="00F53236">
      <w:pPr>
        <w:pStyle w:val="Obyajntext"/>
        <w:numPr>
          <w:ilvl w:val="0"/>
          <w:numId w:val="6"/>
        </w:numPr>
        <w:ind w:left="0" w:hanging="284"/>
        <w:rPr>
          <w:rFonts w:asciiTheme="minorHAnsi" w:hAnsiTheme="minorHAnsi"/>
          <w:sz w:val="22"/>
          <w:szCs w:val="22"/>
        </w:rPr>
      </w:pPr>
      <w:r w:rsidRPr="005B1F4B">
        <w:rPr>
          <w:rFonts w:asciiTheme="minorHAnsi" w:hAnsiTheme="minorHAnsi"/>
          <w:sz w:val="22"/>
          <w:szCs w:val="22"/>
        </w:rPr>
        <w:t>M</w:t>
      </w:r>
      <w:r w:rsidR="00A11280" w:rsidRPr="005B1F4B">
        <w:rPr>
          <w:rFonts w:asciiTheme="minorHAnsi" w:hAnsiTheme="minorHAnsi"/>
          <w:sz w:val="22"/>
          <w:szCs w:val="22"/>
        </w:rPr>
        <w:t xml:space="preserve">á NBS predstavu o tom, ako sa dá v podmienkach SR </w:t>
      </w:r>
      <w:r w:rsidR="006839D2" w:rsidRPr="005B1F4B">
        <w:rPr>
          <w:rFonts w:asciiTheme="minorHAnsi" w:hAnsiTheme="minorHAnsi"/>
          <w:sz w:val="22"/>
          <w:szCs w:val="22"/>
        </w:rPr>
        <w:t xml:space="preserve">vykonať </w:t>
      </w:r>
      <w:r w:rsidR="00A11280" w:rsidRPr="005B1F4B">
        <w:rPr>
          <w:rFonts w:asciiTheme="minorHAnsi" w:hAnsiTheme="minorHAnsi"/>
          <w:sz w:val="22"/>
          <w:szCs w:val="22"/>
        </w:rPr>
        <w:t xml:space="preserve">usmernenie č. 6 </w:t>
      </w:r>
      <w:r w:rsidR="00FB7B4C" w:rsidRPr="005B1F4B">
        <w:rPr>
          <w:rFonts w:asciiTheme="minorHAnsi" w:hAnsiTheme="minorHAnsi"/>
          <w:sz w:val="22"/>
          <w:szCs w:val="22"/>
        </w:rPr>
        <w:t xml:space="preserve">  </w:t>
      </w:r>
      <w:r w:rsidR="00A11280" w:rsidRPr="005B1F4B">
        <w:rPr>
          <w:rFonts w:asciiTheme="minorHAnsi" w:hAnsiTheme="minorHAnsi"/>
          <w:sz w:val="22"/>
          <w:szCs w:val="22"/>
        </w:rPr>
        <w:t xml:space="preserve">a usmernenie č. 7 ohľadom alternatívneho riešenia sporov a ohľadom ďalších možností riešenia sťažnosti? </w:t>
      </w:r>
      <w:r w:rsidR="006E1D31" w:rsidRPr="005B1F4B">
        <w:rPr>
          <w:rFonts w:asciiTheme="minorHAnsi" w:hAnsiTheme="minorHAnsi"/>
          <w:sz w:val="22"/>
          <w:szCs w:val="22"/>
        </w:rPr>
        <w:t xml:space="preserve">V podmienkach Slovenskej republiky reálne neexistujú mechanizmy alternatívneho riešenia sporu. O čom ma poisťovňa informovať takéhoto sťažovateľa? Má ho informovať aj o tom, že sa svojho nároku môže domáhať na všeobecnom súde? </w:t>
      </w:r>
      <w:r w:rsidR="00A11280" w:rsidRPr="005B1F4B">
        <w:rPr>
          <w:rFonts w:asciiTheme="minorHAnsi" w:hAnsiTheme="minorHAnsi"/>
          <w:sz w:val="22"/>
          <w:szCs w:val="22"/>
        </w:rPr>
        <w:t xml:space="preserve">Považuje NBS </w:t>
      </w:r>
      <w:proofErr w:type="spellStart"/>
      <w:r w:rsidR="00A11280" w:rsidRPr="005B1F4B">
        <w:rPr>
          <w:rFonts w:asciiTheme="minorHAnsi" w:hAnsiTheme="minorHAnsi"/>
          <w:sz w:val="22"/>
          <w:szCs w:val="22"/>
        </w:rPr>
        <w:t>mediáciu</w:t>
      </w:r>
      <w:proofErr w:type="spellEnd"/>
      <w:r w:rsidR="00A11280" w:rsidRPr="005B1F4B">
        <w:rPr>
          <w:rFonts w:asciiTheme="minorHAnsi" w:hAnsiTheme="minorHAnsi"/>
          <w:sz w:val="22"/>
          <w:szCs w:val="22"/>
        </w:rPr>
        <w:t xml:space="preserve"> (kde </w:t>
      </w:r>
      <w:proofErr w:type="spellStart"/>
      <w:r w:rsidR="00A11280" w:rsidRPr="005B1F4B">
        <w:rPr>
          <w:rFonts w:asciiTheme="minorHAnsi" w:hAnsiTheme="minorHAnsi"/>
          <w:sz w:val="22"/>
          <w:szCs w:val="22"/>
        </w:rPr>
        <w:t>mediátor</w:t>
      </w:r>
      <w:proofErr w:type="spellEnd"/>
      <w:r w:rsidR="00A11280" w:rsidRPr="005B1F4B">
        <w:rPr>
          <w:rFonts w:asciiTheme="minorHAnsi" w:hAnsiTheme="minorHAnsi"/>
          <w:sz w:val="22"/>
          <w:szCs w:val="22"/>
        </w:rPr>
        <w:t xml:space="preserve"> nedáva žiadne rozhodnutie, iba sa snaží zblížiť rozdielne názory strán) alebo rozhodcovské konanie (kde dochádza  meritórnemu rozhodnutiu o predmete sporu) za alternatívne riešenie sporov?</w:t>
      </w:r>
      <w:r w:rsidR="00D115B2" w:rsidRPr="005B1F4B">
        <w:rPr>
          <w:rFonts w:asciiTheme="minorHAnsi" w:hAnsiTheme="minorHAnsi"/>
          <w:sz w:val="22"/>
          <w:szCs w:val="22"/>
        </w:rPr>
        <w:t xml:space="preserve"> </w:t>
      </w:r>
    </w:p>
    <w:p w:rsidR="00AB59A0" w:rsidRPr="005B1F4B" w:rsidRDefault="00A05438" w:rsidP="00F53236">
      <w:pPr>
        <w:pStyle w:val="Odsekzoznamu"/>
        <w:numPr>
          <w:ilvl w:val="2"/>
          <w:numId w:val="6"/>
        </w:numPr>
        <w:tabs>
          <w:tab w:val="left" w:pos="851"/>
        </w:tabs>
        <w:ind w:left="0" w:hanging="284"/>
        <w:rPr>
          <w:rFonts w:asciiTheme="minorHAnsi" w:hAnsiTheme="minorHAnsi"/>
        </w:rPr>
      </w:pPr>
      <w:r w:rsidRPr="005B1F4B">
        <w:rPr>
          <w:rFonts w:asciiTheme="minorHAnsi" w:hAnsiTheme="minorHAnsi" w:cs="Arial"/>
        </w:rPr>
        <w:t>upozorňujeme však na ustanovenie Usmernenia 7, bod 16 d), podľa ktorého v prípade prijatia konečného rozhodnutia, ktoré</w:t>
      </w:r>
      <w:r w:rsidR="004A6B38" w:rsidRPr="005B1F4B">
        <w:rPr>
          <w:rFonts w:asciiTheme="minorHAnsi" w:hAnsiTheme="minorHAnsi" w:cs="Arial"/>
        </w:rPr>
        <w:t xml:space="preserve"> plne neuspokojuje požiadavku sť</w:t>
      </w:r>
      <w:r w:rsidRPr="005B1F4B">
        <w:rPr>
          <w:rFonts w:asciiTheme="minorHAnsi" w:hAnsiTheme="minorHAnsi" w:cs="Arial"/>
        </w:rPr>
        <w:t xml:space="preserve">ažovateľa má byť zabezpečené informovanie sťažovateľa o ďalších možnostiach riešenia sťažnosti, napr. </w:t>
      </w:r>
      <w:proofErr w:type="spellStart"/>
      <w:r w:rsidRPr="005B1F4B">
        <w:rPr>
          <w:rFonts w:asciiTheme="minorHAnsi" w:hAnsiTheme="minorHAnsi" w:cs="Arial"/>
        </w:rPr>
        <w:t>o.i</w:t>
      </w:r>
      <w:proofErr w:type="spellEnd"/>
      <w:r w:rsidRPr="005B1F4B">
        <w:rPr>
          <w:rFonts w:asciiTheme="minorHAnsi" w:hAnsiTheme="minorHAnsi" w:cs="Arial"/>
        </w:rPr>
        <w:t>. aj o príslušných vnútroštátn</w:t>
      </w:r>
      <w:r w:rsidR="004A6B38" w:rsidRPr="005B1F4B">
        <w:rPr>
          <w:rFonts w:asciiTheme="minorHAnsi" w:hAnsiTheme="minorHAnsi" w:cs="Arial"/>
        </w:rPr>
        <w:t>y</w:t>
      </w:r>
      <w:r w:rsidRPr="005B1F4B">
        <w:rPr>
          <w:rFonts w:asciiTheme="minorHAnsi" w:hAnsiTheme="minorHAnsi" w:cs="Arial"/>
        </w:rPr>
        <w:t xml:space="preserve">ch orgánoch, ktoré sa vecou môžu zaoberať. Z praxe je známe, že v podmienkach </w:t>
      </w:r>
      <w:proofErr w:type="spellStart"/>
      <w:r w:rsidRPr="005B1F4B">
        <w:rPr>
          <w:rFonts w:asciiTheme="minorHAnsi" w:hAnsiTheme="minorHAnsi" w:cs="Arial"/>
        </w:rPr>
        <w:t>Allianz</w:t>
      </w:r>
      <w:proofErr w:type="spellEnd"/>
      <w:r w:rsidRPr="005B1F4B">
        <w:rPr>
          <w:rFonts w:asciiTheme="minorHAnsi" w:hAnsiTheme="minorHAnsi" w:cs="Arial"/>
        </w:rPr>
        <w:t xml:space="preserve"> - Slovenskej poisťovne, a.</w:t>
      </w:r>
      <w:r w:rsidR="004A6B38" w:rsidRPr="005B1F4B">
        <w:rPr>
          <w:rFonts w:asciiTheme="minorHAnsi" w:hAnsiTheme="minorHAnsi" w:cs="Arial"/>
        </w:rPr>
        <w:t xml:space="preserve"> s. evidujeme ročne cez 9.000 sť</w:t>
      </w:r>
      <w:r w:rsidRPr="005B1F4B">
        <w:rPr>
          <w:rFonts w:asciiTheme="minorHAnsi" w:hAnsiTheme="minorHAnsi" w:cs="Arial"/>
        </w:rPr>
        <w:t xml:space="preserve">ažností, z čoho asi v 80% klientom nevyhovieme. Každého klienta tak bude potrebné informovať, že sa môže obrátiť na NBS (keďže nemáme ombudsmana pre poisťovníctvo, možnosť alternatívneho riešenia sporov a pod.). Vzhľadom k uvedenému </w:t>
      </w:r>
      <w:proofErr w:type="spellStart"/>
      <w:r w:rsidRPr="005B1F4B">
        <w:rPr>
          <w:rFonts w:asciiTheme="minorHAnsi" w:hAnsiTheme="minorHAnsi" w:cs="Arial"/>
        </w:rPr>
        <w:t>Allianz</w:t>
      </w:r>
      <w:proofErr w:type="spellEnd"/>
      <w:r w:rsidRPr="005B1F4B">
        <w:rPr>
          <w:rFonts w:asciiTheme="minorHAnsi" w:hAnsiTheme="minorHAnsi" w:cs="Arial"/>
        </w:rPr>
        <w:t xml:space="preserve"> očakáva, že NBS priprav</w:t>
      </w:r>
      <w:r w:rsidR="004A6B38" w:rsidRPr="005B1F4B">
        <w:rPr>
          <w:rFonts w:asciiTheme="minorHAnsi" w:hAnsiTheme="minorHAnsi" w:cs="Arial"/>
        </w:rPr>
        <w:t>í</w:t>
      </w:r>
      <w:r w:rsidRPr="005B1F4B">
        <w:rPr>
          <w:rFonts w:asciiTheme="minorHAnsi" w:hAnsiTheme="minorHAnsi" w:cs="Arial"/>
        </w:rPr>
        <w:t xml:space="preserve"> vzorové vyhlásenie, ktoré bude regulovaná entita povinná pripájať do odpovede na sťažnosť, ktorej nebolo vyhovené. Text by mohol znieť:</w:t>
      </w:r>
      <w:r w:rsidRPr="005B1F4B">
        <w:rPr>
          <w:rFonts w:asciiTheme="minorHAnsi" w:hAnsiTheme="minorHAnsi"/>
        </w:rPr>
        <w:t xml:space="preserve"> </w:t>
      </w:r>
      <w:r w:rsidRPr="005B1F4B">
        <w:rPr>
          <w:rFonts w:asciiTheme="minorHAnsi" w:hAnsiTheme="minorHAnsi"/>
        </w:rPr>
        <w:br/>
      </w:r>
      <w:r w:rsidRPr="005B1F4B">
        <w:rPr>
          <w:rFonts w:asciiTheme="minorHAnsi" w:hAnsiTheme="minorHAnsi"/>
        </w:rPr>
        <w:br/>
      </w:r>
      <w:r w:rsidRPr="005B1F4B">
        <w:rPr>
          <w:rFonts w:asciiTheme="minorHAnsi" w:hAnsiTheme="minorHAnsi" w:cs="Arial"/>
        </w:rPr>
        <w:t>"... týmto v súlade s usmernením NBS č. ........ oznamuje sťažovateľovi, že sa v prípade nespokojnosti s vybavením jeho sťažnosti môže obrátiť na orgán dohľadu nad poisťovníctvom, ktorým je NBS, alebo sa môže so svojím návrhom obrátiť na príslušný súd."</w:t>
      </w:r>
      <w:r w:rsidRPr="005B1F4B">
        <w:rPr>
          <w:rFonts w:asciiTheme="minorHAnsi" w:hAnsiTheme="minorHAnsi"/>
        </w:rPr>
        <w:t xml:space="preserve"> </w:t>
      </w:r>
      <w:r w:rsidRPr="005B1F4B">
        <w:rPr>
          <w:rFonts w:asciiTheme="minorHAnsi" w:hAnsiTheme="minorHAnsi"/>
        </w:rPr>
        <w:br/>
      </w:r>
      <w:r w:rsidRPr="005B1F4B">
        <w:rPr>
          <w:rFonts w:asciiTheme="minorHAnsi" w:hAnsiTheme="minorHAnsi" w:cs="Arial"/>
        </w:rPr>
        <w:t> </w:t>
      </w:r>
      <w:r w:rsidRPr="005B1F4B">
        <w:rPr>
          <w:rFonts w:asciiTheme="minorHAnsi" w:hAnsiTheme="minorHAnsi" w:cs="Arial"/>
        </w:rPr>
        <w:br/>
        <w:t>- v ustanovení Usmernenia 7, bod</w:t>
      </w:r>
      <w:r w:rsidR="004A6B38" w:rsidRPr="005B1F4B">
        <w:rPr>
          <w:rFonts w:asciiTheme="minorHAnsi" w:hAnsiTheme="minorHAnsi" w:cs="Arial"/>
        </w:rPr>
        <w:t xml:space="preserve"> 16 d) sa tiež uvádza nutnosť pí</w:t>
      </w:r>
      <w:r w:rsidRPr="005B1F4B">
        <w:rPr>
          <w:rFonts w:asciiTheme="minorHAnsi" w:hAnsiTheme="minorHAnsi" w:cs="Arial"/>
        </w:rPr>
        <w:t>somného oznámenia rozhodnutia, ak to vyžadujú vnútroštátne predpisy. Z praxe vieme, a je to osvedčené, že p</w:t>
      </w:r>
      <w:r w:rsidR="004A6B38" w:rsidRPr="005B1F4B">
        <w:rPr>
          <w:rFonts w:asciiTheme="minorHAnsi" w:hAnsiTheme="minorHAnsi" w:cs="Arial"/>
        </w:rPr>
        <w:t>í</w:t>
      </w:r>
      <w:r w:rsidRPr="005B1F4B">
        <w:rPr>
          <w:rFonts w:asciiTheme="minorHAnsi" w:hAnsiTheme="minorHAnsi" w:cs="Arial"/>
        </w:rPr>
        <w:t xml:space="preserve">somné oznamovanie nie je vždy potrebné, zvlášť ak niektorí klienti chcú byt informovaní len telefonicky a potvrdenie emailom alebo listom nevyžadujú. Navrhujeme preto, aby bola zakotvená alternatívna možnosť informovania klienta a písomná forma oznamovania nebola povinná. </w:t>
      </w:r>
    </w:p>
    <w:p w:rsidR="00AB59A0" w:rsidRPr="005B1F4B" w:rsidRDefault="00AB59A0" w:rsidP="00F53236">
      <w:pPr>
        <w:pStyle w:val="Odsekzoznamu"/>
        <w:tabs>
          <w:tab w:val="left" w:pos="851"/>
        </w:tabs>
        <w:ind w:left="0" w:hanging="284"/>
        <w:rPr>
          <w:rFonts w:asciiTheme="minorHAnsi" w:hAnsiTheme="minorHAnsi"/>
        </w:rPr>
      </w:pPr>
    </w:p>
    <w:p w:rsidR="00E44687" w:rsidRPr="005B1F4B" w:rsidRDefault="00AB59A0" w:rsidP="00F53236">
      <w:pPr>
        <w:pStyle w:val="Odsekzoznamu"/>
        <w:numPr>
          <w:ilvl w:val="0"/>
          <w:numId w:val="6"/>
        </w:numPr>
        <w:tabs>
          <w:tab w:val="left" w:pos="851"/>
        </w:tabs>
        <w:ind w:left="0" w:hanging="284"/>
        <w:rPr>
          <w:rFonts w:asciiTheme="minorHAnsi" w:hAnsiTheme="minorHAnsi"/>
        </w:rPr>
      </w:pPr>
      <w:r w:rsidRPr="005B1F4B">
        <w:rPr>
          <w:rFonts w:asciiTheme="minorHAnsi" w:hAnsiTheme="minorHAnsi" w:cs="Arial"/>
        </w:rPr>
        <w:lastRenderedPageBreak/>
        <w:t>Usmernenie ani náš právny poriadok nerieši tzv. opakovanú sťažnosť a ďalšiu opakovanú sťažnosť – aký je názor NBS na to, aby si poisťovňa tieto inštitúty upravila vo svojom internom predpise, resp. poistných podmienkach a nezaoberala sa opakovanou sťažnosťou, ak neobsahuje žiadne nové skutočnosti?</w:t>
      </w:r>
    </w:p>
    <w:p w:rsidR="00E44687" w:rsidRPr="005B1F4B" w:rsidRDefault="00E44687" w:rsidP="00F53236">
      <w:pPr>
        <w:pStyle w:val="Odsekzoznamu"/>
        <w:tabs>
          <w:tab w:val="left" w:pos="851"/>
        </w:tabs>
        <w:ind w:left="0" w:hanging="284"/>
        <w:rPr>
          <w:rFonts w:asciiTheme="minorHAnsi" w:hAnsiTheme="minorHAnsi"/>
        </w:rPr>
      </w:pPr>
    </w:p>
    <w:p w:rsidR="00E44687" w:rsidRPr="005B1F4B" w:rsidRDefault="00E44687" w:rsidP="00F53236">
      <w:pPr>
        <w:pStyle w:val="Odsekzoznamu"/>
        <w:numPr>
          <w:ilvl w:val="0"/>
          <w:numId w:val="6"/>
        </w:numPr>
        <w:ind w:left="0" w:hanging="284"/>
        <w:contextualSpacing/>
        <w:jc w:val="both"/>
        <w:rPr>
          <w:rFonts w:asciiTheme="minorHAnsi" w:hAnsiTheme="minorHAnsi" w:cs="Arial"/>
        </w:rPr>
      </w:pPr>
      <w:r w:rsidRPr="005B1F4B">
        <w:rPr>
          <w:rFonts w:asciiTheme="minorHAnsi" w:hAnsiTheme="minorHAnsi" w:cs="Arial"/>
        </w:rPr>
        <w:t>Čo sa myslí pod „</w:t>
      </w:r>
      <w:proofErr w:type="spellStart"/>
      <w:r w:rsidRPr="005B1F4B">
        <w:rPr>
          <w:rFonts w:asciiTheme="minorHAnsi" w:hAnsiTheme="minorHAnsi" w:cs="Arial"/>
        </w:rPr>
        <w:t>adequate</w:t>
      </w:r>
      <w:proofErr w:type="spellEnd"/>
      <w:r w:rsidRPr="005B1F4B">
        <w:rPr>
          <w:rFonts w:asciiTheme="minorHAnsi" w:hAnsiTheme="minorHAnsi" w:cs="Arial"/>
        </w:rPr>
        <w:t xml:space="preserve"> </w:t>
      </w:r>
      <w:proofErr w:type="spellStart"/>
      <w:r w:rsidRPr="005B1F4B">
        <w:rPr>
          <w:rFonts w:asciiTheme="minorHAnsi" w:hAnsiTheme="minorHAnsi" w:cs="Arial"/>
        </w:rPr>
        <w:t>training</w:t>
      </w:r>
      <w:proofErr w:type="spellEnd"/>
      <w:r w:rsidRPr="005B1F4B">
        <w:rPr>
          <w:rFonts w:asciiTheme="minorHAnsi" w:hAnsiTheme="minorHAnsi" w:cs="Arial"/>
        </w:rPr>
        <w:t xml:space="preserve"> </w:t>
      </w:r>
      <w:proofErr w:type="spellStart"/>
      <w:r w:rsidRPr="005B1F4B">
        <w:rPr>
          <w:rFonts w:asciiTheme="minorHAnsi" w:hAnsiTheme="minorHAnsi" w:cs="Arial"/>
        </w:rPr>
        <w:t>of</w:t>
      </w:r>
      <w:proofErr w:type="spellEnd"/>
      <w:r w:rsidRPr="005B1F4B">
        <w:rPr>
          <w:rFonts w:asciiTheme="minorHAnsi" w:hAnsiTheme="minorHAnsi" w:cs="Arial"/>
        </w:rPr>
        <w:t xml:space="preserve"> </w:t>
      </w:r>
      <w:proofErr w:type="spellStart"/>
      <w:r w:rsidRPr="005B1F4B">
        <w:rPr>
          <w:rFonts w:asciiTheme="minorHAnsi" w:hAnsiTheme="minorHAnsi" w:cs="Arial"/>
        </w:rPr>
        <w:t>staff</w:t>
      </w:r>
      <w:proofErr w:type="spellEnd"/>
      <w:r w:rsidRPr="005B1F4B">
        <w:rPr>
          <w:rFonts w:asciiTheme="minorHAnsi" w:hAnsiTheme="minorHAnsi" w:cs="Arial"/>
        </w:rPr>
        <w:t xml:space="preserve"> </w:t>
      </w:r>
      <w:proofErr w:type="spellStart"/>
      <w:r w:rsidRPr="005B1F4B">
        <w:rPr>
          <w:rFonts w:asciiTheme="minorHAnsi" w:hAnsiTheme="minorHAnsi" w:cs="Arial"/>
        </w:rPr>
        <w:t>participating</w:t>
      </w:r>
      <w:proofErr w:type="spellEnd"/>
      <w:r w:rsidRPr="005B1F4B">
        <w:rPr>
          <w:rFonts w:asciiTheme="minorHAnsi" w:hAnsiTheme="minorHAnsi" w:cs="Arial"/>
        </w:rPr>
        <w:t xml:space="preserve"> in </w:t>
      </w:r>
      <w:proofErr w:type="spellStart"/>
      <w:r w:rsidRPr="005B1F4B">
        <w:rPr>
          <w:rFonts w:asciiTheme="minorHAnsi" w:hAnsiTheme="minorHAnsi" w:cs="Arial"/>
        </w:rPr>
        <w:t>complaints</w:t>
      </w:r>
      <w:proofErr w:type="spellEnd"/>
      <w:r w:rsidRPr="005B1F4B">
        <w:rPr>
          <w:rFonts w:asciiTheme="minorHAnsi" w:hAnsiTheme="minorHAnsi" w:cs="Arial"/>
        </w:rPr>
        <w:t xml:space="preserve"> </w:t>
      </w:r>
      <w:proofErr w:type="spellStart"/>
      <w:r w:rsidRPr="005B1F4B">
        <w:rPr>
          <w:rFonts w:asciiTheme="minorHAnsi" w:hAnsiTheme="minorHAnsi" w:cs="Arial"/>
        </w:rPr>
        <w:t>handling</w:t>
      </w:r>
      <w:proofErr w:type="spellEnd"/>
      <w:r w:rsidRPr="005B1F4B">
        <w:rPr>
          <w:rFonts w:asciiTheme="minorHAnsi" w:hAnsiTheme="minorHAnsi" w:cs="Arial"/>
        </w:rPr>
        <w:t>“ (uvedené v </w:t>
      </w:r>
      <w:proofErr w:type="spellStart"/>
      <w:r w:rsidRPr="005B1F4B">
        <w:rPr>
          <w:rFonts w:asciiTheme="minorHAnsi" w:hAnsiTheme="minorHAnsi" w:cs="Arial"/>
        </w:rPr>
        <w:t>Best</w:t>
      </w:r>
      <w:proofErr w:type="spellEnd"/>
      <w:r w:rsidRPr="005B1F4B">
        <w:rPr>
          <w:rFonts w:asciiTheme="minorHAnsi" w:hAnsiTheme="minorHAnsi" w:cs="Arial"/>
        </w:rPr>
        <w:t xml:space="preserve"> </w:t>
      </w:r>
      <w:proofErr w:type="spellStart"/>
      <w:r w:rsidRPr="005B1F4B">
        <w:rPr>
          <w:rFonts w:asciiTheme="minorHAnsi" w:hAnsiTheme="minorHAnsi" w:cs="Arial"/>
        </w:rPr>
        <w:t>Practices</w:t>
      </w:r>
      <w:proofErr w:type="spellEnd"/>
      <w:r w:rsidRPr="005B1F4B">
        <w:rPr>
          <w:rFonts w:asciiTheme="minorHAnsi" w:hAnsiTheme="minorHAnsi" w:cs="Arial"/>
        </w:rPr>
        <w:t>)? Je iba na posúdení poisťovne, čo je primeraným vzdelávaním zamestnancov podieľajúcich sa na riešení sťažností?</w:t>
      </w:r>
    </w:p>
    <w:p w:rsidR="00E44687" w:rsidRPr="005B1F4B" w:rsidRDefault="00E44687" w:rsidP="00F53236">
      <w:pPr>
        <w:pStyle w:val="Odsekzoznamu"/>
        <w:ind w:left="0" w:hanging="284"/>
        <w:rPr>
          <w:rFonts w:asciiTheme="minorHAnsi" w:hAnsiTheme="minorHAnsi" w:cs="Arial"/>
        </w:rPr>
      </w:pPr>
    </w:p>
    <w:p w:rsidR="001579DB" w:rsidRPr="005B1F4B" w:rsidRDefault="001579DB" w:rsidP="00F53236">
      <w:pPr>
        <w:pStyle w:val="Odsekzoznamu"/>
        <w:numPr>
          <w:ilvl w:val="0"/>
          <w:numId w:val="6"/>
        </w:numPr>
        <w:ind w:left="0" w:hanging="284"/>
        <w:rPr>
          <w:rFonts w:asciiTheme="minorHAnsi" w:hAnsiTheme="minorHAnsi"/>
          <w:noProof/>
        </w:rPr>
      </w:pPr>
      <w:r w:rsidRPr="005B1F4B">
        <w:rPr>
          <w:rFonts w:asciiTheme="minorHAnsi" w:hAnsiTheme="minorHAnsi" w:cs="Arial"/>
          <w:b/>
          <w:bCs/>
          <w:noProof/>
        </w:rPr>
        <w:t>Vseobecna pripomienka:</w:t>
      </w:r>
    </w:p>
    <w:p w:rsidR="001579DB" w:rsidRPr="005B1F4B" w:rsidRDefault="001579DB" w:rsidP="00F53236">
      <w:pPr>
        <w:pStyle w:val="Odsekzoznamu"/>
        <w:ind w:left="0"/>
        <w:rPr>
          <w:rFonts w:asciiTheme="minorHAnsi" w:hAnsiTheme="minorHAnsi"/>
          <w:noProof/>
        </w:rPr>
      </w:pPr>
      <w:r w:rsidRPr="005B1F4B">
        <w:rPr>
          <w:rFonts w:asciiTheme="minorHAnsi" w:hAnsiTheme="minorHAnsi" w:cs="Arial"/>
          <w:noProof/>
        </w:rPr>
        <w:t xml:space="preserve">NBS vydala dna 17.12.2012 Odporucanie c. 5/2012, ktorym bolo prebrate resp. prelozene Usmernenie k vybavovaniu staznosti poistovnami (EIOPA-BoS-12/069 SK). Samotne Usmernenie EIOPA vsak uvadza, ze usmernenia sa vztahuju na prislusne organy zodpovedne za dohlad nad vybavovanim staznosti poistovnami. Dalej prislusne organy musia vynalozit vsetko usilie na dodrzanie tychto usmerneni, pokial ide o predpisy poistovni upravujuce vybavovanie prijatych staznosti, V tejto suvislosti sa predpoklada, ze prislusne organy na narodnej urovni zabezpecia plnenie povinnosti poistovnami, tak ako su uvedene v usmerneni. Uvedene predpoklada, ze organ dohladu nalezite implementuje uvedene usmernenia EIOPA. NBS zatial vydala len odporucanie k vybavovaniu staznosti poistovni, ktore vsak predpoklada prijatie dalsich krokov zo strany prislusnych organov (pravdepodobne NBS). V tejto suvislosti mame dotaz, aku dalsie kroky planuje NBS v suvislosti s implementaciou usmernenia k vybavovaniu staznosti, tak aby poistovne mali jasne pravidla k vybavovaniu staznosti. Naviac sa v odporucani NBS na viacerych miestach odkazuje na dostupnost prislusneho organu, ombudsama a mechanizmu ADR, ktore vsak v nasich podmienkach chybaju. Vseobecne teda absentuje vykonatelnost odporucania NBS, kedze je skor adresovane na prislusne organy, aby zabezpecili plnenie povinnosti poistovnami pri vybavovani staznosti. Poistovne by tak mali mat jasne pravidla na vybavovanie staznosti (napr. cez otvorenie zakona o poistovnictve § 37 ods. 16 a 17 a doplnenie moznosti NBS vydat opatrenie, ktore ustanovi dalsie podrobnosti vybavovania staznosti pripadne len cez vydanie odporucania NBS, ktore upravi pravidla pre vybavovanie staznosti - tu je vsak otazna vynutitelnost takeho odporucania).  </w:t>
      </w:r>
    </w:p>
    <w:p w:rsidR="001579DB" w:rsidRPr="005B1F4B" w:rsidRDefault="001579DB" w:rsidP="00F53236">
      <w:pPr>
        <w:pStyle w:val="Odsekzoznamu"/>
        <w:ind w:left="0" w:hanging="284"/>
        <w:rPr>
          <w:rFonts w:asciiTheme="minorHAnsi" w:hAnsiTheme="minorHAnsi"/>
          <w:noProof/>
        </w:rPr>
      </w:pPr>
      <w:r w:rsidRPr="005B1F4B">
        <w:rPr>
          <w:rFonts w:asciiTheme="minorHAnsi" w:hAnsiTheme="minorHAnsi" w:cs="Arial"/>
          <w:noProof/>
        </w:rPr>
        <w:t> </w:t>
      </w:r>
    </w:p>
    <w:p w:rsidR="001579DB" w:rsidRPr="005B1F4B" w:rsidRDefault="001579DB" w:rsidP="00F53236">
      <w:pPr>
        <w:pStyle w:val="Odsekzoznamu"/>
        <w:ind w:left="0" w:hanging="284"/>
        <w:rPr>
          <w:rFonts w:asciiTheme="minorHAnsi" w:hAnsiTheme="minorHAnsi"/>
          <w:noProof/>
        </w:rPr>
      </w:pPr>
    </w:p>
    <w:p w:rsidR="00A11280" w:rsidRPr="005B1F4B" w:rsidRDefault="00A11280" w:rsidP="00F53236">
      <w:pPr>
        <w:spacing w:after="0" w:line="240" w:lineRule="auto"/>
        <w:ind w:hanging="284"/>
      </w:pPr>
    </w:p>
    <w:p w:rsidR="00D1096F" w:rsidRPr="005B1F4B" w:rsidRDefault="00D1096F" w:rsidP="00F53236">
      <w:pPr>
        <w:pStyle w:val="Odsekzoznamu"/>
        <w:numPr>
          <w:ilvl w:val="0"/>
          <w:numId w:val="7"/>
        </w:numPr>
        <w:ind w:left="0" w:hanging="284"/>
        <w:rPr>
          <w:rFonts w:asciiTheme="minorHAnsi" w:hAnsiTheme="minorHAnsi" w:cs="Arial"/>
          <w:lang w:val="cs-CZ"/>
        </w:rPr>
      </w:pPr>
      <w:r w:rsidRPr="005B1F4B">
        <w:rPr>
          <w:rFonts w:asciiTheme="minorHAnsi" w:hAnsiTheme="minorHAnsi" w:cs="Arial"/>
          <w:lang w:val="cs-CZ"/>
        </w:rPr>
        <w:t>Jak moc jsou přechodná opatření „</w:t>
      </w:r>
      <w:proofErr w:type="spellStart"/>
      <w:r w:rsidRPr="005B1F4B">
        <w:rPr>
          <w:rFonts w:asciiTheme="minorHAnsi" w:hAnsiTheme="minorHAnsi" w:cs="Arial"/>
          <w:lang w:val="cs-CZ"/>
        </w:rPr>
        <w:t>voluntary</w:t>
      </w:r>
      <w:proofErr w:type="spellEnd"/>
      <w:r w:rsidRPr="005B1F4B">
        <w:rPr>
          <w:rFonts w:asciiTheme="minorHAnsi" w:hAnsiTheme="minorHAnsi" w:cs="Arial"/>
          <w:lang w:val="cs-CZ"/>
        </w:rPr>
        <w:t xml:space="preserve">“? Jak se NBS staví k požadavkům na přechodná opatření EIOPA, potažmo k požadavkům ECB? </w:t>
      </w:r>
    </w:p>
    <w:p w:rsidR="00D1096F" w:rsidRPr="005B1F4B" w:rsidRDefault="00D1096F" w:rsidP="00F53236">
      <w:pPr>
        <w:pStyle w:val="Odsekzoznamu"/>
        <w:numPr>
          <w:ilvl w:val="0"/>
          <w:numId w:val="7"/>
        </w:numPr>
        <w:ind w:left="0" w:hanging="284"/>
        <w:rPr>
          <w:rFonts w:asciiTheme="minorHAnsi" w:hAnsiTheme="minorHAnsi" w:cs="Arial"/>
          <w:lang w:val="cs-CZ"/>
        </w:rPr>
      </w:pPr>
      <w:r w:rsidRPr="005B1F4B">
        <w:rPr>
          <w:rFonts w:asciiTheme="minorHAnsi" w:hAnsiTheme="minorHAnsi" w:cs="Arial"/>
          <w:lang w:val="cs-CZ"/>
        </w:rPr>
        <w:t xml:space="preserve">EIOPA v konzultačních materiálech pro přechodná opatření zveřejnila jen část reportů z původních </w:t>
      </w:r>
      <w:proofErr w:type="spellStart"/>
      <w:r w:rsidRPr="005B1F4B">
        <w:rPr>
          <w:rFonts w:asciiTheme="minorHAnsi" w:hAnsiTheme="minorHAnsi" w:cs="Arial"/>
          <w:lang w:val="cs-CZ"/>
        </w:rPr>
        <w:t>QRTs</w:t>
      </w:r>
      <w:proofErr w:type="spellEnd"/>
      <w:r w:rsidRPr="005B1F4B">
        <w:rPr>
          <w:rFonts w:asciiTheme="minorHAnsi" w:hAnsiTheme="minorHAnsi" w:cs="Arial"/>
          <w:lang w:val="cs-CZ"/>
        </w:rPr>
        <w:t xml:space="preserve"> zveřejněných ve </w:t>
      </w:r>
      <w:proofErr w:type="spellStart"/>
      <w:r w:rsidRPr="005B1F4B">
        <w:rPr>
          <w:rFonts w:asciiTheme="minorHAnsi" w:hAnsiTheme="minorHAnsi" w:cs="Arial"/>
          <w:lang w:val="cs-CZ"/>
        </w:rPr>
        <w:t>Final</w:t>
      </w:r>
      <w:proofErr w:type="spellEnd"/>
      <w:r w:rsidRPr="005B1F4B">
        <w:rPr>
          <w:rFonts w:asciiTheme="minorHAnsi" w:hAnsiTheme="minorHAnsi" w:cs="Arial"/>
          <w:lang w:val="cs-CZ"/>
        </w:rPr>
        <w:t xml:space="preserve"> Reportu. Kdy pojistný trh může očekávat konečné verze zbývajících </w:t>
      </w:r>
      <w:proofErr w:type="spellStart"/>
      <w:r w:rsidRPr="005B1F4B">
        <w:rPr>
          <w:rFonts w:asciiTheme="minorHAnsi" w:hAnsiTheme="minorHAnsi" w:cs="Arial"/>
          <w:lang w:val="cs-CZ"/>
        </w:rPr>
        <w:t>QRTs</w:t>
      </w:r>
      <w:proofErr w:type="spellEnd"/>
      <w:r w:rsidRPr="005B1F4B">
        <w:rPr>
          <w:rFonts w:asciiTheme="minorHAnsi" w:hAnsiTheme="minorHAnsi" w:cs="Arial"/>
          <w:lang w:val="cs-CZ"/>
        </w:rPr>
        <w:t xml:space="preserve">, tak aby se mohly pojišťovny připravit i na ostatní </w:t>
      </w:r>
      <w:proofErr w:type="spellStart"/>
      <w:r w:rsidRPr="005B1F4B">
        <w:rPr>
          <w:rFonts w:asciiTheme="minorHAnsi" w:hAnsiTheme="minorHAnsi" w:cs="Arial"/>
          <w:lang w:val="cs-CZ"/>
        </w:rPr>
        <w:t>QRTs</w:t>
      </w:r>
      <w:proofErr w:type="spellEnd"/>
      <w:r w:rsidRPr="005B1F4B">
        <w:rPr>
          <w:rFonts w:asciiTheme="minorHAnsi" w:hAnsiTheme="minorHAnsi" w:cs="Arial"/>
          <w:lang w:val="cs-CZ"/>
        </w:rPr>
        <w:t xml:space="preserve">? Jakým způsobem naváže </w:t>
      </w:r>
      <w:proofErr w:type="spellStart"/>
      <w:r w:rsidRPr="005B1F4B">
        <w:rPr>
          <w:rFonts w:asciiTheme="minorHAnsi" w:hAnsiTheme="minorHAnsi" w:cs="Arial"/>
          <w:lang w:val="cs-CZ"/>
        </w:rPr>
        <w:t>Solvency</w:t>
      </w:r>
      <w:proofErr w:type="spellEnd"/>
      <w:r w:rsidRPr="005B1F4B">
        <w:rPr>
          <w:rFonts w:asciiTheme="minorHAnsi" w:hAnsiTheme="minorHAnsi" w:cs="Arial"/>
          <w:lang w:val="cs-CZ"/>
        </w:rPr>
        <w:t xml:space="preserve"> II režim na přechodná </w:t>
      </w:r>
      <w:proofErr w:type="gramStart"/>
      <w:r w:rsidRPr="005B1F4B">
        <w:rPr>
          <w:rFonts w:asciiTheme="minorHAnsi" w:hAnsiTheme="minorHAnsi" w:cs="Arial"/>
          <w:lang w:val="cs-CZ"/>
        </w:rPr>
        <w:t>opatření z ohledem</w:t>
      </w:r>
      <w:proofErr w:type="gramEnd"/>
      <w:r w:rsidRPr="005B1F4B">
        <w:rPr>
          <w:rFonts w:asciiTheme="minorHAnsi" w:hAnsiTheme="minorHAnsi" w:cs="Arial"/>
          <w:lang w:val="cs-CZ"/>
        </w:rPr>
        <w:t xml:space="preserve"> na reporting?</w:t>
      </w:r>
    </w:p>
    <w:p w:rsidR="00D1096F" w:rsidRPr="005B1F4B" w:rsidRDefault="00D1096F" w:rsidP="00F53236">
      <w:pPr>
        <w:pStyle w:val="Odsekzoznamu"/>
        <w:numPr>
          <w:ilvl w:val="0"/>
          <w:numId w:val="7"/>
        </w:numPr>
        <w:ind w:left="0" w:hanging="284"/>
        <w:rPr>
          <w:rFonts w:asciiTheme="minorHAnsi" w:hAnsiTheme="minorHAnsi" w:cs="Arial"/>
          <w:lang w:val="cs-CZ"/>
        </w:rPr>
      </w:pPr>
      <w:r w:rsidRPr="005B1F4B">
        <w:rPr>
          <w:rFonts w:asciiTheme="minorHAnsi" w:hAnsiTheme="minorHAnsi" w:cs="Arial"/>
          <w:lang w:val="cs-CZ"/>
        </w:rPr>
        <w:t xml:space="preserve">Jaký bude postoj NBS ke </w:t>
      </w:r>
      <w:proofErr w:type="spellStart"/>
      <w:r w:rsidRPr="005B1F4B">
        <w:rPr>
          <w:rFonts w:asciiTheme="minorHAnsi" w:hAnsiTheme="minorHAnsi" w:cs="Arial"/>
          <w:lang w:val="cs-CZ"/>
        </w:rPr>
        <w:t>guidelines</w:t>
      </w:r>
      <w:proofErr w:type="spellEnd"/>
      <w:r w:rsidRPr="005B1F4B">
        <w:rPr>
          <w:rFonts w:asciiTheme="minorHAnsi" w:hAnsiTheme="minorHAnsi" w:cs="Arial"/>
          <w:lang w:val="cs-CZ"/>
        </w:rPr>
        <w:t>? Bude je dodržovat? Bude to požadovat po celém trhu nebo pouze po zmíněných 80% trhu? Jakou technologii přenosu informací NBS navrhuje – stávající nebo XBRL? Kdy zhruba oznámí NBS svůj postoj pojistnému trhu?</w:t>
      </w:r>
    </w:p>
    <w:p w:rsidR="00D1096F" w:rsidRPr="005B1F4B" w:rsidRDefault="00D1096F" w:rsidP="00F53236">
      <w:pPr>
        <w:pStyle w:val="Odsekzoznamu"/>
        <w:numPr>
          <w:ilvl w:val="0"/>
          <w:numId w:val="7"/>
        </w:numPr>
        <w:ind w:left="0" w:hanging="284"/>
        <w:rPr>
          <w:rFonts w:asciiTheme="minorHAnsi" w:hAnsiTheme="minorHAnsi" w:cs="Arial"/>
          <w:lang w:val="cs-CZ"/>
        </w:rPr>
      </w:pPr>
      <w:r w:rsidRPr="005B1F4B">
        <w:rPr>
          <w:rFonts w:asciiTheme="minorHAnsi" w:hAnsiTheme="minorHAnsi" w:cs="Arial"/>
          <w:lang w:val="cs-CZ"/>
        </w:rPr>
        <w:t xml:space="preserve">Schvalování informací – bude NBS požadovat formální schválení informací </w:t>
      </w:r>
      <w:proofErr w:type="spellStart"/>
      <w:r w:rsidRPr="005B1F4B">
        <w:rPr>
          <w:rFonts w:asciiTheme="minorHAnsi" w:hAnsiTheme="minorHAnsi" w:cs="Arial"/>
          <w:lang w:val="cs-CZ"/>
        </w:rPr>
        <w:t>boardem</w:t>
      </w:r>
      <w:proofErr w:type="spellEnd"/>
      <w:r w:rsidRPr="005B1F4B">
        <w:rPr>
          <w:rFonts w:asciiTheme="minorHAnsi" w:hAnsiTheme="minorHAnsi" w:cs="Arial"/>
          <w:lang w:val="cs-CZ"/>
        </w:rPr>
        <w:t>, tak jak je ve směrnici?</w:t>
      </w:r>
    </w:p>
    <w:p w:rsidR="00D1096F" w:rsidRPr="005B1F4B" w:rsidRDefault="00D1096F" w:rsidP="00F53236">
      <w:pPr>
        <w:pStyle w:val="Odsekzoznamu"/>
        <w:numPr>
          <w:ilvl w:val="0"/>
          <w:numId w:val="7"/>
        </w:numPr>
        <w:ind w:left="0" w:hanging="284"/>
        <w:rPr>
          <w:rFonts w:asciiTheme="minorHAnsi" w:hAnsiTheme="minorHAnsi" w:cs="Arial"/>
          <w:lang w:val="cs-CZ"/>
        </w:rPr>
      </w:pPr>
      <w:r w:rsidRPr="005B1F4B">
        <w:rPr>
          <w:rFonts w:asciiTheme="minorHAnsi" w:hAnsiTheme="minorHAnsi" w:cs="Arial"/>
          <w:lang w:val="cs-CZ"/>
        </w:rPr>
        <w:t xml:space="preserve">Co se týče Pilíře 1, EIOPA předpokládá, že dané předpisy budou veřejně známé v době, kdy pojišťovny budou posílat první výkazy dohledu. Podle jakých instrukcí se má počítat SCR, technické rezervy atd., které se mají zveřejňovat v rámci Pilíře III přechodných </w:t>
      </w:r>
      <w:proofErr w:type="gramStart"/>
      <w:r w:rsidRPr="005B1F4B">
        <w:rPr>
          <w:rFonts w:asciiTheme="minorHAnsi" w:hAnsiTheme="minorHAnsi" w:cs="Arial"/>
          <w:lang w:val="cs-CZ"/>
        </w:rPr>
        <w:t>opatřeních</w:t>
      </w:r>
      <w:proofErr w:type="gramEnd"/>
      <w:r w:rsidRPr="005B1F4B">
        <w:rPr>
          <w:rFonts w:asciiTheme="minorHAnsi" w:hAnsiTheme="minorHAnsi" w:cs="Arial"/>
          <w:lang w:val="cs-CZ"/>
        </w:rPr>
        <w:t xml:space="preserve">? </w:t>
      </w:r>
    </w:p>
    <w:p w:rsidR="00D1096F" w:rsidRPr="005B1F4B" w:rsidRDefault="00D1096F" w:rsidP="00F53236">
      <w:pPr>
        <w:spacing w:after="0" w:line="240" w:lineRule="auto"/>
        <w:ind w:hanging="284"/>
      </w:pPr>
    </w:p>
    <w:sectPr w:rsidR="00D1096F" w:rsidRPr="005B1F4B" w:rsidSect="009425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57CF7"/>
    <w:multiLevelType w:val="hybridMultilevel"/>
    <w:tmpl w:val="57AAA6CE"/>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DFBAA75A">
      <w:numFmt w:val="bullet"/>
      <w:lvlText w:val="-"/>
      <w:lvlJc w:val="left"/>
      <w:pPr>
        <w:ind w:left="2340" w:hanging="360"/>
      </w:pPr>
      <w:rPr>
        <w:rFonts w:ascii="Calibri" w:eastAsiaTheme="minorHAnsi" w:hAnsi="Calibri"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8662FEF"/>
    <w:multiLevelType w:val="hybridMultilevel"/>
    <w:tmpl w:val="47A28E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6072287"/>
    <w:multiLevelType w:val="hybridMultilevel"/>
    <w:tmpl w:val="FB8E2B82"/>
    <w:lvl w:ilvl="0" w:tplc="24B0DA6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0401C88"/>
    <w:multiLevelType w:val="hybridMultilevel"/>
    <w:tmpl w:val="9922537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4773493B"/>
    <w:multiLevelType w:val="hybridMultilevel"/>
    <w:tmpl w:val="B7F82AB4"/>
    <w:lvl w:ilvl="0" w:tplc="001EFD58">
      <w:numFmt w:val="bullet"/>
      <w:lvlText w:val="-"/>
      <w:lvlJc w:val="left"/>
      <w:pPr>
        <w:ind w:left="1080" w:hanging="360"/>
      </w:pPr>
      <w:rPr>
        <w:rFonts w:ascii="Calibri" w:eastAsiaTheme="minorHAnsi" w:hAnsi="Calibri"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58033EDB"/>
    <w:multiLevelType w:val="hybridMultilevel"/>
    <w:tmpl w:val="A2D67026"/>
    <w:lvl w:ilvl="0" w:tplc="0405000F">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65A81973"/>
    <w:multiLevelType w:val="hybridMultilevel"/>
    <w:tmpl w:val="0AA82A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hyphenationZone w:val="425"/>
  <w:characterSpacingControl w:val="doNotCompress"/>
  <w:compat/>
  <w:rsids>
    <w:rsidRoot w:val="00997065"/>
    <w:rsid w:val="00095A50"/>
    <w:rsid w:val="001579DB"/>
    <w:rsid w:val="001837FA"/>
    <w:rsid w:val="00242AF0"/>
    <w:rsid w:val="002D57B7"/>
    <w:rsid w:val="00333313"/>
    <w:rsid w:val="00424147"/>
    <w:rsid w:val="004A3222"/>
    <w:rsid w:val="004A6B38"/>
    <w:rsid w:val="005719E7"/>
    <w:rsid w:val="00582E60"/>
    <w:rsid w:val="00586EF4"/>
    <w:rsid w:val="00587C93"/>
    <w:rsid w:val="005B1F4B"/>
    <w:rsid w:val="005C63FA"/>
    <w:rsid w:val="006839D2"/>
    <w:rsid w:val="006E1D31"/>
    <w:rsid w:val="007A155E"/>
    <w:rsid w:val="00827E2A"/>
    <w:rsid w:val="0085085A"/>
    <w:rsid w:val="00881EC6"/>
    <w:rsid w:val="008E6EF9"/>
    <w:rsid w:val="009425F9"/>
    <w:rsid w:val="00997065"/>
    <w:rsid w:val="00A05438"/>
    <w:rsid w:val="00A11280"/>
    <w:rsid w:val="00A12022"/>
    <w:rsid w:val="00A23C97"/>
    <w:rsid w:val="00A36B07"/>
    <w:rsid w:val="00AA0245"/>
    <w:rsid w:val="00AB59A0"/>
    <w:rsid w:val="00BA340B"/>
    <w:rsid w:val="00BB7785"/>
    <w:rsid w:val="00C11027"/>
    <w:rsid w:val="00C30E34"/>
    <w:rsid w:val="00D1096F"/>
    <w:rsid w:val="00D115B2"/>
    <w:rsid w:val="00DC1AE8"/>
    <w:rsid w:val="00DF3CA0"/>
    <w:rsid w:val="00E24483"/>
    <w:rsid w:val="00E44687"/>
    <w:rsid w:val="00E90C54"/>
    <w:rsid w:val="00F53236"/>
    <w:rsid w:val="00FA27B4"/>
    <w:rsid w:val="00FB7B4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25F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link w:val="ObyajntextChar"/>
    <w:uiPriority w:val="99"/>
    <w:unhideWhenUsed/>
    <w:rsid w:val="00997065"/>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997065"/>
    <w:rPr>
      <w:rFonts w:ascii="Consolas" w:hAnsi="Consolas"/>
      <w:sz w:val="21"/>
      <w:szCs w:val="21"/>
    </w:rPr>
  </w:style>
  <w:style w:type="paragraph" w:styleId="Odsekzoznamu">
    <w:name w:val="List Paragraph"/>
    <w:basedOn w:val="Normlny"/>
    <w:uiPriority w:val="34"/>
    <w:qFormat/>
    <w:rsid w:val="00A11280"/>
    <w:pPr>
      <w:spacing w:after="0" w:line="240" w:lineRule="auto"/>
      <w:ind w:left="720"/>
    </w:pPr>
    <w:rPr>
      <w:rFonts w:ascii="Calibri"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931008272">
      <w:bodyDiv w:val="1"/>
      <w:marLeft w:val="0"/>
      <w:marRight w:val="0"/>
      <w:marTop w:val="0"/>
      <w:marBottom w:val="0"/>
      <w:divBdr>
        <w:top w:val="none" w:sz="0" w:space="0" w:color="auto"/>
        <w:left w:val="none" w:sz="0" w:space="0" w:color="auto"/>
        <w:bottom w:val="none" w:sz="0" w:space="0" w:color="auto"/>
        <w:right w:val="none" w:sz="0" w:space="0" w:color="auto"/>
      </w:divBdr>
    </w:div>
    <w:div w:id="1329097558">
      <w:bodyDiv w:val="1"/>
      <w:marLeft w:val="0"/>
      <w:marRight w:val="0"/>
      <w:marTop w:val="0"/>
      <w:marBottom w:val="0"/>
      <w:divBdr>
        <w:top w:val="none" w:sz="0" w:space="0" w:color="auto"/>
        <w:left w:val="none" w:sz="0" w:space="0" w:color="auto"/>
        <w:bottom w:val="none" w:sz="0" w:space="0" w:color="auto"/>
        <w:right w:val="none" w:sz="0" w:space="0" w:color="auto"/>
      </w:divBdr>
    </w:div>
    <w:div w:id="1506556324">
      <w:bodyDiv w:val="1"/>
      <w:marLeft w:val="0"/>
      <w:marRight w:val="0"/>
      <w:marTop w:val="0"/>
      <w:marBottom w:val="0"/>
      <w:divBdr>
        <w:top w:val="none" w:sz="0" w:space="0" w:color="auto"/>
        <w:left w:val="none" w:sz="0" w:space="0" w:color="auto"/>
        <w:bottom w:val="none" w:sz="0" w:space="0" w:color="auto"/>
        <w:right w:val="none" w:sz="0" w:space="0" w:color="auto"/>
      </w:divBdr>
    </w:div>
    <w:div w:id="204278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3</Pages>
  <Words>1566</Words>
  <Characters>8929</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28</cp:revision>
  <dcterms:created xsi:type="dcterms:W3CDTF">2013-03-27T09:36:00Z</dcterms:created>
  <dcterms:modified xsi:type="dcterms:W3CDTF">2013-05-17T13:08:00Z</dcterms:modified>
</cp:coreProperties>
</file>