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35D" w:rsidRPr="00332324" w:rsidRDefault="001F735D" w:rsidP="001F735D">
      <w:pPr>
        <w:pStyle w:val="Nzov"/>
        <w:tabs>
          <w:tab w:val="left" w:pos="2552"/>
        </w:tabs>
        <w:spacing w:line="276" w:lineRule="auto"/>
        <w:ind w:right="1"/>
        <w:rPr>
          <w:rFonts w:asciiTheme="minorHAnsi" w:hAnsiTheme="minorHAnsi"/>
          <w:sz w:val="22"/>
          <w:szCs w:val="22"/>
          <w:lang w:val="sk-SK"/>
        </w:rPr>
      </w:pPr>
      <w:r w:rsidRPr="00332324">
        <w:rPr>
          <w:rFonts w:asciiTheme="minorHAnsi" w:hAnsiTheme="minorHAnsi"/>
          <w:sz w:val="22"/>
          <w:szCs w:val="22"/>
          <w:lang w:val="sk-SK"/>
        </w:rPr>
        <w:t>Zápisnica z rokovania legislatívnej sekcie</w:t>
      </w:r>
    </w:p>
    <w:p w:rsidR="001F735D" w:rsidRPr="00332324" w:rsidRDefault="001F735D" w:rsidP="001F735D">
      <w:pPr>
        <w:pStyle w:val="Nzov"/>
        <w:tabs>
          <w:tab w:val="left" w:pos="2552"/>
        </w:tabs>
        <w:spacing w:line="276" w:lineRule="auto"/>
        <w:ind w:right="1"/>
        <w:jc w:val="both"/>
        <w:rPr>
          <w:rFonts w:asciiTheme="minorHAnsi" w:hAnsiTheme="minorHAnsi"/>
          <w:sz w:val="22"/>
          <w:szCs w:val="22"/>
          <w:lang w:val="sk-SK"/>
        </w:rPr>
      </w:pPr>
    </w:p>
    <w:p w:rsidR="001F735D" w:rsidRPr="00332324" w:rsidRDefault="001F735D" w:rsidP="001F735D">
      <w:pPr>
        <w:pStyle w:val="Nzov"/>
        <w:tabs>
          <w:tab w:val="left" w:pos="2552"/>
        </w:tabs>
        <w:spacing w:line="276" w:lineRule="auto"/>
        <w:ind w:right="1"/>
        <w:jc w:val="both"/>
        <w:rPr>
          <w:rFonts w:asciiTheme="minorHAnsi" w:hAnsiTheme="minorHAnsi"/>
          <w:b w:val="0"/>
          <w:sz w:val="22"/>
          <w:szCs w:val="22"/>
          <w:lang w:val="sk-SK"/>
        </w:rPr>
      </w:pPr>
      <w:r w:rsidRPr="00332324">
        <w:rPr>
          <w:rFonts w:asciiTheme="minorHAnsi" w:hAnsiTheme="minorHAnsi"/>
          <w:b w:val="0"/>
          <w:sz w:val="22"/>
          <w:szCs w:val="22"/>
          <w:lang w:val="sk-SK"/>
        </w:rPr>
        <w:t xml:space="preserve">Rokovanie – dátum, miesto:           </w:t>
      </w:r>
      <w:r>
        <w:rPr>
          <w:rFonts w:asciiTheme="minorHAnsi" w:hAnsiTheme="minorHAnsi"/>
          <w:b w:val="0"/>
          <w:sz w:val="22"/>
          <w:szCs w:val="22"/>
          <w:lang w:val="sk-SK"/>
        </w:rPr>
        <w:t>20.3.2012</w:t>
      </w:r>
      <w:r w:rsidRPr="00332324">
        <w:rPr>
          <w:rFonts w:asciiTheme="minorHAnsi" w:hAnsiTheme="minorHAnsi"/>
          <w:b w:val="0"/>
          <w:sz w:val="22"/>
          <w:szCs w:val="22"/>
          <w:lang w:val="sk-SK"/>
        </w:rPr>
        <w:t>, 9.30 h, zasadačka SLASPO</w:t>
      </w:r>
    </w:p>
    <w:p w:rsidR="001F735D" w:rsidRPr="00332324" w:rsidRDefault="001F735D" w:rsidP="001F735D">
      <w:pPr>
        <w:pStyle w:val="Nzov"/>
        <w:tabs>
          <w:tab w:val="left" w:pos="2552"/>
        </w:tabs>
        <w:spacing w:line="276" w:lineRule="auto"/>
        <w:ind w:right="1"/>
        <w:jc w:val="both"/>
        <w:rPr>
          <w:rFonts w:asciiTheme="minorHAnsi" w:hAnsiTheme="minorHAnsi"/>
          <w:b w:val="0"/>
          <w:sz w:val="22"/>
          <w:szCs w:val="22"/>
          <w:lang w:val="sk-SK"/>
        </w:rPr>
      </w:pPr>
    </w:p>
    <w:p w:rsidR="001F735D" w:rsidRPr="00332324" w:rsidRDefault="001F735D" w:rsidP="001F735D">
      <w:pPr>
        <w:pStyle w:val="Nzov"/>
        <w:tabs>
          <w:tab w:val="left" w:pos="2552"/>
        </w:tabs>
        <w:spacing w:line="276" w:lineRule="auto"/>
        <w:ind w:right="1"/>
        <w:jc w:val="both"/>
        <w:rPr>
          <w:rFonts w:asciiTheme="minorHAnsi" w:hAnsiTheme="minorHAnsi"/>
          <w:b w:val="0"/>
          <w:sz w:val="22"/>
          <w:szCs w:val="22"/>
          <w:lang w:val="sk-SK"/>
        </w:rPr>
      </w:pPr>
      <w:r w:rsidRPr="00332324">
        <w:rPr>
          <w:rFonts w:asciiTheme="minorHAnsi" w:hAnsiTheme="minorHAnsi"/>
          <w:b w:val="0"/>
          <w:sz w:val="22"/>
          <w:szCs w:val="22"/>
          <w:lang w:val="sk-SK"/>
        </w:rPr>
        <w:t xml:space="preserve">Rokovanie viedol:                               JUDr. Jozefína Žáková, generálna riaditeľka (GR) SLASPO, </w:t>
      </w:r>
    </w:p>
    <w:p w:rsidR="001F735D" w:rsidRPr="00332324" w:rsidRDefault="001F735D" w:rsidP="001F735D">
      <w:pPr>
        <w:pStyle w:val="Nzov"/>
        <w:tabs>
          <w:tab w:val="left" w:pos="2552"/>
        </w:tabs>
        <w:spacing w:line="276" w:lineRule="auto"/>
        <w:ind w:right="1"/>
        <w:jc w:val="both"/>
        <w:rPr>
          <w:rFonts w:asciiTheme="minorHAnsi" w:hAnsiTheme="minorHAnsi"/>
          <w:b w:val="0"/>
          <w:sz w:val="22"/>
          <w:szCs w:val="22"/>
          <w:lang w:val="sk-SK"/>
        </w:rPr>
      </w:pPr>
      <w:r w:rsidRPr="00332324">
        <w:rPr>
          <w:rFonts w:asciiTheme="minorHAnsi" w:hAnsiTheme="minorHAnsi"/>
          <w:b w:val="0"/>
          <w:sz w:val="22"/>
          <w:szCs w:val="22"/>
          <w:lang w:val="sk-SK"/>
        </w:rPr>
        <w:t xml:space="preserve">                                                       </w:t>
      </w:r>
      <w:r>
        <w:rPr>
          <w:rFonts w:asciiTheme="minorHAnsi" w:hAnsiTheme="minorHAnsi"/>
          <w:b w:val="0"/>
          <w:sz w:val="22"/>
          <w:szCs w:val="22"/>
          <w:lang w:val="sk-SK"/>
        </w:rPr>
        <w:t xml:space="preserve">     </w:t>
      </w:r>
      <w:r w:rsidRPr="00332324">
        <w:rPr>
          <w:rFonts w:asciiTheme="minorHAnsi" w:hAnsiTheme="minorHAnsi"/>
          <w:b w:val="0"/>
          <w:sz w:val="22"/>
          <w:szCs w:val="22"/>
          <w:lang w:val="sk-SK"/>
        </w:rPr>
        <w:t xml:space="preserve">   Mgr. Martin Petruľák, predseda sekcie</w:t>
      </w:r>
      <w:r w:rsidR="00A80EC9">
        <w:rPr>
          <w:rFonts w:asciiTheme="minorHAnsi" w:hAnsiTheme="minorHAnsi"/>
          <w:b w:val="0"/>
          <w:sz w:val="22"/>
          <w:szCs w:val="22"/>
          <w:lang w:val="sk-SK"/>
        </w:rPr>
        <w:t xml:space="preserve"> (PS)</w:t>
      </w:r>
    </w:p>
    <w:p w:rsidR="001F735D" w:rsidRPr="00A963F9" w:rsidRDefault="001F735D" w:rsidP="001F735D">
      <w:pPr>
        <w:pStyle w:val="Nzov"/>
        <w:tabs>
          <w:tab w:val="left" w:pos="2552"/>
        </w:tabs>
        <w:spacing w:line="276" w:lineRule="auto"/>
        <w:ind w:right="1"/>
        <w:jc w:val="both"/>
        <w:rPr>
          <w:rFonts w:asciiTheme="minorHAnsi" w:hAnsiTheme="minorHAnsi"/>
          <w:b w:val="0"/>
          <w:sz w:val="22"/>
          <w:szCs w:val="22"/>
          <w:lang w:val="sk-SK"/>
        </w:rPr>
      </w:pPr>
    </w:p>
    <w:p w:rsidR="00A963F9" w:rsidRPr="00332324" w:rsidRDefault="001F735D" w:rsidP="00A963F9">
      <w:pPr>
        <w:pStyle w:val="Nzov"/>
        <w:tabs>
          <w:tab w:val="left" w:pos="2552"/>
        </w:tabs>
        <w:spacing w:line="276" w:lineRule="auto"/>
        <w:ind w:right="1"/>
        <w:jc w:val="both"/>
        <w:rPr>
          <w:rFonts w:asciiTheme="minorHAnsi" w:hAnsiTheme="minorHAnsi"/>
          <w:b w:val="0"/>
          <w:sz w:val="22"/>
          <w:szCs w:val="22"/>
          <w:lang w:val="sk-SK"/>
        </w:rPr>
      </w:pPr>
      <w:proofErr w:type="spellStart"/>
      <w:r w:rsidRPr="00A963F9">
        <w:rPr>
          <w:rFonts w:asciiTheme="minorHAnsi" w:hAnsiTheme="minorHAnsi"/>
          <w:b w:val="0"/>
          <w:sz w:val="22"/>
          <w:szCs w:val="22"/>
        </w:rPr>
        <w:t>Prítomní</w:t>
      </w:r>
      <w:proofErr w:type="spellEnd"/>
      <w:r w:rsidRPr="00A963F9">
        <w:rPr>
          <w:rFonts w:asciiTheme="minorHAnsi" w:hAnsiTheme="minorHAnsi"/>
          <w:b w:val="0"/>
          <w:sz w:val="22"/>
          <w:szCs w:val="22"/>
        </w:rPr>
        <w:t>:</w:t>
      </w:r>
      <w:r w:rsidRPr="00332324">
        <w:t xml:space="preserve">                                  </w:t>
      </w:r>
      <w:r w:rsidR="00A963F9" w:rsidRPr="00332324">
        <w:rPr>
          <w:rFonts w:asciiTheme="minorHAnsi" w:hAnsiTheme="minorHAnsi"/>
          <w:b w:val="0"/>
          <w:sz w:val="22"/>
          <w:szCs w:val="22"/>
          <w:lang w:val="sk-SK"/>
        </w:rPr>
        <w:t>členovia legislatívnej sekcie podľa prezenčnej listiny</w:t>
      </w:r>
    </w:p>
    <w:p w:rsidR="00434758" w:rsidRDefault="00A963F9" w:rsidP="00A963F9">
      <w:pPr>
        <w:spacing w:after="60" w:line="240" w:lineRule="auto"/>
        <w:ind w:left="2832"/>
      </w:pPr>
      <w:r>
        <w:t xml:space="preserve">      Ing. Mgr. </w:t>
      </w:r>
      <w:r w:rsidR="00434758">
        <w:t xml:space="preserve">Z. </w:t>
      </w:r>
      <w:r w:rsidR="00434758" w:rsidRPr="00193023">
        <w:t>Krátka</w:t>
      </w:r>
      <w:r>
        <w:t>, PhD.</w:t>
      </w:r>
      <w:r w:rsidR="00434758">
        <w:t xml:space="preserve"> (tajomníčka PP pre SII)</w:t>
      </w:r>
    </w:p>
    <w:p w:rsidR="001F735D" w:rsidRPr="00332324" w:rsidRDefault="001F735D" w:rsidP="001F735D">
      <w:pPr>
        <w:pStyle w:val="Nzov"/>
        <w:tabs>
          <w:tab w:val="left" w:pos="2552"/>
        </w:tabs>
        <w:spacing w:line="276" w:lineRule="auto"/>
        <w:ind w:right="1"/>
        <w:jc w:val="both"/>
        <w:rPr>
          <w:rFonts w:asciiTheme="minorHAnsi" w:hAnsiTheme="minorHAnsi"/>
          <w:b w:val="0"/>
          <w:sz w:val="22"/>
          <w:szCs w:val="22"/>
          <w:lang w:val="sk-SK"/>
        </w:rPr>
      </w:pPr>
      <w:r w:rsidRPr="00332324">
        <w:rPr>
          <w:rFonts w:asciiTheme="minorHAnsi" w:hAnsiTheme="minorHAnsi"/>
          <w:b w:val="0"/>
          <w:sz w:val="22"/>
          <w:szCs w:val="22"/>
          <w:lang w:val="sk-SK"/>
        </w:rPr>
        <w:t xml:space="preserve">  </w:t>
      </w:r>
    </w:p>
    <w:p w:rsidR="001F735D" w:rsidRPr="00332324" w:rsidRDefault="001F735D" w:rsidP="001F735D">
      <w:pPr>
        <w:pStyle w:val="Hlavika"/>
        <w:tabs>
          <w:tab w:val="clear" w:pos="9072"/>
          <w:tab w:val="right" w:pos="9569"/>
        </w:tabs>
        <w:spacing w:line="276" w:lineRule="auto"/>
        <w:ind w:left="11" w:right="357"/>
        <w:jc w:val="both"/>
        <w:rPr>
          <w:rFonts w:asciiTheme="minorHAnsi" w:hAnsiTheme="minorHAnsi"/>
          <w:sz w:val="22"/>
          <w:szCs w:val="22"/>
          <w:lang w:val="sk-SK"/>
        </w:rPr>
      </w:pPr>
      <w:r w:rsidRPr="00332324">
        <w:rPr>
          <w:rFonts w:asciiTheme="minorHAnsi" w:hAnsiTheme="minorHAnsi"/>
          <w:sz w:val="22"/>
          <w:szCs w:val="22"/>
          <w:lang w:val="sk-SK"/>
        </w:rPr>
        <w:t>Program rokovania:</w:t>
      </w:r>
    </w:p>
    <w:p w:rsidR="001F735D" w:rsidRPr="00332324" w:rsidRDefault="001F735D" w:rsidP="001F735D">
      <w:pPr>
        <w:pStyle w:val="Hlavika"/>
        <w:tabs>
          <w:tab w:val="clear" w:pos="9072"/>
          <w:tab w:val="right" w:pos="9569"/>
        </w:tabs>
        <w:spacing w:line="276" w:lineRule="auto"/>
        <w:ind w:left="11" w:right="357"/>
        <w:jc w:val="both"/>
        <w:rPr>
          <w:rFonts w:asciiTheme="minorHAnsi" w:hAnsiTheme="minorHAnsi"/>
          <w:sz w:val="22"/>
          <w:szCs w:val="22"/>
          <w:lang w:val="sk-SK"/>
        </w:rPr>
      </w:pPr>
    </w:p>
    <w:p w:rsidR="001F735D" w:rsidRDefault="002F040B" w:rsidP="001F735D">
      <w:pPr>
        <w:pStyle w:val="Odsekzoznamu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Pripomienky k návrhu </w:t>
      </w:r>
      <w:r w:rsidR="001F735D" w:rsidRPr="00332324">
        <w:rPr>
          <w:rFonts w:asciiTheme="minorHAnsi" w:hAnsiTheme="minorHAnsi"/>
          <w:color w:val="000000" w:themeColor="text1"/>
        </w:rPr>
        <w:t>zákon</w:t>
      </w:r>
      <w:r>
        <w:rPr>
          <w:rFonts w:asciiTheme="minorHAnsi" w:hAnsiTheme="minorHAnsi"/>
          <w:color w:val="000000" w:themeColor="text1"/>
        </w:rPr>
        <w:t>a</w:t>
      </w:r>
      <w:r w:rsidR="001F735D" w:rsidRPr="00332324">
        <w:rPr>
          <w:rFonts w:asciiTheme="minorHAnsi" w:hAnsiTheme="minorHAnsi"/>
          <w:color w:val="000000" w:themeColor="text1"/>
        </w:rPr>
        <w:t xml:space="preserve"> o</w:t>
      </w:r>
      <w:r>
        <w:rPr>
          <w:rFonts w:asciiTheme="minorHAnsi" w:hAnsiTheme="minorHAnsi"/>
          <w:color w:val="000000" w:themeColor="text1"/>
        </w:rPr>
        <w:t> </w:t>
      </w:r>
      <w:r w:rsidR="001F735D" w:rsidRPr="00332324">
        <w:rPr>
          <w:rFonts w:asciiTheme="minorHAnsi" w:hAnsiTheme="minorHAnsi"/>
          <w:color w:val="000000" w:themeColor="text1"/>
        </w:rPr>
        <w:t>poisťovníctve</w:t>
      </w:r>
      <w:r>
        <w:rPr>
          <w:rFonts w:asciiTheme="minorHAnsi" w:hAnsiTheme="minorHAnsi"/>
          <w:color w:val="000000" w:themeColor="text1"/>
        </w:rPr>
        <w:t xml:space="preserve"> (</w:t>
      </w:r>
      <w:proofErr w:type="spellStart"/>
      <w:r>
        <w:rPr>
          <w:rFonts w:asciiTheme="minorHAnsi" w:hAnsiTheme="minorHAnsi"/>
          <w:color w:val="000000" w:themeColor="text1"/>
        </w:rPr>
        <w:t>ZoP</w:t>
      </w:r>
      <w:proofErr w:type="spellEnd"/>
      <w:r>
        <w:rPr>
          <w:rFonts w:asciiTheme="minorHAnsi" w:hAnsiTheme="minorHAnsi"/>
          <w:color w:val="000000" w:themeColor="text1"/>
        </w:rPr>
        <w:t>)</w:t>
      </w:r>
      <w:r w:rsidR="001F735D" w:rsidRPr="00332324">
        <w:rPr>
          <w:rFonts w:asciiTheme="minorHAnsi" w:hAnsiTheme="minorHAnsi"/>
          <w:color w:val="000000" w:themeColor="text1"/>
        </w:rPr>
        <w:t>–informácia o stave prác a o ďalšom postupe</w:t>
      </w:r>
      <w:r w:rsidR="00A24FD4">
        <w:rPr>
          <w:rFonts w:asciiTheme="minorHAnsi" w:hAnsiTheme="minorHAnsi"/>
          <w:color w:val="000000" w:themeColor="text1"/>
        </w:rPr>
        <w:t>.</w:t>
      </w:r>
    </w:p>
    <w:p w:rsidR="001F735D" w:rsidRDefault="00016C7F" w:rsidP="001F735D">
      <w:pPr>
        <w:pStyle w:val="Odsekzoznamu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I</w:t>
      </w:r>
      <w:r w:rsidR="001F735D">
        <w:rPr>
          <w:rFonts w:asciiTheme="minorHAnsi" w:hAnsiTheme="minorHAnsi"/>
          <w:color w:val="000000" w:themeColor="text1"/>
        </w:rPr>
        <w:t>nformovanie o aktuálnych témach na úrovni EÚ a na slovenskom poisťovacom trhu.</w:t>
      </w:r>
    </w:p>
    <w:p w:rsidR="00904C85" w:rsidRDefault="00904C85" w:rsidP="00904C85">
      <w:pPr>
        <w:pStyle w:val="Odsekzoznamu"/>
        <w:spacing w:line="276" w:lineRule="auto"/>
        <w:ind w:left="426"/>
        <w:jc w:val="both"/>
        <w:rPr>
          <w:rFonts w:asciiTheme="minorHAnsi" w:hAnsiTheme="minorHAnsi"/>
          <w:color w:val="000000" w:themeColor="text1"/>
        </w:rPr>
      </w:pPr>
    </w:p>
    <w:p w:rsidR="00904C85" w:rsidRDefault="00904C85" w:rsidP="00904C85">
      <w:pPr>
        <w:pStyle w:val="Odsekzoznamu"/>
        <w:spacing w:line="276" w:lineRule="auto"/>
        <w:ind w:left="426"/>
        <w:jc w:val="both"/>
        <w:rPr>
          <w:rFonts w:asciiTheme="minorHAnsi" w:hAnsiTheme="minorHAnsi"/>
          <w:color w:val="000000" w:themeColor="text1"/>
        </w:rPr>
      </w:pPr>
    </w:p>
    <w:p w:rsidR="00904C85" w:rsidRDefault="00A80EC9" w:rsidP="00A24FD4">
      <w:pPr>
        <w:pStyle w:val="Odsekzoznamu"/>
        <w:numPr>
          <w:ilvl w:val="1"/>
          <w:numId w:val="1"/>
        </w:numPr>
        <w:tabs>
          <w:tab w:val="num" w:pos="284"/>
        </w:tabs>
        <w:spacing w:line="276" w:lineRule="auto"/>
        <w:ind w:left="284" w:hanging="284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PS zhrnul rozsah pripomienok od jednotlivých poisťovní a</w:t>
      </w:r>
      <w:r w:rsidR="002F040B">
        <w:rPr>
          <w:rFonts w:asciiTheme="minorHAnsi" w:hAnsiTheme="minorHAnsi"/>
          <w:color w:val="000000" w:themeColor="text1"/>
        </w:rPr>
        <w:t> navrhol, vzhľadom na časové možnosti rokovania neprechádzať konkrétne, v tabuľke zosumarizované, pripomienky od jednotlivých poisťovní, ale za každú poisťovňu navrhnúť kľúčové otázky/témy, ktoré sa spoločne prediskutujú. Zúčastnení súhlasili s návrhom PS a predniesli tieto okruhy na diskusiu:</w:t>
      </w:r>
    </w:p>
    <w:p w:rsidR="002F040B" w:rsidRDefault="002F040B" w:rsidP="00A24FD4">
      <w:pPr>
        <w:pStyle w:val="Odsekzoznamu"/>
        <w:numPr>
          <w:ilvl w:val="0"/>
          <w:numId w:val="2"/>
        </w:numPr>
        <w:spacing w:line="276" w:lineRule="auto"/>
        <w:ind w:left="284" w:firstLine="0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Mlčanlivosť</w:t>
      </w:r>
    </w:p>
    <w:p w:rsidR="002F040B" w:rsidRDefault="002F040B" w:rsidP="00A24FD4">
      <w:pPr>
        <w:pStyle w:val="Odsekzoznamu"/>
        <w:numPr>
          <w:ilvl w:val="0"/>
          <w:numId w:val="2"/>
        </w:numPr>
        <w:spacing w:line="276" w:lineRule="auto"/>
        <w:ind w:left="284" w:firstLine="0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Osoby s osobitným vzťahom </w:t>
      </w:r>
    </w:p>
    <w:p w:rsidR="002F040B" w:rsidRDefault="002F040B" w:rsidP="00A24FD4">
      <w:pPr>
        <w:pStyle w:val="Odsekzoznamu"/>
        <w:numPr>
          <w:ilvl w:val="0"/>
          <w:numId w:val="2"/>
        </w:numPr>
        <w:spacing w:line="276" w:lineRule="auto"/>
        <w:ind w:left="284" w:firstLine="0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Zverenie výkonu činnosti (§31)</w:t>
      </w:r>
    </w:p>
    <w:p w:rsidR="00DE7D6E" w:rsidRDefault="002F040B" w:rsidP="00DE7D6E">
      <w:pPr>
        <w:pStyle w:val="Odsekzoznamu"/>
        <w:numPr>
          <w:ilvl w:val="0"/>
          <w:numId w:val="2"/>
        </w:numPr>
        <w:spacing w:line="276" w:lineRule="auto"/>
        <w:ind w:left="709" w:hanging="425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Pojmy v zákone</w:t>
      </w:r>
      <w:r w:rsidR="00DE7D6E" w:rsidRPr="00DE7D6E">
        <w:rPr>
          <w:rFonts w:asciiTheme="minorHAnsi" w:hAnsiTheme="minorHAnsi"/>
          <w:color w:val="000000" w:themeColor="text1"/>
        </w:rPr>
        <w:t xml:space="preserve"> </w:t>
      </w:r>
      <w:r w:rsidR="00DE7D6E">
        <w:rPr>
          <w:rFonts w:asciiTheme="minorHAnsi" w:hAnsiTheme="minorHAnsi"/>
          <w:color w:val="000000" w:themeColor="text1"/>
        </w:rPr>
        <w:t xml:space="preserve">a ich zosúladenie so zaužívanou </w:t>
      </w:r>
      <w:proofErr w:type="spellStart"/>
      <w:r w:rsidR="00DE7D6E">
        <w:rPr>
          <w:rFonts w:asciiTheme="minorHAnsi" w:hAnsiTheme="minorHAnsi"/>
          <w:color w:val="000000" w:themeColor="text1"/>
        </w:rPr>
        <w:t>pojmológiou</w:t>
      </w:r>
      <w:proofErr w:type="spellEnd"/>
      <w:r w:rsidR="00DE7D6E">
        <w:rPr>
          <w:rFonts w:asciiTheme="minorHAnsi" w:hAnsiTheme="minorHAnsi"/>
          <w:color w:val="000000" w:themeColor="text1"/>
        </w:rPr>
        <w:t xml:space="preserve"> v slovenskom právnom poriadku</w:t>
      </w:r>
    </w:p>
    <w:p w:rsidR="00A70F75" w:rsidRDefault="002F040B" w:rsidP="00A24FD4">
      <w:pPr>
        <w:pStyle w:val="Odsekzoznamu"/>
        <w:numPr>
          <w:ilvl w:val="0"/>
          <w:numId w:val="2"/>
        </w:numPr>
        <w:spacing w:line="276" w:lineRule="auto"/>
        <w:ind w:left="284" w:firstLine="0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Definícia poisťovacej činnosti</w:t>
      </w:r>
      <w:r w:rsidR="001B0F57">
        <w:rPr>
          <w:rFonts w:asciiTheme="minorHAnsi" w:hAnsiTheme="minorHAnsi"/>
          <w:color w:val="000000" w:themeColor="text1"/>
        </w:rPr>
        <w:t>, klienta</w:t>
      </w:r>
    </w:p>
    <w:p w:rsidR="002F040B" w:rsidRDefault="001B0F57" w:rsidP="00A24FD4">
      <w:pPr>
        <w:pStyle w:val="Odsekzoznamu"/>
        <w:numPr>
          <w:ilvl w:val="0"/>
          <w:numId w:val="2"/>
        </w:numPr>
        <w:spacing w:line="276" w:lineRule="auto"/>
        <w:ind w:left="284" w:firstLine="0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Odborná spôsobilosť, dôveryhodnosť</w:t>
      </w:r>
    </w:p>
    <w:p w:rsidR="001B0F57" w:rsidRDefault="001B0F57" w:rsidP="00A24FD4">
      <w:pPr>
        <w:pStyle w:val="Odsekzoznamu"/>
        <w:numPr>
          <w:ilvl w:val="0"/>
          <w:numId w:val="2"/>
        </w:numPr>
        <w:spacing w:line="276" w:lineRule="auto"/>
        <w:ind w:left="284" w:firstLine="0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Nové obchody, zaslúžené poistné</w:t>
      </w:r>
    </w:p>
    <w:p w:rsidR="001B0F57" w:rsidRDefault="001B0F57" w:rsidP="00A24FD4">
      <w:pPr>
        <w:pStyle w:val="Odsekzoznamu"/>
        <w:numPr>
          <w:ilvl w:val="0"/>
          <w:numId w:val="2"/>
        </w:numPr>
        <w:spacing w:line="276" w:lineRule="auto"/>
        <w:ind w:left="284" w:firstLine="0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Problematika aktuárov</w:t>
      </w:r>
    </w:p>
    <w:p w:rsidR="001B0F57" w:rsidRDefault="001B0F57" w:rsidP="00A24FD4">
      <w:pPr>
        <w:pStyle w:val="Odsekzoznamu"/>
        <w:numPr>
          <w:ilvl w:val="0"/>
          <w:numId w:val="2"/>
        </w:numPr>
        <w:spacing w:line="276" w:lineRule="auto"/>
        <w:ind w:left="284" w:firstLine="0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Ochrana osobných údajov</w:t>
      </w:r>
    </w:p>
    <w:p w:rsidR="002F040B" w:rsidRDefault="002F040B" w:rsidP="00A24FD4">
      <w:pPr>
        <w:pStyle w:val="Odsekzoznamu"/>
        <w:numPr>
          <w:ilvl w:val="0"/>
          <w:numId w:val="2"/>
        </w:numPr>
        <w:spacing w:line="276" w:lineRule="auto"/>
        <w:ind w:left="284" w:firstLine="0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Klasifikácia prílohy</w:t>
      </w:r>
    </w:p>
    <w:p w:rsidR="002F040B" w:rsidRDefault="002F040B" w:rsidP="00A24FD4">
      <w:pPr>
        <w:pStyle w:val="Odsekzoznamu"/>
        <w:numPr>
          <w:ilvl w:val="0"/>
          <w:numId w:val="2"/>
        </w:numPr>
        <w:spacing w:line="276" w:lineRule="auto"/>
        <w:ind w:left="284" w:firstLine="0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Zosúladenie OZ a</w:t>
      </w:r>
      <w:r w:rsidR="001B0F57">
        <w:rPr>
          <w:rFonts w:asciiTheme="minorHAnsi" w:hAnsiTheme="minorHAnsi"/>
          <w:color w:val="000000" w:themeColor="text1"/>
        </w:rPr>
        <w:t> </w:t>
      </w:r>
      <w:proofErr w:type="spellStart"/>
      <w:r>
        <w:rPr>
          <w:rFonts w:asciiTheme="minorHAnsi" w:hAnsiTheme="minorHAnsi"/>
          <w:color w:val="000000" w:themeColor="text1"/>
        </w:rPr>
        <w:t>ZoP</w:t>
      </w:r>
      <w:proofErr w:type="spellEnd"/>
    </w:p>
    <w:p w:rsidR="001B0F57" w:rsidRDefault="001B0F57" w:rsidP="00A24FD4">
      <w:pPr>
        <w:pStyle w:val="Odsekzoznamu"/>
        <w:numPr>
          <w:ilvl w:val="0"/>
          <w:numId w:val="2"/>
        </w:numPr>
        <w:spacing w:line="276" w:lineRule="auto"/>
        <w:ind w:left="284" w:firstLine="0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Osoby, ktoré skutočne riadia poisťovňu</w:t>
      </w:r>
    </w:p>
    <w:p w:rsidR="001B0F57" w:rsidRDefault="001B0F57" w:rsidP="00A24FD4">
      <w:pPr>
        <w:pStyle w:val="Odsekzoznamu"/>
        <w:numPr>
          <w:ilvl w:val="0"/>
          <w:numId w:val="2"/>
        </w:numPr>
        <w:spacing w:line="276" w:lineRule="auto"/>
        <w:ind w:left="284" w:firstLine="0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Kľúčové funkcie</w:t>
      </w:r>
    </w:p>
    <w:p w:rsidR="001B0F57" w:rsidRDefault="001B0F57" w:rsidP="00A24FD4">
      <w:pPr>
        <w:pStyle w:val="Odsekzoznamu"/>
        <w:numPr>
          <w:ilvl w:val="0"/>
          <w:numId w:val="2"/>
        </w:numPr>
        <w:spacing w:line="276" w:lineRule="auto"/>
        <w:ind w:left="284" w:firstLine="0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Konflikt záujmov</w:t>
      </w:r>
    </w:p>
    <w:p w:rsidR="001B0F57" w:rsidRDefault="001B0F57" w:rsidP="00A24FD4">
      <w:pPr>
        <w:pStyle w:val="Odsekzoznamu"/>
        <w:numPr>
          <w:ilvl w:val="0"/>
          <w:numId w:val="2"/>
        </w:numPr>
        <w:spacing w:line="276" w:lineRule="auto"/>
        <w:ind w:left="284" w:firstLine="0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Výmena údajov medzi poisťovňami</w:t>
      </w:r>
      <w:r w:rsidR="000E140A">
        <w:rPr>
          <w:rFonts w:asciiTheme="minorHAnsi" w:hAnsiTheme="minorHAnsi"/>
          <w:color w:val="000000" w:themeColor="text1"/>
        </w:rPr>
        <w:t>.</w:t>
      </w:r>
    </w:p>
    <w:p w:rsidR="00DE7D6E" w:rsidRDefault="00DE7D6E" w:rsidP="00DE7D6E">
      <w:pPr>
        <w:pStyle w:val="Odsekzoznamu"/>
        <w:spacing w:line="276" w:lineRule="auto"/>
        <w:ind w:left="284"/>
        <w:jc w:val="both"/>
        <w:rPr>
          <w:rFonts w:asciiTheme="minorHAnsi" w:hAnsiTheme="minorHAnsi"/>
          <w:color w:val="000000" w:themeColor="text1"/>
        </w:rPr>
      </w:pPr>
    </w:p>
    <w:p w:rsidR="00DE7D6E" w:rsidRDefault="00DE7D6E" w:rsidP="00DE7D6E">
      <w:pPr>
        <w:pStyle w:val="Odsekzoznamu"/>
        <w:spacing w:line="276" w:lineRule="auto"/>
        <w:ind w:left="284" w:hanging="284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Vzhľadom na čas</w:t>
      </w:r>
      <w:r w:rsidR="009F1937">
        <w:rPr>
          <w:rFonts w:asciiTheme="minorHAnsi" w:hAnsiTheme="minorHAnsi"/>
          <w:color w:val="000000" w:themeColor="text1"/>
        </w:rPr>
        <w:t>ový rámec</w:t>
      </w:r>
      <w:r>
        <w:rPr>
          <w:rFonts w:asciiTheme="minorHAnsi" w:hAnsiTheme="minorHAnsi"/>
          <w:color w:val="000000" w:themeColor="text1"/>
        </w:rPr>
        <w:t xml:space="preserve"> sa podarilo prediskutovať tieto</w:t>
      </w:r>
      <w:r w:rsidR="002134B5">
        <w:rPr>
          <w:rFonts w:asciiTheme="minorHAnsi" w:hAnsiTheme="minorHAnsi"/>
          <w:color w:val="000000" w:themeColor="text1"/>
        </w:rPr>
        <w:t xml:space="preserve"> otázky:</w:t>
      </w:r>
    </w:p>
    <w:p w:rsidR="00E14D3B" w:rsidRPr="00E14D3B" w:rsidRDefault="002134B5" w:rsidP="00F95502">
      <w:pPr>
        <w:pStyle w:val="Odsekzoznamu"/>
        <w:numPr>
          <w:ilvl w:val="0"/>
          <w:numId w:val="3"/>
        </w:numPr>
        <w:jc w:val="both"/>
        <w:rPr>
          <w:sz w:val="24"/>
          <w:szCs w:val="24"/>
        </w:rPr>
      </w:pPr>
      <w:r w:rsidRPr="00C339FD">
        <w:rPr>
          <w:b/>
        </w:rPr>
        <w:t>Osoby majúce osobitný vzťah k poisťovni a zaisťovni (§ 90)</w:t>
      </w:r>
      <w:r>
        <w:t xml:space="preserve"> </w:t>
      </w:r>
      <w:r w:rsidR="00F54084">
        <w:t xml:space="preserve">- </w:t>
      </w:r>
      <w:r>
        <w:t>vynecha</w:t>
      </w:r>
      <w:r w:rsidR="00E14D3B">
        <w:t xml:space="preserve">ť </w:t>
      </w:r>
      <w:r>
        <w:t>celé ustanoveni</w:t>
      </w:r>
      <w:r w:rsidR="00E14D3B">
        <w:t>e.</w:t>
      </w:r>
    </w:p>
    <w:p w:rsidR="002134B5" w:rsidRDefault="00E14D3B" w:rsidP="00F95502">
      <w:pPr>
        <w:pStyle w:val="Odsekzoznamu"/>
        <w:jc w:val="both"/>
      </w:pPr>
      <w:r>
        <w:t>Ustanovenie</w:t>
      </w:r>
      <w:r w:rsidR="002134B5">
        <w:t xml:space="preserve"> nemá </w:t>
      </w:r>
      <w:proofErr w:type="spellStart"/>
      <w:r w:rsidR="002134B5">
        <w:t>racio</w:t>
      </w:r>
      <w:proofErr w:type="spellEnd"/>
      <w:r w:rsidR="002134B5">
        <w:t xml:space="preserve"> a je nevykonateľné. Riziká z </w:t>
      </w:r>
      <w:r w:rsidR="00AD7DA6">
        <w:t>ne</w:t>
      </w:r>
      <w:r w:rsidR="002134B5">
        <w:t xml:space="preserve">ho vyplývajúce sú </w:t>
      </w:r>
      <w:r w:rsidR="009F1937">
        <w:t xml:space="preserve">pokryté </w:t>
      </w:r>
      <w:r w:rsidR="002134B5">
        <w:t xml:space="preserve">v rámci </w:t>
      </w:r>
      <w:proofErr w:type="spellStart"/>
      <w:r w:rsidR="002134B5">
        <w:t>Solvency</w:t>
      </w:r>
      <w:proofErr w:type="spellEnd"/>
      <w:r w:rsidR="002134B5">
        <w:t xml:space="preserve"> II.</w:t>
      </w:r>
    </w:p>
    <w:p w:rsidR="00F95502" w:rsidRDefault="00F95502" w:rsidP="00F95502">
      <w:pPr>
        <w:pStyle w:val="Odsekzoznamu"/>
        <w:numPr>
          <w:ilvl w:val="0"/>
          <w:numId w:val="3"/>
        </w:numPr>
        <w:jc w:val="both"/>
      </w:pPr>
      <w:r w:rsidRPr="006F024C">
        <w:rPr>
          <w:b/>
        </w:rPr>
        <w:t>Zaisťovacia činnosť</w:t>
      </w:r>
      <w:r w:rsidR="00F54084">
        <w:rPr>
          <w:b/>
        </w:rPr>
        <w:t xml:space="preserve"> (§ 6 ods. 13) </w:t>
      </w:r>
      <w:r>
        <w:t>- ponechať túto možnosť, osvedčená praxou.</w:t>
      </w:r>
    </w:p>
    <w:p w:rsidR="00F95502" w:rsidRDefault="00F95502" w:rsidP="00F95502">
      <w:pPr>
        <w:pStyle w:val="Odsekzoznamu"/>
        <w:numPr>
          <w:ilvl w:val="0"/>
          <w:numId w:val="3"/>
        </w:numPr>
        <w:jc w:val="both"/>
      </w:pPr>
      <w:r w:rsidRPr="00C339FD">
        <w:rPr>
          <w:b/>
        </w:rPr>
        <w:t>Sprostredkovanie</w:t>
      </w:r>
      <w:r w:rsidR="00F54084">
        <w:rPr>
          <w:b/>
        </w:rPr>
        <w:t xml:space="preserve"> (§ 6 ods. 5</w:t>
      </w:r>
      <w:r w:rsidR="00A61F58">
        <w:rPr>
          <w:b/>
        </w:rPr>
        <w:t>, § 89 ods. 4</w:t>
      </w:r>
      <w:r w:rsidR="00F54084">
        <w:rPr>
          <w:b/>
        </w:rPr>
        <w:t>) -</w:t>
      </w:r>
      <w:r>
        <w:t xml:space="preserve"> môžu poisťovne robiť iba v rámci poisťovníctva, podľa </w:t>
      </w:r>
      <w:proofErr w:type="spellStart"/>
      <w:r>
        <w:t>Solvency</w:t>
      </w:r>
      <w:proofErr w:type="spellEnd"/>
      <w:r>
        <w:t xml:space="preserve"> II nemôžu robiť nič iné. Banky môžu sprostredkovávať aj poistenie, prečo poisťovne nemôžu</w:t>
      </w:r>
      <w:r w:rsidR="00291211">
        <w:t xml:space="preserve"> sprostredkovávať </w:t>
      </w:r>
      <w:proofErr w:type="spellStart"/>
      <w:r w:rsidR="00291211">
        <w:t>bankoprodukty</w:t>
      </w:r>
      <w:proofErr w:type="spellEnd"/>
      <w:r w:rsidR="00291211">
        <w:t>?</w:t>
      </w:r>
      <w:r>
        <w:t xml:space="preserve"> Je nutné mať rovnaký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playing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pre všetkých. Členovia sekcie zistia bližšie informácie u svojich matiek.</w:t>
      </w:r>
    </w:p>
    <w:p w:rsidR="007C7D76" w:rsidRPr="007C7D76" w:rsidRDefault="00C339FD" w:rsidP="007C7D76">
      <w:pPr>
        <w:pStyle w:val="Odsekzoznamu"/>
        <w:numPr>
          <w:ilvl w:val="0"/>
          <w:numId w:val="3"/>
        </w:numPr>
        <w:ind w:left="709" w:hanging="283"/>
        <w:jc w:val="both"/>
        <w:rPr>
          <w:rFonts w:ascii="Arial Narrow" w:hAnsi="Arial Narrow"/>
          <w:bCs/>
          <w:sz w:val="24"/>
          <w:szCs w:val="24"/>
        </w:rPr>
      </w:pPr>
      <w:r w:rsidRPr="007C7D76">
        <w:rPr>
          <w:b/>
        </w:rPr>
        <w:lastRenderedPageBreak/>
        <w:t>Definícia klienta</w:t>
      </w:r>
      <w:r w:rsidR="00113F01">
        <w:rPr>
          <w:b/>
        </w:rPr>
        <w:t xml:space="preserve"> (§4 a § 98)</w:t>
      </w:r>
      <w:r w:rsidRPr="007C7D76">
        <w:rPr>
          <w:b/>
        </w:rPr>
        <w:t xml:space="preserve"> </w:t>
      </w:r>
      <w:r>
        <w:t xml:space="preserve">Je potrebné zaviesť túto definíciu </w:t>
      </w:r>
      <w:r w:rsidR="00FC50C5">
        <w:t xml:space="preserve">minimálne </w:t>
      </w:r>
      <w:r>
        <w:t>kvôli ochrane osobných údajov</w:t>
      </w:r>
      <w:r w:rsidR="0053352F">
        <w:t xml:space="preserve"> (</w:t>
      </w:r>
      <w:r w:rsidR="00162239" w:rsidRPr="00162239">
        <w:rPr>
          <w:rFonts w:cs="Arial"/>
        </w:rPr>
        <w:t xml:space="preserve">by </w:t>
      </w:r>
      <w:r w:rsidR="0053352F">
        <w:rPr>
          <w:rFonts w:cs="Arial"/>
        </w:rPr>
        <w:t>poisťovne</w:t>
      </w:r>
      <w:r w:rsidR="00162239" w:rsidRPr="00162239">
        <w:rPr>
          <w:rFonts w:cs="Arial"/>
        </w:rPr>
        <w:t xml:space="preserve"> mohli zo zákona spracúvať osobné údaje všetkých osôb, pri ktorých dnes potrebuj</w:t>
      </w:r>
      <w:r w:rsidR="0053352F">
        <w:rPr>
          <w:rFonts w:cs="Arial"/>
        </w:rPr>
        <w:t>ú</w:t>
      </w:r>
      <w:r w:rsidR="00162239" w:rsidRPr="00162239">
        <w:rPr>
          <w:rFonts w:cs="Arial"/>
        </w:rPr>
        <w:t xml:space="preserve"> súhlas</w:t>
      </w:r>
      <w:r w:rsidR="0053352F">
        <w:rPr>
          <w:rFonts w:cs="Arial"/>
        </w:rPr>
        <w:t>)</w:t>
      </w:r>
      <w:r>
        <w:t>.</w:t>
      </w:r>
      <w:r w:rsidR="0053352F">
        <w:t xml:space="preserve"> Prítomní sa nedohodli na konkrétnej definícii, ale </w:t>
      </w:r>
      <w:r w:rsidR="00EE3A99">
        <w:t xml:space="preserve">v rámci diskusie odznelo, že za klienta je nutné určite považovať </w:t>
      </w:r>
      <w:r w:rsidR="0053352F">
        <w:t>poisten</w:t>
      </w:r>
      <w:r w:rsidR="00EE3A99">
        <w:t>ého</w:t>
      </w:r>
      <w:r w:rsidR="0053352F">
        <w:t>, poistník</w:t>
      </w:r>
      <w:r w:rsidR="00EE3A99">
        <w:t>a</w:t>
      </w:r>
      <w:r w:rsidR="0053352F">
        <w:t>, poškoden</w:t>
      </w:r>
      <w:r w:rsidR="00EE3A99">
        <w:t>ého</w:t>
      </w:r>
      <w:r w:rsidR="0053352F">
        <w:t xml:space="preserve">, </w:t>
      </w:r>
      <w:r w:rsidR="00EE3A99">
        <w:t xml:space="preserve">a </w:t>
      </w:r>
      <w:r w:rsidR="0053352F">
        <w:t>osob</w:t>
      </w:r>
      <w:r w:rsidR="00EE3A99">
        <w:t>u</w:t>
      </w:r>
      <w:r w:rsidR="0053352F">
        <w:t>, ktorá uplatňuje právo na poistné plnenie</w:t>
      </w:r>
      <w:r w:rsidR="00EE3A99">
        <w:t xml:space="preserve">. O ďalších osobách je potrebné viesť diskusiu. </w:t>
      </w:r>
    </w:p>
    <w:p w:rsidR="007C7D76" w:rsidRPr="007C7D76" w:rsidRDefault="00EA582E" w:rsidP="007C7D76">
      <w:pPr>
        <w:pStyle w:val="Odsekzoznamu"/>
        <w:numPr>
          <w:ilvl w:val="0"/>
          <w:numId w:val="3"/>
        </w:numPr>
        <w:ind w:left="709" w:hanging="283"/>
        <w:jc w:val="both"/>
        <w:rPr>
          <w:rFonts w:asciiTheme="minorHAnsi" w:hAnsiTheme="minorHAnsi"/>
          <w:bCs/>
        </w:rPr>
      </w:pPr>
      <w:r w:rsidRPr="007C7D76">
        <w:rPr>
          <w:b/>
        </w:rPr>
        <w:t>Zverenie výkonu činnosti (§ 31)</w:t>
      </w:r>
      <w:r w:rsidR="00EB6680" w:rsidRPr="007C7D76">
        <w:rPr>
          <w:b/>
        </w:rPr>
        <w:t xml:space="preserve"> </w:t>
      </w:r>
      <w:r w:rsidR="00F54084">
        <w:rPr>
          <w:b/>
        </w:rPr>
        <w:t>-</w:t>
      </w:r>
      <w:r w:rsidR="00EB6680">
        <w:t xml:space="preserve"> podľa </w:t>
      </w:r>
      <w:proofErr w:type="spellStart"/>
      <w:r w:rsidR="00EB6680">
        <w:t>Solvency</w:t>
      </w:r>
      <w:proofErr w:type="spellEnd"/>
      <w:r w:rsidR="00EB6680">
        <w:t xml:space="preserve"> II je</w:t>
      </w:r>
      <w:r w:rsidR="00EB6680" w:rsidRPr="007C7D76">
        <w:rPr>
          <w:lang w:val="en-GB"/>
        </w:rPr>
        <w:t xml:space="preserve"> </w:t>
      </w:r>
      <w:proofErr w:type="spellStart"/>
      <w:r w:rsidR="00EB6680" w:rsidRPr="007C7D76">
        <w:t>outsourcing</w:t>
      </w:r>
      <w:proofErr w:type="spellEnd"/>
      <w:r w:rsidR="00EB6680" w:rsidRPr="007C7D76">
        <w:t xml:space="preserve"> </w:t>
      </w:r>
      <w:r w:rsidR="007C7D76" w:rsidRPr="007C7D76">
        <w:t xml:space="preserve">všetko, kde ide </w:t>
      </w:r>
      <w:r w:rsidR="007C7D76" w:rsidRPr="007C7D76">
        <w:rPr>
          <w:rFonts w:asciiTheme="minorHAnsi" w:hAnsiTheme="minorHAnsi"/>
        </w:rPr>
        <w:t>o </w:t>
      </w:r>
      <w:r w:rsidR="007C7D76" w:rsidRPr="007C7D76">
        <w:rPr>
          <w:rFonts w:asciiTheme="minorHAnsi" w:hAnsiTheme="minorHAnsi"/>
          <w:bCs/>
        </w:rPr>
        <w:t>zverenie výkonu funkcie alebo akejkoľvek činnosti vyplývajúcej z poisťovacej činnosti alebo zaisťovacej činnosti inej osobe.</w:t>
      </w:r>
      <w:r w:rsidR="007C7D76" w:rsidRPr="007C7D76">
        <w:rPr>
          <w:rFonts w:asciiTheme="minorHAnsi" w:hAnsiTheme="minorHAnsi"/>
        </w:rPr>
        <w:t xml:space="preserve"> Osobitné požiadavky sú kladené iba pokiaľ ide o zverenie </w:t>
      </w:r>
      <w:r w:rsidR="007C7D76" w:rsidRPr="007C7D76">
        <w:rPr>
          <w:rFonts w:asciiTheme="minorHAnsi" w:hAnsiTheme="minorHAnsi"/>
          <w:bCs/>
        </w:rPr>
        <w:t>výkonu kritických alebo dôležitých operačných funkcií alebo činností inej osobe</w:t>
      </w:r>
      <w:r w:rsidR="00FC50C5">
        <w:rPr>
          <w:rFonts w:asciiTheme="minorHAnsi" w:hAnsiTheme="minorHAnsi"/>
          <w:bCs/>
        </w:rPr>
        <w:t>.</w:t>
      </w:r>
    </w:p>
    <w:p w:rsidR="00C339FD" w:rsidRPr="00911540" w:rsidRDefault="00FB68D1" w:rsidP="00F95502">
      <w:pPr>
        <w:pStyle w:val="Odsekzoznamu"/>
        <w:numPr>
          <w:ilvl w:val="0"/>
          <w:numId w:val="3"/>
        </w:numPr>
        <w:jc w:val="both"/>
        <w:rPr>
          <w:b/>
        </w:rPr>
      </w:pPr>
      <w:r>
        <w:rPr>
          <w:b/>
        </w:rPr>
        <w:t xml:space="preserve">Poisťovacia činnosť (§ 4 ods. 13) </w:t>
      </w:r>
      <w:r w:rsidR="00F54084">
        <w:rPr>
          <w:b/>
        </w:rPr>
        <w:t>-</w:t>
      </w:r>
      <w:r>
        <w:rPr>
          <w:b/>
        </w:rPr>
        <w:t xml:space="preserve"> </w:t>
      </w:r>
      <w:r>
        <w:t xml:space="preserve">členovia nesúhlasia s navrhovanou definíciou, navrhujú aby MF SR vychádzalo z platnej definície a podalo vysvetlenie z akého dôvodu </w:t>
      </w:r>
      <w:r w:rsidR="00307916">
        <w:t xml:space="preserve">ju </w:t>
      </w:r>
      <w:r>
        <w:t xml:space="preserve">odmietajú </w:t>
      </w:r>
      <w:r w:rsidR="00307916">
        <w:t>a čo im na nej nevyhovuje</w:t>
      </w:r>
      <w:r>
        <w:t>.</w:t>
      </w:r>
    </w:p>
    <w:p w:rsidR="00911540" w:rsidRDefault="00911540" w:rsidP="00F95502">
      <w:pPr>
        <w:pStyle w:val="Odsekzoznamu"/>
        <w:numPr>
          <w:ilvl w:val="0"/>
          <w:numId w:val="3"/>
        </w:numPr>
        <w:jc w:val="both"/>
        <w:rPr>
          <w:b/>
        </w:rPr>
      </w:pPr>
      <w:r>
        <w:rPr>
          <w:b/>
        </w:rPr>
        <w:t>Klasifikácia v prílohe č. 1</w:t>
      </w:r>
      <w:r w:rsidR="008F7E1E" w:rsidRPr="008F7E1E">
        <w:t xml:space="preserve"> </w:t>
      </w:r>
      <w:r w:rsidR="008F7E1E" w:rsidRPr="008F7E1E">
        <w:rPr>
          <w:b/>
        </w:rPr>
        <w:t>časť A</w:t>
      </w:r>
      <w:r w:rsidR="008F7E1E">
        <w:t> </w:t>
      </w:r>
    </w:p>
    <w:p w:rsidR="00B62909" w:rsidRDefault="00B62909" w:rsidP="00B62909">
      <w:pPr>
        <w:pStyle w:val="Odsekzoznamu"/>
        <w:jc w:val="both"/>
      </w:pPr>
      <w:r w:rsidRPr="001F07A9">
        <w:t>1. bod</w:t>
      </w:r>
      <w:r>
        <w:t xml:space="preserve"> </w:t>
      </w:r>
      <w:r w:rsidR="008F7E1E">
        <w:t>-</w:t>
      </w:r>
      <w:r>
        <w:t xml:space="preserve"> upraviť </w:t>
      </w:r>
      <w:r w:rsidR="008F7E1E">
        <w:t xml:space="preserve">znenie </w:t>
      </w:r>
      <w:r>
        <w:t>písmen a) a b) v súlade s oficiálnou anglickou verziou smernice.</w:t>
      </w:r>
    </w:p>
    <w:p w:rsidR="00E17984" w:rsidRPr="001F07A9" w:rsidRDefault="00B62909" w:rsidP="00B62909">
      <w:pPr>
        <w:pStyle w:val="Odsekzoznamu"/>
        <w:jc w:val="both"/>
      </w:pPr>
      <w:r w:rsidRPr="001F07A9">
        <w:t xml:space="preserve">16. </w:t>
      </w:r>
      <w:r w:rsidR="001B7C0F" w:rsidRPr="001F07A9">
        <w:t>b</w:t>
      </w:r>
      <w:r w:rsidRPr="001F07A9">
        <w:t xml:space="preserve">od </w:t>
      </w:r>
    </w:p>
    <w:p w:rsidR="00E17984" w:rsidRDefault="00E17984" w:rsidP="001F07A9">
      <w:pPr>
        <w:pStyle w:val="Odsekzoznamu"/>
        <w:ind w:left="851" w:hanging="142"/>
        <w:jc w:val="both"/>
      </w:pPr>
      <w:r>
        <w:t xml:space="preserve">- </w:t>
      </w:r>
      <w:r w:rsidR="00B62909">
        <w:t>chýba jedno písmeno a je potrebné ho vložiť (v smernici predposledná zarážka ) – ostatné iné ako obchodné finančné straty</w:t>
      </w:r>
      <w:r w:rsidR="00D73870">
        <w:t>,</w:t>
      </w:r>
    </w:p>
    <w:p w:rsidR="00E17984" w:rsidRDefault="00E17984" w:rsidP="001F07A9">
      <w:pPr>
        <w:pStyle w:val="Odsekzoznamu"/>
        <w:ind w:left="851" w:hanging="142"/>
        <w:jc w:val="both"/>
      </w:pPr>
      <w:r>
        <w:t>- v písmenách e) a f) zjednotiť náklady a výdavky na jeden rovnaký pojem</w:t>
      </w:r>
      <w:r w:rsidR="00683BD2">
        <w:t xml:space="preserve"> </w:t>
      </w:r>
      <w:r w:rsidR="001F07A9">
        <w:t>–</w:t>
      </w:r>
      <w:r w:rsidR="00683BD2">
        <w:t xml:space="preserve"> </w:t>
      </w:r>
      <w:r w:rsidR="001F07A9">
        <w:t xml:space="preserve">navrhujeme </w:t>
      </w:r>
      <w:r w:rsidR="00683BD2">
        <w:t>náklady</w:t>
      </w:r>
      <w:r>
        <w:t xml:space="preserve"> obdobne ako v smernici (</w:t>
      </w:r>
      <w:proofErr w:type="spellStart"/>
      <w:r>
        <w:t>expenses</w:t>
      </w:r>
      <w:proofErr w:type="spellEnd"/>
      <w:r>
        <w:t>)</w:t>
      </w:r>
    </w:p>
    <w:p w:rsidR="00B62909" w:rsidRDefault="00E17984" w:rsidP="00E17984">
      <w:pPr>
        <w:pStyle w:val="Odsekzoznamu"/>
        <w:ind w:left="709"/>
        <w:jc w:val="both"/>
      </w:pPr>
      <w:r>
        <w:t>-</w:t>
      </w:r>
      <w:r w:rsidR="00D73870">
        <w:t xml:space="preserve"> ostatné písmená zosúladiť so znením smernice.</w:t>
      </w:r>
      <w:r w:rsidR="00B62909">
        <w:t xml:space="preserve"> </w:t>
      </w:r>
    </w:p>
    <w:p w:rsidR="00B62909" w:rsidRDefault="00B62909" w:rsidP="00B62909">
      <w:pPr>
        <w:pStyle w:val="Odsekzoznamu"/>
        <w:jc w:val="both"/>
      </w:pPr>
      <w:r w:rsidRPr="001F07A9">
        <w:t xml:space="preserve">18. </w:t>
      </w:r>
      <w:r w:rsidR="001B7C0F" w:rsidRPr="001F07A9">
        <w:t>b</w:t>
      </w:r>
      <w:r w:rsidRPr="001F07A9">
        <w:t>od</w:t>
      </w:r>
      <w:r>
        <w:t xml:space="preserve"> zosúladiť s oficiálnym znením smernice</w:t>
      </w:r>
      <w:r w:rsidR="00D94551" w:rsidRPr="00D94551">
        <w:t xml:space="preserve"> </w:t>
      </w:r>
      <w:r w:rsidR="00D94551">
        <w:t>a s definíciou asistenčných služieb</w:t>
      </w:r>
      <w:r>
        <w:t>.</w:t>
      </w:r>
    </w:p>
    <w:p w:rsidR="009A4E4D" w:rsidRDefault="008F7E1E" w:rsidP="008F7E1E">
      <w:pPr>
        <w:pStyle w:val="Odsekzoznamu"/>
        <w:numPr>
          <w:ilvl w:val="0"/>
          <w:numId w:val="3"/>
        </w:numPr>
        <w:ind w:hanging="294"/>
        <w:jc w:val="both"/>
        <w:rPr>
          <w:b/>
        </w:rPr>
      </w:pPr>
      <w:r>
        <w:rPr>
          <w:b/>
        </w:rPr>
        <w:t>Klasifikácia v prílohe č. 1</w:t>
      </w:r>
      <w:r w:rsidRPr="008F7E1E">
        <w:t xml:space="preserve"> </w:t>
      </w:r>
      <w:r w:rsidRPr="008F7E1E">
        <w:rPr>
          <w:b/>
        </w:rPr>
        <w:t xml:space="preserve">časť </w:t>
      </w:r>
      <w:r>
        <w:rPr>
          <w:b/>
        </w:rPr>
        <w:t>B</w:t>
      </w:r>
    </w:p>
    <w:p w:rsidR="004B0E0C" w:rsidRPr="004B0E0C" w:rsidRDefault="009A4E4D" w:rsidP="001F07A9">
      <w:pPr>
        <w:pStyle w:val="Odsekzoznamu"/>
        <w:numPr>
          <w:ilvl w:val="2"/>
          <w:numId w:val="1"/>
        </w:numPr>
        <w:tabs>
          <w:tab w:val="clear" w:pos="2160"/>
          <w:tab w:val="num" w:pos="993"/>
        </w:tabs>
        <w:ind w:left="709" w:firstLine="0"/>
        <w:jc w:val="both"/>
        <w:rPr>
          <w:rFonts w:asciiTheme="minorHAnsi" w:hAnsiTheme="minorHAnsi"/>
          <w:i/>
        </w:rPr>
      </w:pPr>
      <w:r w:rsidRPr="00CA102E">
        <w:rPr>
          <w:rFonts w:asciiTheme="minorHAnsi" w:hAnsiTheme="minorHAnsi"/>
          <w:i/>
        </w:rPr>
        <w:t>bod písm. a)</w:t>
      </w:r>
      <w:r w:rsidR="008F7E1E" w:rsidRPr="00CA102E">
        <w:rPr>
          <w:rFonts w:asciiTheme="minorHAnsi" w:hAnsiTheme="minorHAnsi"/>
          <w:i/>
        </w:rPr>
        <w:t> </w:t>
      </w:r>
      <w:r w:rsidRPr="00CA102E">
        <w:rPr>
          <w:rFonts w:asciiTheme="minorHAnsi" w:hAnsiTheme="minorHAnsi"/>
        </w:rPr>
        <w:t xml:space="preserve">– objasniť, čo sú to kapitalizačné zmluvy </w:t>
      </w:r>
      <w:r w:rsidR="001F07A9" w:rsidRPr="00CA102E">
        <w:rPr>
          <w:rFonts w:asciiTheme="minorHAnsi" w:hAnsiTheme="minorHAnsi"/>
        </w:rPr>
        <w:t>–mali by to byť kapitálové zmluvy</w:t>
      </w:r>
      <w:r w:rsidR="004B0E0C">
        <w:rPr>
          <w:rFonts w:asciiTheme="minorHAnsi" w:hAnsiTheme="minorHAnsi"/>
        </w:rPr>
        <w:t>.</w:t>
      </w:r>
    </w:p>
    <w:p w:rsidR="008F7E1E" w:rsidRPr="00CA102E" w:rsidRDefault="001F07A9" w:rsidP="004B0E0C">
      <w:pPr>
        <w:pStyle w:val="Odsekzoznamu"/>
        <w:ind w:left="709"/>
        <w:jc w:val="both"/>
        <w:rPr>
          <w:rFonts w:asciiTheme="minorHAnsi" w:hAnsiTheme="minorHAnsi"/>
          <w:i/>
        </w:rPr>
      </w:pPr>
      <w:r w:rsidRPr="00CA102E">
        <w:rPr>
          <w:rFonts w:asciiTheme="minorHAnsi" w:hAnsiTheme="minorHAnsi"/>
        </w:rPr>
        <w:t xml:space="preserve"> Je vhodné legislatívne upraviť, čo je to.</w:t>
      </w:r>
    </w:p>
    <w:p w:rsidR="008F7E1E" w:rsidRDefault="001F07A9" w:rsidP="00CA102E">
      <w:pPr>
        <w:pStyle w:val="Odsekzoznamu"/>
        <w:numPr>
          <w:ilvl w:val="0"/>
          <w:numId w:val="3"/>
        </w:numPr>
        <w:tabs>
          <w:tab w:val="left" w:pos="993"/>
        </w:tabs>
        <w:ind w:hanging="11"/>
        <w:jc w:val="both"/>
        <w:rPr>
          <w:rFonts w:asciiTheme="minorHAnsi" w:hAnsiTheme="minorHAnsi"/>
        </w:rPr>
      </w:pPr>
      <w:r w:rsidRPr="00CA102E">
        <w:rPr>
          <w:rFonts w:asciiTheme="minorHAnsi" w:hAnsiTheme="minorHAnsi"/>
          <w:i/>
        </w:rPr>
        <w:t xml:space="preserve">bod </w:t>
      </w:r>
      <w:r w:rsidRPr="00CA102E">
        <w:rPr>
          <w:rFonts w:asciiTheme="minorHAnsi" w:hAnsiTheme="minorHAnsi"/>
        </w:rPr>
        <w:t>nahradiť znenie „ak zákon umožňuje ich vykonávanie poisťovňou na jej vlastný účet“ znením v zmysle smernice „ak zákon umožňuje jeho vykonávanie poisťovňou na jej vlastné riziko“.</w:t>
      </w:r>
    </w:p>
    <w:p w:rsidR="004349E9" w:rsidRPr="00CA102E" w:rsidRDefault="004349E9" w:rsidP="004349E9">
      <w:pPr>
        <w:pStyle w:val="Odsekzoznamu"/>
        <w:tabs>
          <w:tab w:val="left" w:pos="993"/>
        </w:tabs>
        <w:jc w:val="both"/>
        <w:rPr>
          <w:rFonts w:asciiTheme="minorHAnsi" w:hAnsiTheme="minorHAnsi"/>
        </w:rPr>
      </w:pPr>
    </w:p>
    <w:p w:rsidR="00983469" w:rsidRDefault="009217FE" w:rsidP="002B1C82">
      <w:pPr>
        <w:pStyle w:val="Odsekzoznamu"/>
        <w:numPr>
          <w:ilvl w:val="1"/>
          <w:numId w:val="1"/>
        </w:numPr>
        <w:jc w:val="both"/>
      </w:pPr>
      <w:r>
        <w:t xml:space="preserve">GR </w:t>
      </w:r>
      <w:r w:rsidR="00983469">
        <w:t xml:space="preserve">prítomných </w:t>
      </w:r>
      <w:r w:rsidR="002B3087">
        <w:t xml:space="preserve">stručne </w:t>
      </w:r>
      <w:r>
        <w:t xml:space="preserve">informovala </w:t>
      </w:r>
      <w:r w:rsidR="00983469">
        <w:t>o</w:t>
      </w:r>
    </w:p>
    <w:p w:rsidR="00983469" w:rsidRDefault="009217FE" w:rsidP="00983469">
      <w:pPr>
        <w:pStyle w:val="Odsekzoznamu"/>
        <w:numPr>
          <w:ilvl w:val="0"/>
          <w:numId w:val="4"/>
        </w:numPr>
        <w:jc w:val="both"/>
      </w:pPr>
      <w:r>
        <w:t>očakávanej európskej legislatíve – IMD smernica (apríl 2012)</w:t>
      </w:r>
      <w:r w:rsidR="00750039">
        <w:t>,</w:t>
      </w:r>
      <w:r>
        <w:t xml:space="preserve"> </w:t>
      </w:r>
      <w:proofErr w:type="spellStart"/>
      <w:r w:rsidR="002C5ED8">
        <w:t>Mi</w:t>
      </w:r>
      <w:r w:rsidR="00A963F9">
        <w:t>F</w:t>
      </w:r>
      <w:r w:rsidR="002C5ED8">
        <w:t>iD</w:t>
      </w:r>
      <w:proofErr w:type="spellEnd"/>
      <w:r w:rsidR="002C5ED8">
        <w:t>, PRIPS</w:t>
      </w:r>
      <w:r w:rsidR="00A963F9">
        <w:t>,</w:t>
      </w:r>
    </w:p>
    <w:p w:rsidR="009217FE" w:rsidRDefault="00983469" w:rsidP="00983469">
      <w:pPr>
        <w:pStyle w:val="Odsekzoznamu"/>
        <w:numPr>
          <w:ilvl w:val="0"/>
          <w:numId w:val="4"/>
        </w:numPr>
        <w:jc w:val="both"/>
      </w:pPr>
      <w:r>
        <w:t>o</w:t>
      </w:r>
      <w:r w:rsidR="009217FE">
        <w:t> výstupoch z rokovaní PS pre distribúciu, ktorá rieši problematiku vyplácania pro</w:t>
      </w:r>
      <w:r w:rsidR="00750039">
        <w:t>vízií</w:t>
      </w:r>
      <w:r w:rsidR="000D795E">
        <w:t xml:space="preserve"> spôsobom </w:t>
      </w:r>
      <w:proofErr w:type="spellStart"/>
      <w:r w:rsidR="00750039">
        <w:t>up</w:t>
      </w:r>
      <w:proofErr w:type="spellEnd"/>
      <w:r w:rsidR="00750039">
        <w:t xml:space="preserve"> front </w:t>
      </w:r>
      <w:r w:rsidR="00644062">
        <w:t>a</w:t>
      </w:r>
      <w:r w:rsidR="000D795E">
        <w:t xml:space="preserve"> jeho zmenu </w:t>
      </w:r>
      <w:r w:rsidR="00750039">
        <w:t xml:space="preserve">na </w:t>
      </w:r>
      <w:proofErr w:type="spellStart"/>
      <w:r w:rsidR="00750039">
        <w:t>pay</w:t>
      </w:r>
      <w:proofErr w:type="spellEnd"/>
      <w:r w:rsidR="00750039">
        <w:t xml:space="preserve"> </w:t>
      </w:r>
      <w:proofErr w:type="spellStart"/>
      <w:r w:rsidR="00750039">
        <w:t>as</w:t>
      </w:r>
      <w:proofErr w:type="spellEnd"/>
      <w:r w:rsidR="00750039">
        <w:t xml:space="preserve"> </w:t>
      </w:r>
      <w:proofErr w:type="spellStart"/>
      <w:r w:rsidR="00750039">
        <w:t>you</w:t>
      </w:r>
      <w:proofErr w:type="spellEnd"/>
      <w:r w:rsidR="00750039">
        <w:t xml:space="preserve"> </w:t>
      </w:r>
      <w:proofErr w:type="spellStart"/>
      <w:r w:rsidR="00750039">
        <w:t>go</w:t>
      </w:r>
      <w:proofErr w:type="spellEnd"/>
      <w:r w:rsidR="00750039">
        <w:t>,</w:t>
      </w:r>
    </w:p>
    <w:p w:rsidR="00983469" w:rsidRDefault="00067FE4" w:rsidP="00983469">
      <w:pPr>
        <w:pStyle w:val="Odsekzoznamu"/>
        <w:numPr>
          <w:ilvl w:val="0"/>
          <w:numId w:val="4"/>
        </w:numPr>
        <w:jc w:val="both"/>
      </w:pPr>
      <w:r>
        <w:t>problematike vinkulačných tlačív a kooperácií členov sekcie pri finalizácii vinkulačného tlačiva</w:t>
      </w:r>
      <w:r w:rsidR="00750039">
        <w:t>,</w:t>
      </w:r>
    </w:p>
    <w:p w:rsidR="00750039" w:rsidRDefault="00750039" w:rsidP="00983469">
      <w:pPr>
        <w:pStyle w:val="Odsekzoznamu"/>
        <w:numPr>
          <w:ilvl w:val="0"/>
          <w:numId w:val="4"/>
        </w:numPr>
        <w:jc w:val="both"/>
      </w:pPr>
      <w:r>
        <w:t>problematike ochrany osobných údajov</w:t>
      </w:r>
      <w:r w:rsidR="00C0204A">
        <w:t xml:space="preserve"> na európskej úrovni (návrh novej úpravy)</w:t>
      </w:r>
      <w:r>
        <w:t>.</w:t>
      </w:r>
    </w:p>
    <w:p w:rsidR="002B1C82" w:rsidRDefault="002B1C82" w:rsidP="002B1C82">
      <w:pPr>
        <w:jc w:val="both"/>
      </w:pPr>
    </w:p>
    <w:p w:rsidR="004349E9" w:rsidRDefault="004349E9" w:rsidP="002B1C82">
      <w:pPr>
        <w:jc w:val="both"/>
      </w:pPr>
      <w:r>
        <w:t>ZÁVER:</w:t>
      </w:r>
    </w:p>
    <w:p w:rsidR="00A963F9" w:rsidRDefault="004349E9" w:rsidP="002B1C82">
      <w:pPr>
        <w:jc w:val="both"/>
      </w:pPr>
      <w:r>
        <w:t xml:space="preserve">SLASPO vyhodnotí zaslané pripomienky v zmysle diskusie členov legislatívnej sekcie, ktoré následne zašle MF SR. O ďalšom vývoji </w:t>
      </w:r>
      <w:r w:rsidR="002154F4">
        <w:t xml:space="preserve">v procese tvorby </w:t>
      </w:r>
      <w:proofErr w:type="spellStart"/>
      <w:r w:rsidR="002154F4">
        <w:t>ZoP</w:t>
      </w:r>
      <w:proofErr w:type="spellEnd"/>
      <w:r w:rsidR="002154F4">
        <w:t xml:space="preserve"> </w:t>
      </w:r>
      <w:r>
        <w:t>budú členovia sekcie informovaní</w:t>
      </w:r>
      <w:r w:rsidR="00A963F9">
        <w:t>.</w:t>
      </w:r>
    </w:p>
    <w:p w:rsidR="002B1C82" w:rsidRPr="00F8223B" w:rsidRDefault="002B1C82" w:rsidP="002B1C82">
      <w:pPr>
        <w:jc w:val="both"/>
      </w:pPr>
      <w:r>
        <w:t>Č</w:t>
      </w:r>
      <w:r w:rsidRPr="00F8223B">
        <w:t xml:space="preserve">lenovia sekcie sa </w:t>
      </w:r>
      <w:r w:rsidRPr="002B1C82">
        <w:rPr>
          <w:i/>
        </w:rPr>
        <w:t>nedohodli</w:t>
      </w:r>
      <w:r w:rsidRPr="00F8223B">
        <w:t xml:space="preserve"> na pevnom termíne nasledujúceho stretnutia. Stretnutie sa uskutoční podľa potreby. O termíne konania stretnutia budú členovia </w:t>
      </w:r>
      <w:r w:rsidR="00A963F9">
        <w:t xml:space="preserve">sekcie </w:t>
      </w:r>
      <w:r w:rsidRPr="00F8223B">
        <w:t>včas informovaní.</w:t>
      </w:r>
    </w:p>
    <w:p w:rsidR="002B1C82" w:rsidRPr="001F07A9" w:rsidRDefault="002B1C82" w:rsidP="002B1C82">
      <w:pPr>
        <w:jc w:val="both"/>
      </w:pPr>
    </w:p>
    <w:p w:rsidR="00F95502" w:rsidRPr="001F07A9" w:rsidRDefault="00F95502" w:rsidP="00E14D3B">
      <w:pPr>
        <w:pStyle w:val="Odsekzoznamu"/>
        <w:ind w:left="284"/>
        <w:jc w:val="both"/>
        <w:rPr>
          <w:rFonts w:asciiTheme="minorHAnsi" w:hAnsiTheme="minorHAnsi"/>
        </w:rPr>
      </w:pPr>
    </w:p>
    <w:p w:rsidR="00BD1D1F" w:rsidRPr="00332324" w:rsidRDefault="00BD1D1F" w:rsidP="00BD1D1F">
      <w:pPr>
        <w:pStyle w:val="Nzov"/>
        <w:tabs>
          <w:tab w:val="left" w:pos="2552"/>
        </w:tabs>
        <w:spacing w:line="276" w:lineRule="auto"/>
        <w:ind w:right="1"/>
        <w:jc w:val="both"/>
        <w:rPr>
          <w:rFonts w:asciiTheme="minorHAnsi" w:hAnsiTheme="minorHAnsi"/>
          <w:b w:val="0"/>
          <w:sz w:val="22"/>
          <w:szCs w:val="22"/>
          <w:lang w:val="sk-SK"/>
        </w:rPr>
      </w:pPr>
      <w:r w:rsidRPr="00332324">
        <w:rPr>
          <w:rFonts w:asciiTheme="minorHAnsi" w:hAnsiTheme="minorHAnsi"/>
          <w:b w:val="0"/>
          <w:sz w:val="22"/>
          <w:szCs w:val="22"/>
          <w:lang w:val="sk-SK"/>
        </w:rPr>
        <w:t>Záp</w:t>
      </w:r>
      <w:r>
        <w:rPr>
          <w:rFonts w:asciiTheme="minorHAnsi" w:hAnsiTheme="minorHAnsi"/>
          <w:b w:val="0"/>
          <w:sz w:val="22"/>
          <w:szCs w:val="22"/>
          <w:lang w:val="sk-SK"/>
        </w:rPr>
        <w:t xml:space="preserve">is vyhotovil: </w:t>
      </w:r>
      <w:r w:rsidRPr="00332324">
        <w:rPr>
          <w:rFonts w:asciiTheme="minorHAnsi" w:hAnsiTheme="minorHAnsi"/>
          <w:b w:val="0"/>
          <w:sz w:val="22"/>
          <w:szCs w:val="22"/>
          <w:lang w:val="sk-SK"/>
        </w:rPr>
        <w:t>Mgr. Mária Lehotská, tajomníčka legislatívnej sekcie</w:t>
      </w:r>
    </w:p>
    <w:p w:rsidR="002134B5" w:rsidRPr="00332324" w:rsidRDefault="002134B5" w:rsidP="002134B5">
      <w:pPr>
        <w:pStyle w:val="Odsekzoznamu"/>
        <w:spacing w:line="276" w:lineRule="auto"/>
        <w:ind w:left="2160"/>
        <w:jc w:val="both"/>
        <w:rPr>
          <w:rFonts w:asciiTheme="minorHAnsi" w:hAnsiTheme="minorHAnsi"/>
          <w:color w:val="000000" w:themeColor="text1"/>
        </w:rPr>
      </w:pPr>
    </w:p>
    <w:sectPr w:rsidR="002134B5" w:rsidRPr="00332324" w:rsidSect="00FD0E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46CA2"/>
    <w:multiLevelType w:val="hybridMultilevel"/>
    <w:tmpl w:val="553E839A"/>
    <w:lvl w:ilvl="0" w:tplc="471A26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05483B"/>
    <w:multiLevelType w:val="hybridMultilevel"/>
    <w:tmpl w:val="61B00AAA"/>
    <w:lvl w:ilvl="0" w:tplc="32A09846">
      <w:numFmt w:val="bullet"/>
      <w:lvlText w:val="-"/>
      <w:lvlJc w:val="left"/>
      <w:pPr>
        <w:ind w:left="383" w:hanging="360"/>
      </w:pPr>
      <w:rPr>
        <w:rFonts w:ascii="Calibri" w:eastAsiaTheme="minorHAns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2">
    <w:nsid w:val="58C835FE"/>
    <w:multiLevelType w:val="hybridMultilevel"/>
    <w:tmpl w:val="3C446C2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5">
      <w:start w:val="1"/>
      <w:numFmt w:val="upperLetter"/>
      <w:lvlText w:val="%2."/>
      <w:lvlJc w:val="left"/>
      <w:pPr>
        <w:tabs>
          <w:tab w:val="num" w:pos="502"/>
        </w:tabs>
        <w:ind w:left="502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445458"/>
    <w:multiLevelType w:val="hybridMultilevel"/>
    <w:tmpl w:val="F5B82472"/>
    <w:lvl w:ilvl="0" w:tplc="E8E41C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735D"/>
    <w:rsid w:val="00016C7F"/>
    <w:rsid w:val="00067FE4"/>
    <w:rsid w:val="000D795E"/>
    <w:rsid w:val="000E140A"/>
    <w:rsid w:val="00113F01"/>
    <w:rsid w:val="00162239"/>
    <w:rsid w:val="0016628E"/>
    <w:rsid w:val="001B0F57"/>
    <w:rsid w:val="001B7C0F"/>
    <w:rsid w:val="001F07A9"/>
    <w:rsid w:val="001F735D"/>
    <w:rsid w:val="002134B5"/>
    <w:rsid w:val="002154F4"/>
    <w:rsid w:val="00224F39"/>
    <w:rsid w:val="00291211"/>
    <w:rsid w:val="002B1C82"/>
    <w:rsid w:val="002B3087"/>
    <w:rsid w:val="002C5ED8"/>
    <w:rsid w:val="002D2FD1"/>
    <w:rsid w:val="002F040B"/>
    <w:rsid w:val="00307916"/>
    <w:rsid w:val="003231FB"/>
    <w:rsid w:val="00434758"/>
    <w:rsid w:val="004349E9"/>
    <w:rsid w:val="004B0E0C"/>
    <w:rsid w:val="004D3468"/>
    <w:rsid w:val="0053352F"/>
    <w:rsid w:val="00614287"/>
    <w:rsid w:val="00644062"/>
    <w:rsid w:val="00683BD2"/>
    <w:rsid w:val="006F024C"/>
    <w:rsid w:val="00750039"/>
    <w:rsid w:val="007C7D76"/>
    <w:rsid w:val="007F4E4A"/>
    <w:rsid w:val="0082186A"/>
    <w:rsid w:val="008845C4"/>
    <w:rsid w:val="008F7E1E"/>
    <w:rsid w:val="00904C85"/>
    <w:rsid w:val="00911540"/>
    <w:rsid w:val="009217FE"/>
    <w:rsid w:val="00983469"/>
    <w:rsid w:val="009A4E4D"/>
    <w:rsid w:val="009C29C8"/>
    <w:rsid w:val="009F1937"/>
    <w:rsid w:val="00A24FD4"/>
    <w:rsid w:val="00A61F58"/>
    <w:rsid w:val="00A70F75"/>
    <w:rsid w:val="00A80EC9"/>
    <w:rsid w:val="00A963F9"/>
    <w:rsid w:val="00AD7DA6"/>
    <w:rsid w:val="00B62909"/>
    <w:rsid w:val="00B87A8D"/>
    <w:rsid w:val="00BD1D1F"/>
    <w:rsid w:val="00C0204A"/>
    <w:rsid w:val="00C339FD"/>
    <w:rsid w:val="00CA102E"/>
    <w:rsid w:val="00CF2C16"/>
    <w:rsid w:val="00D41950"/>
    <w:rsid w:val="00D719E0"/>
    <w:rsid w:val="00D73870"/>
    <w:rsid w:val="00D94551"/>
    <w:rsid w:val="00DE1691"/>
    <w:rsid w:val="00DE7D6E"/>
    <w:rsid w:val="00E14D3B"/>
    <w:rsid w:val="00E17984"/>
    <w:rsid w:val="00EA582E"/>
    <w:rsid w:val="00EB6680"/>
    <w:rsid w:val="00EC6798"/>
    <w:rsid w:val="00EE3A99"/>
    <w:rsid w:val="00F54084"/>
    <w:rsid w:val="00F95502"/>
    <w:rsid w:val="00FB365E"/>
    <w:rsid w:val="00FB68D1"/>
    <w:rsid w:val="00FC50C5"/>
    <w:rsid w:val="00FD0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D0E1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1F735D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val="en-US"/>
    </w:rPr>
  </w:style>
  <w:style w:type="character" w:customStyle="1" w:styleId="NzovChar">
    <w:name w:val="Názov Char"/>
    <w:basedOn w:val="Predvolenpsmoodseku"/>
    <w:link w:val="Nzov"/>
    <w:rsid w:val="001F735D"/>
    <w:rPr>
      <w:rFonts w:ascii="Arial" w:eastAsia="Times New Roman" w:hAnsi="Arial" w:cs="Times New Roman"/>
      <w:b/>
      <w:sz w:val="24"/>
      <w:szCs w:val="20"/>
      <w:lang w:val="en-US"/>
    </w:rPr>
  </w:style>
  <w:style w:type="paragraph" w:styleId="Odsekzoznamu">
    <w:name w:val="List Paragraph"/>
    <w:basedOn w:val="Normlny"/>
    <w:uiPriority w:val="34"/>
    <w:qFormat/>
    <w:rsid w:val="001F735D"/>
    <w:pPr>
      <w:spacing w:after="0" w:line="240" w:lineRule="auto"/>
      <w:ind w:left="720"/>
    </w:pPr>
    <w:rPr>
      <w:rFonts w:ascii="Calibri" w:hAnsi="Calibri" w:cs="Times New Roman"/>
      <w:lang w:eastAsia="sk-SK"/>
    </w:rPr>
  </w:style>
  <w:style w:type="paragraph" w:styleId="Hlavika">
    <w:name w:val="header"/>
    <w:basedOn w:val="Normlny"/>
    <w:link w:val="HlavikaChar"/>
    <w:semiHidden/>
    <w:rsid w:val="001F735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18"/>
      <w:szCs w:val="20"/>
      <w:lang w:val="en-US"/>
    </w:rPr>
  </w:style>
  <w:style w:type="character" w:customStyle="1" w:styleId="HlavikaChar">
    <w:name w:val="Hlavička Char"/>
    <w:basedOn w:val="Predvolenpsmoodseku"/>
    <w:link w:val="Hlavika"/>
    <w:semiHidden/>
    <w:rsid w:val="001F735D"/>
    <w:rPr>
      <w:rFonts w:ascii="Arial" w:eastAsia="Times New Roman" w:hAnsi="Arial" w:cs="Times New Roman"/>
      <w:sz w:val="18"/>
      <w:szCs w:val="20"/>
      <w:lang w:val="en-US"/>
    </w:rPr>
  </w:style>
  <w:style w:type="character" w:styleId="Odkaznakomentr">
    <w:name w:val="annotation reference"/>
    <w:semiHidden/>
    <w:rsid w:val="002134B5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2134B5"/>
    <w:rPr>
      <w:rFonts w:ascii="Calibri" w:eastAsia="Times New Roman" w:hAnsi="Calibri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2134B5"/>
    <w:rPr>
      <w:rFonts w:ascii="Calibri" w:eastAsia="Times New Roman" w:hAnsi="Calibri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3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34B5"/>
    <w:rPr>
      <w:rFonts w:ascii="Tahoma" w:hAnsi="Tahoma" w:cs="Tahoma"/>
      <w:sz w:val="16"/>
      <w:szCs w:val="16"/>
    </w:rPr>
  </w:style>
  <w:style w:type="paragraph" w:customStyle="1" w:styleId="Normlnywebov8">
    <w:name w:val="Normálny (webový)8"/>
    <w:basedOn w:val="Normlny"/>
    <w:rsid w:val="007C7D76"/>
    <w:pPr>
      <w:spacing w:before="75" w:after="75" w:line="240" w:lineRule="auto"/>
      <w:ind w:left="225" w:right="225"/>
    </w:pPr>
    <w:rPr>
      <w:rFonts w:ascii="Times New Roman" w:eastAsia="Calibri" w:hAnsi="Times New Roman" w:cs="Times New Roman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lehotska</dc:creator>
  <cp:lastModifiedBy>lehotska</cp:lastModifiedBy>
  <cp:revision>61</cp:revision>
  <dcterms:created xsi:type="dcterms:W3CDTF">2012-03-21T12:59:00Z</dcterms:created>
  <dcterms:modified xsi:type="dcterms:W3CDTF">2012-04-03T12:45:00Z</dcterms:modified>
</cp:coreProperties>
</file>