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D8" w:rsidRDefault="00424F37" w:rsidP="00424F37">
      <w:pPr>
        <w:jc w:val="center"/>
        <w:rPr>
          <w:b/>
        </w:rPr>
      </w:pPr>
      <w:r w:rsidRPr="00424F37">
        <w:rPr>
          <w:b/>
        </w:rPr>
        <w:t xml:space="preserve">Zápis zo stretnutia k vinkulačným tlačivám </w:t>
      </w:r>
    </w:p>
    <w:p w:rsidR="001E55D8" w:rsidRDefault="001E55D8" w:rsidP="001E55D8">
      <w:pPr>
        <w:jc w:val="both"/>
        <w:rPr>
          <w:b/>
        </w:rPr>
      </w:pPr>
    </w:p>
    <w:p w:rsidR="00424F37" w:rsidRDefault="001E55D8" w:rsidP="001E55D8">
      <w:pPr>
        <w:jc w:val="both"/>
      </w:pPr>
      <w:r>
        <w:t xml:space="preserve">Termín konania stretnutia: </w:t>
      </w:r>
      <w:r w:rsidR="00424F37">
        <w:t xml:space="preserve">21. septembra 2011 </w:t>
      </w:r>
    </w:p>
    <w:p w:rsidR="00D32286" w:rsidRDefault="001E55D8" w:rsidP="001E55D8">
      <w:pPr>
        <w:jc w:val="both"/>
      </w:pPr>
      <w:r>
        <w:t xml:space="preserve">Miesto stretnutia: </w:t>
      </w:r>
      <w:r w:rsidR="00424F37">
        <w:t>zasadačk</w:t>
      </w:r>
      <w:r>
        <w:t>a</w:t>
      </w:r>
      <w:r w:rsidR="00424F37">
        <w:t xml:space="preserve"> SLASPO, Drieňová 34, 820 09 Bratislava 29</w:t>
      </w:r>
    </w:p>
    <w:p w:rsidR="001E55D8" w:rsidRDefault="001E55D8" w:rsidP="001E55D8">
      <w:pPr>
        <w:jc w:val="both"/>
      </w:pPr>
      <w:r>
        <w:t xml:space="preserve">Účastníci stretnutia: </w:t>
      </w:r>
      <w:r w:rsidR="00F234D1">
        <w:t>podľa</w:t>
      </w:r>
      <w:r>
        <w:t xml:space="preserve"> prezenčn</w:t>
      </w:r>
      <w:r w:rsidR="00F234D1">
        <w:t>ej</w:t>
      </w:r>
      <w:r>
        <w:t xml:space="preserve"> listiny</w:t>
      </w:r>
    </w:p>
    <w:p w:rsidR="002F642E" w:rsidRDefault="002F642E" w:rsidP="001E55D8">
      <w:pPr>
        <w:jc w:val="both"/>
      </w:pPr>
      <w:r>
        <w:t>Zápis vyhotovil: Mária Lehotská</w:t>
      </w:r>
    </w:p>
    <w:p w:rsidR="00CC601B" w:rsidRDefault="007356B5" w:rsidP="001E55D8">
      <w:pPr>
        <w:jc w:val="both"/>
      </w:pPr>
      <w:r>
        <w:t xml:space="preserve">Stretnutie začalo </w:t>
      </w:r>
      <w:proofErr w:type="spellStart"/>
      <w:r>
        <w:t>odprezentovaním</w:t>
      </w:r>
      <w:proofErr w:type="spellEnd"/>
      <w:r>
        <w:t xml:space="preserve"> návrhu vzorového tlačiva k vinkuláciám zástupcom Slovenskej bankovej asociácie (SBA) Mgr. Vladimírom </w:t>
      </w:r>
      <w:proofErr w:type="spellStart"/>
      <w:r>
        <w:t>Hrtkom</w:t>
      </w:r>
      <w:proofErr w:type="spellEnd"/>
      <w:r>
        <w:t xml:space="preserve">, PhD., ktorý vyzdvihol kľúčové oblasti z pohľadu bankového sektora. </w:t>
      </w:r>
      <w:r w:rsidR="00362406">
        <w:t>Podľa jeho vyjadrení by t</w:t>
      </w:r>
      <w:r w:rsidR="00B42638">
        <w:t>ento návrh tlačiva mohol byť prvým krokom</w:t>
      </w:r>
      <w:r w:rsidR="00362406">
        <w:t>,</w:t>
      </w:r>
      <w:r w:rsidR="00B42638">
        <w:t xml:space="preserve"> </w:t>
      </w:r>
      <w:r w:rsidR="00362406">
        <w:t xml:space="preserve">po </w:t>
      </w:r>
      <w:r w:rsidR="00B42638">
        <w:t>k</w:t>
      </w:r>
      <w:r w:rsidR="00362406">
        <w:t xml:space="preserve">torom by </w:t>
      </w:r>
      <w:r w:rsidR="00B93E41">
        <w:t xml:space="preserve">mohlo </w:t>
      </w:r>
      <w:r w:rsidR="00362406">
        <w:t>nasledova</w:t>
      </w:r>
      <w:r w:rsidR="00B93E41">
        <w:t>ť</w:t>
      </w:r>
      <w:r w:rsidR="00B42638">
        <w:t> vy</w:t>
      </w:r>
      <w:r w:rsidR="00362406">
        <w:t>pracovanie</w:t>
      </w:r>
      <w:r w:rsidR="00B42638">
        <w:t xml:space="preserve"> ďalších spoločných </w:t>
      </w:r>
      <w:r w:rsidR="00362406">
        <w:t xml:space="preserve">vinkulačných </w:t>
      </w:r>
      <w:r w:rsidR="00B42638">
        <w:t xml:space="preserve">tlačív </w:t>
      </w:r>
      <w:r w:rsidR="00565E7A">
        <w:t xml:space="preserve">napr. </w:t>
      </w:r>
      <w:r w:rsidR="00362406">
        <w:t>v prípade poistenia</w:t>
      </w:r>
      <w:r w:rsidR="00B42638">
        <w:t xml:space="preserve"> PO, </w:t>
      </w:r>
      <w:r w:rsidR="00565E7A">
        <w:t xml:space="preserve">v </w:t>
      </w:r>
      <w:r w:rsidR="00B42638">
        <w:t>životn</w:t>
      </w:r>
      <w:r w:rsidR="00362406">
        <w:t>o</w:t>
      </w:r>
      <w:r w:rsidR="00565E7A">
        <w:t>m</w:t>
      </w:r>
      <w:r w:rsidR="00B42638">
        <w:t xml:space="preserve"> poisten</w:t>
      </w:r>
      <w:r w:rsidR="00565E7A">
        <w:t>í</w:t>
      </w:r>
      <w:r w:rsidR="00B42638">
        <w:t>, či vinkuláci</w:t>
      </w:r>
      <w:r w:rsidR="00362406">
        <w:t>í poistného plnenia za motorové vozidlá.</w:t>
      </w:r>
      <w:r w:rsidR="00B42638">
        <w:t xml:space="preserve"> </w:t>
      </w:r>
      <w:r w:rsidR="00D4074B">
        <w:t>Týmto návrhom vinkulačného tlačiva</w:t>
      </w:r>
      <w:r w:rsidR="00EA6B3A">
        <w:t xml:space="preserve"> sa spravuje obdobie </w:t>
      </w:r>
      <w:r w:rsidR="00D90E80">
        <w:t>od uzavretia poist</w:t>
      </w:r>
      <w:r w:rsidR="00A5004F">
        <w:t xml:space="preserve">nej zmluvy </w:t>
      </w:r>
      <w:r w:rsidR="00CC601B">
        <w:t xml:space="preserve">k nehnuteľnosti, ku ktorej bolo zriadené záložné právo </w:t>
      </w:r>
      <w:r w:rsidR="00EA6B3A">
        <w:t xml:space="preserve">do doručenia listu vlastníctva poisťovni, </w:t>
      </w:r>
      <w:r w:rsidR="00252157">
        <w:t>kedy</w:t>
      </w:r>
      <w:r w:rsidR="00EA6B3A">
        <w:t xml:space="preserve"> je </w:t>
      </w:r>
      <w:r w:rsidR="00252157">
        <w:t xml:space="preserve">jej </w:t>
      </w:r>
      <w:r w:rsidR="00EA6B3A">
        <w:t>oznámen</w:t>
      </w:r>
      <w:r w:rsidR="00252157">
        <w:t>ý</w:t>
      </w:r>
      <w:r w:rsidR="00EA6B3A">
        <w:t xml:space="preserve"> vznik záložného práva v prospech banky</w:t>
      </w:r>
      <w:r w:rsidR="00CC601B">
        <w:t>;</w:t>
      </w:r>
      <w:r w:rsidR="00EA6B3A">
        <w:t xml:space="preserve"> potom sa už postupuje v zmysle ustanovenia § 151mc OZ. </w:t>
      </w:r>
      <w:r w:rsidR="00704692">
        <w:t>Vytvorenie spoločného vinkulačného tlačiva bánk a poisťovní, podľa vyjadrení zástupcov SBA, v súčasnosti podporujú tieto banky : VÚB, SLSP, Tatra banka a ČSOB. Keďže ide o banky pokrývajúce väčšinu trh</w:t>
      </w:r>
      <w:r w:rsidR="00252157">
        <w:t>u</w:t>
      </w:r>
      <w:r w:rsidR="00704692">
        <w:t>, predpoklad</w:t>
      </w:r>
      <w:r w:rsidR="00252157">
        <w:t>á</w:t>
      </w:r>
      <w:r w:rsidR="00704692">
        <w:t xml:space="preserve"> </w:t>
      </w:r>
      <w:r w:rsidR="00252157">
        <w:t xml:space="preserve">sa </w:t>
      </w:r>
      <w:r w:rsidR="00704692">
        <w:t xml:space="preserve">pristúpenie </w:t>
      </w:r>
      <w:r w:rsidR="00252157">
        <w:t xml:space="preserve">aj </w:t>
      </w:r>
      <w:r w:rsidR="00704692">
        <w:t>ostatných bánk k tomuto vzorovému tlačivu.</w:t>
      </w:r>
    </w:p>
    <w:p w:rsidR="007356B5" w:rsidRDefault="00CC601B" w:rsidP="001E55D8">
      <w:pPr>
        <w:jc w:val="both"/>
      </w:pPr>
      <w:r>
        <w:t xml:space="preserve">Po tomto úvodnom </w:t>
      </w:r>
      <w:r w:rsidR="00E74CE9">
        <w:t xml:space="preserve">oboznámení sa s návrhom tlačiva </w:t>
      </w:r>
      <w:r w:rsidR="00EA6B3A">
        <w:t>zúčastnení</w:t>
      </w:r>
      <w:r w:rsidR="007356B5">
        <w:t xml:space="preserve"> </w:t>
      </w:r>
      <w:r w:rsidR="00EA6B3A">
        <w:t>diskutovali o</w:t>
      </w:r>
      <w:r w:rsidR="00E74CE9">
        <w:t xml:space="preserve"> jeho</w:t>
      </w:r>
      <w:r w:rsidR="00EA6B3A">
        <w:t xml:space="preserve"> jednotlivých článkoch</w:t>
      </w:r>
      <w:r w:rsidR="000D075D">
        <w:t>.</w:t>
      </w:r>
    </w:p>
    <w:p w:rsidR="007356B5" w:rsidRDefault="007356B5" w:rsidP="001E55D8">
      <w:pPr>
        <w:jc w:val="both"/>
      </w:pPr>
      <w:r>
        <w:t>Pripomienky zástupcov poisťovní, pri  ktorých došlo k zhode s SBA:</w:t>
      </w:r>
    </w:p>
    <w:p w:rsidR="007356B5" w:rsidRDefault="000808A5" w:rsidP="007356B5">
      <w:pPr>
        <w:pStyle w:val="Odsekzoznamu"/>
        <w:numPr>
          <w:ilvl w:val="0"/>
          <w:numId w:val="1"/>
        </w:numPr>
        <w:jc w:val="both"/>
      </w:pPr>
      <w:r>
        <w:t>v</w:t>
      </w:r>
      <w:r w:rsidR="002037AE">
        <w:t> čl. I</w:t>
      </w:r>
      <w:r w:rsidR="003435A1">
        <w:t> </w:t>
      </w:r>
      <w:r w:rsidR="007356B5">
        <w:t>dopln</w:t>
      </w:r>
      <w:r w:rsidR="003435A1">
        <w:t>iť</w:t>
      </w:r>
      <w:r w:rsidR="007356B5">
        <w:t xml:space="preserve"> </w:t>
      </w:r>
      <w:r w:rsidR="003435A1">
        <w:t>ďalšieho účastníka</w:t>
      </w:r>
      <w:r w:rsidR="007356B5">
        <w:t>, a to o </w:t>
      </w:r>
      <w:r w:rsidR="007356B5" w:rsidRPr="000E5CA9">
        <w:rPr>
          <w:i/>
        </w:rPr>
        <w:t>poisteného</w:t>
      </w:r>
      <w:r w:rsidR="007356B5" w:rsidRPr="000E5CA9">
        <w:t>,</w:t>
      </w:r>
      <w:r w:rsidR="007356B5">
        <w:rPr>
          <w:b/>
        </w:rPr>
        <w:t xml:space="preserve"> </w:t>
      </w:r>
      <w:r w:rsidR="00A659EC">
        <w:t>ak poistník a poistený nie sú totožné</w:t>
      </w:r>
      <w:r w:rsidR="007356B5">
        <w:t> osob</w:t>
      </w:r>
      <w:r w:rsidR="00A659EC">
        <w:t xml:space="preserve">y; </w:t>
      </w:r>
      <w:r w:rsidR="003173CC">
        <w:t>následne na t</w:t>
      </w:r>
      <w:r w:rsidR="00B42638">
        <w:t>út</w:t>
      </w:r>
      <w:r w:rsidR="003173CC">
        <w:t xml:space="preserve">o </w:t>
      </w:r>
      <w:r w:rsidR="00B42638">
        <w:t xml:space="preserve">zmenu </w:t>
      </w:r>
      <w:r w:rsidR="003173CC">
        <w:t xml:space="preserve">sa vykonajú </w:t>
      </w:r>
      <w:r w:rsidR="00875A2E">
        <w:t>úpravy v celom</w:t>
      </w:r>
      <w:r w:rsidR="0080727F">
        <w:t xml:space="preserve"> </w:t>
      </w:r>
      <w:r w:rsidR="003173CC">
        <w:t>texte návrhu tlačiva</w:t>
      </w:r>
      <w:r w:rsidR="0080727F">
        <w:t>,</w:t>
      </w:r>
    </w:p>
    <w:p w:rsidR="007356B5" w:rsidRDefault="000808A5" w:rsidP="007356B5">
      <w:pPr>
        <w:pStyle w:val="Odsekzoznamu"/>
        <w:numPr>
          <w:ilvl w:val="0"/>
          <w:numId w:val="1"/>
        </w:numPr>
        <w:jc w:val="both"/>
      </w:pPr>
      <w:r>
        <w:t>v</w:t>
      </w:r>
      <w:r w:rsidR="002037AE">
        <w:t xml:space="preserve"> čl. II </w:t>
      </w:r>
      <w:r w:rsidR="007356B5">
        <w:t>určiť predmet poistenia doplnením údajov o liste vlastníctva a ďalších identifikátorov nehnuteľnosti,</w:t>
      </w:r>
      <w:r w:rsidR="004C631F">
        <w:t xml:space="preserve"> keďže v návrhu chýba jej presná špecifikácia,</w:t>
      </w:r>
    </w:p>
    <w:p w:rsidR="003173CC" w:rsidRPr="001C10B0" w:rsidRDefault="000808A5" w:rsidP="007356B5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>v</w:t>
      </w:r>
      <w:r w:rsidR="001C10B0">
        <w:t xml:space="preserve"> čl. III písm. b) doplnenie čísla účtu, na ktoré má byť vyplatené poistné plnenie z dôvodu </w:t>
      </w:r>
      <w:r w:rsidR="001C10B0" w:rsidRPr="001C10B0">
        <w:rPr>
          <w:color w:val="000000" w:themeColor="text1"/>
        </w:rPr>
        <w:t>dodržania ustanov</w:t>
      </w:r>
      <w:r w:rsidR="001C10B0">
        <w:rPr>
          <w:color w:val="000000" w:themeColor="text1"/>
        </w:rPr>
        <w:t>e</w:t>
      </w:r>
      <w:r w:rsidR="001C10B0" w:rsidRPr="001C10B0">
        <w:rPr>
          <w:color w:val="000000" w:themeColor="text1"/>
        </w:rPr>
        <w:t xml:space="preserve">ní zákona č. 367/2000 Z. z. o ochrane pred legalizáciou príjmov z trestnej činnosti </w:t>
      </w:r>
      <w:r w:rsidR="001C10B0" w:rsidRPr="001C10B0">
        <w:rPr>
          <w:rFonts w:cs="Tahoma"/>
          <w:bCs/>
          <w:color w:val="000000" w:themeColor="text1"/>
        </w:rPr>
        <w:t>a o ochrane pred financovaním terorizmu a o zmene a doplnení niektorých zákonov</w:t>
      </w:r>
      <w:r w:rsidR="001C10B0">
        <w:rPr>
          <w:rFonts w:cs="Tahoma"/>
          <w:bCs/>
          <w:color w:val="000000" w:themeColor="text1"/>
        </w:rPr>
        <w:t xml:space="preserve"> v znení </w:t>
      </w:r>
      <w:proofErr w:type="spellStart"/>
      <w:r w:rsidR="001C10B0">
        <w:rPr>
          <w:rFonts w:cs="Tahoma"/>
          <w:bCs/>
          <w:color w:val="000000" w:themeColor="text1"/>
        </w:rPr>
        <w:t>n.p</w:t>
      </w:r>
      <w:proofErr w:type="spellEnd"/>
      <w:r w:rsidR="001C10B0">
        <w:rPr>
          <w:rFonts w:cs="Tahoma"/>
          <w:bCs/>
          <w:color w:val="000000" w:themeColor="text1"/>
        </w:rPr>
        <w:t>.</w:t>
      </w:r>
      <w:r w:rsidR="002E5510">
        <w:rPr>
          <w:rFonts w:cs="Tahoma"/>
          <w:bCs/>
          <w:color w:val="000000" w:themeColor="text1"/>
        </w:rPr>
        <w:t>; zároveň v slovnom spojení „následne jej vyplatila“ vypustiť slovo „jej“, keďže môže dôjsť k vyplateniu sumy i priamo na účet poisteného a nie na účet banky,</w:t>
      </w:r>
    </w:p>
    <w:p w:rsidR="001C10B0" w:rsidRPr="005065D9" w:rsidRDefault="000808A5" w:rsidP="007356B5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v </w:t>
      </w:r>
      <w:r w:rsidR="001C10B0">
        <w:t xml:space="preserve">čl. IV je potrebné rozlíšiť , ktoré vyhlásenia môže </w:t>
      </w:r>
      <w:r w:rsidR="00E24F57">
        <w:t>urob</w:t>
      </w:r>
      <w:r w:rsidR="001C10B0">
        <w:t>iť poisťovňa, a ktoré poistník,</w:t>
      </w:r>
    </w:p>
    <w:p w:rsidR="00E24FDE" w:rsidRPr="00E24FDE" w:rsidRDefault="000808A5" w:rsidP="007356B5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v </w:t>
      </w:r>
      <w:r w:rsidR="00E24FDE">
        <w:t xml:space="preserve">čl. IV </w:t>
      </w:r>
      <w:r w:rsidR="0069033F">
        <w:t>v odseku na konci</w:t>
      </w:r>
      <w:r w:rsidR="00E24FDE">
        <w:t xml:space="preserve"> doplniť, že nepostúpenie pohľadávky sa nevzťahuje na prípady, keď s postúpením súhlasí banka (pôjde najmä o prípady refinancovania úveru inou bankou)</w:t>
      </w:r>
      <w:r w:rsidR="0069033F">
        <w:t>,</w:t>
      </w:r>
    </w:p>
    <w:p w:rsidR="005065D9" w:rsidRPr="00281EED" w:rsidRDefault="000808A5" w:rsidP="007356B5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>v</w:t>
      </w:r>
      <w:r w:rsidR="005065D9">
        <w:t> celom návrhu zosúladiť dĺžku lehôt, aby v praxi nedochádzalo k ich zamieňaniu</w:t>
      </w:r>
      <w:r w:rsidR="00240874">
        <w:t>, príp. zmeškaniu a</w:t>
      </w:r>
      <w:r w:rsidR="002E294C">
        <w:t xml:space="preserve"> zamedziť </w:t>
      </w:r>
      <w:r w:rsidR="00240874">
        <w:t xml:space="preserve"> </w:t>
      </w:r>
      <w:r w:rsidR="002E294C">
        <w:t xml:space="preserve">sťažovaniu </w:t>
      </w:r>
      <w:r w:rsidR="00240874">
        <w:t>administratívneho procesu v poisťovniach</w:t>
      </w:r>
      <w:r w:rsidR="005065D9">
        <w:t>,</w:t>
      </w:r>
    </w:p>
    <w:p w:rsidR="00B741AE" w:rsidRPr="00565E7A" w:rsidRDefault="00B741AE" w:rsidP="007356B5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v čl. V písm. c) doplniť </w:t>
      </w:r>
      <w:r w:rsidR="006D3FBD">
        <w:t xml:space="preserve">pri </w:t>
      </w:r>
      <w:r>
        <w:t>povinnos</w:t>
      </w:r>
      <w:r w:rsidR="006D3FBD">
        <w:t>ti</w:t>
      </w:r>
      <w:r>
        <w:t xml:space="preserve"> informovať o všetkých zmenách slovo „podstatných“, keďže na informovaní o všetkých zmenách banka nemá záujem a bola by to zbytočná administratívna záťaž pr</w:t>
      </w:r>
      <w:r w:rsidR="006D3FBD">
        <w:t>e poisťovne,</w:t>
      </w:r>
      <w:r>
        <w:t xml:space="preserve"> </w:t>
      </w:r>
    </w:p>
    <w:p w:rsidR="00B741AE" w:rsidRPr="00B741AE" w:rsidRDefault="00565E7A" w:rsidP="00B741AE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v čl. </w:t>
      </w:r>
      <w:r w:rsidR="00B741AE">
        <w:t>V</w:t>
      </w:r>
      <w:r>
        <w:t xml:space="preserve"> písm. d) upraviť povinnosť poisťovne informovať banku o zániku poistnej zmluvy do x dní (na dĺžke lehôt sa dohodne, viď bod 6) od dňa, kedy sa poisťovňa </w:t>
      </w:r>
      <w:r w:rsidRPr="00565E7A">
        <w:rPr>
          <w:i/>
        </w:rPr>
        <w:t>dozvedela</w:t>
      </w:r>
      <w:r>
        <w:t xml:space="preserve">, že nastala </w:t>
      </w:r>
      <w:r>
        <w:lastRenderedPageBreak/>
        <w:t>skutočnosť majúca za následok zánik poistnej zmluvy; nie v lehote 3 prac. dní odo dňa kedy skutočnosť nastala</w:t>
      </w:r>
      <w:r w:rsidR="00B741AE">
        <w:t>,</w:t>
      </w:r>
    </w:p>
    <w:p w:rsidR="00B741AE" w:rsidRPr="00B741AE" w:rsidRDefault="00B741AE" w:rsidP="00B741AE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 v bankách a poisťovniach vytvoriť v prípade komunikácie ohľadne vinkulačných tlačív, jednu e-mailová adresu, neviazanú na konkrétneho pracovníka, aby bol celý administratívny proces plynulý a čo najrýchlejší (v prípade fluktuácie zamestnancov, by sa museli opätovne oznamovať nové a</w:t>
      </w:r>
      <w:r w:rsidR="002D5518">
        <w:t>dresy pre vzájomnú komunikáciu).</w:t>
      </w:r>
    </w:p>
    <w:p w:rsidR="00565E7A" w:rsidRPr="00E24F57" w:rsidRDefault="00565E7A" w:rsidP="002D5518">
      <w:pPr>
        <w:pStyle w:val="Odsekzoznamu"/>
        <w:jc w:val="both"/>
        <w:rPr>
          <w:color w:val="000000" w:themeColor="text1"/>
        </w:rPr>
      </w:pPr>
    </w:p>
    <w:p w:rsidR="00165A35" w:rsidRDefault="00423444" w:rsidP="00ED0402">
      <w:pPr>
        <w:jc w:val="both"/>
      </w:pPr>
      <w:r>
        <w:rPr>
          <w:color w:val="000000" w:themeColor="text1"/>
        </w:rPr>
        <w:t>Keďže počas</w:t>
      </w:r>
      <w:r w:rsidR="00ED0402">
        <w:rPr>
          <w:color w:val="000000" w:themeColor="text1"/>
        </w:rPr>
        <w:t xml:space="preserve"> stretnutia </w:t>
      </w:r>
      <w:r w:rsidR="00E24F57">
        <w:rPr>
          <w:color w:val="000000" w:themeColor="text1"/>
        </w:rPr>
        <w:t>nedošlo k spoločnému záveru</w:t>
      </w:r>
      <w:r>
        <w:rPr>
          <w:color w:val="000000" w:themeColor="text1"/>
        </w:rPr>
        <w:t>,</w:t>
      </w:r>
      <w:r w:rsidR="00E24F57">
        <w:rPr>
          <w:color w:val="000000" w:themeColor="text1"/>
        </w:rPr>
        <w:t> ostáva otvoren</w:t>
      </w:r>
      <w:r w:rsidR="00ED0402">
        <w:rPr>
          <w:color w:val="000000" w:themeColor="text1"/>
        </w:rPr>
        <w:t>á otázka</w:t>
      </w:r>
      <w:r w:rsidR="00E24F57">
        <w:rPr>
          <w:color w:val="000000" w:themeColor="text1"/>
        </w:rPr>
        <w:t> </w:t>
      </w:r>
      <w:r w:rsidR="00DC0F3F">
        <w:t xml:space="preserve"> </w:t>
      </w:r>
      <w:r w:rsidR="00893D3F">
        <w:t>vyhlásenia poisťovne</w:t>
      </w:r>
    </w:p>
    <w:p w:rsidR="00DC0F3F" w:rsidRPr="00165A35" w:rsidRDefault="00DC0F3F" w:rsidP="00165A35">
      <w:pPr>
        <w:pStyle w:val="Odsekzoznamu"/>
        <w:numPr>
          <w:ilvl w:val="0"/>
          <w:numId w:val="3"/>
        </w:numPr>
        <w:jc w:val="both"/>
        <w:rPr>
          <w:color w:val="000000" w:themeColor="text1"/>
        </w:rPr>
      </w:pPr>
      <w:r>
        <w:t>ohľadne „novej ceny“</w:t>
      </w:r>
      <w:r w:rsidR="00ED0402">
        <w:t xml:space="preserve"> </w:t>
      </w:r>
      <w:r>
        <w:t xml:space="preserve"> </w:t>
      </w:r>
      <w:r w:rsidR="00893D3F">
        <w:t>[</w:t>
      </w:r>
      <w:r w:rsidR="00ED0402" w:rsidRPr="00165A35">
        <w:rPr>
          <w:color w:val="000000" w:themeColor="text1"/>
        </w:rPr>
        <w:t>čl. IV</w:t>
      </w:r>
      <w:r w:rsidR="00ED0402" w:rsidRPr="00281EED">
        <w:t xml:space="preserve"> </w:t>
      </w:r>
      <w:r w:rsidR="00ED0402">
        <w:t>písm. d)</w:t>
      </w:r>
      <w:r w:rsidR="00893D3F">
        <w:t>]</w:t>
      </w:r>
      <w:r w:rsidR="00C32BEF">
        <w:t>,</w:t>
      </w:r>
      <w:r w:rsidR="00ED0402">
        <w:t xml:space="preserve"> </w:t>
      </w:r>
      <w:r>
        <w:t>ktorá ešte bude predmetom diskusie</w:t>
      </w:r>
      <w:r w:rsidR="008E23C5">
        <w:t xml:space="preserve"> aj na úrovni zástupcov bánk; zástupcovia poisťovní argumentovali, že takéto všeobecné vyhlásenie nemôže poisťovňa urobiť</w:t>
      </w:r>
      <w:r w:rsidR="000E5CA9">
        <w:t xml:space="preserve"> a navrhovali súčinnosť banky, ktorá by vyhlásila, že sa oboznámila s obsahom </w:t>
      </w:r>
      <w:r w:rsidR="00FA636F">
        <w:t>VPP,</w:t>
      </w:r>
    </w:p>
    <w:p w:rsidR="00165A35" w:rsidRPr="00B77FB1" w:rsidRDefault="00893D3F" w:rsidP="00165A35">
      <w:pPr>
        <w:pStyle w:val="Odsekzoznamu"/>
        <w:numPr>
          <w:ilvl w:val="0"/>
          <w:numId w:val="3"/>
        </w:numPr>
        <w:jc w:val="both"/>
        <w:rPr>
          <w:color w:val="000000" w:themeColor="text1"/>
        </w:rPr>
      </w:pPr>
      <w:r>
        <w:t>v</w:t>
      </w:r>
      <w:r w:rsidR="00165A35">
        <w:t xml:space="preserve">edomosti </w:t>
      </w:r>
      <w:r>
        <w:t>, že by nastala okolnosť, ktorá by podľa Poistnej zmluvy spôsobila alebo mohla spôsobiť jej zánik [čl. IV</w:t>
      </w:r>
      <w:r w:rsidR="00AC20F3">
        <w:t xml:space="preserve"> P</w:t>
      </w:r>
      <w:r>
        <w:t>ísm</w:t>
      </w:r>
      <w:r w:rsidR="00AC20F3">
        <w:t>.</w:t>
      </w:r>
      <w:r>
        <w:t xml:space="preserve"> c)]</w:t>
      </w:r>
      <w:r w:rsidR="00FA636F">
        <w:t xml:space="preserve">, keďže poistné zmluvy uzavierajú sprostredkovatelia </w:t>
      </w:r>
      <w:r w:rsidR="00EA6B3A">
        <w:t xml:space="preserve">(v niektorých poisťovniach vinkulačné tlačivá potvrdzujú pre banky priamo sprostredkovatelia), </w:t>
      </w:r>
      <w:r w:rsidR="00FA636F">
        <w:t>môže dôjsť k zisteniu tejto okolnosti</w:t>
      </w:r>
      <w:r w:rsidR="00EA6B3A">
        <w:t xml:space="preserve"> až</w:t>
      </w:r>
      <w:r w:rsidR="00FA636F">
        <w:t xml:space="preserve"> následne ústredím poisťovne.</w:t>
      </w:r>
    </w:p>
    <w:p w:rsidR="00B77FB1" w:rsidRPr="00D4074B" w:rsidRDefault="00B77FB1" w:rsidP="000573E3">
      <w:pPr>
        <w:pStyle w:val="Odsekzoznamu"/>
        <w:jc w:val="both"/>
        <w:rPr>
          <w:color w:val="000000" w:themeColor="text1"/>
        </w:rPr>
      </w:pPr>
    </w:p>
    <w:p w:rsidR="00A3000F" w:rsidRDefault="00A3000F" w:rsidP="00D4074B">
      <w:pPr>
        <w:jc w:val="both"/>
        <w:rPr>
          <w:color w:val="000000" w:themeColor="text1"/>
        </w:rPr>
      </w:pPr>
      <w:r>
        <w:rPr>
          <w:color w:val="000000" w:themeColor="text1"/>
        </w:rPr>
        <w:t>Záver:</w:t>
      </w:r>
    </w:p>
    <w:p w:rsidR="00D4074B" w:rsidRPr="00D4074B" w:rsidRDefault="00A5004F" w:rsidP="00D407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Vinkulačné tlačivo bude po zapracovaní vznesených pripomienok zaslané SBA </w:t>
      </w:r>
      <w:r w:rsidR="00A3000F">
        <w:rPr>
          <w:color w:val="000000" w:themeColor="text1"/>
        </w:rPr>
        <w:t>na</w:t>
      </w:r>
      <w:r>
        <w:rPr>
          <w:color w:val="000000" w:themeColor="text1"/>
        </w:rPr>
        <w:t xml:space="preserve"> prerokovan</w:t>
      </w:r>
      <w:r w:rsidR="00A3000F">
        <w:rPr>
          <w:color w:val="000000" w:themeColor="text1"/>
        </w:rPr>
        <w:t>ie</w:t>
      </w:r>
      <w:r>
        <w:rPr>
          <w:color w:val="000000" w:themeColor="text1"/>
        </w:rPr>
        <w:t xml:space="preserve"> upraveného tlačiva zástupcami bánk</w:t>
      </w:r>
      <w:r w:rsidR="00A3000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="00A3000F">
        <w:rPr>
          <w:color w:val="000000" w:themeColor="text1"/>
        </w:rPr>
        <w:t xml:space="preserve">V prípade pretrvávajúcich rozporov a nejasností </w:t>
      </w:r>
      <w:r>
        <w:rPr>
          <w:color w:val="000000" w:themeColor="text1"/>
        </w:rPr>
        <w:t>by m</w:t>
      </w:r>
      <w:r w:rsidR="00A3000F">
        <w:rPr>
          <w:color w:val="000000" w:themeColor="text1"/>
        </w:rPr>
        <w:t>alo</w:t>
      </w:r>
      <w:r>
        <w:rPr>
          <w:color w:val="000000" w:themeColor="text1"/>
        </w:rPr>
        <w:t xml:space="preserve"> dôjsť k </w:t>
      </w:r>
      <w:r w:rsidR="00A3000F">
        <w:rPr>
          <w:color w:val="000000" w:themeColor="text1"/>
        </w:rPr>
        <w:t>spoločné</w:t>
      </w:r>
      <w:r>
        <w:rPr>
          <w:color w:val="000000" w:themeColor="text1"/>
        </w:rPr>
        <w:t xml:space="preserve">mu stretnutiu </w:t>
      </w:r>
      <w:r w:rsidR="00A3000F">
        <w:rPr>
          <w:color w:val="000000" w:themeColor="text1"/>
        </w:rPr>
        <w:t xml:space="preserve">zástupcov poisťovní a bánk </w:t>
      </w:r>
      <w:r>
        <w:rPr>
          <w:color w:val="000000" w:themeColor="text1"/>
        </w:rPr>
        <w:t xml:space="preserve">za účelom dohody </w:t>
      </w:r>
      <w:r w:rsidR="00A3000F">
        <w:rPr>
          <w:color w:val="000000" w:themeColor="text1"/>
        </w:rPr>
        <w:t xml:space="preserve">na vyhovujúcom </w:t>
      </w:r>
      <w:r w:rsidR="00704692">
        <w:rPr>
          <w:color w:val="000000" w:themeColor="text1"/>
        </w:rPr>
        <w:t xml:space="preserve">finálnom </w:t>
      </w:r>
      <w:r w:rsidR="00A3000F">
        <w:rPr>
          <w:color w:val="000000" w:themeColor="text1"/>
        </w:rPr>
        <w:t xml:space="preserve">znení vinkulačného </w:t>
      </w:r>
      <w:r>
        <w:rPr>
          <w:color w:val="000000" w:themeColor="text1"/>
        </w:rPr>
        <w:t>tlačiva.</w:t>
      </w:r>
    </w:p>
    <w:p w:rsidR="00E24F57" w:rsidRPr="00E24F57" w:rsidRDefault="00E24F57" w:rsidP="00E24F57">
      <w:pPr>
        <w:jc w:val="both"/>
        <w:rPr>
          <w:color w:val="000000" w:themeColor="text1"/>
        </w:rPr>
      </w:pPr>
    </w:p>
    <w:p w:rsidR="0025194F" w:rsidRDefault="0025194F" w:rsidP="001E55D8">
      <w:pPr>
        <w:jc w:val="both"/>
      </w:pPr>
    </w:p>
    <w:p w:rsidR="0025194F" w:rsidRDefault="0025194F" w:rsidP="001E55D8">
      <w:pPr>
        <w:jc w:val="both"/>
      </w:pPr>
    </w:p>
    <w:p w:rsidR="00441F1B" w:rsidRDefault="00441F1B" w:rsidP="001E55D8">
      <w:pPr>
        <w:jc w:val="both"/>
      </w:pPr>
    </w:p>
    <w:p w:rsidR="00441F1B" w:rsidRDefault="00441F1B" w:rsidP="00441F1B">
      <w:pPr>
        <w:jc w:val="both"/>
      </w:pPr>
    </w:p>
    <w:sectPr w:rsidR="00441F1B" w:rsidSect="00D3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88A"/>
    <w:multiLevelType w:val="hybridMultilevel"/>
    <w:tmpl w:val="E7B01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379EB"/>
    <w:multiLevelType w:val="hybridMultilevel"/>
    <w:tmpl w:val="92868C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146CD"/>
    <w:multiLevelType w:val="hybridMultilevel"/>
    <w:tmpl w:val="4880E1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F37"/>
    <w:rsid w:val="000573E3"/>
    <w:rsid w:val="000808A5"/>
    <w:rsid w:val="000D075D"/>
    <w:rsid w:val="000E5CA9"/>
    <w:rsid w:val="00165A35"/>
    <w:rsid w:val="001C10B0"/>
    <w:rsid w:val="001E55D8"/>
    <w:rsid w:val="002037AE"/>
    <w:rsid w:val="00211A3A"/>
    <w:rsid w:val="00240874"/>
    <w:rsid w:val="0025194F"/>
    <w:rsid w:val="00252157"/>
    <w:rsid w:val="00281EED"/>
    <w:rsid w:val="002D5518"/>
    <w:rsid w:val="002E294C"/>
    <w:rsid w:val="002E5510"/>
    <w:rsid w:val="002F642E"/>
    <w:rsid w:val="00302977"/>
    <w:rsid w:val="003173CC"/>
    <w:rsid w:val="003435A1"/>
    <w:rsid w:val="00362406"/>
    <w:rsid w:val="00423444"/>
    <w:rsid w:val="004249FA"/>
    <w:rsid w:val="00424F37"/>
    <w:rsid w:val="00441F1B"/>
    <w:rsid w:val="00495D9C"/>
    <w:rsid w:val="004C631F"/>
    <w:rsid w:val="004E4966"/>
    <w:rsid w:val="005065D9"/>
    <w:rsid w:val="00565E7A"/>
    <w:rsid w:val="0069033F"/>
    <w:rsid w:val="006D3FBD"/>
    <w:rsid w:val="00704692"/>
    <w:rsid w:val="007356B5"/>
    <w:rsid w:val="007E668D"/>
    <w:rsid w:val="0080727F"/>
    <w:rsid w:val="00875A2E"/>
    <w:rsid w:val="00893D3F"/>
    <w:rsid w:val="008C29DE"/>
    <w:rsid w:val="008E23C5"/>
    <w:rsid w:val="00A3000F"/>
    <w:rsid w:val="00A5004F"/>
    <w:rsid w:val="00A659EC"/>
    <w:rsid w:val="00AC20F3"/>
    <w:rsid w:val="00B42638"/>
    <w:rsid w:val="00B741AE"/>
    <w:rsid w:val="00B77FB1"/>
    <w:rsid w:val="00B93E41"/>
    <w:rsid w:val="00C32BEF"/>
    <w:rsid w:val="00CC601B"/>
    <w:rsid w:val="00D32286"/>
    <w:rsid w:val="00D4074B"/>
    <w:rsid w:val="00D90E80"/>
    <w:rsid w:val="00DC0F3F"/>
    <w:rsid w:val="00E00258"/>
    <w:rsid w:val="00E24F57"/>
    <w:rsid w:val="00E24FDE"/>
    <w:rsid w:val="00E74CE9"/>
    <w:rsid w:val="00EA6B3A"/>
    <w:rsid w:val="00ED0402"/>
    <w:rsid w:val="00F234D1"/>
    <w:rsid w:val="00FA636F"/>
    <w:rsid w:val="00FF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2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5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4EFD-7CCE-4F97-A273-08A67757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52</cp:revision>
  <dcterms:created xsi:type="dcterms:W3CDTF">2011-09-23T08:09:00Z</dcterms:created>
  <dcterms:modified xsi:type="dcterms:W3CDTF">2011-09-27T11:39:00Z</dcterms:modified>
</cp:coreProperties>
</file>