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F935" w14:textId="77777777" w:rsidR="009176FF" w:rsidRPr="00FA4DAB" w:rsidRDefault="009176FF" w:rsidP="009176FF">
      <w:pPr>
        <w:spacing w:line="240" w:lineRule="auto"/>
        <w:jc w:val="left"/>
        <w:rPr>
          <w:rStyle w:val="IEGraphTitle"/>
          <w:szCs w:val="17"/>
        </w:rPr>
      </w:pPr>
    </w:p>
    <w:p w14:paraId="56530859" w14:textId="77777777" w:rsidR="00111F90" w:rsidRDefault="00111F90" w:rsidP="00111F90">
      <w:pPr>
        <w:ind w:left="720"/>
      </w:pPr>
    </w:p>
    <w:p w14:paraId="6556E48E" w14:textId="77777777" w:rsidR="00111F90" w:rsidRPr="006D1501" w:rsidRDefault="00111F90" w:rsidP="00111F90">
      <w:pPr>
        <w:ind w:left="720"/>
        <w:rPr>
          <w:b/>
          <w:bCs/>
          <w:color w:val="002060"/>
          <w:sz w:val="24"/>
          <w:szCs w:val="40"/>
        </w:rPr>
      </w:pPr>
    </w:p>
    <w:p w14:paraId="5FAA9215" w14:textId="5635DE0D" w:rsidR="00111F90" w:rsidRPr="00F72A2A" w:rsidRDefault="006D1501" w:rsidP="004351D2">
      <w:pPr>
        <w:jc w:val="left"/>
        <w:rPr>
          <w:color w:val="002060"/>
          <w:szCs w:val="17"/>
        </w:rPr>
      </w:pPr>
      <w:r w:rsidRPr="006D1501">
        <w:rPr>
          <w:b/>
          <w:bCs/>
          <w:color w:val="002060"/>
          <w:sz w:val="24"/>
          <w:szCs w:val="40"/>
        </w:rPr>
        <w:t>Questionnaire template for consultation on revised Guidelines on exchange of information within colleges</w:t>
      </w:r>
      <w:r w:rsidR="006620F2">
        <w:rPr>
          <w:b/>
          <w:bCs/>
          <w:color w:val="002060"/>
          <w:sz w:val="24"/>
          <w:szCs w:val="40"/>
        </w:rPr>
        <w:t xml:space="preserve"> </w:t>
      </w:r>
      <w:r w:rsidR="006620F2" w:rsidRPr="00F72A2A">
        <w:rPr>
          <w:color w:val="002060"/>
          <w:szCs w:val="17"/>
        </w:rPr>
        <w:t>(</w:t>
      </w:r>
      <w:hyperlink r:id="rId10" w:history="1">
        <w:r w:rsidR="006620F2" w:rsidRPr="00F72A2A">
          <w:rPr>
            <w:rStyle w:val="Hypertextovprepojenie"/>
            <w:szCs w:val="17"/>
          </w:rPr>
          <w:t>here</w:t>
        </w:r>
      </w:hyperlink>
      <w:r w:rsidR="006620F2" w:rsidRPr="00F72A2A">
        <w:rPr>
          <w:color w:val="002060"/>
          <w:szCs w:val="17"/>
        </w:rPr>
        <w:t>)</w:t>
      </w:r>
    </w:p>
    <w:p w14:paraId="485F73B0" w14:textId="77777777" w:rsidR="00111F90" w:rsidRDefault="00111F90" w:rsidP="00111F90">
      <w:pPr>
        <w:ind w:left="720"/>
      </w:pPr>
    </w:p>
    <w:p w14:paraId="723AF920" w14:textId="77777777" w:rsidR="00111F90" w:rsidRDefault="00111F90" w:rsidP="00111F90">
      <w:pPr>
        <w:ind w:left="720"/>
      </w:pPr>
    </w:p>
    <w:p w14:paraId="13DF8E40" w14:textId="77777777" w:rsidR="00111F90" w:rsidRPr="00111F90" w:rsidRDefault="00111F90" w:rsidP="00111F90">
      <w:pPr>
        <w:ind w:left="720"/>
      </w:pPr>
    </w:p>
    <w:p w14:paraId="4F6BD7D6" w14:textId="77777777" w:rsidR="004351D2" w:rsidRPr="004351D2" w:rsidRDefault="00111F90" w:rsidP="00111F90">
      <w:pPr>
        <w:numPr>
          <w:ilvl w:val="0"/>
          <w:numId w:val="4"/>
        </w:numPr>
        <w:jc w:val="left"/>
      </w:pPr>
      <w:r w:rsidRPr="00111F90">
        <w:rPr>
          <w:b/>
          <w:bCs/>
        </w:rPr>
        <w:t>General comments</w:t>
      </w:r>
      <w:r w:rsidRPr="00111F90">
        <w:br/>
      </w:r>
    </w:p>
    <w:p w14:paraId="3DEA84A2" w14:textId="0CEBDC37" w:rsidR="00111F90" w:rsidRPr="005329E4" w:rsidRDefault="00111F90" w:rsidP="004351D2">
      <w:pPr>
        <w:ind w:firstLine="360"/>
        <w:jc w:val="left"/>
        <w:rPr>
          <w:b/>
          <w:bCs/>
          <w:color w:val="00B050"/>
        </w:rPr>
      </w:pPr>
      <w:r w:rsidRPr="00111F90">
        <w:rPr>
          <w:b/>
          <w:bCs/>
          <w:i/>
          <w:iCs/>
          <w:color w:val="00B050"/>
        </w:rPr>
        <w:t>Question Q1.</w:t>
      </w:r>
      <w:r w:rsidRPr="00111F90">
        <w:rPr>
          <w:b/>
          <w:bCs/>
          <w:color w:val="00B050"/>
        </w:rPr>
        <w:t xml:space="preserve"> Do you have general comments on the consultation document?</w:t>
      </w:r>
    </w:p>
    <w:p w14:paraId="3167B3E9" w14:textId="77777777" w:rsidR="005329E4" w:rsidRDefault="005329E4" w:rsidP="005329E4">
      <w:pPr>
        <w:pStyle w:val="IEBullet-Level1"/>
        <w:numPr>
          <w:ilvl w:val="0"/>
          <w:numId w:val="0"/>
        </w:numPr>
        <w:ind w:left="720"/>
      </w:pPr>
    </w:p>
    <w:p w14:paraId="4E595F3C" w14:textId="297A4EC1" w:rsidR="008A6814" w:rsidRDefault="008A6814" w:rsidP="004351D2">
      <w:pPr>
        <w:pStyle w:val="IEBullet-Level1"/>
      </w:pPr>
      <w:r>
        <w:t xml:space="preserve">Insurance Europe welcomes several of the </w:t>
      </w:r>
      <w:r w:rsidR="00C2681B" w:rsidRPr="00C2681B">
        <w:t>editorial clarifications</w:t>
      </w:r>
      <w:r>
        <w:t>.</w:t>
      </w:r>
    </w:p>
    <w:p w14:paraId="2FFEC474" w14:textId="555B7746" w:rsidR="004351D2" w:rsidRDefault="00192185" w:rsidP="004351D2">
      <w:pPr>
        <w:pStyle w:val="IEBullet-Level1"/>
      </w:pPr>
      <w:r>
        <w:t>T</w:t>
      </w:r>
      <w:r w:rsidR="00C2681B" w:rsidRPr="00C2681B">
        <w:t xml:space="preserve">he goal of improving the efficiency of supervisory colleges </w:t>
      </w:r>
      <w:r>
        <w:t>should not be used to</w:t>
      </w:r>
      <w:r w:rsidR="00C2681B" w:rsidRPr="00C2681B">
        <w:t xml:space="preserve"> dilute the prudential review of certain topics within these bodies. </w:t>
      </w:r>
      <w:r w:rsidR="001F08A1">
        <w:t>S</w:t>
      </w:r>
      <w:r w:rsidR="00C2681B" w:rsidRPr="00C2681B">
        <w:t>uch dilution would reduce the effectiveness of handling complex issues and increase the overall burden.</w:t>
      </w:r>
    </w:p>
    <w:p w14:paraId="0289FBB6" w14:textId="77777777" w:rsidR="004351D2" w:rsidRPr="00111F90" w:rsidRDefault="004351D2" w:rsidP="004351D2">
      <w:pPr>
        <w:ind w:left="720"/>
        <w:jc w:val="left"/>
      </w:pPr>
    </w:p>
    <w:p w14:paraId="02007410" w14:textId="77777777" w:rsidR="00F93B00" w:rsidRPr="00F93B00" w:rsidRDefault="00111F90" w:rsidP="00111F90">
      <w:pPr>
        <w:numPr>
          <w:ilvl w:val="0"/>
          <w:numId w:val="6"/>
        </w:numPr>
        <w:jc w:val="left"/>
      </w:pPr>
      <w:r w:rsidRPr="00111F90">
        <w:rPr>
          <w:b/>
          <w:bCs/>
        </w:rPr>
        <w:t>Consultation paper overview and next steps</w:t>
      </w:r>
      <w:r w:rsidRPr="00111F90">
        <w:br/>
      </w:r>
    </w:p>
    <w:p w14:paraId="5AA61054" w14:textId="376392B8" w:rsidR="00111F90" w:rsidRPr="005329E4" w:rsidRDefault="00111F90" w:rsidP="00F93B00">
      <w:pPr>
        <w:ind w:left="360"/>
        <w:jc w:val="left"/>
        <w:rPr>
          <w:b/>
          <w:bCs/>
          <w:color w:val="00B050"/>
        </w:rPr>
      </w:pPr>
      <w:r w:rsidRPr="00111F90">
        <w:rPr>
          <w:b/>
          <w:bCs/>
          <w:i/>
          <w:iCs/>
          <w:color w:val="00B050"/>
        </w:rPr>
        <w:t>Question Q2.</w:t>
      </w:r>
      <w:r w:rsidRPr="00111F90">
        <w:rPr>
          <w:b/>
          <w:bCs/>
          <w:color w:val="00B050"/>
        </w:rPr>
        <w:t xml:space="preserve"> Do you have comments on Section ‘Consultation paper overview and next steps’?</w:t>
      </w:r>
    </w:p>
    <w:p w14:paraId="0A404AFB" w14:textId="77777777" w:rsidR="005329E4" w:rsidRPr="00111F90" w:rsidRDefault="005329E4" w:rsidP="00F93B00">
      <w:pPr>
        <w:ind w:left="360"/>
        <w:jc w:val="left"/>
        <w:rPr>
          <w:b/>
          <w:bCs/>
        </w:rPr>
      </w:pPr>
    </w:p>
    <w:p w14:paraId="3D99E6DD" w14:textId="77777777" w:rsidR="00F93B00" w:rsidRPr="00F93B00" w:rsidRDefault="00F93B00" w:rsidP="00F93B00">
      <w:pPr>
        <w:pStyle w:val="IEBullet-Level1"/>
      </w:pPr>
      <w:r w:rsidRPr="00F93B00">
        <w:t>Yes/No</w:t>
      </w:r>
    </w:p>
    <w:p w14:paraId="543A769D" w14:textId="77777777" w:rsidR="00F93B00" w:rsidRPr="00F93B00" w:rsidRDefault="00F93B00" w:rsidP="00F93B00">
      <w:pPr>
        <w:pStyle w:val="IEBullet-Level1"/>
      </w:pPr>
      <w:r w:rsidRPr="00F93B00">
        <w:t>Comments here</w:t>
      </w:r>
    </w:p>
    <w:p w14:paraId="61E54611" w14:textId="77777777" w:rsidR="00F93B00" w:rsidRPr="00F93B00" w:rsidRDefault="00F93B00" w:rsidP="00F93B00">
      <w:pPr>
        <w:pStyle w:val="IEBullet-Level1"/>
      </w:pPr>
    </w:p>
    <w:p w14:paraId="33BDDCA2" w14:textId="77777777" w:rsidR="00F93B00" w:rsidRPr="00111F90" w:rsidRDefault="00F93B00" w:rsidP="00F93B00">
      <w:pPr>
        <w:ind w:left="720"/>
        <w:jc w:val="left"/>
      </w:pPr>
    </w:p>
    <w:p w14:paraId="780C618B" w14:textId="5D1A5A1D" w:rsidR="00111F90" w:rsidRPr="00111F90" w:rsidRDefault="00111F90" w:rsidP="00111F90">
      <w:pPr>
        <w:jc w:val="left"/>
      </w:pPr>
    </w:p>
    <w:p w14:paraId="0E070F01" w14:textId="77777777" w:rsidR="00111F90" w:rsidRPr="00111F90" w:rsidRDefault="00111F90" w:rsidP="00111F90">
      <w:pPr>
        <w:numPr>
          <w:ilvl w:val="0"/>
          <w:numId w:val="8"/>
        </w:numPr>
        <w:tabs>
          <w:tab w:val="clear" w:pos="360"/>
          <w:tab w:val="num" w:pos="720"/>
        </w:tabs>
        <w:jc w:val="left"/>
      </w:pPr>
      <w:r w:rsidRPr="00111F90">
        <w:rPr>
          <w:b/>
          <w:bCs/>
        </w:rPr>
        <w:t>Guidelines on the exchange of information on a systematic basis within Colleges</w:t>
      </w:r>
    </w:p>
    <w:p w14:paraId="103D1D5C" w14:textId="77777777" w:rsidR="00134CE5" w:rsidRDefault="00134CE5" w:rsidP="00111F90">
      <w:pPr>
        <w:jc w:val="left"/>
        <w:rPr>
          <w:b/>
          <w:bCs/>
          <w:color w:val="002060"/>
        </w:rPr>
      </w:pPr>
    </w:p>
    <w:p w14:paraId="0B26F047" w14:textId="14C2CCF2" w:rsidR="00397268" w:rsidRPr="00397268" w:rsidRDefault="00111F90" w:rsidP="00111F90">
      <w:pPr>
        <w:jc w:val="left"/>
        <w:rPr>
          <w:b/>
          <w:bCs/>
          <w:i/>
          <w:iCs/>
          <w:color w:val="002060"/>
        </w:rPr>
      </w:pPr>
      <w:r w:rsidRPr="00111F90">
        <w:rPr>
          <w:b/>
          <w:bCs/>
          <w:color w:val="002060"/>
        </w:rPr>
        <w:t>Introduction</w:t>
      </w:r>
      <w:r w:rsidRPr="00111F90">
        <w:rPr>
          <w:color w:val="002060"/>
        </w:rPr>
        <w:br/>
      </w:r>
    </w:p>
    <w:p w14:paraId="3FD7566E" w14:textId="0582EF67" w:rsidR="00111F90" w:rsidRPr="00111F90" w:rsidRDefault="00111F90" w:rsidP="00134CE5">
      <w:pPr>
        <w:ind w:left="360"/>
        <w:jc w:val="left"/>
        <w:rPr>
          <w:color w:val="00B050"/>
        </w:rPr>
      </w:pPr>
      <w:r w:rsidRPr="00111F90">
        <w:rPr>
          <w:b/>
          <w:bCs/>
          <w:i/>
          <w:iCs/>
          <w:color w:val="00B050"/>
        </w:rPr>
        <w:t>Question Q3.</w:t>
      </w:r>
      <w:r w:rsidRPr="00111F90">
        <w:rPr>
          <w:b/>
          <w:bCs/>
          <w:color w:val="00B050"/>
        </w:rPr>
        <w:t xml:space="preserve"> Do you have comments on Sub-section ‘Introduction’?</w:t>
      </w:r>
    </w:p>
    <w:p w14:paraId="79C7FE58" w14:textId="77777777" w:rsidR="005329E4" w:rsidRDefault="005329E4" w:rsidP="005329E4">
      <w:pPr>
        <w:pStyle w:val="IEBullet-Level1"/>
        <w:numPr>
          <w:ilvl w:val="0"/>
          <w:numId w:val="0"/>
        </w:numPr>
        <w:ind w:left="1080"/>
      </w:pPr>
    </w:p>
    <w:p w14:paraId="16A7CC10" w14:textId="726DCFC0" w:rsidR="00397268" w:rsidRPr="00F93B00" w:rsidRDefault="00397268" w:rsidP="00134CE5">
      <w:pPr>
        <w:pStyle w:val="IEBullet-Level1"/>
        <w:ind w:left="1080"/>
      </w:pPr>
      <w:r w:rsidRPr="00F93B00">
        <w:t>Yes/No</w:t>
      </w:r>
    </w:p>
    <w:p w14:paraId="3E4C3178" w14:textId="77777777" w:rsidR="00397268" w:rsidRPr="00F93B00" w:rsidRDefault="00397268" w:rsidP="00134CE5">
      <w:pPr>
        <w:pStyle w:val="IEBullet-Level1"/>
        <w:ind w:left="1080"/>
      </w:pPr>
      <w:r w:rsidRPr="00F93B00">
        <w:t>Comments here</w:t>
      </w:r>
    </w:p>
    <w:p w14:paraId="0C129027" w14:textId="77777777" w:rsidR="00397268" w:rsidRPr="00F93B00" w:rsidRDefault="00397268" w:rsidP="00134CE5">
      <w:pPr>
        <w:pStyle w:val="IEBullet-Level1"/>
        <w:ind w:left="1080"/>
      </w:pPr>
    </w:p>
    <w:p w14:paraId="7B2FA8DF" w14:textId="77777777" w:rsidR="00397268" w:rsidRDefault="00397268" w:rsidP="00111F90">
      <w:pPr>
        <w:jc w:val="left"/>
        <w:rPr>
          <w:b/>
          <w:bCs/>
        </w:rPr>
      </w:pPr>
    </w:p>
    <w:p w14:paraId="634A9DD9" w14:textId="77777777" w:rsidR="00134CE5" w:rsidRDefault="00111F90" w:rsidP="00111F90">
      <w:pPr>
        <w:jc w:val="left"/>
        <w:rPr>
          <w:b/>
          <w:bCs/>
          <w:i/>
          <w:iCs/>
        </w:rPr>
      </w:pPr>
      <w:r w:rsidRPr="00111F90">
        <w:rPr>
          <w:b/>
          <w:bCs/>
          <w:color w:val="002060"/>
        </w:rPr>
        <w:t>Guidelines and explanatory text</w:t>
      </w:r>
      <w:r w:rsidRPr="00111F90">
        <w:br/>
      </w:r>
    </w:p>
    <w:p w14:paraId="58C6CDC1" w14:textId="139C03CD" w:rsidR="00111F90" w:rsidRPr="00111F90" w:rsidRDefault="00111F90" w:rsidP="00134CE5">
      <w:pPr>
        <w:ind w:left="360"/>
        <w:jc w:val="left"/>
        <w:rPr>
          <w:b/>
          <w:bCs/>
          <w:color w:val="00B050"/>
        </w:rPr>
      </w:pPr>
      <w:r w:rsidRPr="00111F90">
        <w:rPr>
          <w:b/>
          <w:bCs/>
          <w:i/>
          <w:iCs/>
          <w:color w:val="00B050"/>
        </w:rPr>
        <w:t>Question Q4.</w:t>
      </w:r>
      <w:r w:rsidRPr="00111F90">
        <w:rPr>
          <w:b/>
          <w:bCs/>
          <w:color w:val="00B050"/>
        </w:rPr>
        <w:t xml:space="preserve"> Do you have comments on Guideline 1 – Assessment of the scope of the information exchanged on a systematic basis and the corresponding explanatory text?</w:t>
      </w:r>
    </w:p>
    <w:p w14:paraId="1C7FD087" w14:textId="77777777" w:rsidR="005329E4" w:rsidRDefault="005329E4" w:rsidP="005329E4">
      <w:pPr>
        <w:pStyle w:val="IEBullet-Level1"/>
        <w:numPr>
          <w:ilvl w:val="0"/>
          <w:numId w:val="0"/>
        </w:numPr>
        <w:ind w:left="1080"/>
      </w:pPr>
    </w:p>
    <w:p w14:paraId="5C588BB6" w14:textId="08757114" w:rsidR="00006B76" w:rsidRPr="00111F90" w:rsidRDefault="00006B76" w:rsidP="00134CE5">
      <w:pPr>
        <w:pStyle w:val="IEBullet-Level1"/>
        <w:ind w:left="1080"/>
      </w:pPr>
      <w:r w:rsidRPr="00111F90">
        <w:t>Yes</w:t>
      </w:r>
      <w:r>
        <w:t>/No</w:t>
      </w:r>
    </w:p>
    <w:p w14:paraId="4BF499A3" w14:textId="77777777" w:rsidR="00006B76" w:rsidRDefault="00006B76" w:rsidP="00134CE5">
      <w:pPr>
        <w:pStyle w:val="IEBullet-Level1"/>
        <w:ind w:left="1080"/>
      </w:pPr>
      <w:r>
        <w:t>Comments here</w:t>
      </w:r>
    </w:p>
    <w:p w14:paraId="01B6D7DD" w14:textId="77777777" w:rsidR="00006B76" w:rsidRDefault="00006B76" w:rsidP="00134CE5">
      <w:pPr>
        <w:pStyle w:val="IEBullet-Level1"/>
        <w:ind w:left="1080"/>
      </w:pPr>
    </w:p>
    <w:p w14:paraId="650E436A" w14:textId="77777777" w:rsidR="00134CE5" w:rsidRDefault="00134CE5" w:rsidP="00134CE5">
      <w:pPr>
        <w:ind w:left="360"/>
        <w:jc w:val="left"/>
        <w:rPr>
          <w:b/>
          <w:bCs/>
          <w:i/>
          <w:iCs/>
        </w:rPr>
      </w:pPr>
    </w:p>
    <w:p w14:paraId="205B4D04" w14:textId="40966786" w:rsidR="00111F90" w:rsidRPr="00111F90" w:rsidRDefault="00111F90" w:rsidP="00134CE5">
      <w:pPr>
        <w:ind w:left="360"/>
        <w:jc w:val="left"/>
        <w:rPr>
          <w:b/>
          <w:bCs/>
          <w:color w:val="00B050"/>
        </w:rPr>
      </w:pPr>
      <w:r w:rsidRPr="00111F90">
        <w:rPr>
          <w:b/>
          <w:bCs/>
          <w:i/>
          <w:iCs/>
          <w:color w:val="00B050"/>
        </w:rPr>
        <w:t>Question Q5.</w:t>
      </w:r>
      <w:r w:rsidRPr="00111F90">
        <w:rPr>
          <w:b/>
          <w:bCs/>
          <w:color w:val="00B050"/>
        </w:rPr>
        <w:t xml:space="preserve"> Do you have comments on Guideline 2 – Information provided by the other supervisory authorities to the group supervisor and the corresponding explanatory text?</w:t>
      </w:r>
    </w:p>
    <w:p w14:paraId="49100690" w14:textId="77777777" w:rsidR="005329E4" w:rsidRDefault="005329E4" w:rsidP="005329E4">
      <w:pPr>
        <w:pStyle w:val="IEBullet-Level1"/>
        <w:numPr>
          <w:ilvl w:val="0"/>
          <w:numId w:val="0"/>
        </w:numPr>
        <w:ind w:left="1080"/>
      </w:pPr>
    </w:p>
    <w:p w14:paraId="44D64FA3" w14:textId="6E6F90B9" w:rsidR="00006B76" w:rsidRPr="00111F90" w:rsidRDefault="00006B76" w:rsidP="00134CE5">
      <w:pPr>
        <w:pStyle w:val="IEBullet-Level1"/>
        <w:ind w:left="1080"/>
      </w:pPr>
      <w:r w:rsidRPr="00111F90">
        <w:t>Yes</w:t>
      </w:r>
      <w:r>
        <w:t>/No</w:t>
      </w:r>
    </w:p>
    <w:p w14:paraId="6CBA0B36" w14:textId="77777777" w:rsidR="00006B76" w:rsidRDefault="00006B76" w:rsidP="00134CE5">
      <w:pPr>
        <w:pStyle w:val="IEBullet-Level1"/>
        <w:ind w:left="1080"/>
      </w:pPr>
      <w:r>
        <w:t>Comments here</w:t>
      </w:r>
    </w:p>
    <w:p w14:paraId="384D1625" w14:textId="77777777" w:rsidR="00006B76" w:rsidRDefault="00006B76" w:rsidP="00134CE5">
      <w:pPr>
        <w:pStyle w:val="IEBullet-Level1"/>
        <w:ind w:left="1080"/>
      </w:pPr>
    </w:p>
    <w:p w14:paraId="2C156D42" w14:textId="77777777" w:rsidR="00397268" w:rsidRDefault="00397268" w:rsidP="00134CE5">
      <w:pPr>
        <w:ind w:left="360"/>
        <w:jc w:val="left"/>
        <w:rPr>
          <w:b/>
          <w:bCs/>
          <w:i/>
          <w:iCs/>
        </w:rPr>
      </w:pPr>
    </w:p>
    <w:p w14:paraId="6B41BE82" w14:textId="57C7EE7F" w:rsidR="00111F90" w:rsidRPr="00111F90" w:rsidRDefault="00111F90" w:rsidP="00134CE5">
      <w:pPr>
        <w:ind w:left="360"/>
        <w:jc w:val="left"/>
        <w:rPr>
          <w:b/>
          <w:bCs/>
          <w:color w:val="00B050"/>
        </w:rPr>
      </w:pPr>
      <w:r w:rsidRPr="00111F90">
        <w:rPr>
          <w:b/>
          <w:bCs/>
          <w:i/>
          <w:iCs/>
          <w:color w:val="00B050"/>
        </w:rPr>
        <w:t>Question Q6.</w:t>
      </w:r>
      <w:r w:rsidRPr="00111F90">
        <w:rPr>
          <w:b/>
          <w:bCs/>
          <w:color w:val="00B050"/>
        </w:rPr>
        <w:t xml:space="preserve"> Do you have comments on Guideline 3 – Information provided by the group supervisor to the other supervisory authorities and the corresponding explanatory text?</w:t>
      </w:r>
    </w:p>
    <w:p w14:paraId="3E449D57" w14:textId="77777777" w:rsidR="005329E4" w:rsidRDefault="005329E4" w:rsidP="005329E4">
      <w:pPr>
        <w:pStyle w:val="IEBullet-Level1"/>
        <w:numPr>
          <w:ilvl w:val="0"/>
          <w:numId w:val="0"/>
        </w:numPr>
        <w:ind w:left="1080"/>
      </w:pPr>
    </w:p>
    <w:p w14:paraId="7209892A" w14:textId="06D897CF" w:rsidR="00006B76" w:rsidRPr="00111F90" w:rsidRDefault="00006B76" w:rsidP="00134CE5">
      <w:pPr>
        <w:pStyle w:val="IEBullet-Level1"/>
        <w:ind w:left="1080"/>
      </w:pPr>
      <w:r w:rsidRPr="00111F90">
        <w:t>Yes</w:t>
      </w:r>
      <w:r>
        <w:t>/No</w:t>
      </w:r>
    </w:p>
    <w:p w14:paraId="72E0122E" w14:textId="77777777" w:rsidR="00006B76" w:rsidRDefault="00006B76" w:rsidP="00134CE5">
      <w:pPr>
        <w:pStyle w:val="IEBullet-Level1"/>
        <w:ind w:left="1080"/>
      </w:pPr>
      <w:r>
        <w:t>Comments here</w:t>
      </w:r>
    </w:p>
    <w:p w14:paraId="19266DB8" w14:textId="77777777" w:rsidR="00006B76" w:rsidRDefault="00006B76" w:rsidP="00134CE5">
      <w:pPr>
        <w:pStyle w:val="IEBullet-Level1"/>
        <w:ind w:left="1080"/>
      </w:pPr>
    </w:p>
    <w:p w14:paraId="102DAB1D" w14:textId="77777777" w:rsidR="00397268" w:rsidRDefault="00397268" w:rsidP="00134CE5">
      <w:pPr>
        <w:ind w:left="360"/>
        <w:jc w:val="left"/>
        <w:rPr>
          <w:b/>
          <w:bCs/>
          <w:i/>
          <w:iCs/>
        </w:rPr>
      </w:pPr>
    </w:p>
    <w:p w14:paraId="5C313FE1" w14:textId="4D0D3EC3" w:rsidR="00111F90" w:rsidRPr="00111F90" w:rsidRDefault="00111F90" w:rsidP="00134CE5">
      <w:pPr>
        <w:ind w:left="360"/>
        <w:jc w:val="left"/>
        <w:rPr>
          <w:b/>
          <w:bCs/>
          <w:color w:val="00B050"/>
        </w:rPr>
      </w:pPr>
      <w:r w:rsidRPr="00111F90">
        <w:rPr>
          <w:b/>
          <w:bCs/>
          <w:i/>
          <w:iCs/>
          <w:color w:val="00B050"/>
        </w:rPr>
        <w:t>Question Q7.</w:t>
      </w:r>
      <w:r w:rsidRPr="00111F90">
        <w:rPr>
          <w:b/>
          <w:bCs/>
          <w:color w:val="00B050"/>
        </w:rPr>
        <w:t xml:space="preserve"> Do you have comments on Guideline 4 – Exchange of selected data and the corresponding explanatory text?</w:t>
      </w:r>
    </w:p>
    <w:p w14:paraId="7B419499" w14:textId="77777777" w:rsidR="005329E4" w:rsidRDefault="005329E4" w:rsidP="005329E4">
      <w:pPr>
        <w:pStyle w:val="IEBullet-Level1"/>
        <w:numPr>
          <w:ilvl w:val="0"/>
          <w:numId w:val="0"/>
        </w:numPr>
        <w:ind w:left="1080"/>
      </w:pPr>
    </w:p>
    <w:p w14:paraId="0939F870" w14:textId="6954F4D6" w:rsidR="00006B76" w:rsidRPr="00111F90" w:rsidRDefault="00006B76" w:rsidP="00134CE5">
      <w:pPr>
        <w:pStyle w:val="IEBullet-Level1"/>
        <w:ind w:left="1080"/>
      </w:pPr>
      <w:r w:rsidRPr="00111F90">
        <w:t>Yes</w:t>
      </w:r>
      <w:r>
        <w:t>/No</w:t>
      </w:r>
    </w:p>
    <w:p w14:paraId="0FFC9DC2" w14:textId="77777777" w:rsidR="00006B76" w:rsidRDefault="00006B76" w:rsidP="00134CE5">
      <w:pPr>
        <w:pStyle w:val="IEBullet-Level1"/>
        <w:ind w:left="1080"/>
      </w:pPr>
      <w:r>
        <w:t>Comments here</w:t>
      </w:r>
    </w:p>
    <w:p w14:paraId="693CD060" w14:textId="77777777" w:rsidR="00006B76" w:rsidRDefault="00006B76" w:rsidP="00134CE5">
      <w:pPr>
        <w:pStyle w:val="IEBullet-Level1"/>
        <w:ind w:left="1080"/>
      </w:pPr>
    </w:p>
    <w:p w14:paraId="7AD5A497" w14:textId="77777777" w:rsidR="00397268" w:rsidRDefault="00397268" w:rsidP="00134CE5">
      <w:pPr>
        <w:ind w:left="360"/>
        <w:jc w:val="left"/>
        <w:rPr>
          <w:i/>
          <w:iCs/>
        </w:rPr>
      </w:pPr>
    </w:p>
    <w:p w14:paraId="3FAB90F3" w14:textId="430A3D12" w:rsidR="00111F90" w:rsidRPr="00111F90" w:rsidRDefault="00111F90" w:rsidP="00134CE5">
      <w:pPr>
        <w:ind w:left="360"/>
        <w:jc w:val="left"/>
        <w:rPr>
          <w:b/>
          <w:bCs/>
          <w:color w:val="00B050"/>
        </w:rPr>
      </w:pPr>
      <w:r w:rsidRPr="00111F90">
        <w:rPr>
          <w:b/>
          <w:bCs/>
          <w:i/>
          <w:iCs/>
          <w:color w:val="00B050"/>
        </w:rPr>
        <w:t>Question Q8.</w:t>
      </w:r>
      <w:r w:rsidRPr="00111F90">
        <w:rPr>
          <w:b/>
          <w:bCs/>
          <w:color w:val="00B050"/>
        </w:rPr>
        <w:t xml:space="preserve"> Do you have comments on Guideline 5 – Exchange of group ORSA report and the corresponding explanatory text?</w:t>
      </w:r>
    </w:p>
    <w:p w14:paraId="68E8009C" w14:textId="77777777" w:rsidR="005329E4" w:rsidRDefault="005329E4" w:rsidP="005329E4">
      <w:pPr>
        <w:pStyle w:val="IEBullet-Level1"/>
        <w:numPr>
          <w:ilvl w:val="0"/>
          <w:numId w:val="0"/>
        </w:numPr>
        <w:ind w:left="1080"/>
      </w:pPr>
    </w:p>
    <w:p w14:paraId="2F9156A3" w14:textId="2959B675" w:rsidR="005911EE" w:rsidRDefault="005911EE" w:rsidP="005911EE">
      <w:pPr>
        <w:pStyle w:val="IEBullet-Level1"/>
        <w:ind w:left="1080"/>
      </w:pPr>
      <w:r w:rsidRPr="005911EE">
        <w:t>Guideline 5 on the sharing of the Group ORSA may go beyond what is necessary to achieve its objectives. While certain forward-looking assessments in the Group ORSA could contain sensitive information on specific subsidiaries, the group supervisor is best placed to determine which elements are relevant and proportionate to share within the College of Supervisors. This targeted approach would help safeguard commercially sensitive information while ensuring that supervisors receive all information needed for effective oversight.</w:t>
      </w:r>
    </w:p>
    <w:p w14:paraId="5FF448F5" w14:textId="3C60B15C" w:rsidR="00006B76" w:rsidRDefault="00F83597" w:rsidP="005911EE">
      <w:pPr>
        <w:pStyle w:val="IEBullet-Level1"/>
        <w:ind w:left="1080"/>
      </w:pPr>
      <w:r w:rsidRPr="00F83597">
        <w:t>The issue of language</w:t>
      </w:r>
      <w:r w:rsidR="008966FA">
        <w:t xml:space="preserve"> and translation</w:t>
      </w:r>
      <w:r w:rsidRPr="00F83597">
        <w:t xml:space="preserve"> could also pose a challenge.</w:t>
      </w:r>
    </w:p>
    <w:p w14:paraId="6593FF19" w14:textId="77777777" w:rsidR="00397268" w:rsidRPr="00111F90" w:rsidRDefault="00397268" w:rsidP="00397268">
      <w:pPr>
        <w:ind w:left="720"/>
        <w:jc w:val="left"/>
      </w:pPr>
    </w:p>
    <w:p w14:paraId="2DA144DC" w14:textId="77777777" w:rsidR="00397268" w:rsidRPr="005709B4" w:rsidRDefault="00111F90" w:rsidP="005709B4">
      <w:pPr>
        <w:jc w:val="left"/>
        <w:rPr>
          <w:b/>
          <w:bCs/>
          <w:color w:val="002060"/>
        </w:rPr>
      </w:pPr>
      <w:r w:rsidRPr="00111F90">
        <w:rPr>
          <w:b/>
          <w:bCs/>
          <w:color w:val="002060"/>
        </w:rPr>
        <w:t>Compliance and reporting rules</w:t>
      </w:r>
    </w:p>
    <w:p w14:paraId="1647018F" w14:textId="77777777" w:rsidR="00134CE5" w:rsidRDefault="00134CE5" w:rsidP="00397268">
      <w:pPr>
        <w:jc w:val="left"/>
        <w:rPr>
          <w:b/>
          <w:bCs/>
          <w:i/>
          <w:iCs/>
        </w:rPr>
      </w:pPr>
    </w:p>
    <w:p w14:paraId="60309F93" w14:textId="6F3D1B23" w:rsidR="00111F90" w:rsidRPr="00111F90" w:rsidRDefault="00111F90" w:rsidP="00134CE5">
      <w:pPr>
        <w:ind w:left="360"/>
        <w:jc w:val="left"/>
        <w:rPr>
          <w:b/>
          <w:bCs/>
          <w:color w:val="00B050"/>
        </w:rPr>
      </w:pPr>
      <w:r w:rsidRPr="00111F90">
        <w:rPr>
          <w:b/>
          <w:bCs/>
          <w:i/>
          <w:iCs/>
          <w:color w:val="00B050"/>
        </w:rPr>
        <w:t>Question Q14.</w:t>
      </w:r>
      <w:r w:rsidRPr="00111F90">
        <w:rPr>
          <w:b/>
          <w:bCs/>
          <w:color w:val="00B050"/>
        </w:rPr>
        <w:t xml:space="preserve"> Do you have comments on Sub-section ‘Compliance and reporting rules’?</w:t>
      </w:r>
    </w:p>
    <w:p w14:paraId="011E41F6" w14:textId="77777777" w:rsidR="005329E4" w:rsidRDefault="005329E4" w:rsidP="005329E4">
      <w:pPr>
        <w:pStyle w:val="IEBullet-Level1"/>
        <w:numPr>
          <w:ilvl w:val="0"/>
          <w:numId w:val="0"/>
        </w:numPr>
        <w:ind w:left="1080"/>
      </w:pPr>
    </w:p>
    <w:p w14:paraId="32D3B9CA" w14:textId="276C4EF8" w:rsidR="00006B76" w:rsidRPr="00111F90" w:rsidRDefault="00006B76" w:rsidP="00134CE5">
      <w:pPr>
        <w:pStyle w:val="IEBullet-Level1"/>
        <w:ind w:left="1080"/>
      </w:pPr>
      <w:r w:rsidRPr="00111F90">
        <w:t>Yes</w:t>
      </w:r>
      <w:r>
        <w:t>/No</w:t>
      </w:r>
    </w:p>
    <w:p w14:paraId="7F8B52DF" w14:textId="77777777" w:rsidR="00006B76" w:rsidRDefault="00006B76" w:rsidP="00134CE5">
      <w:pPr>
        <w:pStyle w:val="IEBullet-Level1"/>
        <w:ind w:left="1080"/>
      </w:pPr>
      <w:r>
        <w:t>Comments here</w:t>
      </w:r>
    </w:p>
    <w:p w14:paraId="094FC511" w14:textId="77777777" w:rsidR="00006B76" w:rsidRDefault="00006B76" w:rsidP="00134CE5">
      <w:pPr>
        <w:pStyle w:val="IEBullet-Level1"/>
        <w:ind w:left="1080"/>
      </w:pPr>
    </w:p>
    <w:p w14:paraId="1EF722B6" w14:textId="77777777" w:rsidR="00006B76" w:rsidRDefault="00006B76" w:rsidP="00006B76">
      <w:pPr>
        <w:pStyle w:val="IEBullet-Level1"/>
        <w:numPr>
          <w:ilvl w:val="0"/>
          <w:numId w:val="0"/>
        </w:numPr>
        <w:ind w:left="720" w:hanging="360"/>
      </w:pPr>
    </w:p>
    <w:p w14:paraId="2EDD792B" w14:textId="77777777" w:rsidR="00134CE5" w:rsidRDefault="00111F90" w:rsidP="00E52920">
      <w:pPr>
        <w:jc w:val="left"/>
        <w:rPr>
          <w:b/>
          <w:bCs/>
          <w:i/>
          <w:iCs/>
        </w:rPr>
      </w:pPr>
      <w:r w:rsidRPr="00111F90">
        <w:rPr>
          <w:b/>
          <w:bCs/>
          <w:color w:val="002060"/>
        </w:rPr>
        <w:t>Final provision review</w:t>
      </w:r>
      <w:r w:rsidRPr="00111F90">
        <w:br/>
      </w:r>
    </w:p>
    <w:p w14:paraId="21368F1A" w14:textId="3D137788" w:rsidR="00111F90" w:rsidRPr="00111F90" w:rsidRDefault="00111F90" w:rsidP="00134CE5">
      <w:pPr>
        <w:ind w:left="360"/>
        <w:jc w:val="left"/>
        <w:rPr>
          <w:b/>
          <w:bCs/>
          <w:color w:val="00B050"/>
        </w:rPr>
      </w:pPr>
      <w:r w:rsidRPr="00111F90">
        <w:rPr>
          <w:b/>
          <w:bCs/>
          <w:i/>
          <w:iCs/>
          <w:color w:val="00B050"/>
        </w:rPr>
        <w:t>Question Q15.</w:t>
      </w:r>
      <w:r w:rsidRPr="00111F90">
        <w:rPr>
          <w:b/>
          <w:bCs/>
          <w:color w:val="00B050"/>
        </w:rPr>
        <w:t xml:space="preserve"> Do you have comments on Sub-section ‘Final provision on review’?</w:t>
      </w:r>
    </w:p>
    <w:p w14:paraId="0B5B3F85" w14:textId="77777777" w:rsidR="005329E4" w:rsidRDefault="005329E4" w:rsidP="005329E4">
      <w:pPr>
        <w:pStyle w:val="IEBullet-Level1"/>
        <w:numPr>
          <w:ilvl w:val="0"/>
          <w:numId w:val="0"/>
        </w:numPr>
        <w:ind w:left="1080"/>
      </w:pPr>
    </w:p>
    <w:p w14:paraId="64F32F3B" w14:textId="00D520E2" w:rsidR="00006B76" w:rsidRPr="00111F90" w:rsidRDefault="00006B76" w:rsidP="00134CE5">
      <w:pPr>
        <w:pStyle w:val="IEBullet-Level1"/>
        <w:ind w:left="1080"/>
      </w:pPr>
      <w:r w:rsidRPr="00111F90">
        <w:t>Yes</w:t>
      </w:r>
      <w:r>
        <w:t>/No</w:t>
      </w:r>
    </w:p>
    <w:p w14:paraId="6067D8E0" w14:textId="77777777" w:rsidR="00006B76" w:rsidRDefault="00006B76" w:rsidP="00134CE5">
      <w:pPr>
        <w:pStyle w:val="IEBullet-Level1"/>
        <w:ind w:left="1080"/>
      </w:pPr>
      <w:r>
        <w:t>Comments here</w:t>
      </w:r>
    </w:p>
    <w:p w14:paraId="0AF7FF8A" w14:textId="77777777" w:rsidR="00006B76" w:rsidRDefault="00006B76" w:rsidP="00134CE5">
      <w:pPr>
        <w:pStyle w:val="IEBullet-Level1"/>
        <w:ind w:left="1080"/>
      </w:pPr>
    </w:p>
    <w:p w14:paraId="0C327A20" w14:textId="3FC7863E" w:rsidR="00111F90" w:rsidRPr="00111F90" w:rsidRDefault="00111F90" w:rsidP="00111F90">
      <w:pPr>
        <w:jc w:val="left"/>
      </w:pPr>
    </w:p>
    <w:p w14:paraId="62BE0913" w14:textId="77777777" w:rsidR="00134CE5" w:rsidRDefault="00111F90" w:rsidP="00E52920">
      <w:pPr>
        <w:jc w:val="left"/>
        <w:rPr>
          <w:b/>
          <w:bCs/>
          <w:i/>
          <w:iCs/>
        </w:rPr>
      </w:pPr>
      <w:r w:rsidRPr="00111F90">
        <w:rPr>
          <w:b/>
          <w:bCs/>
          <w:color w:val="002060"/>
        </w:rPr>
        <w:t>Technical Annexes</w:t>
      </w:r>
      <w:r w:rsidRPr="00111F90">
        <w:br/>
      </w:r>
    </w:p>
    <w:p w14:paraId="0783E1E3" w14:textId="017E3B85" w:rsidR="00111F90" w:rsidRPr="00111F90" w:rsidRDefault="00111F90" w:rsidP="00134CE5">
      <w:pPr>
        <w:ind w:left="360"/>
        <w:jc w:val="left"/>
        <w:rPr>
          <w:b/>
          <w:bCs/>
          <w:color w:val="00B050"/>
        </w:rPr>
      </w:pPr>
      <w:r w:rsidRPr="00111F90">
        <w:rPr>
          <w:b/>
          <w:bCs/>
          <w:i/>
          <w:iCs/>
          <w:color w:val="00B050"/>
        </w:rPr>
        <w:t>Question Q16.</w:t>
      </w:r>
      <w:r w:rsidRPr="00111F90">
        <w:rPr>
          <w:b/>
          <w:bCs/>
          <w:color w:val="00B050"/>
        </w:rPr>
        <w:t xml:space="preserve"> Do you have comments on the Technical Annexes I and on Section ‘Explanatory text’?</w:t>
      </w:r>
    </w:p>
    <w:p w14:paraId="1656D2E6" w14:textId="77777777" w:rsidR="005329E4" w:rsidRDefault="005329E4" w:rsidP="005329E4">
      <w:pPr>
        <w:pStyle w:val="IEBullet-Level1"/>
        <w:numPr>
          <w:ilvl w:val="0"/>
          <w:numId w:val="0"/>
        </w:numPr>
        <w:ind w:left="1080"/>
      </w:pPr>
    </w:p>
    <w:p w14:paraId="10A018FC" w14:textId="50B0DC2C" w:rsidR="004E6A8C" w:rsidRDefault="001F2055" w:rsidP="00134CE5">
      <w:pPr>
        <w:pStyle w:val="IEBullet-Level1"/>
        <w:ind w:left="1080"/>
      </w:pPr>
      <w:r w:rsidRPr="001F2055">
        <w:t xml:space="preserve">The revision of the technical annexes (Annexes I to III) raises concerns, as most of the newly added indicators are already available through the </w:t>
      </w:r>
      <w:r w:rsidR="009C7B08">
        <w:t>Quantitative Reporting Templates (</w:t>
      </w:r>
      <w:r w:rsidRPr="001F2055">
        <w:t>QRTs</w:t>
      </w:r>
      <w:r w:rsidR="009C7B08">
        <w:t>)</w:t>
      </w:r>
      <w:r w:rsidRPr="001F2055">
        <w:t xml:space="preserve">. Therefore, the </w:t>
      </w:r>
      <w:r w:rsidR="00724CED">
        <w:t xml:space="preserve">objective </w:t>
      </w:r>
      <w:r w:rsidRPr="001F2055">
        <w:t>to systematically focus on these indicators within the Colleges does not seem relevant</w:t>
      </w:r>
      <w:r w:rsidR="00724CED">
        <w:t>.</w:t>
      </w:r>
      <w:r w:rsidRPr="001F2055">
        <w:t xml:space="preserve"> </w:t>
      </w:r>
      <w:r w:rsidR="00860FD0">
        <w:t>I</w:t>
      </w:r>
      <w:r w:rsidRPr="001F2055">
        <w:t xml:space="preserve">n fact, </w:t>
      </w:r>
      <w:r w:rsidR="00860FD0">
        <w:t xml:space="preserve">they could </w:t>
      </w:r>
      <w:r w:rsidRPr="001F2055">
        <w:t xml:space="preserve">introduce confusion and unnecessary burden for institutions. </w:t>
      </w:r>
    </w:p>
    <w:p w14:paraId="2CDEDF40" w14:textId="64F7311F" w:rsidR="00006B76" w:rsidRDefault="001F2055" w:rsidP="00134CE5">
      <w:pPr>
        <w:pStyle w:val="IEBullet-Level1"/>
        <w:ind w:left="1080"/>
      </w:pPr>
      <w:r w:rsidRPr="001F2055">
        <w:lastRenderedPageBreak/>
        <w:t xml:space="preserve">The topics related to these indicators involve complex mechanisms that require a solid understanding of the context to be properly interpreted. </w:t>
      </w:r>
      <w:r w:rsidR="000C058B">
        <w:t>I</w:t>
      </w:r>
      <w:r w:rsidRPr="001F2055">
        <w:t xml:space="preserve">t may </w:t>
      </w:r>
      <w:r w:rsidR="000C058B">
        <w:t>be</w:t>
      </w:r>
      <w:r w:rsidRPr="001F2055">
        <w:t xml:space="preserve"> </w:t>
      </w:r>
      <w:r w:rsidR="000C058B">
        <w:t>in</w:t>
      </w:r>
      <w:r w:rsidRPr="001F2055">
        <w:t>effective</w:t>
      </w:r>
      <w:r w:rsidR="002D6702">
        <w:t xml:space="preserve"> at the level </w:t>
      </w:r>
      <w:r w:rsidRPr="001F2055">
        <w:t xml:space="preserve"> of the College of Supervisors and, indirectly, generate additional workload </w:t>
      </w:r>
      <w:r w:rsidR="00167291">
        <w:t>for</w:t>
      </w:r>
      <w:r w:rsidRPr="001F2055">
        <w:t xml:space="preserve"> National Authorities that are not primarily concerned.</w:t>
      </w:r>
    </w:p>
    <w:p w14:paraId="1F969F0D" w14:textId="77777777" w:rsidR="00006B76" w:rsidRDefault="00006B76" w:rsidP="00134CE5">
      <w:pPr>
        <w:ind w:left="360"/>
        <w:jc w:val="left"/>
        <w:rPr>
          <w:b/>
          <w:bCs/>
          <w:i/>
          <w:iCs/>
        </w:rPr>
      </w:pPr>
    </w:p>
    <w:p w14:paraId="6A50CE86" w14:textId="3F75A70E" w:rsidR="00111F90" w:rsidRPr="00111F90" w:rsidRDefault="00111F90" w:rsidP="00134CE5">
      <w:pPr>
        <w:ind w:left="360"/>
        <w:jc w:val="left"/>
        <w:rPr>
          <w:b/>
          <w:bCs/>
          <w:color w:val="00B050"/>
        </w:rPr>
      </w:pPr>
      <w:r w:rsidRPr="00111F90">
        <w:rPr>
          <w:b/>
          <w:bCs/>
          <w:i/>
          <w:iCs/>
          <w:color w:val="00B050"/>
        </w:rPr>
        <w:t>Question Q17.</w:t>
      </w:r>
      <w:r w:rsidRPr="00111F90">
        <w:rPr>
          <w:b/>
          <w:bCs/>
          <w:color w:val="00B050"/>
        </w:rPr>
        <w:t xml:space="preserve"> Do you have comments on the Technical Annexes II and on Section ‘Explanatory text’?</w:t>
      </w:r>
    </w:p>
    <w:p w14:paraId="4DB05B1A" w14:textId="77777777" w:rsidR="005329E4" w:rsidRDefault="005329E4" w:rsidP="005329E4">
      <w:pPr>
        <w:pStyle w:val="IEBullet-Level1"/>
        <w:numPr>
          <w:ilvl w:val="0"/>
          <w:numId w:val="0"/>
        </w:numPr>
        <w:ind w:left="1080"/>
      </w:pPr>
    </w:p>
    <w:p w14:paraId="3D7266B2" w14:textId="1BE57B1A" w:rsidR="00006B76" w:rsidRPr="00111F90" w:rsidRDefault="00006B76" w:rsidP="00134CE5">
      <w:pPr>
        <w:pStyle w:val="IEBullet-Level1"/>
        <w:ind w:left="1080"/>
      </w:pPr>
      <w:r w:rsidRPr="00111F90">
        <w:t>Yes</w:t>
      </w:r>
      <w:r>
        <w:t>/No</w:t>
      </w:r>
    </w:p>
    <w:p w14:paraId="68DA8571" w14:textId="77777777" w:rsidR="00006B76" w:rsidRDefault="00006B76" w:rsidP="00134CE5">
      <w:pPr>
        <w:pStyle w:val="IEBullet-Level1"/>
        <w:ind w:left="1080"/>
      </w:pPr>
      <w:r>
        <w:t>Comments here</w:t>
      </w:r>
    </w:p>
    <w:p w14:paraId="223E2488" w14:textId="77777777" w:rsidR="00006B76" w:rsidRDefault="00006B76" w:rsidP="00134CE5">
      <w:pPr>
        <w:pStyle w:val="IEBullet-Level1"/>
        <w:ind w:left="1080"/>
      </w:pPr>
    </w:p>
    <w:p w14:paraId="40A1B951" w14:textId="77777777" w:rsidR="00006B76" w:rsidRDefault="00006B76" w:rsidP="00134CE5">
      <w:pPr>
        <w:ind w:left="360"/>
        <w:jc w:val="left"/>
        <w:rPr>
          <w:b/>
          <w:bCs/>
          <w:i/>
          <w:iCs/>
        </w:rPr>
      </w:pPr>
    </w:p>
    <w:p w14:paraId="0E41B663" w14:textId="70607CD4" w:rsidR="00111F90" w:rsidRPr="00111F90" w:rsidRDefault="00111F90" w:rsidP="00134CE5">
      <w:pPr>
        <w:ind w:left="360"/>
        <w:jc w:val="left"/>
        <w:rPr>
          <w:b/>
          <w:bCs/>
          <w:color w:val="00B050"/>
        </w:rPr>
      </w:pPr>
      <w:r w:rsidRPr="00111F90">
        <w:rPr>
          <w:b/>
          <w:bCs/>
          <w:i/>
          <w:iCs/>
          <w:color w:val="00B050"/>
        </w:rPr>
        <w:t>Question Q18.</w:t>
      </w:r>
      <w:r w:rsidRPr="00111F90">
        <w:rPr>
          <w:b/>
          <w:bCs/>
          <w:color w:val="00B050"/>
        </w:rPr>
        <w:t xml:space="preserve"> Do you have comments on the Technical Annexes III and on Section ‘Explanatory text’?</w:t>
      </w:r>
    </w:p>
    <w:p w14:paraId="05D4252F" w14:textId="77777777" w:rsidR="005329E4" w:rsidRDefault="005329E4" w:rsidP="005329E4">
      <w:pPr>
        <w:pStyle w:val="IEBullet-Level1"/>
        <w:numPr>
          <w:ilvl w:val="0"/>
          <w:numId w:val="0"/>
        </w:numPr>
        <w:ind w:left="1080"/>
      </w:pPr>
    </w:p>
    <w:p w14:paraId="7141125A" w14:textId="01A3D94E" w:rsidR="00006B76" w:rsidRPr="00111F90" w:rsidRDefault="00006B76" w:rsidP="00134CE5">
      <w:pPr>
        <w:pStyle w:val="IEBullet-Level1"/>
        <w:ind w:left="1080"/>
      </w:pPr>
      <w:r w:rsidRPr="00111F90">
        <w:t>Yes</w:t>
      </w:r>
      <w:r>
        <w:t>/No</w:t>
      </w:r>
    </w:p>
    <w:p w14:paraId="686A0ACB" w14:textId="77777777" w:rsidR="00006B76" w:rsidRDefault="00006B76" w:rsidP="00134CE5">
      <w:pPr>
        <w:pStyle w:val="IEBullet-Level1"/>
        <w:ind w:left="1080"/>
      </w:pPr>
      <w:r>
        <w:t>Comments here</w:t>
      </w:r>
    </w:p>
    <w:p w14:paraId="472CF094" w14:textId="77777777" w:rsidR="00006B76" w:rsidRDefault="00006B76" w:rsidP="00134CE5">
      <w:pPr>
        <w:pStyle w:val="IEBullet-Level1"/>
        <w:ind w:left="1080"/>
      </w:pPr>
    </w:p>
    <w:p w14:paraId="1793C8DE" w14:textId="6475CBEB" w:rsidR="00111F90" w:rsidRPr="00111F90" w:rsidRDefault="00111F90" w:rsidP="00111F90">
      <w:pPr>
        <w:jc w:val="left"/>
      </w:pPr>
    </w:p>
    <w:p w14:paraId="6AC68168" w14:textId="77777777" w:rsidR="00006B76" w:rsidRPr="00006B76" w:rsidRDefault="00111F90" w:rsidP="00006B76">
      <w:pPr>
        <w:numPr>
          <w:ilvl w:val="0"/>
          <w:numId w:val="23"/>
        </w:numPr>
        <w:tabs>
          <w:tab w:val="clear" w:pos="360"/>
        </w:tabs>
        <w:jc w:val="left"/>
        <w:rPr>
          <w:b/>
          <w:bCs/>
        </w:rPr>
      </w:pPr>
      <w:r w:rsidRPr="00111F90">
        <w:rPr>
          <w:b/>
          <w:bCs/>
        </w:rPr>
        <w:t>Any other comments</w:t>
      </w:r>
    </w:p>
    <w:p w14:paraId="683A7D5E" w14:textId="77777777" w:rsidR="00134CE5" w:rsidRDefault="00134CE5" w:rsidP="00006B76">
      <w:pPr>
        <w:jc w:val="left"/>
        <w:rPr>
          <w:b/>
          <w:bCs/>
          <w:i/>
          <w:iCs/>
        </w:rPr>
      </w:pPr>
    </w:p>
    <w:p w14:paraId="6B1491B5" w14:textId="24BFAC1C" w:rsidR="00006B76" w:rsidRPr="00111F90" w:rsidRDefault="00111F90" w:rsidP="00134CE5">
      <w:pPr>
        <w:ind w:left="360"/>
        <w:jc w:val="left"/>
        <w:rPr>
          <w:b/>
          <w:bCs/>
          <w:color w:val="00B050"/>
        </w:rPr>
      </w:pPr>
      <w:r w:rsidRPr="00111F90">
        <w:rPr>
          <w:b/>
          <w:bCs/>
          <w:i/>
          <w:iCs/>
          <w:color w:val="00B050"/>
        </w:rPr>
        <w:t>Question Q19. Do you have any other comments?</w:t>
      </w:r>
    </w:p>
    <w:p w14:paraId="2E866455" w14:textId="77777777" w:rsidR="005329E4" w:rsidRDefault="005329E4" w:rsidP="005329E4">
      <w:pPr>
        <w:pStyle w:val="IEBullet-Level1"/>
        <w:numPr>
          <w:ilvl w:val="0"/>
          <w:numId w:val="0"/>
        </w:numPr>
        <w:ind w:left="1080"/>
      </w:pPr>
    </w:p>
    <w:p w14:paraId="2D60B180" w14:textId="36A3371F" w:rsidR="00006B76" w:rsidRPr="00006B76" w:rsidRDefault="00006B76" w:rsidP="00134CE5">
      <w:pPr>
        <w:pStyle w:val="IEBullet-Level1"/>
        <w:ind w:left="1080"/>
      </w:pPr>
      <w:r w:rsidRPr="00006B76">
        <w:t>Yes/No</w:t>
      </w:r>
    </w:p>
    <w:p w14:paraId="718651F7" w14:textId="77777777" w:rsidR="00006B76" w:rsidRPr="00006B76" w:rsidRDefault="00006B76" w:rsidP="00134CE5">
      <w:pPr>
        <w:pStyle w:val="IEBullet-Level1"/>
        <w:ind w:left="1080"/>
      </w:pPr>
      <w:r w:rsidRPr="00006B76">
        <w:t>Comments here</w:t>
      </w:r>
    </w:p>
    <w:p w14:paraId="49036219" w14:textId="77777777" w:rsidR="00006B76" w:rsidRPr="00006B76" w:rsidRDefault="00006B76" w:rsidP="00134CE5">
      <w:pPr>
        <w:pStyle w:val="IEBullet-Level1"/>
        <w:ind w:left="1080"/>
      </w:pPr>
    </w:p>
    <w:p w14:paraId="04EB33BC" w14:textId="77777777" w:rsidR="00440FEE" w:rsidRPr="00FA4DAB" w:rsidRDefault="00440FEE" w:rsidP="00111F90">
      <w:pPr>
        <w:jc w:val="left"/>
      </w:pPr>
    </w:p>
    <w:sectPr w:rsidR="00440FEE" w:rsidRPr="00FA4DAB" w:rsidSect="009176FF">
      <w:headerReference w:type="even" r:id="rId11"/>
      <w:headerReference w:type="default" r:id="rId12"/>
      <w:footerReference w:type="even" r:id="rId13"/>
      <w:footerReference w:type="default" r:id="rId14"/>
      <w:headerReference w:type="first" r:id="rId15"/>
      <w:footerReference w:type="first" r:id="rId16"/>
      <w:pgSz w:w="11907" w:h="16839" w:code="9"/>
      <w:pgMar w:top="2410" w:right="902" w:bottom="1418"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5F9B" w14:textId="77777777" w:rsidR="00F516B0" w:rsidRDefault="00F516B0">
      <w:pPr>
        <w:spacing w:line="240" w:lineRule="auto"/>
      </w:pPr>
      <w:r>
        <w:separator/>
      </w:r>
    </w:p>
  </w:endnote>
  <w:endnote w:type="continuationSeparator" w:id="0">
    <w:p w14:paraId="34D2D4B5" w14:textId="77777777" w:rsidR="00F516B0" w:rsidRDefault="00F51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5B28" w14:textId="77777777" w:rsidR="0060477E" w:rsidRDefault="0060477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301609"/>
      <w:docPartObj>
        <w:docPartGallery w:val="Page Numbers (Bottom of Page)"/>
        <w:docPartUnique/>
      </w:docPartObj>
    </w:sdtPr>
    <w:sdtEndPr/>
    <w:sdtContent>
      <w:p w14:paraId="257631E1" w14:textId="54C28898" w:rsidR="005329E4" w:rsidRDefault="005329E4">
        <w:pPr>
          <w:pStyle w:val="Pta"/>
          <w:jc w:val="right"/>
        </w:pPr>
        <w:r>
          <w:fldChar w:fldCharType="begin"/>
        </w:r>
        <w:r>
          <w:instrText>PAGE   \* MERGEFORMAT</w:instrText>
        </w:r>
        <w:r>
          <w:fldChar w:fldCharType="separate"/>
        </w:r>
        <w:r>
          <w:t>2</w:t>
        </w:r>
        <w:r>
          <w:fldChar w:fldCharType="end"/>
        </w:r>
      </w:p>
    </w:sdtContent>
  </w:sdt>
  <w:p w14:paraId="68573E0A" w14:textId="77777777" w:rsidR="00B124F2" w:rsidRPr="00CD51F6" w:rsidRDefault="00B124F2" w:rsidP="00B618BC">
    <w:pPr>
      <w:pStyle w:val="Pta"/>
      <w:ind w:left="546"/>
      <w:rPr>
        <w:rFonts w:cs="Arial"/>
        <w:b/>
        <w:color w:val="0032FF"/>
        <w:sz w:val="16"/>
        <w:szCs w:val="16"/>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C41B" w14:textId="77777777" w:rsidR="0060477E" w:rsidRDefault="006047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EEF7" w14:textId="77777777" w:rsidR="00F516B0" w:rsidRDefault="00F516B0">
      <w:pPr>
        <w:spacing w:line="240" w:lineRule="auto"/>
      </w:pPr>
      <w:r>
        <w:separator/>
      </w:r>
    </w:p>
  </w:footnote>
  <w:footnote w:type="continuationSeparator" w:id="0">
    <w:p w14:paraId="174A2128" w14:textId="77777777" w:rsidR="00F516B0" w:rsidRDefault="00F516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3AE5" w14:textId="3D57458D" w:rsidR="0060477E" w:rsidRDefault="00E028F6">
    <w:pPr>
      <w:pStyle w:val="Hlavika"/>
    </w:pPr>
    <w:r>
      <w:rPr>
        <w:noProof/>
      </w:rPr>
      <w:pict w14:anchorId="0EE33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7751" o:spid="_x0000_s1026" type="#_x0000_t136" style="position:absolute;left:0;text-align:left;margin-left:0;margin-top:0;width:506.9pt;height:168.95pt;rotation:315;z-index:-25165823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FEAC" w14:textId="66670803" w:rsidR="00B124F2" w:rsidRPr="004351D2" w:rsidRDefault="00E028F6" w:rsidP="00B618BC">
    <w:pPr>
      <w:pStyle w:val="Noparagraphstyle"/>
      <w:jc w:val="right"/>
      <w:rPr>
        <w:rFonts w:ascii="Verdana" w:hAnsi="Verdana"/>
        <w:b/>
        <w:bCs/>
        <w:color w:val="EE0000"/>
        <w:sz w:val="18"/>
        <w:szCs w:val="18"/>
      </w:rPr>
    </w:pPr>
    <w:r>
      <w:rPr>
        <w:noProof/>
      </w:rPr>
      <w:pict w14:anchorId="0D7BE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7752" o:spid="_x0000_s1027" type="#_x0000_t136" style="position:absolute;left:0;text-align:left;margin-left:0;margin-top:0;width:506.9pt;height:168.95pt;rotation:315;z-index:-251658237;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sidR="00DE61A5" w:rsidRPr="004351D2">
      <w:rPr>
        <w:rFonts w:ascii="Verdana" w:hAnsi="Verdana"/>
        <w:b/>
        <w:bCs/>
        <w:color w:val="EE0000"/>
        <w:sz w:val="18"/>
        <w:szCs w:val="18"/>
      </w:rPr>
      <w:t xml:space="preserve">For members’ feedback by </w:t>
    </w:r>
    <w:r w:rsidR="00E51F05">
      <w:rPr>
        <w:rFonts w:ascii="Verdana" w:hAnsi="Verdana"/>
        <w:b/>
        <w:bCs/>
        <w:color w:val="EE0000"/>
        <w:sz w:val="18"/>
        <w:szCs w:val="18"/>
      </w:rPr>
      <w:t>22</w:t>
    </w:r>
    <w:r w:rsidR="00DE61A5" w:rsidRPr="004351D2">
      <w:rPr>
        <w:rFonts w:ascii="Verdana" w:hAnsi="Verdana"/>
        <w:b/>
        <w:bCs/>
        <w:color w:val="EE0000"/>
        <w:sz w:val="18"/>
        <w:szCs w:val="18"/>
      </w:rPr>
      <w:t xml:space="preserve"> August 2025 COB</w:t>
    </w:r>
  </w:p>
  <w:p w14:paraId="3D1CC0EF" w14:textId="603B723F" w:rsidR="00B124F2" w:rsidRPr="00E51F05" w:rsidRDefault="00E51F05" w:rsidP="00E51F05">
    <w:pPr>
      <w:pStyle w:val="Noparagraphstyle"/>
      <w:jc w:val="right"/>
      <w:rPr>
        <w:rFonts w:ascii="Verdana" w:hAnsi="Verdana"/>
        <w:b/>
        <w:bCs/>
        <w:color w:val="EE0000"/>
        <w:sz w:val="18"/>
        <w:szCs w:val="18"/>
      </w:rPr>
    </w:pPr>
    <w:r>
      <w:rPr>
        <w:rFonts w:ascii="Verdana" w:hAnsi="Verdana"/>
        <w:b/>
        <w:bCs/>
        <w:color w:val="EE0000"/>
        <w:sz w:val="18"/>
        <w:szCs w:val="18"/>
      </w:rPr>
      <w:t>EIOPA deadline</w:t>
    </w:r>
    <w:r w:rsidR="0060477E">
      <w:rPr>
        <w:rFonts w:ascii="Verdana" w:hAnsi="Verdana"/>
        <w:b/>
        <w:bCs/>
        <w:color w:val="EE0000"/>
        <w:sz w:val="18"/>
        <w:szCs w:val="18"/>
      </w:rPr>
      <w:t xml:space="preserve"> by</w:t>
    </w:r>
    <w:r w:rsidRPr="004351D2">
      <w:rPr>
        <w:rFonts w:ascii="Verdana" w:hAnsi="Verdana"/>
        <w:b/>
        <w:bCs/>
        <w:color w:val="EE0000"/>
        <w:sz w:val="18"/>
        <w:szCs w:val="18"/>
      </w:rPr>
      <w:t xml:space="preserve"> </w:t>
    </w:r>
    <w:r w:rsidR="0060477E">
      <w:rPr>
        <w:rFonts w:ascii="Verdana" w:hAnsi="Verdana"/>
        <w:b/>
        <w:bCs/>
        <w:color w:val="EE0000"/>
        <w:sz w:val="18"/>
        <w:szCs w:val="18"/>
      </w:rPr>
      <w:t>14</w:t>
    </w:r>
    <w:r w:rsidRPr="004351D2">
      <w:rPr>
        <w:rFonts w:ascii="Verdana" w:hAnsi="Verdana"/>
        <w:b/>
        <w:bCs/>
        <w:color w:val="EE0000"/>
        <w:sz w:val="18"/>
        <w:szCs w:val="18"/>
      </w:rPr>
      <w:t xml:space="preserve"> </w:t>
    </w:r>
    <w:r w:rsidR="0060477E">
      <w:rPr>
        <w:rFonts w:ascii="Verdana" w:hAnsi="Verdana"/>
        <w:b/>
        <w:bCs/>
        <w:color w:val="EE0000"/>
        <w:sz w:val="18"/>
        <w:szCs w:val="18"/>
      </w:rPr>
      <w:t>October</w:t>
    </w:r>
    <w:r w:rsidRPr="004351D2">
      <w:rPr>
        <w:rFonts w:ascii="Verdana" w:hAnsi="Verdana"/>
        <w:b/>
        <w:bCs/>
        <w:color w:val="EE0000"/>
        <w:sz w:val="18"/>
        <w:szCs w:val="18"/>
      </w:rPr>
      <w:t xml:space="preserve"> 2025 COB</w:t>
    </w:r>
  </w:p>
  <w:p w14:paraId="1322705C" w14:textId="77777777" w:rsidR="00B124F2" w:rsidRPr="007349E1" w:rsidRDefault="009176FF" w:rsidP="00B618BC">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0275695B" wp14:editId="6D577E74">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C778" w14:textId="46957DBD" w:rsidR="0060477E" w:rsidRDefault="00E028F6">
    <w:pPr>
      <w:pStyle w:val="Hlavika"/>
    </w:pPr>
    <w:r>
      <w:rPr>
        <w:noProof/>
      </w:rPr>
      <w:pict w14:anchorId="3191E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27750" o:spid="_x0000_s1025" type="#_x0000_t136" style="position:absolute;left:0;text-align:left;margin-left:0;margin-top:0;width:506.9pt;height:168.95pt;rotation:315;z-index:-251658239;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D6E"/>
    <w:multiLevelType w:val="multilevel"/>
    <w:tmpl w:val="E4B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2EBC"/>
    <w:multiLevelType w:val="multilevel"/>
    <w:tmpl w:val="311EA35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F9D2F60"/>
    <w:multiLevelType w:val="multilevel"/>
    <w:tmpl w:val="7200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4071E"/>
    <w:multiLevelType w:val="hybridMultilevel"/>
    <w:tmpl w:val="EBE65710"/>
    <w:lvl w:ilvl="0" w:tplc="A0240652">
      <w:start w:val="165"/>
      <w:numFmt w:val="bullet"/>
      <w:pStyle w:val="IE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 w15:restartNumberingAfterBreak="0">
    <w:nsid w:val="155F0B01"/>
    <w:multiLevelType w:val="multilevel"/>
    <w:tmpl w:val="BDEEDDA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C5052F2"/>
    <w:multiLevelType w:val="multilevel"/>
    <w:tmpl w:val="BF7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B219C"/>
    <w:multiLevelType w:val="multilevel"/>
    <w:tmpl w:val="2B1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A29F0"/>
    <w:multiLevelType w:val="multilevel"/>
    <w:tmpl w:val="55202918"/>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271051B"/>
    <w:multiLevelType w:val="multilevel"/>
    <w:tmpl w:val="1C24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F3293"/>
    <w:multiLevelType w:val="multilevel"/>
    <w:tmpl w:val="C920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E4D85"/>
    <w:multiLevelType w:val="hybridMultilevel"/>
    <w:tmpl w:val="36024468"/>
    <w:lvl w:ilvl="0" w:tplc="37180294">
      <w:start w:val="165"/>
      <w:numFmt w:val="bullet"/>
      <w:pStyle w:val="IE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1" w15:restartNumberingAfterBreak="0">
    <w:nsid w:val="45F33082"/>
    <w:multiLevelType w:val="multilevel"/>
    <w:tmpl w:val="2FFC3BEE"/>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95B793C"/>
    <w:multiLevelType w:val="multilevel"/>
    <w:tmpl w:val="8C9C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AE31CA"/>
    <w:multiLevelType w:val="multilevel"/>
    <w:tmpl w:val="B3C29D4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AE676C7"/>
    <w:multiLevelType w:val="multilevel"/>
    <w:tmpl w:val="F2B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D23AE"/>
    <w:multiLevelType w:val="multilevel"/>
    <w:tmpl w:val="1A46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706A6"/>
    <w:multiLevelType w:val="multilevel"/>
    <w:tmpl w:val="71A66838"/>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92325BB"/>
    <w:multiLevelType w:val="multilevel"/>
    <w:tmpl w:val="7F2A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E2B88"/>
    <w:multiLevelType w:val="hybridMultilevel"/>
    <w:tmpl w:val="636CBA02"/>
    <w:lvl w:ilvl="0" w:tplc="2CF65F2A">
      <w:start w:val="165"/>
      <w:numFmt w:val="bullet"/>
      <w:pStyle w:val="IE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B77434"/>
    <w:multiLevelType w:val="multilevel"/>
    <w:tmpl w:val="71D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B3B1B"/>
    <w:multiLevelType w:val="multilevel"/>
    <w:tmpl w:val="856E680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0D26A04"/>
    <w:multiLevelType w:val="multilevel"/>
    <w:tmpl w:val="AE2E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46D89"/>
    <w:multiLevelType w:val="multilevel"/>
    <w:tmpl w:val="DDEC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D301E"/>
    <w:multiLevelType w:val="multilevel"/>
    <w:tmpl w:val="5C26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1594">
    <w:abstractNumId w:val="18"/>
  </w:num>
  <w:num w:numId="2" w16cid:durableId="1758285272">
    <w:abstractNumId w:val="3"/>
  </w:num>
  <w:num w:numId="3" w16cid:durableId="1182166510">
    <w:abstractNumId w:val="10"/>
  </w:num>
  <w:num w:numId="4" w16cid:durableId="1719469892">
    <w:abstractNumId w:val="7"/>
  </w:num>
  <w:num w:numId="5" w16cid:durableId="625744756">
    <w:abstractNumId w:val="14"/>
  </w:num>
  <w:num w:numId="6" w16cid:durableId="293680292">
    <w:abstractNumId w:val="16"/>
  </w:num>
  <w:num w:numId="7" w16cid:durableId="97799885">
    <w:abstractNumId w:val="9"/>
  </w:num>
  <w:num w:numId="8" w16cid:durableId="1399748438">
    <w:abstractNumId w:val="11"/>
  </w:num>
  <w:num w:numId="9" w16cid:durableId="1127703147">
    <w:abstractNumId w:val="21"/>
  </w:num>
  <w:num w:numId="10" w16cid:durableId="1468858422">
    <w:abstractNumId w:val="19"/>
  </w:num>
  <w:num w:numId="11" w16cid:durableId="139034228">
    <w:abstractNumId w:val="12"/>
  </w:num>
  <w:num w:numId="12" w16cid:durableId="311954306">
    <w:abstractNumId w:val="23"/>
  </w:num>
  <w:num w:numId="13" w16cid:durableId="1301961909">
    <w:abstractNumId w:val="5"/>
  </w:num>
  <w:num w:numId="14" w16cid:durableId="14695067">
    <w:abstractNumId w:val="15"/>
  </w:num>
  <w:num w:numId="15" w16cid:durableId="1046880361">
    <w:abstractNumId w:val="1"/>
  </w:num>
  <w:num w:numId="16" w16cid:durableId="50925147">
    <w:abstractNumId w:val="6"/>
  </w:num>
  <w:num w:numId="17" w16cid:durableId="1850826544">
    <w:abstractNumId w:val="20"/>
  </w:num>
  <w:num w:numId="18" w16cid:durableId="721246332">
    <w:abstractNumId w:val="0"/>
  </w:num>
  <w:num w:numId="19" w16cid:durableId="1897008915">
    <w:abstractNumId w:val="13"/>
  </w:num>
  <w:num w:numId="20" w16cid:durableId="657853323">
    <w:abstractNumId w:val="2"/>
  </w:num>
  <w:num w:numId="21" w16cid:durableId="266469728">
    <w:abstractNumId w:val="22"/>
  </w:num>
  <w:num w:numId="22" w16cid:durableId="945774915">
    <w:abstractNumId w:val="17"/>
  </w:num>
  <w:num w:numId="23" w16cid:durableId="1304625529">
    <w:abstractNumId w:val="4"/>
  </w:num>
  <w:num w:numId="24" w16cid:durableId="956525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106B"/>
    <w:rsid w:val="00006B76"/>
    <w:rsid w:val="00076404"/>
    <w:rsid w:val="00097867"/>
    <w:rsid w:val="000C058B"/>
    <w:rsid w:val="00105D47"/>
    <w:rsid w:val="00111F90"/>
    <w:rsid w:val="001126A0"/>
    <w:rsid w:val="00134CE5"/>
    <w:rsid w:val="00161A83"/>
    <w:rsid w:val="00164454"/>
    <w:rsid w:val="00167291"/>
    <w:rsid w:val="00192185"/>
    <w:rsid w:val="001F08A1"/>
    <w:rsid w:val="001F2055"/>
    <w:rsid w:val="00221DAF"/>
    <w:rsid w:val="002D2E7F"/>
    <w:rsid w:val="002D6702"/>
    <w:rsid w:val="00320B20"/>
    <w:rsid w:val="00397268"/>
    <w:rsid w:val="004351D2"/>
    <w:rsid w:val="00440FEE"/>
    <w:rsid w:val="00455DBE"/>
    <w:rsid w:val="004B7155"/>
    <w:rsid w:val="004E6A8C"/>
    <w:rsid w:val="004F5FCD"/>
    <w:rsid w:val="005323E7"/>
    <w:rsid w:val="005329E4"/>
    <w:rsid w:val="005709B4"/>
    <w:rsid w:val="005911EE"/>
    <w:rsid w:val="005A6249"/>
    <w:rsid w:val="0060477E"/>
    <w:rsid w:val="006620F2"/>
    <w:rsid w:val="006621FC"/>
    <w:rsid w:val="006D1501"/>
    <w:rsid w:val="00724CED"/>
    <w:rsid w:val="00731F95"/>
    <w:rsid w:val="007C26A7"/>
    <w:rsid w:val="00860FD0"/>
    <w:rsid w:val="00874EB4"/>
    <w:rsid w:val="008966FA"/>
    <w:rsid w:val="008A6814"/>
    <w:rsid w:val="009176FF"/>
    <w:rsid w:val="009431E7"/>
    <w:rsid w:val="00976D4F"/>
    <w:rsid w:val="009C7B08"/>
    <w:rsid w:val="00A737A2"/>
    <w:rsid w:val="00AC3A12"/>
    <w:rsid w:val="00B124F2"/>
    <w:rsid w:val="00B54F7A"/>
    <w:rsid w:val="00B60FC7"/>
    <w:rsid w:val="00B618BC"/>
    <w:rsid w:val="00C14B8C"/>
    <w:rsid w:val="00C2681B"/>
    <w:rsid w:val="00C72DF1"/>
    <w:rsid w:val="00C74CF5"/>
    <w:rsid w:val="00D05613"/>
    <w:rsid w:val="00D35F19"/>
    <w:rsid w:val="00D42DED"/>
    <w:rsid w:val="00D64D9D"/>
    <w:rsid w:val="00DE61A5"/>
    <w:rsid w:val="00E028F6"/>
    <w:rsid w:val="00E51F05"/>
    <w:rsid w:val="00E52920"/>
    <w:rsid w:val="00EC6F5B"/>
    <w:rsid w:val="00F35778"/>
    <w:rsid w:val="00F516B0"/>
    <w:rsid w:val="00F72A2A"/>
    <w:rsid w:val="00F83597"/>
    <w:rsid w:val="00F8705B"/>
    <w:rsid w:val="00F93B00"/>
    <w:rsid w:val="00FA4DA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E92D"/>
  <w15:docId w15:val="{219C660F-99B8-423A-9D83-51CAA544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IEGraphTitle">
    <w:name w:val="_IE Graph Title"/>
    <w:basedOn w:val="Predvolenpsmoodseku"/>
    <w:uiPriority w:val="1"/>
    <w:qFormat/>
    <w:rsid w:val="009176FF"/>
    <w:rPr>
      <w:rFonts w:ascii="Verdana" w:hAnsi="Verdana"/>
      <w:smallCaps w:val="0"/>
      <w:sz w:val="17"/>
      <w:lang w:val="en-GB"/>
    </w:rPr>
  </w:style>
  <w:style w:type="paragraph" w:customStyle="1" w:styleId="IEBullet-Level1">
    <w:name w:val="_IE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IEBullet-Level2">
    <w:name w:val="_IE Bullet - Level 2"/>
    <w:basedOn w:val="IEBullet-Level1"/>
    <w:next w:val="Normlny"/>
    <w:qFormat/>
    <w:rsid w:val="001126A0"/>
    <w:pPr>
      <w:numPr>
        <w:numId w:val="2"/>
      </w:numPr>
    </w:pPr>
  </w:style>
  <w:style w:type="paragraph" w:customStyle="1" w:styleId="IEBullet-Level3">
    <w:name w:val="_IE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IEGraphX">
    <w:name w:val="_IE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character" w:styleId="Hypertextovprepojenie">
    <w:name w:val="Hyperlink"/>
    <w:basedOn w:val="Predvolenpsmoodseku"/>
    <w:uiPriority w:val="99"/>
    <w:unhideWhenUsed/>
    <w:rsid w:val="00F72A2A"/>
    <w:rPr>
      <w:color w:val="0000FF" w:themeColor="hyperlink"/>
      <w:u w:val="single"/>
    </w:rPr>
  </w:style>
  <w:style w:type="character" w:styleId="Nevyrieenzmienka">
    <w:name w:val="Unresolved Mention"/>
    <w:basedOn w:val="Predvolenpsmoodseku"/>
    <w:uiPriority w:val="99"/>
    <w:semiHidden/>
    <w:unhideWhenUsed/>
    <w:rsid w:val="00F72A2A"/>
    <w:rPr>
      <w:color w:val="605E5C"/>
      <w:shd w:val="clear" w:color="auto" w:fill="E1DFDD"/>
    </w:rPr>
  </w:style>
  <w:style w:type="character" w:styleId="Odkaznakomentr">
    <w:name w:val="annotation reference"/>
    <w:basedOn w:val="Predvolenpsmoodseku"/>
    <w:uiPriority w:val="99"/>
    <w:semiHidden/>
    <w:unhideWhenUsed/>
    <w:rsid w:val="00C72DF1"/>
    <w:rPr>
      <w:sz w:val="16"/>
      <w:szCs w:val="16"/>
    </w:rPr>
  </w:style>
  <w:style w:type="paragraph" w:styleId="Textkomentra">
    <w:name w:val="annotation text"/>
    <w:basedOn w:val="Normlny"/>
    <w:link w:val="TextkomentraChar"/>
    <w:uiPriority w:val="99"/>
    <w:unhideWhenUsed/>
    <w:rsid w:val="00C72DF1"/>
    <w:pPr>
      <w:spacing w:line="240" w:lineRule="auto"/>
    </w:pPr>
    <w:rPr>
      <w:sz w:val="20"/>
      <w:szCs w:val="20"/>
    </w:rPr>
  </w:style>
  <w:style w:type="character" w:customStyle="1" w:styleId="TextkomentraChar">
    <w:name w:val="Text komentára Char"/>
    <w:basedOn w:val="Predvolenpsmoodseku"/>
    <w:link w:val="Textkomentra"/>
    <w:uiPriority w:val="99"/>
    <w:rsid w:val="00C72DF1"/>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C72DF1"/>
    <w:rPr>
      <w:b/>
      <w:bCs/>
    </w:rPr>
  </w:style>
  <w:style w:type="character" w:customStyle="1" w:styleId="PredmetkomentraChar">
    <w:name w:val="Predmet komentára Char"/>
    <w:basedOn w:val="TextkomentraChar"/>
    <w:link w:val="Predmetkomentra"/>
    <w:uiPriority w:val="99"/>
    <w:semiHidden/>
    <w:rsid w:val="00C72DF1"/>
    <w:rPr>
      <w:rFonts w:ascii="Verdana" w:eastAsia="Times New Roman" w:hAnsi="Verdana" w:cs="Times New Roman"/>
      <w:b/>
      <w:bCs/>
      <w:sz w:val="20"/>
      <w:szCs w:val="20"/>
      <w:lang w:val="en-GB"/>
    </w:rPr>
  </w:style>
  <w:style w:type="paragraph" w:styleId="Revzia">
    <w:name w:val="Revision"/>
    <w:hidden/>
    <w:uiPriority w:val="99"/>
    <w:semiHidden/>
    <w:rsid w:val="00C72DF1"/>
    <w:pPr>
      <w:spacing w:after="0" w:line="240" w:lineRule="auto"/>
    </w:pPr>
    <w:rPr>
      <w:rFonts w:ascii="Verdana" w:eastAsia="Times New Roman" w:hAnsi="Verdana" w:cs="Times New Roman"/>
      <w:sz w:val="17"/>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iopa.europa.eu/consultations/consultation-revised-guidelines-exchange-information-within-colleges-solvency-ii-review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352728d-c7aa-455d-bd83-40fe44122be8" xsi:nil="true"/>
    <Type_x0020_of_x0020_document xmlns="d352728d-c7aa-455d-bd83-40fe44122be8" xsi:nil="true"/>
    <Type_x0020_of_x0020_memo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5" ma:contentTypeDescription="Published Documents Content types for Insurance Europe" ma:contentTypeScope="" ma:versionID="8a2d4692b2818bc39a2ce63c0804f6e5">
  <xsd:schema xmlns:xsd="http://www.w3.org/2001/XMLSchema" xmlns:xs="http://www.w3.org/2001/XMLSchema" xmlns:p="http://schemas.microsoft.com/office/2006/metadata/properties" xmlns:ns2="d352728d-c7aa-455d-bd83-40fe44122be8" targetNamespace="http://schemas.microsoft.com/office/2006/metadata/properties" ma:root="true" ma:fieldsID="8b95e88459e8d978ad07ee6f97c580c8"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7A0EA-14CF-4487-AFCD-561CDD8E319F}">
  <ds:schemaRefs>
    <ds:schemaRef ds:uri="d352728d-c7aa-455d-bd83-40fe44122be8"/>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3.xml><?xml version="1.0" encoding="utf-8"?>
<ds:datastoreItem xmlns:ds="http://schemas.openxmlformats.org/officeDocument/2006/customXml" ds:itemID="{0A394758-428F-488A-AD5E-2BDEACDF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Template for consultation on revised guidelines on exchange of information within colleges</vt:lpstr>
    </vt:vector>
  </TitlesOfParts>
  <Company>Insurance Europe</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V1 - EIOPA revised guidelines on exchange of information within colleges</dc:title>
  <dc:subject/>
  <dc:creator>Insurance Europe</dc:creator>
  <cp:keywords/>
  <cp:lastModifiedBy>Jozef Bachnicek</cp:lastModifiedBy>
  <cp:revision>2</cp:revision>
  <dcterms:created xsi:type="dcterms:W3CDTF">2025-08-11T06:25:00Z</dcterms:created>
  <dcterms:modified xsi:type="dcterms:W3CDTF">2025-08-11T06:25:00Z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y fmtid="{D5CDD505-2E9C-101B-9397-08002B2CF9AE}" pid="3" name="MediaServiceImageTags">
    <vt:lpwstr/>
  </property>
</Properties>
</file>