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1B3" w:rsidRDefault="007851B3"/>
    <w:p w:rsidR="00143BCB" w:rsidRDefault="007851B3">
      <w:r>
        <w:t xml:space="preserve">Pripomienky </w:t>
      </w:r>
      <w:proofErr w:type="spellStart"/>
      <w:r>
        <w:t>Union</w:t>
      </w:r>
      <w:proofErr w:type="spellEnd"/>
      <w:r>
        <w:t xml:space="preserve"> poisťovňa, a.s. k návrhu novely Zákonníka práce:</w:t>
      </w:r>
    </w:p>
    <w:tbl>
      <w:tblPr>
        <w:tblW w:w="14785" w:type="dxa"/>
        <w:tblInd w:w="-356" w:type="dxa"/>
        <w:tblBorders>
          <w:top w:val="single" w:sz="8" w:space="0" w:color="auto"/>
          <w:left w:val="single" w:sz="4"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4A0"/>
      </w:tblPr>
      <w:tblGrid>
        <w:gridCol w:w="1135"/>
        <w:gridCol w:w="7244"/>
        <w:gridCol w:w="4521"/>
        <w:gridCol w:w="893"/>
        <w:gridCol w:w="992"/>
      </w:tblGrid>
      <w:tr w:rsidR="00143BCB" w:rsidTr="00143BCB">
        <w:trPr>
          <w:trHeight w:val="557"/>
        </w:trPr>
        <w:tc>
          <w:tcPr>
            <w:tcW w:w="1135" w:type="dxa"/>
            <w:tcBorders>
              <w:top w:val="single" w:sz="8" w:space="0" w:color="auto"/>
              <w:left w:val="single" w:sz="4" w:space="0" w:color="auto"/>
              <w:bottom w:val="single" w:sz="4" w:space="0" w:color="auto"/>
              <w:right w:val="single" w:sz="4" w:space="0" w:color="auto"/>
            </w:tcBorders>
            <w:shd w:val="clear" w:color="auto" w:fill="DBE5F1"/>
            <w:noWrap/>
            <w:hideMark/>
          </w:tcPr>
          <w:p w:rsidR="00143BCB" w:rsidRDefault="00143BCB">
            <w:pPr>
              <w:spacing w:after="0" w:line="240" w:lineRule="auto"/>
              <w:jc w:val="center"/>
              <w:rPr>
                <w:rFonts w:eastAsia="Times New Roman"/>
                <w:color w:val="000000"/>
                <w:lang w:eastAsia="sk-SK"/>
              </w:rPr>
            </w:pPr>
            <w:proofErr w:type="spellStart"/>
            <w:r>
              <w:rPr>
                <w:rFonts w:eastAsia="Times New Roman"/>
                <w:color w:val="000000"/>
                <w:lang w:eastAsia="sk-SK"/>
              </w:rPr>
              <w:t>Ust</w:t>
            </w:r>
            <w:proofErr w:type="spellEnd"/>
            <w:r>
              <w:rPr>
                <w:rFonts w:eastAsia="Times New Roman"/>
                <w:color w:val="000000"/>
                <w:lang w:eastAsia="sk-SK"/>
              </w:rPr>
              <w:t>.</w:t>
            </w:r>
          </w:p>
        </w:tc>
        <w:tc>
          <w:tcPr>
            <w:tcW w:w="7244" w:type="dxa"/>
            <w:tcBorders>
              <w:top w:val="single" w:sz="8" w:space="0" w:color="auto"/>
              <w:left w:val="single" w:sz="4" w:space="0" w:color="auto"/>
              <w:bottom w:val="single" w:sz="4" w:space="0" w:color="auto"/>
              <w:right w:val="single" w:sz="4" w:space="0" w:color="auto"/>
            </w:tcBorders>
            <w:shd w:val="clear" w:color="auto" w:fill="DBE5F1"/>
            <w:noWrap/>
            <w:hideMark/>
          </w:tcPr>
          <w:p w:rsidR="00143BCB" w:rsidRDefault="00143BCB">
            <w:pPr>
              <w:spacing w:after="0" w:line="240" w:lineRule="auto"/>
              <w:jc w:val="center"/>
              <w:rPr>
                <w:rFonts w:eastAsia="Times New Roman"/>
                <w:color w:val="000000"/>
                <w:lang w:eastAsia="sk-SK"/>
              </w:rPr>
            </w:pPr>
            <w:r>
              <w:rPr>
                <w:rFonts w:eastAsia="Times New Roman"/>
                <w:color w:val="000000"/>
                <w:lang w:eastAsia="sk-SK"/>
              </w:rPr>
              <w:t>Navrhované znenie ustanovení/navrhované zmeny</w:t>
            </w:r>
          </w:p>
        </w:tc>
        <w:tc>
          <w:tcPr>
            <w:tcW w:w="4521" w:type="dxa"/>
            <w:tcBorders>
              <w:top w:val="single" w:sz="8" w:space="0" w:color="auto"/>
              <w:left w:val="single" w:sz="4" w:space="0" w:color="auto"/>
              <w:bottom w:val="single" w:sz="4" w:space="0" w:color="auto"/>
              <w:right w:val="single" w:sz="4" w:space="0" w:color="auto"/>
            </w:tcBorders>
            <w:shd w:val="clear" w:color="auto" w:fill="DBE5F1"/>
            <w:noWrap/>
            <w:hideMark/>
          </w:tcPr>
          <w:p w:rsidR="00143BCB" w:rsidRDefault="00143BCB">
            <w:pPr>
              <w:spacing w:after="0" w:line="240" w:lineRule="auto"/>
              <w:jc w:val="center"/>
              <w:rPr>
                <w:rFonts w:eastAsia="Times New Roman"/>
                <w:color w:val="000000"/>
                <w:lang w:eastAsia="sk-SK"/>
              </w:rPr>
            </w:pPr>
            <w:r>
              <w:rPr>
                <w:rFonts w:eastAsia="Times New Roman"/>
                <w:color w:val="000000"/>
                <w:lang w:eastAsia="sk-SK"/>
              </w:rPr>
              <w:t>Odôvodnenie</w:t>
            </w:r>
          </w:p>
        </w:tc>
        <w:tc>
          <w:tcPr>
            <w:tcW w:w="893" w:type="dxa"/>
            <w:tcBorders>
              <w:top w:val="single" w:sz="8" w:space="0" w:color="auto"/>
              <w:left w:val="single" w:sz="4" w:space="0" w:color="auto"/>
              <w:bottom w:val="single" w:sz="4" w:space="0" w:color="auto"/>
              <w:right w:val="single" w:sz="4" w:space="0" w:color="auto"/>
            </w:tcBorders>
            <w:shd w:val="clear" w:color="auto" w:fill="DBE5F1"/>
            <w:hideMark/>
          </w:tcPr>
          <w:p w:rsidR="00143BCB" w:rsidRDefault="00143BCB">
            <w:pPr>
              <w:spacing w:after="0" w:line="240" w:lineRule="auto"/>
              <w:jc w:val="center"/>
              <w:rPr>
                <w:rFonts w:eastAsia="Times New Roman"/>
                <w:color w:val="000000"/>
                <w:lang w:eastAsia="sk-SK"/>
              </w:rPr>
            </w:pPr>
            <w:r>
              <w:rPr>
                <w:rFonts w:eastAsia="Times New Roman"/>
                <w:color w:val="000000"/>
                <w:lang w:eastAsia="sk-SK"/>
              </w:rPr>
              <w:t>Subjekt</w:t>
            </w:r>
          </w:p>
        </w:tc>
        <w:tc>
          <w:tcPr>
            <w:tcW w:w="992" w:type="dxa"/>
            <w:tcBorders>
              <w:top w:val="single" w:sz="8" w:space="0" w:color="auto"/>
              <w:left w:val="single" w:sz="4" w:space="0" w:color="auto"/>
              <w:bottom w:val="single" w:sz="4" w:space="0" w:color="auto"/>
              <w:right w:val="single" w:sz="8" w:space="0" w:color="auto"/>
            </w:tcBorders>
            <w:shd w:val="clear" w:color="auto" w:fill="DBE5F1"/>
            <w:noWrap/>
            <w:hideMark/>
          </w:tcPr>
          <w:p w:rsidR="00143BCB" w:rsidRDefault="00143BCB">
            <w:pPr>
              <w:spacing w:after="0" w:line="240" w:lineRule="auto"/>
              <w:jc w:val="center"/>
              <w:rPr>
                <w:rFonts w:eastAsia="Times New Roman"/>
                <w:color w:val="000000"/>
                <w:lang w:eastAsia="sk-SK"/>
              </w:rPr>
            </w:pPr>
            <w:proofErr w:type="spellStart"/>
            <w:r>
              <w:rPr>
                <w:rFonts w:eastAsia="Times New Roman"/>
                <w:color w:val="000000"/>
                <w:lang w:eastAsia="sk-SK"/>
              </w:rPr>
              <w:t>Vyhod-notenie</w:t>
            </w:r>
            <w:proofErr w:type="spellEnd"/>
          </w:p>
        </w:tc>
      </w:tr>
      <w:tr w:rsidR="00143BCB" w:rsidTr="00143BCB">
        <w:trPr>
          <w:trHeight w:val="2673"/>
        </w:trPr>
        <w:tc>
          <w:tcPr>
            <w:tcW w:w="1135" w:type="dxa"/>
            <w:tcBorders>
              <w:top w:val="single" w:sz="4" w:space="0" w:color="auto"/>
              <w:left w:val="single" w:sz="4" w:space="0" w:color="auto"/>
              <w:bottom w:val="single" w:sz="4" w:space="0" w:color="auto"/>
              <w:right w:val="single" w:sz="4" w:space="0" w:color="auto"/>
            </w:tcBorders>
            <w:noWrap/>
            <w:hideMark/>
          </w:tcPr>
          <w:p w:rsidR="00143BCB" w:rsidRDefault="007851B3">
            <w:pPr>
              <w:spacing w:after="0" w:line="240" w:lineRule="auto"/>
              <w:rPr>
                <w:rFonts w:eastAsia="Times New Roman"/>
                <w:lang w:eastAsia="sk-SK"/>
              </w:rPr>
            </w:pPr>
            <w:r>
              <w:rPr>
                <w:b/>
              </w:rPr>
              <w:t>§62 ods. 2, 3, 4</w:t>
            </w:r>
          </w:p>
        </w:tc>
        <w:tc>
          <w:tcPr>
            <w:tcW w:w="7244" w:type="dxa"/>
            <w:tcBorders>
              <w:top w:val="single" w:sz="4" w:space="0" w:color="auto"/>
              <w:left w:val="single" w:sz="4" w:space="0" w:color="auto"/>
              <w:bottom w:val="single" w:sz="4" w:space="0" w:color="auto"/>
              <w:right w:val="single" w:sz="4" w:space="0" w:color="auto"/>
            </w:tcBorders>
            <w:noWrap/>
          </w:tcPr>
          <w:p w:rsidR="007851B3" w:rsidRDefault="007851B3" w:rsidP="007851B3">
            <w:pPr>
              <w:spacing w:after="0" w:line="240" w:lineRule="auto"/>
              <w:jc w:val="both"/>
              <w:outlineLvl w:val="4"/>
            </w:pPr>
            <w:r w:rsidRPr="007851B3">
              <w:rPr>
                <w:b/>
              </w:rPr>
              <w:t>Predložený návrh</w:t>
            </w:r>
            <w:r>
              <w:t xml:space="preserve">: </w:t>
            </w:r>
          </w:p>
          <w:p w:rsidR="007851B3" w:rsidRPr="00FA3382" w:rsidRDefault="007851B3" w:rsidP="007851B3">
            <w:pPr>
              <w:spacing w:after="0" w:line="240" w:lineRule="auto"/>
              <w:jc w:val="both"/>
              <w:outlineLvl w:val="4"/>
            </w:pPr>
            <w:r>
              <w:t xml:space="preserve">        </w:t>
            </w:r>
            <w:r w:rsidRPr="00FA3382">
              <w:t xml:space="preserve">V § 62 ods. 2 sa za slovo „je“ vkladá slovo „najmenej“.                 </w:t>
            </w:r>
          </w:p>
          <w:p w:rsidR="007851B3" w:rsidRPr="00FA3382" w:rsidRDefault="007851B3" w:rsidP="007851B3">
            <w:pPr>
              <w:spacing w:after="0" w:line="240" w:lineRule="auto"/>
              <w:ind w:left="360"/>
              <w:jc w:val="both"/>
              <w:outlineLvl w:val="4"/>
            </w:pPr>
            <w:r w:rsidRPr="00FA3382">
              <w:t>V § 62 ods. 3 sa na konci uvádzacej vety pripája slovo „najmenej“.</w:t>
            </w:r>
          </w:p>
          <w:p w:rsidR="007851B3" w:rsidRPr="00FA3382" w:rsidRDefault="007851B3" w:rsidP="007851B3">
            <w:pPr>
              <w:spacing w:after="0" w:line="240" w:lineRule="auto"/>
              <w:ind w:left="360"/>
              <w:jc w:val="both"/>
              <w:outlineLvl w:val="4"/>
            </w:pPr>
            <w:r w:rsidRPr="00FA3382">
              <w:t xml:space="preserve">V </w:t>
            </w:r>
            <w:r w:rsidRPr="00214899">
              <w:t>§ 62 ods. 4 a 6 sa za slovo „je“ vkladá slovo „najmenej“.</w:t>
            </w:r>
          </w:p>
          <w:p w:rsidR="00143BCB" w:rsidRPr="007851B3" w:rsidRDefault="007851B3" w:rsidP="007851B3">
            <w:pPr>
              <w:spacing w:after="0" w:line="240" w:lineRule="auto"/>
              <w:rPr>
                <w:rFonts w:eastAsia="Times New Roman"/>
                <w:lang w:eastAsia="sk-SK"/>
              </w:rPr>
            </w:pPr>
            <w:r>
              <w:rPr>
                <w:rFonts w:eastAsia="Times New Roman"/>
                <w:lang w:eastAsia="sk-SK"/>
              </w:rPr>
              <w:t>-------------------------------------------------------------------------------------------------------</w:t>
            </w:r>
          </w:p>
          <w:p w:rsidR="007851B3" w:rsidRDefault="007851B3" w:rsidP="007851B3">
            <w:pPr>
              <w:spacing w:after="0" w:line="240" w:lineRule="auto"/>
              <w:jc w:val="both"/>
              <w:outlineLvl w:val="4"/>
              <w:rPr>
                <w:rFonts w:eastAsia="Times New Roman"/>
                <w:lang w:eastAsia="sk-SK"/>
              </w:rPr>
            </w:pPr>
            <w:r w:rsidRPr="007851B3">
              <w:rPr>
                <w:rFonts w:eastAsia="Times New Roman"/>
                <w:b/>
                <w:lang w:eastAsia="sk-SK"/>
              </w:rPr>
              <w:t>Náš návrh</w:t>
            </w:r>
            <w:r>
              <w:rPr>
                <w:rFonts w:eastAsia="Times New Roman"/>
                <w:lang w:eastAsia="sk-SK"/>
              </w:rPr>
              <w:t>:</w:t>
            </w:r>
          </w:p>
          <w:p w:rsidR="007851B3" w:rsidRPr="00FA3382" w:rsidRDefault="007851B3" w:rsidP="007851B3">
            <w:pPr>
              <w:spacing w:after="0" w:line="240" w:lineRule="auto"/>
              <w:jc w:val="both"/>
              <w:outlineLvl w:val="4"/>
            </w:pPr>
            <w:r>
              <w:rPr>
                <w:rFonts w:eastAsia="Times New Roman"/>
                <w:lang w:eastAsia="sk-SK"/>
              </w:rPr>
              <w:t>Podľa novely sa do uvedených ustanovení vkladá slovo „najmenej“, navrhujeme uvedené ustanovenia nemeniť, teda sovo „najmenej“ nevkladať</w:t>
            </w:r>
          </w:p>
          <w:p w:rsidR="007851B3" w:rsidRDefault="007851B3">
            <w:pPr>
              <w:spacing w:after="0" w:line="240" w:lineRule="auto"/>
              <w:rPr>
                <w:rFonts w:eastAsia="Times New Roman"/>
                <w:lang w:eastAsia="sk-SK"/>
              </w:rPr>
            </w:pPr>
          </w:p>
        </w:tc>
        <w:tc>
          <w:tcPr>
            <w:tcW w:w="4521" w:type="dxa"/>
            <w:tcBorders>
              <w:top w:val="single" w:sz="4" w:space="0" w:color="auto"/>
              <w:left w:val="single" w:sz="4" w:space="0" w:color="auto"/>
              <w:bottom w:val="single" w:sz="4" w:space="0" w:color="auto"/>
              <w:right w:val="single" w:sz="4" w:space="0" w:color="auto"/>
            </w:tcBorders>
            <w:noWrap/>
            <w:hideMark/>
          </w:tcPr>
          <w:p w:rsidR="00143BCB" w:rsidRDefault="007851B3" w:rsidP="007851B3">
            <w:pPr>
              <w:spacing w:after="0" w:line="240" w:lineRule="auto"/>
              <w:jc w:val="both"/>
              <w:rPr>
                <w:rFonts w:eastAsia="Times New Roman"/>
                <w:lang w:eastAsia="sk-SK"/>
              </w:rPr>
            </w:pPr>
            <w:r>
              <w:t xml:space="preserve">Nie je jasné, kde by mala byť dohodnutá iná výpovedná doba, navyše je nepravdepodobné, že by zamestnávateľ dohodol dlhšiu ako minimálnu výpovednú dobu </w:t>
            </w:r>
            <w:r w:rsidR="00143BCB">
              <w:t xml:space="preserve"> </w:t>
            </w:r>
          </w:p>
        </w:tc>
        <w:tc>
          <w:tcPr>
            <w:tcW w:w="893" w:type="dxa"/>
            <w:tcBorders>
              <w:top w:val="single" w:sz="4" w:space="0" w:color="auto"/>
              <w:left w:val="single" w:sz="4" w:space="0" w:color="auto"/>
              <w:bottom w:val="single" w:sz="4" w:space="0" w:color="auto"/>
              <w:right w:val="single" w:sz="4" w:space="0" w:color="auto"/>
            </w:tcBorders>
          </w:tcPr>
          <w:p w:rsidR="00143BCB" w:rsidRDefault="00143BCB">
            <w:pPr>
              <w:spacing w:after="0" w:line="240" w:lineRule="auto"/>
              <w:rPr>
                <w:rFonts w:eastAsia="Times New Roman"/>
                <w:color w:val="000000"/>
                <w:sz w:val="20"/>
                <w:szCs w:val="20"/>
                <w:lang w:eastAsia="sk-SK"/>
              </w:rPr>
            </w:pPr>
          </w:p>
        </w:tc>
        <w:tc>
          <w:tcPr>
            <w:tcW w:w="992" w:type="dxa"/>
            <w:tcBorders>
              <w:top w:val="single" w:sz="4" w:space="0" w:color="auto"/>
              <w:left w:val="single" w:sz="4" w:space="0" w:color="auto"/>
              <w:bottom w:val="single" w:sz="4" w:space="0" w:color="auto"/>
              <w:right w:val="single" w:sz="8" w:space="0" w:color="auto"/>
            </w:tcBorders>
            <w:noWrap/>
            <w:hideMark/>
          </w:tcPr>
          <w:p w:rsidR="00143BCB" w:rsidRDefault="00143BCB">
            <w:pPr>
              <w:spacing w:after="0" w:line="240" w:lineRule="auto"/>
              <w:rPr>
                <w:rFonts w:eastAsia="Times New Roman"/>
                <w:color w:val="000000"/>
                <w:lang w:eastAsia="sk-SK"/>
              </w:rPr>
            </w:pPr>
            <w:r>
              <w:rPr>
                <w:rFonts w:eastAsia="Times New Roman"/>
                <w:color w:val="000000"/>
                <w:lang w:eastAsia="sk-SK"/>
              </w:rPr>
              <w:t> </w:t>
            </w:r>
          </w:p>
        </w:tc>
      </w:tr>
      <w:tr w:rsidR="00143BCB" w:rsidTr="00143BCB">
        <w:trPr>
          <w:trHeight w:val="300"/>
        </w:trPr>
        <w:tc>
          <w:tcPr>
            <w:tcW w:w="1135" w:type="dxa"/>
            <w:tcBorders>
              <w:top w:val="single" w:sz="4" w:space="0" w:color="auto"/>
              <w:left w:val="single" w:sz="4" w:space="0" w:color="auto"/>
              <w:bottom w:val="single" w:sz="4" w:space="0" w:color="auto"/>
              <w:right w:val="single" w:sz="4" w:space="0" w:color="auto"/>
            </w:tcBorders>
            <w:noWrap/>
          </w:tcPr>
          <w:p w:rsidR="00143BCB" w:rsidRDefault="007851B3">
            <w:pPr>
              <w:spacing w:after="0" w:line="240" w:lineRule="auto"/>
              <w:jc w:val="both"/>
              <w:rPr>
                <w:b/>
              </w:rPr>
            </w:pPr>
            <w:r>
              <w:rPr>
                <w:b/>
              </w:rPr>
              <w:t>§ 76 ods. 1 a 2</w:t>
            </w:r>
          </w:p>
          <w:p w:rsidR="00143BCB" w:rsidRDefault="00143BCB">
            <w:pPr>
              <w:spacing w:after="0" w:line="240" w:lineRule="auto"/>
              <w:rPr>
                <w:rFonts w:eastAsia="Times New Roman"/>
                <w:lang w:eastAsia="sk-SK"/>
              </w:rPr>
            </w:pPr>
          </w:p>
        </w:tc>
        <w:tc>
          <w:tcPr>
            <w:tcW w:w="7244" w:type="dxa"/>
            <w:tcBorders>
              <w:top w:val="single" w:sz="4" w:space="0" w:color="auto"/>
              <w:left w:val="single" w:sz="4" w:space="0" w:color="auto"/>
              <w:bottom w:val="single" w:sz="4" w:space="0" w:color="auto"/>
              <w:right w:val="single" w:sz="4" w:space="0" w:color="auto"/>
            </w:tcBorders>
            <w:noWrap/>
            <w:hideMark/>
          </w:tcPr>
          <w:p w:rsidR="007851B3" w:rsidRDefault="007851B3" w:rsidP="007851B3">
            <w:pPr>
              <w:spacing w:after="0" w:line="240" w:lineRule="auto"/>
              <w:outlineLvl w:val="4"/>
            </w:pPr>
            <w:r w:rsidRPr="007851B3">
              <w:rPr>
                <w:b/>
              </w:rPr>
              <w:t>Predložený návrh</w:t>
            </w:r>
            <w:r>
              <w:t>:</w:t>
            </w:r>
          </w:p>
          <w:p w:rsidR="007851B3" w:rsidRPr="00FA3382" w:rsidRDefault="007851B3" w:rsidP="007851B3">
            <w:pPr>
              <w:spacing w:after="0" w:line="240" w:lineRule="auto"/>
              <w:outlineLvl w:val="4"/>
            </w:pPr>
            <w:r>
              <w:t xml:space="preserve">        </w:t>
            </w:r>
            <w:r w:rsidRPr="00FA3382">
              <w:t xml:space="preserve">V § 76 </w:t>
            </w:r>
            <w:r w:rsidRPr="00214899">
              <w:t>odseky l a 2 znejú:</w:t>
            </w:r>
          </w:p>
          <w:p w:rsidR="007851B3" w:rsidRPr="00FA3382" w:rsidRDefault="007851B3" w:rsidP="007851B3">
            <w:pPr>
              <w:ind w:left="357" w:firstLine="352"/>
              <w:jc w:val="both"/>
              <w:textAlignment w:val="top"/>
            </w:pPr>
            <w:r w:rsidRPr="00FA3382">
              <w:t>„(1) Zamestnancovi, s ktorým zamestnávateľ skončí pracovný pomer výpoveďou z dôvodov uvedených v § 63 ods. l písm. a) alebo písm. b) alebo z dôvodu, že zamestnanec stratil vzhľadom na svoj zdravotný stav podľa lekárskeho posudku dlhodobo spôsob</w:t>
            </w:r>
            <w:r>
              <w:t>ilosť vykonávať doterajšiu prácu,</w:t>
            </w:r>
            <w:r w:rsidRPr="00FA3382">
              <w:t xml:space="preserve"> patrí pri skončení pracovného pomeru odstupné najmenej v sume</w:t>
            </w:r>
          </w:p>
          <w:p w:rsidR="007851B3" w:rsidRPr="00FA3382" w:rsidRDefault="007851B3" w:rsidP="007851B3">
            <w:pPr>
              <w:numPr>
                <w:ilvl w:val="0"/>
                <w:numId w:val="3"/>
              </w:numPr>
              <w:spacing w:after="0" w:line="240" w:lineRule="auto"/>
              <w:jc w:val="both"/>
            </w:pPr>
            <w:r w:rsidRPr="00FA3382">
              <w:t>jeho priemerného mesačného zárobku, ak pracovný pomer zamestnanca trval najmenej jeden rok a menej ako päť rokov,</w:t>
            </w:r>
          </w:p>
          <w:p w:rsidR="007851B3" w:rsidRPr="00FA3382" w:rsidRDefault="007851B3" w:rsidP="007851B3">
            <w:pPr>
              <w:numPr>
                <w:ilvl w:val="0"/>
                <w:numId w:val="3"/>
              </w:numPr>
              <w:spacing w:after="0" w:line="240" w:lineRule="auto"/>
              <w:jc w:val="both"/>
            </w:pPr>
            <w:r w:rsidRPr="00FA3382">
              <w:t>dvojnásobku jeho priemerného mesačného zárobku, ak pracovný pomer zamestnanca trval najmenej päť rokov a menej ako desať rokov,</w:t>
            </w:r>
          </w:p>
          <w:p w:rsidR="007851B3" w:rsidRPr="00FA3382" w:rsidRDefault="007851B3" w:rsidP="007851B3">
            <w:pPr>
              <w:numPr>
                <w:ilvl w:val="0"/>
                <w:numId w:val="3"/>
              </w:numPr>
              <w:spacing w:after="0" w:line="240" w:lineRule="auto"/>
              <w:jc w:val="both"/>
            </w:pPr>
            <w:r w:rsidRPr="00FA3382">
              <w:t>trojnásobku jeho priemerného mesačného zárobku, ak pracovný pomer zamestnanca trval najmenej desať rokov.</w:t>
            </w:r>
          </w:p>
          <w:p w:rsidR="007851B3" w:rsidRDefault="007851B3" w:rsidP="007851B3">
            <w:pPr>
              <w:outlineLvl w:val="4"/>
            </w:pPr>
          </w:p>
          <w:p w:rsidR="007851B3" w:rsidRPr="004B1C57" w:rsidRDefault="007851B3" w:rsidP="007851B3">
            <w:pPr>
              <w:ind w:left="360" w:firstLine="348"/>
              <w:jc w:val="both"/>
              <w:outlineLvl w:val="4"/>
            </w:pPr>
            <w:r>
              <w:t>(</w:t>
            </w:r>
            <w:r w:rsidRPr="004B1C57">
              <w:t xml:space="preserve">2) Zamestnancovi, s ktorým zamestnávateľ skončí pracovný pomer </w:t>
            </w:r>
            <w:r w:rsidRPr="004B1C57">
              <w:lastRenderedPageBreak/>
              <w:t>dohodou z dôvodov uvedených v § 63 ods. l písm. a) alebo písm. b) alebo z dôvodu, že zamestnanec stratil vzhľadom na svoj zdravotný stav podľa lekárskeho posudku dlhodobo spôsobilosť vykonávať doterajšiu prácu, patrí pri skončení pracovného pomeru odstupné najmenej v sume</w:t>
            </w:r>
          </w:p>
          <w:p w:rsidR="007851B3" w:rsidRPr="004B1C57" w:rsidRDefault="007851B3" w:rsidP="007851B3">
            <w:pPr>
              <w:numPr>
                <w:ilvl w:val="0"/>
                <w:numId w:val="4"/>
              </w:numPr>
              <w:spacing w:after="0" w:line="240" w:lineRule="auto"/>
              <w:jc w:val="both"/>
            </w:pPr>
            <w:r w:rsidRPr="004B1C57">
              <w:t>jeho priemerného mesačného zárobku, ak pracovný pomer zamestnanca trval menej ako jeden rok,</w:t>
            </w:r>
          </w:p>
          <w:p w:rsidR="007851B3" w:rsidRPr="004B1C57" w:rsidRDefault="007851B3" w:rsidP="007851B3">
            <w:pPr>
              <w:numPr>
                <w:ilvl w:val="0"/>
                <w:numId w:val="4"/>
              </w:numPr>
              <w:spacing w:after="0" w:line="240" w:lineRule="auto"/>
              <w:jc w:val="both"/>
            </w:pPr>
            <w:r w:rsidRPr="004B1C57">
              <w:t>dvojnásobku jeho priemerného mesačného zárobku, ak pracovný pomer zamestnanca trval najmenej jeden rok a menej ako päť rokov,</w:t>
            </w:r>
          </w:p>
          <w:p w:rsidR="007851B3" w:rsidRPr="00FA3382" w:rsidRDefault="007851B3" w:rsidP="007851B3">
            <w:pPr>
              <w:numPr>
                <w:ilvl w:val="0"/>
                <w:numId w:val="4"/>
              </w:numPr>
              <w:spacing w:after="0" w:line="240" w:lineRule="auto"/>
              <w:jc w:val="both"/>
            </w:pPr>
            <w:r w:rsidRPr="004B1C57">
              <w:t>trojnásobku jeho priemerného mesačného zárobku, ak pracovný pomer zamestnanca trval najmenej päť rokov.“.</w:t>
            </w:r>
          </w:p>
          <w:p w:rsidR="007851B3" w:rsidRDefault="007851B3">
            <w:pPr>
              <w:spacing w:after="0" w:line="240" w:lineRule="auto"/>
              <w:jc w:val="both"/>
              <w:rPr>
                <w:rFonts w:eastAsia="Times New Roman"/>
                <w:lang w:eastAsia="sk-SK"/>
              </w:rPr>
            </w:pPr>
          </w:p>
          <w:p w:rsidR="00143BCB" w:rsidRDefault="007851B3">
            <w:pPr>
              <w:spacing w:after="0" w:line="240" w:lineRule="auto"/>
              <w:jc w:val="both"/>
              <w:rPr>
                <w:rFonts w:eastAsia="Times New Roman"/>
                <w:lang w:eastAsia="sk-SK"/>
              </w:rPr>
            </w:pPr>
            <w:r>
              <w:rPr>
                <w:rFonts w:eastAsia="Times New Roman"/>
                <w:lang w:eastAsia="sk-SK"/>
              </w:rPr>
              <w:t>-------------------------------------------------------------------------------------------</w:t>
            </w:r>
          </w:p>
          <w:p w:rsidR="007851B3" w:rsidRPr="007851B3" w:rsidRDefault="007851B3">
            <w:pPr>
              <w:spacing w:after="0" w:line="240" w:lineRule="auto"/>
              <w:jc w:val="both"/>
              <w:rPr>
                <w:rFonts w:eastAsia="Times New Roman"/>
                <w:b/>
                <w:lang w:eastAsia="sk-SK"/>
              </w:rPr>
            </w:pPr>
            <w:r w:rsidRPr="007851B3">
              <w:rPr>
                <w:rFonts w:eastAsia="Times New Roman"/>
                <w:b/>
                <w:lang w:eastAsia="sk-SK"/>
              </w:rPr>
              <w:t>Náš návrh:</w:t>
            </w:r>
          </w:p>
          <w:p w:rsidR="007851B3" w:rsidRDefault="007851B3">
            <w:pPr>
              <w:spacing w:after="0" w:line="240" w:lineRule="auto"/>
              <w:jc w:val="both"/>
              <w:rPr>
                <w:rFonts w:eastAsia="Times New Roman"/>
                <w:lang w:eastAsia="sk-SK"/>
              </w:rPr>
            </w:pPr>
            <w:r>
              <w:rPr>
                <w:rFonts w:eastAsia="Times New Roman"/>
                <w:lang w:eastAsia="sk-SK"/>
              </w:rPr>
              <w:t>Navrhujeme uvedené ustanovenia nemeniť, nechať v doteraz platnom znení</w:t>
            </w:r>
          </w:p>
        </w:tc>
        <w:tc>
          <w:tcPr>
            <w:tcW w:w="4521" w:type="dxa"/>
            <w:tcBorders>
              <w:top w:val="single" w:sz="4" w:space="0" w:color="auto"/>
              <w:left w:val="single" w:sz="4" w:space="0" w:color="auto"/>
              <w:bottom w:val="single" w:sz="4" w:space="0" w:color="auto"/>
              <w:right w:val="single" w:sz="4" w:space="0" w:color="auto"/>
            </w:tcBorders>
            <w:noWrap/>
            <w:hideMark/>
          </w:tcPr>
          <w:p w:rsidR="00143BCB" w:rsidRDefault="00143BCB" w:rsidP="007851B3">
            <w:pPr>
              <w:spacing w:after="0" w:line="240" w:lineRule="auto"/>
              <w:jc w:val="both"/>
              <w:rPr>
                <w:rFonts w:eastAsia="Times New Roman"/>
                <w:lang w:eastAsia="sk-SK"/>
              </w:rPr>
            </w:pPr>
            <w:r>
              <w:rPr>
                <w:rFonts w:eastAsia="Times New Roman"/>
                <w:lang w:eastAsia="sk-SK"/>
              </w:rPr>
              <w:lastRenderedPageBreak/>
              <w:t> </w:t>
            </w:r>
            <w:r w:rsidR="007851B3">
              <w:t>Súbeh výpovednej doby a odstupného je nekoncepčný, nemá opodstatnenie</w:t>
            </w:r>
            <w:r>
              <w:t xml:space="preserve"> </w:t>
            </w:r>
          </w:p>
        </w:tc>
        <w:tc>
          <w:tcPr>
            <w:tcW w:w="893" w:type="dxa"/>
            <w:tcBorders>
              <w:top w:val="single" w:sz="4" w:space="0" w:color="auto"/>
              <w:left w:val="single" w:sz="4" w:space="0" w:color="auto"/>
              <w:bottom w:val="single" w:sz="4" w:space="0" w:color="auto"/>
              <w:right w:val="single" w:sz="4" w:space="0" w:color="auto"/>
            </w:tcBorders>
          </w:tcPr>
          <w:p w:rsidR="00143BCB" w:rsidRDefault="00143BCB">
            <w:pPr>
              <w:spacing w:after="0" w:line="240" w:lineRule="auto"/>
              <w:rPr>
                <w:rFonts w:eastAsia="Times New Roman"/>
                <w:color w:val="000000"/>
                <w:sz w:val="20"/>
                <w:szCs w:val="20"/>
                <w:lang w:eastAsia="sk-SK"/>
              </w:rPr>
            </w:pPr>
          </w:p>
        </w:tc>
        <w:tc>
          <w:tcPr>
            <w:tcW w:w="992" w:type="dxa"/>
            <w:tcBorders>
              <w:top w:val="single" w:sz="4" w:space="0" w:color="auto"/>
              <w:left w:val="single" w:sz="4" w:space="0" w:color="auto"/>
              <w:bottom w:val="single" w:sz="4" w:space="0" w:color="auto"/>
              <w:right w:val="single" w:sz="8" w:space="0" w:color="auto"/>
            </w:tcBorders>
            <w:noWrap/>
          </w:tcPr>
          <w:p w:rsidR="00143BCB" w:rsidRDefault="00143BCB">
            <w:pPr>
              <w:spacing w:after="0" w:line="240" w:lineRule="auto"/>
              <w:rPr>
                <w:rFonts w:eastAsia="Times New Roman"/>
                <w:color w:val="000000"/>
                <w:lang w:eastAsia="sk-SK"/>
              </w:rPr>
            </w:pPr>
          </w:p>
        </w:tc>
      </w:tr>
      <w:tr w:rsidR="00143BCB" w:rsidTr="00143BCB">
        <w:trPr>
          <w:trHeight w:val="300"/>
        </w:trPr>
        <w:tc>
          <w:tcPr>
            <w:tcW w:w="1135" w:type="dxa"/>
            <w:tcBorders>
              <w:top w:val="single" w:sz="4" w:space="0" w:color="auto"/>
              <w:left w:val="single" w:sz="4" w:space="0" w:color="auto"/>
              <w:bottom w:val="single" w:sz="4" w:space="0" w:color="auto"/>
              <w:right w:val="single" w:sz="4" w:space="0" w:color="auto"/>
            </w:tcBorders>
            <w:noWrap/>
            <w:hideMark/>
          </w:tcPr>
          <w:p w:rsidR="00143BCB" w:rsidRDefault="007851B3">
            <w:pPr>
              <w:spacing w:after="0" w:line="240" w:lineRule="auto"/>
              <w:rPr>
                <w:rFonts w:eastAsia="Times New Roman"/>
                <w:lang w:eastAsia="sk-SK"/>
              </w:rPr>
            </w:pPr>
            <w:r>
              <w:rPr>
                <w:b/>
                <w:sz w:val="20"/>
                <w:szCs w:val="20"/>
              </w:rPr>
              <w:lastRenderedPageBreak/>
              <w:t>§76 ods. 3</w:t>
            </w:r>
            <w:r w:rsidR="00143BCB">
              <w:rPr>
                <w:b/>
                <w:sz w:val="20"/>
                <w:szCs w:val="20"/>
              </w:rPr>
              <w:t xml:space="preserve"> </w:t>
            </w:r>
          </w:p>
        </w:tc>
        <w:tc>
          <w:tcPr>
            <w:tcW w:w="7244" w:type="dxa"/>
            <w:tcBorders>
              <w:top w:val="single" w:sz="4" w:space="0" w:color="auto"/>
              <w:left w:val="single" w:sz="4" w:space="0" w:color="auto"/>
              <w:bottom w:val="single" w:sz="4" w:space="0" w:color="auto"/>
              <w:right w:val="single" w:sz="4" w:space="0" w:color="auto"/>
            </w:tcBorders>
            <w:noWrap/>
            <w:hideMark/>
          </w:tcPr>
          <w:p w:rsidR="007851B3" w:rsidRPr="007851B3" w:rsidRDefault="007851B3">
            <w:pPr>
              <w:spacing w:after="0" w:line="240" w:lineRule="auto"/>
              <w:rPr>
                <w:rFonts w:eastAsia="Times New Roman"/>
                <w:b/>
                <w:lang w:eastAsia="sk-SK"/>
              </w:rPr>
            </w:pPr>
            <w:r w:rsidRPr="007851B3">
              <w:rPr>
                <w:rFonts w:eastAsia="Times New Roman"/>
                <w:b/>
                <w:lang w:eastAsia="sk-SK"/>
              </w:rPr>
              <w:t>Predložený návrh:</w:t>
            </w:r>
          </w:p>
          <w:p w:rsidR="00143BCB" w:rsidRDefault="007851B3">
            <w:pPr>
              <w:spacing w:after="0" w:line="240" w:lineRule="auto"/>
              <w:rPr>
                <w:rFonts w:eastAsia="Times New Roman"/>
                <w:lang w:eastAsia="sk-SK"/>
              </w:rPr>
            </w:pPr>
            <w:r>
              <w:rPr>
                <w:rFonts w:eastAsia="Times New Roman"/>
                <w:lang w:eastAsia="sk-SK"/>
              </w:rPr>
              <w:t>Vypúšťa sa</w:t>
            </w:r>
          </w:p>
          <w:p w:rsidR="007851B3" w:rsidRDefault="007851B3">
            <w:pPr>
              <w:spacing w:after="0" w:line="240" w:lineRule="auto"/>
              <w:rPr>
                <w:rFonts w:eastAsia="Times New Roman"/>
                <w:lang w:eastAsia="sk-SK"/>
              </w:rPr>
            </w:pPr>
            <w:r>
              <w:rPr>
                <w:rFonts w:eastAsia="Times New Roman"/>
                <w:lang w:eastAsia="sk-SK"/>
              </w:rPr>
              <w:t>-----------------------------------------------------------------------------------------------------</w:t>
            </w:r>
          </w:p>
          <w:p w:rsidR="007851B3" w:rsidRPr="007851B3" w:rsidRDefault="007851B3">
            <w:pPr>
              <w:spacing w:after="0" w:line="240" w:lineRule="auto"/>
              <w:rPr>
                <w:rFonts w:eastAsia="Times New Roman"/>
                <w:b/>
                <w:lang w:eastAsia="sk-SK"/>
              </w:rPr>
            </w:pPr>
            <w:r w:rsidRPr="007851B3">
              <w:rPr>
                <w:rFonts w:eastAsia="Times New Roman"/>
                <w:b/>
                <w:lang w:eastAsia="sk-SK"/>
              </w:rPr>
              <w:t>Náš návrh:</w:t>
            </w:r>
          </w:p>
          <w:p w:rsidR="007851B3" w:rsidRPr="007851B3" w:rsidRDefault="007851B3">
            <w:pPr>
              <w:spacing w:after="0" w:line="240" w:lineRule="auto"/>
              <w:rPr>
                <w:rFonts w:eastAsia="Times New Roman"/>
                <w:lang w:eastAsia="sk-SK"/>
              </w:rPr>
            </w:pPr>
            <w:r w:rsidRPr="007851B3">
              <w:rPr>
                <w:rFonts w:eastAsia="Times New Roman"/>
                <w:lang w:eastAsia="sk-SK"/>
              </w:rPr>
              <w:t>navrhujeme ustanovenie vzhľadom k predchádzajúcej pripomi</w:t>
            </w:r>
            <w:r>
              <w:rPr>
                <w:rFonts w:eastAsia="Times New Roman"/>
                <w:lang w:eastAsia="sk-SK"/>
              </w:rPr>
              <w:t>e</w:t>
            </w:r>
            <w:r w:rsidRPr="007851B3">
              <w:rPr>
                <w:rFonts w:eastAsia="Times New Roman"/>
                <w:lang w:eastAsia="sk-SK"/>
              </w:rPr>
              <w:t>nke k § 76 ods. 1 a 2 ponechať</w:t>
            </w:r>
          </w:p>
        </w:tc>
        <w:tc>
          <w:tcPr>
            <w:tcW w:w="4521" w:type="dxa"/>
            <w:tcBorders>
              <w:top w:val="single" w:sz="4" w:space="0" w:color="auto"/>
              <w:left w:val="single" w:sz="4" w:space="0" w:color="auto"/>
              <w:bottom w:val="single" w:sz="4" w:space="0" w:color="auto"/>
              <w:right w:val="single" w:sz="4" w:space="0" w:color="auto"/>
            </w:tcBorders>
            <w:noWrap/>
            <w:hideMark/>
          </w:tcPr>
          <w:p w:rsidR="00143BCB" w:rsidRDefault="00143BCB" w:rsidP="007851B3">
            <w:pPr>
              <w:spacing w:after="0" w:line="240" w:lineRule="auto"/>
              <w:jc w:val="both"/>
              <w:rPr>
                <w:rFonts w:eastAsia="Times New Roman"/>
                <w:color w:val="000000"/>
                <w:lang w:eastAsia="sk-SK"/>
              </w:rPr>
            </w:pPr>
            <w:r>
              <w:rPr>
                <w:rFonts w:eastAsia="Times New Roman"/>
                <w:color w:val="000000"/>
                <w:lang w:eastAsia="sk-SK"/>
              </w:rPr>
              <w:t xml:space="preserve">  </w:t>
            </w:r>
          </w:p>
        </w:tc>
        <w:tc>
          <w:tcPr>
            <w:tcW w:w="893" w:type="dxa"/>
            <w:tcBorders>
              <w:top w:val="single" w:sz="4" w:space="0" w:color="auto"/>
              <w:left w:val="single" w:sz="4" w:space="0" w:color="auto"/>
              <w:bottom w:val="single" w:sz="4" w:space="0" w:color="auto"/>
              <w:right w:val="single" w:sz="4" w:space="0" w:color="auto"/>
            </w:tcBorders>
          </w:tcPr>
          <w:p w:rsidR="00143BCB" w:rsidRDefault="00143BCB">
            <w:pPr>
              <w:spacing w:after="0" w:line="240" w:lineRule="auto"/>
              <w:rPr>
                <w:rFonts w:eastAsia="Times New Roman"/>
                <w:color w:val="7030A0"/>
                <w:sz w:val="20"/>
                <w:szCs w:val="20"/>
                <w:lang w:eastAsia="sk-SK"/>
              </w:rPr>
            </w:pPr>
          </w:p>
        </w:tc>
        <w:tc>
          <w:tcPr>
            <w:tcW w:w="992" w:type="dxa"/>
            <w:tcBorders>
              <w:top w:val="single" w:sz="4" w:space="0" w:color="auto"/>
              <w:left w:val="single" w:sz="4" w:space="0" w:color="auto"/>
              <w:bottom w:val="single" w:sz="4" w:space="0" w:color="auto"/>
              <w:right w:val="single" w:sz="8" w:space="0" w:color="auto"/>
            </w:tcBorders>
            <w:noWrap/>
          </w:tcPr>
          <w:p w:rsidR="00143BCB" w:rsidRDefault="00143BCB">
            <w:pPr>
              <w:spacing w:after="0" w:line="240" w:lineRule="auto"/>
              <w:rPr>
                <w:rFonts w:eastAsia="Times New Roman"/>
                <w:color w:val="000000"/>
                <w:lang w:eastAsia="sk-SK"/>
              </w:rPr>
            </w:pPr>
          </w:p>
        </w:tc>
      </w:tr>
      <w:tr w:rsidR="00143BCB" w:rsidTr="00143BCB">
        <w:trPr>
          <w:trHeight w:val="300"/>
        </w:trPr>
        <w:tc>
          <w:tcPr>
            <w:tcW w:w="1135" w:type="dxa"/>
            <w:tcBorders>
              <w:top w:val="single" w:sz="4" w:space="0" w:color="auto"/>
              <w:left w:val="single" w:sz="4" w:space="0" w:color="auto"/>
              <w:bottom w:val="single" w:sz="8" w:space="0" w:color="auto"/>
              <w:right w:val="single" w:sz="4" w:space="0" w:color="auto"/>
            </w:tcBorders>
            <w:noWrap/>
            <w:hideMark/>
          </w:tcPr>
          <w:p w:rsidR="00143BCB" w:rsidRDefault="00143BCB" w:rsidP="007851B3">
            <w:pPr>
              <w:spacing w:after="0" w:line="240" w:lineRule="auto"/>
              <w:rPr>
                <w:b/>
                <w:sz w:val="20"/>
                <w:szCs w:val="20"/>
              </w:rPr>
            </w:pPr>
            <w:r>
              <w:rPr>
                <w:b/>
                <w:sz w:val="20"/>
                <w:szCs w:val="20"/>
              </w:rPr>
              <w:t xml:space="preserve">§ </w:t>
            </w:r>
            <w:r w:rsidR="007851B3">
              <w:rPr>
                <w:b/>
                <w:sz w:val="20"/>
                <w:szCs w:val="20"/>
              </w:rPr>
              <w:t>79 ods. 2</w:t>
            </w:r>
          </w:p>
        </w:tc>
        <w:tc>
          <w:tcPr>
            <w:tcW w:w="7244" w:type="dxa"/>
            <w:tcBorders>
              <w:top w:val="single" w:sz="4" w:space="0" w:color="auto"/>
              <w:left w:val="single" w:sz="4" w:space="0" w:color="auto"/>
              <w:bottom w:val="single" w:sz="8" w:space="0" w:color="auto"/>
              <w:right w:val="single" w:sz="4" w:space="0" w:color="auto"/>
            </w:tcBorders>
            <w:noWrap/>
            <w:hideMark/>
          </w:tcPr>
          <w:p w:rsidR="007851B3" w:rsidRDefault="007851B3" w:rsidP="007851B3">
            <w:pPr>
              <w:jc w:val="both"/>
              <w:textAlignment w:val="top"/>
              <w:rPr>
                <w:rFonts w:eastAsia="Times New Roman"/>
                <w:lang w:eastAsia="sk-SK"/>
              </w:rPr>
            </w:pPr>
            <w:r w:rsidRPr="007851B3">
              <w:rPr>
                <w:rFonts w:eastAsia="Times New Roman"/>
                <w:b/>
                <w:lang w:eastAsia="sk-SK"/>
              </w:rPr>
              <w:t>Predložený návrh</w:t>
            </w:r>
            <w:r>
              <w:rPr>
                <w:rFonts w:eastAsia="Times New Roman"/>
                <w:lang w:eastAsia="sk-SK"/>
              </w:rPr>
              <w:t>:</w:t>
            </w:r>
          </w:p>
          <w:p w:rsidR="007851B3" w:rsidRDefault="007851B3" w:rsidP="007851B3">
            <w:pPr>
              <w:ind w:left="357" w:firstLine="352"/>
              <w:jc w:val="both"/>
              <w:textAlignment w:val="top"/>
            </w:pPr>
            <w:r w:rsidRPr="00FA3382">
              <w:t>„(2) Ak celkový čas, za ktorý by sa mala zamestnancovi poskytnúť náhrada mzdy, presahuje 12 mesiacov, môže súd na žiadosť zamestnávateľa jeho povinnosť nahradiť mzdu za čas presahujúci 12 mesiacov primerane znížiť, prípadne náhradu mzdy zamestnancovi vôbec nepriznať.“.</w:t>
            </w:r>
          </w:p>
          <w:p w:rsidR="007851B3" w:rsidRDefault="007851B3" w:rsidP="007851B3">
            <w:pPr>
              <w:jc w:val="both"/>
              <w:textAlignment w:val="top"/>
            </w:pPr>
            <w:r>
              <w:t>---------------------------------------------------------------------------------------------</w:t>
            </w:r>
          </w:p>
          <w:p w:rsidR="007851B3" w:rsidRDefault="007851B3" w:rsidP="007851B3">
            <w:pPr>
              <w:jc w:val="both"/>
              <w:textAlignment w:val="top"/>
            </w:pPr>
            <w:r w:rsidRPr="007851B3">
              <w:rPr>
                <w:b/>
              </w:rPr>
              <w:t>Náš návrh</w:t>
            </w:r>
            <w:r>
              <w:t>:</w:t>
            </w:r>
          </w:p>
          <w:p w:rsidR="007851B3" w:rsidRPr="00FA3382" w:rsidRDefault="007851B3" w:rsidP="007851B3">
            <w:pPr>
              <w:ind w:left="357"/>
              <w:jc w:val="both"/>
              <w:textAlignment w:val="top"/>
            </w:pPr>
            <w:r>
              <w:lastRenderedPageBreak/>
              <w:t xml:space="preserve"> (2) </w:t>
            </w:r>
            <w:r w:rsidRPr="00FA3382">
              <w:t xml:space="preserve">Ak celkový čas, za ktorý by sa mala zamestnancovi poskytnúť náhrada mzdy, presahuje 12 mesiacov, </w:t>
            </w:r>
            <w:r>
              <w:t>patrí zamestnancovi náhrada mzdy len za čas 12 mesiacov.</w:t>
            </w:r>
          </w:p>
          <w:p w:rsidR="007851B3" w:rsidRPr="00FA3382" w:rsidRDefault="007851B3" w:rsidP="007851B3">
            <w:pPr>
              <w:jc w:val="both"/>
              <w:textAlignment w:val="top"/>
            </w:pPr>
          </w:p>
          <w:p w:rsidR="00143BCB" w:rsidRDefault="00143BCB">
            <w:pPr>
              <w:spacing w:after="0" w:line="240" w:lineRule="auto"/>
              <w:rPr>
                <w:rFonts w:eastAsia="Times New Roman"/>
                <w:lang w:eastAsia="sk-SK"/>
              </w:rPr>
            </w:pPr>
          </w:p>
        </w:tc>
        <w:tc>
          <w:tcPr>
            <w:tcW w:w="4521" w:type="dxa"/>
            <w:tcBorders>
              <w:top w:val="single" w:sz="4" w:space="0" w:color="auto"/>
              <w:left w:val="single" w:sz="4" w:space="0" w:color="auto"/>
              <w:bottom w:val="single" w:sz="8" w:space="0" w:color="auto"/>
              <w:right w:val="single" w:sz="4" w:space="0" w:color="auto"/>
            </w:tcBorders>
            <w:noWrap/>
            <w:hideMark/>
          </w:tcPr>
          <w:p w:rsidR="00143BCB" w:rsidRDefault="007851B3" w:rsidP="007851B3">
            <w:pPr>
              <w:spacing w:after="0" w:line="240" w:lineRule="auto"/>
              <w:jc w:val="both"/>
              <w:rPr>
                <w:rFonts w:eastAsia="Times New Roman"/>
                <w:color w:val="000000"/>
                <w:lang w:eastAsia="sk-SK"/>
              </w:rPr>
            </w:pPr>
            <w:r>
              <w:rPr>
                <w:rFonts w:eastAsia="Times New Roman"/>
                <w:color w:val="000000"/>
                <w:lang w:eastAsia="sk-SK"/>
              </w:rPr>
              <w:lastRenderedPageBreak/>
              <w:t xml:space="preserve">Občianske súdne konanie sa </w:t>
            </w:r>
            <w:r w:rsidR="00143BCB">
              <w:rPr>
                <w:rFonts w:eastAsia="Times New Roman"/>
                <w:color w:val="000000"/>
                <w:lang w:eastAsia="sk-SK"/>
              </w:rPr>
              <w:t xml:space="preserve"> </w:t>
            </w:r>
            <w:r>
              <w:rPr>
                <w:rFonts w:eastAsia="Times New Roman"/>
                <w:color w:val="000000"/>
                <w:lang w:eastAsia="sk-SK"/>
              </w:rPr>
              <w:t xml:space="preserve">začína na návrh; </w:t>
            </w:r>
            <w:proofErr w:type="spellStart"/>
            <w:r>
              <w:rPr>
                <w:rFonts w:eastAsia="Times New Roman"/>
                <w:color w:val="000000"/>
                <w:lang w:eastAsia="sk-SK"/>
              </w:rPr>
              <w:t>O.s.p</w:t>
            </w:r>
            <w:proofErr w:type="spellEnd"/>
            <w:r>
              <w:rPr>
                <w:rFonts w:eastAsia="Times New Roman"/>
                <w:color w:val="000000"/>
                <w:lang w:eastAsia="sk-SK"/>
              </w:rPr>
              <w:t>. nepozná inštitút „žiadosti“. Uvedené ustanovenie predpokladá rozhodovanie v súdnom konaní, čím dôjde k navýšeniu nápadov na súdy a aj k predĺženiu doby kedy bude zamestnancovi vyplatená náhrada mzdy.</w:t>
            </w:r>
          </w:p>
        </w:tc>
        <w:tc>
          <w:tcPr>
            <w:tcW w:w="893" w:type="dxa"/>
            <w:tcBorders>
              <w:top w:val="single" w:sz="4" w:space="0" w:color="auto"/>
              <w:left w:val="single" w:sz="4" w:space="0" w:color="auto"/>
              <w:bottom w:val="single" w:sz="8" w:space="0" w:color="auto"/>
              <w:right w:val="single" w:sz="4" w:space="0" w:color="auto"/>
            </w:tcBorders>
          </w:tcPr>
          <w:p w:rsidR="00143BCB" w:rsidRDefault="00143BCB">
            <w:pPr>
              <w:spacing w:after="0" w:line="240" w:lineRule="auto"/>
              <w:rPr>
                <w:rFonts w:eastAsia="Times New Roman"/>
                <w:color w:val="7030A0"/>
                <w:sz w:val="20"/>
                <w:szCs w:val="20"/>
                <w:lang w:eastAsia="sk-SK"/>
              </w:rPr>
            </w:pPr>
          </w:p>
        </w:tc>
        <w:tc>
          <w:tcPr>
            <w:tcW w:w="992" w:type="dxa"/>
            <w:tcBorders>
              <w:top w:val="single" w:sz="4" w:space="0" w:color="auto"/>
              <w:left w:val="single" w:sz="4" w:space="0" w:color="auto"/>
              <w:bottom w:val="single" w:sz="8" w:space="0" w:color="auto"/>
              <w:right w:val="single" w:sz="8" w:space="0" w:color="auto"/>
            </w:tcBorders>
            <w:noWrap/>
          </w:tcPr>
          <w:p w:rsidR="00143BCB" w:rsidRDefault="00143BCB">
            <w:pPr>
              <w:spacing w:after="0" w:line="240" w:lineRule="auto"/>
              <w:rPr>
                <w:rFonts w:eastAsia="Times New Roman"/>
                <w:color w:val="000000"/>
                <w:lang w:eastAsia="sk-SK"/>
              </w:rPr>
            </w:pPr>
          </w:p>
        </w:tc>
      </w:tr>
      <w:tr w:rsidR="00143BCB" w:rsidTr="002E02F6">
        <w:trPr>
          <w:trHeight w:val="300"/>
        </w:trPr>
        <w:tc>
          <w:tcPr>
            <w:tcW w:w="1135" w:type="dxa"/>
            <w:tcBorders>
              <w:top w:val="single" w:sz="4" w:space="0" w:color="auto"/>
              <w:left w:val="single" w:sz="4" w:space="0" w:color="auto"/>
              <w:bottom w:val="single" w:sz="4" w:space="0" w:color="auto"/>
              <w:right w:val="single" w:sz="4" w:space="0" w:color="auto"/>
            </w:tcBorders>
            <w:noWrap/>
          </w:tcPr>
          <w:p w:rsidR="00143BCB" w:rsidRDefault="002E02F6">
            <w:pPr>
              <w:spacing w:after="0" w:line="240" w:lineRule="auto"/>
              <w:rPr>
                <w:b/>
                <w:sz w:val="20"/>
                <w:szCs w:val="20"/>
              </w:rPr>
            </w:pPr>
            <w:r>
              <w:rPr>
                <w:b/>
                <w:sz w:val="20"/>
                <w:szCs w:val="20"/>
              </w:rPr>
              <w:lastRenderedPageBreak/>
              <w:t>§103 ods. 2</w:t>
            </w:r>
          </w:p>
        </w:tc>
        <w:tc>
          <w:tcPr>
            <w:tcW w:w="7244" w:type="dxa"/>
            <w:tcBorders>
              <w:top w:val="single" w:sz="4" w:space="0" w:color="auto"/>
              <w:left w:val="single" w:sz="4" w:space="0" w:color="auto"/>
              <w:bottom w:val="single" w:sz="4" w:space="0" w:color="auto"/>
              <w:right w:val="single" w:sz="4" w:space="0" w:color="auto"/>
            </w:tcBorders>
            <w:noWrap/>
          </w:tcPr>
          <w:p w:rsidR="00143BCB" w:rsidRPr="002E02F6" w:rsidRDefault="002E02F6">
            <w:pPr>
              <w:spacing w:after="0" w:line="240" w:lineRule="auto"/>
              <w:rPr>
                <w:rFonts w:eastAsia="Times New Roman"/>
                <w:b/>
                <w:lang w:eastAsia="sk-SK"/>
              </w:rPr>
            </w:pPr>
            <w:r w:rsidRPr="002E02F6">
              <w:rPr>
                <w:rFonts w:eastAsia="Times New Roman"/>
                <w:b/>
                <w:lang w:eastAsia="sk-SK"/>
              </w:rPr>
              <w:t>Predložený návrh:</w:t>
            </w:r>
          </w:p>
          <w:p w:rsidR="002E02F6" w:rsidRDefault="002E02F6">
            <w:pPr>
              <w:spacing w:after="0" w:line="240" w:lineRule="auto"/>
            </w:pPr>
            <w:r w:rsidRPr="00FA3382">
              <w:t>V § 103 ods. 2 sa za slovo „dovŕši“ vkladá slovo „najmenej“.</w:t>
            </w:r>
          </w:p>
          <w:p w:rsidR="002E02F6" w:rsidRDefault="002E02F6">
            <w:pPr>
              <w:spacing w:after="0" w:line="240" w:lineRule="auto"/>
            </w:pPr>
            <w:r>
              <w:t>--------------------------------------------------------------------------------------------------</w:t>
            </w:r>
          </w:p>
          <w:p w:rsidR="002E02F6" w:rsidRPr="002E02F6" w:rsidRDefault="002E02F6">
            <w:pPr>
              <w:spacing w:after="0" w:line="240" w:lineRule="auto"/>
              <w:rPr>
                <w:b/>
              </w:rPr>
            </w:pPr>
            <w:r w:rsidRPr="002E02F6">
              <w:rPr>
                <w:b/>
              </w:rPr>
              <w:t>Náš návrh:</w:t>
            </w:r>
          </w:p>
          <w:p w:rsidR="002E02F6" w:rsidRDefault="002E02F6">
            <w:pPr>
              <w:spacing w:after="0" w:line="240" w:lineRule="auto"/>
            </w:pPr>
            <w:r>
              <w:t>Slovo „najmenej“ nevkladať, zachovať pôvodné znenie</w:t>
            </w:r>
          </w:p>
          <w:p w:rsidR="002E02F6" w:rsidRDefault="002E02F6">
            <w:pPr>
              <w:spacing w:after="0" w:line="240" w:lineRule="auto"/>
            </w:pPr>
          </w:p>
          <w:p w:rsidR="002E02F6" w:rsidRDefault="002E02F6">
            <w:pPr>
              <w:spacing w:after="0" w:line="240" w:lineRule="auto"/>
              <w:rPr>
                <w:rFonts w:eastAsia="Times New Roman"/>
                <w:lang w:eastAsia="sk-SK"/>
              </w:rPr>
            </w:pPr>
          </w:p>
        </w:tc>
        <w:tc>
          <w:tcPr>
            <w:tcW w:w="4521" w:type="dxa"/>
            <w:tcBorders>
              <w:top w:val="single" w:sz="4" w:space="0" w:color="auto"/>
              <w:left w:val="single" w:sz="4" w:space="0" w:color="auto"/>
              <w:bottom w:val="single" w:sz="4" w:space="0" w:color="auto"/>
              <w:right w:val="single" w:sz="4" w:space="0" w:color="auto"/>
            </w:tcBorders>
            <w:noWrap/>
          </w:tcPr>
          <w:p w:rsidR="00143BCB" w:rsidRDefault="002E02F6">
            <w:pPr>
              <w:spacing w:after="0" w:line="240" w:lineRule="auto"/>
              <w:jc w:val="both"/>
              <w:rPr>
                <w:rFonts w:eastAsia="Times New Roman"/>
                <w:color w:val="000000"/>
                <w:lang w:eastAsia="sk-SK"/>
              </w:rPr>
            </w:pPr>
            <w:r>
              <w:rPr>
                <w:rFonts w:eastAsia="Times New Roman"/>
                <w:color w:val="000000"/>
                <w:lang w:eastAsia="sk-SK"/>
              </w:rPr>
              <w:t>Vloženie slova „najmenej“ nemá žiaden význam, v terajšom znení je ustanovenie úplne jasné a jednoznačné</w:t>
            </w:r>
          </w:p>
        </w:tc>
        <w:tc>
          <w:tcPr>
            <w:tcW w:w="893" w:type="dxa"/>
            <w:tcBorders>
              <w:top w:val="single" w:sz="4" w:space="0" w:color="auto"/>
              <w:left w:val="single" w:sz="4" w:space="0" w:color="auto"/>
              <w:bottom w:val="single" w:sz="4" w:space="0" w:color="auto"/>
              <w:right w:val="single" w:sz="4" w:space="0" w:color="auto"/>
            </w:tcBorders>
          </w:tcPr>
          <w:p w:rsidR="00143BCB" w:rsidRDefault="00143BCB">
            <w:pPr>
              <w:spacing w:after="0" w:line="240" w:lineRule="auto"/>
              <w:rPr>
                <w:rFonts w:eastAsia="Times New Roman"/>
                <w:color w:val="7030A0"/>
                <w:sz w:val="20"/>
                <w:szCs w:val="20"/>
                <w:lang w:eastAsia="sk-SK"/>
              </w:rPr>
            </w:pPr>
          </w:p>
        </w:tc>
        <w:tc>
          <w:tcPr>
            <w:tcW w:w="992" w:type="dxa"/>
            <w:tcBorders>
              <w:top w:val="single" w:sz="4" w:space="0" w:color="auto"/>
              <w:left w:val="single" w:sz="4" w:space="0" w:color="auto"/>
              <w:bottom w:val="single" w:sz="4" w:space="0" w:color="auto"/>
              <w:right w:val="single" w:sz="8" w:space="0" w:color="auto"/>
            </w:tcBorders>
            <w:noWrap/>
          </w:tcPr>
          <w:p w:rsidR="00143BCB" w:rsidRDefault="00143BCB">
            <w:pPr>
              <w:spacing w:after="0" w:line="240" w:lineRule="auto"/>
              <w:rPr>
                <w:rFonts w:eastAsia="Times New Roman"/>
                <w:color w:val="000000"/>
                <w:lang w:eastAsia="sk-SK"/>
              </w:rPr>
            </w:pPr>
          </w:p>
          <w:p w:rsidR="002E02F6" w:rsidRDefault="002E02F6">
            <w:pPr>
              <w:spacing w:after="0" w:line="240" w:lineRule="auto"/>
              <w:rPr>
                <w:rFonts w:eastAsia="Times New Roman"/>
                <w:color w:val="000000"/>
                <w:lang w:eastAsia="sk-SK"/>
              </w:rPr>
            </w:pPr>
          </w:p>
          <w:p w:rsidR="002E02F6" w:rsidRDefault="002E02F6">
            <w:pPr>
              <w:spacing w:after="0" w:line="240" w:lineRule="auto"/>
              <w:rPr>
                <w:rFonts w:eastAsia="Times New Roman"/>
                <w:color w:val="000000"/>
                <w:lang w:eastAsia="sk-SK"/>
              </w:rPr>
            </w:pPr>
          </w:p>
        </w:tc>
      </w:tr>
      <w:tr w:rsidR="002E02F6" w:rsidTr="00143BCB">
        <w:trPr>
          <w:trHeight w:val="300"/>
        </w:trPr>
        <w:tc>
          <w:tcPr>
            <w:tcW w:w="1135" w:type="dxa"/>
            <w:tcBorders>
              <w:top w:val="single" w:sz="4" w:space="0" w:color="auto"/>
              <w:left w:val="single" w:sz="4" w:space="0" w:color="auto"/>
              <w:bottom w:val="single" w:sz="8" w:space="0" w:color="auto"/>
              <w:right w:val="single" w:sz="4" w:space="0" w:color="auto"/>
            </w:tcBorders>
            <w:noWrap/>
          </w:tcPr>
          <w:p w:rsidR="002E02F6" w:rsidRDefault="002E02F6">
            <w:pPr>
              <w:spacing w:after="0" w:line="240" w:lineRule="auto"/>
              <w:rPr>
                <w:b/>
                <w:sz w:val="20"/>
                <w:szCs w:val="20"/>
              </w:rPr>
            </w:pPr>
            <w:r>
              <w:rPr>
                <w:b/>
                <w:sz w:val="20"/>
                <w:szCs w:val="20"/>
              </w:rPr>
              <w:t>§ 204 ods. 4</w:t>
            </w:r>
          </w:p>
        </w:tc>
        <w:tc>
          <w:tcPr>
            <w:tcW w:w="7244" w:type="dxa"/>
            <w:tcBorders>
              <w:top w:val="single" w:sz="4" w:space="0" w:color="auto"/>
              <w:left w:val="single" w:sz="4" w:space="0" w:color="auto"/>
              <w:bottom w:val="single" w:sz="8" w:space="0" w:color="auto"/>
              <w:right w:val="single" w:sz="4" w:space="0" w:color="auto"/>
            </w:tcBorders>
            <w:noWrap/>
          </w:tcPr>
          <w:p w:rsidR="002E02F6" w:rsidRDefault="002E02F6">
            <w:pPr>
              <w:spacing w:after="0" w:line="240" w:lineRule="auto"/>
              <w:rPr>
                <w:rFonts w:eastAsia="Times New Roman"/>
                <w:b/>
                <w:lang w:eastAsia="sk-SK"/>
              </w:rPr>
            </w:pPr>
            <w:r>
              <w:rPr>
                <w:rFonts w:eastAsia="Times New Roman"/>
                <w:b/>
                <w:lang w:eastAsia="sk-SK"/>
              </w:rPr>
              <w:t>Predložený návrh:</w:t>
            </w:r>
          </w:p>
          <w:p w:rsidR="002E02F6" w:rsidRPr="00FA3382" w:rsidRDefault="002E02F6" w:rsidP="002E02F6">
            <w:pPr>
              <w:spacing w:after="0" w:line="240" w:lineRule="auto"/>
              <w:jc w:val="both"/>
              <w:outlineLvl w:val="4"/>
            </w:pPr>
            <w:r w:rsidRPr="00FA3382">
              <w:t>V § 240 sa za odsek 3 vkladá nový odsek 4, ktorý znie:</w:t>
            </w:r>
          </w:p>
          <w:p w:rsidR="002E02F6" w:rsidRDefault="002E02F6" w:rsidP="002E02F6">
            <w:pPr>
              <w:spacing w:after="0" w:line="240" w:lineRule="auto"/>
            </w:pPr>
            <w:r w:rsidRPr="00FA3382">
              <w:t>„(4) Zamestnávateľ má právo skontrolovať, či zamestnanec využíva poskytnuté voľno podľa odseku 3 na účel, na ktorý bolo poskytnuté.“.</w:t>
            </w:r>
          </w:p>
          <w:p w:rsidR="002E02F6" w:rsidRPr="002E02F6" w:rsidRDefault="002E02F6" w:rsidP="002E02F6">
            <w:pPr>
              <w:spacing w:after="0" w:line="240" w:lineRule="auto"/>
              <w:rPr>
                <w:b/>
              </w:rPr>
            </w:pPr>
            <w:r w:rsidRPr="002E02F6">
              <w:rPr>
                <w:b/>
              </w:rPr>
              <w:t xml:space="preserve">Náš návrh: </w:t>
            </w:r>
          </w:p>
          <w:p w:rsidR="002E02F6" w:rsidRPr="002E02F6" w:rsidRDefault="002E02F6" w:rsidP="002E02F6">
            <w:pPr>
              <w:spacing w:after="0" w:line="240" w:lineRule="auto"/>
              <w:rPr>
                <w:rFonts w:eastAsia="Times New Roman"/>
                <w:lang w:eastAsia="sk-SK"/>
              </w:rPr>
            </w:pPr>
            <w:r>
              <w:rPr>
                <w:rFonts w:eastAsia="Times New Roman"/>
                <w:lang w:eastAsia="sk-SK"/>
              </w:rPr>
              <w:t>Ustanovenie  nevkladať</w:t>
            </w:r>
          </w:p>
        </w:tc>
        <w:tc>
          <w:tcPr>
            <w:tcW w:w="4521" w:type="dxa"/>
            <w:tcBorders>
              <w:top w:val="single" w:sz="4" w:space="0" w:color="auto"/>
              <w:left w:val="single" w:sz="4" w:space="0" w:color="auto"/>
              <w:bottom w:val="single" w:sz="8" w:space="0" w:color="auto"/>
              <w:right w:val="single" w:sz="4" w:space="0" w:color="auto"/>
            </w:tcBorders>
            <w:noWrap/>
          </w:tcPr>
          <w:p w:rsidR="002E02F6" w:rsidRDefault="002E02F6">
            <w:pPr>
              <w:spacing w:after="0" w:line="240" w:lineRule="auto"/>
              <w:jc w:val="both"/>
              <w:rPr>
                <w:rFonts w:eastAsia="Times New Roman"/>
                <w:color w:val="000000"/>
                <w:lang w:eastAsia="sk-SK"/>
              </w:rPr>
            </w:pPr>
            <w:r>
              <w:rPr>
                <w:rFonts w:eastAsia="Times New Roman"/>
                <w:color w:val="000000"/>
                <w:lang w:eastAsia="sk-SK"/>
              </w:rPr>
              <w:t>Uvedené ustanovenie je už obsiahnuté v ods. 3 – posledná veta</w:t>
            </w:r>
          </w:p>
        </w:tc>
        <w:tc>
          <w:tcPr>
            <w:tcW w:w="893" w:type="dxa"/>
            <w:tcBorders>
              <w:top w:val="single" w:sz="4" w:space="0" w:color="auto"/>
              <w:left w:val="single" w:sz="4" w:space="0" w:color="auto"/>
              <w:bottom w:val="single" w:sz="8" w:space="0" w:color="auto"/>
              <w:right w:val="single" w:sz="4" w:space="0" w:color="auto"/>
            </w:tcBorders>
          </w:tcPr>
          <w:p w:rsidR="002E02F6" w:rsidRDefault="002E02F6">
            <w:pPr>
              <w:spacing w:after="0" w:line="240" w:lineRule="auto"/>
              <w:rPr>
                <w:rFonts w:eastAsia="Times New Roman"/>
                <w:color w:val="7030A0"/>
                <w:sz w:val="20"/>
                <w:szCs w:val="20"/>
                <w:lang w:eastAsia="sk-SK"/>
              </w:rPr>
            </w:pPr>
          </w:p>
        </w:tc>
        <w:tc>
          <w:tcPr>
            <w:tcW w:w="992" w:type="dxa"/>
            <w:tcBorders>
              <w:top w:val="single" w:sz="4" w:space="0" w:color="auto"/>
              <w:left w:val="single" w:sz="4" w:space="0" w:color="auto"/>
              <w:bottom w:val="single" w:sz="8" w:space="0" w:color="auto"/>
              <w:right w:val="single" w:sz="8" w:space="0" w:color="auto"/>
            </w:tcBorders>
            <w:noWrap/>
          </w:tcPr>
          <w:p w:rsidR="002E02F6" w:rsidRDefault="002E02F6">
            <w:pPr>
              <w:spacing w:after="0" w:line="240" w:lineRule="auto"/>
              <w:rPr>
                <w:rFonts w:eastAsia="Times New Roman"/>
                <w:color w:val="000000"/>
                <w:lang w:eastAsia="sk-SK"/>
              </w:rPr>
            </w:pPr>
          </w:p>
        </w:tc>
      </w:tr>
    </w:tbl>
    <w:p w:rsidR="002E02F6" w:rsidRDefault="002E02F6"/>
    <w:p w:rsidR="002E02F6" w:rsidRDefault="002E02F6">
      <w:r>
        <w:t xml:space="preserve">Vypracovala: </w:t>
      </w:r>
      <w:r w:rsidR="00E73043">
        <w:t>Andrea Distlerová</w:t>
      </w:r>
    </w:p>
    <w:sectPr w:rsidR="002E02F6" w:rsidSect="00143BCB">
      <w:headerReference w:type="default" r:id="rId7"/>
      <w:pgSz w:w="16838" w:h="11906" w:orient="landscape" w:code="9"/>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BCB" w:rsidRDefault="00143BCB" w:rsidP="00143BCB">
      <w:pPr>
        <w:spacing w:after="0" w:line="240" w:lineRule="auto"/>
      </w:pPr>
      <w:r>
        <w:separator/>
      </w:r>
    </w:p>
  </w:endnote>
  <w:endnote w:type="continuationSeparator" w:id="0">
    <w:p w:rsidR="00143BCB" w:rsidRDefault="00143BCB" w:rsidP="00143B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20002A87" w:usb1="80000000" w:usb2="00000008" w:usb3="00000000" w:csb0="000001FF" w:csb1="00000000"/>
  </w:font>
  <w:font w:name="Calibri">
    <w:altName w:val="Arial"/>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BCB" w:rsidRDefault="00143BCB" w:rsidP="00143BCB">
      <w:pPr>
        <w:spacing w:after="0" w:line="240" w:lineRule="auto"/>
      </w:pPr>
      <w:r>
        <w:separator/>
      </w:r>
    </w:p>
  </w:footnote>
  <w:footnote w:type="continuationSeparator" w:id="0">
    <w:p w:rsidR="00143BCB" w:rsidRDefault="00143BCB" w:rsidP="00143B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BCB" w:rsidRDefault="00143BCB">
    <w:pPr>
      <w:pStyle w:val="Hlavika"/>
    </w:pPr>
    <w:r>
      <w:rPr>
        <w:noProof/>
        <w:lang w:eastAsia="sk-SK"/>
      </w:rPr>
      <w:drawing>
        <wp:inline distT="0" distB="0" distL="0" distR="0">
          <wp:extent cx="1371600" cy="40957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71600" cy="4095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137F8"/>
    <w:multiLevelType w:val="hybridMultilevel"/>
    <w:tmpl w:val="C21ADDEC"/>
    <w:lvl w:ilvl="0" w:tplc="041B0017">
      <w:start w:val="1"/>
      <w:numFmt w:val="lowerLetter"/>
      <w:lvlText w:val="%1)"/>
      <w:lvlJc w:val="left"/>
      <w:pPr>
        <w:ind w:left="717" w:hanging="360"/>
      </w:pPr>
      <w:rPr>
        <w:rFonts w:cs="Times New Roman"/>
      </w:rPr>
    </w:lvl>
    <w:lvl w:ilvl="1" w:tplc="041B0019" w:tentative="1">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1">
    <w:nsid w:val="4DC8337B"/>
    <w:multiLevelType w:val="hybridMultilevel"/>
    <w:tmpl w:val="02E8CF56"/>
    <w:lvl w:ilvl="0" w:tplc="9A40066C">
      <w:start w:val="1"/>
      <w:numFmt w:val="decimal"/>
      <w:lvlText w:val="%1."/>
      <w:lvlJc w:val="left"/>
      <w:pPr>
        <w:ind w:left="360" w:hanging="360"/>
      </w:pPr>
      <w:rPr>
        <w:rFonts w:cs="Times New Roman"/>
        <w:b w:val="0"/>
        <w:strike w:val="0"/>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nsid w:val="6FF66E03"/>
    <w:multiLevelType w:val="hybridMultilevel"/>
    <w:tmpl w:val="6408140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7B276ACD"/>
    <w:multiLevelType w:val="hybridMultilevel"/>
    <w:tmpl w:val="D8D64744"/>
    <w:lvl w:ilvl="0" w:tplc="42844732">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43BCB"/>
    <w:rsid w:val="00071EBF"/>
    <w:rsid w:val="00143BCB"/>
    <w:rsid w:val="002E02F6"/>
    <w:rsid w:val="005539A9"/>
    <w:rsid w:val="007851B3"/>
    <w:rsid w:val="00E73043"/>
    <w:rsid w:val="00EE16A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43BCB"/>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semiHidden/>
    <w:unhideWhenUsed/>
    <w:rsid w:val="00143BCB"/>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143BCB"/>
    <w:rPr>
      <w:rFonts w:ascii="Calibri" w:eastAsia="Calibri" w:hAnsi="Calibri" w:cs="Times New Roman"/>
    </w:rPr>
  </w:style>
  <w:style w:type="paragraph" w:styleId="Pta">
    <w:name w:val="footer"/>
    <w:basedOn w:val="Normlny"/>
    <w:link w:val="PtaChar"/>
    <w:uiPriority w:val="99"/>
    <w:semiHidden/>
    <w:unhideWhenUsed/>
    <w:rsid w:val="00143BCB"/>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143BCB"/>
    <w:rPr>
      <w:rFonts w:ascii="Calibri" w:eastAsia="Calibri" w:hAnsi="Calibri" w:cs="Times New Roman"/>
    </w:rPr>
  </w:style>
  <w:style w:type="paragraph" w:styleId="Textbubliny">
    <w:name w:val="Balloon Text"/>
    <w:basedOn w:val="Normlny"/>
    <w:link w:val="TextbublinyChar"/>
    <w:uiPriority w:val="99"/>
    <w:semiHidden/>
    <w:unhideWhenUsed/>
    <w:rsid w:val="00143BC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43BCB"/>
    <w:rPr>
      <w:rFonts w:ascii="Tahoma" w:eastAsia="Calibri" w:hAnsi="Tahoma" w:cs="Tahoma"/>
      <w:sz w:val="16"/>
      <w:szCs w:val="16"/>
    </w:rPr>
  </w:style>
  <w:style w:type="paragraph" w:styleId="Odsekzoznamu">
    <w:name w:val="List Paragraph"/>
    <w:basedOn w:val="Normlny"/>
    <w:uiPriority w:val="34"/>
    <w:qFormat/>
    <w:rsid w:val="007851B3"/>
    <w:pPr>
      <w:ind w:left="720"/>
      <w:contextualSpacing/>
    </w:pPr>
  </w:style>
</w:styles>
</file>

<file path=word/webSettings.xml><?xml version="1.0" encoding="utf-8"?>
<w:webSettings xmlns:r="http://schemas.openxmlformats.org/officeDocument/2006/relationships" xmlns:w="http://schemas.openxmlformats.org/wordprocessingml/2006/main">
  <w:divs>
    <w:div w:id="44507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636</Words>
  <Characters>3628</Characters>
  <Application>Microsoft Office Word</Application>
  <DocSecurity>0</DocSecurity>
  <Lines>30</Lines>
  <Paragraphs>8</Paragraphs>
  <ScaleCrop>false</ScaleCrop>
  <Company>Union poisťovňa a.s.</Company>
  <LinksUpToDate>false</LinksUpToDate>
  <CharactersWithSpaces>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distlerova</dc:creator>
  <cp:keywords/>
  <dc:description/>
  <cp:lastModifiedBy>distlerova</cp:lastModifiedBy>
  <cp:revision>4</cp:revision>
  <dcterms:created xsi:type="dcterms:W3CDTF">2012-07-27T06:57:00Z</dcterms:created>
  <dcterms:modified xsi:type="dcterms:W3CDTF">2012-07-27T09:13:00Z</dcterms:modified>
</cp:coreProperties>
</file>