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4FF1" w14:textId="4CC7B81F" w:rsidR="001E34B9" w:rsidRDefault="001E34B9" w:rsidP="00710122">
      <w:pPr>
        <w:pStyle w:val="CEAStandardHeading"/>
        <w:rPr>
          <w:sz w:val="19"/>
          <w:szCs w:val="19"/>
        </w:rPr>
      </w:pPr>
      <w:r>
        <w:rPr>
          <w:sz w:val="19"/>
          <w:szCs w:val="19"/>
        </w:rPr>
        <w:t>Input requested</w:t>
      </w:r>
    </w:p>
    <w:p w14:paraId="0FB3522D" w14:textId="03BC7C53" w:rsidR="001E34B9" w:rsidRPr="00716CDE" w:rsidRDefault="004B4113" w:rsidP="00710122">
      <w:pPr>
        <w:pStyle w:val="CEAStandardHeading"/>
        <w:rPr>
          <w:rFonts w:cs="Frutiger LT Std 45 Light"/>
          <w:color w:val="000000"/>
          <w:sz w:val="17"/>
          <w:szCs w:val="20"/>
        </w:rPr>
      </w:pPr>
      <w:r w:rsidRPr="00716CDE">
        <w:rPr>
          <w:rFonts w:cs="Frutiger LT Std 45 Light"/>
          <w:color w:val="000000"/>
          <w:sz w:val="17"/>
          <w:szCs w:val="20"/>
        </w:rPr>
        <w:t>Members are invited to:</w:t>
      </w:r>
    </w:p>
    <w:p w14:paraId="49300317" w14:textId="79B39AEA" w:rsidR="004B4113" w:rsidRDefault="00AF7D9B" w:rsidP="00710122">
      <w:pPr>
        <w:pStyle w:val="CEABullet-Level1"/>
      </w:pPr>
      <w:r>
        <w:t>t</w:t>
      </w:r>
      <w:r w:rsidR="004B4113">
        <w:t xml:space="preserve">ake note of the </w:t>
      </w:r>
      <w:r>
        <w:t xml:space="preserve">secretariat’s </w:t>
      </w:r>
      <w:r w:rsidR="0059559E">
        <w:t xml:space="preserve">short </w:t>
      </w:r>
      <w:r w:rsidR="0002265D">
        <w:t>summary</w:t>
      </w:r>
      <w:r>
        <w:t xml:space="preserve"> of the European Commission (EC)’s proposals for a</w:t>
      </w:r>
      <w:r w:rsidR="004B4113">
        <w:t xml:space="preserve"> </w:t>
      </w:r>
      <w:r w:rsidR="00372EF5" w:rsidRPr="00372EF5">
        <w:t>Business in Europe Framework for Income Taxation</w:t>
      </w:r>
      <w:r w:rsidR="00372EF5">
        <w:t xml:space="preserve"> (BEFIT)</w:t>
      </w:r>
      <w:r w:rsidR="002B5FDB">
        <w:t xml:space="preserve"> </w:t>
      </w:r>
      <w:r w:rsidR="00C91E4B">
        <w:t>D</w:t>
      </w:r>
      <w:r w:rsidR="002B5FDB">
        <w:t>irective and Transfer Pricing</w:t>
      </w:r>
      <w:r w:rsidR="005047B7">
        <w:t xml:space="preserve"> (TP)</w:t>
      </w:r>
      <w:r w:rsidR="002B5FDB">
        <w:t xml:space="preserve"> </w:t>
      </w:r>
      <w:r w:rsidR="00F137C3">
        <w:t>D</w:t>
      </w:r>
      <w:r w:rsidR="002B5FDB">
        <w:t>irective</w:t>
      </w:r>
      <w:r w:rsidR="00C91E4B">
        <w:t>;</w:t>
      </w:r>
    </w:p>
    <w:p w14:paraId="492D41DA" w14:textId="20F91DC7" w:rsidR="004A05D1" w:rsidRDefault="00B46998" w:rsidP="00710122">
      <w:pPr>
        <w:pStyle w:val="CEABullet-Level1"/>
      </w:pPr>
      <w:r>
        <w:t>s</w:t>
      </w:r>
      <w:r w:rsidR="00AF7D9B">
        <w:t>hare their views</w:t>
      </w:r>
      <w:r w:rsidR="00B94447">
        <w:t xml:space="preserve"> </w:t>
      </w:r>
      <w:r w:rsidR="004F0E78">
        <w:t xml:space="preserve">on </w:t>
      </w:r>
      <w:r w:rsidR="00AF7D9B">
        <w:t>and assessment of</w:t>
      </w:r>
      <w:r w:rsidR="004F0E78">
        <w:t xml:space="preserve"> the proposal</w:t>
      </w:r>
      <w:r w:rsidR="002B5FDB">
        <w:t>s</w:t>
      </w:r>
      <w:r w:rsidR="004F0E78">
        <w:t xml:space="preserve"> </w:t>
      </w:r>
      <w:r w:rsidR="00AF7D9B">
        <w:t>with</w:t>
      </w:r>
      <w:r w:rsidR="00B94447">
        <w:t xml:space="preserve"> the secretariat</w:t>
      </w:r>
      <w:r w:rsidR="00B94447" w:rsidRPr="00C02B7F">
        <w:rPr>
          <w:b/>
          <w:bCs/>
        </w:rPr>
        <w:t xml:space="preserve"> </w:t>
      </w:r>
      <w:r w:rsidR="004F0E78" w:rsidRPr="00C02B7F">
        <w:rPr>
          <w:b/>
          <w:bCs/>
        </w:rPr>
        <w:t xml:space="preserve">by </w:t>
      </w:r>
      <w:r w:rsidR="002B5FDB">
        <w:rPr>
          <w:b/>
          <w:bCs/>
        </w:rPr>
        <w:t>28</w:t>
      </w:r>
      <w:r w:rsidR="004F0E78" w:rsidRPr="00C02B7F">
        <w:rPr>
          <w:b/>
          <w:bCs/>
        </w:rPr>
        <w:t xml:space="preserve"> September</w:t>
      </w:r>
      <w:r w:rsidR="004F0E78" w:rsidRPr="002B5FDB">
        <w:rPr>
          <w:b/>
          <w:bCs/>
        </w:rPr>
        <w:t xml:space="preserve"> </w:t>
      </w:r>
      <w:r w:rsidR="004F0E78" w:rsidRPr="00C02B7F">
        <w:rPr>
          <w:b/>
          <w:bCs/>
          <w:u w:val="single"/>
        </w:rPr>
        <w:t>co</w:t>
      </w:r>
      <w:r w:rsidR="004F0E78" w:rsidRPr="004F0E78">
        <w:rPr>
          <w:b/>
          <w:bCs/>
          <w:u w:val="single"/>
        </w:rPr>
        <w:t>b</w:t>
      </w:r>
      <w:r w:rsidR="004F0E78">
        <w:t>.</w:t>
      </w:r>
      <w:r w:rsidR="00C02B7F">
        <w:t xml:space="preserve"> </w:t>
      </w:r>
    </w:p>
    <w:p w14:paraId="167A8729" w14:textId="77777777" w:rsidR="004A05D1" w:rsidRDefault="004A05D1" w:rsidP="00E330A9">
      <w:pPr>
        <w:pStyle w:val="CEABullet-Level1"/>
        <w:numPr>
          <w:ilvl w:val="0"/>
          <w:numId w:val="0"/>
        </w:numPr>
        <w:ind w:left="720" w:hanging="360"/>
      </w:pPr>
    </w:p>
    <w:p w14:paraId="219DB0B8" w14:textId="70DC10E1" w:rsidR="004F0E78" w:rsidRPr="00E330A9" w:rsidRDefault="004F0E78" w:rsidP="00E330A9">
      <w:pPr>
        <w:pStyle w:val="CEABullet-Level1"/>
        <w:numPr>
          <w:ilvl w:val="0"/>
          <w:numId w:val="0"/>
        </w:numPr>
      </w:pPr>
      <w:r w:rsidRPr="00E330A9">
        <w:rPr>
          <w:i/>
        </w:rPr>
        <w:t xml:space="preserve">Feedback </w:t>
      </w:r>
      <w:r w:rsidR="00885910">
        <w:rPr>
          <w:i/>
          <w:iCs/>
        </w:rPr>
        <w:t>may</w:t>
      </w:r>
      <w:r w:rsidRPr="00E330A9">
        <w:rPr>
          <w:i/>
        </w:rPr>
        <w:t xml:space="preserve"> be provided through Insurance Europe</w:t>
      </w:r>
      <w:r w:rsidR="003C4E5F" w:rsidRPr="00E330A9">
        <w:rPr>
          <w:i/>
        </w:rPr>
        <w:t>’s</w:t>
      </w:r>
      <w:r w:rsidRPr="00E330A9">
        <w:rPr>
          <w:i/>
        </w:rPr>
        <w:t xml:space="preserve"> </w:t>
      </w:r>
      <w:r w:rsidR="003C4E5F" w:rsidRPr="00E330A9">
        <w:rPr>
          <w:i/>
        </w:rPr>
        <w:t>v</w:t>
      </w:r>
      <w:r w:rsidRPr="00E330A9">
        <w:rPr>
          <w:i/>
        </w:rPr>
        <w:t>alidation tool</w:t>
      </w:r>
      <w:r w:rsidR="00AC7025" w:rsidRPr="00E330A9">
        <w:rPr>
          <w:i/>
        </w:rPr>
        <w:t>.</w:t>
      </w:r>
    </w:p>
    <w:p w14:paraId="1D7AC49B" w14:textId="77777777" w:rsidR="001E34B9" w:rsidRDefault="001E34B9" w:rsidP="00710122">
      <w:pPr>
        <w:pStyle w:val="CEAStandardHeading"/>
        <w:rPr>
          <w:sz w:val="19"/>
          <w:szCs w:val="19"/>
        </w:rPr>
      </w:pPr>
    </w:p>
    <w:p w14:paraId="3EDC3E0E" w14:textId="3994D34B" w:rsidR="0016089A" w:rsidRPr="00CE6BD9" w:rsidRDefault="0016089A" w:rsidP="00710122">
      <w:pPr>
        <w:pStyle w:val="CEAStandardHeading"/>
        <w:rPr>
          <w:b/>
          <w:sz w:val="19"/>
          <w:szCs w:val="19"/>
        </w:rPr>
      </w:pPr>
      <w:r w:rsidRPr="00CE6BD9">
        <w:rPr>
          <w:sz w:val="19"/>
          <w:szCs w:val="19"/>
        </w:rPr>
        <w:t>Summary</w:t>
      </w:r>
    </w:p>
    <w:p w14:paraId="118BE970" w14:textId="3698A458" w:rsidR="00895B74" w:rsidRDefault="00E55139" w:rsidP="00710122">
      <w:pPr>
        <w:rPr>
          <w:iCs/>
          <w:sz w:val="17"/>
          <w:szCs w:val="17"/>
        </w:rPr>
      </w:pPr>
      <w:r>
        <w:rPr>
          <w:iCs/>
          <w:sz w:val="17"/>
          <w:szCs w:val="17"/>
        </w:rPr>
        <w:t xml:space="preserve">On </w:t>
      </w:r>
      <w:r w:rsidRPr="001D0E29">
        <w:rPr>
          <w:b/>
          <w:bCs/>
          <w:iCs/>
          <w:sz w:val="17"/>
          <w:szCs w:val="17"/>
        </w:rPr>
        <w:t>12</w:t>
      </w:r>
      <w:r w:rsidR="001D0E29" w:rsidRPr="001D0E29">
        <w:rPr>
          <w:b/>
          <w:bCs/>
          <w:iCs/>
          <w:sz w:val="17"/>
          <w:szCs w:val="17"/>
        </w:rPr>
        <w:t xml:space="preserve"> September</w:t>
      </w:r>
      <w:r>
        <w:rPr>
          <w:iCs/>
          <w:sz w:val="17"/>
          <w:szCs w:val="17"/>
        </w:rPr>
        <w:t xml:space="preserve"> the EC published </w:t>
      </w:r>
      <w:r w:rsidR="00885910">
        <w:rPr>
          <w:iCs/>
          <w:sz w:val="17"/>
          <w:szCs w:val="17"/>
        </w:rPr>
        <w:t>a proposal for</w:t>
      </w:r>
      <w:r>
        <w:rPr>
          <w:iCs/>
          <w:sz w:val="17"/>
          <w:szCs w:val="17"/>
        </w:rPr>
        <w:t xml:space="preserve"> </w:t>
      </w:r>
      <w:r w:rsidR="00885910">
        <w:rPr>
          <w:iCs/>
          <w:sz w:val="17"/>
          <w:szCs w:val="17"/>
        </w:rPr>
        <w:t>a</w:t>
      </w:r>
      <w:r>
        <w:rPr>
          <w:iCs/>
          <w:sz w:val="17"/>
          <w:szCs w:val="17"/>
        </w:rPr>
        <w:t xml:space="preserve"> </w:t>
      </w:r>
      <w:r w:rsidR="00BD0F59">
        <w:rPr>
          <w:iCs/>
          <w:sz w:val="17"/>
          <w:szCs w:val="17"/>
        </w:rPr>
        <w:t xml:space="preserve">BEFIT </w:t>
      </w:r>
      <w:r w:rsidR="00C91E4B">
        <w:rPr>
          <w:iCs/>
          <w:sz w:val="17"/>
          <w:szCs w:val="17"/>
        </w:rPr>
        <w:t>D</w:t>
      </w:r>
      <w:r w:rsidR="00BD0F59">
        <w:rPr>
          <w:iCs/>
          <w:sz w:val="17"/>
          <w:szCs w:val="17"/>
        </w:rPr>
        <w:t xml:space="preserve">irective and </w:t>
      </w:r>
      <w:r w:rsidR="00B46998">
        <w:rPr>
          <w:iCs/>
          <w:sz w:val="17"/>
          <w:szCs w:val="17"/>
        </w:rPr>
        <w:t>a</w:t>
      </w:r>
      <w:r w:rsidR="00BD0F59">
        <w:rPr>
          <w:iCs/>
          <w:sz w:val="17"/>
          <w:szCs w:val="17"/>
        </w:rPr>
        <w:t xml:space="preserve"> TP </w:t>
      </w:r>
      <w:r w:rsidR="00C91E4B">
        <w:rPr>
          <w:iCs/>
          <w:sz w:val="17"/>
          <w:szCs w:val="17"/>
        </w:rPr>
        <w:t>D</w:t>
      </w:r>
      <w:r w:rsidR="00BD0F59">
        <w:rPr>
          <w:iCs/>
          <w:sz w:val="17"/>
          <w:szCs w:val="17"/>
        </w:rPr>
        <w:t>irective (see</w:t>
      </w:r>
      <w:r w:rsidR="00B46998">
        <w:rPr>
          <w:iCs/>
          <w:sz w:val="17"/>
          <w:szCs w:val="17"/>
        </w:rPr>
        <w:t xml:space="preserve"> </w:t>
      </w:r>
      <w:hyperlink r:id="rId11" w:history="1">
        <w:r>
          <w:rPr>
            <w:rStyle w:val="Hypertextovprepojenie"/>
            <w:iCs/>
            <w:sz w:val="17"/>
            <w:szCs w:val="17"/>
          </w:rPr>
          <w:t>FLASH-23-101</w:t>
        </w:r>
      </w:hyperlink>
      <w:r w:rsidR="00BD0F59">
        <w:rPr>
          <w:iCs/>
          <w:sz w:val="17"/>
          <w:szCs w:val="17"/>
        </w:rPr>
        <w:t>)</w:t>
      </w:r>
      <w:r w:rsidR="00B46998">
        <w:rPr>
          <w:iCs/>
          <w:sz w:val="17"/>
          <w:szCs w:val="17"/>
        </w:rPr>
        <w:t>:</w:t>
      </w:r>
    </w:p>
    <w:p w14:paraId="2A00E5D2" w14:textId="17A881ED" w:rsidR="00BD0F59" w:rsidRDefault="00AB57A5" w:rsidP="00710122">
      <w:pPr>
        <w:pStyle w:val="CEABullet-Level1"/>
      </w:pPr>
      <w:r w:rsidRPr="00AB57A5">
        <w:t xml:space="preserve">Proposal for a Council </w:t>
      </w:r>
      <w:r w:rsidR="00F137C3">
        <w:t>D</w:t>
      </w:r>
      <w:r w:rsidRPr="00AB57A5">
        <w:t>irective on</w:t>
      </w:r>
      <w:r>
        <w:rPr>
          <w:b/>
          <w:bCs/>
        </w:rPr>
        <w:t xml:space="preserve"> </w:t>
      </w:r>
      <w:hyperlink r:id="rId12" w:history="1">
        <w:r w:rsidR="000936B2">
          <w:rPr>
            <w:rStyle w:val="Hypertextovprepojenie"/>
          </w:rPr>
          <w:t>BEFIT</w:t>
        </w:r>
      </w:hyperlink>
      <w:r w:rsidR="000936B2">
        <w:t>;</w:t>
      </w:r>
    </w:p>
    <w:p w14:paraId="7682C85D" w14:textId="459DEF66" w:rsidR="006C571D" w:rsidRDefault="007C386B" w:rsidP="00710122">
      <w:pPr>
        <w:pStyle w:val="CEABullet-Level1"/>
      </w:pPr>
      <w:r w:rsidRPr="00AB57A5">
        <w:t xml:space="preserve">Proposal for a Council </w:t>
      </w:r>
      <w:r w:rsidR="00F137C3">
        <w:t>Di</w:t>
      </w:r>
      <w:r w:rsidRPr="00AB57A5">
        <w:t>rective on</w:t>
      </w:r>
      <w:r>
        <w:rPr>
          <w:b/>
          <w:bCs/>
        </w:rPr>
        <w:t xml:space="preserve"> </w:t>
      </w:r>
      <w:hyperlink r:id="rId13" w:history="1">
        <w:r w:rsidR="000936B2">
          <w:rPr>
            <w:rStyle w:val="Hypertextovprepojenie"/>
          </w:rPr>
          <w:t>TP</w:t>
        </w:r>
      </w:hyperlink>
      <w:r w:rsidR="00347544">
        <w:t>.</w:t>
      </w:r>
    </w:p>
    <w:p w14:paraId="501CB957" w14:textId="77777777" w:rsidR="00B46998" w:rsidRDefault="00B46998" w:rsidP="00710122">
      <w:pPr>
        <w:pStyle w:val="CEABullet-Level1"/>
        <w:numPr>
          <w:ilvl w:val="0"/>
          <w:numId w:val="0"/>
        </w:numPr>
      </w:pPr>
    </w:p>
    <w:p w14:paraId="1B3C6F05" w14:textId="1A01BF83" w:rsidR="008C48D2" w:rsidRPr="006C571D" w:rsidRDefault="008C48D2" w:rsidP="00710122">
      <w:pPr>
        <w:pStyle w:val="CEABullet-Level1"/>
        <w:numPr>
          <w:ilvl w:val="0"/>
          <w:numId w:val="0"/>
        </w:numPr>
      </w:pPr>
      <w:r>
        <w:t xml:space="preserve">The EC also published a </w:t>
      </w:r>
      <w:hyperlink r:id="rId14" w:history="1">
        <w:r w:rsidR="000936B2">
          <w:rPr>
            <w:rStyle w:val="Hypertextovprepojenie"/>
          </w:rPr>
          <w:t>Q&amp;A</w:t>
        </w:r>
      </w:hyperlink>
      <w:r>
        <w:t xml:space="preserve"> about the newly released proposals</w:t>
      </w:r>
      <w:r w:rsidR="00F60BB7">
        <w:t xml:space="preserve"> </w:t>
      </w:r>
      <w:r w:rsidR="00CF61CA" w:rsidRPr="006C571D">
        <w:t xml:space="preserve">and </w:t>
      </w:r>
      <w:r w:rsidR="005D4C0E">
        <w:t>a</w:t>
      </w:r>
      <w:r w:rsidR="00CF61CA" w:rsidRPr="006C571D">
        <w:t xml:space="preserve"> </w:t>
      </w:r>
      <w:hyperlink r:id="rId15" w:history="1">
        <w:r w:rsidR="000936B2">
          <w:rPr>
            <w:rStyle w:val="Hypertextovprepojenie"/>
          </w:rPr>
          <w:t>press release</w:t>
        </w:r>
      </w:hyperlink>
      <w:r w:rsidR="00F3273F">
        <w:t>.</w:t>
      </w:r>
    </w:p>
    <w:p w14:paraId="5CCE8CBF" w14:textId="77777777" w:rsidR="00895B74" w:rsidRDefault="00895B74" w:rsidP="00710122">
      <w:pPr>
        <w:rPr>
          <w:iCs/>
          <w:sz w:val="17"/>
          <w:szCs w:val="17"/>
        </w:rPr>
      </w:pPr>
    </w:p>
    <w:p w14:paraId="5F0A0726" w14:textId="269F567E" w:rsidR="0016089A" w:rsidRDefault="005D4C0E" w:rsidP="00710122">
      <w:pPr>
        <w:rPr>
          <w:iCs/>
          <w:sz w:val="17"/>
          <w:szCs w:val="17"/>
        </w:rPr>
      </w:pPr>
      <w:r>
        <w:rPr>
          <w:iCs/>
          <w:sz w:val="17"/>
          <w:szCs w:val="17"/>
        </w:rPr>
        <w:t xml:space="preserve">The proposal for a </w:t>
      </w:r>
      <w:r w:rsidR="00C16FD4">
        <w:rPr>
          <w:iCs/>
          <w:sz w:val="17"/>
          <w:szCs w:val="17"/>
        </w:rPr>
        <w:t xml:space="preserve">BEFIT </w:t>
      </w:r>
      <w:r w:rsidR="005179FA">
        <w:rPr>
          <w:iCs/>
          <w:sz w:val="17"/>
          <w:szCs w:val="17"/>
        </w:rPr>
        <w:t>D</w:t>
      </w:r>
      <w:r w:rsidR="00C16FD4">
        <w:rPr>
          <w:iCs/>
          <w:sz w:val="17"/>
          <w:szCs w:val="17"/>
        </w:rPr>
        <w:t>irective</w:t>
      </w:r>
      <w:r w:rsidR="00F137D4">
        <w:rPr>
          <w:iCs/>
          <w:sz w:val="17"/>
          <w:szCs w:val="17"/>
        </w:rPr>
        <w:t xml:space="preserve"> </w:t>
      </w:r>
      <w:r w:rsidR="00986736">
        <w:rPr>
          <w:iCs/>
          <w:sz w:val="17"/>
          <w:szCs w:val="17"/>
        </w:rPr>
        <w:t>aims to</w:t>
      </w:r>
      <w:r w:rsidR="00733078">
        <w:rPr>
          <w:iCs/>
          <w:sz w:val="17"/>
          <w:szCs w:val="17"/>
        </w:rPr>
        <w:t xml:space="preserve"> introduce the following </w:t>
      </w:r>
      <w:r w:rsidR="00986736">
        <w:rPr>
          <w:iCs/>
          <w:sz w:val="17"/>
          <w:szCs w:val="17"/>
        </w:rPr>
        <w:t>changes:</w:t>
      </w:r>
    </w:p>
    <w:p w14:paraId="063B4D05" w14:textId="3BB3C486" w:rsidR="00986736" w:rsidRPr="00986736" w:rsidRDefault="00986736" w:rsidP="00710122">
      <w:pPr>
        <w:pStyle w:val="CEABullet-Level1"/>
        <w:rPr>
          <w:lang w:eastAsia="en-GB"/>
        </w:rPr>
      </w:pPr>
      <w:r w:rsidRPr="00986736">
        <w:rPr>
          <w:lang w:eastAsia="en-GB"/>
        </w:rPr>
        <w:t xml:space="preserve">A single set of rules to determine the tax base of </w:t>
      </w:r>
      <w:r>
        <w:rPr>
          <w:lang w:eastAsia="en-GB"/>
        </w:rPr>
        <w:t xml:space="preserve">large domestic and multinational </w:t>
      </w:r>
      <w:r w:rsidRPr="00986736">
        <w:rPr>
          <w:lang w:eastAsia="en-GB"/>
        </w:rPr>
        <w:t>groups of companies.</w:t>
      </w:r>
    </w:p>
    <w:p w14:paraId="2C0667CC" w14:textId="77777777" w:rsidR="00986736" w:rsidRPr="00986736" w:rsidRDefault="00986736" w:rsidP="00710122">
      <w:pPr>
        <w:pStyle w:val="CEABullet-Level1"/>
        <w:rPr>
          <w:lang w:eastAsia="en-GB"/>
        </w:rPr>
      </w:pPr>
      <w:r w:rsidRPr="00986736">
        <w:rPr>
          <w:lang w:eastAsia="en-GB"/>
        </w:rPr>
        <w:t>The tax bases of all members of the group will be aggregated into one single tax base.</w:t>
      </w:r>
    </w:p>
    <w:p w14:paraId="0CC8D2AE" w14:textId="77777777" w:rsidR="00986736" w:rsidRDefault="00986736" w:rsidP="00710122">
      <w:pPr>
        <w:pStyle w:val="CEABullet-Level1"/>
        <w:rPr>
          <w:lang w:eastAsia="en-GB"/>
        </w:rPr>
      </w:pPr>
      <w:r w:rsidRPr="00986736">
        <w:rPr>
          <w:lang w:eastAsia="en-GB"/>
        </w:rPr>
        <w:t>Each member of the BEFIT group will have a percentage of the aggregated tax base calculated on the basis of the average of the taxable results in the previous three fiscal years.</w:t>
      </w:r>
    </w:p>
    <w:p w14:paraId="4871D53C" w14:textId="77777777" w:rsidR="00EE206B" w:rsidRDefault="00EE206B" w:rsidP="00710122">
      <w:pPr>
        <w:pStyle w:val="CEABullet-Level1"/>
        <w:rPr>
          <w:lang w:eastAsia="en-GB"/>
        </w:rPr>
      </w:pPr>
      <w:r w:rsidRPr="003842E7">
        <w:rPr>
          <w:lang w:eastAsia="en-GB"/>
        </w:rPr>
        <w:t>The new rules will be mandatory for groups operating in the EU with an annual combined revenue of at least €750 million, and where the ultimate parent entity holds at least 75% of the ownership rights or of the rights giving entitlement to profit.</w:t>
      </w:r>
      <w:r>
        <w:rPr>
          <w:lang w:eastAsia="en-GB"/>
        </w:rPr>
        <w:t xml:space="preserve"> </w:t>
      </w:r>
    </w:p>
    <w:p w14:paraId="556DA4B1" w14:textId="3ECFE430" w:rsidR="00EE206B" w:rsidRDefault="00EE206B" w:rsidP="00710122">
      <w:pPr>
        <w:pStyle w:val="CEABullet-Level1"/>
        <w:rPr>
          <w:lang w:eastAsia="en-GB"/>
        </w:rPr>
      </w:pPr>
      <w:r w:rsidRPr="000713D5">
        <w:rPr>
          <w:lang w:eastAsia="en-GB"/>
        </w:rPr>
        <w:t>The rules will be discretionary for smaller groups, which may choose to opt in as long as they prepare consolidated financial statements.</w:t>
      </w:r>
    </w:p>
    <w:p w14:paraId="1517B20E" w14:textId="42794022" w:rsidR="00C72585" w:rsidRDefault="00C72585" w:rsidP="00710122">
      <w:pPr>
        <w:pStyle w:val="CEABullet-Level1"/>
        <w:rPr>
          <w:lang w:eastAsia="en-GB"/>
        </w:rPr>
      </w:pPr>
      <w:r>
        <w:rPr>
          <w:lang w:eastAsia="en-GB"/>
        </w:rPr>
        <w:t xml:space="preserve">The proposal </w:t>
      </w:r>
      <w:r w:rsidR="00B46998">
        <w:rPr>
          <w:lang w:eastAsia="en-GB"/>
        </w:rPr>
        <w:t xml:space="preserve">additionally </w:t>
      </w:r>
      <w:r>
        <w:rPr>
          <w:lang w:eastAsia="en-GB"/>
        </w:rPr>
        <w:t xml:space="preserve">includes provisions </w:t>
      </w:r>
      <w:r w:rsidR="00710122">
        <w:rPr>
          <w:lang w:eastAsia="en-GB"/>
        </w:rPr>
        <w:t>for a s</w:t>
      </w:r>
      <w:r w:rsidR="00710122" w:rsidRPr="00710122">
        <w:rPr>
          <w:lang w:eastAsia="en-GB"/>
        </w:rPr>
        <w:t xml:space="preserve">implified </w:t>
      </w:r>
      <w:r w:rsidR="00710122">
        <w:rPr>
          <w:lang w:eastAsia="en-GB"/>
        </w:rPr>
        <w:t>a</w:t>
      </w:r>
      <w:r w:rsidR="00710122" w:rsidRPr="00710122">
        <w:rPr>
          <w:lang w:eastAsia="en-GB"/>
        </w:rPr>
        <w:t xml:space="preserve">pproach to </w:t>
      </w:r>
      <w:r w:rsidR="00710122">
        <w:rPr>
          <w:lang w:eastAsia="en-GB"/>
        </w:rPr>
        <w:t>t</w:t>
      </w:r>
      <w:r w:rsidR="00710122" w:rsidRPr="00710122">
        <w:rPr>
          <w:lang w:eastAsia="en-GB"/>
        </w:rPr>
        <w:t xml:space="preserve">ransfer </w:t>
      </w:r>
      <w:r w:rsidR="00710122">
        <w:rPr>
          <w:lang w:eastAsia="en-GB"/>
        </w:rPr>
        <w:t>p</w:t>
      </w:r>
      <w:r w:rsidR="00710122" w:rsidRPr="00710122">
        <w:rPr>
          <w:lang w:eastAsia="en-GB"/>
        </w:rPr>
        <w:t xml:space="preserve">ricing </w:t>
      </w:r>
      <w:r w:rsidR="00710122">
        <w:rPr>
          <w:lang w:eastAsia="en-GB"/>
        </w:rPr>
        <w:t>c</w:t>
      </w:r>
      <w:r w:rsidR="00710122" w:rsidRPr="00710122">
        <w:rPr>
          <w:lang w:eastAsia="en-GB"/>
        </w:rPr>
        <w:t>ompliance</w:t>
      </w:r>
      <w:r w:rsidR="00710122">
        <w:rPr>
          <w:lang w:eastAsia="en-GB"/>
        </w:rPr>
        <w:t>.</w:t>
      </w:r>
    </w:p>
    <w:p w14:paraId="7BB0F282" w14:textId="77777777" w:rsidR="00C72585" w:rsidRDefault="00C72585" w:rsidP="00710122">
      <w:pPr>
        <w:pStyle w:val="CEABullet-Level1"/>
        <w:rPr>
          <w:lang w:eastAsia="en-GB"/>
        </w:rPr>
      </w:pPr>
      <w:r>
        <w:t>Nota</w:t>
      </w:r>
      <w:r w:rsidRPr="005173AE">
        <w:rPr>
          <w:lang w:eastAsia="en-GB"/>
        </w:rPr>
        <w:t>bly, the proposal does</w:t>
      </w:r>
      <w:r>
        <w:t xml:space="preserve"> not include a provision to introduce formulary apportionment.</w:t>
      </w:r>
    </w:p>
    <w:p w14:paraId="6423DADA" w14:textId="2F614EEA" w:rsidR="00EE2EB3" w:rsidRDefault="00EE2EB3" w:rsidP="00710122">
      <w:pPr>
        <w:pStyle w:val="CEABullet-Level1"/>
        <w:rPr>
          <w:lang w:eastAsia="en-GB"/>
        </w:rPr>
      </w:pPr>
      <w:r>
        <w:t>The EC expects that t</w:t>
      </w:r>
      <w:r w:rsidRPr="00EE2EB3">
        <w:t>he proposal</w:t>
      </w:r>
      <w:r>
        <w:t xml:space="preserve"> </w:t>
      </w:r>
      <w:r w:rsidRPr="00EE2EB3">
        <w:t>should come into force on 1 July 2028</w:t>
      </w:r>
      <w:r>
        <w:t>.</w:t>
      </w:r>
    </w:p>
    <w:p w14:paraId="3EF3DF13" w14:textId="77777777" w:rsidR="00C72585" w:rsidRDefault="00C72585" w:rsidP="00710122">
      <w:pPr>
        <w:pStyle w:val="CEABullet-Level1"/>
        <w:numPr>
          <w:ilvl w:val="0"/>
          <w:numId w:val="0"/>
        </w:numPr>
        <w:ind w:left="720"/>
        <w:rPr>
          <w:lang w:eastAsia="en-GB"/>
        </w:rPr>
      </w:pPr>
    </w:p>
    <w:p w14:paraId="28E05FCF" w14:textId="7E9E9469" w:rsidR="00921921" w:rsidRDefault="005D4C0E" w:rsidP="00A75FD4">
      <w:pPr>
        <w:pStyle w:val="CEABullet-Level1"/>
        <w:numPr>
          <w:ilvl w:val="0"/>
          <w:numId w:val="0"/>
        </w:numPr>
        <w:rPr>
          <w:lang w:eastAsia="en-GB"/>
        </w:rPr>
      </w:pPr>
      <w:r>
        <w:rPr>
          <w:iCs/>
          <w:szCs w:val="17"/>
        </w:rPr>
        <w:t xml:space="preserve">The proposal for a TP </w:t>
      </w:r>
      <w:r w:rsidR="00D00C75">
        <w:rPr>
          <w:iCs/>
          <w:szCs w:val="17"/>
        </w:rPr>
        <w:t>D</w:t>
      </w:r>
      <w:r>
        <w:rPr>
          <w:iCs/>
          <w:szCs w:val="17"/>
        </w:rPr>
        <w:t>irective</w:t>
      </w:r>
      <w:r w:rsidR="00D00C75">
        <w:rPr>
          <w:iCs/>
          <w:szCs w:val="17"/>
        </w:rPr>
        <w:t xml:space="preserve"> aims to introduce </w:t>
      </w:r>
      <w:r w:rsidR="00A75FD4">
        <w:rPr>
          <w:iCs/>
          <w:szCs w:val="17"/>
        </w:rPr>
        <w:t>a number of</w:t>
      </w:r>
      <w:r w:rsidR="00D00C75">
        <w:rPr>
          <w:iCs/>
          <w:szCs w:val="17"/>
        </w:rPr>
        <w:t xml:space="preserve"> changes</w:t>
      </w:r>
      <w:r w:rsidR="00921921" w:rsidRPr="00921921">
        <w:rPr>
          <w:lang w:eastAsia="en-GB"/>
        </w:rPr>
        <w:t xml:space="preserve"> to harmoni</w:t>
      </w:r>
      <w:r w:rsidR="00B46998">
        <w:rPr>
          <w:lang w:eastAsia="en-GB"/>
        </w:rPr>
        <w:t>s</w:t>
      </w:r>
      <w:r w:rsidR="00921921" w:rsidRPr="00921921">
        <w:rPr>
          <w:lang w:eastAsia="en-GB"/>
        </w:rPr>
        <w:t>e transfer pricing rules in the EU to increase tax certainty and mitigate the risk of litigation and double taxation.</w:t>
      </w:r>
      <w:r w:rsidR="00A75FD4">
        <w:rPr>
          <w:lang w:eastAsia="en-GB"/>
        </w:rPr>
        <w:t xml:space="preserve"> For example:</w:t>
      </w:r>
    </w:p>
    <w:p w14:paraId="7BD802D4" w14:textId="78C53DA0" w:rsidR="00814C42" w:rsidRDefault="00732A87" w:rsidP="00921921">
      <w:pPr>
        <w:pStyle w:val="CEABullet-Level1"/>
        <w:rPr>
          <w:lang w:eastAsia="en-GB"/>
        </w:rPr>
      </w:pPr>
      <w:r>
        <w:rPr>
          <w:lang w:eastAsia="en-GB"/>
        </w:rPr>
        <w:t>The proposal</w:t>
      </w:r>
      <w:r w:rsidRPr="00732A87">
        <w:rPr>
          <w:lang w:eastAsia="en-GB"/>
        </w:rPr>
        <w:t xml:space="preserve"> </w:t>
      </w:r>
      <w:r w:rsidR="00C761C7">
        <w:rPr>
          <w:lang w:eastAsia="en-GB"/>
        </w:rPr>
        <w:t>introduce</w:t>
      </w:r>
      <w:r w:rsidR="0077524F">
        <w:rPr>
          <w:lang w:eastAsia="en-GB"/>
        </w:rPr>
        <w:t>s</w:t>
      </w:r>
      <w:r w:rsidR="00C761C7">
        <w:rPr>
          <w:lang w:eastAsia="en-GB"/>
        </w:rPr>
        <w:t xml:space="preserve"> a common definition of associated enterprises</w:t>
      </w:r>
      <w:r w:rsidR="004036A5">
        <w:rPr>
          <w:lang w:eastAsia="en-GB"/>
        </w:rPr>
        <w:t xml:space="preserve"> </w:t>
      </w:r>
      <w:r w:rsidR="004036A5" w:rsidRPr="004036A5">
        <w:rPr>
          <w:lang w:eastAsia="en-GB"/>
        </w:rPr>
        <w:t>that is based on the economic substance of the relationship between the entities.</w:t>
      </w:r>
    </w:p>
    <w:p w14:paraId="0C1686FF" w14:textId="6BB3F2ED" w:rsidR="00F76F2F" w:rsidRDefault="00F76F2F" w:rsidP="00921921">
      <w:pPr>
        <w:pStyle w:val="CEABullet-Level1"/>
        <w:rPr>
          <w:lang w:eastAsia="en-GB"/>
        </w:rPr>
      </w:pPr>
      <w:r>
        <w:rPr>
          <w:lang w:eastAsia="en-GB"/>
        </w:rPr>
        <w:t>The propos</w:t>
      </w:r>
      <w:r w:rsidR="006267A0">
        <w:rPr>
          <w:lang w:eastAsia="en-GB"/>
        </w:rPr>
        <w:t xml:space="preserve">al </w:t>
      </w:r>
      <w:r w:rsidR="000227C5">
        <w:rPr>
          <w:lang w:eastAsia="en-GB"/>
        </w:rPr>
        <w:t>introduces</w:t>
      </w:r>
      <w:r w:rsidR="00952737">
        <w:rPr>
          <w:lang w:eastAsia="en-GB"/>
        </w:rPr>
        <w:t xml:space="preserve"> a common approach for</w:t>
      </w:r>
      <w:r w:rsidR="006267A0">
        <w:rPr>
          <w:lang w:eastAsia="en-GB"/>
        </w:rPr>
        <w:t xml:space="preserve"> Member States to make adjustments in order to avoid double taxation.</w:t>
      </w:r>
    </w:p>
    <w:p w14:paraId="00DE2F8B" w14:textId="0064394C" w:rsidR="0078337F" w:rsidRDefault="000227C5" w:rsidP="00921921">
      <w:pPr>
        <w:pStyle w:val="CEABullet-Level1"/>
        <w:rPr>
          <w:lang w:eastAsia="en-GB"/>
        </w:rPr>
      </w:pPr>
      <w:r>
        <w:rPr>
          <w:lang w:eastAsia="en-GB"/>
        </w:rPr>
        <w:t xml:space="preserve">The EC </w:t>
      </w:r>
      <w:r w:rsidR="008B34A4">
        <w:rPr>
          <w:lang w:eastAsia="en-GB"/>
        </w:rPr>
        <w:t>lists pricing method</w:t>
      </w:r>
      <w:r>
        <w:rPr>
          <w:lang w:eastAsia="en-GB"/>
        </w:rPr>
        <w:t>s</w:t>
      </w:r>
      <w:r w:rsidR="008B34A4">
        <w:rPr>
          <w:lang w:eastAsia="en-GB"/>
        </w:rPr>
        <w:t xml:space="preserve"> to </w:t>
      </w:r>
      <w:r w:rsidR="00C074B2">
        <w:rPr>
          <w:lang w:eastAsia="en-GB"/>
        </w:rPr>
        <w:t xml:space="preserve">be used for </w:t>
      </w:r>
      <w:r w:rsidR="00495C1C">
        <w:rPr>
          <w:lang w:eastAsia="en-GB"/>
        </w:rPr>
        <w:t>apply</w:t>
      </w:r>
      <w:r w:rsidR="00C074B2">
        <w:rPr>
          <w:lang w:eastAsia="en-GB"/>
        </w:rPr>
        <w:t>ing</w:t>
      </w:r>
      <w:r w:rsidR="008B34A4">
        <w:rPr>
          <w:lang w:eastAsia="en-GB"/>
        </w:rPr>
        <w:t xml:space="preserve"> the arm</w:t>
      </w:r>
      <w:r w:rsidR="00495C1C">
        <w:rPr>
          <w:lang w:eastAsia="en-GB"/>
        </w:rPr>
        <w:t xml:space="preserve">’s length principle, in line with OECD’s transfer pricing guidelines. </w:t>
      </w:r>
    </w:p>
    <w:p w14:paraId="3F0535C7" w14:textId="4FF3323C" w:rsidR="000227C5" w:rsidRDefault="000227C5" w:rsidP="00D0754C">
      <w:pPr>
        <w:pStyle w:val="CEABullet-Level1"/>
        <w:rPr>
          <w:lang w:eastAsia="en-GB"/>
        </w:rPr>
      </w:pPr>
      <w:r>
        <w:rPr>
          <w:lang w:eastAsia="en-GB"/>
        </w:rPr>
        <w:lastRenderedPageBreak/>
        <w:t xml:space="preserve">The EC </w:t>
      </w:r>
      <w:r w:rsidR="00F15BE9">
        <w:rPr>
          <w:lang w:eastAsia="en-GB"/>
        </w:rPr>
        <w:t>introduce</w:t>
      </w:r>
      <w:r w:rsidR="00791FD9">
        <w:rPr>
          <w:lang w:eastAsia="en-GB"/>
        </w:rPr>
        <w:t>s</w:t>
      </w:r>
      <w:r w:rsidR="00F15BE9">
        <w:rPr>
          <w:lang w:eastAsia="en-GB"/>
        </w:rPr>
        <w:t xml:space="preserve"> provisions that aim</w:t>
      </w:r>
      <w:r>
        <w:rPr>
          <w:lang w:eastAsia="en-GB"/>
        </w:rPr>
        <w:t xml:space="preserve"> </w:t>
      </w:r>
      <w:r w:rsidR="00F15BE9">
        <w:rPr>
          <w:lang w:eastAsia="en-GB"/>
        </w:rPr>
        <w:t>to minimise disputes</w:t>
      </w:r>
      <w:r w:rsidR="00D0754C">
        <w:rPr>
          <w:lang w:eastAsia="en-GB"/>
        </w:rPr>
        <w:t xml:space="preserve">, </w:t>
      </w:r>
      <w:r w:rsidR="00C14B29">
        <w:rPr>
          <w:lang w:eastAsia="en-GB"/>
        </w:rPr>
        <w:t>and</w:t>
      </w:r>
      <w:r w:rsidR="00060835">
        <w:rPr>
          <w:lang w:eastAsia="en-GB"/>
        </w:rPr>
        <w:t>,</w:t>
      </w:r>
      <w:r w:rsidR="00C14B29">
        <w:rPr>
          <w:lang w:eastAsia="en-GB"/>
        </w:rPr>
        <w:t xml:space="preserve"> </w:t>
      </w:r>
      <w:r w:rsidR="00D0754C">
        <w:rPr>
          <w:lang w:eastAsia="en-GB"/>
        </w:rPr>
        <w:t xml:space="preserve">to </w:t>
      </w:r>
      <w:r w:rsidR="00C14B29">
        <w:rPr>
          <w:lang w:eastAsia="en-GB"/>
        </w:rPr>
        <w:t>lower the compliance burden for taxpayers when operating cross-border within the U</w:t>
      </w:r>
      <w:r w:rsidR="00D0754C">
        <w:rPr>
          <w:lang w:eastAsia="en-GB"/>
        </w:rPr>
        <w:t>nion, intend to introduce a</w:t>
      </w:r>
      <w:r w:rsidR="00060835">
        <w:rPr>
          <w:lang w:eastAsia="en-GB"/>
        </w:rPr>
        <w:t xml:space="preserve"> common</w:t>
      </w:r>
      <w:r w:rsidR="00D0754C">
        <w:rPr>
          <w:lang w:eastAsia="en-GB"/>
        </w:rPr>
        <w:t xml:space="preserve"> </w:t>
      </w:r>
      <w:r w:rsidR="005217E4">
        <w:rPr>
          <w:lang w:eastAsia="en-GB"/>
        </w:rPr>
        <w:t>template for the transfer pricing documentation.</w:t>
      </w:r>
    </w:p>
    <w:p w14:paraId="42C854C7" w14:textId="0B39227C" w:rsidR="00921921" w:rsidRPr="00921921" w:rsidRDefault="00921921" w:rsidP="00921921">
      <w:pPr>
        <w:pStyle w:val="CEABullet-Level1"/>
        <w:rPr>
          <w:lang w:eastAsia="en-GB"/>
        </w:rPr>
      </w:pPr>
      <w:r>
        <w:t>The EC expects that t</w:t>
      </w:r>
      <w:r w:rsidRPr="00EE2EB3">
        <w:t>he proposal</w:t>
      </w:r>
      <w:r>
        <w:t xml:space="preserve"> </w:t>
      </w:r>
      <w:r w:rsidRPr="00EE2EB3">
        <w:t xml:space="preserve">should come into force on 1 July </w:t>
      </w:r>
      <w:r w:rsidRPr="00921921">
        <w:rPr>
          <w:lang w:eastAsia="en-GB"/>
        </w:rPr>
        <w:t>2026.</w:t>
      </w:r>
    </w:p>
    <w:p w14:paraId="768B2ED2" w14:textId="77777777" w:rsidR="00921921" w:rsidRDefault="00921921" w:rsidP="00921921">
      <w:pPr>
        <w:pStyle w:val="CEABullet-Level1"/>
        <w:numPr>
          <w:ilvl w:val="0"/>
          <w:numId w:val="0"/>
        </w:numPr>
        <w:ind w:left="720"/>
      </w:pPr>
    </w:p>
    <w:p w14:paraId="297AD5AB" w14:textId="7FF7A16F" w:rsidR="00C7633D" w:rsidRDefault="00B61F78" w:rsidP="00710122">
      <w:pPr>
        <w:pStyle w:val="CEABullet-Level1"/>
        <w:numPr>
          <w:ilvl w:val="0"/>
          <w:numId w:val="0"/>
        </w:numPr>
        <w:rPr>
          <w:lang w:val="en-US"/>
        </w:rPr>
      </w:pPr>
      <w:r>
        <w:t>On 12 September, the</w:t>
      </w:r>
      <w:r w:rsidR="00354410" w:rsidRPr="00354410">
        <w:rPr>
          <w:lang w:eastAsia="en-GB"/>
        </w:rPr>
        <w:t xml:space="preserve"> </w:t>
      </w:r>
      <w:r w:rsidR="00CE0252">
        <w:rPr>
          <w:lang w:eastAsia="en-GB"/>
        </w:rPr>
        <w:t xml:space="preserve">EC </w:t>
      </w:r>
      <w:r w:rsidR="00F302C0">
        <w:rPr>
          <w:lang w:eastAsia="en-GB"/>
        </w:rPr>
        <w:t>also released</w:t>
      </w:r>
      <w:r w:rsidR="005D4C0E">
        <w:rPr>
          <w:lang w:eastAsia="en-GB"/>
        </w:rPr>
        <w:t xml:space="preserve"> </w:t>
      </w:r>
      <w:r w:rsidR="005173AE" w:rsidRPr="00BE60B3">
        <w:rPr>
          <w:lang w:val="en-US"/>
        </w:rPr>
        <w:t>a propos</w:t>
      </w:r>
      <w:r w:rsidR="00A94E35">
        <w:rPr>
          <w:lang w:val="en-US"/>
        </w:rPr>
        <w:t>al for a</w:t>
      </w:r>
      <w:r w:rsidR="005173AE" w:rsidRPr="00BE60B3">
        <w:rPr>
          <w:lang w:val="en-US"/>
        </w:rPr>
        <w:t xml:space="preserve"> Directive on Head Office Tax System (HOT) for SMEs, introducing tax simplifications for SMEs </w:t>
      </w:r>
      <w:r w:rsidR="00BE60B3">
        <w:rPr>
          <w:lang w:val="en-US"/>
        </w:rPr>
        <w:t>(</w:t>
      </w:r>
      <w:r w:rsidR="005173AE" w:rsidRPr="00BE60B3">
        <w:rPr>
          <w:lang w:val="en-US"/>
        </w:rPr>
        <w:t xml:space="preserve">see </w:t>
      </w:r>
      <w:hyperlink r:id="rId16" w:history="1">
        <w:r w:rsidR="005173AE" w:rsidRPr="00BE60B3">
          <w:rPr>
            <w:rStyle w:val="Hypertextovprepojenie"/>
            <w:szCs w:val="17"/>
            <w:lang w:val="en-US"/>
          </w:rPr>
          <w:t>here</w:t>
        </w:r>
      </w:hyperlink>
      <w:r w:rsidR="005173AE" w:rsidRPr="00BE60B3">
        <w:rPr>
          <w:lang w:val="en-US"/>
        </w:rPr>
        <w:t xml:space="preserve"> for legal text</w:t>
      </w:r>
      <w:r w:rsidR="00BE60B3">
        <w:rPr>
          <w:lang w:val="en-US"/>
        </w:rPr>
        <w:t>)</w:t>
      </w:r>
      <w:r w:rsidR="005173AE" w:rsidRPr="00BE60B3">
        <w:rPr>
          <w:i/>
          <w:iCs/>
          <w:lang w:val="en-US"/>
        </w:rPr>
        <w:t xml:space="preserve">. </w:t>
      </w:r>
      <w:r w:rsidR="00C7633D" w:rsidRPr="00BE60B3">
        <w:rPr>
          <w:lang w:val="en-US"/>
        </w:rPr>
        <w:t>The HOT Directive comes as part of a broader ‘</w:t>
      </w:r>
      <w:hyperlink r:id="rId17" w:history="1">
        <w:r w:rsidR="00C7633D" w:rsidRPr="00BE60B3">
          <w:rPr>
            <w:rStyle w:val="Hypertextovprepojenie"/>
            <w:szCs w:val="17"/>
            <w:lang w:val="en-US"/>
          </w:rPr>
          <w:t>SME Relief package</w:t>
        </w:r>
      </w:hyperlink>
      <w:r w:rsidR="00C7633D" w:rsidRPr="00BE60B3">
        <w:rPr>
          <w:lang w:val="en-US"/>
        </w:rPr>
        <w:t>’</w:t>
      </w:r>
      <w:r w:rsidR="00BE60B3">
        <w:rPr>
          <w:lang w:val="en-US"/>
        </w:rPr>
        <w:t>.</w:t>
      </w:r>
    </w:p>
    <w:p w14:paraId="50738845" w14:textId="77777777" w:rsidR="00AE2C15" w:rsidRDefault="00AE2C15" w:rsidP="00710122">
      <w:pPr>
        <w:pStyle w:val="CEABullet-Level1"/>
        <w:numPr>
          <w:ilvl w:val="0"/>
          <w:numId w:val="0"/>
        </w:numPr>
        <w:rPr>
          <w:lang w:val="en-US"/>
        </w:rPr>
      </w:pPr>
    </w:p>
    <w:p w14:paraId="28CF9CE4" w14:textId="33C865DC" w:rsidR="00AE2C15" w:rsidRPr="00BE60B3" w:rsidRDefault="00AE2C15" w:rsidP="00710122">
      <w:pPr>
        <w:pStyle w:val="CEABullet-Level1"/>
        <w:numPr>
          <w:ilvl w:val="0"/>
          <w:numId w:val="0"/>
        </w:numPr>
        <w:rPr>
          <w:rFonts w:ascii="Calibri" w:hAnsi="Calibri"/>
          <w:lang w:val="en-US"/>
        </w:rPr>
      </w:pPr>
      <w:r>
        <w:rPr>
          <w:lang w:val="en-US"/>
        </w:rPr>
        <w:t xml:space="preserve">Members are invited to send </w:t>
      </w:r>
      <w:r w:rsidR="00A82E54">
        <w:rPr>
          <w:lang w:val="en-US"/>
        </w:rPr>
        <w:t>thei</w:t>
      </w:r>
      <w:r w:rsidR="00EE3266">
        <w:rPr>
          <w:lang w:val="en-US"/>
        </w:rPr>
        <w:t xml:space="preserve">r comments and </w:t>
      </w:r>
      <w:r w:rsidR="00A94E35">
        <w:rPr>
          <w:lang w:val="en-US"/>
        </w:rPr>
        <w:t>views</w:t>
      </w:r>
      <w:r>
        <w:rPr>
          <w:lang w:val="en-US"/>
        </w:rPr>
        <w:t xml:space="preserve"> on </w:t>
      </w:r>
      <w:r w:rsidR="00A82E54">
        <w:rPr>
          <w:lang w:val="en-US"/>
        </w:rPr>
        <w:t>the proposa</w:t>
      </w:r>
      <w:r w:rsidR="00A97D4F">
        <w:rPr>
          <w:lang w:val="en-US"/>
        </w:rPr>
        <w:t xml:space="preserve">ls </w:t>
      </w:r>
      <w:r w:rsidR="00A94E35">
        <w:rPr>
          <w:lang w:val="en-US"/>
        </w:rPr>
        <w:t>for</w:t>
      </w:r>
      <w:r w:rsidR="00A97D4F">
        <w:rPr>
          <w:lang w:val="en-US"/>
        </w:rPr>
        <w:t xml:space="preserve"> a </w:t>
      </w:r>
      <w:r w:rsidR="00A82E54">
        <w:rPr>
          <w:lang w:val="en-US"/>
        </w:rPr>
        <w:t>BEFIT Directive</w:t>
      </w:r>
      <w:r w:rsidR="00A97D4F">
        <w:rPr>
          <w:lang w:val="en-US"/>
        </w:rPr>
        <w:t xml:space="preserve"> and</w:t>
      </w:r>
      <w:r w:rsidR="00EE3266">
        <w:rPr>
          <w:lang w:val="en-US"/>
        </w:rPr>
        <w:t xml:space="preserve"> </w:t>
      </w:r>
      <w:r w:rsidR="00A82E54">
        <w:rPr>
          <w:lang w:val="en-US"/>
        </w:rPr>
        <w:t>TP Directive</w:t>
      </w:r>
      <w:r w:rsidR="00EE3266">
        <w:rPr>
          <w:lang w:val="en-US"/>
        </w:rPr>
        <w:t>, a</w:t>
      </w:r>
      <w:r w:rsidR="00A94E35">
        <w:rPr>
          <w:lang w:val="en-US"/>
        </w:rPr>
        <w:t>s well as</w:t>
      </w:r>
      <w:r w:rsidR="00A97D4F">
        <w:rPr>
          <w:lang w:val="en-US"/>
        </w:rPr>
        <w:t xml:space="preserve"> feedback on the</w:t>
      </w:r>
      <w:r w:rsidR="00C0229D">
        <w:rPr>
          <w:lang w:val="en-US"/>
        </w:rPr>
        <w:t xml:space="preserve"> HOT Directive</w:t>
      </w:r>
      <w:r w:rsidR="002346FE">
        <w:rPr>
          <w:lang w:val="en-US"/>
        </w:rPr>
        <w:t>, if any</w:t>
      </w:r>
      <w:r w:rsidR="004328B0">
        <w:rPr>
          <w:lang w:val="en-US"/>
        </w:rPr>
        <w:t xml:space="preserve">. Based on the input from members, the secretariat will prepare </w:t>
      </w:r>
      <w:proofErr w:type="gramStart"/>
      <w:r w:rsidR="004328B0">
        <w:rPr>
          <w:lang w:val="en-US"/>
        </w:rPr>
        <w:t xml:space="preserve">a </w:t>
      </w:r>
      <w:r w:rsidR="000F670A">
        <w:rPr>
          <w:lang w:val="en-US"/>
        </w:rPr>
        <w:t xml:space="preserve"> set</w:t>
      </w:r>
      <w:proofErr w:type="gramEnd"/>
      <w:r w:rsidR="000F670A">
        <w:rPr>
          <w:lang w:val="en-US"/>
        </w:rPr>
        <w:t xml:space="preserve"> of key messages, to</w:t>
      </w:r>
      <w:r w:rsidR="00A82E54">
        <w:rPr>
          <w:lang w:val="en-US"/>
        </w:rPr>
        <w:t xml:space="preserve"> be </w:t>
      </w:r>
      <w:r w:rsidR="00106145">
        <w:rPr>
          <w:lang w:val="en-US"/>
        </w:rPr>
        <w:t xml:space="preserve">used in </w:t>
      </w:r>
      <w:r w:rsidR="000F670A">
        <w:rPr>
          <w:lang w:val="en-US"/>
        </w:rPr>
        <w:t>any follow-up</w:t>
      </w:r>
      <w:r w:rsidR="00106145">
        <w:rPr>
          <w:lang w:val="en-US"/>
        </w:rPr>
        <w:t xml:space="preserve"> engagement with the EU institutions.</w:t>
      </w:r>
      <w:r w:rsidR="00C0229D">
        <w:rPr>
          <w:lang w:val="en-US"/>
        </w:rPr>
        <w:t xml:space="preserve"> The deadline for the initial round of </w:t>
      </w:r>
      <w:r w:rsidR="00304C7D">
        <w:rPr>
          <w:lang w:val="en-US"/>
        </w:rPr>
        <w:t xml:space="preserve">contributions is </w:t>
      </w:r>
      <w:r w:rsidR="00304C7D" w:rsidRPr="00304C7D">
        <w:rPr>
          <w:b/>
          <w:bCs/>
          <w:lang w:val="en-US"/>
        </w:rPr>
        <w:t>28 September</w:t>
      </w:r>
      <w:r w:rsidR="00304C7D">
        <w:rPr>
          <w:lang w:val="en-US"/>
        </w:rPr>
        <w:t xml:space="preserve">. </w:t>
      </w:r>
    </w:p>
    <w:p w14:paraId="7BBD70CF" w14:textId="77777777" w:rsidR="00986736" w:rsidRPr="005173AE" w:rsidRDefault="00986736" w:rsidP="00710122">
      <w:pPr>
        <w:rPr>
          <w:iCs/>
          <w:sz w:val="17"/>
          <w:szCs w:val="17"/>
        </w:rPr>
      </w:pPr>
    </w:p>
    <w:p w14:paraId="1C3315AC" w14:textId="6B20A584" w:rsidR="00354410" w:rsidRPr="00354410" w:rsidRDefault="00354410" w:rsidP="00710122">
      <w:pPr>
        <w:rPr>
          <w:rFonts w:cs="Arial"/>
          <w:color w:val="002957"/>
          <w:sz w:val="19"/>
          <w:szCs w:val="19"/>
        </w:rPr>
      </w:pPr>
      <w:r w:rsidRPr="00354410">
        <w:rPr>
          <w:rFonts w:cs="Arial"/>
          <w:color w:val="002957"/>
          <w:sz w:val="19"/>
          <w:szCs w:val="19"/>
        </w:rPr>
        <w:t>Background</w:t>
      </w:r>
    </w:p>
    <w:p w14:paraId="5C01D7A9" w14:textId="77777777" w:rsidR="00D13B69" w:rsidRPr="007D5876" w:rsidRDefault="00D13B69" w:rsidP="00D13B69">
      <w:pPr>
        <w:pStyle w:val="CEABullet-Level1"/>
        <w:numPr>
          <w:ilvl w:val="0"/>
          <w:numId w:val="0"/>
        </w:numPr>
      </w:pPr>
      <w:r w:rsidRPr="001F7816">
        <w:t xml:space="preserve">On </w:t>
      </w:r>
      <w:r w:rsidRPr="001F7816">
        <w:rPr>
          <w:b/>
          <w:bCs/>
        </w:rPr>
        <w:t>16 March 2011</w:t>
      </w:r>
      <w:r w:rsidRPr="001F7816">
        <w:t xml:space="preserve">, the EC </w:t>
      </w:r>
      <w:r>
        <w:t>published a proposal for</w:t>
      </w:r>
      <w:r w:rsidRPr="001F7816">
        <w:t xml:space="preserve"> a </w:t>
      </w:r>
      <w:r w:rsidRPr="00832927">
        <w:t>Directive for a Common Consolidated Corporate Tax Base (CCCTB). The EC’s proposal aimed to provide comp</w:t>
      </w:r>
      <w:r w:rsidRPr="001F7816">
        <w:t>anies with a single set of corporate tax rules for doing business across the internal market</w:t>
      </w:r>
      <w:r>
        <w:t>.</w:t>
      </w:r>
    </w:p>
    <w:p w14:paraId="4DBB538C" w14:textId="77777777" w:rsidR="00D13B69" w:rsidRDefault="00D13B69" w:rsidP="00D13B69">
      <w:pPr>
        <w:pStyle w:val="CEABullet-Level1"/>
        <w:numPr>
          <w:ilvl w:val="0"/>
          <w:numId w:val="0"/>
        </w:numPr>
        <w:ind w:left="360"/>
        <w:rPr>
          <w:szCs w:val="17"/>
        </w:rPr>
      </w:pPr>
    </w:p>
    <w:p w14:paraId="268103F1" w14:textId="77777777" w:rsidR="00D13B69" w:rsidRDefault="00D13B69" w:rsidP="00D13B69">
      <w:pPr>
        <w:pStyle w:val="CEABullet-Level1"/>
        <w:numPr>
          <w:ilvl w:val="0"/>
          <w:numId w:val="0"/>
        </w:numPr>
        <w:rPr>
          <w:szCs w:val="17"/>
        </w:rPr>
      </w:pPr>
      <w:r>
        <w:t xml:space="preserve">To </w:t>
      </w:r>
      <w:r>
        <w:rPr>
          <w:szCs w:val="17"/>
        </w:rPr>
        <w:t>achieve this</w:t>
      </w:r>
      <w:r w:rsidRPr="00C253A2">
        <w:rPr>
          <w:szCs w:val="17"/>
        </w:rPr>
        <w:t xml:space="preserve">, the CCCTB </w:t>
      </w:r>
      <w:r>
        <w:rPr>
          <w:szCs w:val="17"/>
        </w:rPr>
        <w:t>was developed as a tool</w:t>
      </w:r>
      <w:r w:rsidRPr="00C253A2">
        <w:rPr>
          <w:szCs w:val="17"/>
        </w:rPr>
        <w:t xml:space="preserve"> for attributing income to where the value is created, through a formula based on three equally weighted factors (</w:t>
      </w:r>
      <w:proofErr w:type="gramStart"/>
      <w:r w:rsidRPr="00C253A2">
        <w:rPr>
          <w:szCs w:val="17"/>
        </w:rPr>
        <w:t>i.e.</w:t>
      </w:r>
      <w:proofErr w:type="gramEnd"/>
      <w:r w:rsidRPr="00C253A2">
        <w:rPr>
          <w:szCs w:val="17"/>
        </w:rPr>
        <w:t xml:space="preserve"> assets, labour, and sales). Since these factors are attached to where a company earns its profits, they are more resilient to aggressive tax planning practices than the widespread transfer pricing methods for allocating profit. </w:t>
      </w:r>
    </w:p>
    <w:p w14:paraId="3E810579" w14:textId="77777777" w:rsidR="00D13B69" w:rsidRDefault="00D13B69" w:rsidP="00D13B69">
      <w:pPr>
        <w:autoSpaceDE w:val="0"/>
        <w:autoSpaceDN w:val="0"/>
        <w:adjustRightInd w:val="0"/>
        <w:ind w:left="708"/>
        <w:textAlignment w:val="center"/>
        <w:rPr>
          <w:sz w:val="17"/>
          <w:szCs w:val="17"/>
        </w:rPr>
      </w:pPr>
    </w:p>
    <w:p w14:paraId="76BBD363" w14:textId="77777777" w:rsidR="00D13B69" w:rsidRDefault="00D13B69" w:rsidP="00D13B69">
      <w:pPr>
        <w:autoSpaceDE w:val="0"/>
        <w:autoSpaceDN w:val="0"/>
        <w:adjustRightInd w:val="0"/>
        <w:textAlignment w:val="center"/>
        <w:rPr>
          <w:sz w:val="17"/>
          <w:szCs w:val="17"/>
        </w:rPr>
      </w:pPr>
      <w:r>
        <w:rPr>
          <w:sz w:val="17"/>
          <w:szCs w:val="17"/>
        </w:rPr>
        <w:t xml:space="preserve">The adoption of the proposal was stalled, as it was considered </w:t>
      </w:r>
      <w:r w:rsidRPr="00EF3009">
        <w:rPr>
          <w:sz w:val="17"/>
          <w:szCs w:val="17"/>
        </w:rPr>
        <w:t>too ambitious to be adopted in a single step</w:t>
      </w:r>
      <w:r>
        <w:rPr>
          <w:sz w:val="17"/>
          <w:szCs w:val="17"/>
        </w:rPr>
        <w:t xml:space="preserve"> and given the lack of agreement on some critical aspects of the proposal (like consolidation). After an almost </w:t>
      </w:r>
      <w:hyperlink r:id="rId18" w:history="1">
        <w:r>
          <w:rPr>
            <w:rStyle w:val="Hypertextovprepojenie"/>
            <w:sz w:val="17"/>
            <w:szCs w:val="17"/>
          </w:rPr>
          <w:t>6-years-long process</w:t>
        </w:r>
      </w:hyperlink>
      <w:r>
        <w:rPr>
          <w:sz w:val="17"/>
          <w:szCs w:val="17"/>
        </w:rPr>
        <w:t>, it was officially</w:t>
      </w:r>
      <w:r w:rsidRPr="00A65BCF">
        <w:rPr>
          <w:sz w:val="17"/>
          <w:szCs w:val="17"/>
        </w:rPr>
        <w:t xml:space="preserve"> </w:t>
      </w:r>
      <w:hyperlink r:id="rId19" w:history="1">
        <w:r w:rsidRPr="00A65BCF">
          <w:rPr>
            <w:rStyle w:val="Hypertextovprepojenie"/>
            <w:sz w:val="17"/>
            <w:szCs w:val="17"/>
          </w:rPr>
          <w:t>withdrawn</w:t>
        </w:r>
      </w:hyperlink>
      <w:r>
        <w:rPr>
          <w:sz w:val="17"/>
          <w:szCs w:val="17"/>
        </w:rPr>
        <w:t xml:space="preserve"> on </w:t>
      </w:r>
      <w:r w:rsidRPr="00DA78AC">
        <w:rPr>
          <w:b/>
          <w:sz w:val="17"/>
          <w:szCs w:val="17"/>
        </w:rPr>
        <w:t>28 February 2017</w:t>
      </w:r>
      <w:r>
        <w:rPr>
          <w:sz w:val="17"/>
          <w:szCs w:val="17"/>
        </w:rPr>
        <w:t>.</w:t>
      </w:r>
    </w:p>
    <w:p w14:paraId="1EA97467" w14:textId="77777777" w:rsidR="00D13B69" w:rsidRDefault="00D13B69" w:rsidP="00D13B69">
      <w:pPr>
        <w:autoSpaceDE w:val="0"/>
        <w:autoSpaceDN w:val="0"/>
        <w:adjustRightInd w:val="0"/>
        <w:textAlignment w:val="center"/>
        <w:rPr>
          <w:sz w:val="17"/>
          <w:szCs w:val="17"/>
        </w:rPr>
      </w:pPr>
    </w:p>
    <w:p w14:paraId="65E35B92" w14:textId="59186D61" w:rsidR="00D13B69" w:rsidRDefault="00D13B69" w:rsidP="00D13B69">
      <w:pPr>
        <w:pStyle w:val="CEABullet-Level1"/>
        <w:numPr>
          <w:ilvl w:val="0"/>
          <w:numId w:val="0"/>
        </w:numPr>
      </w:pPr>
      <w:r w:rsidRPr="00257D54">
        <w:t>In</w:t>
      </w:r>
      <w:r>
        <w:rPr>
          <w:b/>
          <w:bCs/>
        </w:rPr>
        <w:t xml:space="preserve"> </w:t>
      </w:r>
      <w:r w:rsidRPr="000D7EFA">
        <w:rPr>
          <w:b/>
          <w:bCs/>
        </w:rPr>
        <w:t>October 2016</w:t>
      </w:r>
      <w:r w:rsidRPr="002E7B4A">
        <w:t xml:space="preserve">, the </w:t>
      </w:r>
      <w:r w:rsidR="000F670A">
        <w:t xml:space="preserve">EC </w:t>
      </w:r>
      <w:r w:rsidRPr="002E7B4A">
        <w:t xml:space="preserve">proposed to </w:t>
      </w:r>
      <w:r w:rsidRPr="000D7EFA">
        <w:rPr>
          <w:b/>
          <w:bCs/>
        </w:rPr>
        <w:t>re-launch</w:t>
      </w:r>
      <w:r w:rsidRPr="002E7B4A">
        <w:t xml:space="preserve"> the Common Consolidated Corporate Tax Base</w:t>
      </w:r>
      <w:r>
        <w:t xml:space="preserve"> (</w:t>
      </w:r>
      <w:hyperlink r:id="rId20" w:history="1">
        <w:r>
          <w:rPr>
            <w:rStyle w:val="Hypertextovprepojenie"/>
          </w:rPr>
          <w:t>more info here</w:t>
        </w:r>
      </w:hyperlink>
      <w:r>
        <w:t xml:space="preserve">). </w:t>
      </w:r>
      <w:r w:rsidRPr="00D27D28">
        <w:t xml:space="preserve">The two main changes with respect to the 2011 proposal consisted </w:t>
      </w:r>
      <w:r>
        <w:t>of</w:t>
      </w:r>
      <w:r w:rsidRPr="00D27D28">
        <w:t>:</w:t>
      </w:r>
    </w:p>
    <w:p w14:paraId="5E3CED2B" w14:textId="77777777" w:rsidR="00D13B69" w:rsidRPr="00832927" w:rsidRDefault="00D13B69" w:rsidP="00D13B69">
      <w:pPr>
        <w:pStyle w:val="CEABullet-Level2"/>
      </w:pPr>
      <w:r w:rsidRPr="00832927">
        <w:t>Mandatory CCCTB, at least for multinational companies</w:t>
      </w:r>
      <w:r>
        <w:t>.</w:t>
      </w:r>
      <w:r w:rsidRPr="00832927">
        <w:t xml:space="preserve"> </w:t>
      </w:r>
    </w:p>
    <w:p w14:paraId="6263717F" w14:textId="77777777" w:rsidR="00D13B69" w:rsidRPr="00832927" w:rsidRDefault="00D13B69" w:rsidP="00D13B69">
      <w:pPr>
        <w:pStyle w:val="CEABullet-Level2"/>
      </w:pPr>
      <w:r w:rsidRPr="00832927">
        <w:t>A step-by-step approach, with consolidation to be postponed to the second step</w:t>
      </w:r>
      <w:r>
        <w:t>.</w:t>
      </w:r>
    </w:p>
    <w:p w14:paraId="1C05FE0A" w14:textId="77777777" w:rsidR="00D13B69" w:rsidRDefault="00D13B69" w:rsidP="00D13B69">
      <w:pPr>
        <w:rPr>
          <w:rFonts w:cs="Frutiger LT Std 45 Light"/>
          <w:color w:val="000000"/>
          <w:sz w:val="17"/>
          <w:szCs w:val="20"/>
        </w:rPr>
      </w:pPr>
      <w:r w:rsidRPr="00832927">
        <w:rPr>
          <w:rFonts w:cs="Frutiger LT Std 45 Light"/>
          <w:color w:val="000000"/>
          <w:sz w:val="17"/>
          <w:szCs w:val="20"/>
        </w:rPr>
        <w:t>The EC expressed the intention to withdraw the proposal, announcing BE</w:t>
      </w:r>
      <w:r w:rsidRPr="00FB1595">
        <w:rPr>
          <w:rFonts w:cs="Frutiger LT Std 45 Light"/>
          <w:color w:val="000000"/>
          <w:sz w:val="17"/>
          <w:szCs w:val="17"/>
        </w:rPr>
        <w:t xml:space="preserve">FIT to replace it, in its </w:t>
      </w:r>
      <w:hyperlink r:id="rId21" w:history="1">
        <w:r w:rsidRPr="00FB1595">
          <w:rPr>
            <w:rStyle w:val="Hypertextovprepojenie"/>
            <w:sz w:val="17"/>
            <w:szCs w:val="17"/>
          </w:rPr>
          <w:t>communication on business taxation for the 21st century</w:t>
        </w:r>
      </w:hyperlink>
      <w:r w:rsidRPr="00FB1595" w:rsidDel="00FB1595">
        <w:rPr>
          <w:rFonts w:cs="Frutiger LT Std 45 Light"/>
          <w:color w:val="000000"/>
          <w:sz w:val="17"/>
          <w:szCs w:val="17"/>
        </w:rPr>
        <w:t xml:space="preserve"> </w:t>
      </w:r>
      <w:r w:rsidRPr="009C46A7">
        <w:rPr>
          <w:rFonts w:cs="Frutiger LT Std 45 Light"/>
          <w:color w:val="000000"/>
          <w:sz w:val="17"/>
          <w:szCs w:val="20"/>
        </w:rPr>
        <w:t>(</w:t>
      </w:r>
      <w:r w:rsidRPr="00FB1595">
        <w:rPr>
          <w:rFonts w:cs="Frutiger LT Std 45 Light"/>
          <w:b/>
          <w:bCs/>
          <w:color w:val="000000"/>
          <w:sz w:val="17"/>
          <w:szCs w:val="20"/>
        </w:rPr>
        <w:t>18 May 2021</w:t>
      </w:r>
      <w:r w:rsidRPr="009C46A7">
        <w:rPr>
          <w:rFonts w:cs="Frutiger LT Std 45 Light"/>
          <w:color w:val="000000"/>
          <w:sz w:val="17"/>
          <w:szCs w:val="20"/>
        </w:rPr>
        <w:t>)</w:t>
      </w:r>
      <w:r w:rsidRPr="00832927">
        <w:rPr>
          <w:rFonts w:cs="Frutiger LT Std 45 Light"/>
          <w:color w:val="000000"/>
          <w:sz w:val="17"/>
          <w:szCs w:val="20"/>
        </w:rPr>
        <w:t>.</w:t>
      </w:r>
    </w:p>
    <w:p w14:paraId="2CEF8480" w14:textId="77777777" w:rsidR="00D13B69" w:rsidRDefault="00D13B69" w:rsidP="00D13B69">
      <w:pPr>
        <w:rPr>
          <w:rFonts w:cs="Frutiger LT Std 45 Light"/>
          <w:color w:val="000000"/>
          <w:sz w:val="17"/>
          <w:szCs w:val="20"/>
        </w:rPr>
      </w:pPr>
    </w:p>
    <w:p w14:paraId="4E5183BB" w14:textId="785C1EFB" w:rsidR="00354410" w:rsidRPr="00F00B22" w:rsidRDefault="00F00B22" w:rsidP="00710122">
      <w:pPr>
        <w:rPr>
          <w:sz w:val="17"/>
          <w:szCs w:val="17"/>
        </w:rPr>
      </w:pPr>
      <w:r w:rsidRPr="00F00B22">
        <w:rPr>
          <w:sz w:val="17"/>
          <w:szCs w:val="17"/>
        </w:rPr>
        <w:t xml:space="preserve">In </w:t>
      </w:r>
      <w:r w:rsidRPr="00F00B22">
        <w:rPr>
          <w:b/>
          <w:bCs/>
          <w:sz w:val="17"/>
          <w:szCs w:val="17"/>
        </w:rPr>
        <w:t>October 2022</w:t>
      </w:r>
      <w:r w:rsidRPr="00F00B22">
        <w:rPr>
          <w:sz w:val="17"/>
          <w:szCs w:val="17"/>
        </w:rPr>
        <w:t xml:space="preserve"> the EC launched a </w:t>
      </w:r>
      <w:hyperlink r:id="rId22" w:history="1">
        <w:r w:rsidRPr="00F00B22">
          <w:rPr>
            <w:rStyle w:val="Hypertextovprepojenie"/>
            <w:sz w:val="17"/>
            <w:szCs w:val="17"/>
          </w:rPr>
          <w:t>call for evidence for an impact assessment and a public consultation</w:t>
        </w:r>
      </w:hyperlink>
      <w:r w:rsidRPr="00F00B22">
        <w:rPr>
          <w:sz w:val="17"/>
          <w:szCs w:val="17"/>
        </w:rPr>
        <w:t xml:space="preserve">. Insurance Europe </w:t>
      </w:r>
      <w:hyperlink r:id="rId23" w:history="1">
        <w:r w:rsidRPr="00F00B22">
          <w:rPr>
            <w:rStyle w:val="Hypertextovprepojenie"/>
            <w:sz w:val="17"/>
            <w:szCs w:val="17"/>
          </w:rPr>
          <w:t>responded</w:t>
        </w:r>
      </w:hyperlink>
      <w:r w:rsidRPr="00F00B22">
        <w:rPr>
          <w:sz w:val="17"/>
          <w:szCs w:val="17"/>
        </w:rPr>
        <w:t xml:space="preserve"> to both the call for evidence and the public consultation.</w:t>
      </w:r>
      <w:r w:rsidR="00632D28">
        <w:rPr>
          <w:sz w:val="17"/>
          <w:szCs w:val="17"/>
        </w:rPr>
        <w:t xml:space="preserve"> A summary of the points raised </w:t>
      </w:r>
      <w:r w:rsidR="0034756C">
        <w:rPr>
          <w:sz w:val="17"/>
          <w:szCs w:val="17"/>
        </w:rPr>
        <w:t>in</w:t>
      </w:r>
      <w:r w:rsidR="00632D28">
        <w:rPr>
          <w:sz w:val="17"/>
          <w:szCs w:val="17"/>
        </w:rPr>
        <w:t xml:space="preserve"> the response can be found in the last Taxation WG background notes: </w:t>
      </w:r>
      <w:hyperlink r:id="rId24" w:history="1">
        <w:r w:rsidR="0072703D">
          <w:rPr>
            <w:rStyle w:val="Hypertextovprepojenie"/>
            <w:sz w:val="17"/>
            <w:szCs w:val="17"/>
          </w:rPr>
          <w:t>ECO-TAX-23-077</w:t>
        </w:r>
      </w:hyperlink>
      <w:r w:rsidR="0072703D">
        <w:rPr>
          <w:sz w:val="17"/>
          <w:szCs w:val="17"/>
        </w:rPr>
        <w:t xml:space="preserve">. </w:t>
      </w:r>
    </w:p>
    <w:p w14:paraId="107B5198" w14:textId="77777777" w:rsidR="00354410" w:rsidRDefault="00354410" w:rsidP="00710122">
      <w:pPr>
        <w:rPr>
          <w:sz w:val="17"/>
          <w:szCs w:val="17"/>
        </w:rPr>
      </w:pPr>
    </w:p>
    <w:p w14:paraId="785DCFC9" w14:textId="2BAB6762" w:rsidR="00354410" w:rsidRDefault="00E67E91" w:rsidP="00710122">
      <w:pPr>
        <w:rPr>
          <w:iCs/>
          <w:sz w:val="17"/>
          <w:szCs w:val="17"/>
        </w:rPr>
      </w:pPr>
      <w:r>
        <w:rPr>
          <w:iCs/>
          <w:sz w:val="17"/>
          <w:szCs w:val="17"/>
        </w:rPr>
        <w:t xml:space="preserve">During the Taxation WG meeting that took place on </w:t>
      </w:r>
      <w:r w:rsidRPr="00253FBE">
        <w:rPr>
          <w:b/>
          <w:bCs/>
          <w:iCs/>
          <w:sz w:val="17"/>
          <w:szCs w:val="17"/>
        </w:rPr>
        <w:t>13 June</w:t>
      </w:r>
      <w:r>
        <w:rPr>
          <w:b/>
          <w:bCs/>
          <w:iCs/>
          <w:sz w:val="17"/>
          <w:szCs w:val="17"/>
        </w:rPr>
        <w:t xml:space="preserve"> </w:t>
      </w:r>
      <w:r w:rsidRPr="00102DB2">
        <w:rPr>
          <w:iCs/>
          <w:sz w:val="17"/>
          <w:szCs w:val="17"/>
        </w:rPr>
        <w:t>(</w:t>
      </w:r>
      <w:hyperlink r:id="rId25" w:history="1">
        <w:r w:rsidRPr="00102DB2">
          <w:rPr>
            <w:rStyle w:val="Hypertextovprepojenie"/>
            <w:iCs/>
            <w:sz w:val="17"/>
            <w:szCs w:val="17"/>
          </w:rPr>
          <w:t>ECO-TAX-23-076</w:t>
        </w:r>
      </w:hyperlink>
      <w:r w:rsidRPr="00102DB2">
        <w:rPr>
          <w:iCs/>
          <w:sz w:val="17"/>
          <w:szCs w:val="17"/>
        </w:rPr>
        <w:t>)</w:t>
      </w:r>
      <w:r>
        <w:rPr>
          <w:iCs/>
          <w:sz w:val="17"/>
          <w:szCs w:val="17"/>
        </w:rPr>
        <w:t xml:space="preserve">, </w:t>
      </w:r>
      <w:r w:rsidRPr="00662916">
        <w:rPr>
          <w:iCs/>
          <w:sz w:val="17"/>
          <w:szCs w:val="17"/>
        </w:rPr>
        <w:t xml:space="preserve">Ioanna </w:t>
      </w:r>
      <w:proofErr w:type="spellStart"/>
      <w:r w:rsidRPr="00662916">
        <w:rPr>
          <w:iCs/>
          <w:sz w:val="17"/>
          <w:szCs w:val="17"/>
        </w:rPr>
        <w:t>Mitroyanni</w:t>
      </w:r>
      <w:proofErr w:type="spellEnd"/>
      <w:r w:rsidRPr="00662916">
        <w:rPr>
          <w:iCs/>
          <w:sz w:val="17"/>
          <w:szCs w:val="17"/>
        </w:rPr>
        <w:t>, Deputy Head of Unit of Company Taxation Initiatives (DG TAXUD, EC)</w:t>
      </w:r>
      <w:r>
        <w:rPr>
          <w:iCs/>
          <w:sz w:val="17"/>
          <w:szCs w:val="17"/>
        </w:rPr>
        <w:t xml:space="preserve"> gave a presentation on the BEFIT initiative</w:t>
      </w:r>
      <w:r w:rsidR="00023524">
        <w:rPr>
          <w:iCs/>
          <w:sz w:val="17"/>
          <w:szCs w:val="17"/>
        </w:rPr>
        <w:t xml:space="preserve"> (</w:t>
      </w:r>
      <w:hyperlink r:id="rId26" w:history="1">
        <w:r w:rsidR="00023524">
          <w:rPr>
            <w:rStyle w:val="Hypertextovprepojenie"/>
            <w:iCs/>
            <w:sz w:val="17"/>
            <w:szCs w:val="17"/>
          </w:rPr>
          <w:t>ECO-TAX-23-086</w:t>
        </w:r>
      </w:hyperlink>
      <w:r w:rsidR="00023524">
        <w:rPr>
          <w:iCs/>
          <w:sz w:val="17"/>
          <w:szCs w:val="17"/>
        </w:rPr>
        <w:t xml:space="preserve">) </w:t>
      </w:r>
      <w:r>
        <w:rPr>
          <w:iCs/>
          <w:sz w:val="17"/>
          <w:szCs w:val="17"/>
        </w:rPr>
        <w:t>and, further to the subsequent exchange of views with members, invited Insurance Europe to submit additional input.</w:t>
      </w:r>
    </w:p>
    <w:p w14:paraId="53EA0FD4" w14:textId="77777777" w:rsidR="00CA350E" w:rsidRDefault="00CA350E" w:rsidP="00710122">
      <w:pPr>
        <w:rPr>
          <w:iCs/>
          <w:sz w:val="17"/>
          <w:szCs w:val="17"/>
        </w:rPr>
      </w:pPr>
    </w:p>
    <w:p w14:paraId="0375ADC5" w14:textId="781ED3C2" w:rsidR="00DC674B" w:rsidRDefault="003A7E43" w:rsidP="00710122">
      <w:pPr>
        <w:rPr>
          <w:iCs/>
          <w:sz w:val="17"/>
          <w:szCs w:val="17"/>
        </w:rPr>
      </w:pPr>
      <w:r>
        <w:rPr>
          <w:iCs/>
          <w:sz w:val="17"/>
          <w:szCs w:val="17"/>
        </w:rPr>
        <w:t xml:space="preserve">On </w:t>
      </w:r>
      <w:r w:rsidR="00145B4E">
        <w:rPr>
          <w:b/>
          <w:bCs/>
          <w:iCs/>
          <w:sz w:val="17"/>
          <w:szCs w:val="17"/>
        </w:rPr>
        <w:t>3 July</w:t>
      </w:r>
      <w:r>
        <w:rPr>
          <w:iCs/>
          <w:sz w:val="17"/>
          <w:szCs w:val="17"/>
        </w:rPr>
        <w:t xml:space="preserve">, the secretariat delivered Insurance Europe’s </w:t>
      </w:r>
      <w:r w:rsidR="00145B4E">
        <w:rPr>
          <w:iCs/>
          <w:sz w:val="17"/>
          <w:szCs w:val="17"/>
        </w:rPr>
        <w:t>contribution</w:t>
      </w:r>
      <w:r w:rsidR="00CC7B4F">
        <w:rPr>
          <w:iCs/>
          <w:sz w:val="17"/>
          <w:szCs w:val="17"/>
        </w:rPr>
        <w:t xml:space="preserve"> on BEFIT to DG TAXUD (</w:t>
      </w:r>
      <w:hyperlink r:id="rId27" w:history="1">
        <w:r w:rsidR="00CC7B4F">
          <w:rPr>
            <w:rStyle w:val="Hypertextovprepojenie"/>
            <w:iCs/>
            <w:sz w:val="17"/>
            <w:szCs w:val="17"/>
          </w:rPr>
          <w:t>ECO-TAX-23-094</w:t>
        </w:r>
      </w:hyperlink>
      <w:r w:rsidR="00CC7B4F">
        <w:rPr>
          <w:iCs/>
          <w:sz w:val="17"/>
          <w:szCs w:val="17"/>
        </w:rPr>
        <w:t xml:space="preserve">). </w:t>
      </w:r>
    </w:p>
    <w:p w14:paraId="1F120C9F" w14:textId="77777777" w:rsidR="00DC674B" w:rsidRDefault="00DC674B" w:rsidP="00710122">
      <w:pPr>
        <w:rPr>
          <w:iCs/>
          <w:sz w:val="17"/>
          <w:szCs w:val="17"/>
        </w:rPr>
      </w:pPr>
    </w:p>
    <w:p w14:paraId="7F2C2F5D" w14:textId="25D60888" w:rsidR="00CA350E" w:rsidRDefault="00CA350E" w:rsidP="00710122">
      <w:pPr>
        <w:rPr>
          <w:iCs/>
          <w:sz w:val="17"/>
          <w:szCs w:val="17"/>
        </w:rPr>
      </w:pPr>
      <w:r w:rsidRPr="00CA350E">
        <w:rPr>
          <w:iCs/>
          <w:sz w:val="17"/>
          <w:szCs w:val="17"/>
        </w:rPr>
        <w:t xml:space="preserve">On </w:t>
      </w:r>
      <w:r w:rsidRPr="00CA350E">
        <w:rPr>
          <w:b/>
          <w:bCs/>
          <w:iCs/>
          <w:sz w:val="17"/>
          <w:szCs w:val="17"/>
        </w:rPr>
        <w:t>14 July</w:t>
      </w:r>
      <w:r w:rsidRPr="00CA350E">
        <w:rPr>
          <w:iCs/>
          <w:sz w:val="17"/>
          <w:szCs w:val="17"/>
        </w:rPr>
        <w:t xml:space="preserve">, </w:t>
      </w:r>
      <w:r w:rsidR="0025226D">
        <w:rPr>
          <w:iCs/>
          <w:sz w:val="17"/>
          <w:szCs w:val="17"/>
        </w:rPr>
        <w:t>Ms</w:t>
      </w:r>
      <w:r w:rsidRPr="00CA350E">
        <w:rPr>
          <w:iCs/>
          <w:sz w:val="17"/>
          <w:szCs w:val="17"/>
        </w:rPr>
        <w:t xml:space="preserve"> </w:t>
      </w:r>
      <w:proofErr w:type="spellStart"/>
      <w:r w:rsidRPr="00CA350E">
        <w:rPr>
          <w:iCs/>
          <w:sz w:val="17"/>
          <w:szCs w:val="17"/>
        </w:rPr>
        <w:t>Mitroyanni</w:t>
      </w:r>
      <w:proofErr w:type="spellEnd"/>
      <w:r w:rsidRPr="00CA350E">
        <w:rPr>
          <w:iCs/>
          <w:sz w:val="17"/>
          <w:szCs w:val="17"/>
        </w:rPr>
        <w:t xml:space="preserve"> responded to the comments sent by Insurance Europe about BEFIT</w:t>
      </w:r>
      <w:r w:rsidR="009A52D3">
        <w:rPr>
          <w:iCs/>
          <w:sz w:val="17"/>
          <w:szCs w:val="17"/>
        </w:rPr>
        <w:t xml:space="preserve"> (</w:t>
      </w:r>
      <w:hyperlink r:id="rId28" w:history="1">
        <w:r w:rsidR="009A52D3">
          <w:rPr>
            <w:rStyle w:val="Hypertextovprepojenie"/>
            <w:iCs/>
            <w:sz w:val="17"/>
            <w:szCs w:val="17"/>
          </w:rPr>
          <w:t>ECO-TAX-23-097</w:t>
        </w:r>
      </w:hyperlink>
      <w:r w:rsidR="009A52D3">
        <w:rPr>
          <w:iCs/>
          <w:sz w:val="17"/>
          <w:szCs w:val="17"/>
        </w:rPr>
        <w:t xml:space="preserve">). </w:t>
      </w:r>
    </w:p>
    <w:p w14:paraId="5F56C2BD" w14:textId="77777777" w:rsidR="00E67E91" w:rsidRPr="00F00B22" w:rsidRDefault="00E67E91" w:rsidP="00710122">
      <w:pPr>
        <w:rPr>
          <w:sz w:val="17"/>
          <w:szCs w:val="17"/>
        </w:rPr>
      </w:pPr>
    </w:p>
    <w:p w14:paraId="0C2D0B07" w14:textId="4B50E083" w:rsidR="001E34B9" w:rsidRDefault="001E34B9" w:rsidP="00710122">
      <w:pPr>
        <w:rPr>
          <w:rFonts w:cs="Arial"/>
          <w:color w:val="002957"/>
          <w:sz w:val="19"/>
          <w:szCs w:val="19"/>
        </w:rPr>
      </w:pPr>
      <w:r w:rsidRPr="001E34B9">
        <w:rPr>
          <w:rFonts w:cs="Arial"/>
          <w:color w:val="002957"/>
          <w:sz w:val="19"/>
          <w:szCs w:val="19"/>
        </w:rPr>
        <w:t>Next steps</w:t>
      </w:r>
    </w:p>
    <w:p w14:paraId="54C1F462" w14:textId="29A22CB9" w:rsidR="00533492" w:rsidRPr="00533492" w:rsidRDefault="001D0E29" w:rsidP="00B8350D">
      <w:pPr>
        <w:pStyle w:val="CEABullet-Level1"/>
        <w:rPr>
          <w:szCs w:val="17"/>
        </w:rPr>
      </w:pPr>
      <w:r w:rsidRPr="00145B4E">
        <w:rPr>
          <w:b/>
          <w:bCs/>
        </w:rPr>
        <w:t>28</w:t>
      </w:r>
      <w:r w:rsidR="00533492" w:rsidRPr="00145B4E">
        <w:rPr>
          <w:b/>
          <w:bCs/>
        </w:rPr>
        <w:t xml:space="preserve"> September</w:t>
      </w:r>
      <w:r w:rsidR="00533492">
        <w:t>, deadline for members to provide feedback about the proposal.</w:t>
      </w:r>
      <w:r>
        <w:t xml:space="preserve"> </w:t>
      </w:r>
    </w:p>
    <w:sectPr w:rsidR="00533492" w:rsidRPr="00533492" w:rsidSect="007D6B18">
      <w:headerReference w:type="default" r:id="rId29"/>
      <w:footerReference w:type="default" r:id="rId30"/>
      <w:headerReference w:type="first" r:id="rId31"/>
      <w:footerReference w:type="first" r:id="rId32"/>
      <w:pgSz w:w="11907" w:h="16839" w:code="9"/>
      <w:pgMar w:top="2172" w:right="907" w:bottom="1253" w:left="1418" w:header="709" w:footer="2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2EF4" w14:textId="77777777" w:rsidR="00DC7480" w:rsidRDefault="00DC7480" w:rsidP="0016089A">
      <w:pPr>
        <w:spacing w:line="240" w:lineRule="auto"/>
      </w:pPr>
      <w:r>
        <w:separator/>
      </w:r>
    </w:p>
  </w:endnote>
  <w:endnote w:type="continuationSeparator" w:id="0">
    <w:p w14:paraId="2B19DE1E" w14:textId="77777777" w:rsidR="00DC7480" w:rsidRDefault="00DC7480" w:rsidP="0016089A">
      <w:pPr>
        <w:spacing w:line="240" w:lineRule="auto"/>
      </w:pPr>
      <w:r>
        <w:continuationSeparator/>
      </w:r>
    </w:p>
  </w:endnote>
  <w:endnote w:type="continuationNotice" w:id="1">
    <w:p w14:paraId="14FAD300" w14:textId="77777777" w:rsidR="008B49E4" w:rsidRDefault="008B49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4E09" w14:textId="77777777" w:rsidR="00571C0B" w:rsidRPr="00AF0C42" w:rsidRDefault="009406F7" w:rsidP="009406F7">
    <w:pPr>
      <w:framePr w:w="708" w:h="391" w:hRule="exact" w:hSpace="181" w:wrap="around" w:vAnchor="page" w:hAnchor="page" w:x="10320" w:y="16111" w:anchorLock="1"/>
      <w:jc w:val="right"/>
      <w:rPr>
        <w:rFonts w:cs="Tahoma"/>
        <w:color w:val="002957"/>
        <w:sz w:val="14"/>
        <w:szCs w:val="14"/>
      </w:rPr>
    </w:pPr>
    <w:r w:rsidRPr="00AF0C42">
      <w:rPr>
        <w:rFonts w:cs="Tahoma"/>
        <w:color w:val="002957"/>
        <w:sz w:val="14"/>
        <w:szCs w:val="14"/>
      </w:rPr>
      <w:fldChar w:fldCharType="begin"/>
    </w:r>
    <w:r w:rsidRPr="00AF0C42">
      <w:rPr>
        <w:rFonts w:cs="Tahoma"/>
        <w:color w:val="002957"/>
        <w:sz w:val="14"/>
        <w:szCs w:val="14"/>
      </w:rPr>
      <w:instrText xml:space="preserve"> PAGE   \* MERGEFORMAT </w:instrText>
    </w:r>
    <w:r w:rsidRPr="00AF0C42">
      <w:rPr>
        <w:rFonts w:cs="Tahoma"/>
        <w:color w:val="002957"/>
        <w:sz w:val="14"/>
        <w:szCs w:val="14"/>
      </w:rPr>
      <w:fldChar w:fldCharType="separate"/>
    </w:r>
    <w:r w:rsidRPr="00AF0C42">
      <w:rPr>
        <w:rFonts w:cs="Tahoma"/>
        <w:noProof/>
        <w:color w:val="002957"/>
        <w:sz w:val="14"/>
        <w:szCs w:val="14"/>
      </w:rPr>
      <w:t>2</w:t>
    </w:r>
    <w:r w:rsidRPr="00AF0C42">
      <w:rPr>
        <w:rFonts w:cs="Tahoma"/>
        <w:noProof/>
        <w:color w:val="002957"/>
        <w:sz w:val="14"/>
        <w:szCs w:val="14"/>
      </w:rPr>
      <w:fldChar w:fldCharType="end"/>
    </w:r>
  </w:p>
  <w:p w14:paraId="0F45612D" w14:textId="77777777" w:rsidR="00571C0B" w:rsidRPr="0089179F" w:rsidRDefault="00571C0B" w:rsidP="00CF35FD">
    <w:pPr>
      <w:tabs>
        <w:tab w:val="right" w:pos="10260"/>
      </w:tabs>
      <w:autoSpaceDE w:val="0"/>
      <w:autoSpaceDN w:val="0"/>
      <w:adjustRightInd w:val="0"/>
      <w:ind w:right="23"/>
      <w:jc w:val="right"/>
      <w:textAlignment w:val="center"/>
      <w:rPr>
        <w:color w:val="0000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ABE5" w14:textId="77777777" w:rsidR="007D6B18" w:rsidRPr="007D6B18" w:rsidRDefault="007D6B18">
    <w:pPr>
      <w:rPr>
        <w:sz w:val="14"/>
        <w:szCs w:val="18"/>
      </w:rPr>
    </w:pPr>
  </w:p>
  <w:tbl>
    <w:tblPr>
      <w:tblStyle w:val="Mriekatabuky"/>
      <w:tblW w:w="9639" w:type="dxa"/>
      <w:tblInd w:w="-142" w:type="dxa"/>
      <w:tblLook w:val="04A0" w:firstRow="1" w:lastRow="0" w:firstColumn="1" w:lastColumn="0" w:noHBand="0" w:noVBand="1"/>
    </w:tblPr>
    <w:tblGrid>
      <w:gridCol w:w="5670"/>
      <w:gridCol w:w="3969"/>
    </w:tblGrid>
    <w:tr w:rsidR="00F71D36" w14:paraId="29E635C5" w14:textId="77777777" w:rsidTr="0060137D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06CCE835" w14:textId="77777777" w:rsidR="00F71D36" w:rsidRPr="00E7145A" w:rsidRDefault="00F71D36" w:rsidP="0060137D">
          <w:pPr>
            <w:pStyle w:val="CEAFooterauthorinfo"/>
            <w:ind w:left="30"/>
            <w:rPr>
              <w:b w:val="0"/>
              <w:color w:val="002957"/>
              <w:sz w:val="14"/>
              <w:szCs w:val="14"/>
              <w:lang w:val="fr-BE"/>
            </w:rPr>
          </w:pPr>
          <w:r w:rsidRPr="00E7145A">
            <w:rPr>
              <w:b w:val="0"/>
              <w:color w:val="002957"/>
              <w:sz w:val="14"/>
              <w:szCs w:val="14"/>
              <w:lang w:val="fr-BE"/>
            </w:rPr>
            <w:t>Personal &amp; general insurance department •</w:t>
          </w:r>
        </w:p>
        <w:p w14:paraId="7DF4E77B" w14:textId="77777777" w:rsidR="00F71D36" w:rsidRPr="00654C77" w:rsidRDefault="00F71D36" w:rsidP="0060137D">
          <w:pPr>
            <w:pStyle w:val="CEAFooterauthorinfo"/>
            <w:ind w:left="30"/>
            <w:rPr>
              <w:b w:val="0"/>
              <w:color w:val="002957"/>
              <w:sz w:val="14"/>
              <w:szCs w:val="14"/>
              <w:lang w:val="fr-BE"/>
            </w:rPr>
          </w:pPr>
          <w:r w:rsidRPr="00654C77">
            <w:rPr>
              <w:b w:val="0"/>
              <w:color w:val="002957"/>
              <w:sz w:val="14"/>
              <w:szCs w:val="14"/>
              <w:lang w:val="fr-BE"/>
            </w:rPr>
            <w:t xml:space="preserve">Insurance Europe aisbl </w:t>
          </w:r>
          <w:r w:rsidRPr="00CE6BD9">
            <w:rPr>
              <w:b w:val="0"/>
              <w:color w:val="002957"/>
              <w:sz w:val="14"/>
              <w:szCs w:val="14"/>
              <w:lang w:val="pt-PT"/>
            </w:rPr>
            <w:t>•</w:t>
          </w:r>
          <w:r w:rsidRPr="00654C77">
            <w:rPr>
              <w:b w:val="0"/>
              <w:color w:val="002957"/>
              <w:sz w:val="14"/>
              <w:szCs w:val="14"/>
              <w:lang w:val="fr-BE"/>
            </w:rPr>
            <w:t xml:space="preserve"> Rue du Champ de Mars 23, B-1050 Brussels</w:t>
          </w:r>
        </w:p>
        <w:p w14:paraId="15BFC814" w14:textId="33574AFF" w:rsidR="00F71D36" w:rsidRPr="00F71D36" w:rsidRDefault="00F71D36" w:rsidP="0060137D">
          <w:pPr>
            <w:pStyle w:val="CEAFooterauthorinfo"/>
            <w:ind w:left="30"/>
            <w:rPr>
              <w:b w:val="0"/>
              <w:color w:val="002957"/>
              <w:sz w:val="14"/>
              <w:szCs w:val="14"/>
              <w:lang w:val="pt-PT"/>
            </w:rPr>
          </w:pPr>
          <w:r w:rsidRPr="00CE6BD9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 • E-mail: 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796B714B" w14:textId="76735258" w:rsidR="00F71D36" w:rsidRDefault="00043BB0" w:rsidP="00FC1F52">
          <w:pPr>
            <w:pStyle w:val="CEAFooterauthorinfo"/>
            <w:ind w:left="0"/>
            <w:rPr>
              <w:b w:val="0"/>
              <w:color w:val="002957"/>
              <w:sz w:val="14"/>
              <w:szCs w:val="14"/>
            </w:rPr>
          </w:pPr>
          <w:r w:rsidRPr="00043BB0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0533995A" w14:textId="77777777" w:rsidR="00CE2D41" w:rsidRPr="00E7145A" w:rsidRDefault="00CE2D41" w:rsidP="008303BF">
    <w:pPr>
      <w:pStyle w:val="CEAFooterauthorinfo"/>
      <w:ind w:left="0"/>
      <w:rPr>
        <w:b w:val="0"/>
        <w:color w:val="002957"/>
        <w:sz w:val="14"/>
        <w:szCs w:val="14"/>
        <w:lang w:val="pt-PT"/>
      </w:rPr>
    </w:pPr>
  </w:p>
  <w:p w14:paraId="278ED61B" w14:textId="77777777" w:rsidR="000D7957" w:rsidRPr="00E7145A" w:rsidRDefault="000D7957" w:rsidP="008303BF">
    <w:pPr>
      <w:pStyle w:val="CEAFooterauthorinfo"/>
      <w:ind w:left="0"/>
      <w:rPr>
        <w:rFonts w:cs="Frutiger LT Std 55 Roman"/>
        <w:b w:val="0"/>
        <w:color w:val="82C55B"/>
        <w:sz w:val="14"/>
        <w:szCs w:val="14"/>
      </w:rPr>
    </w:pPr>
    <w:r w:rsidRPr="00E7145A">
      <w:rPr>
        <w:rFonts w:cs="Frutiger LT Std 55 Roman"/>
        <w:b w:val="0"/>
        <w:color w:val="82C55B"/>
        <w:sz w:val="14"/>
        <w:szCs w:val="14"/>
      </w:rPr>
      <w:t>www.insuranceeurope.eu</w:t>
    </w:r>
  </w:p>
  <w:p w14:paraId="2DB89D6E" w14:textId="77777777" w:rsidR="00571C0B" w:rsidRPr="007D6B18" w:rsidRDefault="00571C0B">
    <w:pPr>
      <w:pStyle w:val="Pta"/>
      <w:rPr>
        <w:color w:val="002957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DE16" w14:textId="77777777" w:rsidR="00DC7480" w:rsidRDefault="00DC7480" w:rsidP="0016089A">
      <w:pPr>
        <w:spacing w:line="240" w:lineRule="auto"/>
      </w:pPr>
      <w:r>
        <w:separator/>
      </w:r>
    </w:p>
  </w:footnote>
  <w:footnote w:type="continuationSeparator" w:id="0">
    <w:p w14:paraId="3328FDCF" w14:textId="77777777" w:rsidR="00DC7480" w:rsidRDefault="00DC7480" w:rsidP="0016089A">
      <w:pPr>
        <w:spacing w:line="240" w:lineRule="auto"/>
      </w:pPr>
      <w:r>
        <w:continuationSeparator/>
      </w:r>
    </w:p>
  </w:footnote>
  <w:footnote w:type="continuationNotice" w:id="1">
    <w:p w14:paraId="2EAE1231" w14:textId="77777777" w:rsidR="008B49E4" w:rsidRDefault="008B49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783" w14:textId="77777777" w:rsidR="00571C0B" w:rsidRPr="007D6B18" w:rsidRDefault="00571C0B" w:rsidP="000846C0">
    <w:pPr>
      <w:pStyle w:val="Noparagraphstyle"/>
      <w:jc w:val="right"/>
      <w:rPr>
        <w:rFonts w:ascii="Verdana" w:hAnsi="Verdana"/>
        <w:sz w:val="18"/>
        <w:szCs w:val="18"/>
      </w:rPr>
    </w:pPr>
  </w:p>
  <w:p w14:paraId="71960902" w14:textId="77777777" w:rsidR="00571C0B" w:rsidRPr="007D6B18" w:rsidRDefault="001C366D" w:rsidP="000846C0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7D6B18">
      <w:rPr>
        <w:rFonts w:ascii="Verdana" w:hAnsi="Verdana"/>
      </w:rPr>
      <w:tab/>
    </w:r>
  </w:p>
  <w:p w14:paraId="23E48B90" w14:textId="77777777" w:rsidR="00571C0B" w:rsidRPr="007D6B18" w:rsidRDefault="001C366D" w:rsidP="005C0D74">
    <w:pPr>
      <w:pStyle w:val="Hlavika"/>
      <w:tabs>
        <w:tab w:val="clear" w:pos="4320"/>
        <w:tab w:val="clear" w:pos="8640"/>
        <w:tab w:val="center" w:pos="0"/>
        <w:tab w:val="right" w:pos="10440"/>
      </w:tabs>
      <w:jc w:val="right"/>
      <w:rPr>
        <w:b/>
        <w:color w:val="034EA2"/>
        <w:sz w:val="40"/>
        <w:szCs w:val="40"/>
      </w:rPr>
    </w:pPr>
    <w:r w:rsidRPr="007D6B18">
      <w:rPr>
        <w:b/>
        <w:noProof/>
        <w:sz w:val="40"/>
        <w:szCs w:val="40"/>
        <w:lang w:val="fr-BE" w:eastAsia="fr-BE"/>
      </w:rPr>
      <w:drawing>
        <wp:anchor distT="0" distB="0" distL="114300" distR="114300" simplePos="0" relativeHeight="251658241" behindDoc="0" locked="0" layoutInCell="1" allowOverlap="1" wp14:anchorId="42212B25" wp14:editId="0D81137F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6B18">
      <w:rPr>
        <w:b/>
        <w:color w:val="034EA2"/>
        <w:sz w:val="28"/>
        <w:szCs w:val="28"/>
      </w:rPr>
      <w:t xml:space="preserve"> </w:t>
    </w:r>
  </w:p>
  <w:p w14:paraId="11CAD447" w14:textId="6505AD71" w:rsidR="00571C0B" w:rsidRDefault="00571C0B" w:rsidP="00665E76">
    <w:pPr>
      <w:pStyle w:val="Noparagraphstyle"/>
      <w:rPr>
        <w:rFonts w:ascii="Verdana" w:hAnsi="Verdana"/>
      </w:rPr>
    </w:pPr>
  </w:p>
  <w:p w14:paraId="25DBA3C4" w14:textId="77777777" w:rsidR="007D6B18" w:rsidRPr="007D6B18" w:rsidRDefault="007D6B18" w:rsidP="00665E76">
    <w:pPr>
      <w:pStyle w:val="Noparagraphstyle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6822" w14:textId="77777777" w:rsidR="00571C0B" w:rsidRPr="00CE615B" w:rsidRDefault="001C366D" w:rsidP="00732B64">
    <w:pPr>
      <w:pStyle w:val="Noparagraphstyle"/>
      <w:tabs>
        <w:tab w:val="left" w:pos="-1800"/>
      </w:tabs>
      <w:jc w:val="right"/>
      <w:rPr>
        <w:rFonts w:ascii="Verdana" w:hAnsi="Verdana"/>
        <w:sz w:val="22"/>
        <w:szCs w:val="22"/>
      </w:rPr>
    </w:pPr>
    <w:r w:rsidRPr="00CE615B">
      <w:rPr>
        <w:rFonts w:ascii="Verdana" w:hAnsi="Verdana"/>
        <w:sz w:val="18"/>
        <w:szCs w:val="18"/>
      </w:rPr>
      <w:br/>
    </w:r>
  </w:p>
  <w:p w14:paraId="16E31AE3" w14:textId="1F3D5061" w:rsidR="00571C0B" w:rsidRPr="00CF35FD" w:rsidRDefault="002E16F6" w:rsidP="007326CF">
    <w:pPr>
      <w:pStyle w:val="Noparagraphstyle"/>
      <w:tabs>
        <w:tab w:val="left" w:pos="-1800"/>
      </w:tabs>
      <w:jc w:val="right"/>
      <w:rPr>
        <w:b/>
        <w:color w:val="002957"/>
        <w:sz w:val="36"/>
        <w:szCs w:val="36"/>
      </w:rPr>
    </w:pPr>
    <w:r w:rsidRPr="00730E61">
      <w:rPr>
        <w:rFonts w:ascii="Verdana" w:hAnsi="Verdana"/>
        <w:color w:val="002957"/>
        <w:sz w:val="36"/>
        <w:szCs w:val="36"/>
      </w:rPr>
      <w:t>Memo for</w:t>
    </w:r>
    <w:r w:rsidR="001C366D" w:rsidRPr="00CF35FD">
      <w:rPr>
        <w:b/>
        <w:noProof/>
        <w:color w:val="002957"/>
        <w:sz w:val="36"/>
        <w:szCs w:val="36"/>
        <w:lang w:val="fr-BE" w:eastAsia="fr-BE"/>
      </w:rPr>
      <w:drawing>
        <wp:anchor distT="0" distB="0" distL="114300" distR="114300" simplePos="0" relativeHeight="251658240" behindDoc="0" locked="0" layoutInCell="1" allowOverlap="1" wp14:anchorId="73A57463" wp14:editId="2D6EE75D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3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26CF">
      <w:rPr>
        <w:rFonts w:ascii="Verdana" w:hAnsi="Verdana"/>
        <w:color w:val="002957"/>
        <w:sz w:val="36"/>
        <w:szCs w:val="36"/>
      </w:rPr>
      <w:t xml:space="preserve"> action</w:t>
    </w:r>
  </w:p>
  <w:p w14:paraId="218B26CC" w14:textId="16EB24D2" w:rsidR="009C515F" w:rsidRDefault="009C515F" w:rsidP="009C515F">
    <w:pPr>
      <w:jc w:val="right"/>
      <w:rPr>
        <w:b/>
        <w:i/>
        <w:color w:val="002957"/>
        <w:sz w:val="32"/>
        <w:szCs w:val="32"/>
      </w:rPr>
    </w:pPr>
    <w:r>
      <w:rPr>
        <w:b/>
        <w:color w:val="002957"/>
        <w:sz w:val="36"/>
        <w:szCs w:val="36"/>
      </w:rPr>
      <w:t xml:space="preserve"> </w:t>
    </w:r>
  </w:p>
  <w:p w14:paraId="725C19A7" w14:textId="77777777" w:rsidR="00571C0B" w:rsidRPr="009C515F" w:rsidRDefault="00571C0B" w:rsidP="00732B64">
    <w:pPr>
      <w:pStyle w:val="CEADocumentTitle"/>
      <w:tabs>
        <w:tab w:val="clear" w:pos="10440"/>
      </w:tabs>
      <w:rPr>
        <w:b w:val="0"/>
        <w:color w:val="002957"/>
        <w:sz w:val="36"/>
        <w:szCs w:val="36"/>
      </w:rPr>
    </w:pPr>
  </w:p>
  <w:p w14:paraId="525108B0" w14:textId="77777777" w:rsidR="00571C0B" w:rsidRPr="00CE6BD9" w:rsidRDefault="00571C0B" w:rsidP="00732B64">
    <w:pPr>
      <w:pStyle w:val="BodyText-CEA"/>
      <w:jc w:val="left"/>
    </w:pPr>
    <w:bookmarkStart w:id="0" w:name="Draft1st"/>
    <w:bookmarkStart w:id="1" w:name="Header"/>
    <w:bookmarkEnd w:id="0"/>
  </w:p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1012"/>
      <w:gridCol w:w="9596"/>
    </w:tblGrid>
    <w:tr w:rsidR="00732B64" w14:paraId="5E4C34F0" w14:textId="77777777" w:rsidTr="002119CE">
      <w:trPr>
        <w:trHeight w:val="289"/>
      </w:trPr>
      <w:tc>
        <w:tcPr>
          <w:tcW w:w="1012" w:type="dxa"/>
          <w:vAlign w:val="center"/>
        </w:tcPr>
        <w:p w14:paraId="09C72CDF" w14:textId="77777777" w:rsidR="00571C0B" w:rsidRPr="00CE6BD9" w:rsidRDefault="001C366D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596" w:type="dxa"/>
          <w:vAlign w:val="center"/>
        </w:tcPr>
        <w:p w14:paraId="39110DD3" w14:textId="4287934B" w:rsidR="00571C0B" w:rsidRPr="001D1C85" w:rsidRDefault="00C2027F" w:rsidP="00E7145A">
          <w:pPr>
            <w:ind w:left="-90"/>
            <w:jc w:val="left"/>
            <w:rPr>
              <w:color w:val="002957"/>
              <w:sz w:val="17"/>
              <w:szCs w:val="17"/>
            </w:rPr>
          </w:pPr>
          <w:r w:rsidRPr="00C2027F">
            <w:rPr>
              <w:color w:val="002957"/>
              <w:sz w:val="17"/>
              <w:szCs w:val="17"/>
            </w:rPr>
            <w:t>Taxation WG</w:t>
          </w:r>
        </w:p>
      </w:tc>
    </w:tr>
    <w:tr w:rsidR="00732B64" w14:paraId="7EE50C63" w14:textId="77777777" w:rsidTr="002119CE">
      <w:trPr>
        <w:trHeight w:hRule="exact" w:val="288"/>
      </w:trPr>
      <w:tc>
        <w:tcPr>
          <w:tcW w:w="1012" w:type="dxa"/>
          <w:vAlign w:val="center"/>
        </w:tcPr>
        <w:p w14:paraId="2C97BA7F" w14:textId="77777777" w:rsidR="00571C0B" w:rsidRPr="00CE6BD9" w:rsidRDefault="001C366D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From:</w:t>
          </w:r>
        </w:p>
      </w:tc>
      <w:tc>
        <w:tcPr>
          <w:tcW w:w="9596" w:type="dxa"/>
          <w:vAlign w:val="center"/>
        </w:tcPr>
        <w:p w14:paraId="53DA75C6" w14:textId="3145029B" w:rsidR="00571C0B" w:rsidRPr="001D1C85" w:rsidRDefault="00B679C1" w:rsidP="00E7145A">
          <w:pPr>
            <w:tabs>
              <w:tab w:val="left" w:pos="1755"/>
            </w:tabs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Personal &amp; general insurance department</w:t>
          </w:r>
          <w:r w:rsidR="006C165F">
            <w:rPr>
              <w:color w:val="002957"/>
              <w:sz w:val="17"/>
              <w:szCs w:val="17"/>
            </w:rPr>
            <w:t xml:space="preserve"> </w:t>
          </w:r>
        </w:p>
      </w:tc>
    </w:tr>
    <w:tr w:rsidR="00732B64" w14:paraId="3BBEE496" w14:textId="77777777" w:rsidTr="002119CE">
      <w:trPr>
        <w:trHeight w:hRule="exact" w:val="288"/>
      </w:trPr>
      <w:tc>
        <w:tcPr>
          <w:tcW w:w="1012" w:type="dxa"/>
          <w:vAlign w:val="center"/>
        </w:tcPr>
        <w:p w14:paraId="718D9B18" w14:textId="77777777" w:rsidR="00571C0B" w:rsidRPr="00CE6BD9" w:rsidRDefault="001C366D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9596" w:type="dxa"/>
          <w:vAlign w:val="center"/>
        </w:tcPr>
        <w:p w14:paraId="6083CF91" w14:textId="0994FCFF" w:rsidR="00571C0B" w:rsidRPr="001D1C85" w:rsidRDefault="00B679C1" w:rsidP="00E7145A">
          <w:pPr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</w:t>
          </w:r>
          <w:r w:rsidR="00C91E4B">
            <w:rPr>
              <w:color w:val="002957"/>
              <w:sz w:val="17"/>
              <w:szCs w:val="17"/>
            </w:rPr>
            <w:t>5</w:t>
          </w:r>
          <w:r>
            <w:rPr>
              <w:color w:val="002957"/>
              <w:sz w:val="17"/>
              <w:szCs w:val="17"/>
            </w:rPr>
            <w:t>-09-2023</w:t>
          </w:r>
        </w:p>
      </w:tc>
    </w:tr>
    <w:tr w:rsidR="00732B64" w14:paraId="2E3BCFDA" w14:textId="77777777" w:rsidTr="002119CE">
      <w:trPr>
        <w:trHeight w:hRule="exact" w:val="288"/>
      </w:trPr>
      <w:tc>
        <w:tcPr>
          <w:tcW w:w="1012" w:type="dxa"/>
          <w:vAlign w:val="center"/>
        </w:tcPr>
        <w:p w14:paraId="25543273" w14:textId="77777777" w:rsidR="00571C0B" w:rsidRPr="00CE6BD9" w:rsidRDefault="001C366D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Reference:</w:t>
          </w:r>
        </w:p>
      </w:tc>
      <w:tc>
        <w:tcPr>
          <w:tcW w:w="9596" w:type="dxa"/>
          <w:vAlign w:val="center"/>
        </w:tcPr>
        <w:sdt>
          <w:sdtPr>
            <w:rPr>
              <w:color w:val="002957"/>
              <w:sz w:val="17"/>
              <w:szCs w:val="17"/>
            </w:rPr>
            <w:id w:val="-845242520"/>
            <w:placeholder>
              <w:docPart w:val="DefaultPlaceholder_-185401344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f2322bd-6ea8-47f2-a340-10b5092f2000' xmlns:ns4='ba225275-dfdd-4507-9cb6-b247f9a8bd33' " w:xpath="/ns0:properties[1]/documentManagement[1]/*[local-name() = 'Reference'][1]" w:storeItemID="{16BE8AC2-BC04-484A-AE5F-6753D3DE5469}"/>
            <w:text/>
          </w:sdtPr>
          <w:sdtEndPr/>
          <w:sdtContent>
            <w:p w14:paraId="2A202518" w14:textId="5342202A" w:rsidR="00571C0B" w:rsidRPr="001D1C85" w:rsidRDefault="002119CE" w:rsidP="00E7145A">
              <w:pPr>
                <w:ind w:left="-90"/>
                <w:jc w:val="left"/>
                <w:rPr>
                  <w:color w:val="002957"/>
                  <w:sz w:val="17"/>
                  <w:szCs w:val="17"/>
                </w:rPr>
              </w:pPr>
              <w:r>
                <w:rPr>
                  <w:color w:val="002957"/>
                  <w:sz w:val="17"/>
                  <w:szCs w:val="17"/>
                </w:rPr>
                <w:t>ECO-TAX-23-101</w:t>
              </w:r>
            </w:p>
          </w:sdtContent>
        </w:sdt>
      </w:tc>
    </w:tr>
    <w:tr w:rsidR="00732B64" w14:paraId="66970010" w14:textId="302C58AB" w:rsidTr="002119CE">
      <w:trPr>
        <w:trHeight w:hRule="exact" w:val="288"/>
      </w:trPr>
      <w:tc>
        <w:tcPr>
          <w:tcW w:w="1012" w:type="dxa"/>
          <w:vAlign w:val="center"/>
        </w:tcPr>
        <w:p w14:paraId="47A1B8A2" w14:textId="77777777" w:rsidR="00571C0B" w:rsidRPr="00CE6BD9" w:rsidRDefault="00571C0B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</w:p>
      </w:tc>
      <w:tc>
        <w:tcPr>
          <w:tcW w:w="9596" w:type="dxa"/>
          <w:vAlign w:val="center"/>
        </w:tcPr>
        <w:p w14:paraId="223501E9" w14:textId="77777777" w:rsidR="00571C0B" w:rsidRPr="001D1C85" w:rsidRDefault="00571C0B" w:rsidP="00E7145A">
          <w:pPr>
            <w:ind w:left="-90"/>
            <w:jc w:val="left"/>
            <w:rPr>
              <w:color w:val="002957"/>
              <w:sz w:val="17"/>
              <w:szCs w:val="17"/>
            </w:rPr>
          </w:pPr>
        </w:p>
      </w:tc>
    </w:tr>
    <w:tr w:rsidR="00732B64" w14:paraId="138A0897" w14:textId="77777777" w:rsidTr="002119CE">
      <w:trPr>
        <w:trHeight w:hRule="exact" w:val="288"/>
      </w:trPr>
      <w:tc>
        <w:tcPr>
          <w:tcW w:w="1012" w:type="dxa"/>
          <w:vAlign w:val="center"/>
        </w:tcPr>
        <w:p w14:paraId="49EA5D66" w14:textId="77777777" w:rsidR="00571C0B" w:rsidRPr="00CE6BD9" w:rsidRDefault="001C366D" w:rsidP="00E7145A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Subject:</w:t>
          </w:r>
        </w:p>
      </w:tc>
      <w:bookmarkEnd w:id="1"/>
      <w:tc>
        <w:tcPr>
          <w:tcW w:w="9596" w:type="dxa"/>
          <w:vAlign w:val="center"/>
        </w:tcPr>
        <w:p w14:paraId="3F0DE7FF" w14:textId="00972D4C" w:rsidR="00571C0B" w:rsidRPr="00CE6BD9" w:rsidRDefault="00A5591B" w:rsidP="00A5591B">
          <w:pPr>
            <w:pStyle w:val="CEASubjectLine"/>
            <w:jc w:val="left"/>
            <w:rPr>
              <w:b w:val="0"/>
              <w:color w:val="002957"/>
              <w:sz w:val="17"/>
              <w:szCs w:val="17"/>
            </w:rPr>
          </w:pPr>
          <w:r w:rsidRPr="00A5591B">
            <w:rPr>
              <w:b w:val="0"/>
              <w:color w:val="002957"/>
              <w:sz w:val="17"/>
              <w:szCs w:val="17"/>
            </w:rPr>
            <w:t>The BEFIT proposal has been published – the EC is open for feedback</w:t>
          </w:r>
        </w:p>
      </w:tc>
    </w:tr>
  </w:tbl>
  <w:p w14:paraId="3178525D" w14:textId="77777777" w:rsidR="00571C0B" w:rsidRPr="00CE6BD9" w:rsidRDefault="00571C0B" w:rsidP="00732B64">
    <w:pPr>
      <w:pStyle w:val="Noparagraphstyle"/>
      <w:rPr>
        <w:rFonts w:ascii="Verdana" w:hAnsi="Verdana" w:cs="Arial"/>
        <w:i/>
        <w:iCs/>
        <w:color w:val="034EA2"/>
      </w:rPr>
    </w:pPr>
  </w:p>
  <w:p w14:paraId="6FFC7487" w14:textId="77777777" w:rsidR="00571C0B" w:rsidRDefault="00571C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5.25pt;height:5.2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10.5pt;height:10.5pt" o:bullet="t">
        <v:imagedata r:id="rId3" o:title="CEA - Bullets Rounded Squares_BulletLevel3_forMS"/>
      </v:shape>
    </w:pict>
  </w:numPicBullet>
  <w:abstractNum w:abstractNumId="0" w15:restartNumberingAfterBreak="0">
    <w:nsid w:val="0AF50BF0"/>
    <w:multiLevelType w:val="multilevel"/>
    <w:tmpl w:val="4812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7C56F9"/>
    <w:multiLevelType w:val="hybridMultilevel"/>
    <w:tmpl w:val="C0CE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ECE"/>
    <w:multiLevelType w:val="multilevel"/>
    <w:tmpl w:val="345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5" w15:restartNumberingAfterBreak="0">
    <w:nsid w:val="65715FC6"/>
    <w:multiLevelType w:val="hybridMultilevel"/>
    <w:tmpl w:val="E7B49D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22284">
    <w:abstractNumId w:val="6"/>
  </w:num>
  <w:num w:numId="2" w16cid:durableId="499809444">
    <w:abstractNumId w:val="1"/>
  </w:num>
  <w:num w:numId="3" w16cid:durableId="1756895381">
    <w:abstractNumId w:val="4"/>
  </w:num>
  <w:num w:numId="4" w16cid:durableId="2043433900">
    <w:abstractNumId w:val="0"/>
  </w:num>
  <w:num w:numId="5" w16cid:durableId="1462461866">
    <w:abstractNumId w:val="5"/>
  </w:num>
  <w:num w:numId="6" w16cid:durableId="1722706104">
    <w:abstractNumId w:val="2"/>
  </w:num>
  <w:num w:numId="7" w16cid:durableId="13194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35"/>
    <w:rsid w:val="00012777"/>
    <w:rsid w:val="0002265D"/>
    <w:rsid w:val="000227C5"/>
    <w:rsid w:val="00023524"/>
    <w:rsid w:val="00027DD2"/>
    <w:rsid w:val="00036662"/>
    <w:rsid w:val="00043BB0"/>
    <w:rsid w:val="0004741D"/>
    <w:rsid w:val="00060835"/>
    <w:rsid w:val="00065170"/>
    <w:rsid w:val="000713D5"/>
    <w:rsid w:val="000763A3"/>
    <w:rsid w:val="000874EF"/>
    <w:rsid w:val="000908CE"/>
    <w:rsid w:val="000936B2"/>
    <w:rsid w:val="000B4D8F"/>
    <w:rsid w:val="000C58E3"/>
    <w:rsid w:val="000C7ED4"/>
    <w:rsid w:val="000D7957"/>
    <w:rsid w:val="000E6A01"/>
    <w:rsid w:val="000F5700"/>
    <w:rsid w:val="000F670A"/>
    <w:rsid w:val="00106145"/>
    <w:rsid w:val="00122D4E"/>
    <w:rsid w:val="00145B4E"/>
    <w:rsid w:val="0016038F"/>
    <w:rsid w:val="0016089A"/>
    <w:rsid w:val="001631B5"/>
    <w:rsid w:val="00174351"/>
    <w:rsid w:val="001A7050"/>
    <w:rsid w:val="001C366D"/>
    <w:rsid w:val="001D0E29"/>
    <w:rsid w:val="001E34B9"/>
    <w:rsid w:val="002119CE"/>
    <w:rsid w:val="00223B5B"/>
    <w:rsid w:val="0023029F"/>
    <w:rsid w:val="002346FE"/>
    <w:rsid w:val="0023679E"/>
    <w:rsid w:val="0025226D"/>
    <w:rsid w:val="00272B7B"/>
    <w:rsid w:val="00292DC7"/>
    <w:rsid w:val="002B5FDB"/>
    <w:rsid w:val="002E16F6"/>
    <w:rsid w:val="00304C7D"/>
    <w:rsid w:val="00312ECE"/>
    <w:rsid w:val="00331464"/>
    <w:rsid w:val="00347544"/>
    <w:rsid w:val="0034756C"/>
    <w:rsid w:val="00353004"/>
    <w:rsid w:val="00354410"/>
    <w:rsid w:val="0036394B"/>
    <w:rsid w:val="00372EF5"/>
    <w:rsid w:val="00373BC8"/>
    <w:rsid w:val="003842E7"/>
    <w:rsid w:val="003A7074"/>
    <w:rsid w:val="003A7E43"/>
    <w:rsid w:val="003C2B22"/>
    <w:rsid w:val="003C3DD3"/>
    <w:rsid w:val="003C4E5F"/>
    <w:rsid w:val="003D7387"/>
    <w:rsid w:val="003D7BCE"/>
    <w:rsid w:val="003E7922"/>
    <w:rsid w:val="004036A5"/>
    <w:rsid w:val="00411B76"/>
    <w:rsid w:val="00412E3E"/>
    <w:rsid w:val="00414A8D"/>
    <w:rsid w:val="00425286"/>
    <w:rsid w:val="004328B0"/>
    <w:rsid w:val="0043799E"/>
    <w:rsid w:val="00440FEE"/>
    <w:rsid w:val="00445D1E"/>
    <w:rsid w:val="0048568B"/>
    <w:rsid w:val="00495C1C"/>
    <w:rsid w:val="004A05D1"/>
    <w:rsid w:val="004B4113"/>
    <w:rsid w:val="004C1A27"/>
    <w:rsid w:val="004E5F58"/>
    <w:rsid w:val="004E6023"/>
    <w:rsid w:val="004F0E78"/>
    <w:rsid w:val="005047B7"/>
    <w:rsid w:val="00515B25"/>
    <w:rsid w:val="005173AE"/>
    <w:rsid w:val="005179FA"/>
    <w:rsid w:val="005217E4"/>
    <w:rsid w:val="00533492"/>
    <w:rsid w:val="00552783"/>
    <w:rsid w:val="0056147E"/>
    <w:rsid w:val="0056514D"/>
    <w:rsid w:val="00566BA8"/>
    <w:rsid w:val="00571C0B"/>
    <w:rsid w:val="005766C8"/>
    <w:rsid w:val="0059559E"/>
    <w:rsid w:val="00597E71"/>
    <w:rsid w:val="005B1678"/>
    <w:rsid w:val="005B1DCF"/>
    <w:rsid w:val="005C7563"/>
    <w:rsid w:val="005D4C0E"/>
    <w:rsid w:val="005E189A"/>
    <w:rsid w:val="005E1A6B"/>
    <w:rsid w:val="005F70A9"/>
    <w:rsid w:val="0060137D"/>
    <w:rsid w:val="00601721"/>
    <w:rsid w:val="006267A0"/>
    <w:rsid w:val="00632D28"/>
    <w:rsid w:val="00637932"/>
    <w:rsid w:val="00651522"/>
    <w:rsid w:val="00654C77"/>
    <w:rsid w:val="0068465C"/>
    <w:rsid w:val="006A60D3"/>
    <w:rsid w:val="006C165F"/>
    <w:rsid w:val="006C571D"/>
    <w:rsid w:val="006D68B8"/>
    <w:rsid w:val="006E44C6"/>
    <w:rsid w:val="006F0606"/>
    <w:rsid w:val="00710122"/>
    <w:rsid w:val="00713F1B"/>
    <w:rsid w:val="007159AC"/>
    <w:rsid w:val="00716CDE"/>
    <w:rsid w:val="0072703D"/>
    <w:rsid w:val="00730E61"/>
    <w:rsid w:val="00731E84"/>
    <w:rsid w:val="007326CF"/>
    <w:rsid w:val="00732A87"/>
    <w:rsid w:val="00733078"/>
    <w:rsid w:val="0076078F"/>
    <w:rsid w:val="007644EC"/>
    <w:rsid w:val="0077524F"/>
    <w:rsid w:val="0078337F"/>
    <w:rsid w:val="00791FD9"/>
    <w:rsid w:val="007A29C8"/>
    <w:rsid w:val="007C386B"/>
    <w:rsid w:val="007D6B18"/>
    <w:rsid w:val="00804AB0"/>
    <w:rsid w:val="00814C42"/>
    <w:rsid w:val="0082235C"/>
    <w:rsid w:val="0083203B"/>
    <w:rsid w:val="00836D1B"/>
    <w:rsid w:val="008618FD"/>
    <w:rsid w:val="0086446E"/>
    <w:rsid w:val="00867BAB"/>
    <w:rsid w:val="00885910"/>
    <w:rsid w:val="00891D84"/>
    <w:rsid w:val="00895B74"/>
    <w:rsid w:val="008B34A4"/>
    <w:rsid w:val="008B49E4"/>
    <w:rsid w:val="008C1B44"/>
    <w:rsid w:val="008C241E"/>
    <w:rsid w:val="008C48D2"/>
    <w:rsid w:val="008D30B5"/>
    <w:rsid w:val="008E2794"/>
    <w:rsid w:val="008E697F"/>
    <w:rsid w:val="009211DD"/>
    <w:rsid w:val="00921921"/>
    <w:rsid w:val="009406F7"/>
    <w:rsid w:val="00952737"/>
    <w:rsid w:val="00954F9B"/>
    <w:rsid w:val="0095640A"/>
    <w:rsid w:val="00966CFE"/>
    <w:rsid w:val="00973717"/>
    <w:rsid w:val="009771DD"/>
    <w:rsid w:val="009819B5"/>
    <w:rsid w:val="00986736"/>
    <w:rsid w:val="009870D9"/>
    <w:rsid w:val="00992227"/>
    <w:rsid w:val="009A52D3"/>
    <w:rsid w:val="009A7505"/>
    <w:rsid w:val="009A7ECD"/>
    <w:rsid w:val="009C515F"/>
    <w:rsid w:val="009F424A"/>
    <w:rsid w:val="00A36559"/>
    <w:rsid w:val="00A5434D"/>
    <w:rsid w:val="00A5591B"/>
    <w:rsid w:val="00A61D84"/>
    <w:rsid w:val="00A63735"/>
    <w:rsid w:val="00A642ED"/>
    <w:rsid w:val="00A6446C"/>
    <w:rsid w:val="00A75FD4"/>
    <w:rsid w:val="00A77B2B"/>
    <w:rsid w:val="00A82E54"/>
    <w:rsid w:val="00A87BE2"/>
    <w:rsid w:val="00A94E35"/>
    <w:rsid w:val="00A97D4F"/>
    <w:rsid w:val="00AB57A5"/>
    <w:rsid w:val="00AC48FF"/>
    <w:rsid w:val="00AC7025"/>
    <w:rsid w:val="00AE0944"/>
    <w:rsid w:val="00AE2C15"/>
    <w:rsid w:val="00AE3F48"/>
    <w:rsid w:val="00AF0C42"/>
    <w:rsid w:val="00AF7D9B"/>
    <w:rsid w:val="00B03A40"/>
    <w:rsid w:val="00B166B9"/>
    <w:rsid w:val="00B46998"/>
    <w:rsid w:val="00B60C64"/>
    <w:rsid w:val="00B61F78"/>
    <w:rsid w:val="00B679C1"/>
    <w:rsid w:val="00B70613"/>
    <w:rsid w:val="00B74C8A"/>
    <w:rsid w:val="00B868D4"/>
    <w:rsid w:val="00B94447"/>
    <w:rsid w:val="00BC1D76"/>
    <w:rsid w:val="00BC79DD"/>
    <w:rsid w:val="00BD0F59"/>
    <w:rsid w:val="00BD707B"/>
    <w:rsid w:val="00BE60B3"/>
    <w:rsid w:val="00BE697C"/>
    <w:rsid w:val="00BE6E55"/>
    <w:rsid w:val="00BF3499"/>
    <w:rsid w:val="00BF6346"/>
    <w:rsid w:val="00C0229D"/>
    <w:rsid w:val="00C02B7F"/>
    <w:rsid w:val="00C04D57"/>
    <w:rsid w:val="00C07461"/>
    <w:rsid w:val="00C074B2"/>
    <w:rsid w:val="00C14B29"/>
    <w:rsid w:val="00C16FD4"/>
    <w:rsid w:val="00C2027F"/>
    <w:rsid w:val="00C22B0F"/>
    <w:rsid w:val="00C72585"/>
    <w:rsid w:val="00C761C7"/>
    <w:rsid w:val="00C7633D"/>
    <w:rsid w:val="00C765D8"/>
    <w:rsid w:val="00C91E4B"/>
    <w:rsid w:val="00C9321B"/>
    <w:rsid w:val="00CA1902"/>
    <w:rsid w:val="00CA350E"/>
    <w:rsid w:val="00CB5D83"/>
    <w:rsid w:val="00CC7B4F"/>
    <w:rsid w:val="00CE0252"/>
    <w:rsid w:val="00CE2D41"/>
    <w:rsid w:val="00CE5F22"/>
    <w:rsid w:val="00CF61CA"/>
    <w:rsid w:val="00D00C75"/>
    <w:rsid w:val="00D0754C"/>
    <w:rsid w:val="00D13B69"/>
    <w:rsid w:val="00D40D1A"/>
    <w:rsid w:val="00DA3CBE"/>
    <w:rsid w:val="00DB3738"/>
    <w:rsid w:val="00DC674B"/>
    <w:rsid w:val="00DC7480"/>
    <w:rsid w:val="00E330A9"/>
    <w:rsid w:val="00E54DF8"/>
    <w:rsid w:val="00E55139"/>
    <w:rsid w:val="00E5632F"/>
    <w:rsid w:val="00E67E91"/>
    <w:rsid w:val="00E7145A"/>
    <w:rsid w:val="00EB5F87"/>
    <w:rsid w:val="00ED6DE9"/>
    <w:rsid w:val="00EE206B"/>
    <w:rsid w:val="00EE2EB3"/>
    <w:rsid w:val="00EE3266"/>
    <w:rsid w:val="00F00B22"/>
    <w:rsid w:val="00F05AEF"/>
    <w:rsid w:val="00F137C3"/>
    <w:rsid w:val="00F137D4"/>
    <w:rsid w:val="00F15BE9"/>
    <w:rsid w:val="00F302C0"/>
    <w:rsid w:val="00F3273F"/>
    <w:rsid w:val="00F60BB7"/>
    <w:rsid w:val="00F70E3A"/>
    <w:rsid w:val="00F71D36"/>
    <w:rsid w:val="00F76F2F"/>
    <w:rsid w:val="00F8705B"/>
    <w:rsid w:val="00FC1F52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4C4D5C0"/>
  <w15:docId w15:val="{2546BD31-8894-4E0A-8B07-F50ACDE6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089A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6089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styleId="Pta">
    <w:name w:val="footer"/>
    <w:basedOn w:val="Normlny"/>
    <w:link w:val="PtaChar"/>
    <w:semiHidden/>
    <w:rsid w:val="0016089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Noparagraphstyle">
    <w:name w:val="[No paragraph style]"/>
    <w:semiHidden/>
    <w:rsid w:val="0016089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6089A"/>
  </w:style>
  <w:style w:type="paragraph" w:customStyle="1" w:styleId="BodyText-CEA">
    <w:name w:val="Body Text - CEA"/>
    <w:basedOn w:val="Normlny"/>
    <w:semiHidden/>
    <w:rsid w:val="0016089A"/>
    <w:pPr>
      <w:autoSpaceDE w:val="0"/>
      <w:autoSpaceDN w:val="0"/>
      <w:adjustRightInd w:val="0"/>
      <w:spacing w:line="24" w:lineRule="atLeast"/>
      <w:jc w:val="right"/>
      <w:textAlignment w:val="center"/>
    </w:pPr>
    <w:rPr>
      <w:rFonts w:cs="Arial"/>
      <w:b/>
      <w:color w:val="034EA2"/>
      <w:w w:val="90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6089A"/>
    <w:rPr>
      <w:color w:val="808080"/>
    </w:rPr>
  </w:style>
  <w:style w:type="paragraph" w:customStyle="1" w:styleId="CEADraft">
    <w:name w:val="CEA Draft"/>
    <w:basedOn w:val="Normlny"/>
    <w:semiHidden/>
    <w:qFormat/>
    <w:rsid w:val="0016089A"/>
    <w:pPr>
      <w:jc w:val="right"/>
    </w:pPr>
    <w:rPr>
      <w:rFonts w:cs="Arial"/>
      <w:b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6089A"/>
    <w:pPr>
      <w:autoSpaceDE w:val="0"/>
      <w:autoSpaceDN w:val="0"/>
      <w:adjustRightInd w:val="0"/>
      <w:ind w:left="546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6089A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ubjectLine">
    <w:name w:val="CEA Subject Line"/>
    <w:basedOn w:val="Normlny"/>
    <w:semiHidden/>
    <w:qFormat/>
    <w:rsid w:val="0016089A"/>
    <w:rPr>
      <w:rFonts w:cs="Arial"/>
      <w:b/>
      <w:szCs w:val="20"/>
    </w:rPr>
  </w:style>
  <w:style w:type="paragraph" w:customStyle="1" w:styleId="CEADocumentTitle">
    <w:name w:val="CEA Document Title"/>
    <w:basedOn w:val="Hlavika"/>
    <w:semiHidden/>
    <w:qFormat/>
    <w:rsid w:val="0016089A"/>
    <w:pPr>
      <w:tabs>
        <w:tab w:val="clear" w:pos="4320"/>
        <w:tab w:val="clear" w:pos="8640"/>
        <w:tab w:val="center" w:pos="0"/>
        <w:tab w:val="right" w:pos="10440"/>
      </w:tabs>
      <w:jc w:val="right"/>
    </w:pPr>
    <w:rPr>
      <w:b/>
      <w:noProof/>
      <w:color w:val="034EA2"/>
      <w:sz w:val="40"/>
      <w:szCs w:val="40"/>
      <w:lang w:eastAsia="nl-NL"/>
    </w:rPr>
  </w:style>
  <w:style w:type="paragraph" w:customStyle="1" w:styleId="CEAStandardHeading">
    <w:name w:val="CEA Standard Heading"/>
    <w:basedOn w:val="Normlny"/>
    <w:qFormat/>
    <w:rsid w:val="0016089A"/>
    <w:pPr>
      <w:autoSpaceDE w:val="0"/>
      <w:autoSpaceDN w:val="0"/>
      <w:adjustRightInd w:val="0"/>
      <w:textAlignment w:val="center"/>
    </w:pPr>
    <w:rPr>
      <w:rFonts w:cs="Arial"/>
      <w:color w:val="002957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89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425286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425286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425286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425286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425286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425286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425286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425286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425286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425286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425286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table" w:styleId="Mriekatabuky">
    <w:name w:val="Table Grid"/>
    <w:basedOn w:val="Normlnatabuka"/>
    <w:uiPriority w:val="59"/>
    <w:rsid w:val="00F7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00B22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2703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173AE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3273F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8B49E4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867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7BAB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7BAB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7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7BAB"/>
    <w:rPr>
      <w:rFonts w:ascii="Verdana" w:eastAsia="Times New Roman" w:hAnsi="Verdana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xation-customs.ec.europa.eu/system/files/2023-09/COM_2023_529_1_EN_ACT_part1_v7.pdf" TargetMode="External"/><Relationship Id="rId18" Type="http://schemas.openxmlformats.org/officeDocument/2006/relationships/hyperlink" Target="https://eur-lex.europa.eu/procedure/EN/200263" TargetMode="External"/><Relationship Id="rId26" Type="http://schemas.openxmlformats.org/officeDocument/2006/relationships/hyperlink" Target="https://insuranceeurope.sharepoint.com/sites/extranet/SitePages/Taxation-WG-Home.aspx?file=2023%2FECO-TAX-23-086.docx&amp;fid=73830&amp;/Taxation%20W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axation-customs.ec.europa.eu/system/files/2021-05/communication_on_business_taxation_for_the_21st_century.pdf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taxation-customs.ec.europa.eu/system/files/2023-09/COM_2023_532_1_EN_ACT_part1_v6.pdf" TargetMode="External"/><Relationship Id="rId17" Type="http://schemas.openxmlformats.org/officeDocument/2006/relationships/hyperlink" Target="https://eur03.safelinks.protection.outlook.com/?url=https%3A%2F%2Fec.europa.eu%2Fcommission%2Fpresscorner%2Fdetail%2Fen%2Fip_23_4409&amp;data=05%7C01%7Cfranco%40insuranceeurope.eu%7Cfdf53aea4a9843a3d48b08dbb3aed6a5%7C2f60d7a56a7b4f90a0d47e6a0ea5ae9e%7C0%7C0%7C638301336210353802%7CUnknown%7CTWFpbGZsb3d8eyJWIjoiMC4wLjAwMDAiLCJQIjoiV2luMzIiLCJBTiI6Ik1haWwiLCJXVCI6Mn0%3D%7C3000%7C%7C%7C&amp;sdata=w2lZymdLkQ1cGwr1seu44eZd4jBKIk67lEHSQ4TTCTk%3D&amp;reserved=0" TargetMode="External"/><Relationship Id="rId25" Type="http://schemas.openxmlformats.org/officeDocument/2006/relationships/hyperlink" Target="https://insuranceeurope.sharepoint.com/sites/extranet/Taxation%20WG/2023/ECO-TAX-23-076pack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taxation-customs.ec.europa.eu%2Fsystem%2Ffiles%2F2023-09%2FCOM_2023_528_1_EN_ACT_part1_v4.pdf&amp;data=05%7C01%7Cfranco%40insuranceeurope.eu%7Cfdf53aea4a9843a3d48b08dbb3aed6a5%7C2f60d7a56a7b4f90a0d47e6a0ea5ae9e%7C0%7C0%7C638301336210353802%7CUnknown%7CTWFpbGZsb3d8eyJWIjoiMC4wLjAwMDAiLCJQIjoiV2luMzIiLCJBTiI6Ik1haWwiLCJXVCI6Mn0%3D%7C3000%7C%7C%7C&amp;sdata=GwuMg0DnnSbcMSUrqY2z9cAX5Kei3Z9wS6mAEyh6k8k%3D&amp;reserved=0" TargetMode="External"/><Relationship Id="rId20" Type="http://schemas.openxmlformats.org/officeDocument/2006/relationships/hyperlink" Target="https://ec.europa.eu/commission/presscorner/detail/en/MEMO_15_517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uranceeurope.sharepoint.com/sites/extranet/Taxation%20WG/2023/FLASH-23-101.pdf" TargetMode="External"/><Relationship Id="rId24" Type="http://schemas.openxmlformats.org/officeDocument/2006/relationships/hyperlink" Target="https://insuranceeurope.sharepoint.com/sites/extranet/Taxation%20WG/2023/ECO-TAX-23-076pack-pdf-A-ECO-TAX-23-077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c.europa.eu/commission/presscorner/detail/en/ip_23_4405" TargetMode="External"/><Relationship Id="rId23" Type="http://schemas.openxmlformats.org/officeDocument/2006/relationships/hyperlink" Target="https://www.insuranceeurope.eu/publications/2825/response-to-ec-initiative-for-a-directive-on-business-in-europe-framework-for-income-taxation/" TargetMode="External"/><Relationship Id="rId28" Type="http://schemas.openxmlformats.org/officeDocument/2006/relationships/hyperlink" Target="https://insuranceeurope.sharepoint.com/sites/extranet/Taxation%20WG/2023/ECO-TAX-23-097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EN/TXT/PDF/?uri=CELEX:52017XC0228(01)&amp;from=EN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commission/presscorner/detail/en/qanda_23_4407" TargetMode="External"/><Relationship Id="rId22" Type="http://schemas.openxmlformats.org/officeDocument/2006/relationships/hyperlink" Target="https://ec.europa.eu/info/law/better-regulation/have-your-say/initiatives/13463-Business-in-Europe-Framework-for-Income-Taxation-BEFIT-_en" TargetMode="External"/><Relationship Id="rId27" Type="http://schemas.openxmlformats.org/officeDocument/2006/relationships/hyperlink" Target="https://insuranceeurope.sharepoint.com/sites/extranet/Taxation%20WG/2023/ECO-TAX-23-094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5BF68-3ABB-4D0B-A9B2-745F30B74DE3}"/>
      </w:docPartPr>
      <w:docPartBody>
        <w:p w:rsidR="002B5C47" w:rsidRDefault="00E01FEE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C7"/>
    <w:rsid w:val="00070455"/>
    <w:rsid w:val="000C72E8"/>
    <w:rsid w:val="00157260"/>
    <w:rsid w:val="0025136D"/>
    <w:rsid w:val="002B5C47"/>
    <w:rsid w:val="002D33A2"/>
    <w:rsid w:val="002E46BB"/>
    <w:rsid w:val="002F3188"/>
    <w:rsid w:val="00341B8D"/>
    <w:rsid w:val="005F6EC7"/>
    <w:rsid w:val="006704B4"/>
    <w:rsid w:val="00810417"/>
    <w:rsid w:val="008900A2"/>
    <w:rsid w:val="008900D7"/>
    <w:rsid w:val="008C581B"/>
    <w:rsid w:val="00925F9C"/>
    <w:rsid w:val="00931FEF"/>
    <w:rsid w:val="009C2D5E"/>
    <w:rsid w:val="00A33A87"/>
    <w:rsid w:val="00A638E5"/>
    <w:rsid w:val="00AC0801"/>
    <w:rsid w:val="00B0010A"/>
    <w:rsid w:val="00B17031"/>
    <w:rsid w:val="00B4295B"/>
    <w:rsid w:val="00BD6431"/>
    <w:rsid w:val="00C70074"/>
    <w:rsid w:val="00C8618B"/>
    <w:rsid w:val="00C96AA8"/>
    <w:rsid w:val="00CE18CD"/>
    <w:rsid w:val="00D92B7A"/>
    <w:rsid w:val="00D969C7"/>
    <w:rsid w:val="00DD3CE1"/>
    <w:rsid w:val="00DF362A"/>
    <w:rsid w:val="00E01FEE"/>
    <w:rsid w:val="00ED3B42"/>
    <w:rsid w:val="00EF3787"/>
    <w:rsid w:val="00F0495E"/>
    <w:rsid w:val="00F674CA"/>
    <w:rsid w:val="00F8150F"/>
    <w:rsid w:val="00F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64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85aa765a-1fd1-4bd0-ae2e-6866ee3065fb" xsi:nil="true"/>
    <Type_x0020_of_x0020_memo xmlns="85aa765a-1fd1-4bd0-ae2e-6866ee3065fb" xsi:nil="true"/>
    <Type_x0020_of_x0020_document xmlns="85aa765a-1fd1-4bd0-ae2e-6866ee3065fb" xsi:nil="true"/>
    <Leading_x0020_document xmlns="85aa765a-1fd1-4bd0-ae2e-6866ee3065fb" xsi:nil="true"/>
    <ValidationComment xmlns="85aa765a-1fd1-4bd0-ae2e-6866ee3065fb" xsi:nil="true"/>
    <AllowComments xmlns="85aa765a-1fd1-4bd0-ae2e-6866ee3065fb">true</AllowComments>
    <Uploads xmlns="85aa765a-1fd1-4bd0-ae2e-6866ee3065fb" xsi:nil="true"/>
    <isAnnex xmlns="85aa765a-1fd1-4bd0-ae2e-6866ee3065fb" xsi:nil="true"/>
    <Validated xmlns="85aa765a-1fd1-4bd0-ae2e-6866ee3065fb">false</Validated>
    <Can_x0020_be_x0020_edited xmlns="85aa765a-1fd1-4bd0-ae2e-6866ee3065fb">false</Can_x0020_be_x0020_edited>
    <Allow_x0020_uploads xmlns="85aa765a-1fd1-4bd0-ae2e-6866ee3065fb" xsi:nil="true"/>
    <Feedback_x0020_type xmlns="85aa765a-1fd1-4bd0-ae2e-6866ee3065fb" xsi:nil="true"/>
    <Display_x0020_validated_x0020_documents_x0020_library_x0020_button xmlns="85aa765a-1fd1-4bd0-ae2e-6866ee3065fb">false</Display_x0020_validated_x0020_documents_x0020_library_x0020_button>
    <Allow_x0020_comments xmlns="85aa765a-1fd1-4bd0-ae2e-6866ee3065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E756CBAF10E21A4CAD31D20A5B3F0406" ma:contentTypeVersion="23" ma:contentTypeDescription="Published Documents Content types for Insurance Europe" ma:contentTypeScope="" ma:versionID="c9beb44c464fa936727dc9edf01df70f">
  <xsd:schema xmlns:xsd="http://www.w3.org/2001/XMLSchema" xmlns:xs="http://www.w3.org/2001/XMLSchema" xmlns:p="http://schemas.microsoft.com/office/2006/metadata/properties" xmlns:ns2="85aa765a-1fd1-4bd0-ae2e-6866ee3065fb" targetNamespace="http://schemas.microsoft.com/office/2006/metadata/properties" ma:root="true" ma:fieldsID="bbd7a6a53fe3d63330b4a3f252245b28" ns2:_="">
    <xsd:import namespace="85aa765a-1fd1-4bd0-ae2e-6866ee3065fb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765a-1fd1-4bd0-ae2e-6866ee3065fb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543F7-D990-4A6E-8CB8-19DE2D016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E8AC2-BC04-484A-AE5F-6753D3DE5469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85aa765a-1fd1-4bd0-ae2e-6866ee3065fb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51A68F-22AE-448E-AF3B-67E4905B1B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132A8-A99C-452E-AF85-240DBFDC1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a765a-1fd1-4bd0-ae2e-6866ee306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7196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Company>Insurance Europe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 publishes the BEFIT and TP proposals</dc:title>
  <dc:creator>Insurance Europe</dc:creator>
  <cp:lastModifiedBy>jozef.bachnicek</cp:lastModifiedBy>
  <cp:revision>2</cp:revision>
  <dcterms:created xsi:type="dcterms:W3CDTF">2023-10-02T06:58:00Z</dcterms:created>
  <dcterms:modified xsi:type="dcterms:W3CDTF">2023-10-02T06:58:00Z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0x010100E756CBAF10E21A4CAD31D20A5B3F0406</vt:lpwstr>
  </property>
  <property fmtid="{D5CDD505-2E9C-101B-9397-08002B2CF9AE}" pid="3" name="_dlc_DocIdItemGuid">
    <vt:lpwstr>0346ef59-a094-4daa-9a3f-3542a4e487ae</vt:lpwstr>
  </property>
</Properties>
</file>