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D3A6" w14:textId="431375DC" w:rsidR="009A41FC" w:rsidRDefault="009A41FC" w:rsidP="009A41FC">
      <w:pPr>
        <w:pStyle w:val="IEStandardHeading"/>
      </w:pPr>
      <w:r>
        <w:t>Summary</w:t>
      </w:r>
    </w:p>
    <w:p w14:paraId="396A15E6" w14:textId="7F952B7D" w:rsidR="009A41FC" w:rsidRDefault="00310E43" w:rsidP="00186A91">
      <w:pPr>
        <w:spacing w:after="200" w:line="276" w:lineRule="auto"/>
        <w:rPr>
          <w:sz w:val="17"/>
          <w:szCs w:val="17"/>
        </w:rPr>
      </w:pPr>
      <w:r>
        <w:rPr>
          <w:sz w:val="17"/>
          <w:szCs w:val="17"/>
        </w:rPr>
        <w:t xml:space="preserve">As discussed during the Prudential Working Group on </w:t>
      </w:r>
      <w:r w:rsidR="00D06234">
        <w:rPr>
          <w:sz w:val="17"/>
          <w:szCs w:val="17"/>
        </w:rPr>
        <w:t>21 November 2025, t</w:t>
      </w:r>
      <w:r w:rsidR="00211203">
        <w:rPr>
          <w:sz w:val="17"/>
          <w:szCs w:val="17"/>
        </w:rPr>
        <w:t xml:space="preserve">he secretariat is </w:t>
      </w:r>
      <w:r w:rsidR="00355872">
        <w:rPr>
          <w:sz w:val="17"/>
          <w:szCs w:val="17"/>
        </w:rPr>
        <w:t xml:space="preserve">conducting a </w:t>
      </w:r>
      <w:r w:rsidR="00694720" w:rsidRPr="00D06234">
        <w:rPr>
          <w:b/>
          <w:bCs/>
          <w:sz w:val="17"/>
          <w:szCs w:val="17"/>
        </w:rPr>
        <w:t>second-round</w:t>
      </w:r>
      <w:r w:rsidR="00791D25" w:rsidRPr="00D06234">
        <w:rPr>
          <w:b/>
          <w:bCs/>
          <w:sz w:val="17"/>
          <w:szCs w:val="17"/>
        </w:rPr>
        <w:t xml:space="preserve"> survey</w:t>
      </w:r>
      <w:r w:rsidR="00791D25">
        <w:rPr>
          <w:sz w:val="17"/>
          <w:szCs w:val="17"/>
        </w:rPr>
        <w:t xml:space="preserve"> on </w:t>
      </w:r>
      <w:r w:rsidR="00694720">
        <w:rPr>
          <w:sz w:val="17"/>
          <w:szCs w:val="17"/>
        </w:rPr>
        <w:t xml:space="preserve">how </w:t>
      </w:r>
      <w:r w:rsidR="00791D25" w:rsidRPr="00D06234">
        <w:rPr>
          <w:b/>
          <w:bCs/>
          <w:sz w:val="17"/>
          <w:szCs w:val="17"/>
        </w:rPr>
        <w:t>Member State options</w:t>
      </w:r>
      <w:r w:rsidR="00791D25">
        <w:rPr>
          <w:sz w:val="17"/>
          <w:szCs w:val="17"/>
        </w:rPr>
        <w:t xml:space="preserve"> </w:t>
      </w:r>
      <w:r w:rsidR="00694720">
        <w:rPr>
          <w:sz w:val="17"/>
          <w:szCs w:val="17"/>
        </w:rPr>
        <w:t xml:space="preserve">in the Solvency II review will be </w:t>
      </w:r>
      <w:r w:rsidR="00791D25">
        <w:rPr>
          <w:sz w:val="17"/>
          <w:szCs w:val="17"/>
        </w:rPr>
        <w:t>implement</w:t>
      </w:r>
      <w:r w:rsidR="00694720">
        <w:rPr>
          <w:sz w:val="17"/>
          <w:szCs w:val="17"/>
        </w:rPr>
        <w:t>ed in national jurisdictions</w:t>
      </w:r>
      <w:r w:rsidR="00791D25">
        <w:rPr>
          <w:sz w:val="17"/>
          <w:szCs w:val="17"/>
        </w:rPr>
        <w:t>.</w:t>
      </w:r>
    </w:p>
    <w:p w14:paraId="51279D5D" w14:textId="2B126E0D" w:rsidR="00DB6B8D" w:rsidRDefault="00DB6B8D" w:rsidP="00186A91">
      <w:pPr>
        <w:rPr>
          <w:bCs/>
          <w:sz w:val="17"/>
          <w:szCs w:val="17"/>
        </w:rPr>
      </w:pPr>
      <w:r w:rsidRPr="00CF57AA">
        <w:rPr>
          <w:bCs/>
          <w:sz w:val="17"/>
          <w:szCs w:val="17"/>
        </w:rPr>
        <w:t xml:space="preserve">Members are invited </w:t>
      </w:r>
      <w:r w:rsidRPr="002A21E3">
        <w:rPr>
          <w:b/>
          <w:sz w:val="17"/>
          <w:szCs w:val="17"/>
        </w:rPr>
        <w:t xml:space="preserve">to provide feedback on the </w:t>
      </w:r>
      <w:r>
        <w:rPr>
          <w:b/>
          <w:sz w:val="17"/>
          <w:szCs w:val="17"/>
        </w:rPr>
        <w:t>attached template (ECO-PRU-2</w:t>
      </w:r>
      <w:r w:rsidR="0068325E">
        <w:rPr>
          <w:b/>
          <w:sz w:val="17"/>
          <w:szCs w:val="17"/>
        </w:rPr>
        <w:t>6</w:t>
      </w:r>
      <w:r>
        <w:rPr>
          <w:b/>
          <w:sz w:val="17"/>
          <w:szCs w:val="17"/>
        </w:rPr>
        <w:t>-XXX)</w:t>
      </w:r>
      <w:r w:rsidRPr="00CF57AA">
        <w:rPr>
          <w:bCs/>
          <w:sz w:val="17"/>
          <w:szCs w:val="17"/>
        </w:rPr>
        <w:t xml:space="preserve"> by </w:t>
      </w:r>
      <w:r w:rsidR="0068325E">
        <w:rPr>
          <w:b/>
          <w:bCs/>
          <w:sz w:val="17"/>
          <w:szCs w:val="17"/>
        </w:rPr>
        <w:t>30 January 2026</w:t>
      </w:r>
      <w:r>
        <w:rPr>
          <w:b/>
          <w:bCs/>
          <w:sz w:val="17"/>
          <w:szCs w:val="17"/>
        </w:rPr>
        <w:t xml:space="preserve"> </w:t>
      </w:r>
      <w:r w:rsidRPr="00CF57AA">
        <w:rPr>
          <w:bCs/>
          <w:sz w:val="17"/>
          <w:szCs w:val="17"/>
        </w:rPr>
        <w:t>via the extranet validation tool</w:t>
      </w:r>
      <w:r>
        <w:rPr>
          <w:bCs/>
          <w:sz w:val="17"/>
          <w:szCs w:val="17"/>
        </w:rPr>
        <w:t>.</w:t>
      </w:r>
    </w:p>
    <w:p w14:paraId="1FF9E74C" w14:textId="77777777" w:rsidR="00311DD0" w:rsidRPr="00DB6B8D" w:rsidRDefault="00311DD0" w:rsidP="00186A91">
      <w:pPr>
        <w:rPr>
          <w:bCs/>
          <w:sz w:val="17"/>
          <w:szCs w:val="17"/>
        </w:rPr>
      </w:pPr>
    </w:p>
    <w:p w14:paraId="40B0C425" w14:textId="2729A933" w:rsidR="009A41FC" w:rsidRPr="009A41FC" w:rsidRDefault="009A41FC" w:rsidP="00186A91">
      <w:pPr>
        <w:pStyle w:val="IEStandardHeading"/>
      </w:pPr>
      <w:r>
        <w:t xml:space="preserve">Background: preliminary </w:t>
      </w:r>
      <w:r w:rsidRPr="00DA59DB">
        <w:t>feedback</w:t>
      </w:r>
    </w:p>
    <w:p w14:paraId="6030E150" w14:textId="7DE0E64E" w:rsidR="009A41FC" w:rsidRDefault="009A41FC" w:rsidP="00186A91">
      <w:pPr>
        <w:spacing w:after="200" w:line="276" w:lineRule="auto"/>
        <w:rPr>
          <w:sz w:val="17"/>
          <w:szCs w:val="17"/>
        </w:rPr>
      </w:pPr>
      <w:r w:rsidRPr="00D34C70">
        <w:rPr>
          <w:sz w:val="17"/>
          <w:szCs w:val="17"/>
        </w:rPr>
        <w:t xml:space="preserve">Preliminary feedback from members indicates that </w:t>
      </w:r>
      <w:r w:rsidRPr="00666A0D">
        <w:rPr>
          <w:b/>
          <w:bCs/>
          <w:sz w:val="17"/>
          <w:szCs w:val="17"/>
        </w:rPr>
        <w:t>transposition work is still at an early stage</w:t>
      </w:r>
      <w:r w:rsidRPr="00D34C70">
        <w:rPr>
          <w:sz w:val="17"/>
          <w:szCs w:val="17"/>
        </w:rPr>
        <w:t xml:space="preserve"> across most Member States. In several countries, </w:t>
      </w:r>
      <w:r w:rsidRPr="00666A0D">
        <w:rPr>
          <w:b/>
          <w:bCs/>
          <w:sz w:val="17"/>
          <w:szCs w:val="17"/>
        </w:rPr>
        <w:t>no draft texts or formal discussions</w:t>
      </w:r>
      <w:r w:rsidRPr="00D34C70">
        <w:rPr>
          <w:sz w:val="17"/>
          <w:szCs w:val="17"/>
        </w:rPr>
        <w:t xml:space="preserve"> have yet begun, while others (such as </w:t>
      </w:r>
      <w:r w:rsidRPr="00666A0D">
        <w:rPr>
          <w:b/>
          <w:bCs/>
          <w:sz w:val="17"/>
          <w:szCs w:val="17"/>
        </w:rPr>
        <w:t>Denmark and Sweden</w:t>
      </w:r>
      <w:r w:rsidRPr="00D34C70">
        <w:rPr>
          <w:sz w:val="17"/>
          <w:szCs w:val="17"/>
        </w:rPr>
        <w:t xml:space="preserve">) have started initial consultations. Most authorities appear inclined toward a </w:t>
      </w:r>
      <w:r w:rsidRPr="006F05A5">
        <w:rPr>
          <w:b/>
          <w:bCs/>
          <w:sz w:val="17"/>
          <w:szCs w:val="17"/>
        </w:rPr>
        <w:t>close to-directive or minimum implementation</w:t>
      </w:r>
      <w:r w:rsidRPr="00D34C70">
        <w:rPr>
          <w:sz w:val="17"/>
          <w:szCs w:val="17"/>
        </w:rPr>
        <w:t xml:space="preserve">, and decisions on the use of options remain </w:t>
      </w:r>
      <w:r w:rsidRPr="006F05A5">
        <w:rPr>
          <w:b/>
          <w:bCs/>
          <w:sz w:val="17"/>
          <w:szCs w:val="17"/>
        </w:rPr>
        <w:t>to be confirmed</w:t>
      </w:r>
      <w:r w:rsidRPr="00D34C70">
        <w:rPr>
          <w:sz w:val="17"/>
          <w:szCs w:val="17"/>
        </w:rPr>
        <w:t xml:space="preserve">. A few trends are emerging, notably </w:t>
      </w:r>
      <w:r w:rsidRPr="00AB75BF">
        <w:rPr>
          <w:b/>
          <w:bCs/>
          <w:sz w:val="17"/>
          <w:szCs w:val="17"/>
        </w:rPr>
        <w:t>limited expected changes to the Volatility Adjustment</w:t>
      </w:r>
      <w:r w:rsidRPr="00D34C70">
        <w:rPr>
          <w:sz w:val="17"/>
          <w:szCs w:val="17"/>
        </w:rPr>
        <w:t xml:space="preserve">, and a </w:t>
      </w:r>
      <w:r w:rsidRPr="00AB75BF">
        <w:rPr>
          <w:b/>
          <w:bCs/>
          <w:sz w:val="17"/>
          <w:szCs w:val="17"/>
        </w:rPr>
        <w:t>divergence of views</w:t>
      </w:r>
      <w:r w:rsidRPr="00D34C70">
        <w:rPr>
          <w:sz w:val="17"/>
          <w:szCs w:val="17"/>
        </w:rPr>
        <w:t xml:space="preserve"> on the new </w:t>
      </w:r>
      <w:r w:rsidRPr="00AB75BF">
        <w:rPr>
          <w:b/>
          <w:bCs/>
          <w:sz w:val="17"/>
          <w:szCs w:val="17"/>
        </w:rPr>
        <w:t>audit</w:t>
      </w:r>
      <w:r w:rsidRPr="00D34C70">
        <w:rPr>
          <w:sz w:val="17"/>
          <w:szCs w:val="17"/>
        </w:rPr>
        <w:t xml:space="preserve"> and </w:t>
      </w:r>
      <w:r w:rsidRPr="00AB75BF">
        <w:rPr>
          <w:b/>
          <w:bCs/>
          <w:sz w:val="17"/>
          <w:szCs w:val="17"/>
        </w:rPr>
        <w:t>stress test disclosure</w:t>
      </w:r>
      <w:r w:rsidRPr="00D34C70">
        <w:rPr>
          <w:sz w:val="17"/>
          <w:szCs w:val="17"/>
        </w:rPr>
        <w:t xml:space="preserve"> requirements.</w:t>
      </w:r>
    </w:p>
    <w:p w14:paraId="6ECC5B38" w14:textId="257468C5" w:rsidR="009A41FC" w:rsidRDefault="00DB6B8D" w:rsidP="00186A91">
      <w:pPr>
        <w:rPr>
          <w:bCs/>
          <w:sz w:val="17"/>
          <w:szCs w:val="17"/>
        </w:rPr>
      </w:pPr>
      <w:r>
        <w:rPr>
          <w:bCs/>
          <w:sz w:val="17"/>
          <w:szCs w:val="17"/>
        </w:rPr>
        <w:t xml:space="preserve">For completeness, the </w:t>
      </w:r>
      <w:r w:rsidR="002219F2">
        <w:rPr>
          <w:bCs/>
          <w:sz w:val="17"/>
          <w:szCs w:val="17"/>
        </w:rPr>
        <w:t>S</w:t>
      </w:r>
      <w:r>
        <w:rPr>
          <w:bCs/>
          <w:sz w:val="17"/>
          <w:szCs w:val="17"/>
        </w:rPr>
        <w:t xml:space="preserve">ecretariat </w:t>
      </w:r>
      <w:r w:rsidR="00120DF4">
        <w:rPr>
          <w:bCs/>
          <w:sz w:val="17"/>
          <w:szCs w:val="17"/>
        </w:rPr>
        <w:t>ha</w:t>
      </w:r>
      <w:r w:rsidR="002219F2">
        <w:rPr>
          <w:bCs/>
          <w:sz w:val="17"/>
          <w:szCs w:val="17"/>
        </w:rPr>
        <w:t>s</w:t>
      </w:r>
      <w:r w:rsidR="00120DF4">
        <w:rPr>
          <w:bCs/>
          <w:sz w:val="17"/>
          <w:szCs w:val="17"/>
        </w:rPr>
        <w:t xml:space="preserve"> </w:t>
      </w:r>
      <w:r>
        <w:rPr>
          <w:bCs/>
          <w:sz w:val="17"/>
          <w:szCs w:val="17"/>
        </w:rPr>
        <w:t>included below the feedback received during the first round of the survey</w:t>
      </w:r>
      <w:r w:rsidR="00E71474">
        <w:rPr>
          <w:bCs/>
          <w:sz w:val="17"/>
          <w:szCs w:val="17"/>
        </w:rPr>
        <w:t>: members are invited to update these responses if relevant</w:t>
      </w:r>
      <w:r>
        <w:rPr>
          <w:bCs/>
          <w:sz w:val="17"/>
          <w:szCs w:val="17"/>
        </w:rPr>
        <w:t>.</w:t>
      </w:r>
    </w:p>
    <w:p w14:paraId="078AA45A" w14:textId="77777777" w:rsidR="005B2699" w:rsidRDefault="005B2699" w:rsidP="00186A91">
      <w:pPr>
        <w:rPr>
          <w:color w:val="002060"/>
        </w:rPr>
      </w:pPr>
    </w:p>
    <w:p w14:paraId="0BD569FF" w14:textId="4401122E" w:rsidR="007B032E" w:rsidRPr="005B40C4" w:rsidRDefault="0069088C" w:rsidP="00186A91">
      <w:r w:rsidRPr="00CE6273">
        <w:rPr>
          <w:color w:val="002060"/>
        </w:rPr>
        <w:t>Practical</w:t>
      </w:r>
      <w:r>
        <w:t xml:space="preserve"> </w:t>
      </w:r>
    </w:p>
    <w:p w14:paraId="67D490EE" w14:textId="66D77CC5" w:rsidR="003D52FC" w:rsidRPr="0073709D" w:rsidRDefault="003D52FC" w:rsidP="00186A91">
      <w:pPr>
        <w:rPr>
          <w:sz w:val="17"/>
          <w:szCs w:val="17"/>
        </w:rPr>
      </w:pPr>
      <w:r w:rsidRPr="0073709D">
        <w:rPr>
          <w:sz w:val="17"/>
          <w:szCs w:val="17"/>
        </w:rPr>
        <w:t xml:space="preserve">For each article listed </w:t>
      </w:r>
      <w:r w:rsidR="009979DC">
        <w:rPr>
          <w:sz w:val="17"/>
          <w:szCs w:val="17"/>
        </w:rPr>
        <w:t>in the template</w:t>
      </w:r>
      <w:r w:rsidRPr="0073709D">
        <w:rPr>
          <w:sz w:val="17"/>
          <w:szCs w:val="17"/>
        </w:rPr>
        <w:t>, please indicate:</w:t>
      </w:r>
    </w:p>
    <w:p w14:paraId="60C8DA38" w14:textId="77777777" w:rsidR="003D52FC" w:rsidRPr="0073709D" w:rsidRDefault="003D52FC" w:rsidP="00186A91">
      <w:pPr>
        <w:numPr>
          <w:ilvl w:val="0"/>
          <w:numId w:val="7"/>
        </w:numPr>
        <w:rPr>
          <w:sz w:val="17"/>
          <w:szCs w:val="17"/>
        </w:rPr>
      </w:pPr>
      <w:r w:rsidRPr="0073709D">
        <w:rPr>
          <w:sz w:val="17"/>
          <w:szCs w:val="17"/>
        </w:rPr>
        <w:t>Whether your NCA/Member State intends to apply the option.</w:t>
      </w:r>
    </w:p>
    <w:p w14:paraId="1468756E" w14:textId="77777777" w:rsidR="003D52FC" w:rsidRPr="0073709D" w:rsidRDefault="003D52FC" w:rsidP="00186A91">
      <w:pPr>
        <w:numPr>
          <w:ilvl w:val="0"/>
          <w:numId w:val="7"/>
        </w:numPr>
        <w:rPr>
          <w:sz w:val="17"/>
          <w:szCs w:val="17"/>
        </w:rPr>
      </w:pPr>
      <w:r w:rsidRPr="0073709D">
        <w:rPr>
          <w:sz w:val="17"/>
          <w:szCs w:val="17"/>
        </w:rPr>
        <w:t>If yes, how it will be applied (scope, methodology, etc.).</w:t>
      </w:r>
    </w:p>
    <w:p w14:paraId="066DC3B2" w14:textId="77777777" w:rsidR="003D52FC" w:rsidRPr="0073709D" w:rsidRDefault="003D52FC" w:rsidP="00186A91">
      <w:pPr>
        <w:numPr>
          <w:ilvl w:val="0"/>
          <w:numId w:val="7"/>
        </w:numPr>
        <w:rPr>
          <w:sz w:val="17"/>
          <w:szCs w:val="17"/>
        </w:rPr>
      </w:pPr>
      <w:r w:rsidRPr="0073709D">
        <w:rPr>
          <w:sz w:val="17"/>
          <w:szCs w:val="17"/>
        </w:rPr>
        <w:t>Any concerns, impacts, or observations.</w:t>
      </w:r>
    </w:p>
    <w:p w14:paraId="07E9C99A" w14:textId="33FA4C80" w:rsidR="003974F1" w:rsidRPr="003D52FC" w:rsidRDefault="003D52FC" w:rsidP="00186A91">
      <w:pPr>
        <w:numPr>
          <w:ilvl w:val="0"/>
          <w:numId w:val="7"/>
        </w:numPr>
        <w:rPr>
          <w:sz w:val="17"/>
          <w:szCs w:val="17"/>
        </w:rPr>
      </w:pPr>
      <w:r w:rsidRPr="0073709D">
        <w:rPr>
          <w:sz w:val="17"/>
          <w:szCs w:val="17"/>
        </w:rPr>
        <w:t>Any other relevant information (e.g. timing, supervisory communication).</w:t>
      </w:r>
    </w:p>
    <w:p w14:paraId="17350384" w14:textId="77777777" w:rsidR="003D52FC" w:rsidRDefault="003D52FC" w:rsidP="00186A91">
      <w:pPr>
        <w:rPr>
          <w:bCs/>
          <w:sz w:val="17"/>
          <w:szCs w:val="17"/>
        </w:rPr>
      </w:pPr>
    </w:p>
    <w:p w14:paraId="2EE7D38A" w14:textId="77777777" w:rsidR="003974F1" w:rsidRDefault="003974F1" w:rsidP="00186A91">
      <w:pPr>
        <w:rPr>
          <w:bCs/>
          <w:sz w:val="17"/>
          <w:szCs w:val="17"/>
        </w:rPr>
      </w:pPr>
      <w:r w:rsidRPr="00CE6273">
        <w:rPr>
          <w:b/>
          <w:sz w:val="17"/>
          <w:szCs w:val="17"/>
        </w:rPr>
        <w:t>In terms of next steps</w:t>
      </w:r>
      <w:r>
        <w:rPr>
          <w:bCs/>
          <w:sz w:val="17"/>
          <w:szCs w:val="17"/>
        </w:rPr>
        <w:t xml:space="preserve">, the secretariat will compile the feedback and report back the results to members. </w:t>
      </w:r>
    </w:p>
    <w:p w14:paraId="610B2A7C" w14:textId="7FF3BC85" w:rsidR="008E38C2" w:rsidRDefault="005B40C4" w:rsidP="00186A91">
      <w:pPr>
        <w:spacing w:after="200" w:line="276" w:lineRule="auto"/>
        <w:rPr>
          <w:sz w:val="17"/>
          <w:szCs w:val="17"/>
        </w:rPr>
      </w:pPr>
      <w:r>
        <w:rPr>
          <w:bCs/>
          <w:sz w:val="17"/>
          <w:szCs w:val="17"/>
        </w:rPr>
        <w:t xml:space="preserve">Should members have any questions or concern, please contact </w:t>
      </w:r>
      <w:hyperlink r:id="rId11" w:history="1">
        <w:r w:rsidR="00934D20" w:rsidRPr="00934D20">
          <w:rPr>
            <w:rStyle w:val="Hypertextovprepojenie"/>
            <w:bCs/>
            <w:sz w:val="17"/>
            <w:szCs w:val="17"/>
          </w:rPr>
          <w:t>prudential@insuranceeurope.eu</w:t>
        </w:r>
      </w:hyperlink>
      <w:r w:rsidR="009A3A22">
        <w:rPr>
          <w:bCs/>
          <w:sz w:val="17"/>
          <w:szCs w:val="17"/>
        </w:rPr>
        <w:t xml:space="preserve"> .</w:t>
      </w:r>
      <w:r w:rsidR="008E38C2">
        <w:rPr>
          <w:sz w:val="17"/>
          <w:szCs w:val="17"/>
        </w:rPr>
        <w:br w:type="page"/>
      </w:r>
    </w:p>
    <w:p w14:paraId="443DB8EA" w14:textId="5844B7CF" w:rsidR="00B112C9" w:rsidRPr="00CE6273" w:rsidRDefault="00B112C9" w:rsidP="00B112C9">
      <w:pPr>
        <w:rPr>
          <w:color w:val="002060"/>
        </w:rPr>
      </w:pPr>
      <w:r w:rsidRPr="00CE6273">
        <w:rPr>
          <w:color w:val="002060"/>
        </w:rPr>
        <w:lastRenderedPageBreak/>
        <w:t xml:space="preserve">Survey </w:t>
      </w:r>
      <w:r w:rsidR="0068325E">
        <w:rPr>
          <w:color w:val="002060"/>
        </w:rPr>
        <w:t>Question</w:t>
      </w:r>
      <w:r w:rsidRPr="00CE6273">
        <w:rPr>
          <w:color w:val="002060"/>
        </w:rPr>
        <w:t>s</w:t>
      </w:r>
    </w:p>
    <w:p w14:paraId="0EEBC88B" w14:textId="77777777" w:rsidR="00B112C9" w:rsidRDefault="00B112C9" w:rsidP="00B112C9">
      <w:pPr>
        <w:spacing w:line="240" w:lineRule="auto"/>
        <w:jc w:val="left"/>
        <w:rPr>
          <w:b/>
          <w:sz w:val="17"/>
          <w:szCs w:val="17"/>
        </w:rPr>
      </w:pPr>
    </w:p>
    <w:p w14:paraId="067946AE" w14:textId="77777777" w:rsidR="00B112C9" w:rsidRDefault="00B112C9" w:rsidP="00B112C9">
      <w:pPr>
        <w:spacing w:line="240" w:lineRule="auto"/>
        <w:jc w:val="left"/>
        <w:rPr>
          <w:b/>
          <w:bCs/>
          <w:sz w:val="17"/>
          <w:szCs w:val="17"/>
        </w:rPr>
      </w:pPr>
      <w:r>
        <w:rPr>
          <w:b/>
          <w:sz w:val="17"/>
          <w:szCs w:val="17"/>
        </w:rPr>
        <w:t>Excluded undertakings subject to SII provisions</w:t>
      </w:r>
      <w:r w:rsidRPr="3A5D8354">
        <w:rPr>
          <w:b/>
          <w:bCs/>
          <w:sz w:val="17"/>
          <w:szCs w:val="17"/>
        </w:rPr>
        <w:t xml:space="preserve"> </w:t>
      </w:r>
    </w:p>
    <w:p w14:paraId="75992DF1" w14:textId="77777777" w:rsidR="00B112C9" w:rsidRDefault="00B112C9" w:rsidP="00B112C9">
      <w:pPr>
        <w:spacing w:line="240" w:lineRule="auto"/>
        <w:jc w:val="left"/>
        <w:rPr>
          <w:b/>
          <w:sz w:val="17"/>
          <w:szCs w:val="17"/>
        </w:rPr>
      </w:pPr>
    </w:p>
    <w:p w14:paraId="10846140" w14:textId="77777777" w:rsidR="00B112C9" w:rsidRDefault="00B112C9" w:rsidP="00B112C9">
      <w:pPr>
        <w:spacing w:line="240" w:lineRule="auto"/>
        <w:jc w:val="left"/>
        <w:rPr>
          <w:b/>
          <w:sz w:val="17"/>
          <w:szCs w:val="17"/>
        </w:rPr>
      </w:pPr>
      <w:r>
        <w:rPr>
          <w:noProof/>
        </w:rPr>
        <mc:AlternateContent>
          <mc:Choice Requires="wps">
            <w:drawing>
              <wp:inline distT="45720" distB="45720" distL="114300" distR="114300" wp14:anchorId="57422E5B" wp14:editId="20F941BC">
                <wp:extent cx="5792400" cy="1753200"/>
                <wp:effectExtent l="0" t="0" r="18415" b="19050"/>
                <wp:docPr id="1314746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400" cy="1753200"/>
                        </a:xfrm>
                        <a:prstGeom prst="rect">
                          <a:avLst/>
                        </a:prstGeom>
                        <a:solidFill>
                          <a:srgbClr val="E4ECCA"/>
                        </a:solidFill>
                        <a:ln w="9525">
                          <a:solidFill>
                            <a:srgbClr val="000000"/>
                          </a:solidFill>
                          <a:miter lim="800000"/>
                          <a:headEnd/>
                          <a:tailEnd/>
                        </a:ln>
                      </wps:spPr>
                      <wps:txbx>
                        <w:txbxContent>
                          <w:p w14:paraId="4A923E58" w14:textId="77777777" w:rsidR="00B112C9" w:rsidRDefault="00B112C9" w:rsidP="00B112C9">
                            <w:pPr>
                              <w:spacing w:line="276" w:lineRule="auto"/>
                              <w:jc w:val="left"/>
                              <w:rPr>
                                <w:sz w:val="17"/>
                                <w:szCs w:val="17"/>
                              </w:rPr>
                            </w:pPr>
                            <w:r w:rsidRPr="009036DA">
                              <w:rPr>
                                <w:b/>
                                <w:bCs/>
                                <w:sz w:val="17"/>
                                <w:szCs w:val="17"/>
                              </w:rPr>
                              <w:t xml:space="preserve">Recital </w:t>
                            </w:r>
                            <w:r>
                              <w:rPr>
                                <w:b/>
                                <w:bCs/>
                                <w:sz w:val="17"/>
                                <w:szCs w:val="17"/>
                              </w:rPr>
                              <w:t>10</w:t>
                            </w:r>
                            <w:r>
                              <w:rPr>
                                <w:sz w:val="17"/>
                                <w:szCs w:val="17"/>
                              </w:rPr>
                              <w:t>:</w:t>
                            </w:r>
                          </w:p>
                          <w:p w14:paraId="676EA443" w14:textId="77777777" w:rsidR="00B112C9" w:rsidRPr="00D44D5B" w:rsidRDefault="00B112C9" w:rsidP="00B112C9">
                            <w:pPr>
                              <w:spacing w:line="276" w:lineRule="auto"/>
                              <w:jc w:val="left"/>
                              <w:rPr>
                                <w:i/>
                                <w:iCs/>
                                <w:sz w:val="17"/>
                                <w:szCs w:val="17"/>
                              </w:rPr>
                            </w:pPr>
                            <w:r w:rsidRPr="007420E6">
                              <w:rPr>
                                <w:i/>
                                <w:iCs/>
                                <w:sz w:val="17"/>
                                <w:szCs w:val="17"/>
                              </w:rPr>
                              <w:t>‘</w:t>
                            </w:r>
                            <w:r w:rsidRPr="006B3041">
                              <w:rPr>
                                <w:i/>
                                <w:iCs/>
                                <w:sz w:val="17"/>
                                <w:szCs w:val="17"/>
                              </w:rPr>
                              <w:t xml:space="preserve">Directive 2009/138/EC excludes certain undertakings from its scope, due to their size. Following the first years of application of Directive 2009/138/EC and with a view to ensuring that it does not unduly apply to undertakings of reduced size, it is appropriate to review those exclusions by increasing those thresholds, so that small undertakings that fulfil certain conditions are not subject to that Directive. As is already the case with insurance undertakings excluded from the scope of Directive 2009/138/EC, undertakings benefitting from such increased thresholds should have the option to keep or seek authorisation under that Directive in order to benefit from the single license provided therein and </w:t>
                            </w:r>
                            <w:r w:rsidRPr="00B37AD6">
                              <w:rPr>
                                <w:b/>
                                <w:bCs/>
                                <w:i/>
                                <w:iCs/>
                                <w:sz w:val="17"/>
                                <w:szCs w:val="17"/>
                              </w:rPr>
                              <w:t>it should be possible for Member States to subject insurance undertakings that are excluded from the scope of Directive 2009/138/EC to provisions that are similar or identical to the ones provided for in that Directive’</w:t>
                            </w:r>
                          </w:p>
                        </w:txbxContent>
                      </wps:txbx>
                      <wps:bodyPr rot="0" vert="horz" wrap="square" lIns="91440" tIns="45720" rIns="91440" bIns="45720" anchor="t" anchorCtr="0">
                        <a:noAutofit/>
                      </wps:bodyPr>
                    </wps:wsp>
                  </a:graphicData>
                </a:graphic>
              </wp:inline>
            </w:drawing>
          </mc:Choice>
          <mc:Fallback>
            <w:pict>
              <v:shapetype w14:anchorId="57422E5B" id="_x0000_t202" coordsize="21600,21600" o:spt="202" path="m,l,21600r21600,l21600,xe">
                <v:stroke joinstyle="miter"/>
                <v:path gradientshapeok="t" o:connecttype="rect"/>
              </v:shapetype>
              <v:shape id="Text Box 2" o:spid="_x0000_s1026" type="#_x0000_t202" style="width:456.1pt;height:1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" fillcolor="#e4ecca">
                <v:textbox>
                  <w:txbxContent>
                    <w:p w14:paraId="4A923E58" w14:textId="77777777" w:rsidR="00B112C9" w:rsidRDefault="00B112C9" w:rsidP="00B112C9">
                      <w:pPr>
                        <w:spacing w:line="276" w:lineRule="auto"/>
                        <w:jc w:val="left"/>
                        <w:rPr>
                          <w:sz w:val="17"/>
                          <w:szCs w:val="17"/>
                        </w:rPr>
                      </w:pPr>
                      <w:r w:rsidRPr="009036DA">
                        <w:rPr>
                          <w:b/>
                          <w:bCs/>
                          <w:sz w:val="17"/>
                          <w:szCs w:val="17"/>
                        </w:rPr>
                        <w:t xml:space="preserve">Recital </w:t>
                      </w:r>
                      <w:r>
                        <w:rPr>
                          <w:b/>
                          <w:bCs/>
                          <w:sz w:val="17"/>
                          <w:szCs w:val="17"/>
                        </w:rPr>
                        <w:t>10</w:t>
                      </w:r>
                      <w:r>
                        <w:rPr>
                          <w:sz w:val="17"/>
                          <w:szCs w:val="17"/>
                        </w:rPr>
                        <w:t>:</w:t>
                      </w:r>
                    </w:p>
                    <w:p w14:paraId="676EA443" w14:textId="77777777" w:rsidR="00B112C9" w:rsidRPr="00D44D5B" w:rsidRDefault="00B112C9" w:rsidP="00B112C9">
                      <w:pPr>
                        <w:spacing w:line="276" w:lineRule="auto"/>
                        <w:jc w:val="left"/>
                        <w:rPr>
                          <w:i/>
                          <w:iCs/>
                          <w:sz w:val="17"/>
                          <w:szCs w:val="17"/>
                        </w:rPr>
                      </w:pPr>
                      <w:r w:rsidRPr="007420E6">
                        <w:rPr>
                          <w:i/>
                          <w:iCs/>
                          <w:sz w:val="17"/>
                          <w:szCs w:val="17"/>
                        </w:rPr>
                        <w:t>‘</w:t>
                      </w:r>
                      <w:r w:rsidRPr="006B3041">
                        <w:rPr>
                          <w:i/>
                          <w:iCs/>
                          <w:sz w:val="17"/>
                          <w:szCs w:val="17"/>
                        </w:rPr>
                        <w:t xml:space="preserve">Directive 2009/138/EC excludes certain undertakings from its scope, due to their size. Following the first years of application of Directive 2009/138/EC and with a view to ensuring that it does not unduly apply to undertakings of reduced size, it is appropriate to review those exclusions by increasing those thresholds, so that small undertakings that fulfil certain conditions are not subject to that Directive. As is already the case with insurance undertakings excluded from the scope of Directive 2009/138/EC, undertakings benefitting from such increased thresholds should have the option to keep or seek authorisation under that Directive in order to benefit from the single license provided therein and </w:t>
                      </w:r>
                      <w:r w:rsidRPr="00B37AD6">
                        <w:rPr>
                          <w:b/>
                          <w:bCs/>
                          <w:i/>
                          <w:iCs/>
                          <w:sz w:val="17"/>
                          <w:szCs w:val="17"/>
                        </w:rPr>
                        <w:t>it should be possible for Member States to subject insurance undertakings that are excluded from the scope of Directive 2009/138/EC to provisions that are similar or identical to the ones provided for in that Directive’</w:t>
                      </w:r>
                    </w:p>
                  </w:txbxContent>
                </v:textbox>
                <w10:anchorlock/>
              </v:shape>
            </w:pict>
          </mc:Fallback>
        </mc:AlternateContent>
      </w:r>
    </w:p>
    <w:p w14:paraId="4193A0E7" w14:textId="77777777" w:rsidR="00B112C9" w:rsidRDefault="00B112C9" w:rsidP="00B112C9">
      <w:pPr>
        <w:spacing w:line="240" w:lineRule="auto"/>
        <w:jc w:val="left"/>
        <w:rPr>
          <w:b/>
          <w:sz w:val="17"/>
          <w:szCs w:val="17"/>
        </w:rPr>
      </w:pPr>
    </w:p>
    <w:p w14:paraId="579090CA" w14:textId="77777777" w:rsidR="00B112C9" w:rsidRDefault="00B112C9" w:rsidP="00B112C9">
      <w:pPr>
        <w:pStyle w:val="IEBullet-Level1"/>
        <w:numPr>
          <w:ilvl w:val="0"/>
          <w:numId w:val="0"/>
        </w:numPr>
        <w:rPr>
          <w:rFonts w:ascii="Times New Roman" w:hAnsi="Times New Roman"/>
          <w:szCs w:val="24"/>
        </w:rPr>
      </w:pPr>
      <w:r>
        <w:t>Will your jurisdiction apply this option?</w:t>
      </w:r>
    </w:p>
    <w:p w14:paraId="0C862D2B" w14:textId="4CF0F28A" w:rsidR="00624939" w:rsidRPr="00624939" w:rsidRDefault="00B112C9" w:rsidP="00624939">
      <w:pPr>
        <w:pStyle w:val="IEBullet-Level1"/>
      </w:pPr>
      <w:r w:rsidRPr="00624939">
        <w:rPr>
          <w:b/>
          <w:bCs/>
        </w:rPr>
        <w:t>No</w:t>
      </w:r>
      <w:r w:rsidR="00624939">
        <w:t xml:space="preserve"> </w:t>
      </w:r>
    </w:p>
    <w:p w14:paraId="0D2A99C2" w14:textId="77777777" w:rsidR="009B0956" w:rsidRDefault="009B0956" w:rsidP="009B0956">
      <w:pPr>
        <w:pStyle w:val="IEBullet-Level1"/>
        <w:numPr>
          <w:ilvl w:val="0"/>
          <w:numId w:val="0"/>
        </w:numPr>
        <w:ind w:left="720"/>
      </w:pPr>
    </w:p>
    <w:p w14:paraId="4A8F765D" w14:textId="77777777" w:rsidR="00B112C9" w:rsidRDefault="00B112C9" w:rsidP="00B112C9">
      <w:pPr>
        <w:pStyle w:val="IEBullet-Level1"/>
        <w:numPr>
          <w:ilvl w:val="0"/>
          <w:numId w:val="0"/>
        </w:numPr>
      </w:pPr>
      <w:r>
        <w:t>If yes, how?</w:t>
      </w:r>
    </w:p>
    <w:p w14:paraId="7CBC9F87" w14:textId="77777777" w:rsidR="00B112C9" w:rsidRDefault="00B112C9" w:rsidP="00B112C9">
      <w:pPr>
        <w:pStyle w:val="IEBullet-Level1"/>
      </w:pPr>
    </w:p>
    <w:p w14:paraId="74FD780A" w14:textId="77777777" w:rsidR="009B0956" w:rsidRDefault="009B0956" w:rsidP="00B112C9">
      <w:pPr>
        <w:pStyle w:val="IEBullet-Level1"/>
        <w:numPr>
          <w:ilvl w:val="0"/>
          <w:numId w:val="0"/>
        </w:numPr>
      </w:pPr>
    </w:p>
    <w:p w14:paraId="6B4104C3" w14:textId="6D51C4F2" w:rsidR="00B112C9" w:rsidRDefault="00B112C9" w:rsidP="00B112C9">
      <w:pPr>
        <w:pStyle w:val="IEBullet-Level1"/>
        <w:numPr>
          <w:ilvl w:val="0"/>
          <w:numId w:val="0"/>
        </w:numPr>
      </w:pPr>
      <w:r>
        <w:t>Expected impact or concerns:</w:t>
      </w:r>
    </w:p>
    <w:p w14:paraId="38609D75" w14:textId="77777777" w:rsidR="00B112C9" w:rsidRDefault="00B112C9" w:rsidP="00B112C9">
      <w:pPr>
        <w:pStyle w:val="IEBullet-Level1"/>
      </w:pPr>
    </w:p>
    <w:p w14:paraId="18A7585B" w14:textId="77777777" w:rsidR="009B0956" w:rsidRDefault="009B0956" w:rsidP="00B112C9">
      <w:pPr>
        <w:pStyle w:val="IEBullet-Level1"/>
        <w:numPr>
          <w:ilvl w:val="0"/>
          <w:numId w:val="0"/>
        </w:numPr>
        <w:ind w:left="360" w:hanging="360"/>
      </w:pPr>
    </w:p>
    <w:p w14:paraId="6D856BA4" w14:textId="3AF308DA" w:rsidR="00B112C9" w:rsidRPr="009E4646" w:rsidRDefault="00B112C9" w:rsidP="00B112C9">
      <w:pPr>
        <w:pStyle w:val="IEBullet-Level1"/>
        <w:numPr>
          <w:ilvl w:val="0"/>
          <w:numId w:val="0"/>
        </w:numPr>
        <w:ind w:left="360" w:hanging="360"/>
      </w:pPr>
      <w:r w:rsidRPr="009E4646">
        <w:t>Other comments:</w:t>
      </w:r>
    </w:p>
    <w:p w14:paraId="235EB332" w14:textId="77777777" w:rsidR="00B112C9" w:rsidRPr="00481FDB" w:rsidRDefault="00B112C9" w:rsidP="00C6773B">
      <w:pPr>
        <w:pStyle w:val="IEBullet-Level1"/>
      </w:pPr>
    </w:p>
    <w:p w14:paraId="667C621B" w14:textId="77777777" w:rsidR="009E4646" w:rsidRDefault="009E4646" w:rsidP="00B112C9">
      <w:pPr>
        <w:spacing w:line="240" w:lineRule="auto"/>
        <w:jc w:val="left"/>
        <w:rPr>
          <w:b/>
          <w:sz w:val="17"/>
          <w:szCs w:val="17"/>
        </w:rPr>
      </w:pPr>
    </w:p>
    <w:p w14:paraId="63017B38" w14:textId="77777777" w:rsidR="005329AA" w:rsidRDefault="005329AA" w:rsidP="00B112C9">
      <w:pPr>
        <w:spacing w:line="240" w:lineRule="auto"/>
        <w:jc w:val="left"/>
        <w:rPr>
          <w:b/>
          <w:sz w:val="17"/>
          <w:szCs w:val="17"/>
        </w:rPr>
      </w:pPr>
    </w:p>
    <w:p w14:paraId="030D5D22" w14:textId="7E2EC326" w:rsidR="00B112C9" w:rsidRDefault="00B112C9" w:rsidP="00B112C9">
      <w:pPr>
        <w:spacing w:line="240" w:lineRule="auto"/>
        <w:jc w:val="left"/>
        <w:rPr>
          <w:sz w:val="17"/>
          <w:szCs w:val="17"/>
        </w:rPr>
      </w:pPr>
      <w:r w:rsidRPr="008B01DA">
        <w:rPr>
          <w:b/>
          <w:noProof/>
          <w:sz w:val="17"/>
          <w:szCs w:val="17"/>
        </w:rPr>
        <mc:AlternateContent>
          <mc:Choice Requires="wps">
            <w:drawing>
              <wp:anchor distT="45720" distB="45720" distL="114300" distR="114300" simplePos="0" relativeHeight="251658240" behindDoc="0" locked="0" layoutInCell="1" allowOverlap="1" wp14:anchorId="155B999F" wp14:editId="762137CF">
                <wp:simplePos x="0" y="0"/>
                <wp:positionH relativeFrom="page">
                  <wp:align>center</wp:align>
                </wp:positionH>
                <wp:positionV relativeFrom="paragraph">
                  <wp:posOffset>283422</wp:posOffset>
                </wp:positionV>
                <wp:extent cx="5791200" cy="29464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946400"/>
                        </a:xfrm>
                        <a:prstGeom prst="rect">
                          <a:avLst/>
                        </a:prstGeom>
                        <a:solidFill>
                          <a:srgbClr val="E4ECCA"/>
                        </a:solidFill>
                        <a:ln w="9525">
                          <a:solidFill>
                            <a:srgbClr val="000000"/>
                          </a:solidFill>
                          <a:miter lim="800000"/>
                          <a:headEnd/>
                          <a:tailEnd/>
                        </a:ln>
                      </wps:spPr>
                      <wps:txbx>
                        <w:txbxContent>
                          <w:p w14:paraId="1AA08691" w14:textId="77777777" w:rsidR="00B112C9" w:rsidRDefault="00B112C9" w:rsidP="00B112C9">
                            <w:pPr>
                              <w:spacing w:line="276" w:lineRule="auto"/>
                              <w:jc w:val="left"/>
                              <w:rPr>
                                <w:sz w:val="17"/>
                                <w:szCs w:val="17"/>
                              </w:rPr>
                            </w:pPr>
                            <w:r w:rsidRPr="009036DA">
                              <w:rPr>
                                <w:b/>
                                <w:bCs/>
                                <w:sz w:val="17"/>
                                <w:szCs w:val="17"/>
                              </w:rPr>
                              <w:t>Recital 45</w:t>
                            </w:r>
                            <w:r>
                              <w:rPr>
                                <w:sz w:val="17"/>
                                <w:szCs w:val="17"/>
                              </w:rPr>
                              <w:t>:</w:t>
                            </w:r>
                          </w:p>
                          <w:p w14:paraId="1B57358E" w14:textId="77777777" w:rsidR="00B112C9" w:rsidRPr="00D44D5B" w:rsidRDefault="00B112C9" w:rsidP="00B112C9">
                            <w:pPr>
                              <w:spacing w:line="276" w:lineRule="auto"/>
                              <w:jc w:val="left"/>
                              <w:rPr>
                                <w:i/>
                                <w:iCs/>
                                <w:sz w:val="17"/>
                                <w:szCs w:val="17"/>
                              </w:rPr>
                            </w:pPr>
                            <w:r w:rsidRPr="007420E6">
                              <w:rPr>
                                <w:i/>
                                <w:iCs/>
                                <w:sz w:val="17"/>
                                <w:szCs w:val="17"/>
                              </w:rPr>
                              <w:t>‘</w:t>
                            </w:r>
                            <w:r w:rsidRPr="009036DA">
                              <w:rPr>
                                <w:i/>
                                <w:iCs/>
                                <w:sz w:val="17"/>
                                <w:szCs w:val="17"/>
                              </w:rPr>
                              <w:t xml:space="preserve">Directive 2009/138/EC provides for a </w:t>
                            </w:r>
                            <w:r w:rsidRPr="009036DA">
                              <w:rPr>
                                <w:b/>
                                <w:bCs/>
                                <w:i/>
                                <w:iCs/>
                                <w:sz w:val="17"/>
                                <w:szCs w:val="17"/>
                              </w:rPr>
                              <w:t>volatility adjustment</w:t>
                            </w:r>
                            <w:r w:rsidRPr="009036DA">
                              <w:rPr>
                                <w:i/>
                                <w:iCs/>
                                <w:sz w:val="17"/>
                                <w:szCs w:val="17"/>
                              </w:rPr>
                              <w:t xml:space="preserve">, which seeks to mitigate the effect of exaggerations of bond spreads and is based on reference portfolios for the relevant currencies of insurance and reinsurance undertakings and, in the case of the euro, on reference portfolios for national insurance markets. The use of a uniform volatility adjustment for entire currencies or countries can lead to benefits in excess of a mitigation of exaggerated bond spreads, in particular where the sensitivity of relevant assets of those insurance and reinsurance undertakings to changes in credit spreads is lower than the sensitivity of the relevant best estimate to changes in interest rates. In order to avoid such excessive benefits from the volatility adjustment, the volatility adjustment should be subject to supervisory approval and its calculation should take into account undertaking-specific characteristics related to the spread sensitivity of assets and the interest rate sensitivity of the best estimate of technical provisions. Moreover, minimum conditions for the use of the volatility adjustment should be introduced as an additional safeguard. </w:t>
                            </w:r>
                            <w:r w:rsidRPr="004D1B82">
                              <w:rPr>
                                <w:b/>
                                <w:bCs/>
                                <w:i/>
                                <w:iCs/>
                                <w:sz w:val="17"/>
                                <w:szCs w:val="17"/>
                              </w:rPr>
                              <w:t>Member States</w:t>
                            </w:r>
                            <w:r w:rsidRPr="009036DA">
                              <w:rPr>
                                <w:i/>
                                <w:iCs/>
                                <w:sz w:val="17"/>
                                <w:szCs w:val="17"/>
                              </w:rPr>
                              <w:t xml:space="preserve">, some of which already subject the use of the volatility adjustment to a supervisory approval process, </w:t>
                            </w:r>
                            <w:r w:rsidRPr="004D1B82">
                              <w:rPr>
                                <w:b/>
                                <w:bCs/>
                                <w:i/>
                                <w:iCs/>
                                <w:sz w:val="17"/>
                                <w:szCs w:val="17"/>
                              </w:rPr>
                              <w:t>should have the option to extend the conditions for approval to include an assessment against the underlying assumptions of the volatility adjustment</w:t>
                            </w:r>
                            <w:r w:rsidRPr="009036DA">
                              <w:rPr>
                                <w:i/>
                                <w:iCs/>
                                <w:sz w:val="17"/>
                                <w:szCs w:val="17"/>
                              </w:rPr>
                              <w:t>. In light of the additional safeguards, insurance and reinsurance undertakings should be allowed to add up to an increased proportion of 85 % of the risk-corrected spread derived from the representative portfolios to the basic risk-free interest rate term structure.</w:t>
                            </w:r>
                            <w:r>
                              <w:rPr>
                                <w:i/>
                                <w:iCs/>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B999F" id="_x0000_s1027" type="#_x0000_t202" style="position:absolute;margin-left:0;margin-top:22.3pt;width:456pt;height:232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" fillcolor="#e4ecca">
                <v:textbox>
                  <w:txbxContent>
                    <w:p w14:paraId="1AA08691" w14:textId="77777777" w:rsidR="00B112C9" w:rsidRDefault="00B112C9" w:rsidP="00B112C9">
                      <w:pPr>
                        <w:spacing w:line="276" w:lineRule="auto"/>
                        <w:jc w:val="left"/>
                        <w:rPr>
                          <w:sz w:val="17"/>
                          <w:szCs w:val="17"/>
                        </w:rPr>
                      </w:pPr>
                      <w:r w:rsidRPr="009036DA">
                        <w:rPr>
                          <w:b/>
                          <w:bCs/>
                          <w:sz w:val="17"/>
                          <w:szCs w:val="17"/>
                        </w:rPr>
                        <w:t>Recital 45</w:t>
                      </w:r>
                      <w:r>
                        <w:rPr>
                          <w:sz w:val="17"/>
                          <w:szCs w:val="17"/>
                        </w:rPr>
                        <w:t>:</w:t>
                      </w:r>
                    </w:p>
                    <w:p w14:paraId="1B57358E" w14:textId="77777777" w:rsidR="00B112C9" w:rsidRPr="00D44D5B" w:rsidRDefault="00B112C9" w:rsidP="00B112C9">
                      <w:pPr>
                        <w:spacing w:line="276" w:lineRule="auto"/>
                        <w:jc w:val="left"/>
                        <w:rPr>
                          <w:i/>
                          <w:iCs/>
                          <w:sz w:val="17"/>
                          <w:szCs w:val="17"/>
                        </w:rPr>
                      </w:pPr>
                      <w:r w:rsidRPr="007420E6">
                        <w:rPr>
                          <w:i/>
                          <w:iCs/>
                          <w:sz w:val="17"/>
                          <w:szCs w:val="17"/>
                        </w:rPr>
                        <w:t>‘</w:t>
                      </w:r>
                      <w:r w:rsidRPr="009036DA">
                        <w:rPr>
                          <w:i/>
                          <w:iCs/>
                          <w:sz w:val="17"/>
                          <w:szCs w:val="17"/>
                        </w:rPr>
                        <w:t xml:space="preserve">Directive 2009/138/EC provides for a </w:t>
                      </w:r>
                      <w:r w:rsidRPr="009036DA">
                        <w:rPr>
                          <w:b/>
                          <w:bCs/>
                          <w:i/>
                          <w:iCs/>
                          <w:sz w:val="17"/>
                          <w:szCs w:val="17"/>
                        </w:rPr>
                        <w:t>volatility adjustment</w:t>
                      </w:r>
                      <w:r w:rsidRPr="009036DA">
                        <w:rPr>
                          <w:i/>
                          <w:iCs/>
                          <w:sz w:val="17"/>
                          <w:szCs w:val="17"/>
                        </w:rPr>
                        <w:t xml:space="preserve">, which seeks to mitigate the effect of exaggerations of bond spreads and is based on reference portfolios for the relevant currencies of insurance and reinsurance undertakings and, in the case of the euro, on reference portfolios for national insurance markets. The use of a uniform volatility adjustment for entire currencies or countries can lead to benefits in excess of a mitigation of exaggerated bond spreads, in particular where the sensitivity of relevant assets of those insurance and reinsurance undertakings to changes in credit spreads is lower than the sensitivity of the relevant best estimate to changes in interest rates. In order to avoid such excessive benefits from the volatility adjustment, the volatility adjustment should be subject to supervisory approval and its calculation should take into account undertaking-specific characteristics related to the spread sensitivity of assets and the interest rate sensitivity of the best estimate of technical provisions. Moreover, minimum conditions for the use of the volatility adjustment should be introduced as an additional safeguard. </w:t>
                      </w:r>
                      <w:r w:rsidRPr="004D1B82">
                        <w:rPr>
                          <w:b/>
                          <w:bCs/>
                          <w:i/>
                          <w:iCs/>
                          <w:sz w:val="17"/>
                          <w:szCs w:val="17"/>
                        </w:rPr>
                        <w:t>Member States</w:t>
                      </w:r>
                      <w:r w:rsidRPr="009036DA">
                        <w:rPr>
                          <w:i/>
                          <w:iCs/>
                          <w:sz w:val="17"/>
                          <w:szCs w:val="17"/>
                        </w:rPr>
                        <w:t xml:space="preserve">, some of which already subject the use of the volatility adjustment to a supervisory approval process, </w:t>
                      </w:r>
                      <w:r w:rsidRPr="004D1B82">
                        <w:rPr>
                          <w:b/>
                          <w:bCs/>
                          <w:i/>
                          <w:iCs/>
                          <w:sz w:val="17"/>
                          <w:szCs w:val="17"/>
                        </w:rPr>
                        <w:t>should have the option to extend the conditions for approval to include an assessment against the underlying assumptions of the volatility adjustment</w:t>
                      </w:r>
                      <w:r w:rsidRPr="009036DA">
                        <w:rPr>
                          <w:i/>
                          <w:iCs/>
                          <w:sz w:val="17"/>
                          <w:szCs w:val="17"/>
                        </w:rPr>
                        <w:t>. In light of the additional safeguards, insurance and reinsurance undertakings should be allowed to add up to an increased proportion of 85 % of the risk-corrected spread derived from the representative portfolios to the basic risk-free interest rate term structure.</w:t>
                      </w:r>
                      <w:r>
                        <w:rPr>
                          <w:i/>
                          <w:iCs/>
                          <w:sz w:val="17"/>
                          <w:szCs w:val="17"/>
                        </w:rPr>
                        <w:t>’</w:t>
                      </w:r>
                    </w:p>
                  </w:txbxContent>
                </v:textbox>
                <w10:wrap type="square" anchorx="page"/>
              </v:shape>
            </w:pict>
          </mc:Fallback>
        </mc:AlternateContent>
      </w:r>
      <w:r w:rsidRPr="008B01DA">
        <w:rPr>
          <w:b/>
          <w:sz w:val="17"/>
          <w:szCs w:val="17"/>
        </w:rPr>
        <w:t>Volatility Adjustmen</w:t>
      </w:r>
      <w:r w:rsidRPr="00CE6273">
        <w:rPr>
          <w:b/>
          <w:bCs/>
          <w:sz w:val="17"/>
          <w:szCs w:val="17"/>
        </w:rPr>
        <w:t>t</w:t>
      </w:r>
    </w:p>
    <w:p w14:paraId="32BA9E45" w14:textId="77777777" w:rsidR="00B112C9" w:rsidRDefault="00B112C9" w:rsidP="00B112C9">
      <w:pPr>
        <w:spacing w:line="240" w:lineRule="auto"/>
        <w:jc w:val="left"/>
        <w:rPr>
          <w:sz w:val="17"/>
          <w:szCs w:val="17"/>
        </w:rPr>
      </w:pPr>
    </w:p>
    <w:p w14:paraId="3C568A65" w14:textId="77777777" w:rsidR="00B112C9" w:rsidRDefault="00B112C9" w:rsidP="00B112C9">
      <w:pPr>
        <w:pStyle w:val="IEBullet-Level1"/>
        <w:numPr>
          <w:ilvl w:val="0"/>
          <w:numId w:val="0"/>
        </w:numPr>
        <w:rPr>
          <w:rFonts w:ascii="Times New Roman" w:hAnsi="Times New Roman"/>
          <w:szCs w:val="24"/>
        </w:rPr>
      </w:pPr>
      <w:r>
        <w:t>Will your jurisdiction apply this option?</w:t>
      </w:r>
    </w:p>
    <w:p w14:paraId="6FCD82F8" w14:textId="43CCF48F" w:rsidR="00624939" w:rsidRPr="00624939" w:rsidRDefault="00B112C9" w:rsidP="00624939">
      <w:pPr>
        <w:pStyle w:val="IEBullet-Level1"/>
        <w:rPr>
          <w:b/>
          <w:bCs/>
        </w:rPr>
      </w:pPr>
      <w:r w:rsidRPr="00624939">
        <w:rPr>
          <w:b/>
          <w:bCs/>
        </w:rPr>
        <w:t>No</w:t>
      </w:r>
    </w:p>
    <w:p w14:paraId="5C09764E" w14:textId="77777777" w:rsidR="00CD2298" w:rsidRPr="00CD2298" w:rsidRDefault="00CD2298" w:rsidP="009E4646">
      <w:pPr>
        <w:pStyle w:val="IEBullet-Level1"/>
        <w:numPr>
          <w:ilvl w:val="0"/>
          <w:numId w:val="0"/>
        </w:numPr>
      </w:pPr>
    </w:p>
    <w:p w14:paraId="6530A800" w14:textId="77777777" w:rsidR="00B112C9" w:rsidRDefault="00B112C9" w:rsidP="00B112C9">
      <w:pPr>
        <w:pStyle w:val="IEBullet-Level1"/>
        <w:numPr>
          <w:ilvl w:val="0"/>
          <w:numId w:val="0"/>
        </w:numPr>
      </w:pPr>
      <w:r>
        <w:t>If yes, how?</w:t>
      </w:r>
    </w:p>
    <w:p w14:paraId="16A9F938" w14:textId="77777777" w:rsidR="00B112C9" w:rsidRDefault="00B112C9" w:rsidP="00B112C9">
      <w:pPr>
        <w:pStyle w:val="IEBullet-Level1"/>
      </w:pPr>
    </w:p>
    <w:p w14:paraId="6F95A41D" w14:textId="77777777" w:rsidR="009B0956" w:rsidRDefault="009B0956" w:rsidP="00B112C9">
      <w:pPr>
        <w:pStyle w:val="IEBullet-Level1"/>
        <w:numPr>
          <w:ilvl w:val="0"/>
          <w:numId w:val="0"/>
        </w:numPr>
      </w:pPr>
    </w:p>
    <w:p w14:paraId="11CA9E6E" w14:textId="66F567A2" w:rsidR="00B112C9" w:rsidRDefault="00B112C9" w:rsidP="00B112C9">
      <w:pPr>
        <w:pStyle w:val="IEBullet-Level1"/>
        <w:numPr>
          <w:ilvl w:val="0"/>
          <w:numId w:val="0"/>
        </w:numPr>
      </w:pPr>
      <w:r>
        <w:t>Expected impact or concerns:</w:t>
      </w:r>
    </w:p>
    <w:p w14:paraId="252CA792" w14:textId="77777777" w:rsidR="00B112C9" w:rsidRDefault="00B112C9" w:rsidP="00B112C9">
      <w:pPr>
        <w:pStyle w:val="IEBullet-Level1"/>
      </w:pPr>
    </w:p>
    <w:p w14:paraId="53A12DF5" w14:textId="77777777" w:rsidR="00CD2298" w:rsidRDefault="00CD2298" w:rsidP="00B112C9">
      <w:pPr>
        <w:pStyle w:val="IEBullet-Level1"/>
        <w:numPr>
          <w:ilvl w:val="0"/>
          <w:numId w:val="0"/>
        </w:numPr>
        <w:ind w:left="360" w:hanging="360"/>
      </w:pPr>
    </w:p>
    <w:p w14:paraId="3D255C10" w14:textId="5526FC12" w:rsidR="00B112C9" w:rsidRPr="009E4646" w:rsidRDefault="00B112C9" w:rsidP="00B112C9">
      <w:pPr>
        <w:pStyle w:val="IEBullet-Level1"/>
        <w:numPr>
          <w:ilvl w:val="0"/>
          <w:numId w:val="0"/>
        </w:numPr>
        <w:ind w:left="360" w:hanging="360"/>
      </w:pPr>
      <w:r w:rsidRPr="009E4646">
        <w:t>Other comments:</w:t>
      </w:r>
    </w:p>
    <w:p w14:paraId="0F364C3F" w14:textId="77777777" w:rsidR="00B112C9" w:rsidRDefault="00B112C9" w:rsidP="00C6773B">
      <w:pPr>
        <w:pStyle w:val="IEBullet-Level1"/>
        <w:rPr>
          <w:szCs w:val="17"/>
        </w:rPr>
      </w:pPr>
    </w:p>
    <w:p w14:paraId="48D9AB8F" w14:textId="77777777" w:rsidR="009E4646" w:rsidRDefault="009E4646" w:rsidP="00B112C9">
      <w:pPr>
        <w:spacing w:after="200" w:line="276" w:lineRule="auto"/>
        <w:jc w:val="left"/>
        <w:rPr>
          <w:b/>
          <w:sz w:val="17"/>
          <w:szCs w:val="17"/>
        </w:rPr>
      </w:pPr>
    </w:p>
    <w:p w14:paraId="3117BB58" w14:textId="30550626" w:rsidR="00B112C9" w:rsidRPr="00C87D4F" w:rsidRDefault="00B112C9" w:rsidP="00B112C9">
      <w:pPr>
        <w:spacing w:after="200" w:line="276" w:lineRule="auto"/>
        <w:jc w:val="left"/>
        <w:rPr>
          <w:b/>
          <w:sz w:val="17"/>
          <w:szCs w:val="17"/>
        </w:rPr>
      </w:pPr>
      <w:r w:rsidRPr="00C87D4F">
        <w:rPr>
          <w:b/>
          <w:noProof/>
          <w:sz w:val="17"/>
          <w:szCs w:val="17"/>
        </w:rPr>
        <mc:AlternateContent>
          <mc:Choice Requires="wps">
            <w:drawing>
              <wp:anchor distT="45720" distB="45720" distL="114300" distR="114300" simplePos="0" relativeHeight="251658241" behindDoc="0" locked="0" layoutInCell="1" allowOverlap="1" wp14:anchorId="7366F23D" wp14:editId="4F67F9AF">
                <wp:simplePos x="0" y="0"/>
                <wp:positionH relativeFrom="margin">
                  <wp:align>left</wp:align>
                </wp:positionH>
                <wp:positionV relativeFrom="paragraph">
                  <wp:posOffset>237490</wp:posOffset>
                </wp:positionV>
                <wp:extent cx="5909310" cy="2065655"/>
                <wp:effectExtent l="0" t="0" r="15240" b="10795"/>
                <wp:wrapSquare wrapText="bothSides"/>
                <wp:docPr id="729991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065866"/>
                        </a:xfrm>
                        <a:prstGeom prst="rect">
                          <a:avLst/>
                        </a:prstGeom>
                        <a:solidFill>
                          <a:srgbClr val="E4ECCA"/>
                        </a:solidFill>
                        <a:ln w="9525">
                          <a:solidFill>
                            <a:srgbClr val="000000"/>
                          </a:solidFill>
                          <a:miter lim="800000"/>
                          <a:headEnd/>
                          <a:tailEnd/>
                        </a:ln>
                      </wps:spPr>
                      <wps:txbx>
                        <w:txbxContent>
                          <w:p w14:paraId="7BAE49FF" w14:textId="77777777" w:rsidR="00B112C9" w:rsidRDefault="00B112C9" w:rsidP="00B112C9">
                            <w:pPr>
                              <w:spacing w:line="240" w:lineRule="auto"/>
                              <w:jc w:val="left"/>
                              <w:rPr>
                                <w:sz w:val="17"/>
                                <w:szCs w:val="17"/>
                              </w:rPr>
                            </w:pPr>
                            <w:r w:rsidRPr="00451111">
                              <w:rPr>
                                <w:b/>
                                <w:bCs/>
                                <w:sz w:val="17"/>
                                <w:szCs w:val="17"/>
                              </w:rPr>
                              <w:t>Article 51a</w:t>
                            </w:r>
                            <w:r>
                              <w:rPr>
                                <w:sz w:val="17"/>
                                <w:szCs w:val="17"/>
                              </w:rPr>
                              <w:t xml:space="preserve">: </w:t>
                            </w:r>
                          </w:p>
                          <w:p w14:paraId="6859AB6D" w14:textId="77777777" w:rsidR="00B112C9" w:rsidRPr="007420E6" w:rsidRDefault="00B112C9" w:rsidP="00B112C9">
                            <w:pPr>
                              <w:spacing w:after="200" w:line="276" w:lineRule="auto"/>
                              <w:jc w:val="left"/>
                              <w:rPr>
                                <w:i/>
                                <w:iCs/>
                                <w:sz w:val="17"/>
                                <w:szCs w:val="17"/>
                              </w:rPr>
                            </w:pPr>
                            <w:r w:rsidRPr="007420E6">
                              <w:rPr>
                                <w:i/>
                                <w:iCs/>
                                <w:sz w:val="17"/>
                                <w:szCs w:val="17"/>
                              </w:rPr>
                              <w:t xml:space="preserve">‘1. For insurance and reinsurance undertakings other than small and non-complex undertakings and captive insurance undertakings and captive reinsurance undertakings, the balance sheet disclosed as part of the solvency and financial condition report in accordance with Article 51(1) or the balance sheet disclosed as part of the single solvency and financial condition report in accordance with Article 256(2), point (b), shall be subject to an audit. </w:t>
                            </w:r>
                          </w:p>
                          <w:p w14:paraId="53127519" w14:textId="77777777" w:rsidR="00B112C9" w:rsidRPr="00877616" w:rsidRDefault="00B112C9" w:rsidP="00B112C9">
                            <w:pPr>
                              <w:spacing w:after="200" w:line="276" w:lineRule="auto"/>
                              <w:jc w:val="left"/>
                              <w:rPr>
                                <w:b/>
                                <w:i/>
                                <w:sz w:val="17"/>
                                <w:szCs w:val="17"/>
                              </w:rPr>
                            </w:pPr>
                            <w:r w:rsidRPr="007420E6">
                              <w:rPr>
                                <w:i/>
                                <w:iCs/>
                                <w:sz w:val="17"/>
                                <w:szCs w:val="17"/>
                              </w:rPr>
                              <w:t xml:space="preserve">2. By way of derogation from Article 29c, </w:t>
                            </w:r>
                            <w:r w:rsidRPr="007420E6">
                              <w:rPr>
                                <w:b/>
                                <w:bCs/>
                                <w:i/>
                                <w:iCs/>
                                <w:sz w:val="17"/>
                                <w:szCs w:val="17"/>
                              </w:rPr>
                              <w:t xml:space="preserve">Member States may extend the requirement laid down in paragraph 1 </w:t>
                            </w:r>
                            <w:r w:rsidRPr="007420E6">
                              <w:rPr>
                                <w:i/>
                                <w:iCs/>
                                <w:sz w:val="17"/>
                                <w:szCs w:val="17"/>
                              </w:rPr>
                              <w:t xml:space="preserve">of this Article </w:t>
                            </w:r>
                            <w:r w:rsidRPr="00877616">
                              <w:rPr>
                                <w:b/>
                                <w:i/>
                                <w:sz w:val="17"/>
                                <w:szCs w:val="17"/>
                              </w:rPr>
                              <w:t xml:space="preserve">to undertakings classified as small and non-complex undertakings, captive insurance undertakings and captive reinsurance undertakings. </w:t>
                            </w:r>
                          </w:p>
                          <w:p w14:paraId="06232DA2" w14:textId="77777777" w:rsidR="00B112C9" w:rsidRPr="007420E6" w:rsidRDefault="00B112C9" w:rsidP="00B112C9">
                            <w:pPr>
                              <w:spacing w:after="200" w:line="276" w:lineRule="auto"/>
                              <w:jc w:val="left"/>
                              <w:rPr>
                                <w:i/>
                                <w:iCs/>
                                <w:sz w:val="17"/>
                                <w:szCs w:val="17"/>
                              </w:rPr>
                            </w:pPr>
                            <w:r w:rsidRPr="007420E6">
                              <w:rPr>
                                <w:i/>
                                <w:iCs/>
                                <w:sz w:val="17"/>
                                <w:szCs w:val="17"/>
                              </w:rPr>
                              <w:t xml:space="preserve">3. </w:t>
                            </w:r>
                            <w:r w:rsidRPr="007420E6">
                              <w:rPr>
                                <w:b/>
                                <w:bCs/>
                                <w:i/>
                                <w:iCs/>
                                <w:sz w:val="17"/>
                                <w:szCs w:val="17"/>
                              </w:rPr>
                              <w:t>Member States may extend the scope of the audit requirement referred to in paragraph 1</w:t>
                            </w:r>
                            <w:r w:rsidRPr="007420E6">
                              <w:rPr>
                                <w:i/>
                                <w:iCs/>
                                <w:sz w:val="17"/>
                                <w:szCs w:val="17"/>
                              </w:rPr>
                              <w:t xml:space="preserve"> to other elements of the solvency and financial condition report.</w:t>
                            </w:r>
                            <w:r>
                              <w:rPr>
                                <w:i/>
                                <w:iCs/>
                                <w:sz w:val="17"/>
                                <w:szCs w:val="17"/>
                              </w:rPr>
                              <w:t>’</w:t>
                            </w:r>
                          </w:p>
                          <w:p w14:paraId="0E9A4266" w14:textId="77777777" w:rsidR="00B112C9" w:rsidRDefault="00B112C9" w:rsidP="00B11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6F23D" id="_x0000_s1028" type="#_x0000_t202" style="position:absolute;margin-left:0;margin-top:18.7pt;width:465.3pt;height:162.6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" fillcolor="#e4ecca">
                <v:textbox>
                  <w:txbxContent>
                    <w:p w14:paraId="7BAE49FF" w14:textId="77777777" w:rsidR="00B112C9" w:rsidRDefault="00B112C9" w:rsidP="00B112C9">
                      <w:pPr>
                        <w:spacing w:line="240" w:lineRule="auto"/>
                        <w:jc w:val="left"/>
                        <w:rPr>
                          <w:sz w:val="17"/>
                          <w:szCs w:val="17"/>
                        </w:rPr>
                      </w:pPr>
                      <w:r w:rsidRPr="00451111">
                        <w:rPr>
                          <w:b/>
                          <w:bCs/>
                          <w:sz w:val="17"/>
                          <w:szCs w:val="17"/>
                        </w:rPr>
                        <w:t>Article 51a</w:t>
                      </w:r>
                      <w:r>
                        <w:rPr>
                          <w:sz w:val="17"/>
                          <w:szCs w:val="17"/>
                        </w:rPr>
                        <w:t xml:space="preserve">: </w:t>
                      </w:r>
                    </w:p>
                    <w:p w14:paraId="6859AB6D" w14:textId="77777777" w:rsidR="00B112C9" w:rsidRPr="007420E6" w:rsidRDefault="00B112C9" w:rsidP="00B112C9">
                      <w:pPr>
                        <w:spacing w:after="200" w:line="276" w:lineRule="auto"/>
                        <w:jc w:val="left"/>
                        <w:rPr>
                          <w:i/>
                          <w:iCs/>
                          <w:sz w:val="17"/>
                          <w:szCs w:val="17"/>
                        </w:rPr>
                      </w:pPr>
                      <w:r w:rsidRPr="007420E6">
                        <w:rPr>
                          <w:i/>
                          <w:iCs/>
                          <w:sz w:val="17"/>
                          <w:szCs w:val="17"/>
                        </w:rPr>
                        <w:t xml:space="preserve">‘1. For insurance and reinsurance undertakings other than small and non-complex undertakings and captive insurance undertakings and captive reinsurance undertakings, the balance sheet disclosed as part of the solvency and financial condition report in accordance with Article 51(1) or the balance sheet disclosed as part of the single solvency and financial condition report in accordance with Article 256(2), point (b), shall be subject to an audit. </w:t>
                      </w:r>
                    </w:p>
                    <w:p w14:paraId="53127519" w14:textId="77777777" w:rsidR="00B112C9" w:rsidRPr="00877616" w:rsidRDefault="00B112C9" w:rsidP="00B112C9">
                      <w:pPr>
                        <w:spacing w:after="200" w:line="276" w:lineRule="auto"/>
                        <w:jc w:val="left"/>
                        <w:rPr>
                          <w:b/>
                          <w:i/>
                          <w:sz w:val="17"/>
                          <w:szCs w:val="17"/>
                        </w:rPr>
                      </w:pPr>
                      <w:r w:rsidRPr="007420E6">
                        <w:rPr>
                          <w:i/>
                          <w:iCs/>
                          <w:sz w:val="17"/>
                          <w:szCs w:val="17"/>
                        </w:rPr>
                        <w:t xml:space="preserve">2. By way of derogation from Article 29c, </w:t>
                      </w:r>
                      <w:r w:rsidRPr="007420E6">
                        <w:rPr>
                          <w:b/>
                          <w:bCs/>
                          <w:i/>
                          <w:iCs/>
                          <w:sz w:val="17"/>
                          <w:szCs w:val="17"/>
                        </w:rPr>
                        <w:t xml:space="preserve">Member States may extend the requirement laid down in paragraph 1 </w:t>
                      </w:r>
                      <w:r w:rsidRPr="007420E6">
                        <w:rPr>
                          <w:i/>
                          <w:iCs/>
                          <w:sz w:val="17"/>
                          <w:szCs w:val="17"/>
                        </w:rPr>
                        <w:t xml:space="preserve">of this Article </w:t>
                      </w:r>
                      <w:r w:rsidRPr="00877616">
                        <w:rPr>
                          <w:b/>
                          <w:i/>
                          <w:sz w:val="17"/>
                          <w:szCs w:val="17"/>
                        </w:rPr>
                        <w:t xml:space="preserve">to undertakings classified as small and non-complex undertakings, captive insurance undertakings and captive reinsurance undertakings. </w:t>
                      </w:r>
                    </w:p>
                    <w:p w14:paraId="06232DA2" w14:textId="77777777" w:rsidR="00B112C9" w:rsidRPr="007420E6" w:rsidRDefault="00B112C9" w:rsidP="00B112C9">
                      <w:pPr>
                        <w:spacing w:after="200" w:line="276" w:lineRule="auto"/>
                        <w:jc w:val="left"/>
                        <w:rPr>
                          <w:i/>
                          <w:iCs/>
                          <w:sz w:val="17"/>
                          <w:szCs w:val="17"/>
                        </w:rPr>
                      </w:pPr>
                      <w:r w:rsidRPr="007420E6">
                        <w:rPr>
                          <w:i/>
                          <w:iCs/>
                          <w:sz w:val="17"/>
                          <w:szCs w:val="17"/>
                        </w:rPr>
                        <w:t xml:space="preserve">3. </w:t>
                      </w:r>
                      <w:r w:rsidRPr="007420E6">
                        <w:rPr>
                          <w:b/>
                          <w:bCs/>
                          <w:i/>
                          <w:iCs/>
                          <w:sz w:val="17"/>
                          <w:szCs w:val="17"/>
                        </w:rPr>
                        <w:t>Member States may extend the scope of the audit requirement referred to in paragraph 1</w:t>
                      </w:r>
                      <w:r w:rsidRPr="007420E6">
                        <w:rPr>
                          <w:i/>
                          <w:iCs/>
                          <w:sz w:val="17"/>
                          <w:szCs w:val="17"/>
                        </w:rPr>
                        <w:t xml:space="preserve"> to other elements of the solvency and financial condition report.</w:t>
                      </w:r>
                      <w:r>
                        <w:rPr>
                          <w:i/>
                          <w:iCs/>
                          <w:sz w:val="17"/>
                          <w:szCs w:val="17"/>
                        </w:rPr>
                        <w:t>’</w:t>
                      </w:r>
                    </w:p>
                    <w:p w14:paraId="0E9A4266" w14:textId="77777777" w:rsidR="00B112C9" w:rsidRDefault="00B112C9" w:rsidP="00B112C9"/>
                  </w:txbxContent>
                </v:textbox>
                <w10:wrap type="square" anchorx="margin"/>
              </v:shape>
            </w:pict>
          </mc:Fallback>
        </mc:AlternateContent>
      </w:r>
      <w:r w:rsidRPr="00C87D4F">
        <w:rPr>
          <w:b/>
          <w:sz w:val="17"/>
          <w:szCs w:val="17"/>
        </w:rPr>
        <w:t>Audit requirement</w:t>
      </w:r>
    </w:p>
    <w:p w14:paraId="767AEA1E" w14:textId="77777777" w:rsidR="00B112C9" w:rsidRPr="000C1D26" w:rsidRDefault="00B112C9" w:rsidP="00B112C9">
      <w:pPr>
        <w:spacing w:line="240" w:lineRule="auto"/>
        <w:jc w:val="left"/>
        <w:rPr>
          <w:sz w:val="17"/>
          <w:szCs w:val="17"/>
        </w:rPr>
      </w:pPr>
    </w:p>
    <w:p w14:paraId="64748838" w14:textId="77777777" w:rsidR="00B112C9" w:rsidRDefault="00B112C9" w:rsidP="00CD2298">
      <w:pPr>
        <w:spacing w:line="276" w:lineRule="auto"/>
        <w:jc w:val="left"/>
        <w:rPr>
          <w:rFonts w:cs="Frutiger LT Std 45 Light"/>
          <w:b/>
          <w:bCs/>
          <w:color w:val="000000"/>
          <w:sz w:val="17"/>
          <w:szCs w:val="20"/>
        </w:rPr>
      </w:pPr>
      <w:r w:rsidRPr="00AB7C54">
        <w:rPr>
          <w:rFonts w:cs="Frutiger LT Std 45 Light"/>
          <w:b/>
          <w:bCs/>
          <w:color w:val="000000"/>
          <w:sz w:val="17"/>
          <w:szCs w:val="20"/>
        </w:rPr>
        <w:t>Option 1</w:t>
      </w:r>
    </w:p>
    <w:p w14:paraId="659AA7FB" w14:textId="77777777" w:rsidR="00B112C9" w:rsidRPr="00D3536A" w:rsidRDefault="00B112C9" w:rsidP="00CD2298">
      <w:pPr>
        <w:spacing w:line="276" w:lineRule="auto"/>
        <w:jc w:val="left"/>
        <w:rPr>
          <w:rFonts w:cs="Frutiger LT Std 45 Light"/>
          <w:b/>
          <w:bCs/>
          <w:color w:val="000000"/>
          <w:sz w:val="17"/>
          <w:szCs w:val="20"/>
        </w:rPr>
      </w:pPr>
      <w:r w:rsidRPr="00AD1BA4">
        <w:rPr>
          <w:rFonts w:cs="Frutiger LT Std 45 Light"/>
          <w:color w:val="000000"/>
          <w:sz w:val="17"/>
          <w:szCs w:val="20"/>
        </w:rPr>
        <w:t xml:space="preserve">Will your jurisdiction apply the option </w:t>
      </w:r>
      <w:r w:rsidRPr="0010232E">
        <w:rPr>
          <w:rFonts w:cs="Frutiger LT Std 45 Light"/>
          <w:color w:val="000000"/>
          <w:sz w:val="17"/>
          <w:szCs w:val="20"/>
        </w:rPr>
        <w:t>to extend audit requirements to SNCUs (</w:t>
      </w:r>
      <w:proofErr w:type="spellStart"/>
      <w:r w:rsidRPr="0010232E">
        <w:rPr>
          <w:rFonts w:cs="Frutiger LT Std 45 Light"/>
          <w:color w:val="000000"/>
          <w:sz w:val="17"/>
          <w:szCs w:val="20"/>
        </w:rPr>
        <w:t>incl</w:t>
      </w:r>
      <w:proofErr w:type="spellEnd"/>
      <w:r w:rsidRPr="0010232E">
        <w:rPr>
          <w:rFonts w:cs="Frutiger LT Std 45 Light"/>
          <w:color w:val="000000"/>
          <w:sz w:val="17"/>
          <w:szCs w:val="20"/>
        </w:rPr>
        <w:t xml:space="preserve"> groups) and/or captives?</w:t>
      </w:r>
    </w:p>
    <w:p w14:paraId="4BB345AB" w14:textId="1816CC51" w:rsidR="00624939" w:rsidRDefault="00B112C9" w:rsidP="009E4646">
      <w:pPr>
        <w:pStyle w:val="IEBullet-Level1"/>
      </w:pPr>
      <w:r w:rsidRPr="00624939">
        <w:rPr>
          <w:b/>
          <w:bCs/>
        </w:rPr>
        <w:t>Ye</w:t>
      </w:r>
      <w:r w:rsidR="00167CE8">
        <w:rPr>
          <w:b/>
          <w:bCs/>
        </w:rPr>
        <w:t>s</w:t>
      </w:r>
    </w:p>
    <w:p w14:paraId="169CC6BF" w14:textId="77777777" w:rsidR="00B112C9" w:rsidRDefault="00B112C9" w:rsidP="00B112C9">
      <w:pPr>
        <w:pStyle w:val="IEBullet-Level1"/>
        <w:numPr>
          <w:ilvl w:val="0"/>
          <w:numId w:val="0"/>
        </w:numPr>
      </w:pPr>
    </w:p>
    <w:p w14:paraId="17815DCA" w14:textId="77777777" w:rsidR="00B112C9" w:rsidRPr="00AD1BA4" w:rsidRDefault="00B112C9" w:rsidP="00B112C9">
      <w:pPr>
        <w:pStyle w:val="IEBullet-Level1"/>
        <w:numPr>
          <w:ilvl w:val="0"/>
          <w:numId w:val="0"/>
        </w:numPr>
      </w:pPr>
      <w:r w:rsidRPr="00AD1BA4">
        <w:t>If yes, how?</w:t>
      </w:r>
    </w:p>
    <w:p w14:paraId="2CBB62CC" w14:textId="77777777" w:rsidR="00167CE8" w:rsidRPr="008A7972" w:rsidRDefault="00167CE8" w:rsidP="00167CE8">
      <w:pPr>
        <w:pStyle w:val="IEBullet-Level1"/>
        <w:rPr>
          <w:b/>
          <w:bCs/>
        </w:rPr>
      </w:pPr>
      <w:r w:rsidRPr="008A7972">
        <w:rPr>
          <w:b/>
          <w:bCs/>
        </w:rPr>
        <w:t>There is a discussion going on</w:t>
      </w:r>
      <w:r>
        <w:rPr>
          <w:b/>
          <w:bCs/>
        </w:rPr>
        <w:t>.</w:t>
      </w:r>
    </w:p>
    <w:p w14:paraId="58F7BE09" w14:textId="77777777" w:rsidR="00B112C9" w:rsidRDefault="00B112C9" w:rsidP="00167CE8">
      <w:pPr>
        <w:pStyle w:val="IEBullet-Level1"/>
        <w:numPr>
          <w:ilvl w:val="0"/>
          <w:numId w:val="0"/>
        </w:numPr>
        <w:ind w:left="720"/>
      </w:pPr>
    </w:p>
    <w:p w14:paraId="3C11D3A5" w14:textId="77777777" w:rsidR="009B0956" w:rsidRDefault="009B0956" w:rsidP="00B112C9">
      <w:pPr>
        <w:pStyle w:val="IEBullet-Level1"/>
        <w:numPr>
          <w:ilvl w:val="0"/>
          <w:numId w:val="0"/>
        </w:numPr>
      </w:pPr>
    </w:p>
    <w:p w14:paraId="33424D31" w14:textId="7B4C6028" w:rsidR="00B112C9" w:rsidRPr="00AD1BA4" w:rsidRDefault="00B112C9" w:rsidP="00B112C9">
      <w:pPr>
        <w:pStyle w:val="IEBullet-Level1"/>
        <w:numPr>
          <w:ilvl w:val="0"/>
          <w:numId w:val="0"/>
        </w:numPr>
      </w:pPr>
      <w:r w:rsidRPr="00AD1BA4">
        <w:t>Expected impact or concerns:</w:t>
      </w:r>
    </w:p>
    <w:p w14:paraId="11981630" w14:textId="77777777" w:rsidR="00B112C9" w:rsidRDefault="00B112C9" w:rsidP="00B112C9">
      <w:pPr>
        <w:pStyle w:val="IEBullet-Level1"/>
      </w:pPr>
    </w:p>
    <w:p w14:paraId="48F32477" w14:textId="77777777" w:rsidR="00CD2298" w:rsidRDefault="00CD2298" w:rsidP="00B112C9">
      <w:pPr>
        <w:pStyle w:val="IEBullet-Level1"/>
        <w:numPr>
          <w:ilvl w:val="0"/>
          <w:numId w:val="0"/>
        </w:numPr>
      </w:pPr>
    </w:p>
    <w:p w14:paraId="1297EA8F" w14:textId="083A8B00" w:rsidR="00B112C9" w:rsidRPr="009E4646" w:rsidRDefault="00B112C9" w:rsidP="00B112C9">
      <w:pPr>
        <w:pStyle w:val="IEBullet-Level1"/>
        <w:numPr>
          <w:ilvl w:val="0"/>
          <w:numId w:val="0"/>
        </w:numPr>
      </w:pPr>
      <w:r w:rsidRPr="009E4646">
        <w:t>Other comments:</w:t>
      </w:r>
    </w:p>
    <w:p w14:paraId="50F68560" w14:textId="77777777" w:rsidR="00B112C9" w:rsidRPr="009B0956" w:rsidRDefault="00B112C9" w:rsidP="00CD2298">
      <w:pPr>
        <w:pStyle w:val="IEBullet-Level1"/>
        <w:numPr>
          <w:ilvl w:val="0"/>
          <w:numId w:val="0"/>
        </w:numPr>
        <w:ind w:left="720"/>
        <w:rPr>
          <w:i/>
          <w:iCs/>
        </w:rPr>
      </w:pPr>
    </w:p>
    <w:p w14:paraId="1C678819" w14:textId="77777777" w:rsidR="00B112C9" w:rsidRDefault="00B112C9" w:rsidP="00CD2298">
      <w:pPr>
        <w:spacing w:line="276" w:lineRule="auto"/>
        <w:jc w:val="left"/>
        <w:rPr>
          <w:rFonts w:cs="Frutiger LT Std 45 Light"/>
          <w:b/>
          <w:bCs/>
          <w:color w:val="000000"/>
          <w:sz w:val="17"/>
          <w:szCs w:val="20"/>
        </w:rPr>
      </w:pPr>
      <w:r w:rsidRPr="00AB7C54">
        <w:rPr>
          <w:rFonts w:cs="Frutiger LT Std 45 Light"/>
          <w:b/>
          <w:bCs/>
          <w:color w:val="000000"/>
          <w:sz w:val="17"/>
          <w:szCs w:val="20"/>
        </w:rPr>
        <w:t xml:space="preserve">Option </w:t>
      </w:r>
      <w:r>
        <w:rPr>
          <w:rFonts w:cs="Frutiger LT Std 45 Light"/>
          <w:b/>
          <w:bCs/>
          <w:color w:val="000000"/>
          <w:sz w:val="17"/>
          <w:szCs w:val="20"/>
        </w:rPr>
        <w:t>2</w:t>
      </w:r>
    </w:p>
    <w:p w14:paraId="4ADCE0DA" w14:textId="77777777" w:rsidR="00B112C9" w:rsidRPr="0010232E" w:rsidRDefault="00B112C9" w:rsidP="00CD2298">
      <w:pPr>
        <w:spacing w:line="276" w:lineRule="auto"/>
        <w:jc w:val="left"/>
        <w:rPr>
          <w:rFonts w:cs="Frutiger LT Std 45 Light"/>
          <w:color w:val="000000"/>
          <w:sz w:val="17"/>
          <w:szCs w:val="20"/>
        </w:rPr>
      </w:pPr>
      <w:r w:rsidRPr="0010232E">
        <w:rPr>
          <w:rFonts w:cs="Frutiger LT Std 45 Light"/>
          <w:color w:val="000000"/>
          <w:sz w:val="17"/>
          <w:szCs w:val="20"/>
        </w:rPr>
        <w:t>Will</w:t>
      </w:r>
      <w:r w:rsidRPr="00AD1BA4">
        <w:rPr>
          <w:rFonts w:cs="Frutiger LT Std 45 Light"/>
          <w:color w:val="000000"/>
          <w:sz w:val="17"/>
          <w:szCs w:val="20"/>
        </w:rPr>
        <w:t xml:space="preserve"> your jurisdiction apply the option </w:t>
      </w:r>
      <w:r w:rsidRPr="0010232E">
        <w:rPr>
          <w:rFonts w:cs="Frutiger LT Std 45 Light"/>
          <w:color w:val="000000"/>
          <w:sz w:val="17"/>
          <w:szCs w:val="20"/>
        </w:rPr>
        <w:t>to extend audit requirements to other elements of the SFCR</w:t>
      </w:r>
      <w:r>
        <w:rPr>
          <w:rFonts w:cs="Frutiger LT Std 45 Light"/>
          <w:color w:val="000000"/>
          <w:sz w:val="17"/>
          <w:szCs w:val="20"/>
        </w:rPr>
        <w:t>?</w:t>
      </w:r>
    </w:p>
    <w:p w14:paraId="7A134387" w14:textId="7DCF887E" w:rsidR="00B112C9" w:rsidRPr="009E4646" w:rsidRDefault="00B112C9" w:rsidP="009E4646">
      <w:pPr>
        <w:pStyle w:val="IEBullet-Level1"/>
      </w:pPr>
      <w:r w:rsidRPr="008A7972">
        <w:rPr>
          <w:b/>
          <w:bCs/>
        </w:rPr>
        <w:t xml:space="preserve">No </w:t>
      </w:r>
    </w:p>
    <w:p w14:paraId="50129D2F" w14:textId="77777777" w:rsidR="00B112C9" w:rsidRPr="00481FDB" w:rsidRDefault="00B112C9" w:rsidP="00B112C9">
      <w:pPr>
        <w:pStyle w:val="IEBullet-Level3"/>
        <w:numPr>
          <w:ilvl w:val="0"/>
          <w:numId w:val="0"/>
        </w:numPr>
      </w:pPr>
    </w:p>
    <w:p w14:paraId="7524F9C0" w14:textId="77777777" w:rsidR="00B112C9" w:rsidRPr="00AD1BA4" w:rsidRDefault="00B112C9" w:rsidP="00B112C9">
      <w:pPr>
        <w:pStyle w:val="IEBullet-Level1"/>
        <w:numPr>
          <w:ilvl w:val="0"/>
          <w:numId w:val="0"/>
        </w:numPr>
      </w:pPr>
      <w:r w:rsidRPr="00AD1BA4">
        <w:t xml:space="preserve">If yes, </w:t>
      </w:r>
      <w:r>
        <w:t>which elements</w:t>
      </w:r>
      <w:r w:rsidRPr="00AD1BA4">
        <w:t>?</w:t>
      </w:r>
    </w:p>
    <w:p w14:paraId="268E273F" w14:textId="77777777" w:rsidR="00B112C9" w:rsidRDefault="00B112C9" w:rsidP="00B112C9">
      <w:pPr>
        <w:pStyle w:val="IEBullet-Level1"/>
      </w:pPr>
    </w:p>
    <w:p w14:paraId="4ADEE289" w14:textId="77777777" w:rsidR="009B0956" w:rsidRDefault="009B0956" w:rsidP="00B112C9">
      <w:pPr>
        <w:pStyle w:val="IEBullet-Level1"/>
        <w:numPr>
          <w:ilvl w:val="0"/>
          <w:numId w:val="0"/>
        </w:numPr>
      </w:pPr>
    </w:p>
    <w:p w14:paraId="36847653" w14:textId="12F13730" w:rsidR="00B112C9" w:rsidRPr="00AD1BA4" w:rsidRDefault="00B112C9" w:rsidP="00B112C9">
      <w:pPr>
        <w:pStyle w:val="IEBullet-Level1"/>
        <w:numPr>
          <w:ilvl w:val="0"/>
          <w:numId w:val="0"/>
        </w:numPr>
      </w:pPr>
      <w:r w:rsidRPr="00AD1BA4">
        <w:t>Expected impact or concerns:</w:t>
      </w:r>
    </w:p>
    <w:p w14:paraId="12BC3136" w14:textId="77777777" w:rsidR="00B112C9" w:rsidRDefault="00B112C9" w:rsidP="00B112C9">
      <w:pPr>
        <w:pStyle w:val="IEBullet-Level1"/>
      </w:pPr>
    </w:p>
    <w:p w14:paraId="5DB00CD9" w14:textId="77777777" w:rsidR="00CD2298" w:rsidRPr="009E4646" w:rsidRDefault="00CD2298" w:rsidP="00B112C9">
      <w:pPr>
        <w:pStyle w:val="IEBullet-Level1"/>
        <w:numPr>
          <w:ilvl w:val="0"/>
          <w:numId w:val="0"/>
        </w:numPr>
      </w:pPr>
    </w:p>
    <w:p w14:paraId="58B89D09" w14:textId="4698598B" w:rsidR="00B112C9" w:rsidRPr="009E4646" w:rsidRDefault="00B112C9" w:rsidP="00B112C9">
      <w:pPr>
        <w:pStyle w:val="IEBullet-Level1"/>
        <w:numPr>
          <w:ilvl w:val="0"/>
          <w:numId w:val="0"/>
        </w:numPr>
      </w:pPr>
      <w:r w:rsidRPr="009E4646">
        <w:t>Other comments:</w:t>
      </w:r>
    </w:p>
    <w:p w14:paraId="3D6D59DB" w14:textId="63E00FD5" w:rsidR="00B112C9" w:rsidRPr="009B0956" w:rsidRDefault="00B112C9" w:rsidP="00B112C9">
      <w:pPr>
        <w:pStyle w:val="IEBullet-Level1"/>
        <w:rPr>
          <w:i/>
          <w:iCs/>
        </w:rPr>
      </w:pPr>
    </w:p>
    <w:p w14:paraId="560EA44C" w14:textId="77777777" w:rsidR="00B112C9" w:rsidRDefault="00B112C9" w:rsidP="00B112C9">
      <w:pPr>
        <w:spacing w:line="240" w:lineRule="auto"/>
        <w:jc w:val="left"/>
        <w:rPr>
          <w:b/>
          <w:sz w:val="17"/>
          <w:szCs w:val="17"/>
        </w:rPr>
      </w:pPr>
    </w:p>
    <w:p w14:paraId="5F5897C6" w14:textId="77777777" w:rsidR="009B0956" w:rsidRDefault="009B0956" w:rsidP="00B112C9">
      <w:pPr>
        <w:spacing w:line="240" w:lineRule="auto"/>
        <w:jc w:val="left"/>
        <w:rPr>
          <w:b/>
          <w:sz w:val="17"/>
          <w:szCs w:val="17"/>
        </w:rPr>
      </w:pPr>
    </w:p>
    <w:p w14:paraId="0AC1EA2E" w14:textId="63A58127" w:rsidR="00B112C9" w:rsidRPr="00B45FD1" w:rsidRDefault="00B112C9" w:rsidP="00B112C9">
      <w:pPr>
        <w:spacing w:line="240" w:lineRule="auto"/>
        <w:jc w:val="left"/>
        <w:rPr>
          <w:b/>
          <w:sz w:val="17"/>
          <w:szCs w:val="17"/>
        </w:rPr>
      </w:pPr>
      <w:r w:rsidRPr="00B45FD1">
        <w:rPr>
          <w:b/>
          <w:noProof/>
          <w:sz w:val="17"/>
          <w:szCs w:val="17"/>
        </w:rPr>
        <mc:AlternateContent>
          <mc:Choice Requires="wps">
            <w:drawing>
              <wp:anchor distT="45720" distB="45720" distL="114300" distR="114300" simplePos="0" relativeHeight="251658242" behindDoc="0" locked="0" layoutInCell="1" allowOverlap="1" wp14:anchorId="62E27B39" wp14:editId="259E32F1">
                <wp:simplePos x="0" y="0"/>
                <wp:positionH relativeFrom="margin">
                  <wp:align>left</wp:align>
                </wp:positionH>
                <wp:positionV relativeFrom="paragraph">
                  <wp:posOffset>265430</wp:posOffset>
                </wp:positionV>
                <wp:extent cx="6061710" cy="1404620"/>
                <wp:effectExtent l="0" t="0" r="15240" b="15240"/>
                <wp:wrapSquare wrapText="bothSides"/>
                <wp:docPr id="1343202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404620"/>
                        </a:xfrm>
                        <a:prstGeom prst="rect">
                          <a:avLst/>
                        </a:prstGeom>
                        <a:solidFill>
                          <a:srgbClr val="E4ECCA"/>
                        </a:solidFill>
                        <a:ln w="9525">
                          <a:solidFill>
                            <a:srgbClr val="000000"/>
                          </a:solidFill>
                          <a:miter lim="800000"/>
                          <a:headEnd/>
                          <a:tailEnd/>
                        </a:ln>
                      </wps:spPr>
                      <wps:txbx>
                        <w:txbxContent>
                          <w:p w14:paraId="4EF1EC6A" w14:textId="77777777" w:rsidR="00B112C9" w:rsidRDefault="00B112C9" w:rsidP="00B112C9">
                            <w:pPr>
                              <w:spacing w:after="200" w:line="276" w:lineRule="auto"/>
                              <w:jc w:val="left"/>
                              <w:rPr>
                                <w:sz w:val="17"/>
                                <w:szCs w:val="17"/>
                              </w:rPr>
                            </w:pPr>
                            <w:r>
                              <w:rPr>
                                <w:sz w:val="17"/>
                                <w:szCs w:val="17"/>
                              </w:rPr>
                              <w:t>I</w:t>
                            </w:r>
                            <w:r w:rsidRPr="00731842">
                              <w:rPr>
                                <w:sz w:val="17"/>
                                <w:szCs w:val="17"/>
                              </w:rPr>
                              <w:t xml:space="preserve">n </w:t>
                            </w:r>
                            <w:r w:rsidRPr="007420E6">
                              <w:rPr>
                                <w:b/>
                                <w:bCs/>
                                <w:sz w:val="17"/>
                                <w:szCs w:val="17"/>
                              </w:rPr>
                              <w:t>Article 64</w:t>
                            </w:r>
                            <w:r w:rsidRPr="00731842">
                              <w:rPr>
                                <w:sz w:val="17"/>
                                <w:szCs w:val="17"/>
                              </w:rPr>
                              <w:t xml:space="preserve">, the following paragraph is added: </w:t>
                            </w:r>
                          </w:p>
                          <w:p w14:paraId="3207828A" w14:textId="77777777" w:rsidR="00B112C9" w:rsidRPr="00446421" w:rsidRDefault="00B112C9" w:rsidP="00B112C9">
                            <w:pPr>
                              <w:spacing w:after="200" w:line="276" w:lineRule="auto"/>
                              <w:jc w:val="left"/>
                              <w:rPr>
                                <w:i/>
                                <w:iCs/>
                                <w:sz w:val="17"/>
                                <w:szCs w:val="17"/>
                              </w:rPr>
                            </w:pPr>
                            <w:r w:rsidRPr="007420E6">
                              <w:rPr>
                                <w:i/>
                                <w:iCs/>
                                <w:sz w:val="17"/>
                                <w:szCs w:val="17"/>
                              </w:rPr>
                              <w:t xml:space="preserve">‘The first, second and third paragraphs of </w:t>
                            </w:r>
                            <w:r w:rsidRPr="007420E6">
                              <w:rPr>
                                <w:b/>
                                <w:bCs/>
                                <w:i/>
                                <w:iCs/>
                                <w:sz w:val="17"/>
                                <w:szCs w:val="17"/>
                              </w:rPr>
                              <w:t xml:space="preserve">this Article shall not prevent the supervisory authorities from publishing the outcome of stress tests </w:t>
                            </w:r>
                            <w:r w:rsidRPr="007420E6">
                              <w:rPr>
                                <w:i/>
                                <w:iCs/>
                                <w:sz w:val="17"/>
                                <w:szCs w:val="17"/>
                              </w:rPr>
                              <w:t>carried out in accordance with Article 34(4) of this Directive or Article 32 of Regulation (EU) No 1094/2010 or from transmitting the outcome of stress tests to EIOPA for the purposes of the publication by EIOPA of the results of Union-wide stress tests.’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27B39" id="_x0000_s1029" type="#_x0000_t202" style="position:absolute;margin-left:0;margin-top:20.9pt;width:477.3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" fillcolor="#e4ecca">
                <v:textbox style="mso-fit-shape-to-text:t">
                  <w:txbxContent>
                    <w:p w14:paraId="4EF1EC6A" w14:textId="77777777" w:rsidR="00B112C9" w:rsidRDefault="00B112C9" w:rsidP="00B112C9">
                      <w:pPr>
                        <w:spacing w:after="200" w:line="276" w:lineRule="auto"/>
                        <w:jc w:val="left"/>
                        <w:rPr>
                          <w:sz w:val="17"/>
                          <w:szCs w:val="17"/>
                        </w:rPr>
                      </w:pPr>
                      <w:r>
                        <w:rPr>
                          <w:sz w:val="17"/>
                          <w:szCs w:val="17"/>
                        </w:rPr>
                        <w:t>I</w:t>
                      </w:r>
                      <w:r w:rsidRPr="00731842">
                        <w:rPr>
                          <w:sz w:val="17"/>
                          <w:szCs w:val="17"/>
                        </w:rPr>
                        <w:t xml:space="preserve">n </w:t>
                      </w:r>
                      <w:r w:rsidRPr="007420E6">
                        <w:rPr>
                          <w:b/>
                          <w:bCs/>
                          <w:sz w:val="17"/>
                          <w:szCs w:val="17"/>
                        </w:rPr>
                        <w:t>Article 64</w:t>
                      </w:r>
                      <w:r w:rsidRPr="00731842">
                        <w:rPr>
                          <w:sz w:val="17"/>
                          <w:szCs w:val="17"/>
                        </w:rPr>
                        <w:t xml:space="preserve">, the following paragraph is added: </w:t>
                      </w:r>
                    </w:p>
                    <w:p w14:paraId="3207828A" w14:textId="77777777" w:rsidR="00B112C9" w:rsidRPr="00446421" w:rsidRDefault="00B112C9" w:rsidP="00B112C9">
                      <w:pPr>
                        <w:spacing w:after="200" w:line="276" w:lineRule="auto"/>
                        <w:jc w:val="left"/>
                        <w:rPr>
                          <w:i/>
                          <w:iCs/>
                          <w:sz w:val="17"/>
                          <w:szCs w:val="17"/>
                        </w:rPr>
                      </w:pPr>
                      <w:r w:rsidRPr="007420E6">
                        <w:rPr>
                          <w:i/>
                          <w:iCs/>
                          <w:sz w:val="17"/>
                          <w:szCs w:val="17"/>
                        </w:rPr>
                        <w:t xml:space="preserve">‘The first, second and third paragraphs of </w:t>
                      </w:r>
                      <w:r w:rsidRPr="007420E6">
                        <w:rPr>
                          <w:b/>
                          <w:bCs/>
                          <w:i/>
                          <w:iCs/>
                          <w:sz w:val="17"/>
                          <w:szCs w:val="17"/>
                        </w:rPr>
                        <w:t xml:space="preserve">this Article shall not prevent the supervisory authorities from publishing the outcome of stress tests </w:t>
                      </w:r>
                      <w:r w:rsidRPr="007420E6">
                        <w:rPr>
                          <w:i/>
                          <w:iCs/>
                          <w:sz w:val="17"/>
                          <w:szCs w:val="17"/>
                        </w:rPr>
                        <w:t>carried out in accordance with Article 34(4) of this Directive or Article 32 of Regulation (EU) No 1094/2010 or from transmitting the outcome of stress tests to EIOPA for the purposes of the publication by EIOPA of the results of Union-wide stress tests.’</w:t>
                      </w:r>
                    </w:p>
                  </w:txbxContent>
                </v:textbox>
                <w10:wrap type="square" anchorx="margin"/>
              </v:shape>
            </w:pict>
          </mc:Fallback>
        </mc:AlternateContent>
      </w:r>
      <w:r w:rsidRPr="00B45FD1">
        <w:rPr>
          <w:b/>
          <w:sz w:val="17"/>
          <w:szCs w:val="17"/>
        </w:rPr>
        <w:t>Stress test disclosure</w:t>
      </w:r>
    </w:p>
    <w:p w14:paraId="4C418FC5" w14:textId="77777777" w:rsidR="00B112C9" w:rsidRDefault="00B112C9" w:rsidP="00B112C9">
      <w:pPr>
        <w:pStyle w:val="IEBullet-Level1"/>
        <w:numPr>
          <w:ilvl w:val="0"/>
          <w:numId w:val="0"/>
        </w:numPr>
        <w:ind w:left="720" w:hanging="360"/>
      </w:pPr>
    </w:p>
    <w:p w14:paraId="0A356717" w14:textId="77777777" w:rsidR="00B112C9" w:rsidRPr="00CC48AE" w:rsidRDefault="00B112C9" w:rsidP="00B112C9">
      <w:pPr>
        <w:pStyle w:val="IEBullet-Level1"/>
        <w:numPr>
          <w:ilvl w:val="0"/>
          <w:numId w:val="0"/>
        </w:numPr>
      </w:pPr>
      <w:r w:rsidRPr="00CC48AE">
        <w:t>Will your jurisdiction require disclosure of stress test results?</w:t>
      </w:r>
    </w:p>
    <w:p w14:paraId="3DC08DC2" w14:textId="33D4753E" w:rsidR="00B112C9" w:rsidRPr="00A5751D" w:rsidRDefault="00A5751D" w:rsidP="00B112C9">
      <w:pPr>
        <w:pStyle w:val="IEBullet-Level1"/>
        <w:rPr>
          <w:b/>
          <w:bCs/>
        </w:rPr>
      </w:pPr>
      <w:r w:rsidRPr="00A5751D">
        <w:rPr>
          <w:b/>
          <w:bCs/>
        </w:rPr>
        <w:t>It is not known at this stage</w:t>
      </w:r>
    </w:p>
    <w:p w14:paraId="27B28F43" w14:textId="77777777" w:rsidR="00CD2298" w:rsidRPr="00CD2298" w:rsidRDefault="00CD2298" w:rsidP="009E4646">
      <w:pPr>
        <w:pStyle w:val="IEBullet-Level3"/>
        <w:numPr>
          <w:ilvl w:val="0"/>
          <w:numId w:val="0"/>
        </w:numPr>
      </w:pPr>
    </w:p>
    <w:p w14:paraId="6063BF08" w14:textId="77777777" w:rsidR="00B112C9" w:rsidRPr="00CC48AE" w:rsidRDefault="00B112C9" w:rsidP="00B112C9">
      <w:pPr>
        <w:pStyle w:val="IEBullet-Level1"/>
        <w:numPr>
          <w:ilvl w:val="0"/>
          <w:numId w:val="0"/>
        </w:numPr>
      </w:pPr>
      <w:r w:rsidRPr="00CC48AE">
        <w:t>If yes, how will this be implemented?</w:t>
      </w:r>
    </w:p>
    <w:p w14:paraId="05896DD7" w14:textId="77777777" w:rsidR="00CD2298" w:rsidRPr="00CD2298" w:rsidRDefault="00CD2298" w:rsidP="00B112C9">
      <w:pPr>
        <w:pStyle w:val="IEBullet-Level1"/>
      </w:pPr>
    </w:p>
    <w:p w14:paraId="6ACC2E8F" w14:textId="77777777" w:rsidR="00B112C9" w:rsidRDefault="00B112C9" w:rsidP="00B112C9">
      <w:pPr>
        <w:pStyle w:val="IEBullet-Level2"/>
        <w:numPr>
          <w:ilvl w:val="0"/>
          <w:numId w:val="0"/>
        </w:numPr>
      </w:pPr>
    </w:p>
    <w:p w14:paraId="36231564" w14:textId="77777777" w:rsidR="00B112C9" w:rsidRPr="00CC48AE" w:rsidRDefault="00B112C9" w:rsidP="00B112C9">
      <w:pPr>
        <w:pStyle w:val="IEBullet-Level1"/>
        <w:numPr>
          <w:ilvl w:val="0"/>
          <w:numId w:val="0"/>
        </w:numPr>
      </w:pPr>
      <w:r w:rsidRPr="00CC48AE">
        <w:t>Expected impact or concerns:</w:t>
      </w:r>
    </w:p>
    <w:p w14:paraId="7AF87777" w14:textId="77777777" w:rsidR="00B112C9" w:rsidRDefault="00B112C9" w:rsidP="00B112C9">
      <w:pPr>
        <w:pStyle w:val="IEBullet-Level1"/>
      </w:pPr>
    </w:p>
    <w:p w14:paraId="0E21732D" w14:textId="77777777" w:rsidR="00CD2298" w:rsidRDefault="00CD2298" w:rsidP="00B112C9">
      <w:pPr>
        <w:pStyle w:val="IEBullet-Level1"/>
        <w:numPr>
          <w:ilvl w:val="0"/>
          <w:numId w:val="0"/>
        </w:numPr>
      </w:pPr>
    </w:p>
    <w:p w14:paraId="290BFDC7" w14:textId="41AC6813" w:rsidR="00B112C9" w:rsidRPr="009E4646" w:rsidRDefault="00B112C9" w:rsidP="00B112C9">
      <w:pPr>
        <w:pStyle w:val="IEBullet-Level1"/>
        <w:numPr>
          <w:ilvl w:val="0"/>
          <w:numId w:val="0"/>
        </w:numPr>
      </w:pPr>
      <w:r w:rsidRPr="009E4646">
        <w:t>Other comments:</w:t>
      </w:r>
    </w:p>
    <w:p w14:paraId="4C138459" w14:textId="2FE99966" w:rsidR="00B112C9" w:rsidRPr="008A7972" w:rsidRDefault="008A7972" w:rsidP="00B112C9">
      <w:pPr>
        <w:pStyle w:val="IEBullet-Level1"/>
        <w:rPr>
          <w:b/>
          <w:bCs/>
        </w:rPr>
      </w:pPr>
      <w:r w:rsidRPr="008A7972">
        <w:rPr>
          <w:b/>
          <w:bCs/>
        </w:rPr>
        <w:t>.</w:t>
      </w:r>
    </w:p>
    <w:p w14:paraId="7710170F" w14:textId="77777777" w:rsidR="00B112C9" w:rsidRDefault="00B112C9" w:rsidP="00B112C9">
      <w:pPr>
        <w:spacing w:line="240" w:lineRule="auto"/>
        <w:jc w:val="left"/>
        <w:rPr>
          <w:i/>
          <w:sz w:val="17"/>
          <w:szCs w:val="17"/>
        </w:rPr>
      </w:pPr>
    </w:p>
    <w:p w14:paraId="2712C9E3" w14:textId="77777777" w:rsidR="005329AA" w:rsidRPr="00CC48AE" w:rsidRDefault="005329AA" w:rsidP="00B112C9">
      <w:pPr>
        <w:spacing w:line="240" w:lineRule="auto"/>
        <w:jc w:val="left"/>
        <w:rPr>
          <w:i/>
          <w:sz w:val="17"/>
          <w:szCs w:val="17"/>
        </w:rPr>
      </w:pPr>
    </w:p>
    <w:p w14:paraId="3F5187D8" w14:textId="77777777" w:rsidR="00B112C9" w:rsidRPr="006F3EB1" w:rsidRDefault="00B112C9" w:rsidP="00B112C9">
      <w:pPr>
        <w:spacing w:after="200" w:line="276" w:lineRule="auto"/>
        <w:jc w:val="left"/>
        <w:rPr>
          <w:b/>
          <w:sz w:val="17"/>
          <w:szCs w:val="17"/>
        </w:rPr>
      </w:pPr>
      <w:r w:rsidRPr="006F3EB1">
        <w:rPr>
          <w:b/>
          <w:noProof/>
          <w:sz w:val="17"/>
          <w:szCs w:val="17"/>
        </w:rPr>
        <mc:AlternateContent>
          <mc:Choice Requires="wps">
            <w:drawing>
              <wp:anchor distT="45720" distB="45720" distL="114300" distR="114300" simplePos="0" relativeHeight="251658243" behindDoc="0" locked="0" layoutInCell="1" allowOverlap="1" wp14:anchorId="41151D58" wp14:editId="621391FB">
                <wp:simplePos x="0" y="0"/>
                <wp:positionH relativeFrom="margin">
                  <wp:align>left</wp:align>
                </wp:positionH>
                <wp:positionV relativeFrom="paragraph">
                  <wp:posOffset>317077</wp:posOffset>
                </wp:positionV>
                <wp:extent cx="6061710" cy="1404620"/>
                <wp:effectExtent l="0" t="0" r="15240" b="15240"/>
                <wp:wrapSquare wrapText="bothSides"/>
                <wp:docPr id="1496991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404620"/>
                        </a:xfrm>
                        <a:prstGeom prst="rect">
                          <a:avLst/>
                        </a:prstGeom>
                        <a:solidFill>
                          <a:srgbClr val="E4ECCA"/>
                        </a:solidFill>
                        <a:ln w="9525">
                          <a:solidFill>
                            <a:srgbClr val="000000"/>
                          </a:solidFill>
                          <a:miter lim="800000"/>
                          <a:headEnd/>
                          <a:tailEnd/>
                        </a:ln>
                      </wps:spPr>
                      <wps:txbx>
                        <w:txbxContent>
                          <w:p w14:paraId="6527AE6A" w14:textId="77777777" w:rsidR="00B112C9" w:rsidRPr="007420E6" w:rsidRDefault="00B112C9" w:rsidP="00B112C9">
                            <w:pPr>
                              <w:spacing w:after="200" w:line="276" w:lineRule="auto"/>
                              <w:jc w:val="left"/>
                              <w:rPr>
                                <w:i/>
                                <w:iCs/>
                                <w:sz w:val="17"/>
                                <w:szCs w:val="17"/>
                              </w:rPr>
                            </w:pPr>
                            <w:r>
                              <w:rPr>
                                <w:sz w:val="17"/>
                                <w:szCs w:val="17"/>
                              </w:rPr>
                              <w:t>I</w:t>
                            </w:r>
                            <w:r w:rsidRPr="00446421">
                              <w:rPr>
                                <w:sz w:val="17"/>
                                <w:szCs w:val="17"/>
                              </w:rPr>
                              <w:t xml:space="preserve">n </w:t>
                            </w:r>
                            <w:r w:rsidRPr="00446421">
                              <w:rPr>
                                <w:b/>
                                <w:bCs/>
                                <w:sz w:val="17"/>
                                <w:szCs w:val="17"/>
                              </w:rPr>
                              <w:t>Article 112</w:t>
                            </w:r>
                            <w:r w:rsidRPr="00446421">
                              <w:rPr>
                                <w:sz w:val="17"/>
                                <w:szCs w:val="17"/>
                              </w:rPr>
                              <w:t>, paragraph 7 is replaced by the following</w:t>
                            </w:r>
                            <w:r w:rsidRPr="007420E6">
                              <w:rPr>
                                <w:i/>
                                <w:iCs/>
                                <w:sz w:val="17"/>
                                <w:szCs w:val="17"/>
                              </w:rPr>
                              <w:t xml:space="preserve">: </w:t>
                            </w:r>
                          </w:p>
                          <w:p w14:paraId="3E5B00E2" w14:textId="77777777" w:rsidR="00B112C9" w:rsidRPr="00446421" w:rsidRDefault="00B112C9" w:rsidP="00B112C9">
                            <w:pPr>
                              <w:spacing w:after="200" w:line="276" w:lineRule="auto"/>
                              <w:jc w:val="left"/>
                              <w:rPr>
                                <w:i/>
                                <w:iCs/>
                                <w:sz w:val="17"/>
                                <w:szCs w:val="17"/>
                              </w:rPr>
                            </w:pPr>
                            <w:r w:rsidRPr="007420E6">
                              <w:rPr>
                                <w:i/>
                                <w:iCs/>
                                <w:sz w:val="17"/>
                                <w:szCs w:val="17"/>
                              </w:rPr>
                              <w:t xml:space="preserve">‘7. After having received approval from supervisory authorities to use an internal model, insurance and reinsurance undertakings shall provide the supervisory authorities every two years with an estimate of the Solvency Capital Requirement determined in accordance with the standard formula, as set out in Subsection 2. </w:t>
                            </w:r>
                            <w:r w:rsidRPr="007420E6">
                              <w:rPr>
                                <w:b/>
                                <w:bCs/>
                                <w:i/>
                                <w:iCs/>
                                <w:sz w:val="17"/>
                                <w:szCs w:val="17"/>
                              </w:rPr>
                              <w:t>Supervisory authorities may, by means of a decision stating the reasons, request more frequent reporting from the insurance or reinsurance undertaking</w:t>
                            </w:r>
                            <w:r w:rsidRPr="007420E6">
                              <w:rPr>
                                <w:i/>
                                <w:iCs/>
                                <w:sz w:val="17"/>
                                <w:szCs w:val="17"/>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51D58" id="_x0000_s1030" type="#_x0000_t202" style="position:absolute;margin-left:0;margin-top:24.95pt;width:477.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" fillcolor="#e4ecca">
                <v:textbox style="mso-fit-shape-to-text:t">
                  <w:txbxContent>
                    <w:p w14:paraId="6527AE6A" w14:textId="77777777" w:rsidR="00B112C9" w:rsidRPr="007420E6" w:rsidRDefault="00B112C9" w:rsidP="00B112C9">
                      <w:pPr>
                        <w:spacing w:after="200" w:line="276" w:lineRule="auto"/>
                        <w:jc w:val="left"/>
                        <w:rPr>
                          <w:i/>
                          <w:iCs/>
                          <w:sz w:val="17"/>
                          <w:szCs w:val="17"/>
                        </w:rPr>
                      </w:pPr>
                      <w:r>
                        <w:rPr>
                          <w:sz w:val="17"/>
                          <w:szCs w:val="17"/>
                        </w:rPr>
                        <w:t>I</w:t>
                      </w:r>
                      <w:r w:rsidRPr="00446421">
                        <w:rPr>
                          <w:sz w:val="17"/>
                          <w:szCs w:val="17"/>
                        </w:rPr>
                        <w:t xml:space="preserve">n </w:t>
                      </w:r>
                      <w:r w:rsidRPr="00446421">
                        <w:rPr>
                          <w:b/>
                          <w:bCs/>
                          <w:sz w:val="17"/>
                          <w:szCs w:val="17"/>
                        </w:rPr>
                        <w:t>Article 112</w:t>
                      </w:r>
                      <w:r w:rsidRPr="00446421">
                        <w:rPr>
                          <w:sz w:val="17"/>
                          <w:szCs w:val="17"/>
                        </w:rPr>
                        <w:t>, paragraph 7 is replaced by the following</w:t>
                      </w:r>
                      <w:r w:rsidRPr="007420E6">
                        <w:rPr>
                          <w:i/>
                          <w:iCs/>
                          <w:sz w:val="17"/>
                          <w:szCs w:val="17"/>
                        </w:rPr>
                        <w:t xml:space="preserve">: </w:t>
                      </w:r>
                    </w:p>
                    <w:p w14:paraId="3E5B00E2" w14:textId="77777777" w:rsidR="00B112C9" w:rsidRPr="00446421" w:rsidRDefault="00B112C9" w:rsidP="00B112C9">
                      <w:pPr>
                        <w:spacing w:after="200" w:line="276" w:lineRule="auto"/>
                        <w:jc w:val="left"/>
                        <w:rPr>
                          <w:i/>
                          <w:iCs/>
                          <w:sz w:val="17"/>
                          <w:szCs w:val="17"/>
                        </w:rPr>
                      </w:pPr>
                      <w:r w:rsidRPr="007420E6">
                        <w:rPr>
                          <w:i/>
                          <w:iCs/>
                          <w:sz w:val="17"/>
                          <w:szCs w:val="17"/>
                        </w:rPr>
                        <w:t xml:space="preserve">‘7. After having received approval from supervisory authorities to use an internal model, insurance and reinsurance undertakings shall provide the supervisory authorities every two years with an estimate of the Solvency Capital Requirement determined in accordance with the standard formula, as set out in Subsection 2. </w:t>
                      </w:r>
                      <w:r w:rsidRPr="007420E6">
                        <w:rPr>
                          <w:b/>
                          <w:bCs/>
                          <w:i/>
                          <w:iCs/>
                          <w:sz w:val="17"/>
                          <w:szCs w:val="17"/>
                        </w:rPr>
                        <w:t>Supervisory authorities may, by means of a decision stating the reasons, request more frequent reporting from the insurance or reinsurance undertaking</w:t>
                      </w:r>
                      <w:r w:rsidRPr="007420E6">
                        <w:rPr>
                          <w:i/>
                          <w:iCs/>
                          <w:sz w:val="17"/>
                          <w:szCs w:val="17"/>
                        </w:rPr>
                        <w:t>.’</w:t>
                      </w:r>
                    </w:p>
                  </w:txbxContent>
                </v:textbox>
                <w10:wrap type="square" anchorx="margin"/>
              </v:shape>
            </w:pict>
          </mc:Fallback>
        </mc:AlternateContent>
      </w:r>
      <w:r w:rsidRPr="006F3EB1">
        <w:rPr>
          <w:b/>
          <w:bCs/>
          <w:sz w:val="17"/>
          <w:szCs w:val="17"/>
        </w:rPr>
        <w:t>Standard formula reporting for Internal Models</w:t>
      </w:r>
    </w:p>
    <w:p w14:paraId="35D54ACD" w14:textId="77777777" w:rsidR="00B112C9" w:rsidRDefault="00B112C9" w:rsidP="00DD60C2">
      <w:pPr>
        <w:spacing w:line="276" w:lineRule="auto"/>
        <w:jc w:val="left"/>
        <w:rPr>
          <w:sz w:val="17"/>
          <w:szCs w:val="17"/>
        </w:rPr>
      </w:pPr>
    </w:p>
    <w:p w14:paraId="52A37270" w14:textId="77777777" w:rsidR="00B112C9" w:rsidRPr="00E01FAE" w:rsidRDefault="00B112C9" w:rsidP="00CD2298">
      <w:pPr>
        <w:spacing w:line="240" w:lineRule="auto"/>
        <w:jc w:val="left"/>
        <w:rPr>
          <w:rFonts w:cs="Frutiger LT Std 45 Light"/>
          <w:color w:val="000000"/>
          <w:sz w:val="17"/>
          <w:szCs w:val="20"/>
        </w:rPr>
      </w:pPr>
      <w:r w:rsidRPr="00E01FAE">
        <w:rPr>
          <w:rFonts w:cs="Frutiger LT Std 45 Light"/>
          <w:color w:val="000000"/>
          <w:sz w:val="17"/>
          <w:szCs w:val="20"/>
        </w:rPr>
        <w:t xml:space="preserve">Will your jurisdiction apply this option </w:t>
      </w:r>
      <w:r w:rsidRPr="003E25E4">
        <w:rPr>
          <w:rFonts w:cs="Frutiger LT Std 45 Light"/>
          <w:color w:val="000000"/>
          <w:sz w:val="17"/>
          <w:szCs w:val="20"/>
        </w:rPr>
        <w:t>to request more frequent reporting from the (re)insurer</w:t>
      </w:r>
      <w:r w:rsidRPr="00E01FAE">
        <w:rPr>
          <w:rFonts w:cs="Frutiger LT Std 45 Light"/>
          <w:color w:val="000000"/>
          <w:sz w:val="17"/>
          <w:szCs w:val="20"/>
        </w:rPr>
        <w:t>?</w:t>
      </w:r>
    </w:p>
    <w:p w14:paraId="77D9986B" w14:textId="53202913" w:rsidR="00B112C9" w:rsidRPr="009E4646" w:rsidRDefault="00B112C9" w:rsidP="009E4646">
      <w:pPr>
        <w:pStyle w:val="IEBullet-Level1"/>
        <w:spacing w:line="240" w:lineRule="auto"/>
      </w:pPr>
      <w:r w:rsidRPr="008A7972">
        <w:rPr>
          <w:b/>
          <w:bCs/>
        </w:rPr>
        <w:t>Yes</w:t>
      </w:r>
    </w:p>
    <w:p w14:paraId="27D8D32F" w14:textId="77777777" w:rsidR="00660139" w:rsidRPr="00660139" w:rsidRDefault="00660139" w:rsidP="00660139">
      <w:pPr>
        <w:pStyle w:val="IEBullet-Level3"/>
        <w:numPr>
          <w:ilvl w:val="0"/>
          <w:numId w:val="0"/>
        </w:numPr>
        <w:ind w:left="2673"/>
      </w:pPr>
    </w:p>
    <w:p w14:paraId="231CE9F6" w14:textId="77777777" w:rsidR="00B112C9" w:rsidRPr="00E01FAE" w:rsidRDefault="00B112C9" w:rsidP="00660139">
      <w:pPr>
        <w:spacing w:line="240" w:lineRule="auto"/>
        <w:jc w:val="left"/>
        <w:rPr>
          <w:rFonts w:cs="Frutiger LT Std 45 Light"/>
          <w:color w:val="000000"/>
          <w:sz w:val="17"/>
          <w:szCs w:val="20"/>
        </w:rPr>
      </w:pPr>
      <w:r w:rsidRPr="00E01FAE">
        <w:rPr>
          <w:rFonts w:cs="Frutiger LT Std 45 Light"/>
          <w:color w:val="000000"/>
          <w:sz w:val="17"/>
          <w:szCs w:val="20"/>
        </w:rPr>
        <w:t>If yes, how?</w:t>
      </w:r>
    </w:p>
    <w:p w14:paraId="2944958B" w14:textId="13A00516" w:rsidR="00660139" w:rsidRPr="008A7972" w:rsidRDefault="008A7972" w:rsidP="00B112C9">
      <w:pPr>
        <w:pStyle w:val="IEBullet-Level1"/>
        <w:spacing w:line="240" w:lineRule="auto"/>
        <w:rPr>
          <w:b/>
          <w:bCs/>
        </w:rPr>
      </w:pPr>
      <w:r w:rsidRPr="008A7972">
        <w:rPr>
          <w:b/>
          <w:bCs/>
        </w:rPr>
        <w:t xml:space="preserve">“On the basis of a reasoned decision, the National Bank of Slovakia may require insurance and reinsurance companies to submit more frequent reports on the estimation of the capital requirement for solvency." </w:t>
      </w:r>
      <w:r>
        <w:rPr>
          <w:b/>
          <w:bCs/>
        </w:rPr>
        <w:t xml:space="preserve">/Article 54(8) </w:t>
      </w:r>
      <w:r w:rsidR="00244345">
        <w:rPr>
          <w:b/>
          <w:bCs/>
        </w:rPr>
        <w:t>draft law/</w:t>
      </w:r>
    </w:p>
    <w:p w14:paraId="5CDC82BE" w14:textId="77777777" w:rsidR="00660139" w:rsidRPr="00660139" w:rsidRDefault="00660139" w:rsidP="00660139">
      <w:pPr>
        <w:pStyle w:val="IEBullet-Level1"/>
        <w:numPr>
          <w:ilvl w:val="0"/>
          <w:numId w:val="0"/>
        </w:numPr>
        <w:spacing w:line="240" w:lineRule="auto"/>
        <w:ind w:left="720"/>
      </w:pPr>
    </w:p>
    <w:p w14:paraId="6EFDC220" w14:textId="77777777" w:rsidR="00B112C9" w:rsidRPr="00647A47" w:rsidRDefault="00B112C9" w:rsidP="00660139">
      <w:pPr>
        <w:pStyle w:val="IEBullet-Level1"/>
        <w:numPr>
          <w:ilvl w:val="0"/>
          <w:numId w:val="0"/>
        </w:numPr>
        <w:spacing w:line="240" w:lineRule="auto"/>
        <w:ind w:left="720"/>
      </w:pPr>
    </w:p>
    <w:p w14:paraId="180D418F" w14:textId="77777777" w:rsidR="00B112C9" w:rsidRPr="00E01FAE" w:rsidRDefault="00B112C9" w:rsidP="00660139">
      <w:pPr>
        <w:spacing w:line="240" w:lineRule="auto"/>
        <w:jc w:val="left"/>
        <w:rPr>
          <w:rFonts w:cs="Frutiger LT Std 45 Light"/>
          <w:color w:val="000000"/>
          <w:sz w:val="17"/>
          <w:szCs w:val="20"/>
        </w:rPr>
      </w:pPr>
      <w:r w:rsidRPr="00E01FAE">
        <w:rPr>
          <w:rFonts w:cs="Frutiger LT Std 45 Light"/>
          <w:color w:val="000000"/>
          <w:sz w:val="17"/>
          <w:szCs w:val="20"/>
        </w:rPr>
        <w:t>Expected impact or concerns:</w:t>
      </w:r>
    </w:p>
    <w:p w14:paraId="4F98CF35" w14:textId="77777777" w:rsidR="00B112C9" w:rsidRPr="004166B3" w:rsidRDefault="00B112C9" w:rsidP="00B112C9">
      <w:pPr>
        <w:pStyle w:val="IEBullet-Level1"/>
        <w:spacing w:line="240" w:lineRule="auto"/>
      </w:pPr>
    </w:p>
    <w:p w14:paraId="45829AE6" w14:textId="77777777" w:rsidR="00660139" w:rsidRPr="009B0956" w:rsidRDefault="00660139" w:rsidP="00B112C9">
      <w:pPr>
        <w:spacing w:after="200" w:line="240" w:lineRule="auto"/>
        <w:jc w:val="left"/>
        <w:rPr>
          <w:rFonts w:cs="Frutiger LT Std 45 Light"/>
          <w:i/>
          <w:iCs/>
          <w:color w:val="000000"/>
          <w:sz w:val="17"/>
          <w:szCs w:val="20"/>
        </w:rPr>
      </w:pPr>
    </w:p>
    <w:p w14:paraId="3452104D" w14:textId="6EC2E2C5" w:rsidR="00B112C9" w:rsidRPr="00B50223" w:rsidRDefault="00B112C9" w:rsidP="00660139">
      <w:pPr>
        <w:spacing w:line="240" w:lineRule="auto"/>
        <w:jc w:val="left"/>
        <w:rPr>
          <w:rFonts w:cs="Frutiger LT Std 45 Light"/>
          <w:color w:val="000000"/>
          <w:sz w:val="17"/>
          <w:szCs w:val="20"/>
        </w:rPr>
      </w:pPr>
      <w:r w:rsidRPr="00B50223">
        <w:rPr>
          <w:rFonts w:cs="Frutiger LT Std 45 Light"/>
          <w:color w:val="000000"/>
          <w:sz w:val="17"/>
          <w:szCs w:val="20"/>
        </w:rPr>
        <w:t>Other comments:</w:t>
      </w:r>
    </w:p>
    <w:p w14:paraId="08322B03" w14:textId="77777777" w:rsidR="008A7972" w:rsidRPr="008A7972" w:rsidRDefault="008A7972" w:rsidP="008A7972">
      <w:pPr>
        <w:pStyle w:val="IEBullet-Level1"/>
        <w:rPr>
          <w:b/>
          <w:bCs/>
        </w:rPr>
      </w:pPr>
      <w:r w:rsidRPr="008A7972">
        <w:rPr>
          <w:b/>
          <w:bCs/>
        </w:rPr>
        <w:t>It is not the final version. There is a discussion going on.</w:t>
      </w:r>
    </w:p>
    <w:p w14:paraId="19821358" w14:textId="07A8C891" w:rsidR="00B112C9" w:rsidRPr="009B0956" w:rsidRDefault="00B112C9" w:rsidP="008A7972">
      <w:pPr>
        <w:pStyle w:val="IEBullet-Level1"/>
        <w:numPr>
          <w:ilvl w:val="0"/>
          <w:numId w:val="0"/>
        </w:numPr>
        <w:ind w:left="720"/>
        <w:rPr>
          <w:i/>
          <w:iCs/>
        </w:rPr>
      </w:pPr>
    </w:p>
    <w:p w14:paraId="6285F263" w14:textId="77777777" w:rsidR="00B112C9" w:rsidRDefault="00B112C9" w:rsidP="00B112C9">
      <w:pPr>
        <w:spacing w:after="200" w:line="276" w:lineRule="auto"/>
        <w:jc w:val="left"/>
        <w:rPr>
          <w:sz w:val="17"/>
          <w:szCs w:val="17"/>
        </w:rPr>
      </w:pPr>
    </w:p>
    <w:p w14:paraId="2626FA29" w14:textId="242348D4" w:rsidR="00717FA3" w:rsidRPr="008B15CC" w:rsidRDefault="00717FA3" w:rsidP="00717FA3">
      <w:pPr>
        <w:spacing w:after="200" w:line="276" w:lineRule="auto"/>
        <w:jc w:val="left"/>
        <w:rPr>
          <w:b/>
          <w:sz w:val="17"/>
          <w:szCs w:val="17"/>
        </w:rPr>
      </w:pPr>
      <w:r w:rsidRPr="008B15CC">
        <w:rPr>
          <w:b/>
          <w:noProof/>
          <w:sz w:val="17"/>
          <w:szCs w:val="17"/>
        </w:rPr>
        <w:lastRenderedPageBreak/>
        <mc:AlternateContent>
          <mc:Choice Requires="wps">
            <w:drawing>
              <wp:anchor distT="45720" distB="45720" distL="114300" distR="114300" simplePos="0" relativeHeight="251658244" behindDoc="0" locked="0" layoutInCell="1" allowOverlap="1" wp14:anchorId="28B206B1" wp14:editId="178A458B">
                <wp:simplePos x="0" y="0"/>
                <wp:positionH relativeFrom="margin">
                  <wp:align>left</wp:align>
                </wp:positionH>
                <wp:positionV relativeFrom="paragraph">
                  <wp:posOffset>317077</wp:posOffset>
                </wp:positionV>
                <wp:extent cx="6061710" cy="1404620"/>
                <wp:effectExtent l="0" t="0" r="15240" b="15240"/>
                <wp:wrapSquare wrapText="bothSides"/>
                <wp:docPr id="217100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404620"/>
                        </a:xfrm>
                        <a:prstGeom prst="rect">
                          <a:avLst/>
                        </a:prstGeom>
                        <a:solidFill>
                          <a:srgbClr val="E4ECCA"/>
                        </a:solidFill>
                        <a:ln w="9525">
                          <a:solidFill>
                            <a:srgbClr val="000000"/>
                          </a:solidFill>
                          <a:miter lim="800000"/>
                          <a:headEnd/>
                          <a:tailEnd/>
                        </a:ln>
                      </wps:spPr>
                      <wps:txbx>
                        <w:txbxContent>
                          <w:p w14:paraId="7E921CB4" w14:textId="1CD08347" w:rsidR="00B753BF" w:rsidRPr="00B753BF" w:rsidRDefault="00B753BF" w:rsidP="00B753BF">
                            <w:pPr>
                              <w:spacing w:after="200" w:line="276" w:lineRule="auto"/>
                              <w:jc w:val="left"/>
                              <w:rPr>
                                <w:sz w:val="17"/>
                                <w:szCs w:val="17"/>
                              </w:rPr>
                            </w:pPr>
                            <w:r w:rsidRPr="00B753BF">
                              <w:rPr>
                                <w:sz w:val="17"/>
                                <w:szCs w:val="17"/>
                              </w:rPr>
                              <w:t>In</w:t>
                            </w:r>
                            <w:r w:rsidRPr="00B753BF">
                              <w:rPr>
                                <w:b/>
                                <w:bCs/>
                                <w:sz w:val="17"/>
                                <w:szCs w:val="17"/>
                              </w:rPr>
                              <w:t xml:space="preserve"> Article 122</w:t>
                            </w:r>
                            <w:r w:rsidRPr="00B753BF">
                              <w:rPr>
                                <w:sz w:val="17"/>
                                <w:szCs w:val="17"/>
                              </w:rPr>
                              <w:t>, the following paragraph is added:</w:t>
                            </w:r>
                          </w:p>
                          <w:p w14:paraId="24C518DD" w14:textId="5329BBC3" w:rsidR="00B753BF" w:rsidRPr="00B753BF" w:rsidRDefault="00B753BF" w:rsidP="00B753BF">
                            <w:pPr>
                              <w:spacing w:after="200" w:line="276" w:lineRule="auto"/>
                              <w:jc w:val="left"/>
                              <w:rPr>
                                <w:i/>
                                <w:iCs/>
                                <w:sz w:val="17"/>
                                <w:szCs w:val="17"/>
                              </w:rPr>
                            </w:pPr>
                            <w:r w:rsidRPr="00B753BF">
                              <w:rPr>
                                <w:i/>
                                <w:iCs/>
                                <w:sz w:val="17"/>
                                <w:szCs w:val="17"/>
                              </w:rPr>
                              <w:t>‘5</w:t>
                            </w:r>
                            <w:r w:rsidRPr="001441FB">
                              <w:rPr>
                                <w:b/>
                                <w:bCs/>
                                <w:i/>
                                <w:iCs/>
                                <w:sz w:val="17"/>
                                <w:szCs w:val="17"/>
                              </w:rPr>
                              <w:t>. Member States may allow insurance and reinsurance undertakings to take into account the effect of credit spread movements on the volatility adjustment</w:t>
                            </w:r>
                            <w:r w:rsidRPr="00B753BF">
                              <w:rPr>
                                <w:i/>
                                <w:iCs/>
                                <w:sz w:val="17"/>
                                <w:szCs w:val="17"/>
                              </w:rPr>
                              <w:t xml:space="preserve"> calculated in accordance with Article 77d in their internal model, only where:</w:t>
                            </w:r>
                          </w:p>
                          <w:p w14:paraId="3BEDCFC4" w14:textId="46E57BF5" w:rsidR="00B753BF" w:rsidRPr="00B753BF" w:rsidRDefault="00B753BF" w:rsidP="00B753BF">
                            <w:pPr>
                              <w:spacing w:after="200" w:line="276" w:lineRule="auto"/>
                              <w:jc w:val="left"/>
                              <w:rPr>
                                <w:i/>
                                <w:iCs/>
                                <w:sz w:val="17"/>
                                <w:szCs w:val="17"/>
                              </w:rPr>
                            </w:pPr>
                            <w:r w:rsidRPr="00B753BF">
                              <w:rPr>
                                <w:i/>
                                <w:iCs/>
                                <w:sz w:val="17"/>
                                <w:szCs w:val="17"/>
                              </w:rPr>
                              <w:t>(a) the method to take into account the effect of credit spread movements on the volatility adjustment for a currency</w:t>
                            </w:r>
                            <w:r>
                              <w:rPr>
                                <w:i/>
                                <w:iCs/>
                                <w:sz w:val="17"/>
                                <w:szCs w:val="17"/>
                              </w:rPr>
                              <w:t xml:space="preserve"> </w:t>
                            </w:r>
                            <w:r w:rsidRPr="00B753BF">
                              <w:rPr>
                                <w:i/>
                                <w:iCs/>
                                <w:sz w:val="17"/>
                                <w:szCs w:val="17"/>
                              </w:rPr>
                              <w:t>does neither take into account the undertaking-specific adjustment of the risk-corrected spread pursuant to Article 77d(1c) nor, in the case of the euro, a possible increase of the volatility adjustment by a macro volatility adjustment pursuant to Article 77d(4);</w:t>
                            </w:r>
                          </w:p>
                          <w:p w14:paraId="2D485890" w14:textId="77777777" w:rsidR="00B753BF" w:rsidRPr="00B753BF" w:rsidRDefault="00B753BF" w:rsidP="00B753BF">
                            <w:pPr>
                              <w:spacing w:after="200" w:line="276" w:lineRule="auto"/>
                              <w:jc w:val="left"/>
                              <w:rPr>
                                <w:i/>
                                <w:iCs/>
                                <w:sz w:val="17"/>
                                <w:szCs w:val="17"/>
                              </w:rPr>
                            </w:pPr>
                            <w:r w:rsidRPr="00B753BF">
                              <w:rPr>
                                <w:i/>
                                <w:iCs/>
                                <w:sz w:val="17"/>
                                <w:szCs w:val="17"/>
                              </w:rPr>
                              <w:t>(b) the Solvency Capital Requirement is not lower than any of the following:</w:t>
                            </w:r>
                          </w:p>
                          <w:p w14:paraId="0F7234BE" w14:textId="39D79E8A" w:rsidR="00B753BF" w:rsidRPr="00B753BF" w:rsidRDefault="00B753BF" w:rsidP="00B753BF">
                            <w:pPr>
                              <w:spacing w:after="200" w:line="276" w:lineRule="auto"/>
                              <w:jc w:val="left"/>
                              <w:rPr>
                                <w:i/>
                                <w:iCs/>
                                <w:sz w:val="17"/>
                                <w:szCs w:val="17"/>
                              </w:rPr>
                            </w:pPr>
                            <w:r w:rsidRPr="00B753BF">
                              <w:rPr>
                                <w:i/>
                                <w:iCs/>
                                <w:sz w:val="17"/>
                                <w:szCs w:val="17"/>
                              </w:rPr>
                              <w:t>(</w:t>
                            </w:r>
                            <w:proofErr w:type="spellStart"/>
                            <w:r w:rsidRPr="00B753BF">
                              <w:rPr>
                                <w:i/>
                                <w:iCs/>
                                <w:sz w:val="17"/>
                                <w:szCs w:val="17"/>
                              </w:rPr>
                              <w:t>i</w:t>
                            </w:r>
                            <w:proofErr w:type="spellEnd"/>
                            <w:r w:rsidRPr="00B753BF">
                              <w:rPr>
                                <w:i/>
                                <w:iCs/>
                                <w:sz w:val="17"/>
                                <w:szCs w:val="17"/>
                              </w:rPr>
                              <w:t>) a notional Solvency Capital Requirement calculated as the Solvency Capital Requirement, except that the effect of credit spread movements on the volatility adjustment is taken into account in accordance with the methodology used by EIOPA for the purposes of the publication of technical information pursuant to Article 77e(1), point (c);</w:t>
                            </w:r>
                          </w:p>
                          <w:p w14:paraId="7F1EF283" w14:textId="3D2EC593" w:rsidR="00B753BF" w:rsidRPr="00B753BF" w:rsidRDefault="00B753BF" w:rsidP="00B753BF">
                            <w:pPr>
                              <w:spacing w:after="200" w:line="276" w:lineRule="auto"/>
                              <w:jc w:val="left"/>
                              <w:rPr>
                                <w:i/>
                                <w:iCs/>
                                <w:sz w:val="17"/>
                                <w:szCs w:val="17"/>
                              </w:rPr>
                            </w:pPr>
                            <w:r w:rsidRPr="00B753BF">
                              <w:rPr>
                                <w:i/>
                                <w:iCs/>
                                <w:sz w:val="17"/>
                                <w:szCs w:val="17"/>
                              </w:rPr>
                              <w:t>(ii) a notional Solvency Capital Requirement calculated in accordance with point (</w:t>
                            </w:r>
                            <w:proofErr w:type="spellStart"/>
                            <w:r w:rsidRPr="00B753BF">
                              <w:rPr>
                                <w:i/>
                                <w:iCs/>
                                <w:sz w:val="17"/>
                                <w:szCs w:val="17"/>
                              </w:rPr>
                              <w:t>i</w:t>
                            </w:r>
                            <w:proofErr w:type="spellEnd"/>
                            <w:r w:rsidRPr="00B753BF">
                              <w:rPr>
                                <w:i/>
                                <w:iCs/>
                                <w:sz w:val="17"/>
                                <w:szCs w:val="17"/>
                              </w:rPr>
                              <w:t>) of this point, except that the representative portfolio for a currency referred to in Article 77d(2), second subparagraph, is determined on the basis of the assets in which the insurance or reinsurance undertaking is investing instead of the assets of all insurance or reinsurance undertakings with insurance or reinsurance obligations denominated in that currency.</w:t>
                            </w:r>
                          </w:p>
                          <w:p w14:paraId="632DAB5F" w14:textId="168C1B26" w:rsidR="00717FA3" w:rsidRPr="00446421" w:rsidRDefault="00B753BF" w:rsidP="00B753BF">
                            <w:pPr>
                              <w:spacing w:after="200" w:line="276" w:lineRule="auto"/>
                              <w:jc w:val="left"/>
                              <w:rPr>
                                <w:i/>
                                <w:iCs/>
                                <w:sz w:val="17"/>
                                <w:szCs w:val="17"/>
                              </w:rPr>
                            </w:pPr>
                            <w:r w:rsidRPr="00B753BF">
                              <w:rPr>
                                <w:i/>
                                <w:iCs/>
                                <w:sz w:val="17"/>
                                <w:szCs w:val="17"/>
                              </w:rPr>
                              <w:t>For the purposes of the first subparagraph, point (b), the determination of the representative portfolio for a given currency shall be based on the undertaking’s assets denominated in that currency and used to cover the best estimate for insurance and reinsurance obligations denominated in that currency.’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B206B1" id="_x0000_s1031" type="#_x0000_t202" style="position:absolute;margin-left:0;margin-top:24.95pt;width:477.3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" fillcolor="#e4ecca">
                <v:textbox style="mso-fit-shape-to-text:t">
                  <w:txbxContent>
                    <w:p w14:paraId="7E921CB4" w14:textId="1CD08347" w:rsidR="00B753BF" w:rsidRPr="00B753BF" w:rsidRDefault="00B753BF" w:rsidP="00B753BF">
                      <w:pPr>
                        <w:spacing w:after="200" w:line="276" w:lineRule="auto"/>
                        <w:jc w:val="left"/>
                        <w:rPr>
                          <w:sz w:val="17"/>
                          <w:szCs w:val="17"/>
                        </w:rPr>
                      </w:pPr>
                      <w:r w:rsidRPr="00B753BF">
                        <w:rPr>
                          <w:sz w:val="17"/>
                          <w:szCs w:val="17"/>
                        </w:rPr>
                        <w:t>In</w:t>
                      </w:r>
                      <w:r w:rsidRPr="00B753BF">
                        <w:rPr>
                          <w:b/>
                          <w:bCs/>
                          <w:sz w:val="17"/>
                          <w:szCs w:val="17"/>
                        </w:rPr>
                        <w:t xml:space="preserve"> Article 122</w:t>
                      </w:r>
                      <w:r w:rsidRPr="00B753BF">
                        <w:rPr>
                          <w:sz w:val="17"/>
                          <w:szCs w:val="17"/>
                        </w:rPr>
                        <w:t>, the following paragraph is added:</w:t>
                      </w:r>
                    </w:p>
                    <w:p w14:paraId="24C518DD" w14:textId="5329BBC3" w:rsidR="00B753BF" w:rsidRPr="00B753BF" w:rsidRDefault="00B753BF" w:rsidP="00B753BF">
                      <w:pPr>
                        <w:spacing w:after="200" w:line="276" w:lineRule="auto"/>
                        <w:jc w:val="left"/>
                        <w:rPr>
                          <w:i/>
                          <w:iCs/>
                          <w:sz w:val="17"/>
                          <w:szCs w:val="17"/>
                        </w:rPr>
                      </w:pPr>
                      <w:r w:rsidRPr="00B753BF">
                        <w:rPr>
                          <w:i/>
                          <w:iCs/>
                          <w:sz w:val="17"/>
                          <w:szCs w:val="17"/>
                        </w:rPr>
                        <w:t>‘5</w:t>
                      </w:r>
                      <w:r w:rsidRPr="001441FB">
                        <w:rPr>
                          <w:b/>
                          <w:bCs/>
                          <w:i/>
                          <w:iCs/>
                          <w:sz w:val="17"/>
                          <w:szCs w:val="17"/>
                        </w:rPr>
                        <w:t>. Member States may allow insurance and reinsurance undertakings to take into account the effect of credit spread movements on the volatility adjustment</w:t>
                      </w:r>
                      <w:r w:rsidRPr="00B753BF">
                        <w:rPr>
                          <w:i/>
                          <w:iCs/>
                          <w:sz w:val="17"/>
                          <w:szCs w:val="17"/>
                        </w:rPr>
                        <w:t xml:space="preserve"> calculated in accordance with Article 77d in their internal model, only where:</w:t>
                      </w:r>
                    </w:p>
                    <w:p w14:paraId="3BEDCFC4" w14:textId="46E57BF5" w:rsidR="00B753BF" w:rsidRPr="00B753BF" w:rsidRDefault="00B753BF" w:rsidP="00B753BF">
                      <w:pPr>
                        <w:spacing w:after="200" w:line="276" w:lineRule="auto"/>
                        <w:jc w:val="left"/>
                        <w:rPr>
                          <w:i/>
                          <w:iCs/>
                          <w:sz w:val="17"/>
                          <w:szCs w:val="17"/>
                        </w:rPr>
                      </w:pPr>
                      <w:r w:rsidRPr="00B753BF">
                        <w:rPr>
                          <w:i/>
                          <w:iCs/>
                          <w:sz w:val="17"/>
                          <w:szCs w:val="17"/>
                        </w:rPr>
                        <w:t>(a) the method to take into account the effect of credit spread movements on the volatility adjustment for a currency</w:t>
                      </w:r>
                      <w:r>
                        <w:rPr>
                          <w:i/>
                          <w:iCs/>
                          <w:sz w:val="17"/>
                          <w:szCs w:val="17"/>
                        </w:rPr>
                        <w:t xml:space="preserve"> </w:t>
                      </w:r>
                      <w:r w:rsidRPr="00B753BF">
                        <w:rPr>
                          <w:i/>
                          <w:iCs/>
                          <w:sz w:val="17"/>
                          <w:szCs w:val="17"/>
                        </w:rPr>
                        <w:t>does neither take into account the undertaking-specific adjustment of the risk-corrected spread pursuant to Article 77d(1c) nor, in the case of the euro, a possible increase of the volatility adjustment by a macro volatility adjustment pursuant to Article 77d(4);</w:t>
                      </w:r>
                    </w:p>
                    <w:p w14:paraId="2D485890" w14:textId="77777777" w:rsidR="00B753BF" w:rsidRPr="00B753BF" w:rsidRDefault="00B753BF" w:rsidP="00B753BF">
                      <w:pPr>
                        <w:spacing w:after="200" w:line="276" w:lineRule="auto"/>
                        <w:jc w:val="left"/>
                        <w:rPr>
                          <w:i/>
                          <w:iCs/>
                          <w:sz w:val="17"/>
                          <w:szCs w:val="17"/>
                        </w:rPr>
                      </w:pPr>
                      <w:r w:rsidRPr="00B753BF">
                        <w:rPr>
                          <w:i/>
                          <w:iCs/>
                          <w:sz w:val="17"/>
                          <w:szCs w:val="17"/>
                        </w:rPr>
                        <w:t>(b) the Solvency Capital Requirement is not lower than any of the following:</w:t>
                      </w:r>
                    </w:p>
                    <w:p w14:paraId="0F7234BE" w14:textId="39D79E8A" w:rsidR="00B753BF" w:rsidRPr="00B753BF" w:rsidRDefault="00B753BF" w:rsidP="00B753BF">
                      <w:pPr>
                        <w:spacing w:after="200" w:line="276" w:lineRule="auto"/>
                        <w:jc w:val="left"/>
                        <w:rPr>
                          <w:i/>
                          <w:iCs/>
                          <w:sz w:val="17"/>
                          <w:szCs w:val="17"/>
                        </w:rPr>
                      </w:pPr>
                      <w:r w:rsidRPr="00B753BF">
                        <w:rPr>
                          <w:i/>
                          <w:iCs/>
                          <w:sz w:val="17"/>
                          <w:szCs w:val="17"/>
                        </w:rPr>
                        <w:t>(</w:t>
                      </w:r>
                      <w:proofErr w:type="spellStart"/>
                      <w:r w:rsidRPr="00B753BF">
                        <w:rPr>
                          <w:i/>
                          <w:iCs/>
                          <w:sz w:val="17"/>
                          <w:szCs w:val="17"/>
                        </w:rPr>
                        <w:t>i</w:t>
                      </w:r>
                      <w:proofErr w:type="spellEnd"/>
                      <w:r w:rsidRPr="00B753BF">
                        <w:rPr>
                          <w:i/>
                          <w:iCs/>
                          <w:sz w:val="17"/>
                          <w:szCs w:val="17"/>
                        </w:rPr>
                        <w:t>) a notional Solvency Capital Requirement calculated as the Solvency Capital Requirement, except that the effect of credit spread movements on the volatility adjustment is taken into account in accordance with the methodology used by EIOPA for the purposes of the publication of technical information pursuant to Article 77e(1), point (c);</w:t>
                      </w:r>
                    </w:p>
                    <w:p w14:paraId="7F1EF283" w14:textId="3D2EC593" w:rsidR="00B753BF" w:rsidRPr="00B753BF" w:rsidRDefault="00B753BF" w:rsidP="00B753BF">
                      <w:pPr>
                        <w:spacing w:after="200" w:line="276" w:lineRule="auto"/>
                        <w:jc w:val="left"/>
                        <w:rPr>
                          <w:i/>
                          <w:iCs/>
                          <w:sz w:val="17"/>
                          <w:szCs w:val="17"/>
                        </w:rPr>
                      </w:pPr>
                      <w:r w:rsidRPr="00B753BF">
                        <w:rPr>
                          <w:i/>
                          <w:iCs/>
                          <w:sz w:val="17"/>
                          <w:szCs w:val="17"/>
                        </w:rPr>
                        <w:t>(ii) a notional Solvency Capital Requirement calculated in accordance with point (</w:t>
                      </w:r>
                      <w:proofErr w:type="spellStart"/>
                      <w:r w:rsidRPr="00B753BF">
                        <w:rPr>
                          <w:i/>
                          <w:iCs/>
                          <w:sz w:val="17"/>
                          <w:szCs w:val="17"/>
                        </w:rPr>
                        <w:t>i</w:t>
                      </w:r>
                      <w:proofErr w:type="spellEnd"/>
                      <w:r w:rsidRPr="00B753BF">
                        <w:rPr>
                          <w:i/>
                          <w:iCs/>
                          <w:sz w:val="17"/>
                          <w:szCs w:val="17"/>
                        </w:rPr>
                        <w:t>) of this point, except that the representative portfolio for a currency referred to in Article 77d(2), second subparagraph, is determined on the basis of the assets in which the insurance or reinsurance undertaking is investing instead of the assets of all insurance or reinsurance undertakings with insurance or reinsurance obligations denominated in that currency.</w:t>
                      </w:r>
                    </w:p>
                    <w:p w14:paraId="632DAB5F" w14:textId="168C1B26" w:rsidR="00717FA3" w:rsidRPr="00446421" w:rsidRDefault="00B753BF" w:rsidP="00B753BF">
                      <w:pPr>
                        <w:spacing w:after="200" w:line="276" w:lineRule="auto"/>
                        <w:jc w:val="left"/>
                        <w:rPr>
                          <w:i/>
                          <w:iCs/>
                          <w:sz w:val="17"/>
                          <w:szCs w:val="17"/>
                        </w:rPr>
                      </w:pPr>
                      <w:r w:rsidRPr="00B753BF">
                        <w:rPr>
                          <w:i/>
                          <w:iCs/>
                          <w:sz w:val="17"/>
                          <w:szCs w:val="17"/>
                        </w:rPr>
                        <w:t>For the purposes of the first subparagraph, point (b), the determination of the representative portfolio for a given currency shall be based on the undertaking’s assets denominated in that currency and used to cover the best estimate for insurance and reinsurance obligations denominated in that currency.’</w:t>
                      </w:r>
                    </w:p>
                  </w:txbxContent>
                </v:textbox>
                <w10:wrap type="square" anchorx="margin"/>
              </v:shape>
            </w:pict>
          </mc:Fallback>
        </mc:AlternateContent>
      </w:r>
      <w:r w:rsidR="00B753BF" w:rsidRPr="008B15CC">
        <w:rPr>
          <w:b/>
          <w:noProof/>
          <w:sz w:val="17"/>
          <w:szCs w:val="17"/>
        </w:rPr>
        <w:t>Calibration standards</w:t>
      </w:r>
      <w:r w:rsidRPr="008B15CC">
        <w:rPr>
          <w:b/>
          <w:bCs/>
          <w:sz w:val="17"/>
          <w:szCs w:val="17"/>
        </w:rPr>
        <w:t xml:space="preserve"> for Internal Models</w:t>
      </w:r>
    </w:p>
    <w:p w14:paraId="4057B89B" w14:textId="77777777" w:rsidR="00717FA3" w:rsidRPr="008B15CC" w:rsidRDefault="00717FA3" w:rsidP="00717FA3">
      <w:pPr>
        <w:spacing w:line="276" w:lineRule="auto"/>
        <w:jc w:val="left"/>
        <w:rPr>
          <w:sz w:val="17"/>
          <w:szCs w:val="17"/>
        </w:rPr>
      </w:pPr>
    </w:p>
    <w:p w14:paraId="0051F79E" w14:textId="7A67E499" w:rsidR="00717FA3" w:rsidRPr="008B15CC" w:rsidRDefault="00717FA3" w:rsidP="00717FA3">
      <w:pPr>
        <w:spacing w:line="240" w:lineRule="auto"/>
        <w:jc w:val="left"/>
        <w:rPr>
          <w:rFonts w:cs="Frutiger LT Std 45 Light"/>
          <w:color w:val="000000"/>
          <w:sz w:val="17"/>
          <w:szCs w:val="20"/>
        </w:rPr>
      </w:pPr>
      <w:r w:rsidRPr="008B15CC">
        <w:rPr>
          <w:rFonts w:cs="Frutiger LT Std 45 Light"/>
          <w:color w:val="000000"/>
          <w:sz w:val="17"/>
          <w:szCs w:val="20"/>
        </w:rPr>
        <w:t xml:space="preserve">Will your jurisdiction apply this option to </w:t>
      </w:r>
      <w:r w:rsidR="008B15CC" w:rsidRPr="008B15CC">
        <w:rPr>
          <w:rFonts w:cs="Frutiger LT Std 45 Light"/>
          <w:color w:val="000000"/>
          <w:sz w:val="17"/>
          <w:szCs w:val="20"/>
        </w:rPr>
        <w:t>allow (re)insurers to reflect the effect of credit spread movements within the volatility adjustment</w:t>
      </w:r>
      <w:r w:rsidRPr="008B15CC">
        <w:rPr>
          <w:rFonts w:cs="Frutiger LT Std 45 Light"/>
          <w:color w:val="000000"/>
          <w:sz w:val="17"/>
          <w:szCs w:val="20"/>
        </w:rPr>
        <w:t>?</w:t>
      </w:r>
    </w:p>
    <w:p w14:paraId="63950BB0" w14:textId="14ECEEDC" w:rsidR="00717FA3" w:rsidRPr="00A5751D" w:rsidRDefault="00A5751D" w:rsidP="00717FA3">
      <w:pPr>
        <w:pStyle w:val="IEBullet-Level1"/>
        <w:spacing w:line="240" w:lineRule="auto"/>
        <w:rPr>
          <w:b/>
          <w:bCs/>
        </w:rPr>
      </w:pPr>
      <w:r w:rsidRPr="00A5751D">
        <w:rPr>
          <w:b/>
          <w:bCs/>
        </w:rPr>
        <w:t>It is not known at this stage</w:t>
      </w:r>
    </w:p>
    <w:p w14:paraId="67EE4DFB" w14:textId="77777777" w:rsidR="00717FA3" w:rsidRPr="008B15CC" w:rsidRDefault="00717FA3" w:rsidP="00717FA3">
      <w:pPr>
        <w:pStyle w:val="IEBullet-Level3"/>
        <w:numPr>
          <w:ilvl w:val="0"/>
          <w:numId w:val="0"/>
        </w:numPr>
        <w:ind w:left="2673"/>
      </w:pPr>
    </w:p>
    <w:p w14:paraId="3C3285C1" w14:textId="77777777" w:rsidR="00717FA3" w:rsidRPr="008B15CC" w:rsidRDefault="00717FA3" w:rsidP="00717FA3">
      <w:pPr>
        <w:spacing w:line="240" w:lineRule="auto"/>
        <w:jc w:val="left"/>
        <w:rPr>
          <w:rFonts w:cs="Frutiger LT Std 45 Light"/>
          <w:color w:val="000000"/>
          <w:sz w:val="17"/>
          <w:szCs w:val="20"/>
        </w:rPr>
      </w:pPr>
      <w:r w:rsidRPr="008B15CC">
        <w:rPr>
          <w:rFonts w:cs="Frutiger LT Std 45 Light"/>
          <w:color w:val="000000"/>
          <w:sz w:val="17"/>
          <w:szCs w:val="20"/>
        </w:rPr>
        <w:t>If yes, how?</w:t>
      </w:r>
    </w:p>
    <w:p w14:paraId="79420258" w14:textId="77777777" w:rsidR="00717FA3" w:rsidRPr="008B15CC" w:rsidRDefault="00717FA3" w:rsidP="00717FA3">
      <w:pPr>
        <w:pStyle w:val="IEBullet-Level1"/>
        <w:spacing w:line="240" w:lineRule="auto"/>
      </w:pPr>
    </w:p>
    <w:p w14:paraId="7460E3E0" w14:textId="77777777" w:rsidR="00717FA3" w:rsidRPr="008B15CC" w:rsidRDefault="00717FA3" w:rsidP="00717FA3">
      <w:pPr>
        <w:pStyle w:val="IEBullet-Level1"/>
        <w:numPr>
          <w:ilvl w:val="0"/>
          <w:numId w:val="0"/>
        </w:numPr>
        <w:spacing w:line="240" w:lineRule="auto"/>
        <w:ind w:left="720"/>
      </w:pPr>
    </w:p>
    <w:p w14:paraId="4412F698" w14:textId="77777777" w:rsidR="00717FA3" w:rsidRPr="008B15CC" w:rsidRDefault="00717FA3" w:rsidP="00717FA3">
      <w:pPr>
        <w:pStyle w:val="IEBullet-Level1"/>
        <w:numPr>
          <w:ilvl w:val="0"/>
          <w:numId w:val="0"/>
        </w:numPr>
        <w:spacing w:line="240" w:lineRule="auto"/>
        <w:ind w:left="720"/>
      </w:pPr>
    </w:p>
    <w:p w14:paraId="268B068D" w14:textId="77777777" w:rsidR="00717FA3" w:rsidRPr="008B15CC" w:rsidRDefault="00717FA3" w:rsidP="00717FA3">
      <w:pPr>
        <w:spacing w:line="240" w:lineRule="auto"/>
        <w:jc w:val="left"/>
        <w:rPr>
          <w:rFonts w:cs="Frutiger LT Std 45 Light"/>
          <w:color w:val="000000"/>
          <w:sz w:val="17"/>
          <w:szCs w:val="20"/>
        </w:rPr>
      </w:pPr>
      <w:r w:rsidRPr="008B15CC">
        <w:rPr>
          <w:rFonts w:cs="Frutiger LT Std 45 Light"/>
          <w:color w:val="000000"/>
          <w:sz w:val="17"/>
          <w:szCs w:val="20"/>
        </w:rPr>
        <w:t>Expected impact or concerns:</w:t>
      </w:r>
    </w:p>
    <w:p w14:paraId="3E872730" w14:textId="77777777" w:rsidR="00717FA3" w:rsidRPr="008B15CC" w:rsidRDefault="00717FA3" w:rsidP="00717FA3">
      <w:pPr>
        <w:pStyle w:val="IEBullet-Level1"/>
        <w:spacing w:line="240" w:lineRule="auto"/>
      </w:pPr>
    </w:p>
    <w:p w14:paraId="61F73FB7" w14:textId="77777777" w:rsidR="00717FA3" w:rsidRPr="008B15CC" w:rsidRDefault="00717FA3" w:rsidP="00717FA3">
      <w:pPr>
        <w:spacing w:after="200" w:line="240" w:lineRule="auto"/>
        <w:jc w:val="left"/>
        <w:rPr>
          <w:rFonts w:cs="Frutiger LT Std 45 Light"/>
          <w:i/>
          <w:iCs/>
          <w:color w:val="000000"/>
          <w:sz w:val="17"/>
          <w:szCs w:val="20"/>
        </w:rPr>
      </w:pPr>
    </w:p>
    <w:p w14:paraId="6554432B" w14:textId="77777777" w:rsidR="00717FA3" w:rsidRPr="008B15CC" w:rsidRDefault="00717FA3" w:rsidP="00717FA3">
      <w:pPr>
        <w:spacing w:line="240" w:lineRule="auto"/>
        <w:jc w:val="left"/>
        <w:rPr>
          <w:rFonts w:cs="Frutiger LT Std 45 Light"/>
          <w:color w:val="000000"/>
          <w:sz w:val="17"/>
          <w:szCs w:val="20"/>
        </w:rPr>
      </w:pPr>
      <w:r w:rsidRPr="008B15CC">
        <w:rPr>
          <w:rFonts w:cs="Frutiger LT Std 45 Light"/>
          <w:color w:val="000000"/>
          <w:sz w:val="17"/>
          <w:szCs w:val="20"/>
        </w:rPr>
        <w:t>Other comments:</w:t>
      </w:r>
    </w:p>
    <w:p w14:paraId="508AEAD2" w14:textId="01813599" w:rsidR="008A7972" w:rsidRPr="008A7972" w:rsidRDefault="008A7972" w:rsidP="008A7972">
      <w:pPr>
        <w:pStyle w:val="IEBullet-Level1"/>
        <w:rPr>
          <w:b/>
          <w:bCs/>
        </w:rPr>
      </w:pPr>
    </w:p>
    <w:p w14:paraId="6CA1B3D7" w14:textId="77777777" w:rsidR="00717FA3" w:rsidRPr="008B15CC" w:rsidRDefault="00717FA3" w:rsidP="008A7972">
      <w:pPr>
        <w:pStyle w:val="IEBullet-Level1"/>
        <w:numPr>
          <w:ilvl w:val="0"/>
          <w:numId w:val="0"/>
        </w:numPr>
        <w:ind w:left="720"/>
        <w:rPr>
          <w:i/>
          <w:iCs/>
        </w:rPr>
      </w:pPr>
    </w:p>
    <w:p w14:paraId="127D3C8A" w14:textId="77777777" w:rsidR="00717FA3" w:rsidRPr="00717FA3" w:rsidRDefault="00717FA3" w:rsidP="00717FA3">
      <w:pPr>
        <w:spacing w:after="200" w:line="276" w:lineRule="auto"/>
        <w:jc w:val="left"/>
        <w:rPr>
          <w:sz w:val="17"/>
          <w:szCs w:val="17"/>
          <w:highlight w:val="yellow"/>
        </w:rPr>
      </w:pPr>
    </w:p>
    <w:p w14:paraId="6988304E" w14:textId="77777777" w:rsidR="00717FA3" w:rsidRPr="00717FA3" w:rsidRDefault="00717FA3" w:rsidP="00717FA3">
      <w:pPr>
        <w:spacing w:after="200" w:line="276" w:lineRule="auto"/>
        <w:jc w:val="left"/>
        <w:rPr>
          <w:sz w:val="17"/>
          <w:szCs w:val="17"/>
          <w:highlight w:val="yellow"/>
        </w:rPr>
      </w:pPr>
    </w:p>
    <w:p w14:paraId="6063606F" w14:textId="2250321F" w:rsidR="00717FA3" w:rsidRPr="00717FA3" w:rsidRDefault="00717FA3" w:rsidP="00CD282D">
      <w:pPr>
        <w:spacing w:after="200" w:line="276" w:lineRule="auto"/>
        <w:jc w:val="left"/>
        <w:rPr>
          <w:sz w:val="17"/>
          <w:szCs w:val="17"/>
          <w:highlight w:val="yellow"/>
        </w:rPr>
      </w:pPr>
      <w:r w:rsidRPr="00717FA3">
        <w:rPr>
          <w:b/>
          <w:noProof/>
          <w:sz w:val="17"/>
          <w:szCs w:val="17"/>
          <w:highlight w:val="yellow"/>
        </w:rPr>
        <w:lastRenderedPageBreak/>
        <mc:AlternateContent>
          <mc:Choice Requires="wps">
            <w:drawing>
              <wp:anchor distT="45720" distB="45720" distL="114300" distR="114300" simplePos="0" relativeHeight="251658245" behindDoc="0" locked="0" layoutInCell="1" allowOverlap="1" wp14:anchorId="75BC47A9" wp14:editId="53161AA0">
                <wp:simplePos x="0" y="0"/>
                <wp:positionH relativeFrom="margin">
                  <wp:align>left</wp:align>
                </wp:positionH>
                <wp:positionV relativeFrom="paragraph">
                  <wp:posOffset>317077</wp:posOffset>
                </wp:positionV>
                <wp:extent cx="6061710" cy="1404620"/>
                <wp:effectExtent l="0" t="0" r="15240" b="15240"/>
                <wp:wrapSquare wrapText="bothSides"/>
                <wp:docPr id="634079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404620"/>
                        </a:xfrm>
                        <a:prstGeom prst="rect">
                          <a:avLst/>
                        </a:prstGeom>
                        <a:solidFill>
                          <a:srgbClr val="E4ECCA"/>
                        </a:solidFill>
                        <a:ln w="9525">
                          <a:solidFill>
                            <a:srgbClr val="000000"/>
                          </a:solidFill>
                          <a:miter lim="800000"/>
                          <a:headEnd/>
                          <a:tailEnd/>
                        </a:ln>
                      </wps:spPr>
                      <wps:txbx>
                        <w:txbxContent>
                          <w:p w14:paraId="3CC52C72" w14:textId="0F01831A" w:rsidR="00991925" w:rsidRPr="00CD282D" w:rsidRDefault="00991925" w:rsidP="00991925">
                            <w:pPr>
                              <w:spacing w:after="200" w:line="276" w:lineRule="auto"/>
                              <w:jc w:val="left"/>
                              <w:rPr>
                                <w:b/>
                                <w:bCs/>
                                <w:sz w:val="17"/>
                                <w:szCs w:val="17"/>
                              </w:rPr>
                            </w:pPr>
                            <w:r w:rsidRPr="00CD282D">
                              <w:rPr>
                                <w:b/>
                                <w:bCs/>
                                <w:sz w:val="17"/>
                                <w:szCs w:val="17"/>
                              </w:rPr>
                              <w:t>Article 144b</w:t>
                            </w:r>
                            <w:r w:rsidR="00CD282D" w:rsidRPr="00CD282D">
                              <w:rPr>
                                <w:b/>
                                <w:bCs/>
                                <w:sz w:val="17"/>
                                <w:szCs w:val="17"/>
                              </w:rPr>
                              <w:t>:</w:t>
                            </w:r>
                          </w:p>
                          <w:p w14:paraId="1F696C4E" w14:textId="7450D38A" w:rsidR="00991925" w:rsidRPr="00991925" w:rsidRDefault="00991925" w:rsidP="00991925">
                            <w:pPr>
                              <w:spacing w:after="200" w:line="276" w:lineRule="auto"/>
                              <w:jc w:val="left"/>
                              <w:rPr>
                                <w:sz w:val="17"/>
                                <w:szCs w:val="17"/>
                              </w:rPr>
                            </w:pPr>
                            <w:r w:rsidRPr="00991925">
                              <w:rPr>
                                <w:sz w:val="17"/>
                                <w:szCs w:val="17"/>
                              </w:rPr>
                              <w:t>1. As part of the regular supervisory review process, supervisory authorities shall monitor the liquidity position of insurance and reinsurance undertakings. Where they identify material liquidity risks, they shall inform the insurance or reinsurance undertaking concerned thereof. The insurance or reinsurance undertaking shall explain how it intends to address those liquidity risks.</w:t>
                            </w:r>
                          </w:p>
                          <w:p w14:paraId="53C01ECB" w14:textId="3B9C6872" w:rsidR="00991925" w:rsidRPr="00991925" w:rsidRDefault="00991925" w:rsidP="00991925">
                            <w:pPr>
                              <w:spacing w:after="200" w:line="276" w:lineRule="auto"/>
                              <w:jc w:val="left"/>
                              <w:rPr>
                                <w:sz w:val="17"/>
                                <w:szCs w:val="17"/>
                              </w:rPr>
                            </w:pPr>
                            <w:r w:rsidRPr="00991925">
                              <w:rPr>
                                <w:sz w:val="17"/>
                                <w:szCs w:val="17"/>
                              </w:rPr>
                              <w:t>2. Member States shall en</w:t>
                            </w:r>
                            <w:r w:rsidR="004956AA">
                              <w:rPr>
                                <w:sz w:val="17"/>
                                <w:szCs w:val="17"/>
                              </w:rPr>
                              <w:t>s</w:t>
                            </w:r>
                            <w:r w:rsidRPr="00991925">
                              <w:rPr>
                                <w:sz w:val="17"/>
                                <w:szCs w:val="17"/>
                              </w:rPr>
                              <w:t>ure that supervisory authorities have the necessary powers to require undertakings to reinforce their liquidity position when material liquidity risks or deficiencies are identified. Such powers shall be applied where there is sufficient evidence regarding the existence of material liquidity risks and the absence of effective remedies taken by the insurance or reinsurance undertaking.</w:t>
                            </w:r>
                          </w:p>
                          <w:p w14:paraId="16BD6FA2" w14:textId="33F52275" w:rsidR="00991925" w:rsidRPr="00991925" w:rsidRDefault="00991925" w:rsidP="00991925">
                            <w:pPr>
                              <w:spacing w:after="200" w:line="276" w:lineRule="auto"/>
                              <w:jc w:val="left"/>
                              <w:rPr>
                                <w:sz w:val="17"/>
                                <w:szCs w:val="17"/>
                              </w:rPr>
                            </w:pPr>
                            <w:r w:rsidRPr="00991925">
                              <w:rPr>
                                <w:sz w:val="17"/>
                                <w:szCs w:val="17"/>
                              </w:rPr>
                              <w:t>The measures taken by a supervisory authority on the basis of this paragraph shall be reviewed by it at least every six months and be removed when the undertaking has taken effective remedies.</w:t>
                            </w:r>
                          </w:p>
                          <w:p w14:paraId="7E783CF9" w14:textId="0A81E4E2" w:rsidR="00991925" w:rsidRPr="00991925" w:rsidRDefault="00991925" w:rsidP="00991925">
                            <w:pPr>
                              <w:spacing w:after="200" w:line="276" w:lineRule="auto"/>
                              <w:jc w:val="left"/>
                              <w:rPr>
                                <w:sz w:val="17"/>
                                <w:szCs w:val="17"/>
                              </w:rPr>
                            </w:pPr>
                            <w:r w:rsidRPr="00991925">
                              <w:rPr>
                                <w:sz w:val="17"/>
                                <w:szCs w:val="17"/>
                              </w:rPr>
                              <w:t>Where relevant, the supervisory authority shall share the evidence of vulnerabilities in terms of liquidity risks with EIOPA.</w:t>
                            </w:r>
                          </w:p>
                          <w:p w14:paraId="381B7F3F" w14:textId="3360469F" w:rsidR="00991925" w:rsidRPr="00991925" w:rsidRDefault="00991925" w:rsidP="00991925">
                            <w:pPr>
                              <w:spacing w:after="200" w:line="276" w:lineRule="auto"/>
                              <w:jc w:val="left"/>
                              <w:rPr>
                                <w:sz w:val="17"/>
                                <w:szCs w:val="17"/>
                              </w:rPr>
                            </w:pPr>
                            <w:r w:rsidRPr="00991925">
                              <w:rPr>
                                <w:sz w:val="17"/>
                                <w:szCs w:val="17"/>
                              </w:rPr>
                              <w:t>3. Member States shall ensure that, in relation to individual undertakings facing material liquidity risks that may cause an imminent threat to the protection of policy holders or to the stability of the financial system, supervisory authorities have the power to temporarily:</w:t>
                            </w:r>
                          </w:p>
                          <w:p w14:paraId="11ED73DF" w14:textId="77777777" w:rsidR="00991925" w:rsidRPr="00991925" w:rsidRDefault="00991925" w:rsidP="00991925">
                            <w:pPr>
                              <w:spacing w:after="200" w:line="276" w:lineRule="auto"/>
                              <w:jc w:val="left"/>
                              <w:rPr>
                                <w:sz w:val="17"/>
                                <w:szCs w:val="17"/>
                              </w:rPr>
                            </w:pPr>
                            <w:r w:rsidRPr="00991925">
                              <w:rPr>
                                <w:sz w:val="17"/>
                                <w:szCs w:val="17"/>
                              </w:rPr>
                              <w:t>(a) restrict or suspend dividend distributions to shareholders and other subordinated creditors;</w:t>
                            </w:r>
                          </w:p>
                          <w:p w14:paraId="5D82FFA3" w14:textId="77777777" w:rsidR="00991925" w:rsidRPr="00991925" w:rsidRDefault="00991925" w:rsidP="00991925">
                            <w:pPr>
                              <w:spacing w:after="200" w:line="276" w:lineRule="auto"/>
                              <w:jc w:val="left"/>
                              <w:rPr>
                                <w:sz w:val="17"/>
                                <w:szCs w:val="17"/>
                              </w:rPr>
                            </w:pPr>
                            <w:r w:rsidRPr="00991925">
                              <w:rPr>
                                <w:sz w:val="17"/>
                                <w:szCs w:val="17"/>
                              </w:rPr>
                              <w:t>(b) restrict or suspend other payments to shareholders and other subordinated creditors;</w:t>
                            </w:r>
                          </w:p>
                          <w:p w14:paraId="0595F0F3" w14:textId="77777777" w:rsidR="00991925" w:rsidRPr="00991925" w:rsidRDefault="00991925" w:rsidP="00991925">
                            <w:pPr>
                              <w:spacing w:after="200" w:line="276" w:lineRule="auto"/>
                              <w:jc w:val="left"/>
                              <w:rPr>
                                <w:sz w:val="17"/>
                                <w:szCs w:val="17"/>
                              </w:rPr>
                            </w:pPr>
                            <w:r w:rsidRPr="00991925">
                              <w:rPr>
                                <w:sz w:val="17"/>
                                <w:szCs w:val="17"/>
                              </w:rPr>
                              <w:t>(c) restrict or suspend share buy-backs and repayment or redemption of own fund items;</w:t>
                            </w:r>
                          </w:p>
                          <w:p w14:paraId="644960DC" w14:textId="77777777" w:rsidR="00991925" w:rsidRPr="00991925" w:rsidRDefault="00991925" w:rsidP="00991925">
                            <w:pPr>
                              <w:spacing w:after="200" w:line="276" w:lineRule="auto"/>
                              <w:jc w:val="left"/>
                              <w:rPr>
                                <w:sz w:val="17"/>
                                <w:szCs w:val="17"/>
                              </w:rPr>
                            </w:pPr>
                            <w:r w:rsidRPr="00991925">
                              <w:rPr>
                                <w:sz w:val="17"/>
                                <w:szCs w:val="17"/>
                              </w:rPr>
                              <w:t>(d) restrict or suspend bonuses or other variable remuneration;</w:t>
                            </w:r>
                          </w:p>
                          <w:p w14:paraId="6E15B5CE" w14:textId="77777777" w:rsidR="00991925" w:rsidRPr="00991925" w:rsidRDefault="00991925" w:rsidP="00991925">
                            <w:pPr>
                              <w:spacing w:after="200" w:line="276" w:lineRule="auto"/>
                              <w:jc w:val="left"/>
                              <w:rPr>
                                <w:sz w:val="17"/>
                                <w:szCs w:val="17"/>
                              </w:rPr>
                            </w:pPr>
                            <w:r w:rsidRPr="00991925">
                              <w:rPr>
                                <w:sz w:val="17"/>
                                <w:szCs w:val="17"/>
                              </w:rPr>
                              <w:t>(e) suspend redemption rights of life insurance policy holders (“redemption rights”).</w:t>
                            </w:r>
                          </w:p>
                          <w:p w14:paraId="511E9738" w14:textId="41CF15A0" w:rsidR="00991925" w:rsidRPr="00991925" w:rsidRDefault="00991925" w:rsidP="00991925">
                            <w:pPr>
                              <w:spacing w:after="200" w:line="276" w:lineRule="auto"/>
                              <w:jc w:val="left"/>
                              <w:rPr>
                                <w:sz w:val="17"/>
                                <w:szCs w:val="17"/>
                              </w:rPr>
                            </w:pPr>
                            <w:r w:rsidRPr="00991925">
                              <w:rPr>
                                <w:sz w:val="17"/>
                                <w:szCs w:val="17"/>
                              </w:rPr>
                              <w:t>The power to suspend redemption rights shall only be exercised in exceptional circumstances which affect the undertaking, as a last resort measure and where that is in the collective interest of policy holders and beneficiaries of the undertaking. Before exercising that power, the supervisory authority shall take into account potential unintended effects on financial markets and on the rights of policy holders and beneficiaries of the undertaking, including in a cross-border context. Supervisory authorities shall make public their reasons for the application of that power.</w:t>
                            </w:r>
                          </w:p>
                          <w:p w14:paraId="1D9C306A" w14:textId="77777777" w:rsidR="00991925" w:rsidRPr="00991925" w:rsidRDefault="00991925" w:rsidP="00991925">
                            <w:pPr>
                              <w:spacing w:after="200" w:line="276" w:lineRule="auto"/>
                              <w:jc w:val="left"/>
                              <w:rPr>
                                <w:sz w:val="17"/>
                                <w:szCs w:val="17"/>
                              </w:rPr>
                            </w:pPr>
                            <w:r w:rsidRPr="00991925">
                              <w:rPr>
                                <w:sz w:val="17"/>
                                <w:szCs w:val="17"/>
                              </w:rPr>
                              <w:t xml:space="preserve">The application of any measure referred to in the first subparagraph shall last no more than three months. Member </w:t>
                            </w:r>
                          </w:p>
                          <w:p w14:paraId="15C3B82E" w14:textId="25956699" w:rsidR="00991925" w:rsidRPr="00991925" w:rsidRDefault="00991925" w:rsidP="00991925">
                            <w:pPr>
                              <w:spacing w:after="200" w:line="276" w:lineRule="auto"/>
                              <w:jc w:val="left"/>
                              <w:rPr>
                                <w:sz w:val="17"/>
                                <w:szCs w:val="17"/>
                              </w:rPr>
                            </w:pPr>
                            <w:r w:rsidRPr="00991925">
                              <w:rPr>
                                <w:sz w:val="17"/>
                                <w:szCs w:val="17"/>
                              </w:rPr>
                              <w:t>States shall ensure that a measure can be renewed if the reasons that justify it are still present and that it is no longer applied when those reasons are no longer present.</w:t>
                            </w:r>
                          </w:p>
                          <w:p w14:paraId="3B8FC1B5" w14:textId="206A99BF" w:rsidR="00991925" w:rsidRPr="00991925" w:rsidRDefault="00991925" w:rsidP="00991925">
                            <w:pPr>
                              <w:spacing w:after="200" w:line="276" w:lineRule="auto"/>
                              <w:jc w:val="left"/>
                              <w:rPr>
                                <w:sz w:val="17"/>
                                <w:szCs w:val="17"/>
                              </w:rPr>
                            </w:pPr>
                            <w:r w:rsidRPr="00991925">
                              <w:rPr>
                                <w:sz w:val="17"/>
                                <w:szCs w:val="17"/>
                              </w:rPr>
                              <w:t>Without prejudice to Article 144c(6), Member States shall ensure that, until the suspension of redemption rights is lifted by the supervisory authorities, insurance and reinsurance undertakings concerned do not:</w:t>
                            </w:r>
                          </w:p>
                          <w:p w14:paraId="150714CC" w14:textId="77777777" w:rsidR="00991925" w:rsidRPr="00991925" w:rsidRDefault="00991925" w:rsidP="00991925">
                            <w:pPr>
                              <w:spacing w:after="200" w:line="276" w:lineRule="auto"/>
                              <w:jc w:val="left"/>
                              <w:rPr>
                                <w:sz w:val="17"/>
                                <w:szCs w:val="17"/>
                              </w:rPr>
                            </w:pPr>
                            <w:r w:rsidRPr="00991925">
                              <w:rPr>
                                <w:sz w:val="17"/>
                                <w:szCs w:val="17"/>
                              </w:rPr>
                              <w:t>(a) make any distributions or other payments to shareholders or other subordinated creditors;</w:t>
                            </w:r>
                          </w:p>
                          <w:p w14:paraId="4BB599FE" w14:textId="77777777" w:rsidR="00991925" w:rsidRPr="00991925" w:rsidRDefault="00991925" w:rsidP="00991925">
                            <w:pPr>
                              <w:spacing w:after="200" w:line="276" w:lineRule="auto"/>
                              <w:jc w:val="left"/>
                              <w:rPr>
                                <w:sz w:val="17"/>
                                <w:szCs w:val="17"/>
                              </w:rPr>
                            </w:pPr>
                            <w:r w:rsidRPr="00991925">
                              <w:rPr>
                                <w:sz w:val="17"/>
                                <w:szCs w:val="17"/>
                              </w:rPr>
                              <w:t>(b) proceed with share buy-backs or repay or redeem any own fund items; or</w:t>
                            </w:r>
                          </w:p>
                          <w:p w14:paraId="3917E7B4" w14:textId="20316FB4" w:rsidR="00991925" w:rsidRPr="00991925" w:rsidRDefault="00991925" w:rsidP="00991925">
                            <w:pPr>
                              <w:spacing w:after="200" w:line="276" w:lineRule="auto"/>
                              <w:jc w:val="left"/>
                              <w:rPr>
                                <w:sz w:val="17"/>
                                <w:szCs w:val="17"/>
                              </w:rPr>
                            </w:pPr>
                            <w:r w:rsidRPr="00991925">
                              <w:rPr>
                                <w:sz w:val="17"/>
                                <w:szCs w:val="17"/>
                              </w:rPr>
                              <w:t>(c) pay bonuses or other variable remuneration to members of the administrative, management or supervisory body, key function holders or senior management.</w:t>
                            </w:r>
                          </w:p>
                          <w:p w14:paraId="333D39F8" w14:textId="1DD70DA1" w:rsidR="00991925" w:rsidRPr="00991925" w:rsidRDefault="00991925" w:rsidP="00991925">
                            <w:pPr>
                              <w:spacing w:after="200" w:line="276" w:lineRule="auto"/>
                              <w:jc w:val="left"/>
                              <w:rPr>
                                <w:sz w:val="17"/>
                                <w:szCs w:val="17"/>
                              </w:rPr>
                            </w:pPr>
                            <w:r w:rsidRPr="00991925">
                              <w:rPr>
                                <w:sz w:val="17"/>
                                <w:szCs w:val="17"/>
                              </w:rPr>
                              <w:t>Member States shall ensure that supervisory authorities have the necessary powers to enforce the requirements referred to in the fourth subparagraph.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C47A9" id="_x0000_s1032" type="#_x0000_t202" style="position:absolute;margin-left:0;margin-top:24.95pt;width:477.3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" fillcolor="#e4ecca">
                <v:textbox style="mso-fit-shape-to-text:t">
                  <w:txbxContent>
                    <w:p w14:paraId="3CC52C72" w14:textId="0F01831A" w:rsidR="00991925" w:rsidRPr="00CD282D" w:rsidRDefault="00991925" w:rsidP="00991925">
                      <w:pPr>
                        <w:spacing w:after="200" w:line="276" w:lineRule="auto"/>
                        <w:jc w:val="left"/>
                        <w:rPr>
                          <w:b/>
                          <w:bCs/>
                          <w:sz w:val="17"/>
                          <w:szCs w:val="17"/>
                        </w:rPr>
                      </w:pPr>
                      <w:r w:rsidRPr="00CD282D">
                        <w:rPr>
                          <w:b/>
                          <w:bCs/>
                          <w:sz w:val="17"/>
                          <w:szCs w:val="17"/>
                        </w:rPr>
                        <w:t>Article 144b</w:t>
                      </w:r>
                      <w:r w:rsidR="00CD282D" w:rsidRPr="00CD282D">
                        <w:rPr>
                          <w:b/>
                          <w:bCs/>
                          <w:sz w:val="17"/>
                          <w:szCs w:val="17"/>
                        </w:rPr>
                        <w:t>:</w:t>
                      </w:r>
                    </w:p>
                    <w:p w14:paraId="1F696C4E" w14:textId="7450D38A" w:rsidR="00991925" w:rsidRPr="00991925" w:rsidRDefault="00991925" w:rsidP="00991925">
                      <w:pPr>
                        <w:spacing w:after="200" w:line="276" w:lineRule="auto"/>
                        <w:jc w:val="left"/>
                        <w:rPr>
                          <w:sz w:val="17"/>
                          <w:szCs w:val="17"/>
                        </w:rPr>
                      </w:pPr>
                      <w:r w:rsidRPr="00991925">
                        <w:rPr>
                          <w:sz w:val="17"/>
                          <w:szCs w:val="17"/>
                        </w:rPr>
                        <w:t>1. As part of the regular supervisory review process, supervisory authorities shall monitor the liquidity position of insurance and reinsurance undertakings. Where they identify material liquidity risks, they shall inform the insurance or reinsurance undertaking concerned thereof. The insurance or reinsurance undertaking shall explain how it intends to address those liquidity risks.</w:t>
                      </w:r>
                    </w:p>
                    <w:p w14:paraId="53C01ECB" w14:textId="3B9C6872" w:rsidR="00991925" w:rsidRPr="00991925" w:rsidRDefault="00991925" w:rsidP="00991925">
                      <w:pPr>
                        <w:spacing w:after="200" w:line="276" w:lineRule="auto"/>
                        <w:jc w:val="left"/>
                        <w:rPr>
                          <w:sz w:val="17"/>
                          <w:szCs w:val="17"/>
                        </w:rPr>
                      </w:pPr>
                      <w:r w:rsidRPr="00991925">
                        <w:rPr>
                          <w:sz w:val="17"/>
                          <w:szCs w:val="17"/>
                        </w:rPr>
                        <w:t>2. Member States shall en</w:t>
                      </w:r>
                      <w:r w:rsidR="004956AA">
                        <w:rPr>
                          <w:sz w:val="17"/>
                          <w:szCs w:val="17"/>
                        </w:rPr>
                        <w:t>s</w:t>
                      </w:r>
                      <w:r w:rsidRPr="00991925">
                        <w:rPr>
                          <w:sz w:val="17"/>
                          <w:szCs w:val="17"/>
                        </w:rPr>
                        <w:t>ure that supervisory authorities have the necessary powers to require undertakings to reinforce their liquidity position when material liquidity risks or deficiencies are identified. Such powers shall be applied where there is sufficient evidence regarding the existence of material liquidity risks and the absence of effective remedies taken by the insurance or reinsurance undertaking.</w:t>
                      </w:r>
                    </w:p>
                    <w:p w14:paraId="16BD6FA2" w14:textId="33F52275" w:rsidR="00991925" w:rsidRPr="00991925" w:rsidRDefault="00991925" w:rsidP="00991925">
                      <w:pPr>
                        <w:spacing w:after="200" w:line="276" w:lineRule="auto"/>
                        <w:jc w:val="left"/>
                        <w:rPr>
                          <w:sz w:val="17"/>
                          <w:szCs w:val="17"/>
                        </w:rPr>
                      </w:pPr>
                      <w:r w:rsidRPr="00991925">
                        <w:rPr>
                          <w:sz w:val="17"/>
                          <w:szCs w:val="17"/>
                        </w:rPr>
                        <w:t>The measures taken by a supervisory authority on the basis of this paragraph shall be reviewed by it at least every six months and be removed when the undertaking has taken effective remedies.</w:t>
                      </w:r>
                    </w:p>
                    <w:p w14:paraId="7E783CF9" w14:textId="0A81E4E2" w:rsidR="00991925" w:rsidRPr="00991925" w:rsidRDefault="00991925" w:rsidP="00991925">
                      <w:pPr>
                        <w:spacing w:after="200" w:line="276" w:lineRule="auto"/>
                        <w:jc w:val="left"/>
                        <w:rPr>
                          <w:sz w:val="17"/>
                          <w:szCs w:val="17"/>
                        </w:rPr>
                      </w:pPr>
                      <w:r w:rsidRPr="00991925">
                        <w:rPr>
                          <w:sz w:val="17"/>
                          <w:szCs w:val="17"/>
                        </w:rPr>
                        <w:t>Where relevant, the supervisory authority shall share the evidence of vulnerabilities in terms of liquidity risks with EIOPA.</w:t>
                      </w:r>
                    </w:p>
                    <w:p w14:paraId="381B7F3F" w14:textId="3360469F" w:rsidR="00991925" w:rsidRPr="00991925" w:rsidRDefault="00991925" w:rsidP="00991925">
                      <w:pPr>
                        <w:spacing w:after="200" w:line="276" w:lineRule="auto"/>
                        <w:jc w:val="left"/>
                        <w:rPr>
                          <w:sz w:val="17"/>
                          <w:szCs w:val="17"/>
                        </w:rPr>
                      </w:pPr>
                      <w:r w:rsidRPr="00991925">
                        <w:rPr>
                          <w:sz w:val="17"/>
                          <w:szCs w:val="17"/>
                        </w:rPr>
                        <w:t>3. Member States shall ensure that, in relation to individual undertakings facing material liquidity risks that may cause an imminent threat to the protection of policy holders or to the stability of the financial system, supervisory authorities have the power to temporarily:</w:t>
                      </w:r>
                    </w:p>
                    <w:p w14:paraId="11ED73DF" w14:textId="77777777" w:rsidR="00991925" w:rsidRPr="00991925" w:rsidRDefault="00991925" w:rsidP="00991925">
                      <w:pPr>
                        <w:spacing w:after="200" w:line="276" w:lineRule="auto"/>
                        <w:jc w:val="left"/>
                        <w:rPr>
                          <w:sz w:val="17"/>
                          <w:szCs w:val="17"/>
                        </w:rPr>
                      </w:pPr>
                      <w:r w:rsidRPr="00991925">
                        <w:rPr>
                          <w:sz w:val="17"/>
                          <w:szCs w:val="17"/>
                        </w:rPr>
                        <w:t>(a) restrict or suspend dividend distributions to shareholders and other subordinated creditors;</w:t>
                      </w:r>
                    </w:p>
                    <w:p w14:paraId="5D82FFA3" w14:textId="77777777" w:rsidR="00991925" w:rsidRPr="00991925" w:rsidRDefault="00991925" w:rsidP="00991925">
                      <w:pPr>
                        <w:spacing w:after="200" w:line="276" w:lineRule="auto"/>
                        <w:jc w:val="left"/>
                        <w:rPr>
                          <w:sz w:val="17"/>
                          <w:szCs w:val="17"/>
                        </w:rPr>
                      </w:pPr>
                      <w:r w:rsidRPr="00991925">
                        <w:rPr>
                          <w:sz w:val="17"/>
                          <w:szCs w:val="17"/>
                        </w:rPr>
                        <w:t>(b) restrict or suspend other payments to shareholders and other subordinated creditors;</w:t>
                      </w:r>
                    </w:p>
                    <w:p w14:paraId="0595F0F3" w14:textId="77777777" w:rsidR="00991925" w:rsidRPr="00991925" w:rsidRDefault="00991925" w:rsidP="00991925">
                      <w:pPr>
                        <w:spacing w:after="200" w:line="276" w:lineRule="auto"/>
                        <w:jc w:val="left"/>
                        <w:rPr>
                          <w:sz w:val="17"/>
                          <w:szCs w:val="17"/>
                        </w:rPr>
                      </w:pPr>
                      <w:r w:rsidRPr="00991925">
                        <w:rPr>
                          <w:sz w:val="17"/>
                          <w:szCs w:val="17"/>
                        </w:rPr>
                        <w:t>(c) restrict or suspend share buy-backs and repayment or redemption of own fund items;</w:t>
                      </w:r>
                    </w:p>
                    <w:p w14:paraId="644960DC" w14:textId="77777777" w:rsidR="00991925" w:rsidRPr="00991925" w:rsidRDefault="00991925" w:rsidP="00991925">
                      <w:pPr>
                        <w:spacing w:after="200" w:line="276" w:lineRule="auto"/>
                        <w:jc w:val="left"/>
                        <w:rPr>
                          <w:sz w:val="17"/>
                          <w:szCs w:val="17"/>
                        </w:rPr>
                      </w:pPr>
                      <w:r w:rsidRPr="00991925">
                        <w:rPr>
                          <w:sz w:val="17"/>
                          <w:szCs w:val="17"/>
                        </w:rPr>
                        <w:t>(d) restrict or suspend bonuses or other variable remuneration;</w:t>
                      </w:r>
                    </w:p>
                    <w:p w14:paraId="6E15B5CE" w14:textId="77777777" w:rsidR="00991925" w:rsidRPr="00991925" w:rsidRDefault="00991925" w:rsidP="00991925">
                      <w:pPr>
                        <w:spacing w:after="200" w:line="276" w:lineRule="auto"/>
                        <w:jc w:val="left"/>
                        <w:rPr>
                          <w:sz w:val="17"/>
                          <w:szCs w:val="17"/>
                        </w:rPr>
                      </w:pPr>
                      <w:r w:rsidRPr="00991925">
                        <w:rPr>
                          <w:sz w:val="17"/>
                          <w:szCs w:val="17"/>
                        </w:rPr>
                        <w:t>(e) suspend redemption rights of life insurance policy holders (“redemption rights”).</w:t>
                      </w:r>
                    </w:p>
                    <w:p w14:paraId="511E9738" w14:textId="41CF15A0" w:rsidR="00991925" w:rsidRPr="00991925" w:rsidRDefault="00991925" w:rsidP="00991925">
                      <w:pPr>
                        <w:spacing w:after="200" w:line="276" w:lineRule="auto"/>
                        <w:jc w:val="left"/>
                        <w:rPr>
                          <w:sz w:val="17"/>
                          <w:szCs w:val="17"/>
                        </w:rPr>
                      </w:pPr>
                      <w:r w:rsidRPr="00991925">
                        <w:rPr>
                          <w:sz w:val="17"/>
                          <w:szCs w:val="17"/>
                        </w:rPr>
                        <w:t>The power to suspend redemption rights shall only be exercised in exceptional circumstances which affect the undertaking, as a last resort measure and where that is in the collective interest of policy holders and beneficiaries of the undertaking. Before exercising that power, the supervisory authority shall take into account potential unintended effects on financial markets and on the rights of policy holders and beneficiaries of the undertaking, including in a cross-border context. Supervisory authorities shall make public their reasons for the application of that power.</w:t>
                      </w:r>
                    </w:p>
                    <w:p w14:paraId="1D9C306A" w14:textId="77777777" w:rsidR="00991925" w:rsidRPr="00991925" w:rsidRDefault="00991925" w:rsidP="00991925">
                      <w:pPr>
                        <w:spacing w:after="200" w:line="276" w:lineRule="auto"/>
                        <w:jc w:val="left"/>
                        <w:rPr>
                          <w:sz w:val="17"/>
                          <w:szCs w:val="17"/>
                        </w:rPr>
                      </w:pPr>
                      <w:r w:rsidRPr="00991925">
                        <w:rPr>
                          <w:sz w:val="17"/>
                          <w:szCs w:val="17"/>
                        </w:rPr>
                        <w:t xml:space="preserve">The application of any measure referred to in the first subparagraph shall last no more than three months. Member </w:t>
                      </w:r>
                    </w:p>
                    <w:p w14:paraId="15C3B82E" w14:textId="25956699" w:rsidR="00991925" w:rsidRPr="00991925" w:rsidRDefault="00991925" w:rsidP="00991925">
                      <w:pPr>
                        <w:spacing w:after="200" w:line="276" w:lineRule="auto"/>
                        <w:jc w:val="left"/>
                        <w:rPr>
                          <w:sz w:val="17"/>
                          <w:szCs w:val="17"/>
                        </w:rPr>
                      </w:pPr>
                      <w:r w:rsidRPr="00991925">
                        <w:rPr>
                          <w:sz w:val="17"/>
                          <w:szCs w:val="17"/>
                        </w:rPr>
                        <w:t>States shall ensure that a measure can be renewed if the reasons that justify it are still present and that it is no longer applied when those reasons are no longer present.</w:t>
                      </w:r>
                    </w:p>
                    <w:p w14:paraId="3B8FC1B5" w14:textId="206A99BF" w:rsidR="00991925" w:rsidRPr="00991925" w:rsidRDefault="00991925" w:rsidP="00991925">
                      <w:pPr>
                        <w:spacing w:after="200" w:line="276" w:lineRule="auto"/>
                        <w:jc w:val="left"/>
                        <w:rPr>
                          <w:sz w:val="17"/>
                          <w:szCs w:val="17"/>
                        </w:rPr>
                      </w:pPr>
                      <w:r w:rsidRPr="00991925">
                        <w:rPr>
                          <w:sz w:val="17"/>
                          <w:szCs w:val="17"/>
                        </w:rPr>
                        <w:t>Without prejudice to Article 144c(6), Member States shall ensure that, until the suspension of redemption rights is lifted by the supervisory authorities, insurance and reinsurance undertakings concerned do not:</w:t>
                      </w:r>
                    </w:p>
                    <w:p w14:paraId="150714CC" w14:textId="77777777" w:rsidR="00991925" w:rsidRPr="00991925" w:rsidRDefault="00991925" w:rsidP="00991925">
                      <w:pPr>
                        <w:spacing w:after="200" w:line="276" w:lineRule="auto"/>
                        <w:jc w:val="left"/>
                        <w:rPr>
                          <w:sz w:val="17"/>
                          <w:szCs w:val="17"/>
                        </w:rPr>
                      </w:pPr>
                      <w:r w:rsidRPr="00991925">
                        <w:rPr>
                          <w:sz w:val="17"/>
                          <w:szCs w:val="17"/>
                        </w:rPr>
                        <w:t>(a) make any distributions or other payments to shareholders or other subordinated creditors;</w:t>
                      </w:r>
                    </w:p>
                    <w:p w14:paraId="4BB599FE" w14:textId="77777777" w:rsidR="00991925" w:rsidRPr="00991925" w:rsidRDefault="00991925" w:rsidP="00991925">
                      <w:pPr>
                        <w:spacing w:after="200" w:line="276" w:lineRule="auto"/>
                        <w:jc w:val="left"/>
                        <w:rPr>
                          <w:sz w:val="17"/>
                          <w:szCs w:val="17"/>
                        </w:rPr>
                      </w:pPr>
                      <w:r w:rsidRPr="00991925">
                        <w:rPr>
                          <w:sz w:val="17"/>
                          <w:szCs w:val="17"/>
                        </w:rPr>
                        <w:t>(b) proceed with share buy-backs or repay or redeem any own fund items; or</w:t>
                      </w:r>
                    </w:p>
                    <w:p w14:paraId="3917E7B4" w14:textId="20316FB4" w:rsidR="00991925" w:rsidRPr="00991925" w:rsidRDefault="00991925" w:rsidP="00991925">
                      <w:pPr>
                        <w:spacing w:after="200" w:line="276" w:lineRule="auto"/>
                        <w:jc w:val="left"/>
                        <w:rPr>
                          <w:sz w:val="17"/>
                          <w:szCs w:val="17"/>
                        </w:rPr>
                      </w:pPr>
                      <w:r w:rsidRPr="00991925">
                        <w:rPr>
                          <w:sz w:val="17"/>
                          <w:szCs w:val="17"/>
                        </w:rPr>
                        <w:t>(c) pay bonuses or other variable remuneration to members of the administrative, management or supervisory body, key function holders or senior management.</w:t>
                      </w:r>
                    </w:p>
                    <w:p w14:paraId="333D39F8" w14:textId="1DD70DA1" w:rsidR="00991925" w:rsidRPr="00991925" w:rsidRDefault="00991925" w:rsidP="00991925">
                      <w:pPr>
                        <w:spacing w:after="200" w:line="276" w:lineRule="auto"/>
                        <w:jc w:val="left"/>
                        <w:rPr>
                          <w:sz w:val="17"/>
                          <w:szCs w:val="17"/>
                        </w:rPr>
                      </w:pPr>
                      <w:r w:rsidRPr="00991925">
                        <w:rPr>
                          <w:sz w:val="17"/>
                          <w:szCs w:val="17"/>
                        </w:rPr>
                        <w:t>Member States shall ensure that supervisory authorities have the necessary powers to enforce the requirements referred to in the fourth subparagraph.</w:t>
                      </w:r>
                    </w:p>
                  </w:txbxContent>
                </v:textbox>
                <w10:wrap type="square" anchorx="margin"/>
              </v:shape>
            </w:pict>
          </mc:Fallback>
        </mc:AlternateContent>
      </w:r>
      <w:r w:rsidR="00CD282D" w:rsidRPr="00CD282D">
        <w:rPr>
          <w:b/>
          <w:bCs/>
          <w:sz w:val="17"/>
          <w:szCs w:val="17"/>
        </w:rPr>
        <w:t>Supervisory powers to remedy liquidity vulnerabilities in exceptional circumstances</w:t>
      </w:r>
    </w:p>
    <w:p w14:paraId="40925D5F" w14:textId="4A14CC3E" w:rsidR="008021B5" w:rsidRDefault="004956AA" w:rsidP="00173AF6">
      <w:pPr>
        <w:spacing w:after="200" w:line="276" w:lineRule="auto"/>
        <w:jc w:val="left"/>
        <w:rPr>
          <w:rFonts w:cs="Frutiger LT Std 45 Light"/>
          <w:color w:val="000000"/>
          <w:sz w:val="17"/>
          <w:szCs w:val="20"/>
        </w:rPr>
      </w:pPr>
      <w:r w:rsidRPr="00173AF6">
        <w:rPr>
          <w:b/>
          <w:noProof/>
          <w:sz w:val="17"/>
          <w:szCs w:val="17"/>
        </w:rPr>
        <w:lastRenderedPageBreak/>
        <mc:AlternateContent>
          <mc:Choice Requires="wps">
            <w:drawing>
              <wp:anchor distT="45720" distB="45720" distL="114300" distR="114300" simplePos="0" relativeHeight="251660293" behindDoc="0" locked="0" layoutInCell="1" allowOverlap="1" wp14:anchorId="7EBF6527" wp14:editId="1D92F6DD">
                <wp:simplePos x="0" y="0"/>
                <wp:positionH relativeFrom="margin">
                  <wp:align>right</wp:align>
                </wp:positionH>
                <wp:positionV relativeFrom="paragraph">
                  <wp:posOffset>575</wp:posOffset>
                </wp:positionV>
                <wp:extent cx="6061710" cy="1404620"/>
                <wp:effectExtent l="0" t="0" r="15240" b="13970"/>
                <wp:wrapSquare wrapText="bothSides"/>
                <wp:docPr id="1169854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404620"/>
                        </a:xfrm>
                        <a:prstGeom prst="rect">
                          <a:avLst/>
                        </a:prstGeom>
                        <a:solidFill>
                          <a:srgbClr val="E4ECCA"/>
                        </a:solidFill>
                        <a:ln w="9525">
                          <a:solidFill>
                            <a:srgbClr val="000000"/>
                          </a:solidFill>
                          <a:miter lim="800000"/>
                          <a:headEnd/>
                          <a:tailEnd/>
                        </a:ln>
                      </wps:spPr>
                      <wps:txbx>
                        <w:txbxContent>
                          <w:p w14:paraId="03D852BC" w14:textId="01A9F647" w:rsidR="004956AA" w:rsidRPr="004956AA" w:rsidRDefault="004956AA" w:rsidP="004956AA">
                            <w:pPr>
                              <w:spacing w:after="200" w:line="276" w:lineRule="auto"/>
                              <w:jc w:val="left"/>
                              <w:rPr>
                                <w:sz w:val="17"/>
                                <w:szCs w:val="17"/>
                              </w:rPr>
                            </w:pPr>
                            <w:r w:rsidRPr="004956AA">
                              <w:rPr>
                                <w:sz w:val="17"/>
                                <w:szCs w:val="17"/>
                              </w:rPr>
                              <w:t>Member States shall ensure that bodies and authorities with a macroprudential mandate, where different from the supervisory authorities, are duly informed in a timely manner of the supervisory authority’s intention to make use of the powers referred to in this paragraph, and are involved in assessing the potential unintended effects referred to in the second subparagraph.</w:t>
                            </w:r>
                          </w:p>
                          <w:p w14:paraId="71C4DF7F" w14:textId="492A9B75" w:rsidR="004956AA" w:rsidRPr="004956AA" w:rsidRDefault="004956AA" w:rsidP="004956AA">
                            <w:pPr>
                              <w:spacing w:after="200" w:line="276" w:lineRule="auto"/>
                              <w:jc w:val="left"/>
                              <w:rPr>
                                <w:sz w:val="17"/>
                                <w:szCs w:val="17"/>
                              </w:rPr>
                            </w:pPr>
                            <w:r w:rsidRPr="004956AA">
                              <w:rPr>
                                <w:sz w:val="17"/>
                                <w:szCs w:val="17"/>
                              </w:rPr>
                              <w:t>Member States shall ensure that supervisory authorities notify EIOPA and ESRB whenever the powers referred to in this paragraph are exercised to address a risk for the stability of the financial system.</w:t>
                            </w:r>
                          </w:p>
                          <w:p w14:paraId="40BEC169" w14:textId="010225D7" w:rsidR="004956AA" w:rsidRPr="004956AA" w:rsidRDefault="004956AA" w:rsidP="004956AA">
                            <w:pPr>
                              <w:spacing w:after="200" w:line="276" w:lineRule="auto"/>
                              <w:jc w:val="left"/>
                              <w:rPr>
                                <w:sz w:val="17"/>
                                <w:szCs w:val="17"/>
                              </w:rPr>
                            </w:pPr>
                            <w:r w:rsidRPr="004956AA">
                              <w:rPr>
                                <w:sz w:val="17"/>
                                <w:szCs w:val="17"/>
                              </w:rPr>
                              <w:t>4. When exercising the power referred to in paragraph 3 of this Article, supervisory authorities shall duly take into account the proportionality criteria referred to in Article 29(3).</w:t>
                            </w:r>
                          </w:p>
                          <w:p w14:paraId="1C16D1E5" w14:textId="1D0CBB3E" w:rsidR="004956AA" w:rsidRPr="004956AA" w:rsidRDefault="004956AA" w:rsidP="004956AA">
                            <w:pPr>
                              <w:spacing w:after="200" w:line="276" w:lineRule="auto"/>
                              <w:jc w:val="left"/>
                              <w:rPr>
                                <w:sz w:val="17"/>
                                <w:szCs w:val="17"/>
                              </w:rPr>
                            </w:pPr>
                            <w:r w:rsidRPr="004956AA">
                              <w:rPr>
                                <w:sz w:val="17"/>
                                <w:szCs w:val="17"/>
                              </w:rPr>
                              <w:t>Where, after consulting the ESRB, EIOPA considers that the exercise of the powers referred to in paragraph 3 by the competent authority is excessive, it shall issue an opinion to the supervisory authority concerned to the effect that the decision of that supervisory authority should be reviewed. That opinion shall not be made public.</w:t>
                            </w:r>
                          </w:p>
                          <w:p w14:paraId="37C8134C" w14:textId="2E2E2525" w:rsidR="004956AA" w:rsidRPr="004956AA" w:rsidRDefault="004956AA" w:rsidP="004956AA">
                            <w:pPr>
                              <w:spacing w:after="200" w:line="276" w:lineRule="auto"/>
                              <w:jc w:val="left"/>
                              <w:rPr>
                                <w:sz w:val="17"/>
                                <w:szCs w:val="17"/>
                              </w:rPr>
                            </w:pPr>
                            <w:r w:rsidRPr="004956AA">
                              <w:rPr>
                                <w:sz w:val="17"/>
                                <w:szCs w:val="17"/>
                              </w:rPr>
                              <w:t>5. When exercising the power referred to in paragraph 3 of this Article, supervisory authorities shall take into account the evidence resulting from the supervisory review process and a forward-looking assessment of the solvency and financial position of the undertakings concerned, in line with the assessment referred to in Article 45(1) , second subparagraph, points (a) and (b).</w:t>
                            </w:r>
                          </w:p>
                          <w:p w14:paraId="3FD1E601" w14:textId="2E6DB954" w:rsidR="004956AA" w:rsidRPr="004956AA" w:rsidRDefault="004956AA" w:rsidP="004956AA">
                            <w:pPr>
                              <w:spacing w:after="200" w:line="276" w:lineRule="auto"/>
                              <w:jc w:val="left"/>
                              <w:rPr>
                                <w:sz w:val="17"/>
                                <w:szCs w:val="17"/>
                              </w:rPr>
                            </w:pPr>
                            <w:r w:rsidRPr="004956AA">
                              <w:rPr>
                                <w:sz w:val="17"/>
                                <w:szCs w:val="17"/>
                              </w:rPr>
                              <w:t>6. The powers referred to in paragraph 3 may be exercised in relation to undertakings concerned operating in a given Member State where the exceptional circumstances referred to in paragraph 3 affect the whole or a significant part of the insurance market.</w:t>
                            </w:r>
                          </w:p>
                          <w:p w14:paraId="72717DA4" w14:textId="77777777" w:rsidR="004956AA" w:rsidRPr="004956AA" w:rsidRDefault="004956AA" w:rsidP="004956AA">
                            <w:pPr>
                              <w:spacing w:after="200" w:line="276" w:lineRule="auto"/>
                              <w:jc w:val="left"/>
                              <w:rPr>
                                <w:sz w:val="17"/>
                                <w:szCs w:val="17"/>
                              </w:rPr>
                            </w:pPr>
                            <w:r w:rsidRPr="004956AA">
                              <w:rPr>
                                <w:sz w:val="17"/>
                                <w:szCs w:val="17"/>
                              </w:rPr>
                              <w:t>Member States shall appoint an authority to exercise the powers referred to in the first subparagraph.</w:t>
                            </w:r>
                          </w:p>
                          <w:p w14:paraId="352CD07F" w14:textId="58D0EC78" w:rsidR="004956AA" w:rsidRPr="004956AA" w:rsidRDefault="004956AA" w:rsidP="004956AA">
                            <w:pPr>
                              <w:spacing w:after="200" w:line="276" w:lineRule="auto"/>
                              <w:jc w:val="left"/>
                              <w:rPr>
                                <w:sz w:val="17"/>
                                <w:szCs w:val="17"/>
                              </w:rPr>
                            </w:pPr>
                            <w:r w:rsidRPr="004956AA">
                              <w:rPr>
                                <w:sz w:val="17"/>
                                <w:szCs w:val="17"/>
                              </w:rPr>
                              <w:t>Where the appointed authority is different from the supervisory authority, the Member State shall ensure proper coordination and exchange of information between the different authorities. In particular, all authorities shall be required to cooperate closely and to share all the information that may be necessary for the adequate performance of the duties entrusted to the authority appointed pursuant to this paragraph.</w:t>
                            </w:r>
                          </w:p>
                          <w:p w14:paraId="3200DE93" w14:textId="730679C5" w:rsidR="004956AA" w:rsidRPr="004956AA" w:rsidRDefault="004956AA" w:rsidP="004956AA">
                            <w:pPr>
                              <w:spacing w:after="200" w:line="276" w:lineRule="auto"/>
                              <w:jc w:val="left"/>
                              <w:rPr>
                                <w:sz w:val="17"/>
                                <w:szCs w:val="17"/>
                              </w:rPr>
                            </w:pPr>
                            <w:r w:rsidRPr="004956AA">
                              <w:rPr>
                                <w:sz w:val="17"/>
                                <w:szCs w:val="17"/>
                              </w:rPr>
                              <w:t>7. Member States shall ensure that the authority referred to in paragraph 6, second subparagraph, notifies in due time EIOPA, and, where the measure is taken to address a risk to the stability of the financial system, the ESRB, of the use of the powers referred to in paragraph 6.</w:t>
                            </w:r>
                          </w:p>
                          <w:p w14:paraId="731B099A" w14:textId="4C812711" w:rsidR="004956AA" w:rsidRPr="004956AA" w:rsidRDefault="004956AA" w:rsidP="004956AA">
                            <w:pPr>
                              <w:spacing w:after="200" w:line="276" w:lineRule="auto"/>
                              <w:jc w:val="left"/>
                              <w:rPr>
                                <w:sz w:val="17"/>
                                <w:szCs w:val="17"/>
                              </w:rPr>
                            </w:pPr>
                            <w:r w:rsidRPr="004956AA">
                              <w:rPr>
                                <w:sz w:val="17"/>
                                <w:szCs w:val="17"/>
                              </w:rPr>
                              <w:t>The notification shall include a description of the measure applied, its duration, and the reasons for the use of the power, including the reasons why the measure was considered to be effective and proportionate in relation to its negative effects on policy holders.</w:t>
                            </w:r>
                          </w:p>
                          <w:p w14:paraId="5E94BD85" w14:textId="28A0CDEE" w:rsidR="004956AA" w:rsidRPr="004956AA" w:rsidRDefault="004956AA" w:rsidP="004956AA">
                            <w:pPr>
                              <w:spacing w:after="200" w:line="276" w:lineRule="auto"/>
                              <w:jc w:val="left"/>
                              <w:rPr>
                                <w:sz w:val="17"/>
                                <w:szCs w:val="17"/>
                              </w:rPr>
                            </w:pPr>
                            <w:r w:rsidRPr="004956AA">
                              <w:rPr>
                                <w:sz w:val="17"/>
                                <w:szCs w:val="17"/>
                              </w:rPr>
                              <w:t>8. In order to ensure consistent application of this Article, EIOPA shall, after consulting the ESRB, develop guidelines further specifying:</w:t>
                            </w:r>
                          </w:p>
                          <w:p w14:paraId="690CFB38" w14:textId="64A20CFD" w:rsidR="004956AA" w:rsidRPr="004956AA" w:rsidRDefault="004956AA" w:rsidP="004956AA">
                            <w:pPr>
                              <w:spacing w:after="200" w:line="276" w:lineRule="auto"/>
                              <w:jc w:val="left"/>
                              <w:rPr>
                                <w:sz w:val="17"/>
                                <w:szCs w:val="17"/>
                              </w:rPr>
                            </w:pPr>
                            <w:r w:rsidRPr="004956AA">
                              <w:rPr>
                                <w:sz w:val="17"/>
                                <w:szCs w:val="17"/>
                              </w:rPr>
                              <w:t>(a) the measures to address deficiencies in liquidity risk management and the form, activation and calibration of powers that supervisory authorities may exercise to reinforce the liquidity position of undertakings where liquidity risks are identified and not adequately remedied by those undertakings;</w:t>
                            </w:r>
                          </w:p>
                          <w:p w14:paraId="320E8409" w14:textId="77777777" w:rsidR="004956AA" w:rsidRPr="004956AA" w:rsidRDefault="004956AA" w:rsidP="004956AA">
                            <w:pPr>
                              <w:spacing w:after="200" w:line="276" w:lineRule="auto"/>
                              <w:jc w:val="left"/>
                              <w:rPr>
                                <w:sz w:val="17"/>
                                <w:szCs w:val="17"/>
                              </w:rPr>
                            </w:pPr>
                            <w:r w:rsidRPr="004956AA">
                              <w:rPr>
                                <w:sz w:val="17"/>
                                <w:szCs w:val="17"/>
                              </w:rPr>
                              <w:t>(b) the existence of exceptional circumstances that justify the temporary suspension of redemption rights;</w:t>
                            </w:r>
                          </w:p>
                          <w:p w14:paraId="658B50B8" w14:textId="16EC7389" w:rsidR="004956AA" w:rsidRPr="00446421" w:rsidRDefault="004956AA" w:rsidP="004956AA">
                            <w:pPr>
                              <w:spacing w:after="200" w:line="276" w:lineRule="auto"/>
                              <w:jc w:val="left"/>
                              <w:rPr>
                                <w:i/>
                                <w:iCs/>
                                <w:sz w:val="17"/>
                                <w:szCs w:val="17"/>
                              </w:rPr>
                            </w:pPr>
                            <w:r w:rsidRPr="004956AA">
                              <w:rPr>
                                <w:sz w:val="17"/>
                                <w:szCs w:val="17"/>
                              </w:rPr>
                              <w:t>(c) the conditions for ensuring the consistent application of the temporary suspension of redemption rights as a last resort measure across the Union and the aspects to consider for equally and adequately protecting policy holders in all home and host jurisdictions</w:t>
                            </w:r>
                            <w:r w:rsidR="008C3233">
                              <w:rPr>
                                <w:sz w:val="17"/>
                                <w:szCs w:val="17"/>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F6527" id="_x0000_s1033" type="#_x0000_t202" style="position:absolute;margin-left:426.1pt;margin-top:.05pt;width:477.3pt;height:110.6pt;z-index:25166029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" fillcolor="#e4ecca">
                <v:textbox style="mso-fit-shape-to-text:t">
                  <w:txbxContent>
                    <w:p w14:paraId="03D852BC" w14:textId="01A9F647" w:rsidR="004956AA" w:rsidRPr="004956AA" w:rsidRDefault="004956AA" w:rsidP="004956AA">
                      <w:pPr>
                        <w:spacing w:after="200" w:line="276" w:lineRule="auto"/>
                        <w:jc w:val="left"/>
                        <w:rPr>
                          <w:sz w:val="17"/>
                          <w:szCs w:val="17"/>
                        </w:rPr>
                      </w:pPr>
                      <w:r w:rsidRPr="004956AA">
                        <w:rPr>
                          <w:sz w:val="17"/>
                          <w:szCs w:val="17"/>
                        </w:rPr>
                        <w:t>Member States shall ensure that bodies and authorities with a macroprudential mandate, where different from the supervisory authorities, are duly informed in a timely manner of the supervisory authority’s intention to make use of the powers referred to in this paragraph, and are involved in assessing the potential unintended effects referred to in the second subparagraph.</w:t>
                      </w:r>
                    </w:p>
                    <w:p w14:paraId="71C4DF7F" w14:textId="492A9B75" w:rsidR="004956AA" w:rsidRPr="004956AA" w:rsidRDefault="004956AA" w:rsidP="004956AA">
                      <w:pPr>
                        <w:spacing w:after="200" w:line="276" w:lineRule="auto"/>
                        <w:jc w:val="left"/>
                        <w:rPr>
                          <w:sz w:val="17"/>
                          <w:szCs w:val="17"/>
                        </w:rPr>
                      </w:pPr>
                      <w:r w:rsidRPr="004956AA">
                        <w:rPr>
                          <w:sz w:val="17"/>
                          <w:szCs w:val="17"/>
                        </w:rPr>
                        <w:t>Member States shall ensure that supervisory authorities notify EIOPA and ESRB whenever the powers referred to in this paragraph are exercised to address a risk for the stability of the financial system.</w:t>
                      </w:r>
                    </w:p>
                    <w:p w14:paraId="40BEC169" w14:textId="010225D7" w:rsidR="004956AA" w:rsidRPr="004956AA" w:rsidRDefault="004956AA" w:rsidP="004956AA">
                      <w:pPr>
                        <w:spacing w:after="200" w:line="276" w:lineRule="auto"/>
                        <w:jc w:val="left"/>
                        <w:rPr>
                          <w:sz w:val="17"/>
                          <w:szCs w:val="17"/>
                        </w:rPr>
                      </w:pPr>
                      <w:r w:rsidRPr="004956AA">
                        <w:rPr>
                          <w:sz w:val="17"/>
                          <w:szCs w:val="17"/>
                        </w:rPr>
                        <w:t>4. When exercising the power referred to in paragraph 3 of this Article, supervisory authorities shall duly take into account the proportionality criteria referred to in Article 29(3).</w:t>
                      </w:r>
                    </w:p>
                    <w:p w14:paraId="1C16D1E5" w14:textId="1D0CBB3E" w:rsidR="004956AA" w:rsidRPr="004956AA" w:rsidRDefault="004956AA" w:rsidP="004956AA">
                      <w:pPr>
                        <w:spacing w:after="200" w:line="276" w:lineRule="auto"/>
                        <w:jc w:val="left"/>
                        <w:rPr>
                          <w:sz w:val="17"/>
                          <w:szCs w:val="17"/>
                        </w:rPr>
                      </w:pPr>
                      <w:r w:rsidRPr="004956AA">
                        <w:rPr>
                          <w:sz w:val="17"/>
                          <w:szCs w:val="17"/>
                        </w:rPr>
                        <w:t>Where, after consulting the ESRB, EIOPA considers that the exercise of the powers referred to in paragraph 3 by the competent authority is excessive, it shall issue an opinion to the supervisory authority concerned to the effect that the decision of that supervisory authority should be reviewed. That opinion shall not be made public.</w:t>
                      </w:r>
                    </w:p>
                    <w:p w14:paraId="37C8134C" w14:textId="2E2E2525" w:rsidR="004956AA" w:rsidRPr="004956AA" w:rsidRDefault="004956AA" w:rsidP="004956AA">
                      <w:pPr>
                        <w:spacing w:after="200" w:line="276" w:lineRule="auto"/>
                        <w:jc w:val="left"/>
                        <w:rPr>
                          <w:sz w:val="17"/>
                          <w:szCs w:val="17"/>
                        </w:rPr>
                      </w:pPr>
                      <w:r w:rsidRPr="004956AA">
                        <w:rPr>
                          <w:sz w:val="17"/>
                          <w:szCs w:val="17"/>
                        </w:rPr>
                        <w:t>5. When exercising the power referred to in paragraph 3 of this Article, supervisory authorities shall take into account the evidence resulting from the supervisory review process and a forward-looking assessment of the solvency and financial position of the undertakings concerned, in line with the assessment referred to in Article 45(1) , second subparagraph, points (a) and (b).</w:t>
                      </w:r>
                    </w:p>
                    <w:p w14:paraId="3FD1E601" w14:textId="2E6DB954" w:rsidR="004956AA" w:rsidRPr="004956AA" w:rsidRDefault="004956AA" w:rsidP="004956AA">
                      <w:pPr>
                        <w:spacing w:after="200" w:line="276" w:lineRule="auto"/>
                        <w:jc w:val="left"/>
                        <w:rPr>
                          <w:sz w:val="17"/>
                          <w:szCs w:val="17"/>
                        </w:rPr>
                      </w:pPr>
                      <w:r w:rsidRPr="004956AA">
                        <w:rPr>
                          <w:sz w:val="17"/>
                          <w:szCs w:val="17"/>
                        </w:rPr>
                        <w:t>6. The powers referred to in paragraph 3 may be exercised in relation to undertakings concerned operating in a given Member State where the exceptional circumstances referred to in paragraph 3 affect the whole or a significant part of the insurance market.</w:t>
                      </w:r>
                    </w:p>
                    <w:p w14:paraId="72717DA4" w14:textId="77777777" w:rsidR="004956AA" w:rsidRPr="004956AA" w:rsidRDefault="004956AA" w:rsidP="004956AA">
                      <w:pPr>
                        <w:spacing w:after="200" w:line="276" w:lineRule="auto"/>
                        <w:jc w:val="left"/>
                        <w:rPr>
                          <w:sz w:val="17"/>
                          <w:szCs w:val="17"/>
                        </w:rPr>
                      </w:pPr>
                      <w:r w:rsidRPr="004956AA">
                        <w:rPr>
                          <w:sz w:val="17"/>
                          <w:szCs w:val="17"/>
                        </w:rPr>
                        <w:t>Member States shall appoint an authority to exercise the powers referred to in the first subparagraph.</w:t>
                      </w:r>
                    </w:p>
                    <w:p w14:paraId="352CD07F" w14:textId="58D0EC78" w:rsidR="004956AA" w:rsidRPr="004956AA" w:rsidRDefault="004956AA" w:rsidP="004956AA">
                      <w:pPr>
                        <w:spacing w:after="200" w:line="276" w:lineRule="auto"/>
                        <w:jc w:val="left"/>
                        <w:rPr>
                          <w:sz w:val="17"/>
                          <w:szCs w:val="17"/>
                        </w:rPr>
                      </w:pPr>
                      <w:r w:rsidRPr="004956AA">
                        <w:rPr>
                          <w:sz w:val="17"/>
                          <w:szCs w:val="17"/>
                        </w:rPr>
                        <w:t>Where the appointed authority is different from the supervisory authority, the Member State shall ensure proper coordination and exchange of information between the different authorities. In particular, all authorities shall be required to cooperate closely and to share all the information that may be necessary for the adequate performance of the duties entrusted to the authority appointed pursuant to this paragraph.</w:t>
                      </w:r>
                    </w:p>
                    <w:p w14:paraId="3200DE93" w14:textId="730679C5" w:rsidR="004956AA" w:rsidRPr="004956AA" w:rsidRDefault="004956AA" w:rsidP="004956AA">
                      <w:pPr>
                        <w:spacing w:after="200" w:line="276" w:lineRule="auto"/>
                        <w:jc w:val="left"/>
                        <w:rPr>
                          <w:sz w:val="17"/>
                          <w:szCs w:val="17"/>
                        </w:rPr>
                      </w:pPr>
                      <w:r w:rsidRPr="004956AA">
                        <w:rPr>
                          <w:sz w:val="17"/>
                          <w:szCs w:val="17"/>
                        </w:rPr>
                        <w:t>7. Member States shall ensure that the authority referred to in paragraph 6, second subparagraph, notifies in due time EIOPA, and, where the measure is taken to address a risk to the stability of the financial system, the ESRB, of the use of the powers referred to in paragraph 6.</w:t>
                      </w:r>
                    </w:p>
                    <w:p w14:paraId="731B099A" w14:textId="4C812711" w:rsidR="004956AA" w:rsidRPr="004956AA" w:rsidRDefault="004956AA" w:rsidP="004956AA">
                      <w:pPr>
                        <w:spacing w:after="200" w:line="276" w:lineRule="auto"/>
                        <w:jc w:val="left"/>
                        <w:rPr>
                          <w:sz w:val="17"/>
                          <w:szCs w:val="17"/>
                        </w:rPr>
                      </w:pPr>
                      <w:r w:rsidRPr="004956AA">
                        <w:rPr>
                          <w:sz w:val="17"/>
                          <w:szCs w:val="17"/>
                        </w:rPr>
                        <w:t>The notification shall include a description of the measure applied, its duration, and the reasons for the use of the power, including the reasons why the measure was considered to be effective and proportionate in relation to its negative effects on policy holders.</w:t>
                      </w:r>
                    </w:p>
                    <w:p w14:paraId="5E94BD85" w14:textId="28A0CDEE" w:rsidR="004956AA" w:rsidRPr="004956AA" w:rsidRDefault="004956AA" w:rsidP="004956AA">
                      <w:pPr>
                        <w:spacing w:after="200" w:line="276" w:lineRule="auto"/>
                        <w:jc w:val="left"/>
                        <w:rPr>
                          <w:sz w:val="17"/>
                          <w:szCs w:val="17"/>
                        </w:rPr>
                      </w:pPr>
                      <w:r w:rsidRPr="004956AA">
                        <w:rPr>
                          <w:sz w:val="17"/>
                          <w:szCs w:val="17"/>
                        </w:rPr>
                        <w:t>8. In order to ensure consistent application of this Article, EIOPA shall, after consulting the ESRB, develop guidelines further specifying:</w:t>
                      </w:r>
                    </w:p>
                    <w:p w14:paraId="690CFB38" w14:textId="64A20CFD" w:rsidR="004956AA" w:rsidRPr="004956AA" w:rsidRDefault="004956AA" w:rsidP="004956AA">
                      <w:pPr>
                        <w:spacing w:after="200" w:line="276" w:lineRule="auto"/>
                        <w:jc w:val="left"/>
                        <w:rPr>
                          <w:sz w:val="17"/>
                          <w:szCs w:val="17"/>
                        </w:rPr>
                      </w:pPr>
                      <w:r w:rsidRPr="004956AA">
                        <w:rPr>
                          <w:sz w:val="17"/>
                          <w:szCs w:val="17"/>
                        </w:rPr>
                        <w:t>(a) the measures to address deficiencies in liquidity risk management and the form, activation and calibration of powers that supervisory authorities may exercise to reinforce the liquidity position of undertakings where liquidity risks are identified and not adequately remedied by those undertakings;</w:t>
                      </w:r>
                    </w:p>
                    <w:p w14:paraId="320E8409" w14:textId="77777777" w:rsidR="004956AA" w:rsidRPr="004956AA" w:rsidRDefault="004956AA" w:rsidP="004956AA">
                      <w:pPr>
                        <w:spacing w:after="200" w:line="276" w:lineRule="auto"/>
                        <w:jc w:val="left"/>
                        <w:rPr>
                          <w:sz w:val="17"/>
                          <w:szCs w:val="17"/>
                        </w:rPr>
                      </w:pPr>
                      <w:r w:rsidRPr="004956AA">
                        <w:rPr>
                          <w:sz w:val="17"/>
                          <w:szCs w:val="17"/>
                        </w:rPr>
                        <w:t>(b) the existence of exceptional circumstances that justify the temporary suspension of redemption rights;</w:t>
                      </w:r>
                    </w:p>
                    <w:p w14:paraId="658B50B8" w14:textId="16EC7389" w:rsidR="004956AA" w:rsidRPr="00446421" w:rsidRDefault="004956AA" w:rsidP="004956AA">
                      <w:pPr>
                        <w:spacing w:after="200" w:line="276" w:lineRule="auto"/>
                        <w:jc w:val="left"/>
                        <w:rPr>
                          <w:i/>
                          <w:iCs/>
                          <w:sz w:val="17"/>
                          <w:szCs w:val="17"/>
                        </w:rPr>
                      </w:pPr>
                      <w:r w:rsidRPr="004956AA">
                        <w:rPr>
                          <w:sz w:val="17"/>
                          <w:szCs w:val="17"/>
                        </w:rPr>
                        <w:t>(c) the conditions for ensuring the consistent application of the temporary suspension of redemption rights as a last resort measure across the Union and the aspects to consider for equally and adequately protecting policy holders in all home and host jurisdictions</w:t>
                      </w:r>
                      <w:r w:rsidR="008C3233">
                        <w:rPr>
                          <w:sz w:val="17"/>
                          <w:szCs w:val="17"/>
                        </w:rPr>
                        <w:t>.</w:t>
                      </w:r>
                    </w:p>
                  </w:txbxContent>
                </v:textbox>
                <w10:wrap type="square" anchorx="margin"/>
              </v:shape>
            </w:pict>
          </mc:Fallback>
        </mc:AlternateContent>
      </w:r>
    </w:p>
    <w:p w14:paraId="5F776441" w14:textId="3442569A" w:rsidR="00717FA3" w:rsidRPr="00173AF6" w:rsidRDefault="008021B5" w:rsidP="008021B5">
      <w:pPr>
        <w:spacing w:line="276" w:lineRule="auto"/>
        <w:jc w:val="left"/>
        <w:rPr>
          <w:rFonts w:cs="Frutiger LT Std 45 Light"/>
          <w:color w:val="000000"/>
          <w:sz w:val="17"/>
          <w:szCs w:val="20"/>
        </w:rPr>
      </w:pPr>
      <w:r>
        <w:rPr>
          <w:rFonts w:cs="Frutiger LT Std 45 Light"/>
          <w:color w:val="000000"/>
          <w:sz w:val="17"/>
          <w:szCs w:val="20"/>
        </w:rPr>
        <w:lastRenderedPageBreak/>
        <w:t xml:space="preserve">How do you envisage these </w:t>
      </w:r>
      <w:r w:rsidR="00173AF6" w:rsidRPr="00173AF6">
        <w:rPr>
          <w:rFonts w:cs="Frutiger LT Std 45 Light"/>
          <w:color w:val="000000"/>
          <w:sz w:val="17"/>
          <w:szCs w:val="20"/>
        </w:rPr>
        <w:t>su</w:t>
      </w:r>
      <w:r w:rsidR="00173AF6" w:rsidRPr="00173AF6">
        <w:rPr>
          <w:sz w:val="17"/>
          <w:szCs w:val="17"/>
        </w:rPr>
        <w:t>pervisory powers to remedy liquidity vulnerabilities in exceptional circumstances</w:t>
      </w:r>
      <w:r>
        <w:rPr>
          <w:sz w:val="17"/>
          <w:szCs w:val="17"/>
        </w:rPr>
        <w:t xml:space="preserve"> being implemented in your </w:t>
      </w:r>
      <w:proofErr w:type="spellStart"/>
      <w:r>
        <w:rPr>
          <w:sz w:val="17"/>
          <w:szCs w:val="17"/>
        </w:rPr>
        <w:t>jurisidiction</w:t>
      </w:r>
      <w:proofErr w:type="spellEnd"/>
      <w:r w:rsidR="00717FA3" w:rsidRPr="00173AF6">
        <w:rPr>
          <w:rFonts w:cs="Frutiger LT Std 45 Light"/>
          <w:color w:val="000000"/>
          <w:sz w:val="17"/>
          <w:szCs w:val="20"/>
        </w:rPr>
        <w:t>?</w:t>
      </w:r>
    </w:p>
    <w:p w14:paraId="5FCC3B08" w14:textId="77777777" w:rsidR="00F11993" w:rsidRPr="00244345" w:rsidRDefault="00F11993" w:rsidP="00F11993">
      <w:pPr>
        <w:pStyle w:val="IEBullet-Level1"/>
        <w:rPr>
          <w:b/>
          <w:bCs/>
        </w:rPr>
      </w:pPr>
      <w:r w:rsidRPr="00244345">
        <w:rPr>
          <w:b/>
          <w:bCs/>
        </w:rPr>
        <w:t>There is a discussion going on.</w:t>
      </w:r>
    </w:p>
    <w:p w14:paraId="6CF665D4" w14:textId="77777777" w:rsidR="00717FA3" w:rsidRPr="00173AF6" w:rsidRDefault="00717FA3" w:rsidP="00F11993">
      <w:pPr>
        <w:pStyle w:val="IEBullet-Level1"/>
        <w:numPr>
          <w:ilvl w:val="0"/>
          <w:numId w:val="0"/>
        </w:numPr>
        <w:spacing w:line="240" w:lineRule="auto"/>
        <w:ind w:left="720"/>
      </w:pPr>
    </w:p>
    <w:p w14:paraId="43AD7611" w14:textId="77777777" w:rsidR="00717FA3" w:rsidRPr="00173AF6" w:rsidRDefault="00717FA3" w:rsidP="00717FA3">
      <w:pPr>
        <w:pStyle w:val="IEBullet-Level1"/>
        <w:numPr>
          <w:ilvl w:val="0"/>
          <w:numId w:val="0"/>
        </w:numPr>
        <w:spacing w:line="240" w:lineRule="auto"/>
        <w:ind w:left="720"/>
      </w:pPr>
    </w:p>
    <w:p w14:paraId="70975459" w14:textId="77777777" w:rsidR="00717FA3" w:rsidRPr="00173AF6" w:rsidRDefault="00717FA3" w:rsidP="00717FA3">
      <w:pPr>
        <w:pStyle w:val="IEBullet-Level1"/>
        <w:numPr>
          <w:ilvl w:val="0"/>
          <w:numId w:val="0"/>
        </w:numPr>
        <w:spacing w:line="240" w:lineRule="auto"/>
        <w:ind w:left="720"/>
      </w:pPr>
    </w:p>
    <w:p w14:paraId="788BC2EE" w14:textId="77777777" w:rsidR="00717FA3" w:rsidRPr="00173AF6" w:rsidRDefault="00717FA3" w:rsidP="00717FA3">
      <w:pPr>
        <w:spacing w:line="240" w:lineRule="auto"/>
        <w:jc w:val="left"/>
        <w:rPr>
          <w:rFonts w:cs="Frutiger LT Std 45 Light"/>
          <w:color w:val="000000"/>
          <w:sz w:val="17"/>
          <w:szCs w:val="20"/>
        </w:rPr>
      </w:pPr>
      <w:r w:rsidRPr="00173AF6">
        <w:rPr>
          <w:rFonts w:cs="Frutiger LT Std 45 Light"/>
          <w:color w:val="000000"/>
          <w:sz w:val="17"/>
          <w:szCs w:val="20"/>
        </w:rPr>
        <w:t>Expected impact or concerns:</w:t>
      </w:r>
    </w:p>
    <w:p w14:paraId="24C2142E" w14:textId="77777777" w:rsidR="00717FA3" w:rsidRPr="00173AF6" w:rsidRDefault="00717FA3" w:rsidP="00717FA3">
      <w:pPr>
        <w:pStyle w:val="IEBullet-Level1"/>
        <w:spacing w:line="240" w:lineRule="auto"/>
      </w:pPr>
    </w:p>
    <w:p w14:paraId="448CFBF5" w14:textId="77777777" w:rsidR="00717FA3" w:rsidRPr="00173AF6" w:rsidRDefault="00717FA3" w:rsidP="00717FA3">
      <w:pPr>
        <w:spacing w:after="200" w:line="240" w:lineRule="auto"/>
        <w:jc w:val="left"/>
        <w:rPr>
          <w:rFonts w:cs="Frutiger LT Std 45 Light"/>
          <w:i/>
          <w:iCs/>
          <w:color w:val="000000"/>
          <w:sz w:val="17"/>
          <w:szCs w:val="20"/>
        </w:rPr>
      </w:pPr>
    </w:p>
    <w:p w14:paraId="6FAAB846" w14:textId="5BC62AAC" w:rsidR="00717FA3" w:rsidRPr="00173AF6" w:rsidRDefault="00717FA3" w:rsidP="00717FA3">
      <w:pPr>
        <w:spacing w:line="240" w:lineRule="auto"/>
        <w:jc w:val="left"/>
        <w:rPr>
          <w:rFonts w:cs="Frutiger LT Std 45 Light"/>
          <w:color w:val="000000"/>
          <w:sz w:val="17"/>
          <w:szCs w:val="20"/>
        </w:rPr>
      </w:pPr>
      <w:r w:rsidRPr="00173AF6">
        <w:rPr>
          <w:rFonts w:cs="Frutiger LT Std 45 Light"/>
          <w:color w:val="000000"/>
          <w:sz w:val="17"/>
          <w:szCs w:val="20"/>
        </w:rPr>
        <w:t>Other comments:</w:t>
      </w:r>
    </w:p>
    <w:p w14:paraId="6396216F" w14:textId="0997BFC0" w:rsidR="00244345" w:rsidRPr="00244345" w:rsidRDefault="00244345" w:rsidP="00244345">
      <w:pPr>
        <w:pStyle w:val="IEBullet-Level1"/>
        <w:rPr>
          <w:b/>
          <w:bCs/>
        </w:rPr>
      </w:pPr>
    </w:p>
    <w:p w14:paraId="036C4035" w14:textId="77777777" w:rsidR="00717FA3" w:rsidRPr="00173AF6" w:rsidRDefault="00717FA3" w:rsidP="00244345">
      <w:pPr>
        <w:pStyle w:val="IEBullet-Level1"/>
        <w:numPr>
          <w:ilvl w:val="0"/>
          <w:numId w:val="0"/>
        </w:numPr>
        <w:ind w:left="720"/>
        <w:rPr>
          <w:i/>
          <w:iCs/>
        </w:rPr>
      </w:pPr>
    </w:p>
    <w:p w14:paraId="47B0BDEB" w14:textId="77777777" w:rsidR="00B112C9" w:rsidRDefault="00B112C9" w:rsidP="00B112C9">
      <w:pPr>
        <w:spacing w:after="200" w:line="276" w:lineRule="auto"/>
        <w:jc w:val="left"/>
        <w:rPr>
          <w:sz w:val="17"/>
          <w:szCs w:val="17"/>
        </w:rPr>
      </w:pPr>
    </w:p>
    <w:p w14:paraId="6272C72C" w14:textId="1E2B6D66" w:rsidR="00B112C9" w:rsidRDefault="00B112C9" w:rsidP="00B112C9">
      <w:pPr>
        <w:spacing w:after="200" w:line="276" w:lineRule="auto"/>
        <w:jc w:val="left"/>
        <w:rPr>
          <w:sz w:val="17"/>
          <w:szCs w:val="17"/>
        </w:rPr>
      </w:pPr>
    </w:p>
    <w:p w14:paraId="25DA0EE7" w14:textId="77777777" w:rsidR="00867562" w:rsidRDefault="00867562" w:rsidP="00B112C9">
      <w:pPr>
        <w:spacing w:after="200" w:line="276" w:lineRule="auto"/>
        <w:jc w:val="left"/>
        <w:rPr>
          <w:sz w:val="17"/>
          <w:szCs w:val="17"/>
        </w:rPr>
      </w:pPr>
    </w:p>
    <w:p w14:paraId="410D8BF6" w14:textId="77777777" w:rsidR="00FE35C0" w:rsidRDefault="00B112C9" w:rsidP="00B112C9">
      <w:pPr>
        <w:spacing w:after="200" w:line="276" w:lineRule="auto"/>
        <w:jc w:val="left"/>
        <w:rPr>
          <w:sz w:val="17"/>
          <w:szCs w:val="17"/>
        </w:rPr>
        <w:sectPr w:rsidR="00FE35C0" w:rsidSect="0016089A">
          <w:headerReference w:type="default" r:id="rId12"/>
          <w:footerReference w:type="even" r:id="rId13"/>
          <w:footerReference w:type="default" r:id="rId14"/>
          <w:headerReference w:type="first" r:id="rId15"/>
          <w:footerReference w:type="first" r:id="rId16"/>
          <w:pgSz w:w="11907" w:h="16839" w:code="9"/>
          <w:pgMar w:top="2410" w:right="907" w:bottom="1253" w:left="1418" w:header="709" w:footer="129" w:gutter="0"/>
          <w:cols w:space="708"/>
          <w:titlePg/>
          <w:docGrid w:linePitch="360"/>
        </w:sectPr>
      </w:pPr>
      <w:r>
        <w:rPr>
          <w:sz w:val="17"/>
          <w:szCs w:val="17"/>
        </w:rPr>
        <w:t xml:space="preserve">The Secretariat is open to any suggestions on possible </w:t>
      </w:r>
      <w:r w:rsidR="0001797A">
        <w:rPr>
          <w:sz w:val="17"/>
          <w:szCs w:val="17"/>
        </w:rPr>
        <w:t>question</w:t>
      </w:r>
      <w:r>
        <w:rPr>
          <w:sz w:val="17"/>
          <w:szCs w:val="17"/>
        </w:rPr>
        <w:t>s to be added to the survey.</w:t>
      </w:r>
    </w:p>
    <w:p w14:paraId="28C38C99" w14:textId="77777777" w:rsidR="00AD439C" w:rsidRPr="00723F23" w:rsidRDefault="00AD439C" w:rsidP="00AD439C">
      <w:pPr>
        <w:pStyle w:val="IEBullet-Level10"/>
        <w:ind w:left="0" w:firstLine="0"/>
      </w:pPr>
      <w:r w:rsidRPr="00422A3D">
        <w:rPr>
          <w:rStyle w:val="IEGraphTitle"/>
          <w:b/>
          <w:bCs/>
        </w:rPr>
        <w:lastRenderedPageBreak/>
        <w:t>Annex I</w:t>
      </w:r>
      <w:r>
        <w:rPr>
          <w:rStyle w:val="IEGraphTitle"/>
          <w:b/>
          <w:bCs/>
        </w:rPr>
        <w:t xml:space="preserve"> - </w:t>
      </w:r>
      <w:r w:rsidRPr="00422A3D">
        <w:rPr>
          <w:b/>
          <w:bCs/>
        </w:rPr>
        <w:t>Summary of results from the survey on national implementation of the Solvency II review</w:t>
      </w:r>
    </w:p>
    <w:p w14:paraId="1E4A7051" w14:textId="77777777" w:rsidR="00AD439C" w:rsidRDefault="00AD439C" w:rsidP="00B112C9">
      <w:pPr>
        <w:spacing w:after="200" w:line="276" w:lineRule="auto"/>
        <w:jc w:val="left"/>
        <w:rPr>
          <w:sz w:val="17"/>
          <w:szCs w:val="17"/>
        </w:rPr>
      </w:pPr>
    </w:p>
    <w:tbl>
      <w:tblPr>
        <w:tblW w:w="14880" w:type="dxa"/>
        <w:tblLayout w:type="fixed"/>
        <w:tblCellMar>
          <w:top w:w="15" w:type="dxa"/>
          <w:bottom w:w="15" w:type="dxa"/>
        </w:tblCellMar>
        <w:tblLook w:val="04A0" w:firstRow="1" w:lastRow="0" w:firstColumn="1" w:lastColumn="0" w:noHBand="0" w:noVBand="1"/>
      </w:tblPr>
      <w:tblGrid>
        <w:gridCol w:w="998"/>
        <w:gridCol w:w="3680"/>
        <w:gridCol w:w="1559"/>
        <w:gridCol w:w="1843"/>
        <w:gridCol w:w="2268"/>
        <w:gridCol w:w="2410"/>
        <w:gridCol w:w="2122"/>
      </w:tblGrid>
      <w:tr w:rsidR="004F5A07" w:rsidRPr="007D3963" w14:paraId="17536ACB" w14:textId="77777777" w:rsidTr="008B2B20">
        <w:trPr>
          <w:trHeight w:val="1080"/>
          <w:tblHeader/>
        </w:trPr>
        <w:tc>
          <w:tcPr>
            <w:tcW w:w="998" w:type="dxa"/>
            <w:tcBorders>
              <w:top w:val="single" w:sz="8" w:space="0" w:color="9BBB59"/>
              <w:left w:val="nil"/>
              <w:bottom w:val="single" w:sz="8" w:space="0" w:color="9BBB59"/>
              <w:right w:val="nil"/>
            </w:tcBorders>
            <w:shd w:val="clear" w:color="000000" w:fill="9BBB59"/>
            <w:vAlign w:val="center"/>
            <w:hideMark/>
          </w:tcPr>
          <w:p w14:paraId="25293AC7" w14:textId="77777777" w:rsidR="004F5A07" w:rsidRPr="007D3963" w:rsidRDefault="004F5A07">
            <w:pPr>
              <w:spacing w:line="240" w:lineRule="auto"/>
              <w:rPr>
                <w:b/>
                <w:color w:val="FFFFFF"/>
                <w:sz w:val="17"/>
                <w:szCs w:val="17"/>
              </w:rPr>
            </w:pPr>
            <w:r w:rsidRPr="007D3963">
              <w:rPr>
                <w:b/>
                <w:color w:val="FFFFFF"/>
                <w:sz w:val="17"/>
                <w:szCs w:val="17"/>
              </w:rPr>
              <w:t>Country</w:t>
            </w:r>
          </w:p>
        </w:tc>
        <w:tc>
          <w:tcPr>
            <w:tcW w:w="3680" w:type="dxa"/>
            <w:tcBorders>
              <w:top w:val="single" w:sz="8" w:space="0" w:color="9BBB59"/>
              <w:left w:val="nil"/>
              <w:bottom w:val="single" w:sz="8" w:space="0" w:color="9BBB59"/>
              <w:right w:val="nil"/>
            </w:tcBorders>
            <w:shd w:val="clear" w:color="000000" w:fill="9BBB59"/>
            <w:vAlign w:val="center"/>
            <w:hideMark/>
          </w:tcPr>
          <w:p w14:paraId="39C0A781" w14:textId="77777777" w:rsidR="004F5A07" w:rsidRPr="007D3963" w:rsidRDefault="004F5A07">
            <w:pPr>
              <w:spacing w:line="240" w:lineRule="auto"/>
              <w:rPr>
                <w:b/>
                <w:color w:val="FFFFFF"/>
                <w:sz w:val="17"/>
                <w:szCs w:val="17"/>
              </w:rPr>
            </w:pPr>
            <w:r w:rsidRPr="007D3963">
              <w:rPr>
                <w:b/>
                <w:color w:val="FFFFFF"/>
                <w:sz w:val="17"/>
                <w:szCs w:val="17"/>
              </w:rPr>
              <w:t>Transposition status/timeline</w:t>
            </w:r>
          </w:p>
        </w:tc>
        <w:tc>
          <w:tcPr>
            <w:tcW w:w="1559" w:type="dxa"/>
            <w:tcBorders>
              <w:top w:val="single" w:sz="8" w:space="0" w:color="9BBB59"/>
              <w:left w:val="nil"/>
              <w:bottom w:val="single" w:sz="8" w:space="0" w:color="9BBB59"/>
              <w:right w:val="nil"/>
            </w:tcBorders>
            <w:shd w:val="clear" w:color="000000" w:fill="9BBB59"/>
            <w:vAlign w:val="center"/>
            <w:hideMark/>
          </w:tcPr>
          <w:p w14:paraId="2EE6D715" w14:textId="77777777" w:rsidR="004F5A07" w:rsidRPr="007D3963" w:rsidRDefault="004F5A07">
            <w:pPr>
              <w:spacing w:line="240" w:lineRule="auto"/>
              <w:rPr>
                <w:b/>
                <w:color w:val="FFFFFF"/>
                <w:sz w:val="17"/>
                <w:szCs w:val="17"/>
              </w:rPr>
            </w:pPr>
            <w:r w:rsidRPr="007D3963">
              <w:rPr>
                <w:b/>
                <w:color w:val="FFFFFF"/>
                <w:sz w:val="17"/>
                <w:szCs w:val="17"/>
              </w:rPr>
              <w:t>Excluded undertakings subject to SII provisions (Recital 10)</w:t>
            </w:r>
          </w:p>
        </w:tc>
        <w:tc>
          <w:tcPr>
            <w:tcW w:w="1843" w:type="dxa"/>
            <w:tcBorders>
              <w:top w:val="single" w:sz="8" w:space="0" w:color="9BBB59"/>
              <w:left w:val="nil"/>
              <w:bottom w:val="single" w:sz="8" w:space="0" w:color="9BBB59"/>
              <w:right w:val="nil"/>
            </w:tcBorders>
            <w:shd w:val="clear" w:color="000000" w:fill="9BBB59"/>
            <w:vAlign w:val="center"/>
            <w:hideMark/>
          </w:tcPr>
          <w:p w14:paraId="68D60496" w14:textId="77777777" w:rsidR="004F5A07" w:rsidRPr="007D3963" w:rsidRDefault="004F5A07">
            <w:pPr>
              <w:spacing w:line="240" w:lineRule="auto"/>
              <w:rPr>
                <w:b/>
                <w:color w:val="FFFFFF"/>
                <w:sz w:val="17"/>
                <w:szCs w:val="17"/>
              </w:rPr>
            </w:pPr>
            <w:r w:rsidRPr="007D3963">
              <w:rPr>
                <w:b/>
                <w:color w:val="FFFFFF"/>
                <w:sz w:val="17"/>
                <w:szCs w:val="17"/>
              </w:rPr>
              <w:t>Volatility Adjustment (Recital 45)</w:t>
            </w:r>
          </w:p>
        </w:tc>
        <w:tc>
          <w:tcPr>
            <w:tcW w:w="2268" w:type="dxa"/>
            <w:tcBorders>
              <w:top w:val="single" w:sz="8" w:space="0" w:color="9BBB59"/>
              <w:left w:val="nil"/>
              <w:bottom w:val="single" w:sz="8" w:space="0" w:color="9BBB59"/>
              <w:right w:val="nil"/>
            </w:tcBorders>
            <w:shd w:val="clear" w:color="000000" w:fill="9BBB59"/>
            <w:vAlign w:val="center"/>
            <w:hideMark/>
          </w:tcPr>
          <w:p w14:paraId="757AE507" w14:textId="77777777" w:rsidR="004F5A07" w:rsidRPr="007D3963" w:rsidRDefault="004F5A07">
            <w:pPr>
              <w:spacing w:line="240" w:lineRule="auto"/>
              <w:rPr>
                <w:b/>
                <w:color w:val="FFFFFF"/>
                <w:sz w:val="17"/>
                <w:szCs w:val="17"/>
              </w:rPr>
            </w:pPr>
            <w:r w:rsidRPr="007D3963">
              <w:rPr>
                <w:b/>
                <w:color w:val="FFFFFF"/>
                <w:sz w:val="17"/>
                <w:szCs w:val="17"/>
              </w:rPr>
              <w:t>Audit Requirement (art 51a)</w:t>
            </w:r>
          </w:p>
        </w:tc>
        <w:tc>
          <w:tcPr>
            <w:tcW w:w="2410" w:type="dxa"/>
            <w:tcBorders>
              <w:top w:val="single" w:sz="8" w:space="0" w:color="9BBB59"/>
              <w:left w:val="nil"/>
              <w:bottom w:val="single" w:sz="8" w:space="0" w:color="9BBB59"/>
              <w:right w:val="nil"/>
            </w:tcBorders>
            <w:shd w:val="clear" w:color="000000" w:fill="9BBB59"/>
            <w:vAlign w:val="center"/>
            <w:hideMark/>
          </w:tcPr>
          <w:p w14:paraId="06B12506" w14:textId="77777777" w:rsidR="004F5A07" w:rsidRPr="007D3963" w:rsidRDefault="004F5A07">
            <w:pPr>
              <w:spacing w:line="240" w:lineRule="auto"/>
              <w:rPr>
                <w:b/>
                <w:color w:val="FFFFFF"/>
                <w:sz w:val="17"/>
                <w:szCs w:val="17"/>
              </w:rPr>
            </w:pPr>
            <w:r w:rsidRPr="007D3963">
              <w:rPr>
                <w:b/>
                <w:color w:val="FFFFFF"/>
                <w:sz w:val="17"/>
                <w:szCs w:val="17"/>
              </w:rPr>
              <w:t>Stress test disclosure (art 64)</w:t>
            </w:r>
          </w:p>
        </w:tc>
        <w:tc>
          <w:tcPr>
            <w:tcW w:w="2122" w:type="dxa"/>
            <w:tcBorders>
              <w:top w:val="single" w:sz="8" w:space="0" w:color="9BBB59"/>
              <w:left w:val="nil"/>
              <w:bottom w:val="single" w:sz="8" w:space="0" w:color="9BBB59"/>
              <w:right w:val="nil"/>
            </w:tcBorders>
            <w:shd w:val="clear" w:color="000000" w:fill="9BBB59"/>
            <w:vAlign w:val="center"/>
            <w:hideMark/>
          </w:tcPr>
          <w:p w14:paraId="54E604CF" w14:textId="77777777" w:rsidR="004F5A07" w:rsidRPr="007D3963" w:rsidRDefault="004F5A07">
            <w:pPr>
              <w:spacing w:line="240" w:lineRule="auto"/>
              <w:rPr>
                <w:b/>
                <w:color w:val="FFFFFF"/>
                <w:sz w:val="17"/>
                <w:szCs w:val="17"/>
              </w:rPr>
            </w:pPr>
            <w:r w:rsidRPr="007D3963">
              <w:rPr>
                <w:b/>
                <w:color w:val="FFFFFF"/>
                <w:sz w:val="17"/>
                <w:szCs w:val="17"/>
              </w:rPr>
              <w:t>Standard formula reporting for Internal Models (art 112)</w:t>
            </w:r>
          </w:p>
        </w:tc>
      </w:tr>
      <w:tr w:rsidR="004F5A07" w:rsidRPr="007D3963" w14:paraId="37D18170" w14:textId="77777777">
        <w:trPr>
          <w:trHeight w:val="1950"/>
        </w:trPr>
        <w:tc>
          <w:tcPr>
            <w:tcW w:w="998" w:type="dxa"/>
            <w:tcBorders>
              <w:top w:val="single" w:sz="8" w:space="0" w:color="9BBB59"/>
              <w:left w:val="nil"/>
              <w:bottom w:val="single" w:sz="8" w:space="0" w:color="C2D69B"/>
              <w:right w:val="single" w:sz="8" w:space="0" w:color="C2D69B"/>
            </w:tcBorders>
            <w:vAlign w:val="center"/>
            <w:hideMark/>
          </w:tcPr>
          <w:p w14:paraId="7634AF4E" w14:textId="77777777" w:rsidR="004F5A07" w:rsidRPr="007D3963" w:rsidRDefault="004F5A07">
            <w:pPr>
              <w:spacing w:line="240" w:lineRule="auto"/>
              <w:rPr>
                <w:color w:val="000000"/>
                <w:sz w:val="17"/>
                <w:szCs w:val="17"/>
              </w:rPr>
            </w:pPr>
            <w:r w:rsidRPr="007D3963">
              <w:rPr>
                <w:color w:val="000000"/>
                <w:sz w:val="17"/>
                <w:szCs w:val="17"/>
              </w:rPr>
              <w:t>Germany</w:t>
            </w:r>
          </w:p>
        </w:tc>
        <w:tc>
          <w:tcPr>
            <w:tcW w:w="3680" w:type="dxa"/>
            <w:tcBorders>
              <w:top w:val="single" w:sz="8" w:space="0" w:color="9BBB59"/>
              <w:left w:val="nil"/>
              <w:bottom w:val="single" w:sz="8" w:space="0" w:color="C2D69B"/>
              <w:right w:val="single" w:sz="8" w:space="0" w:color="C2D69B"/>
            </w:tcBorders>
            <w:vAlign w:val="center"/>
            <w:hideMark/>
          </w:tcPr>
          <w:p w14:paraId="5E364110" w14:textId="77777777" w:rsidR="004F5A07" w:rsidRPr="007D3963" w:rsidRDefault="004F5A07">
            <w:pPr>
              <w:spacing w:line="240" w:lineRule="auto"/>
              <w:rPr>
                <w:color w:val="000000"/>
                <w:sz w:val="17"/>
                <w:szCs w:val="17"/>
              </w:rPr>
            </w:pPr>
            <w:r w:rsidRPr="007D3963">
              <w:rPr>
                <w:color w:val="000000"/>
                <w:sz w:val="17"/>
                <w:szCs w:val="17"/>
              </w:rPr>
              <w:t xml:space="preserve">- </w:t>
            </w:r>
            <w:r w:rsidRPr="00A31FC3">
              <w:rPr>
                <w:color w:val="000000"/>
                <w:sz w:val="17"/>
                <w:szCs w:val="17"/>
              </w:rPr>
              <w:t xml:space="preserve">There is </w:t>
            </w:r>
            <w:r w:rsidRPr="00A31FC3">
              <w:rPr>
                <w:b/>
                <w:color w:val="000000"/>
                <w:sz w:val="17"/>
                <w:szCs w:val="17"/>
              </w:rPr>
              <w:t>no draft</w:t>
            </w:r>
            <w:r w:rsidRPr="00A31FC3">
              <w:rPr>
                <w:color w:val="000000"/>
                <w:sz w:val="17"/>
                <w:szCs w:val="17"/>
              </w:rPr>
              <w:t xml:space="preserve"> yet on the implementation of the Amending Directive into national law.</w:t>
            </w:r>
          </w:p>
        </w:tc>
        <w:tc>
          <w:tcPr>
            <w:tcW w:w="1559" w:type="dxa"/>
            <w:tcBorders>
              <w:top w:val="single" w:sz="8" w:space="0" w:color="9BBB59"/>
              <w:left w:val="nil"/>
              <w:bottom w:val="single" w:sz="8" w:space="0" w:color="C2D69B"/>
              <w:right w:val="single" w:sz="8" w:space="0" w:color="C2D69B"/>
            </w:tcBorders>
            <w:vAlign w:val="center"/>
            <w:hideMark/>
          </w:tcPr>
          <w:p w14:paraId="626AFB38" w14:textId="77777777" w:rsidR="004F5A07" w:rsidRPr="007D3963" w:rsidRDefault="004F5A07">
            <w:pPr>
              <w:spacing w:line="240" w:lineRule="auto"/>
              <w:rPr>
                <w:color w:val="000000"/>
                <w:sz w:val="17"/>
                <w:szCs w:val="17"/>
              </w:rPr>
            </w:pPr>
            <w:r w:rsidRPr="007D3963">
              <w:rPr>
                <w:color w:val="000000"/>
                <w:sz w:val="17"/>
                <w:szCs w:val="17"/>
              </w:rPr>
              <w:t>TBC</w:t>
            </w:r>
          </w:p>
        </w:tc>
        <w:tc>
          <w:tcPr>
            <w:tcW w:w="1843" w:type="dxa"/>
            <w:tcBorders>
              <w:top w:val="single" w:sz="8" w:space="0" w:color="9BBB59"/>
              <w:left w:val="nil"/>
              <w:bottom w:val="single" w:sz="8" w:space="0" w:color="C2D69B"/>
              <w:right w:val="single" w:sz="8" w:space="0" w:color="C2D69B"/>
            </w:tcBorders>
            <w:vAlign w:val="center"/>
            <w:hideMark/>
          </w:tcPr>
          <w:p w14:paraId="3D348F93" w14:textId="77777777" w:rsidR="004F5A07" w:rsidRPr="007D3963" w:rsidRDefault="004F5A07">
            <w:pPr>
              <w:spacing w:line="240" w:lineRule="auto"/>
              <w:rPr>
                <w:color w:val="000000"/>
                <w:sz w:val="17"/>
                <w:szCs w:val="17"/>
              </w:rPr>
            </w:pPr>
            <w:r w:rsidRPr="007D3963">
              <w:rPr>
                <w:color w:val="000000"/>
                <w:sz w:val="17"/>
                <w:szCs w:val="17"/>
              </w:rPr>
              <w:t>TBC</w:t>
            </w:r>
          </w:p>
        </w:tc>
        <w:tc>
          <w:tcPr>
            <w:tcW w:w="2268" w:type="dxa"/>
            <w:tcBorders>
              <w:top w:val="single" w:sz="8" w:space="0" w:color="9BBB59"/>
              <w:left w:val="nil"/>
              <w:bottom w:val="single" w:sz="8" w:space="0" w:color="C2D69B"/>
              <w:right w:val="single" w:sz="8" w:space="0" w:color="C2D69B"/>
            </w:tcBorders>
            <w:vAlign w:val="center"/>
            <w:hideMark/>
          </w:tcPr>
          <w:p w14:paraId="2474DA63" w14:textId="77777777" w:rsidR="004F5A07" w:rsidRPr="007D3963" w:rsidRDefault="004F5A07">
            <w:pPr>
              <w:spacing w:line="240" w:lineRule="auto"/>
              <w:rPr>
                <w:color w:val="000000"/>
                <w:sz w:val="17"/>
                <w:szCs w:val="17"/>
              </w:rPr>
            </w:pPr>
            <w:r w:rsidRPr="007D3963">
              <w:rPr>
                <w:color w:val="000000"/>
                <w:sz w:val="17"/>
                <w:szCs w:val="17"/>
              </w:rPr>
              <w:t>TBC</w:t>
            </w:r>
          </w:p>
        </w:tc>
        <w:tc>
          <w:tcPr>
            <w:tcW w:w="2410" w:type="dxa"/>
            <w:tcBorders>
              <w:top w:val="single" w:sz="8" w:space="0" w:color="9BBB59"/>
              <w:left w:val="nil"/>
              <w:bottom w:val="single" w:sz="8" w:space="0" w:color="C2D69B"/>
              <w:right w:val="single" w:sz="8" w:space="0" w:color="C2D69B"/>
            </w:tcBorders>
            <w:vAlign w:val="center"/>
            <w:hideMark/>
          </w:tcPr>
          <w:p w14:paraId="31EAD597" w14:textId="77777777" w:rsidR="004F5A07" w:rsidRPr="007D3963" w:rsidRDefault="004F5A07">
            <w:pPr>
              <w:spacing w:line="240" w:lineRule="auto"/>
              <w:rPr>
                <w:color w:val="000000"/>
                <w:sz w:val="17"/>
                <w:szCs w:val="17"/>
              </w:rPr>
            </w:pPr>
            <w:r w:rsidRPr="007D3963">
              <w:rPr>
                <w:color w:val="000000"/>
                <w:sz w:val="17"/>
                <w:szCs w:val="17"/>
              </w:rPr>
              <w:t>TBC</w:t>
            </w:r>
          </w:p>
        </w:tc>
        <w:tc>
          <w:tcPr>
            <w:tcW w:w="2122" w:type="dxa"/>
            <w:tcBorders>
              <w:top w:val="single" w:sz="8" w:space="0" w:color="9BBB59"/>
              <w:left w:val="nil"/>
              <w:bottom w:val="single" w:sz="8" w:space="0" w:color="C2D69B"/>
              <w:right w:val="single" w:sz="8" w:space="0" w:color="C2D69B"/>
            </w:tcBorders>
            <w:vAlign w:val="center"/>
            <w:hideMark/>
          </w:tcPr>
          <w:p w14:paraId="1910E297" w14:textId="77777777" w:rsidR="004F5A07" w:rsidRPr="007D3963" w:rsidRDefault="004F5A07">
            <w:pPr>
              <w:spacing w:line="240" w:lineRule="auto"/>
              <w:rPr>
                <w:color w:val="000000"/>
                <w:sz w:val="17"/>
                <w:szCs w:val="17"/>
              </w:rPr>
            </w:pPr>
            <w:r w:rsidRPr="007D3963">
              <w:rPr>
                <w:color w:val="000000"/>
                <w:sz w:val="17"/>
                <w:szCs w:val="17"/>
              </w:rPr>
              <w:t>TBC</w:t>
            </w:r>
          </w:p>
        </w:tc>
      </w:tr>
      <w:tr w:rsidR="004F5A07" w:rsidRPr="007D3963" w14:paraId="17353039" w14:textId="77777777">
        <w:trPr>
          <w:trHeight w:val="2145"/>
        </w:trPr>
        <w:tc>
          <w:tcPr>
            <w:tcW w:w="998" w:type="dxa"/>
            <w:tcBorders>
              <w:top w:val="single" w:sz="8" w:space="0" w:color="C2D69B"/>
              <w:left w:val="nil"/>
              <w:bottom w:val="single" w:sz="8" w:space="0" w:color="C2D69B"/>
              <w:right w:val="single" w:sz="8" w:space="0" w:color="C2D69B"/>
            </w:tcBorders>
            <w:shd w:val="clear" w:color="000000" w:fill="EAF1DD"/>
            <w:vAlign w:val="center"/>
            <w:hideMark/>
          </w:tcPr>
          <w:p w14:paraId="7B5F8392" w14:textId="77777777" w:rsidR="004F5A07" w:rsidRPr="007D3963" w:rsidRDefault="004F5A07">
            <w:pPr>
              <w:spacing w:line="240" w:lineRule="auto"/>
              <w:rPr>
                <w:color w:val="000000"/>
                <w:sz w:val="17"/>
                <w:szCs w:val="17"/>
              </w:rPr>
            </w:pPr>
            <w:r w:rsidRPr="007D3963">
              <w:rPr>
                <w:color w:val="000000"/>
                <w:sz w:val="17"/>
                <w:szCs w:val="17"/>
              </w:rPr>
              <w:t>France</w:t>
            </w:r>
          </w:p>
        </w:tc>
        <w:tc>
          <w:tcPr>
            <w:tcW w:w="3680" w:type="dxa"/>
            <w:tcBorders>
              <w:top w:val="single" w:sz="8" w:space="0" w:color="C2D69B"/>
              <w:left w:val="single" w:sz="8" w:space="0" w:color="C2D69B"/>
              <w:bottom w:val="single" w:sz="8" w:space="0" w:color="C2D69B"/>
              <w:right w:val="single" w:sz="8" w:space="0" w:color="C2D69B"/>
            </w:tcBorders>
            <w:shd w:val="clear" w:color="000000" w:fill="EAF1DD"/>
            <w:vAlign w:val="center"/>
            <w:hideMark/>
          </w:tcPr>
          <w:p w14:paraId="1A4768BC" w14:textId="77777777" w:rsidR="004F5A07" w:rsidRPr="007D3963" w:rsidRDefault="004F5A07">
            <w:pPr>
              <w:spacing w:line="240" w:lineRule="auto"/>
              <w:rPr>
                <w:color w:val="000000"/>
                <w:sz w:val="17"/>
                <w:szCs w:val="17"/>
              </w:rPr>
            </w:pPr>
            <w:r w:rsidRPr="00E87300">
              <w:rPr>
                <w:color w:val="000000"/>
                <w:sz w:val="17"/>
                <w:szCs w:val="17"/>
              </w:rPr>
              <w:t xml:space="preserve">No discussions have yet been held on the transposition. The </w:t>
            </w:r>
            <w:r w:rsidRPr="00E87300">
              <w:rPr>
                <w:b/>
                <w:color w:val="000000"/>
                <w:sz w:val="17"/>
                <w:szCs w:val="17"/>
              </w:rPr>
              <w:t>Trésor</w:t>
            </w:r>
            <w:r w:rsidRPr="00E87300">
              <w:rPr>
                <w:color w:val="000000"/>
                <w:sz w:val="17"/>
                <w:szCs w:val="17"/>
              </w:rPr>
              <w:t xml:space="preserve"> is expected to initiate discussions in </w:t>
            </w:r>
            <w:r w:rsidRPr="00E87300">
              <w:rPr>
                <w:b/>
                <w:bCs/>
                <w:color w:val="000000"/>
                <w:sz w:val="17"/>
                <w:szCs w:val="17"/>
              </w:rPr>
              <w:t>Nov/Dec 2025</w:t>
            </w:r>
            <w:r w:rsidRPr="00E87300">
              <w:rPr>
                <w:color w:val="000000"/>
                <w:sz w:val="17"/>
                <w:szCs w:val="17"/>
              </w:rPr>
              <w:t xml:space="preserve">, aiming for </w:t>
            </w:r>
            <w:r w:rsidRPr="00E87300">
              <w:rPr>
                <w:b/>
                <w:color w:val="000000"/>
                <w:sz w:val="17"/>
                <w:szCs w:val="17"/>
              </w:rPr>
              <w:t>adoption in Q2 2026</w:t>
            </w:r>
            <w:r w:rsidRPr="00E87300">
              <w:rPr>
                <w:b/>
                <w:bCs/>
                <w:color w:val="000000"/>
                <w:sz w:val="17"/>
                <w:szCs w:val="17"/>
              </w:rPr>
              <w:t>.</w:t>
            </w:r>
          </w:p>
        </w:tc>
        <w:tc>
          <w:tcPr>
            <w:tcW w:w="1559" w:type="dxa"/>
            <w:tcBorders>
              <w:top w:val="single" w:sz="8" w:space="0" w:color="C2D69B"/>
              <w:left w:val="single" w:sz="8" w:space="0" w:color="C2D69B"/>
              <w:bottom w:val="single" w:sz="8" w:space="0" w:color="C2D69B"/>
              <w:right w:val="single" w:sz="8" w:space="0" w:color="C2D69B"/>
            </w:tcBorders>
            <w:shd w:val="clear" w:color="000000" w:fill="EAF1DD"/>
            <w:vAlign w:val="center"/>
            <w:hideMark/>
          </w:tcPr>
          <w:p w14:paraId="4089AEF7" w14:textId="77777777" w:rsidR="004F5A07" w:rsidRPr="007D3963" w:rsidRDefault="004F5A07">
            <w:pPr>
              <w:spacing w:line="240" w:lineRule="auto"/>
              <w:rPr>
                <w:color w:val="000000"/>
                <w:sz w:val="17"/>
                <w:szCs w:val="17"/>
              </w:rPr>
            </w:pPr>
            <w:r w:rsidRPr="007D3963">
              <w:rPr>
                <w:color w:val="000000"/>
                <w:sz w:val="17"/>
                <w:szCs w:val="17"/>
              </w:rPr>
              <w:t>TBC</w:t>
            </w:r>
          </w:p>
        </w:tc>
        <w:tc>
          <w:tcPr>
            <w:tcW w:w="1843" w:type="dxa"/>
            <w:tcBorders>
              <w:top w:val="single" w:sz="8" w:space="0" w:color="C2D69B"/>
              <w:left w:val="single" w:sz="8" w:space="0" w:color="C2D69B"/>
              <w:bottom w:val="single" w:sz="8" w:space="0" w:color="C2D69B"/>
              <w:right w:val="single" w:sz="8" w:space="0" w:color="C2D69B"/>
            </w:tcBorders>
            <w:shd w:val="clear" w:color="000000" w:fill="EAF1DD"/>
            <w:vAlign w:val="center"/>
            <w:hideMark/>
          </w:tcPr>
          <w:p w14:paraId="7D0A1C2F" w14:textId="77777777" w:rsidR="004F5A07" w:rsidRPr="007D3963" w:rsidRDefault="004F5A07">
            <w:pPr>
              <w:spacing w:line="240" w:lineRule="auto"/>
              <w:rPr>
                <w:color w:val="000000"/>
                <w:sz w:val="17"/>
                <w:szCs w:val="17"/>
              </w:rPr>
            </w:pPr>
            <w:r w:rsidRPr="00C85FFD">
              <w:rPr>
                <w:color w:val="000000"/>
                <w:sz w:val="17"/>
                <w:szCs w:val="17"/>
              </w:rPr>
              <w:t xml:space="preserve">It seems </w:t>
            </w:r>
            <w:r w:rsidRPr="00C85FFD">
              <w:rPr>
                <w:b/>
                <w:color w:val="000000"/>
                <w:sz w:val="17"/>
                <w:szCs w:val="17"/>
              </w:rPr>
              <w:t>unlikely</w:t>
            </w:r>
            <w:r w:rsidRPr="00C85FFD">
              <w:rPr>
                <w:color w:val="000000"/>
                <w:sz w:val="17"/>
                <w:szCs w:val="17"/>
              </w:rPr>
              <w:t xml:space="preserve"> that changes will be made to the conditions of application of the VA.</w:t>
            </w:r>
          </w:p>
        </w:tc>
        <w:tc>
          <w:tcPr>
            <w:tcW w:w="2268" w:type="dxa"/>
            <w:tcBorders>
              <w:top w:val="single" w:sz="8" w:space="0" w:color="C2D69B"/>
              <w:left w:val="single" w:sz="8" w:space="0" w:color="C2D69B"/>
              <w:bottom w:val="single" w:sz="8" w:space="0" w:color="C2D69B"/>
              <w:right w:val="nil"/>
            </w:tcBorders>
            <w:shd w:val="clear" w:color="000000" w:fill="EAF1DD"/>
            <w:vAlign w:val="center"/>
            <w:hideMark/>
          </w:tcPr>
          <w:p w14:paraId="07E82AD8" w14:textId="77777777" w:rsidR="004F5A07" w:rsidRPr="007D3963" w:rsidRDefault="004F5A07">
            <w:pPr>
              <w:spacing w:line="240" w:lineRule="auto"/>
              <w:rPr>
                <w:color w:val="000000"/>
                <w:sz w:val="17"/>
                <w:szCs w:val="17"/>
              </w:rPr>
            </w:pPr>
            <w:r w:rsidRPr="00005D3D">
              <w:rPr>
                <w:color w:val="000000"/>
                <w:sz w:val="17"/>
                <w:szCs w:val="17"/>
              </w:rPr>
              <w:t xml:space="preserve">The </w:t>
            </w:r>
            <w:r w:rsidRPr="00005D3D">
              <w:rPr>
                <w:b/>
                <w:bCs/>
                <w:color w:val="000000"/>
                <w:sz w:val="17"/>
                <w:szCs w:val="17"/>
              </w:rPr>
              <w:t>Trésor</w:t>
            </w:r>
            <w:r w:rsidRPr="00005D3D">
              <w:rPr>
                <w:color w:val="000000"/>
                <w:sz w:val="17"/>
                <w:szCs w:val="17"/>
              </w:rPr>
              <w:t xml:space="preserve"> is aware of the strong opposition from industry, but </w:t>
            </w:r>
            <w:r w:rsidRPr="00005D3D">
              <w:rPr>
                <w:b/>
                <w:color w:val="000000"/>
                <w:sz w:val="17"/>
                <w:szCs w:val="17"/>
              </w:rPr>
              <w:t xml:space="preserve">auditors and </w:t>
            </w:r>
            <w:r w:rsidRPr="00005D3D">
              <w:rPr>
                <w:b/>
                <w:bCs/>
                <w:color w:val="000000"/>
                <w:sz w:val="17"/>
                <w:szCs w:val="17"/>
              </w:rPr>
              <w:t xml:space="preserve">the </w:t>
            </w:r>
            <w:r w:rsidRPr="00005D3D">
              <w:rPr>
                <w:b/>
                <w:color w:val="000000"/>
                <w:sz w:val="17"/>
                <w:szCs w:val="17"/>
              </w:rPr>
              <w:t>ACPR</w:t>
            </w:r>
            <w:r w:rsidRPr="00005D3D">
              <w:rPr>
                <w:color w:val="000000"/>
                <w:sz w:val="17"/>
                <w:szCs w:val="17"/>
              </w:rPr>
              <w:t xml:space="preserve"> are pushing for an extensive Solvency II audit, possibly beyond the balance sheet. Issue remains under discussion but has been flagged.</w:t>
            </w:r>
          </w:p>
        </w:tc>
        <w:tc>
          <w:tcPr>
            <w:tcW w:w="2410" w:type="dxa"/>
            <w:tcBorders>
              <w:top w:val="single" w:sz="8" w:space="0" w:color="C2D69B"/>
              <w:left w:val="single" w:sz="8" w:space="0" w:color="C2D69B"/>
              <w:bottom w:val="single" w:sz="8" w:space="0" w:color="C2D69B"/>
              <w:right w:val="nil"/>
            </w:tcBorders>
            <w:shd w:val="clear" w:color="000000" w:fill="EAF1DD"/>
            <w:vAlign w:val="center"/>
            <w:hideMark/>
          </w:tcPr>
          <w:p w14:paraId="70C04601" w14:textId="77777777" w:rsidR="004F5A07" w:rsidRPr="007D3963" w:rsidRDefault="004F5A07">
            <w:pPr>
              <w:spacing w:line="240" w:lineRule="auto"/>
              <w:rPr>
                <w:color w:val="000000"/>
                <w:sz w:val="17"/>
                <w:szCs w:val="17"/>
              </w:rPr>
            </w:pPr>
            <w:r w:rsidRPr="00B75BAC">
              <w:rPr>
                <w:b/>
                <w:color w:val="000000"/>
                <w:sz w:val="17"/>
                <w:szCs w:val="17"/>
              </w:rPr>
              <w:t>Very likely.</w:t>
            </w:r>
            <w:r w:rsidRPr="00B75BAC">
              <w:rPr>
                <w:color w:val="000000"/>
                <w:sz w:val="17"/>
                <w:szCs w:val="17"/>
              </w:rPr>
              <w:t xml:space="preserve"> The </w:t>
            </w:r>
            <w:r w:rsidRPr="00B75BAC">
              <w:rPr>
                <w:b/>
                <w:color w:val="000000"/>
                <w:sz w:val="17"/>
                <w:szCs w:val="17"/>
              </w:rPr>
              <w:t>ACPR</w:t>
            </w:r>
            <w:r w:rsidRPr="00B75BAC">
              <w:rPr>
                <w:color w:val="000000"/>
                <w:sz w:val="17"/>
                <w:szCs w:val="17"/>
              </w:rPr>
              <w:t xml:space="preserve"> has been very vocal in supporting publication of individual results. The </w:t>
            </w:r>
            <w:r w:rsidRPr="00B75BAC">
              <w:rPr>
                <w:b/>
                <w:color w:val="000000"/>
                <w:sz w:val="17"/>
                <w:szCs w:val="17"/>
              </w:rPr>
              <w:t>DGT</w:t>
            </w:r>
            <w:r w:rsidRPr="00B75BAC">
              <w:rPr>
                <w:color w:val="000000"/>
                <w:sz w:val="17"/>
                <w:szCs w:val="17"/>
              </w:rPr>
              <w:t xml:space="preserve"> is not keen on this, but the ACPR appears willing to proceed.</w:t>
            </w:r>
          </w:p>
        </w:tc>
        <w:tc>
          <w:tcPr>
            <w:tcW w:w="2122" w:type="dxa"/>
            <w:tcBorders>
              <w:top w:val="single" w:sz="8" w:space="0" w:color="C2D69B"/>
              <w:left w:val="single" w:sz="8" w:space="0" w:color="C2D69B"/>
              <w:bottom w:val="single" w:sz="8" w:space="0" w:color="C2D69B"/>
              <w:right w:val="nil"/>
            </w:tcBorders>
            <w:shd w:val="clear" w:color="000000" w:fill="EAF1DD"/>
            <w:vAlign w:val="center"/>
            <w:hideMark/>
          </w:tcPr>
          <w:p w14:paraId="1B4A94A5" w14:textId="77777777" w:rsidR="004F5A07" w:rsidRPr="007D3963" w:rsidRDefault="004F5A07">
            <w:pPr>
              <w:spacing w:line="240" w:lineRule="auto"/>
              <w:rPr>
                <w:color w:val="000000"/>
                <w:sz w:val="17"/>
                <w:szCs w:val="17"/>
              </w:rPr>
            </w:pPr>
            <w:r w:rsidRPr="00CE6BBD">
              <w:rPr>
                <w:b/>
                <w:color w:val="000000"/>
                <w:sz w:val="17"/>
                <w:szCs w:val="17"/>
              </w:rPr>
              <w:t>Probably not</w:t>
            </w:r>
            <w:r w:rsidRPr="00CE6BBD">
              <w:rPr>
                <w:b/>
                <w:bCs/>
                <w:color w:val="000000"/>
                <w:sz w:val="17"/>
                <w:szCs w:val="17"/>
              </w:rPr>
              <w:t>.</w:t>
            </w:r>
            <w:r w:rsidRPr="00CE6BBD">
              <w:rPr>
                <w:color w:val="000000"/>
                <w:sz w:val="17"/>
                <w:szCs w:val="17"/>
              </w:rPr>
              <w:t xml:space="preserve"> This proposal was not supported by the </w:t>
            </w:r>
            <w:r w:rsidRPr="00CE6BBD">
              <w:rPr>
                <w:b/>
                <w:color w:val="000000"/>
                <w:sz w:val="17"/>
                <w:szCs w:val="17"/>
              </w:rPr>
              <w:t>Trésor.</w:t>
            </w:r>
          </w:p>
        </w:tc>
      </w:tr>
      <w:tr w:rsidR="004F5A07" w:rsidRPr="007D3963" w14:paraId="3C4270C0" w14:textId="77777777">
        <w:trPr>
          <w:trHeight w:val="2640"/>
        </w:trPr>
        <w:tc>
          <w:tcPr>
            <w:tcW w:w="998" w:type="dxa"/>
            <w:tcBorders>
              <w:top w:val="nil"/>
              <w:left w:val="nil"/>
              <w:bottom w:val="single" w:sz="8" w:space="0" w:color="C2D69B"/>
              <w:right w:val="single" w:sz="8" w:space="0" w:color="C2D69B"/>
            </w:tcBorders>
            <w:vAlign w:val="center"/>
            <w:hideMark/>
          </w:tcPr>
          <w:p w14:paraId="6E87A99C" w14:textId="77777777" w:rsidR="004F5A07" w:rsidRPr="007D3963" w:rsidRDefault="004F5A07">
            <w:pPr>
              <w:spacing w:line="240" w:lineRule="auto"/>
              <w:rPr>
                <w:color w:val="000000"/>
                <w:sz w:val="17"/>
                <w:szCs w:val="17"/>
              </w:rPr>
            </w:pPr>
            <w:r w:rsidRPr="007D3963">
              <w:rPr>
                <w:color w:val="000000"/>
                <w:sz w:val="17"/>
                <w:szCs w:val="17"/>
              </w:rPr>
              <w:lastRenderedPageBreak/>
              <w:t>Denmark</w:t>
            </w:r>
          </w:p>
        </w:tc>
        <w:tc>
          <w:tcPr>
            <w:tcW w:w="3680" w:type="dxa"/>
            <w:tcBorders>
              <w:top w:val="nil"/>
              <w:left w:val="nil"/>
              <w:bottom w:val="single" w:sz="8" w:space="0" w:color="C2D69B"/>
              <w:right w:val="single" w:sz="8" w:space="0" w:color="C2D69B"/>
            </w:tcBorders>
            <w:vAlign w:val="center"/>
            <w:hideMark/>
          </w:tcPr>
          <w:p w14:paraId="6582BAA2" w14:textId="77777777" w:rsidR="004F5A07" w:rsidRPr="007D3963" w:rsidRDefault="004F5A07">
            <w:pPr>
              <w:spacing w:line="240" w:lineRule="auto"/>
              <w:rPr>
                <w:color w:val="000000"/>
                <w:sz w:val="17"/>
                <w:szCs w:val="17"/>
              </w:rPr>
            </w:pPr>
            <w:r w:rsidRPr="005B7CE8">
              <w:rPr>
                <w:color w:val="000000"/>
                <w:sz w:val="17"/>
                <w:szCs w:val="17"/>
              </w:rPr>
              <w:t xml:space="preserve">It is the </w:t>
            </w:r>
            <w:r w:rsidRPr="005B7CE8">
              <w:rPr>
                <w:b/>
                <w:color w:val="000000"/>
                <w:sz w:val="17"/>
                <w:szCs w:val="17"/>
              </w:rPr>
              <w:t>stated intention</w:t>
            </w:r>
            <w:r w:rsidRPr="005B7CE8">
              <w:rPr>
                <w:color w:val="000000"/>
                <w:sz w:val="17"/>
                <w:szCs w:val="17"/>
              </w:rPr>
              <w:t xml:space="preserve"> of the NCA that Denmark will have a </w:t>
            </w:r>
            <w:r w:rsidRPr="005B7CE8">
              <w:rPr>
                <w:b/>
                <w:color w:val="000000"/>
                <w:sz w:val="17"/>
                <w:szCs w:val="17"/>
              </w:rPr>
              <w:t>near</w:t>
            </w:r>
            <w:r w:rsidRPr="005B7CE8">
              <w:rPr>
                <w:b/>
                <w:bCs/>
                <w:color w:val="000000"/>
                <w:sz w:val="17"/>
                <w:szCs w:val="17"/>
              </w:rPr>
              <w:t>-</w:t>
            </w:r>
            <w:r w:rsidRPr="005B7CE8">
              <w:rPr>
                <w:b/>
                <w:color w:val="000000"/>
                <w:sz w:val="17"/>
                <w:szCs w:val="17"/>
              </w:rPr>
              <w:t>to</w:t>
            </w:r>
            <w:r w:rsidRPr="005B7CE8">
              <w:rPr>
                <w:b/>
                <w:bCs/>
                <w:color w:val="000000"/>
                <w:sz w:val="17"/>
                <w:szCs w:val="17"/>
              </w:rPr>
              <w:t>-</w:t>
            </w:r>
            <w:r w:rsidRPr="005B7CE8">
              <w:rPr>
                <w:b/>
                <w:color w:val="000000"/>
                <w:sz w:val="17"/>
                <w:szCs w:val="17"/>
              </w:rPr>
              <w:t>directive implementation</w:t>
            </w:r>
            <w:r w:rsidRPr="005B7CE8">
              <w:rPr>
                <w:color w:val="000000"/>
                <w:sz w:val="17"/>
                <w:szCs w:val="17"/>
              </w:rPr>
              <w:t xml:space="preserve"> with implementation date </w:t>
            </w:r>
            <w:r w:rsidRPr="005B7CE8">
              <w:rPr>
                <w:b/>
                <w:color w:val="000000"/>
                <w:sz w:val="17"/>
                <w:szCs w:val="17"/>
              </w:rPr>
              <w:t>30</w:t>
            </w:r>
            <w:r w:rsidRPr="005B7CE8">
              <w:rPr>
                <w:b/>
                <w:bCs/>
                <w:color w:val="000000"/>
                <w:sz w:val="17"/>
                <w:szCs w:val="17"/>
              </w:rPr>
              <w:t xml:space="preserve"> Jan </w:t>
            </w:r>
            <w:r w:rsidRPr="005B7CE8">
              <w:rPr>
                <w:b/>
                <w:color w:val="000000"/>
                <w:sz w:val="17"/>
                <w:szCs w:val="17"/>
              </w:rPr>
              <w:t>2027.</w:t>
            </w:r>
            <w:r w:rsidRPr="005B7CE8">
              <w:rPr>
                <w:color w:val="000000"/>
                <w:sz w:val="17"/>
                <w:szCs w:val="17"/>
              </w:rPr>
              <w:t xml:space="preserve"> IPD has only just started discussions on the implementation.</w:t>
            </w:r>
          </w:p>
        </w:tc>
        <w:tc>
          <w:tcPr>
            <w:tcW w:w="1559" w:type="dxa"/>
            <w:tcBorders>
              <w:top w:val="nil"/>
              <w:left w:val="nil"/>
              <w:bottom w:val="single" w:sz="8" w:space="0" w:color="C2D69B"/>
              <w:right w:val="single" w:sz="8" w:space="0" w:color="C2D69B"/>
            </w:tcBorders>
            <w:vAlign w:val="center"/>
            <w:hideMark/>
          </w:tcPr>
          <w:p w14:paraId="633EC785" w14:textId="77777777" w:rsidR="004F5A07" w:rsidRPr="007D3963" w:rsidRDefault="004F5A07">
            <w:pPr>
              <w:spacing w:line="240" w:lineRule="auto"/>
              <w:rPr>
                <w:color w:val="000000"/>
                <w:sz w:val="17"/>
                <w:szCs w:val="17"/>
              </w:rPr>
            </w:pPr>
            <w:r w:rsidRPr="007D3963">
              <w:rPr>
                <w:color w:val="000000"/>
                <w:sz w:val="17"/>
                <w:szCs w:val="17"/>
              </w:rPr>
              <w:t>TBC</w:t>
            </w:r>
          </w:p>
        </w:tc>
        <w:tc>
          <w:tcPr>
            <w:tcW w:w="1843" w:type="dxa"/>
            <w:tcBorders>
              <w:top w:val="nil"/>
              <w:left w:val="nil"/>
              <w:bottom w:val="single" w:sz="8" w:space="0" w:color="C2D69B"/>
              <w:right w:val="nil"/>
            </w:tcBorders>
            <w:vAlign w:val="center"/>
            <w:hideMark/>
          </w:tcPr>
          <w:p w14:paraId="7A791E04" w14:textId="77777777" w:rsidR="004F5A07" w:rsidRPr="007D3963" w:rsidRDefault="004F5A07">
            <w:pPr>
              <w:spacing w:line="240" w:lineRule="auto"/>
              <w:rPr>
                <w:color w:val="000000"/>
                <w:sz w:val="17"/>
                <w:szCs w:val="17"/>
              </w:rPr>
            </w:pPr>
            <w:r w:rsidRPr="008E2292">
              <w:rPr>
                <w:color w:val="000000"/>
                <w:sz w:val="17"/>
                <w:szCs w:val="17"/>
              </w:rPr>
              <w:t xml:space="preserve">Expect </w:t>
            </w:r>
            <w:r w:rsidRPr="008E2292">
              <w:rPr>
                <w:b/>
                <w:color w:val="000000"/>
                <w:sz w:val="17"/>
                <w:szCs w:val="17"/>
              </w:rPr>
              <w:t>no application</w:t>
            </w:r>
            <w:r w:rsidRPr="008E2292">
              <w:rPr>
                <w:color w:val="000000"/>
                <w:sz w:val="17"/>
                <w:szCs w:val="17"/>
              </w:rPr>
              <w:t xml:space="preserve"> of the option.</w:t>
            </w:r>
          </w:p>
        </w:tc>
        <w:tc>
          <w:tcPr>
            <w:tcW w:w="2268" w:type="dxa"/>
            <w:tcBorders>
              <w:top w:val="single" w:sz="8" w:space="0" w:color="C2D69B"/>
              <w:left w:val="single" w:sz="8" w:space="0" w:color="C2D69B"/>
              <w:bottom w:val="single" w:sz="8" w:space="0" w:color="C2D69B"/>
              <w:right w:val="nil"/>
            </w:tcBorders>
            <w:vAlign w:val="center"/>
            <w:hideMark/>
          </w:tcPr>
          <w:p w14:paraId="13818474" w14:textId="77777777" w:rsidR="004F5A07" w:rsidRPr="007D3963" w:rsidRDefault="004F5A07">
            <w:pPr>
              <w:spacing w:line="240" w:lineRule="auto"/>
              <w:rPr>
                <w:color w:val="000000"/>
                <w:sz w:val="17"/>
                <w:szCs w:val="17"/>
              </w:rPr>
            </w:pPr>
            <w:r w:rsidRPr="00D052AE">
              <w:rPr>
                <w:color w:val="000000"/>
                <w:sz w:val="17"/>
                <w:szCs w:val="17"/>
              </w:rPr>
              <w:t xml:space="preserve">Expect </w:t>
            </w:r>
            <w:r w:rsidRPr="00D052AE">
              <w:rPr>
                <w:b/>
                <w:color w:val="000000"/>
                <w:sz w:val="17"/>
                <w:szCs w:val="17"/>
              </w:rPr>
              <w:t xml:space="preserve">no </w:t>
            </w:r>
            <w:r w:rsidRPr="00D052AE">
              <w:rPr>
                <w:b/>
                <w:bCs/>
                <w:color w:val="000000"/>
                <w:sz w:val="17"/>
                <w:szCs w:val="17"/>
              </w:rPr>
              <w:t>application</w:t>
            </w:r>
            <w:r w:rsidRPr="00D052AE">
              <w:rPr>
                <w:color w:val="000000"/>
                <w:sz w:val="17"/>
                <w:szCs w:val="17"/>
              </w:rPr>
              <w:t xml:space="preserve"> of either option, as the NCA has stated it will go for a </w:t>
            </w:r>
            <w:r w:rsidRPr="00D052AE">
              <w:rPr>
                <w:b/>
                <w:color w:val="000000"/>
                <w:sz w:val="17"/>
                <w:szCs w:val="17"/>
              </w:rPr>
              <w:t>minimum implementation.</w:t>
            </w:r>
          </w:p>
        </w:tc>
        <w:tc>
          <w:tcPr>
            <w:tcW w:w="2410" w:type="dxa"/>
            <w:tcBorders>
              <w:top w:val="single" w:sz="8" w:space="0" w:color="C2D69B"/>
              <w:left w:val="single" w:sz="8" w:space="0" w:color="C2D69B"/>
              <w:bottom w:val="single" w:sz="8" w:space="0" w:color="C2D69B"/>
              <w:right w:val="nil"/>
            </w:tcBorders>
            <w:vAlign w:val="center"/>
            <w:hideMark/>
          </w:tcPr>
          <w:p w14:paraId="6AC31980" w14:textId="77777777" w:rsidR="004F5A07" w:rsidRPr="007D3963" w:rsidRDefault="004F5A07">
            <w:pPr>
              <w:spacing w:line="240" w:lineRule="auto"/>
              <w:rPr>
                <w:color w:val="000000"/>
                <w:sz w:val="17"/>
                <w:szCs w:val="17"/>
              </w:rPr>
            </w:pPr>
            <w:r w:rsidRPr="007D3963">
              <w:rPr>
                <w:b/>
                <w:color w:val="000000"/>
                <w:sz w:val="17"/>
                <w:szCs w:val="17"/>
              </w:rPr>
              <w:t>Probably, yes</w:t>
            </w:r>
            <w:r w:rsidRPr="007D3963">
              <w:rPr>
                <w:color w:val="000000"/>
                <w:sz w:val="17"/>
                <w:szCs w:val="17"/>
              </w:rPr>
              <w:t>.</w:t>
            </w:r>
          </w:p>
        </w:tc>
        <w:tc>
          <w:tcPr>
            <w:tcW w:w="2122" w:type="dxa"/>
            <w:tcBorders>
              <w:top w:val="single" w:sz="8" w:space="0" w:color="C2D69B"/>
              <w:left w:val="single" w:sz="8" w:space="0" w:color="C2D69B"/>
              <w:bottom w:val="single" w:sz="8" w:space="0" w:color="C2D69B"/>
              <w:right w:val="nil"/>
            </w:tcBorders>
            <w:vAlign w:val="center"/>
            <w:hideMark/>
          </w:tcPr>
          <w:p w14:paraId="59B628A7" w14:textId="77777777" w:rsidR="004F5A07" w:rsidRPr="007D3963" w:rsidRDefault="004F5A07">
            <w:pPr>
              <w:spacing w:line="240" w:lineRule="auto"/>
              <w:rPr>
                <w:color w:val="000000"/>
                <w:sz w:val="17"/>
                <w:szCs w:val="17"/>
              </w:rPr>
            </w:pPr>
            <w:r w:rsidRPr="003B190C">
              <w:rPr>
                <w:b/>
                <w:bCs/>
                <w:color w:val="000000"/>
                <w:sz w:val="17"/>
                <w:szCs w:val="17"/>
              </w:rPr>
              <w:t>Yes.</w:t>
            </w:r>
            <w:r w:rsidRPr="003B190C">
              <w:rPr>
                <w:color w:val="000000"/>
                <w:sz w:val="17"/>
                <w:szCs w:val="17"/>
              </w:rPr>
              <w:t xml:space="preserve"> PIM companies are currently asked annually (via email) to report using the SF; they have not objected.</w:t>
            </w:r>
          </w:p>
        </w:tc>
      </w:tr>
      <w:tr w:rsidR="004F5A07" w:rsidRPr="007D3963" w14:paraId="6718EBF1" w14:textId="77777777">
        <w:trPr>
          <w:trHeight w:val="2145"/>
        </w:trPr>
        <w:tc>
          <w:tcPr>
            <w:tcW w:w="998" w:type="dxa"/>
            <w:tcBorders>
              <w:top w:val="single" w:sz="8" w:space="0" w:color="C2D69B"/>
              <w:left w:val="nil"/>
              <w:bottom w:val="single" w:sz="8" w:space="0" w:color="C2D69B"/>
              <w:right w:val="single" w:sz="8" w:space="0" w:color="C2D69B"/>
            </w:tcBorders>
            <w:shd w:val="clear" w:color="000000" w:fill="EAF1DD"/>
            <w:vAlign w:val="center"/>
            <w:hideMark/>
          </w:tcPr>
          <w:p w14:paraId="5BEC46AC" w14:textId="77777777" w:rsidR="004F5A07" w:rsidRPr="007D3963" w:rsidRDefault="004F5A07">
            <w:pPr>
              <w:spacing w:line="240" w:lineRule="auto"/>
              <w:rPr>
                <w:color w:val="000000"/>
                <w:sz w:val="17"/>
                <w:szCs w:val="17"/>
              </w:rPr>
            </w:pPr>
            <w:r w:rsidRPr="007D3963">
              <w:rPr>
                <w:color w:val="000000"/>
                <w:sz w:val="17"/>
                <w:szCs w:val="17"/>
              </w:rPr>
              <w:t>Sweden</w:t>
            </w:r>
          </w:p>
        </w:tc>
        <w:tc>
          <w:tcPr>
            <w:tcW w:w="3680" w:type="dxa"/>
            <w:tcBorders>
              <w:top w:val="single" w:sz="8" w:space="0" w:color="C2D69B"/>
              <w:left w:val="single" w:sz="8" w:space="0" w:color="C2D69B"/>
              <w:bottom w:val="single" w:sz="8" w:space="0" w:color="C2D69B"/>
              <w:right w:val="single" w:sz="8" w:space="0" w:color="C2D69B"/>
            </w:tcBorders>
            <w:shd w:val="clear" w:color="000000" w:fill="EAF1DD"/>
            <w:vAlign w:val="center"/>
            <w:hideMark/>
          </w:tcPr>
          <w:p w14:paraId="126014EC" w14:textId="77777777" w:rsidR="004F5A07" w:rsidRPr="007D3963" w:rsidRDefault="004F5A07">
            <w:pPr>
              <w:spacing w:line="240" w:lineRule="auto"/>
              <w:rPr>
                <w:color w:val="000000"/>
                <w:sz w:val="17"/>
                <w:szCs w:val="17"/>
              </w:rPr>
            </w:pPr>
            <w:r w:rsidRPr="009B069B">
              <w:rPr>
                <w:color w:val="000000"/>
                <w:sz w:val="17"/>
                <w:szCs w:val="17"/>
              </w:rPr>
              <w:t xml:space="preserve">Responses are based on an </w:t>
            </w:r>
            <w:r w:rsidRPr="009B069B">
              <w:rPr>
                <w:b/>
                <w:color w:val="000000"/>
                <w:sz w:val="17"/>
                <w:szCs w:val="17"/>
              </w:rPr>
              <w:t>enquiry</w:t>
            </w:r>
            <w:r w:rsidRPr="009B069B">
              <w:rPr>
                <w:color w:val="000000"/>
                <w:sz w:val="17"/>
                <w:szCs w:val="17"/>
              </w:rPr>
              <w:t xml:space="preserve"> on how to implement the revised Solvency II Directive and IRRD into Swedish law. These are </w:t>
            </w:r>
            <w:r w:rsidRPr="009B069B">
              <w:rPr>
                <w:b/>
                <w:color w:val="000000"/>
                <w:sz w:val="17"/>
                <w:szCs w:val="17"/>
              </w:rPr>
              <w:t>preliminary</w:t>
            </w:r>
            <w:r w:rsidRPr="009B069B">
              <w:rPr>
                <w:color w:val="000000"/>
                <w:sz w:val="17"/>
                <w:szCs w:val="17"/>
              </w:rPr>
              <w:t xml:space="preserve">, with final decisions expected in </w:t>
            </w:r>
            <w:r w:rsidRPr="009B069B">
              <w:rPr>
                <w:b/>
                <w:color w:val="000000"/>
                <w:sz w:val="17"/>
                <w:szCs w:val="17"/>
              </w:rPr>
              <w:t>late 2026.</w:t>
            </w:r>
          </w:p>
        </w:tc>
        <w:tc>
          <w:tcPr>
            <w:tcW w:w="1559" w:type="dxa"/>
            <w:tcBorders>
              <w:top w:val="single" w:sz="8" w:space="0" w:color="C2D69B"/>
              <w:left w:val="single" w:sz="8" w:space="0" w:color="C2D69B"/>
              <w:bottom w:val="single" w:sz="8" w:space="0" w:color="C2D69B"/>
              <w:right w:val="single" w:sz="8" w:space="0" w:color="C2D69B"/>
            </w:tcBorders>
            <w:shd w:val="clear" w:color="000000" w:fill="EAF1DD"/>
            <w:vAlign w:val="center"/>
            <w:hideMark/>
          </w:tcPr>
          <w:p w14:paraId="0B0F4C72" w14:textId="77777777" w:rsidR="004F5A07" w:rsidRPr="007D3963" w:rsidRDefault="004F5A07">
            <w:pPr>
              <w:spacing w:line="240" w:lineRule="auto"/>
              <w:rPr>
                <w:color w:val="000000"/>
                <w:sz w:val="17"/>
                <w:szCs w:val="17"/>
              </w:rPr>
            </w:pPr>
            <w:r>
              <w:rPr>
                <w:color w:val="000000"/>
                <w:sz w:val="17"/>
                <w:szCs w:val="17"/>
              </w:rPr>
              <w:t>I</w:t>
            </w:r>
            <w:r w:rsidRPr="006E7F01">
              <w:rPr>
                <w:color w:val="000000"/>
                <w:sz w:val="17"/>
                <w:szCs w:val="17"/>
              </w:rPr>
              <w:t xml:space="preserve">n Sweden, undertakings have the </w:t>
            </w:r>
            <w:r w:rsidRPr="006E7F01">
              <w:rPr>
                <w:b/>
                <w:color w:val="000000"/>
                <w:sz w:val="17"/>
                <w:szCs w:val="17"/>
              </w:rPr>
              <w:t>right to apply</w:t>
            </w:r>
            <w:r w:rsidRPr="006E7F01">
              <w:rPr>
                <w:color w:val="000000"/>
                <w:sz w:val="17"/>
                <w:szCs w:val="17"/>
              </w:rPr>
              <w:t xml:space="preserve"> Solvency II provisions even if excluded from the scope of the Directive.</w:t>
            </w:r>
          </w:p>
        </w:tc>
        <w:tc>
          <w:tcPr>
            <w:tcW w:w="1843" w:type="dxa"/>
            <w:tcBorders>
              <w:top w:val="single" w:sz="8" w:space="0" w:color="C2D69B"/>
              <w:left w:val="single" w:sz="8" w:space="0" w:color="C2D69B"/>
              <w:bottom w:val="single" w:sz="8" w:space="0" w:color="C2D69B"/>
              <w:right w:val="single" w:sz="8" w:space="0" w:color="C2D69B"/>
            </w:tcBorders>
            <w:shd w:val="clear" w:color="000000" w:fill="EAF1DD"/>
            <w:vAlign w:val="center"/>
            <w:hideMark/>
          </w:tcPr>
          <w:p w14:paraId="64F4796B" w14:textId="77777777" w:rsidR="004F5A07" w:rsidRPr="008E2292" w:rsidRDefault="004F5A07">
            <w:pPr>
              <w:spacing w:line="240" w:lineRule="auto"/>
              <w:rPr>
                <w:color w:val="000000"/>
                <w:sz w:val="17"/>
                <w:szCs w:val="17"/>
              </w:rPr>
            </w:pPr>
            <w:r w:rsidRPr="007D3963">
              <w:rPr>
                <w:b/>
                <w:color w:val="000000"/>
                <w:sz w:val="17"/>
                <w:szCs w:val="17"/>
              </w:rPr>
              <w:t>Ye</w:t>
            </w:r>
            <w:r>
              <w:rPr>
                <w:b/>
                <w:color w:val="000000"/>
                <w:sz w:val="17"/>
                <w:szCs w:val="17"/>
              </w:rPr>
              <w:t>s</w:t>
            </w:r>
          </w:p>
        </w:tc>
        <w:tc>
          <w:tcPr>
            <w:tcW w:w="2268" w:type="dxa"/>
            <w:tcBorders>
              <w:top w:val="single" w:sz="8" w:space="0" w:color="C2D69B"/>
              <w:left w:val="single" w:sz="8" w:space="0" w:color="C2D69B"/>
              <w:bottom w:val="single" w:sz="8" w:space="0" w:color="C2D69B"/>
              <w:right w:val="nil"/>
            </w:tcBorders>
            <w:shd w:val="clear" w:color="000000" w:fill="EAF1DD"/>
            <w:vAlign w:val="center"/>
            <w:hideMark/>
          </w:tcPr>
          <w:p w14:paraId="11E2ED11" w14:textId="77777777" w:rsidR="004F5A07" w:rsidRPr="007D3963" w:rsidRDefault="004F5A07">
            <w:pPr>
              <w:spacing w:line="240" w:lineRule="auto"/>
              <w:rPr>
                <w:color w:val="000000"/>
                <w:sz w:val="17"/>
                <w:szCs w:val="17"/>
              </w:rPr>
            </w:pPr>
            <w:r w:rsidRPr="007D3963">
              <w:rPr>
                <w:b/>
                <w:color w:val="000000"/>
                <w:sz w:val="17"/>
                <w:szCs w:val="17"/>
              </w:rPr>
              <w:t>No</w:t>
            </w:r>
            <w:r w:rsidRPr="007D3963">
              <w:rPr>
                <w:color w:val="000000"/>
                <w:sz w:val="17"/>
                <w:szCs w:val="17"/>
              </w:rPr>
              <w:t xml:space="preserve">. For both </w:t>
            </w:r>
            <w:proofErr w:type="spellStart"/>
            <w:r w:rsidRPr="007D3963">
              <w:rPr>
                <w:color w:val="000000"/>
                <w:sz w:val="17"/>
                <w:szCs w:val="17"/>
              </w:rPr>
              <w:t>otpions</w:t>
            </w:r>
            <w:proofErr w:type="spellEnd"/>
          </w:p>
        </w:tc>
        <w:tc>
          <w:tcPr>
            <w:tcW w:w="2410" w:type="dxa"/>
            <w:tcBorders>
              <w:top w:val="single" w:sz="8" w:space="0" w:color="C2D69B"/>
              <w:left w:val="single" w:sz="8" w:space="0" w:color="C2D69B"/>
              <w:bottom w:val="single" w:sz="8" w:space="0" w:color="C2D69B"/>
              <w:right w:val="nil"/>
            </w:tcBorders>
            <w:shd w:val="clear" w:color="000000" w:fill="EAF1DD"/>
            <w:vAlign w:val="center"/>
            <w:hideMark/>
          </w:tcPr>
          <w:p w14:paraId="49AD6DEE" w14:textId="77777777" w:rsidR="004F5A07" w:rsidRPr="007D3963" w:rsidRDefault="004F5A07">
            <w:pPr>
              <w:spacing w:line="240" w:lineRule="auto"/>
              <w:rPr>
                <w:color w:val="000000"/>
                <w:sz w:val="17"/>
                <w:szCs w:val="17"/>
              </w:rPr>
            </w:pPr>
            <w:r w:rsidRPr="00930134">
              <w:rPr>
                <w:color w:val="000000"/>
                <w:sz w:val="17"/>
                <w:szCs w:val="17"/>
              </w:rPr>
              <w:t xml:space="preserve">This can already be done under current Swedish law, so </w:t>
            </w:r>
            <w:r w:rsidRPr="00930134">
              <w:rPr>
                <w:b/>
                <w:color w:val="000000"/>
                <w:sz w:val="17"/>
                <w:szCs w:val="17"/>
              </w:rPr>
              <w:t>no change</w:t>
            </w:r>
            <w:r w:rsidRPr="00930134">
              <w:rPr>
                <w:color w:val="000000"/>
                <w:sz w:val="17"/>
                <w:szCs w:val="17"/>
              </w:rPr>
              <w:t xml:space="preserve"> is expected.</w:t>
            </w:r>
          </w:p>
        </w:tc>
        <w:tc>
          <w:tcPr>
            <w:tcW w:w="2122" w:type="dxa"/>
            <w:tcBorders>
              <w:top w:val="single" w:sz="8" w:space="0" w:color="C2D69B"/>
              <w:left w:val="single" w:sz="8" w:space="0" w:color="C2D69B"/>
              <w:bottom w:val="single" w:sz="8" w:space="0" w:color="C2D69B"/>
              <w:right w:val="nil"/>
            </w:tcBorders>
            <w:shd w:val="clear" w:color="000000" w:fill="EAF1DD"/>
            <w:vAlign w:val="center"/>
            <w:hideMark/>
          </w:tcPr>
          <w:p w14:paraId="1D5F2B9D" w14:textId="77777777" w:rsidR="004F5A07" w:rsidRPr="007D3963" w:rsidRDefault="004F5A07">
            <w:pPr>
              <w:spacing w:line="240" w:lineRule="auto"/>
              <w:rPr>
                <w:color w:val="000000"/>
                <w:sz w:val="17"/>
                <w:szCs w:val="17"/>
              </w:rPr>
            </w:pPr>
            <w:r w:rsidRPr="00B70577">
              <w:rPr>
                <w:b/>
                <w:color w:val="000000"/>
                <w:sz w:val="17"/>
                <w:szCs w:val="17"/>
              </w:rPr>
              <w:t>Yes.</w:t>
            </w:r>
            <w:r w:rsidRPr="00B70577">
              <w:rPr>
                <w:color w:val="000000"/>
                <w:sz w:val="17"/>
                <w:szCs w:val="17"/>
              </w:rPr>
              <w:t xml:space="preserve"> Under the current proposal, the Swedish supervisor will have a </w:t>
            </w:r>
            <w:r w:rsidRPr="00B70577">
              <w:rPr>
                <w:b/>
                <w:color w:val="000000"/>
                <w:sz w:val="17"/>
                <w:szCs w:val="17"/>
              </w:rPr>
              <w:t>legal mandate</w:t>
            </w:r>
            <w:r w:rsidRPr="00B70577">
              <w:rPr>
                <w:color w:val="000000"/>
                <w:sz w:val="17"/>
                <w:szCs w:val="17"/>
              </w:rPr>
              <w:t xml:space="preserve"> to request more frequent reporting. Under Swedish administrative law, decisions must state their reasons.</w:t>
            </w:r>
          </w:p>
        </w:tc>
      </w:tr>
      <w:tr w:rsidR="004F5A07" w:rsidRPr="007D3963" w14:paraId="2E4398D1" w14:textId="77777777">
        <w:trPr>
          <w:trHeight w:val="1725"/>
        </w:trPr>
        <w:tc>
          <w:tcPr>
            <w:tcW w:w="998" w:type="dxa"/>
            <w:tcBorders>
              <w:top w:val="nil"/>
              <w:left w:val="nil"/>
              <w:bottom w:val="single" w:sz="8" w:space="0" w:color="C2D69B"/>
              <w:right w:val="single" w:sz="8" w:space="0" w:color="C2D69B"/>
            </w:tcBorders>
            <w:vAlign w:val="center"/>
            <w:hideMark/>
          </w:tcPr>
          <w:p w14:paraId="42206873" w14:textId="77777777" w:rsidR="004F5A07" w:rsidRPr="007D3963" w:rsidRDefault="004F5A07">
            <w:pPr>
              <w:spacing w:line="240" w:lineRule="auto"/>
              <w:rPr>
                <w:color w:val="000000"/>
                <w:sz w:val="17"/>
                <w:szCs w:val="17"/>
              </w:rPr>
            </w:pPr>
            <w:r w:rsidRPr="007D3963">
              <w:rPr>
                <w:color w:val="000000"/>
                <w:sz w:val="17"/>
                <w:szCs w:val="17"/>
              </w:rPr>
              <w:t>Spain</w:t>
            </w:r>
          </w:p>
        </w:tc>
        <w:tc>
          <w:tcPr>
            <w:tcW w:w="3680" w:type="dxa"/>
            <w:tcBorders>
              <w:top w:val="nil"/>
              <w:left w:val="nil"/>
              <w:bottom w:val="single" w:sz="8" w:space="0" w:color="C2D69B"/>
              <w:right w:val="single" w:sz="8" w:space="0" w:color="C2D69B"/>
            </w:tcBorders>
            <w:vAlign w:val="center"/>
            <w:hideMark/>
          </w:tcPr>
          <w:p w14:paraId="7053CCD4" w14:textId="77777777" w:rsidR="004F5A07" w:rsidRPr="007D3963" w:rsidRDefault="004F5A07">
            <w:pPr>
              <w:spacing w:line="240" w:lineRule="auto"/>
              <w:rPr>
                <w:color w:val="000000"/>
                <w:sz w:val="17"/>
                <w:szCs w:val="17"/>
              </w:rPr>
            </w:pPr>
            <w:r w:rsidRPr="004211A0">
              <w:rPr>
                <w:color w:val="000000"/>
                <w:sz w:val="17"/>
                <w:szCs w:val="17"/>
              </w:rPr>
              <w:t xml:space="preserve">Awaiting the regulator to </w:t>
            </w:r>
            <w:r w:rsidRPr="004211A0">
              <w:rPr>
                <w:b/>
                <w:color w:val="000000"/>
                <w:sz w:val="17"/>
                <w:szCs w:val="17"/>
              </w:rPr>
              <w:t>present a draft transposition text</w:t>
            </w:r>
            <w:r w:rsidRPr="004211A0">
              <w:rPr>
                <w:color w:val="000000"/>
                <w:sz w:val="17"/>
                <w:szCs w:val="17"/>
              </w:rPr>
              <w:t xml:space="preserve"> of the Directive.</w:t>
            </w:r>
          </w:p>
        </w:tc>
        <w:tc>
          <w:tcPr>
            <w:tcW w:w="1559" w:type="dxa"/>
            <w:tcBorders>
              <w:top w:val="nil"/>
              <w:left w:val="nil"/>
              <w:bottom w:val="single" w:sz="8" w:space="0" w:color="C2D69B"/>
              <w:right w:val="single" w:sz="8" w:space="0" w:color="C2D69B"/>
            </w:tcBorders>
            <w:vAlign w:val="center"/>
            <w:hideMark/>
          </w:tcPr>
          <w:p w14:paraId="59E5E50A" w14:textId="77777777" w:rsidR="004F5A07" w:rsidRPr="007D3963" w:rsidRDefault="004F5A07">
            <w:pPr>
              <w:spacing w:line="240" w:lineRule="auto"/>
              <w:rPr>
                <w:color w:val="000000"/>
                <w:sz w:val="17"/>
                <w:szCs w:val="17"/>
              </w:rPr>
            </w:pPr>
            <w:r w:rsidRPr="00224905">
              <w:rPr>
                <w:color w:val="000000"/>
                <w:sz w:val="17"/>
                <w:szCs w:val="17"/>
              </w:rPr>
              <w:t xml:space="preserve">Expected that the </w:t>
            </w:r>
            <w:r w:rsidRPr="00224905">
              <w:rPr>
                <w:b/>
                <w:color w:val="000000"/>
                <w:sz w:val="17"/>
                <w:szCs w:val="17"/>
              </w:rPr>
              <w:t>legislator</w:t>
            </w:r>
            <w:r w:rsidRPr="00224905">
              <w:rPr>
                <w:color w:val="000000"/>
                <w:sz w:val="17"/>
                <w:szCs w:val="17"/>
              </w:rPr>
              <w:t xml:space="preserve"> will leave the </w:t>
            </w:r>
            <w:r w:rsidRPr="00224905">
              <w:rPr>
                <w:b/>
                <w:color w:val="000000"/>
                <w:sz w:val="17"/>
                <w:szCs w:val="17"/>
              </w:rPr>
              <w:t>supervisor</w:t>
            </w:r>
            <w:r w:rsidRPr="00224905">
              <w:rPr>
                <w:color w:val="000000"/>
                <w:sz w:val="17"/>
                <w:szCs w:val="17"/>
              </w:rPr>
              <w:t xml:space="preserve"> with full discretion.</w:t>
            </w:r>
          </w:p>
        </w:tc>
        <w:tc>
          <w:tcPr>
            <w:tcW w:w="1843" w:type="dxa"/>
            <w:tcBorders>
              <w:top w:val="single" w:sz="8" w:space="0" w:color="9BBB59"/>
              <w:left w:val="nil"/>
              <w:bottom w:val="single" w:sz="8" w:space="0" w:color="C2D69B"/>
              <w:right w:val="single" w:sz="8" w:space="0" w:color="C2D69B"/>
            </w:tcBorders>
            <w:vAlign w:val="center"/>
            <w:hideMark/>
          </w:tcPr>
          <w:p w14:paraId="63908C91" w14:textId="77777777" w:rsidR="004F5A07" w:rsidRPr="007D3963" w:rsidRDefault="004F5A07">
            <w:pPr>
              <w:spacing w:line="240" w:lineRule="auto"/>
              <w:rPr>
                <w:color w:val="000000"/>
                <w:sz w:val="17"/>
                <w:szCs w:val="17"/>
              </w:rPr>
            </w:pPr>
            <w:r w:rsidRPr="007D3963">
              <w:rPr>
                <w:color w:val="000000"/>
                <w:sz w:val="17"/>
                <w:szCs w:val="17"/>
              </w:rPr>
              <w:t>TBC</w:t>
            </w:r>
          </w:p>
        </w:tc>
        <w:tc>
          <w:tcPr>
            <w:tcW w:w="2268" w:type="dxa"/>
            <w:tcBorders>
              <w:top w:val="single" w:sz="8" w:space="0" w:color="9BBB59"/>
              <w:left w:val="nil"/>
              <w:bottom w:val="single" w:sz="8" w:space="0" w:color="C2D69B"/>
              <w:right w:val="single" w:sz="8" w:space="0" w:color="C2D69B"/>
            </w:tcBorders>
            <w:vAlign w:val="center"/>
            <w:hideMark/>
          </w:tcPr>
          <w:p w14:paraId="3B6D9202" w14:textId="77777777" w:rsidR="004F5A07" w:rsidRPr="007D3963" w:rsidRDefault="004F5A07">
            <w:pPr>
              <w:spacing w:line="240" w:lineRule="auto"/>
              <w:rPr>
                <w:color w:val="000000"/>
                <w:sz w:val="17"/>
                <w:szCs w:val="17"/>
              </w:rPr>
            </w:pPr>
            <w:r w:rsidRPr="002F43AB">
              <w:rPr>
                <w:b/>
                <w:color w:val="000000"/>
                <w:sz w:val="17"/>
                <w:szCs w:val="17"/>
              </w:rPr>
              <w:t xml:space="preserve">Option 1 </w:t>
            </w:r>
            <w:r w:rsidRPr="002F43AB">
              <w:rPr>
                <w:b/>
                <w:bCs/>
                <w:color w:val="000000"/>
                <w:sz w:val="17"/>
                <w:szCs w:val="17"/>
              </w:rPr>
              <w:t xml:space="preserve">– </w:t>
            </w:r>
            <w:r w:rsidRPr="002F43AB">
              <w:rPr>
                <w:b/>
                <w:color w:val="000000"/>
                <w:sz w:val="17"/>
                <w:szCs w:val="17"/>
              </w:rPr>
              <w:t>Yes:</w:t>
            </w:r>
            <w:r w:rsidRPr="002F43AB">
              <w:rPr>
                <w:color w:val="000000"/>
                <w:sz w:val="17"/>
                <w:szCs w:val="17"/>
              </w:rPr>
              <w:t xml:space="preserve"> based on previous experience, expect no entity to be excluded. </w:t>
            </w:r>
            <w:r w:rsidRPr="002F43AB">
              <w:rPr>
                <w:b/>
                <w:color w:val="000000"/>
                <w:sz w:val="17"/>
                <w:szCs w:val="17"/>
              </w:rPr>
              <w:t xml:space="preserve">Option 2 </w:t>
            </w:r>
            <w:r w:rsidRPr="002F43AB">
              <w:rPr>
                <w:b/>
                <w:bCs/>
                <w:color w:val="000000"/>
                <w:sz w:val="17"/>
                <w:szCs w:val="17"/>
              </w:rPr>
              <w:t>– Yes:</w:t>
            </w:r>
            <w:r w:rsidRPr="002F43AB">
              <w:rPr>
                <w:color w:val="000000"/>
                <w:sz w:val="17"/>
                <w:szCs w:val="17"/>
              </w:rPr>
              <w:t xml:space="preserve"> also expected to be applied.</w:t>
            </w:r>
          </w:p>
        </w:tc>
        <w:tc>
          <w:tcPr>
            <w:tcW w:w="2410" w:type="dxa"/>
            <w:tcBorders>
              <w:top w:val="single" w:sz="8" w:space="0" w:color="9BBB59"/>
              <w:left w:val="nil"/>
              <w:bottom w:val="single" w:sz="8" w:space="0" w:color="C2D69B"/>
              <w:right w:val="single" w:sz="8" w:space="0" w:color="C2D69B"/>
            </w:tcBorders>
            <w:vAlign w:val="center"/>
            <w:hideMark/>
          </w:tcPr>
          <w:p w14:paraId="75872FD0" w14:textId="77777777" w:rsidR="004F5A07" w:rsidRPr="007D3963" w:rsidRDefault="004F5A07">
            <w:pPr>
              <w:spacing w:line="240" w:lineRule="auto"/>
              <w:rPr>
                <w:color w:val="000000"/>
                <w:sz w:val="17"/>
                <w:szCs w:val="17"/>
              </w:rPr>
            </w:pPr>
            <w:r w:rsidRPr="007D3963">
              <w:rPr>
                <w:color w:val="000000"/>
                <w:sz w:val="17"/>
                <w:szCs w:val="17"/>
              </w:rPr>
              <w:t>TBC</w:t>
            </w:r>
          </w:p>
        </w:tc>
        <w:tc>
          <w:tcPr>
            <w:tcW w:w="2122" w:type="dxa"/>
            <w:tcBorders>
              <w:top w:val="nil"/>
              <w:left w:val="nil"/>
              <w:bottom w:val="single" w:sz="8" w:space="0" w:color="C2D69B"/>
              <w:right w:val="single" w:sz="8" w:space="0" w:color="C2D69B"/>
            </w:tcBorders>
            <w:vAlign w:val="center"/>
            <w:hideMark/>
          </w:tcPr>
          <w:p w14:paraId="5E423DA4" w14:textId="77777777" w:rsidR="004F5A07" w:rsidRPr="007D3963" w:rsidRDefault="004F5A07">
            <w:pPr>
              <w:spacing w:line="240" w:lineRule="auto"/>
              <w:rPr>
                <w:color w:val="000000"/>
                <w:sz w:val="17"/>
                <w:szCs w:val="17"/>
              </w:rPr>
            </w:pPr>
            <w:r w:rsidRPr="000B759D">
              <w:rPr>
                <w:color w:val="000000"/>
                <w:sz w:val="17"/>
                <w:szCs w:val="17"/>
              </w:rPr>
              <w:t xml:space="preserve">Expected that the </w:t>
            </w:r>
            <w:r w:rsidRPr="000B759D">
              <w:rPr>
                <w:b/>
                <w:color w:val="000000"/>
                <w:sz w:val="17"/>
                <w:szCs w:val="17"/>
              </w:rPr>
              <w:t>legislator</w:t>
            </w:r>
            <w:r w:rsidRPr="000B759D">
              <w:rPr>
                <w:color w:val="000000"/>
                <w:sz w:val="17"/>
                <w:szCs w:val="17"/>
              </w:rPr>
              <w:t xml:space="preserve"> will leave the </w:t>
            </w:r>
            <w:r w:rsidRPr="000B759D">
              <w:rPr>
                <w:b/>
                <w:color w:val="000000"/>
                <w:sz w:val="17"/>
                <w:szCs w:val="17"/>
              </w:rPr>
              <w:t>supervisor</w:t>
            </w:r>
            <w:r w:rsidRPr="000B759D">
              <w:rPr>
                <w:color w:val="000000"/>
                <w:sz w:val="17"/>
                <w:szCs w:val="17"/>
              </w:rPr>
              <w:t xml:space="preserve"> with full discretion.</w:t>
            </w:r>
          </w:p>
        </w:tc>
      </w:tr>
      <w:tr w:rsidR="004F5A07" w:rsidRPr="007D3963" w14:paraId="0FF30C0C" w14:textId="77777777">
        <w:trPr>
          <w:trHeight w:val="1845"/>
        </w:trPr>
        <w:tc>
          <w:tcPr>
            <w:tcW w:w="998" w:type="dxa"/>
            <w:tcBorders>
              <w:top w:val="single" w:sz="8" w:space="0" w:color="C2D69B"/>
              <w:left w:val="nil"/>
              <w:bottom w:val="single" w:sz="8" w:space="0" w:color="C2D69B"/>
              <w:right w:val="single" w:sz="8" w:space="0" w:color="C2D69B"/>
            </w:tcBorders>
            <w:shd w:val="clear" w:color="000000" w:fill="EAF1DD"/>
            <w:vAlign w:val="center"/>
            <w:hideMark/>
          </w:tcPr>
          <w:p w14:paraId="724A5467" w14:textId="77777777" w:rsidR="004F5A07" w:rsidRPr="007D3963" w:rsidRDefault="004F5A07">
            <w:pPr>
              <w:spacing w:line="240" w:lineRule="auto"/>
              <w:rPr>
                <w:color w:val="000000"/>
                <w:sz w:val="17"/>
                <w:szCs w:val="17"/>
              </w:rPr>
            </w:pPr>
            <w:r w:rsidRPr="007D3963">
              <w:rPr>
                <w:color w:val="000000"/>
                <w:sz w:val="17"/>
                <w:szCs w:val="17"/>
              </w:rPr>
              <w:lastRenderedPageBreak/>
              <w:t>Slovakia</w:t>
            </w:r>
          </w:p>
        </w:tc>
        <w:tc>
          <w:tcPr>
            <w:tcW w:w="3680" w:type="dxa"/>
            <w:tcBorders>
              <w:top w:val="single" w:sz="8" w:space="0" w:color="C2D69B"/>
              <w:left w:val="single" w:sz="8" w:space="0" w:color="C2D69B"/>
              <w:bottom w:val="single" w:sz="8" w:space="0" w:color="C2D69B"/>
              <w:right w:val="single" w:sz="8" w:space="0" w:color="C2D69B"/>
            </w:tcBorders>
            <w:shd w:val="clear" w:color="000000" w:fill="EAF1DD"/>
            <w:vAlign w:val="center"/>
            <w:hideMark/>
          </w:tcPr>
          <w:p w14:paraId="2894E263" w14:textId="77777777" w:rsidR="004F5A07" w:rsidRPr="007D3963" w:rsidRDefault="004F5A07">
            <w:pPr>
              <w:spacing w:line="240" w:lineRule="auto"/>
              <w:rPr>
                <w:color w:val="000000"/>
                <w:sz w:val="17"/>
                <w:szCs w:val="17"/>
              </w:rPr>
            </w:pPr>
            <w:r w:rsidRPr="00C541AB">
              <w:rPr>
                <w:color w:val="000000"/>
                <w:sz w:val="17"/>
                <w:szCs w:val="17"/>
              </w:rPr>
              <w:t xml:space="preserve">The final decision has </w:t>
            </w:r>
            <w:r w:rsidRPr="00C541AB">
              <w:rPr>
                <w:b/>
                <w:color w:val="000000"/>
                <w:sz w:val="17"/>
                <w:szCs w:val="17"/>
              </w:rPr>
              <w:t xml:space="preserve">not </w:t>
            </w:r>
            <w:r w:rsidRPr="00C541AB">
              <w:rPr>
                <w:b/>
                <w:bCs/>
                <w:color w:val="000000"/>
                <w:sz w:val="17"/>
                <w:szCs w:val="17"/>
              </w:rPr>
              <w:t xml:space="preserve">yet </w:t>
            </w:r>
            <w:r w:rsidRPr="00C541AB">
              <w:rPr>
                <w:b/>
                <w:color w:val="000000"/>
                <w:sz w:val="17"/>
                <w:szCs w:val="17"/>
              </w:rPr>
              <w:t>been made</w:t>
            </w:r>
            <w:r w:rsidRPr="00C541AB">
              <w:rPr>
                <w:color w:val="000000"/>
                <w:sz w:val="17"/>
                <w:szCs w:val="17"/>
              </w:rPr>
              <w:t xml:space="preserve">; the listed issues are currently under </w:t>
            </w:r>
            <w:r w:rsidRPr="00C541AB">
              <w:rPr>
                <w:b/>
                <w:color w:val="000000"/>
                <w:sz w:val="17"/>
                <w:szCs w:val="17"/>
              </w:rPr>
              <w:t>discussion between the Ministry of Finance and the National Bank of Slovakia.</w:t>
            </w:r>
          </w:p>
        </w:tc>
        <w:tc>
          <w:tcPr>
            <w:tcW w:w="1559" w:type="dxa"/>
            <w:tcBorders>
              <w:top w:val="single" w:sz="8" w:space="0" w:color="C2D69B"/>
              <w:left w:val="single" w:sz="8" w:space="0" w:color="C2D69B"/>
              <w:bottom w:val="single" w:sz="8" w:space="0" w:color="C2D69B"/>
              <w:right w:val="nil"/>
            </w:tcBorders>
            <w:shd w:val="clear" w:color="000000" w:fill="EAF1DD"/>
            <w:vAlign w:val="center"/>
            <w:hideMark/>
          </w:tcPr>
          <w:p w14:paraId="72BDCA40" w14:textId="77777777" w:rsidR="004F5A07" w:rsidRPr="007D3963" w:rsidRDefault="004F5A07">
            <w:pPr>
              <w:spacing w:line="240" w:lineRule="auto"/>
              <w:rPr>
                <w:color w:val="000000"/>
                <w:sz w:val="17"/>
                <w:szCs w:val="17"/>
              </w:rPr>
            </w:pPr>
            <w:r w:rsidRPr="007D3963">
              <w:rPr>
                <w:color w:val="000000"/>
                <w:sz w:val="17"/>
                <w:szCs w:val="17"/>
              </w:rPr>
              <w:t>TBC</w:t>
            </w:r>
          </w:p>
        </w:tc>
        <w:tc>
          <w:tcPr>
            <w:tcW w:w="1843" w:type="dxa"/>
            <w:tcBorders>
              <w:top w:val="single" w:sz="8" w:space="0" w:color="C2D69B"/>
              <w:left w:val="single" w:sz="8" w:space="0" w:color="C2D69B"/>
              <w:bottom w:val="single" w:sz="8" w:space="0" w:color="C2D69B"/>
              <w:right w:val="nil"/>
            </w:tcBorders>
            <w:shd w:val="clear" w:color="000000" w:fill="EAF1DD"/>
            <w:vAlign w:val="center"/>
            <w:hideMark/>
          </w:tcPr>
          <w:p w14:paraId="7604F4BB" w14:textId="77777777" w:rsidR="004F5A07" w:rsidRPr="007D3963" w:rsidRDefault="004F5A07">
            <w:pPr>
              <w:spacing w:line="240" w:lineRule="auto"/>
              <w:rPr>
                <w:color w:val="000000"/>
                <w:sz w:val="17"/>
                <w:szCs w:val="17"/>
              </w:rPr>
            </w:pPr>
            <w:r w:rsidRPr="007D3963">
              <w:rPr>
                <w:color w:val="000000"/>
                <w:sz w:val="17"/>
                <w:szCs w:val="17"/>
              </w:rPr>
              <w:t>TBC</w:t>
            </w:r>
          </w:p>
        </w:tc>
        <w:tc>
          <w:tcPr>
            <w:tcW w:w="2268" w:type="dxa"/>
            <w:tcBorders>
              <w:top w:val="single" w:sz="8" w:space="0" w:color="C2D69B"/>
              <w:left w:val="single" w:sz="8" w:space="0" w:color="C2D69B"/>
              <w:bottom w:val="single" w:sz="8" w:space="0" w:color="C2D69B"/>
              <w:right w:val="nil"/>
            </w:tcBorders>
            <w:shd w:val="clear" w:color="000000" w:fill="EAF1DD"/>
            <w:vAlign w:val="center"/>
            <w:hideMark/>
          </w:tcPr>
          <w:p w14:paraId="372D90F6" w14:textId="77777777" w:rsidR="004F5A07" w:rsidRPr="007D3963" w:rsidRDefault="004F5A07">
            <w:pPr>
              <w:spacing w:line="240" w:lineRule="auto"/>
              <w:rPr>
                <w:color w:val="000000"/>
                <w:sz w:val="17"/>
                <w:szCs w:val="17"/>
              </w:rPr>
            </w:pPr>
            <w:r w:rsidRPr="007D3963">
              <w:rPr>
                <w:color w:val="000000"/>
                <w:sz w:val="17"/>
                <w:szCs w:val="17"/>
              </w:rPr>
              <w:t>TBC</w:t>
            </w:r>
          </w:p>
        </w:tc>
        <w:tc>
          <w:tcPr>
            <w:tcW w:w="2410" w:type="dxa"/>
            <w:tcBorders>
              <w:top w:val="single" w:sz="8" w:space="0" w:color="C2D69B"/>
              <w:left w:val="single" w:sz="8" w:space="0" w:color="C2D69B"/>
              <w:bottom w:val="single" w:sz="8" w:space="0" w:color="C2D69B"/>
              <w:right w:val="nil"/>
            </w:tcBorders>
            <w:shd w:val="clear" w:color="000000" w:fill="EAF1DD"/>
            <w:vAlign w:val="center"/>
            <w:hideMark/>
          </w:tcPr>
          <w:p w14:paraId="6A1EFDEA" w14:textId="77777777" w:rsidR="004F5A07" w:rsidRPr="007D3963" w:rsidRDefault="004F5A07">
            <w:pPr>
              <w:spacing w:line="240" w:lineRule="auto"/>
              <w:rPr>
                <w:color w:val="000000"/>
                <w:sz w:val="17"/>
                <w:szCs w:val="17"/>
              </w:rPr>
            </w:pPr>
            <w:r w:rsidRPr="007D3963">
              <w:rPr>
                <w:color w:val="000000"/>
                <w:sz w:val="17"/>
                <w:szCs w:val="17"/>
              </w:rPr>
              <w:t>TBC</w:t>
            </w:r>
          </w:p>
        </w:tc>
        <w:tc>
          <w:tcPr>
            <w:tcW w:w="2122" w:type="dxa"/>
            <w:tcBorders>
              <w:top w:val="single" w:sz="8" w:space="0" w:color="C2D69B"/>
              <w:left w:val="single" w:sz="8" w:space="0" w:color="C2D69B"/>
              <w:bottom w:val="single" w:sz="8" w:space="0" w:color="C2D69B"/>
              <w:right w:val="nil"/>
            </w:tcBorders>
            <w:shd w:val="clear" w:color="000000" w:fill="EAF1DD"/>
            <w:vAlign w:val="center"/>
            <w:hideMark/>
          </w:tcPr>
          <w:p w14:paraId="41FFDDF6" w14:textId="77777777" w:rsidR="004F5A07" w:rsidRPr="007D3963" w:rsidRDefault="004F5A07">
            <w:pPr>
              <w:spacing w:line="240" w:lineRule="auto"/>
              <w:rPr>
                <w:color w:val="000000"/>
                <w:sz w:val="17"/>
                <w:szCs w:val="17"/>
              </w:rPr>
            </w:pPr>
            <w:r w:rsidRPr="007D3963">
              <w:rPr>
                <w:color w:val="000000"/>
                <w:sz w:val="17"/>
                <w:szCs w:val="17"/>
              </w:rPr>
              <w:t>TBC</w:t>
            </w:r>
          </w:p>
        </w:tc>
      </w:tr>
    </w:tbl>
    <w:p w14:paraId="6793D08A" w14:textId="77777777" w:rsidR="008E38C2" w:rsidRPr="00763D6E" w:rsidRDefault="008E38C2" w:rsidP="0016089A">
      <w:pPr>
        <w:spacing w:line="240" w:lineRule="auto"/>
        <w:jc w:val="left"/>
        <w:rPr>
          <w:sz w:val="17"/>
          <w:szCs w:val="17"/>
        </w:rPr>
      </w:pPr>
    </w:p>
    <w:sectPr w:rsidR="008E38C2" w:rsidRPr="00763D6E" w:rsidSect="008B2B20">
      <w:headerReference w:type="first" r:id="rId17"/>
      <w:footerReference w:type="first" r:id="rId18"/>
      <w:pgSz w:w="16839" w:h="11907" w:orient="landscape" w:code="9"/>
      <w:pgMar w:top="1418" w:right="2410" w:bottom="907" w:left="1253" w:header="709"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6D0E" w14:textId="77777777" w:rsidR="00E60918" w:rsidRDefault="00E60918" w:rsidP="0016089A">
      <w:pPr>
        <w:spacing w:line="240" w:lineRule="auto"/>
      </w:pPr>
      <w:r>
        <w:separator/>
      </w:r>
    </w:p>
  </w:endnote>
  <w:endnote w:type="continuationSeparator" w:id="0">
    <w:p w14:paraId="2634DAFB" w14:textId="77777777" w:rsidR="00E60918" w:rsidRDefault="00E60918" w:rsidP="00160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FE9D" w14:textId="2E32FC76" w:rsidR="00244345" w:rsidRDefault="00244345">
    <w:pPr>
      <w:pStyle w:val="Pta"/>
    </w:pPr>
    <w:r>
      <w:rPr>
        <w:noProof/>
      </w:rPr>
      <mc:AlternateContent>
        <mc:Choice Requires="wps">
          <w:drawing>
            <wp:anchor distT="0" distB="0" distL="0" distR="0" simplePos="0" relativeHeight="251660290" behindDoc="0" locked="0" layoutInCell="1" allowOverlap="1" wp14:anchorId="750C0D5C" wp14:editId="067AB486">
              <wp:simplePos x="635" y="635"/>
              <wp:positionH relativeFrom="page">
                <wp:align>left</wp:align>
              </wp:positionH>
              <wp:positionV relativeFrom="page">
                <wp:align>bottom</wp:align>
              </wp:positionV>
              <wp:extent cx="644525" cy="376555"/>
              <wp:effectExtent l="0" t="0" r="3175" b="0"/>
              <wp:wrapNone/>
              <wp:docPr id="2064114580" name="Textové pole 10"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76555"/>
                      </a:xfrm>
                      <a:prstGeom prst="rect">
                        <a:avLst/>
                      </a:prstGeom>
                      <a:noFill/>
                      <a:ln>
                        <a:noFill/>
                      </a:ln>
                    </wps:spPr>
                    <wps:txbx>
                      <w:txbxContent>
                        <w:p w14:paraId="598F5743" w14:textId="6B139774"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0C0D5C" id="_x0000_t202" coordsize="21600,21600" o:spt="202" path="m,l,21600r21600,l21600,xe">
              <v:stroke joinstyle="miter"/>
              <v:path gradientshapeok="t" o:connecttype="rect"/>
            </v:shapetype>
            <v:shape id="Textové pole 10" o:spid="_x0000_s1034" type="#_x0000_t202" alt="Interné" style="position:absolute;left:0;text-align:left;margin-left:0;margin-top:0;width:50.75pt;height:29.6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" filled="f" stroked="f">
              <v:textbox style="mso-fit-shape-to-text:t" inset="20pt,0,0,15pt">
                <w:txbxContent>
                  <w:p w14:paraId="598F5743" w14:textId="6B139774"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0AA7" w14:textId="4D56E729" w:rsidR="00CB7858" w:rsidRPr="008E38C2" w:rsidRDefault="00244345" w:rsidP="00E20C68">
    <w:pPr>
      <w:framePr w:w="708" w:h="391" w:hRule="exact" w:hSpace="181" w:wrap="around" w:vAnchor="page" w:hAnchor="page" w:x="10320" w:y="16111" w:anchorLock="1"/>
      <w:jc w:val="right"/>
      <w:rPr>
        <w:rFonts w:cs="Tahoma"/>
        <w:color w:val="002957"/>
        <w:sz w:val="16"/>
        <w:szCs w:val="14"/>
      </w:rPr>
    </w:pPr>
    <w:r>
      <w:rPr>
        <w:rFonts w:cs="Tahoma"/>
        <w:noProof/>
        <w:color w:val="002957"/>
        <w:sz w:val="14"/>
        <w:szCs w:val="12"/>
      </w:rPr>
      <mc:AlternateContent>
        <mc:Choice Requires="wps">
          <w:drawing>
            <wp:anchor distT="0" distB="0" distL="0" distR="0" simplePos="0" relativeHeight="251661314" behindDoc="0" locked="0" layoutInCell="1" allowOverlap="1" wp14:anchorId="19EEE205" wp14:editId="4A35FE87">
              <wp:simplePos x="635" y="635"/>
              <wp:positionH relativeFrom="page">
                <wp:align>left</wp:align>
              </wp:positionH>
              <wp:positionV relativeFrom="page">
                <wp:align>bottom</wp:align>
              </wp:positionV>
              <wp:extent cx="644525" cy="376555"/>
              <wp:effectExtent l="0" t="0" r="3175" b="0"/>
              <wp:wrapNone/>
              <wp:docPr id="989200656" name="Textové pole 1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76555"/>
                      </a:xfrm>
                      <a:prstGeom prst="rect">
                        <a:avLst/>
                      </a:prstGeom>
                      <a:noFill/>
                      <a:ln>
                        <a:noFill/>
                      </a:ln>
                    </wps:spPr>
                    <wps:txbx>
                      <w:txbxContent>
                        <w:p w14:paraId="20B2678A" w14:textId="773ADDEA"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EEE205" id="_x0000_t202" coordsize="21600,21600" o:spt="202" path="m,l,21600r21600,l21600,xe">
              <v:stroke joinstyle="miter"/>
              <v:path gradientshapeok="t" o:connecttype="rect"/>
            </v:shapetype>
            <v:shape id="Textové pole 11" o:spid="_x0000_s1035" type="#_x0000_t202" alt="Interné" style="position:absolute;left:0;text-align:left;margin-left:0;margin-top:0;width:50.75pt;height:29.6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" filled="f" stroked="f">
              <v:textbox style="mso-fit-shape-to-text:t" inset="20pt,0,0,15pt">
                <w:txbxContent>
                  <w:p w14:paraId="20B2678A" w14:textId="773ADDEA"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v:textbox>
              <w10:wrap anchorx="page" anchory="page"/>
            </v:shape>
          </w:pict>
        </mc:Fallback>
      </mc:AlternateContent>
    </w:r>
    <w:r w:rsidR="00E20C68" w:rsidRPr="008E38C2">
      <w:rPr>
        <w:rFonts w:cs="Tahoma"/>
        <w:color w:val="002957"/>
        <w:sz w:val="14"/>
        <w:szCs w:val="12"/>
      </w:rPr>
      <w:fldChar w:fldCharType="begin"/>
    </w:r>
    <w:r w:rsidR="00E20C68" w:rsidRPr="008E38C2">
      <w:rPr>
        <w:rFonts w:cs="Tahoma"/>
        <w:color w:val="002957"/>
        <w:sz w:val="14"/>
        <w:szCs w:val="12"/>
      </w:rPr>
      <w:instrText xml:space="preserve"> PAGE   \* MERGEFORMAT </w:instrText>
    </w:r>
    <w:r w:rsidR="00E20C68" w:rsidRPr="008E38C2">
      <w:rPr>
        <w:rFonts w:cs="Tahoma"/>
        <w:color w:val="002957"/>
        <w:sz w:val="14"/>
        <w:szCs w:val="12"/>
      </w:rPr>
      <w:fldChar w:fldCharType="separate"/>
    </w:r>
    <w:r w:rsidR="002D5146" w:rsidRPr="008E38C2">
      <w:rPr>
        <w:rFonts w:cs="Tahoma"/>
        <w:noProof/>
        <w:color w:val="002957"/>
        <w:sz w:val="14"/>
        <w:szCs w:val="12"/>
      </w:rPr>
      <w:t>2</w:t>
    </w:r>
    <w:r w:rsidR="00E20C68" w:rsidRPr="008E38C2">
      <w:rPr>
        <w:rFonts w:cs="Tahoma"/>
        <w:noProof/>
        <w:color w:val="002957"/>
        <w:sz w:val="14"/>
        <w:szCs w:val="12"/>
      </w:rPr>
      <w:fldChar w:fldCharType="end"/>
    </w:r>
  </w:p>
  <w:p w14:paraId="55F780C8" w14:textId="77777777" w:rsidR="00CB7858" w:rsidRPr="0089179F" w:rsidRDefault="00CB7858" w:rsidP="00CF35FD">
    <w:pPr>
      <w:tabs>
        <w:tab w:val="right" w:pos="10260"/>
      </w:tabs>
      <w:autoSpaceDE w:val="0"/>
      <w:autoSpaceDN w:val="0"/>
      <w:adjustRightInd w:val="0"/>
      <w:ind w:right="23"/>
      <w:jc w:val="right"/>
      <w:textAlignment w:val="center"/>
      <w:rPr>
        <w:color w:val="000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7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111"/>
    </w:tblGrid>
    <w:tr w:rsidR="00C0076E" w14:paraId="2FCD7D2F" w14:textId="77777777" w:rsidTr="004A40C4">
      <w:tc>
        <w:tcPr>
          <w:tcW w:w="5675" w:type="dxa"/>
        </w:tcPr>
        <w:p w14:paraId="00FC5EB9" w14:textId="040933F0" w:rsidR="00C0076E" w:rsidRPr="004A40C4" w:rsidRDefault="00244345" w:rsidP="004A40C4">
          <w:pPr>
            <w:pStyle w:val="CEAFooterauthorinfo"/>
            <w:ind w:left="0"/>
            <w:rPr>
              <w:b w:val="0"/>
              <w:color w:val="002957"/>
              <w:sz w:val="14"/>
              <w:szCs w:val="14"/>
              <w:lang w:val="fr-BE"/>
            </w:rPr>
          </w:pPr>
          <w:r>
            <w:rPr>
              <w:b w:val="0"/>
              <w:noProof/>
              <w:color w:val="002957"/>
              <w:sz w:val="14"/>
              <w:szCs w:val="14"/>
              <w:lang w:val="fr-BE"/>
            </w:rPr>
            <mc:AlternateContent>
              <mc:Choice Requires="wps">
                <w:drawing>
                  <wp:anchor distT="0" distB="0" distL="0" distR="0" simplePos="0" relativeHeight="251659266" behindDoc="0" locked="0" layoutInCell="1" allowOverlap="1" wp14:anchorId="701A2CF1" wp14:editId="30E7853A">
                    <wp:simplePos x="876300" y="9966960"/>
                    <wp:positionH relativeFrom="page">
                      <wp:align>left</wp:align>
                    </wp:positionH>
                    <wp:positionV relativeFrom="page">
                      <wp:align>bottom</wp:align>
                    </wp:positionV>
                    <wp:extent cx="644525" cy="376555"/>
                    <wp:effectExtent l="0" t="0" r="3175" b="0"/>
                    <wp:wrapNone/>
                    <wp:docPr id="1830695115" name="Textové pole 9"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76555"/>
                            </a:xfrm>
                            <a:prstGeom prst="rect">
                              <a:avLst/>
                            </a:prstGeom>
                            <a:noFill/>
                            <a:ln>
                              <a:noFill/>
                            </a:ln>
                          </wps:spPr>
                          <wps:txbx>
                            <w:txbxContent>
                              <w:p w14:paraId="14D62705" w14:textId="76A3AA47"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1A2CF1" id="_x0000_t202" coordsize="21600,21600" o:spt="202" path="m,l,21600r21600,l21600,xe">
                    <v:stroke joinstyle="miter"/>
                    <v:path gradientshapeok="t" o:connecttype="rect"/>
                  </v:shapetype>
                  <v:shape id="Textové pole 9" o:spid="_x0000_s1036" type="#_x0000_t202" alt="Interné" style="position:absolute;left:0;text-align:left;margin-left:0;margin-top:0;width:50.75pt;height:29.6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" filled="f" stroked="f">
                    <v:textbox style="mso-fit-shape-to-text:t" inset="20pt,0,0,15pt">
                      <w:txbxContent>
                        <w:p w14:paraId="14D62705" w14:textId="76A3AA47"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v:textbox>
                    <w10:wrap anchorx="page" anchory="page"/>
                  </v:shape>
                </w:pict>
              </mc:Fallback>
            </mc:AlternateContent>
          </w:r>
          <w:proofErr w:type="spellStart"/>
          <w:r w:rsidR="00C0076E" w:rsidRPr="004A40C4">
            <w:rPr>
              <w:b w:val="0"/>
              <w:color w:val="002957"/>
              <w:sz w:val="14"/>
              <w:szCs w:val="14"/>
              <w:lang w:val="fr-BE"/>
            </w:rPr>
            <w:t>Prudential</w:t>
          </w:r>
          <w:proofErr w:type="spellEnd"/>
          <w:r w:rsidR="00C0076E" w:rsidRPr="004A40C4">
            <w:rPr>
              <w:b w:val="0"/>
              <w:color w:val="002957"/>
              <w:sz w:val="14"/>
              <w:szCs w:val="14"/>
              <w:lang w:val="fr-BE"/>
            </w:rPr>
            <w:t xml:space="preserve"> team •</w:t>
          </w:r>
        </w:p>
        <w:p w14:paraId="6CCA7E3A" w14:textId="77777777" w:rsidR="00C0076E" w:rsidRPr="00353714" w:rsidRDefault="00C0076E" w:rsidP="004A40C4">
          <w:pPr>
            <w:pStyle w:val="CEAFooterauthorinfo"/>
            <w:ind w:left="0"/>
            <w:rPr>
              <w:b w:val="0"/>
              <w:color w:val="002957"/>
              <w:sz w:val="14"/>
              <w:szCs w:val="14"/>
              <w:lang w:val="fr-BE"/>
            </w:rPr>
          </w:pPr>
          <w:proofErr w:type="spellStart"/>
          <w:r w:rsidRPr="00353714">
            <w:rPr>
              <w:b w:val="0"/>
              <w:color w:val="002957"/>
              <w:sz w:val="14"/>
              <w:szCs w:val="14"/>
              <w:lang w:val="fr-BE"/>
            </w:rPr>
            <w:t>Insurance</w:t>
          </w:r>
          <w:proofErr w:type="spellEnd"/>
          <w:r w:rsidRPr="00353714">
            <w:rPr>
              <w:b w:val="0"/>
              <w:color w:val="002957"/>
              <w:sz w:val="14"/>
              <w:szCs w:val="14"/>
              <w:lang w:val="fr-BE"/>
            </w:rPr>
            <w:t xml:space="preserve"> Europe </w:t>
          </w:r>
          <w:proofErr w:type="spellStart"/>
          <w:r w:rsidRPr="00353714">
            <w:rPr>
              <w:b w:val="0"/>
              <w:color w:val="002957"/>
              <w:sz w:val="14"/>
              <w:szCs w:val="14"/>
              <w:lang w:val="fr-BE"/>
            </w:rPr>
            <w:t>aisbl</w:t>
          </w:r>
          <w:proofErr w:type="spellEnd"/>
          <w:r w:rsidRPr="00353714">
            <w:rPr>
              <w:b w:val="0"/>
              <w:color w:val="002957"/>
              <w:sz w:val="14"/>
              <w:szCs w:val="14"/>
              <w:lang w:val="fr-BE"/>
            </w:rPr>
            <w:t xml:space="preserve"> </w:t>
          </w:r>
          <w:r w:rsidRPr="004F5A07">
            <w:rPr>
              <w:b w:val="0"/>
              <w:color w:val="002957"/>
              <w:sz w:val="14"/>
              <w:szCs w:val="14"/>
              <w:lang w:val="fr-FR"/>
            </w:rPr>
            <w:t>•</w:t>
          </w:r>
          <w:r w:rsidRPr="00353714">
            <w:rPr>
              <w:b w:val="0"/>
              <w:color w:val="002957"/>
              <w:sz w:val="14"/>
              <w:szCs w:val="14"/>
              <w:lang w:val="fr-BE"/>
            </w:rPr>
            <w:t xml:space="preserve"> Rue du Champ de Mars 2</w:t>
          </w:r>
          <w:r>
            <w:rPr>
              <w:b w:val="0"/>
              <w:color w:val="002957"/>
              <w:sz w:val="14"/>
              <w:szCs w:val="14"/>
              <w:lang w:val="fr-BE"/>
            </w:rPr>
            <w:t>3</w:t>
          </w:r>
          <w:r w:rsidRPr="00353714">
            <w:rPr>
              <w:b w:val="0"/>
              <w:color w:val="002957"/>
              <w:sz w:val="14"/>
              <w:szCs w:val="14"/>
              <w:lang w:val="fr-BE"/>
            </w:rPr>
            <w:t xml:space="preserve">, </w:t>
          </w:r>
          <w:r>
            <w:rPr>
              <w:b w:val="0"/>
              <w:color w:val="002957"/>
              <w:sz w:val="14"/>
              <w:szCs w:val="14"/>
              <w:lang w:val="fr-BE"/>
            </w:rPr>
            <w:t>B-1050 Brussels</w:t>
          </w:r>
        </w:p>
        <w:p w14:paraId="7D0DC67A" w14:textId="482101E9" w:rsidR="00C0076E" w:rsidRPr="00C0076E" w:rsidRDefault="00C0076E" w:rsidP="004A40C4">
          <w:pPr>
            <w:pStyle w:val="CEAFooterauthorinfo"/>
            <w:ind w:left="0"/>
            <w:rPr>
              <w:b w:val="0"/>
              <w:color w:val="002957"/>
              <w:sz w:val="14"/>
              <w:szCs w:val="14"/>
              <w:lang w:val="pt-PT"/>
            </w:rPr>
          </w:pPr>
          <w:r>
            <w:rPr>
              <w:b w:val="0"/>
              <w:color w:val="002957"/>
              <w:sz w:val="14"/>
              <w:szCs w:val="14"/>
              <w:lang w:val="pt-PT"/>
            </w:rPr>
            <w:t>Tel:  • E-mail:</w:t>
          </w:r>
        </w:p>
      </w:tc>
      <w:tc>
        <w:tcPr>
          <w:tcW w:w="4111" w:type="dxa"/>
        </w:tcPr>
        <w:p w14:paraId="14843AB9" w14:textId="261C0F9C" w:rsidR="00C0076E" w:rsidRDefault="00F15E1B" w:rsidP="004A40C4">
          <w:pPr>
            <w:pStyle w:val="CEAFooterauthorinfo"/>
            <w:ind w:left="0"/>
            <w:jc w:val="left"/>
            <w:rPr>
              <w:b w:val="0"/>
              <w:color w:val="002957"/>
              <w:sz w:val="14"/>
              <w:szCs w:val="14"/>
            </w:rPr>
          </w:pPr>
          <w:r w:rsidRPr="00F15E1B">
            <w:rPr>
              <w:b w:val="0"/>
              <w:color w:val="002957"/>
              <w:sz w:val="14"/>
              <w:szCs w:val="14"/>
            </w:rPr>
            <w:t>© Insurance Europe. Confidential, internal document. Not for distribution, all rights reserved.</w:t>
          </w:r>
        </w:p>
      </w:tc>
    </w:tr>
  </w:tbl>
  <w:p w14:paraId="52B6B284" w14:textId="77777777" w:rsidR="00C0076E" w:rsidRPr="004F5A07" w:rsidRDefault="00C0076E" w:rsidP="008303BF">
    <w:pPr>
      <w:pStyle w:val="CEAFooterauthorinfo"/>
      <w:ind w:left="0"/>
      <w:rPr>
        <w:rFonts w:cs="Frutiger LT Std 55 Roman"/>
        <w:b w:val="0"/>
        <w:color w:val="82C55B"/>
        <w:sz w:val="14"/>
        <w:szCs w:val="14"/>
      </w:rPr>
    </w:pPr>
  </w:p>
  <w:p w14:paraId="3CB87459" w14:textId="35532B73" w:rsidR="00776725" w:rsidRPr="00DD395E" w:rsidRDefault="00776725" w:rsidP="008303BF">
    <w:pPr>
      <w:pStyle w:val="CEAFooterauthorinfo"/>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8DF2" w14:textId="03D00DDC" w:rsidR="008B2B20" w:rsidRPr="004F5A07" w:rsidRDefault="00244345" w:rsidP="008303BF">
    <w:pPr>
      <w:pStyle w:val="CEAFooterauthorinfo"/>
      <w:ind w:left="0"/>
      <w:rPr>
        <w:rFonts w:cs="Frutiger LT Std 55 Roman"/>
        <w:b w:val="0"/>
        <w:color w:val="82C55B"/>
        <w:sz w:val="14"/>
        <w:szCs w:val="14"/>
      </w:rPr>
    </w:pPr>
    <w:r>
      <w:rPr>
        <w:rFonts w:cs="Frutiger LT Std 55 Roman"/>
        <w:b w:val="0"/>
        <w:noProof/>
        <w:color w:val="82C55B"/>
        <w:sz w:val="14"/>
        <w:szCs w:val="14"/>
      </w:rPr>
      <mc:AlternateContent>
        <mc:Choice Requires="wps">
          <w:drawing>
            <wp:anchor distT="0" distB="0" distL="0" distR="0" simplePos="0" relativeHeight="251662338" behindDoc="0" locked="0" layoutInCell="1" allowOverlap="1" wp14:anchorId="5FB0757B" wp14:editId="4A9E8A38">
              <wp:simplePos x="635" y="635"/>
              <wp:positionH relativeFrom="page">
                <wp:align>left</wp:align>
              </wp:positionH>
              <wp:positionV relativeFrom="page">
                <wp:align>bottom</wp:align>
              </wp:positionV>
              <wp:extent cx="644525" cy="376555"/>
              <wp:effectExtent l="0" t="0" r="3175" b="0"/>
              <wp:wrapNone/>
              <wp:docPr id="1140796406" name="Textové pole 1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76555"/>
                      </a:xfrm>
                      <a:prstGeom prst="rect">
                        <a:avLst/>
                      </a:prstGeom>
                      <a:noFill/>
                      <a:ln>
                        <a:noFill/>
                      </a:ln>
                    </wps:spPr>
                    <wps:txbx>
                      <w:txbxContent>
                        <w:p w14:paraId="7B184FD2" w14:textId="6EBB201A"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B0757B" id="_x0000_t202" coordsize="21600,21600" o:spt="202" path="m,l,21600r21600,l21600,xe">
              <v:stroke joinstyle="miter"/>
              <v:path gradientshapeok="t" o:connecttype="rect"/>
            </v:shapetype>
            <v:shape id="Textové pole 12" o:spid="_x0000_s1037" type="#_x0000_t202" alt="Interné" style="position:absolute;left:0;text-align:left;margin-left:0;margin-top:0;width:50.75pt;height:29.65pt;z-index:25166233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" filled="f" stroked="f">
              <v:textbox style="mso-fit-shape-to-text:t" inset="20pt,0,0,15pt">
                <w:txbxContent>
                  <w:p w14:paraId="7B184FD2" w14:textId="6EBB201A" w:rsidR="00244345" w:rsidRPr="00244345" w:rsidRDefault="00244345" w:rsidP="00244345">
                    <w:pPr>
                      <w:rPr>
                        <w:rFonts w:ascii="Aptos" w:eastAsia="Aptos" w:hAnsi="Aptos" w:cs="Aptos"/>
                        <w:noProof/>
                        <w:color w:val="000000"/>
                        <w:szCs w:val="20"/>
                      </w:rPr>
                    </w:pPr>
                    <w:r w:rsidRPr="00244345">
                      <w:rPr>
                        <w:rFonts w:ascii="Aptos" w:eastAsia="Aptos" w:hAnsi="Aptos" w:cs="Aptos"/>
                        <w:noProof/>
                        <w:color w:val="000000"/>
                        <w:szCs w:val="20"/>
                      </w:rPr>
                      <w:t>Interné</w:t>
                    </w:r>
                  </w:p>
                </w:txbxContent>
              </v:textbox>
              <w10:wrap anchorx="page" anchory="page"/>
            </v:shape>
          </w:pict>
        </mc:Fallback>
      </mc:AlternateContent>
    </w:r>
  </w:p>
  <w:p w14:paraId="22797E18" w14:textId="77777777" w:rsidR="008B2B20" w:rsidRPr="00DD395E" w:rsidRDefault="008B2B20" w:rsidP="008303BF">
    <w:pPr>
      <w:pStyle w:val="CEAFooterauthorinfo"/>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6CDE" w14:textId="77777777" w:rsidR="00E60918" w:rsidRDefault="00E60918" w:rsidP="0016089A">
      <w:pPr>
        <w:spacing w:line="240" w:lineRule="auto"/>
      </w:pPr>
      <w:r>
        <w:separator/>
      </w:r>
    </w:p>
  </w:footnote>
  <w:footnote w:type="continuationSeparator" w:id="0">
    <w:p w14:paraId="2D6E633D" w14:textId="77777777" w:rsidR="00E60918" w:rsidRDefault="00E60918" w:rsidP="00160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DB8D" w14:textId="77777777" w:rsidR="00CB7858" w:rsidRPr="000846C0" w:rsidRDefault="00CB7858" w:rsidP="000846C0">
    <w:pPr>
      <w:pStyle w:val="Noparagraphstyle"/>
      <w:jc w:val="right"/>
      <w:rPr>
        <w:sz w:val="18"/>
        <w:szCs w:val="18"/>
      </w:rPr>
    </w:pPr>
  </w:p>
  <w:p w14:paraId="74718C28" w14:textId="77777777" w:rsidR="00CB7858" w:rsidRPr="00CE6BD9" w:rsidRDefault="001C366D" w:rsidP="000846C0">
    <w:pPr>
      <w:pStyle w:val="Noparagraphstyle"/>
      <w:jc w:val="right"/>
      <w:rPr>
        <w:rFonts w:ascii="Arial" w:hAnsi="Arial" w:cs="Arial"/>
        <w:i/>
        <w:iCs/>
        <w:color w:val="034EA2"/>
      </w:rPr>
    </w:pPr>
    <w:r>
      <w:tab/>
    </w:r>
  </w:p>
  <w:p w14:paraId="431AD5DD" w14:textId="77777777" w:rsidR="00CB7858" w:rsidRDefault="001C366D" w:rsidP="005C0D74">
    <w:pPr>
      <w:pStyle w:val="Hlavika"/>
      <w:tabs>
        <w:tab w:val="clear" w:pos="4320"/>
        <w:tab w:val="clear" w:pos="8640"/>
        <w:tab w:val="center" w:pos="0"/>
        <w:tab w:val="right" w:pos="10440"/>
      </w:tabs>
      <w:jc w:val="right"/>
      <w:rPr>
        <w:b/>
        <w:color w:val="034EA2"/>
        <w:sz w:val="40"/>
        <w:szCs w:val="40"/>
      </w:rPr>
    </w:pPr>
    <w:r w:rsidRPr="00763D6E">
      <w:rPr>
        <w:b/>
        <w:noProof/>
        <w:sz w:val="40"/>
        <w:szCs w:val="40"/>
        <w:lang w:val="en-US"/>
      </w:rPr>
      <w:drawing>
        <wp:anchor distT="0" distB="0" distL="114300" distR="114300" simplePos="0" relativeHeight="251658240"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304706740"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778B5886" w14:textId="77777777" w:rsidR="00CB7858" w:rsidRDefault="00CB7858" w:rsidP="00665E76">
    <w:pPr>
      <w:pStyle w:val="Noparagraph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7B76" w14:textId="77777777" w:rsidR="00CB7858" w:rsidRPr="00CE615B" w:rsidRDefault="001C366D" w:rsidP="00732B64">
    <w:pPr>
      <w:pStyle w:val="Noparagraphstyle"/>
      <w:tabs>
        <w:tab w:val="left" w:pos="-1800"/>
      </w:tabs>
      <w:jc w:val="right"/>
      <w:rPr>
        <w:rFonts w:ascii="Verdana" w:hAnsi="Verdana"/>
        <w:sz w:val="22"/>
        <w:szCs w:val="22"/>
      </w:rPr>
    </w:pPr>
    <w:r w:rsidRPr="00CE615B">
      <w:rPr>
        <w:rFonts w:ascii="Verdana" w:hAnsi="Verdana"/>
        <w:sz w:val="18"/>
        <w:szCs w:val="18"/>
      </w:rPr>
      <w:br/>
    </w:r>
  </w:p>
  <w:p w14:paraId="0DB4CF59" w14:textId="7DE05A54" w:rsidR="00CB7858" w:rsidRPr="00CF35FD" w:rsidRDefault="001B3EA9" w:rsidP="004361E4">
    <w:pPr>
      <w:pStyle w:val="Noparagraphstyle"/>
      <w:tabs>
        <w:tab w:val="left" w:pos="-1800"/>
      </w:tabs>
      <w:jc w:val="right"/>
      <w:rPr>
        <w:b/>
        <w:color w:val="002957"/>
        <w:sz w:val="36"/>
        <w:szCs w:val="36"/>
      </w:rPr>
    </w:pPr>
    <w:r>
      <w:rPr>
        <w:rFonts w:ascii="Verdana" w:hAnsi="Verdana"/>
        <w:color w:val="002957"/>
        <w:sz w:val="36"/>
        <w:szCs w:val="36"/>
      </w:rPr>
      <w:t>Memo for</w:t>
    </w:r>
    <w:r w:rsidR="001C366D" w:rsidRPr="00CF35FD">
      <w:rPr>
        <w:b/>
        <w:noProof/>
        <w:color w:val="002957"/>
        <w:sz w:val="36"/>
        <w:szCs w:val="36"/>
        <w:lang w:val="en-US"/>
      </w:rPr>
      <w:drawing>
        <wp:anchor distT="0" distB="0" distL="114300" distR="114300" simplePos="0" relativeHeight="251658241"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169801898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4361E4">
      <w:rPr>
        <w:rFonts w:ascii="Verdana" w:hAnsi="Verdana"/>
        <w:color w:val="002957"/>
        <w:sz w:val="36"/>
        <w:szCs w:val="36"/>
      </w:rPr>
      <w:t xml:space="preserve"> information</w:t>
    </w:r>
  </w:p>
  <w:p w14:paraId="6C833C81" w14:textId="2CBC8E84" w:rsidR="00875154" w:rsidRDefault="00875154" w:rsidP="00875154">
    <w:pPr>
      <w:jc w:val="right"/>
      <w:rPr>
        <w:b/>
        <w:i/>
        <w:color w:val="002957"/>
        <w:sz w:val="32"/>
        <w:szCs w:val="32"/>
      </w:rPr>
    </w:pPr>
  </w:p>
  <w:p w14:paraId="01B52364" w14:textId="77777777" w:rsidR="00CB7858" w:rsidRPr="002A5F53" w:rsidRDefault="00CB7858" w:rsidP="00732B64">
    <w:pPr>
      <w:pStyle w:val="CEADocumentTitle"/>
      <w:tabs>
        <w:tab w:val="clear" w:pos="10440"/>
      </w:tabs>
      <w:rPr>
        <w:b w:val="0"/>
        <w:color w:val="002957"/>
        <w:sz w:val="36"/>
        <w:szCs w:val="36"/>
      </w:rPr>
    </w:pPr>
  </w:p>
  <w:p w14:paraId="1D1B76FE" w14:textId="77777777" w:rsidR="00BB76FB" w:rsidRPr="00CE6BD9" w:rsidRDefault="00BB76FB" w:rsidP="00875154">
    <w:pPr>
      <w:pStyle w:val="CEADraft"/>
      <w:jc w:val="both"/>
      <w:rPr>
        <w:color w:val="auto"/>
      </w:rPr>
    </w:pPr>
    <w:bookmarkStart w:id="0" w:name="Draft1st"/>
    <w:bookmarkEnd w:id="0"/>
  </w:p>
  <w:p w14:paraId="41B0A293" w14:textId="77777777" w:rsidR="00CB7858" w:rsidRPr="00CE6BD9" w:rsidRDefault="00CB7858" w:rsidP="00732B64">
    <w:pPr>
      <w:pStyle w:val="BodyText-CEA"/>
      <w:jc w:val="left"/>
    </w:pPr>
    <w:bookmarkStart w:id="1" w:name="Header"/>
  </w:p>
  <w:tbl>
    <w:tblPr>
      <w:tblW w:w="0" w:type="auto"/>
      <w:tblInd w:w="-1026" w:type="dxa"/>
      <w:tblLook w:val="04A0" w:firstRow="1" w:lastRow="0" w:firstColumn="1" w:lastColumn="0" w:noHBand="0" w:noVBand="1"/>
    </w:tblPr>
    <w:tblGrid>
      <w:gridCol w:w="1012"/>
      <w:gridCol w:w="9596"/>
    </w:tblGrid>
    <w:tr w:rsidR="00732B64" w14:paraId="50F6D303" w14:textId="77777777" w:rsidTr="00A05835">
      <w:trPr>
        <w:trHeight w:val="289"/>
      </w:trPr>
      <w:tc>
        <w:tcPr>
          <w:tcW w:w="992" w:type="dxa"/>
        </w:tcPr>
        <w:p w14:paraId="3059CA01" w14:textId="77777777" w:rsidR="00CB7858" w:rsidRPr="00CE6BD9" w:rsidRDefault="001C366D" w:rsidP="00A05835">
          <w:pPr>
            <w:pStyle w:val="CEALabel"/>
            <w:rPr>
              <w:b w:val="0"/>
              <w:color w:val="002957"/>
              <w:sz w:val="17"/>
              <w:szCs w:val="17"/>
            </w:rPr>
          </w:pPr>
          <w:r w:rsidRPr="00CE6BD9">
            <w:rPr>
              <w:b w:val="0"/>
              <w:color w:val="002957"/>
              <w:sz w:val="17"/>
              <w:szCs w:val="17"/>
            </w:rPr>
            <w:t>To:</w:t>
          </w:r>
        </w:p>
      </w:tc>
      <w:tc>
        <w:tcPr>
          <w:tcW w:w="9837" w:type="dxa"/>
        </w:tcPr>
        <w:p w14:paraId="7FA751B7" w14:textId="4B763EF2" w:rsidR="00CB7858" w:rsidRPr="001D1C85" w:rsidRDefault="00610C71" w:rsidP="004A40C4">
          <w:pPr>
            <w:ind w:left="-90"/>
            <w:jc w:val="left"/>
            <w:rPr>
              <w:color w:val="002957"/>
              <w:sz w:val="17"/>
              <w:szCs w:val="17"/>
            </w:rPr>
          </w:pPr>
          <w:r>
            <w:rPr>
              <w:color w:val="002957"/>
              <w:sz w:val="17"/>
              <w:szCs w:val="17"/>
            </w:rPr>
            <w:t>Prudential Working group</w:t>
          </w:r>
        </w:p>
      </w:tc>
    </w:tr>
    <w:tr w:rsidR="00732B64" w14:paraId="1B5225C1" w14:textId="77777777" w:rsidTr="00A05835">
      <w:trPr>
        <w:trHeight w:hRule="exact" w:val="288"/>
      </w:trPr>
      <w:tc>
        <w:tcPr>
          <w:tcW w:w="992" w:type="dxa"/>
          <w:vAlign w:val="center"/>
        </w:tcPr>
        <w:p w14:paraId="280A0BE8" w14:textId="77777777" w:rsidR="00CB7858" w:rsidRPr="00CE6BD9" w:rsidRDefault="001C366D" w:rsidP="00A05835">
          <w:pPr>
            <w:pStyle w:val="CEALabel"/>
            <w:rPr>
              <w:b w:val="0"/>
              <w:color w:val="002957"/>
              <w:sz w:val="17"/>
              <w:szCs w:val="17"/>
            </w:rPr>
          </w:pPr>
          <w:r w:rsidRPr="00CE6BD9">
            <w:rPr>
              <w:b w:val="0"/>
              <w:color w:val="002957"/>
              <w:sz w:val="17"/>
              <w:szCs w:val="17"/>
            </w:rPr>
            <w:t>From:</w:t>
          </w:r>
        </w:p>
      </w:tc>
      <w:tc>
        <w:tcPr>
          <w:tcW w:w="9837" w:type="dxa"/>
        </w:tcPr>
        <w:p w14:paraId="247799C0" w14:textId="7D14A663" w:rsidR="00CB7858" w:rsidRPr="001D1C85" w:rsidRDefault="00610C71" w:rsidP="004A40C4">
          <w:pPr>
            <w:tabs>
              <w:tab w:val="left" w:pos="1755"/>
            </w:tabs>
            <w:ind w:left="-90"/>
            <w:jc w:val="left"/>
            <w:rPr>
              <w:color w:val="002957"/>
              <w:sz w:val="17"/>
              <w:szCs w:val="17"/>
            </w:rPr>
          </w:pPr>
          <w:bookmarkStart w:id="2" w:name="AuthSep"/>
          <w:bookmarkEnd w:id="2"/>
          <w:r>
            <w:rPr>
              <w:color w:val="002957"/>
              <w:sz w:val="17"/>
              <w:szCs w:val="17"/>
            </w:rPr>
            <w:t>Prudential team</w:t>
          </w:r>
          <w:r w:rsidR="00923157">
            <w:rPr>
              <w:color w:val="002957"/>
              <w:sz w:val="17"/>
              <w:szCs w:val="17"/>
            </w:rPr>
            <w:t xml:space="preserve"> </w:t>
          </w:r>
        </w:p>
      </w:tc>
    </w:tr>
    <w:tr w:rsidR="00EF7C50" w14:paraId="774D3266" w14:textId="77777777" w:rsidTr="00A05835">
      <w:trPr>
        <w:trHeight w:hRule="exact" w:val="288"/>
      </w:trPr>
      <w:tc>
        <w:tcPr>
          <w:tcW w:w="992" w:type="dxa"/>
          <w:vAlign w:val="center"/>
        </w:tcPr>
        <w:p w14:paraId="397F3022" w14:textId="77777777" w:rsidR="00CB7858" w:rsidRPr="00CE6BD9" w:rsidRDefault="001C366D" w:rsidP="00A05835">
          <w:pPr>
            <w:pStyle w:val="CEALabel"/>
            <w:rPr>
              <w:b w:val="0"/>
              <w:color w:val="002957"/>
              <w:sz w:val="17"/>
              <w:szCs w:val="17"/>
            </w:rPr>
          </w:pPr>
          <w:r w:rsidRPr="00CE6BD9">
            <w:rPr>
              <w:b w:val="0"/>
              <w:color w:val="002957"/>
              <w:sz w:val="17"/>
              <w:szCs w:val="17"/>
            </w:rPr>
            <w:t>cc:</w:t>
          </w:r>
        </w:p>
      </w:tc>
      <w:tc>
        <w:tcPr>
          <w:tcW w:w="9837" w:type="dxa"/>
        </w:tcPr>
        <w:p w14:paraId="5F666C14" w14:textId="3A42F153" w:rsidR="00CB7858" w:rsidRPr="001D1C85" w:rsidRDefault="00CB7858" w:rsidP="004A40C4">
          <w:pPr>
            <w:ind w:left="-90"/>
            <w:jc w:val="left"/>
            <w:rPr>
              <w:color w:val="002957"/>
              <w:sz w:val="17"/>
              <w:szCs w:val="17"/>
            </w:rPr>
          </w:pPr>
        </w:p>
      </w:tc>
    </w:tr>
    <w:tr w:rsidR="00732B64" w14:paraId="15FE1C48" w14:textId="77777777" w:rsidTr="00A05835">
      <w:trPr>
        <w:trHeight w:hRule="exact" w:val="288"/>
      </w:trPr>
      <w:tc>
        <w:tcPr>
          <w:tcW w:w="992" w:type="dxa"/>
          <w:vAlign w:val="center"/>
        </w:tcPr>
        <w:p w14:paraId="67936BE9" w14:textId="77777777" w:rsidR="00CB7858" w:rsidRPr="00CE6BD9" w:rsidRDefault="001C366D" w:rsidP="00A05835">
          <w:pPr>
            <w:pStyle w:val="CEALabel"/>
            <w:rPr>
              <w:b w:val="0"/>
              <w:color w:val="002957"/>
              <w:sz w:val="17"/>
              <w:szCs w:val="17"/>
            </w:rPr>
          </w:pPr>
          <w:r w:rsidRPr="00CE6BD9">
            <w:rPr>
              <w:b w:val="0"/>
              <w:color w:val="002957"/>
              <w:sz w:val="17"/>
              <w:szCs w:val="17"/>
            </w:rPr>
            <w:t>Date:</w:t>
          </w:r>
        </w:p>
      </w:tc>
      <w:tc>
        <w:tcPr>
          <w:tcW w:w="9837" w:type="dxa"/>
        </w:tcPr>
        <w:p w14:paraId="1D9FC966" w14:textId="5C2CCBD2" w:rsidR="00CB7858" w:rsidRPr="001D1C85" w:rsidRDefault="0068325E" w:rsidP="004A40C4">
          <w:pPr>
            <w:ind w:left="-90"/>
            <w:jc w:val="left"/>
            <w:rPr>
              <w:color w:val="002957"/>
              <w:sz w:val="17"/>
              <w:szCs w:val="17"/>
            </w:rPr>
          </w:pPr>
          <w:r>
            <w:rPr>
              <w:color w:val="002957"/>
              <w:sz w:val="17"/>
              <w:szCs w:val="17"/>
            </w:rPr>
            <w:t>13-01-2026</w:t>
          </w:r>
        </w:p>
      </w:tc>
    </w:tr>
    <w:tr w:rsidR="00732B64" w14:paraId="71D95BA4" w14:textId="77777777" w:rsidTr="00A05835">
      <w:trPr>
        <w:trHeight w:hRule="exact" w:val="288"/>
      </w:trPr>
      <w:tc>
        <w:tcPr>
          <w:tcW w:w="992" w:type="dxa"/>
          <w:vAlign w:val="center"/>
        </w:tcPr>
        <w:p w14:paraId="508FC1E8" w14:textId="77777777" w:rsidR="00CB7858" w:rsidRPr="00CE6BD9" w:rsidRDefault="001C366D" w:rsidP="00A05835">
          <w:pPr>
            <w:pStyle w:val="CEALabel"/>
            <w:rPr>
              <w:b w:val="0"/>
              <w:color w:val="002957"/>
              <w:sz w:val="17"/>
              <w:szCs w:val="17"/>
            </w:rPr>
          </w:pPr>
          <w:r w:rsidRPr="00CE6BD9">
            <w:rPr>
              <w:b w:val="0"/>
              <w:color w:val="002957"/>
              <w:sz w:val="17"/>
              <w:szCs w:val="17"/>
            </w:rPr>
            <w:t>Reference:</w:t>
          </w:r>
        </w:p>
      </w:tc>
      <w:tc>
        <w:tcPr>
          <w:tcW w:w="9837" w:type="dxa"/>
        </w:tcPr>
        <w:sdt>
          <w:sdtPr>
            <w:rPr>
              <w:color w:val="002957"/>
              <w:sz w:val="17"/>
              <w:szCs w:val="17"/>
            </w:rPr>
            <w:id w:val="-1487076316"/>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16BE8AC2-BC04-484A-AE5F-6753D3DE5469}"/>
          </w:sdtPr>
          <w:sdtEndPr/>
          <w:sdtContent>
            <w:p w14:paraId="360ED39F" w14:textId="5B3CD56C" w:rsidR="00CB7858" w:rsidRPr="001D1C85" w:rsidRDefault="00FE35C0" w:rsidP="004A40C4">
              <w:pPr>
                <w:ind w:left="-90"/>
                <w:jc w:val="left"/>
                <w:rPr>
                  <w:color w:val="002957"/>
                  <w:sz w:val="17"/>
                  <w:szCs w:val="17"/>
                </w:rPr>
              </w:pPr>
              <w:r w:rsidRPr="008C7EEE">
                <w:rPr>
                  <w:rStyle w:val="Zstupntext"/>
                </w:rPr>
                <w:t>Click or tap here to enter text.</w:t>
              </w:r>
            </w:p>
          </w:sdtContent>
        </w:sdt>
      </w:tc>
    </w:tr>
    <w:tr w:rsidR="00732B64" w14:paraId="0277A5AC" w14:textId="7C28D1F2" w:rsidTr="00A05835">
      <w:trPr>
        <w:trHeight w:hRule="exact" w:val="288"/>
      </w:trPr>
      <w:tc>
        <w:tcPr>
          <w:tcW w:w="992" w:type="dxa"/>
          <w:vAlign w:val="center"/>
        </w:tcPr>
        <w:p w14:paraId="3A9D9D76" w14:textId="77777777" w:rsidR="00CB7858" w:rsidRPr="00CE6BD9" w:rsidRDefault="00CB7858" w:rsidP="00A05835">
          <w:pPr>
            <w:pStyle w:val="CEALabel"/>
            <w:rPr>
              <w:b w:val="0"/>
              <w:color w:val="002957"/>
              <w:sz w:val="17"/>
              <w:szCs w:val="17"/>
            </w:rPr>
          </w:pPr>
        </w:p>
      </w:tc>
      <w:tc>
        <w:tcPr>
          <w:tcW w:w="9837" w:type="dxa"/>
        </w:tcPr>
        <w:p w14:paraId="4BAE8D83" w14:textId="77777777" w:rsidR="00CB7858" w:rsidRPr="001D1C85" w:rsidRDefault="00CB7858" w:rsidP="004A40C4">
          <w:pPr>
            <w:ind w:left="-90"/>
            <w:jc w:val="left"/>
            <w:rPr>
              <w:color w:val="002957"/>
              <w:sz w:val="17"/>
              <w:szCs w:val="17"/>
            </w:rPr>
          </w:pPr>
        </w:p>
      </w:tc>
    </w:tr>
    <w:tr w:rsidR="00732B64" w14:paraId="3C6A10CF" w14:textId="77777777" w:rsidTr="00A05835">
      <w:trPr>
        <w:trHeight w:hRule="exact" w:val="288"/>
      </w:trPr>
      <w:tc>
        <w:tcPr>
          <w:tcW w:w="992" w:type="dxa"/>
          <w:vAlign w:val="center"/>
        </w:tcPr>
        <w:p w14:paraId="431B6B1C" w14:textId="77777777" w:rsidR="00CB7858" w:rsidRPr="00CE6BD9" w:rsidRDefault="001C366D" w:rsidP="00A05835">
          <w:pPr>
            <w:pStyle w:val="CEALabel"/>
            <w:rPr>
              <w:b w:val="0"/>
              <w:color w:val="002957"/>
              <w:sz w:val="17"/>
              <w:szCs w:val="17"/>
            </w:rPr>
          </w:pPr>
          <w:r w:rsidRPr="00CE6BD9">
            <w:rPr>
              <w:b w:val="0"/>
              <w:color w:val="002957"/>
              <w:sz w:val="17"/>
              <w:szCs w:val="17"/>
            </w:rPr>
            <w:t>Subject:</w:t>
          </w:r>
        </w:p>
      </w:tc>
      <w:tc>
        <w:tcPr>
          <w:tcW w:w="9837" w:type="dxa"/>
        </w:tcPr>
        <w:p w14:paraId="0DE8F0C9" w14:textId="290AC18E" w:rsidR="00CB7858" w:rsidRPr="00CE6BD9" w:rsidRDefault="00F11993" w:rsidP="004A40C4">
          <w:pPr>
            <w:pStyle w:val="CEASubjectLine"/>
            <w:ind w:left="-90"/>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DD60C2">
                <w:rPr>
                  <w:b w:val="0"/>
                  <w:color w:val="002957"/>
                  <w:sz w:val="17"/>
                  <w:szCs w:val="17"/>
                </w:rPr>
                <w:t>Survey - Solvency II Review - Implementation member state options</w:t>
              </w:r>
            </w:sdtContent>
          </w:sdt>
          <w:bookmarkEnd w:id="1"/>
        </w:p>
      </w:tc>
    </w:tr>
  </w:tbl>
  <w:p w14:paraId="4C139B1B" w14:textId="77777777" w:rsidR="00CB7858" w:rsidRPr="00CE6BD9" w:rsidRDefault="00CB7858" w:rsidP="00732B64">
    <w:pPr>
      <w:pStyle w:val="Noparagraphstyle"/>
      <w:rPr>
        <w:rFonts w:ascii="Verdana" w:hAnsi="Verdana" w:cs="Arial"/>
        <w:i/>
        <w:iCs/>
        <w:color w:val="034EA2"/>
      </w:rPr>
    </w:pPr>
  </w:p>
  <w:p w14:paraId="273246B5" w14:textId="77777777" w:rsidR="00CB7858" w:rsidRDefault="00CB785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481E" w14:textId="77777777" w:rsidR="00FE35C0" w:rsidRPr="00CE615B" w:rsidRDefault="00FE35C0" w:rsidP="00732B64">
    <w:pPr>
      <w:pStyle w:val="Noparagraphstyle"/>
      <w:tabs>
        <w:tab w:val="left" w:pos="-1800"/>
      </w:tabs>
      <w:jc w:val="right"/>
      <w:rPr>
        <w:rFonts w:ascii="Verdana" w:hAnsi="Verdana"/>
        <w:sz w:val="22"/>
        <w:szCs w:val="22"/>
      </w:rPr>
    </w:pPr>
    <w:r w:rsidRPr="00CE615B">
      <w:rPr>
        <w:rFonts w:ascii="Verdana" w:hAnsi="Verdana"/>
        <w:sz w:val="18"/>
        <w:szCs w:val="18"/>
      </w:rPr>
      <w:br/>
    </w:r>
  </w:p>
  <w:p w14:paraId="7EEC92DE" w14:textId="77777777" w:rsidR="00FE35C0" w:rsidRPr="00CF35FD" w:rsidRDefault="00FE35C0" w:rsidP="004361E4">
    <w:pPr>
      <w:pStyle w:val="Noparagraphstyle"/>
      <w:tabs>
        <w:tab w:val="left" w:pos="-1800"/>
      </w:tabs>
      <w:jc w:val="right"/>
      <w:rPr>
        <w:b/>
        <w:color w:val="002957"/>
        <w:sz w:val="36"/>
        <w:szCs w:val="36"/>
      </w:rPr>
    </w:pPr>
    <w:r>
      <w:rPr>
        <w:rFonts w:ascii="Verdana" w:hAnsi="Verdana"/>
        <w:color w:val="002957"/>
        <w:sz w:val="36"/>
        <w:szCs w:val="36"/>
      </w:rPr>
      <w:t>Memo for</w:t>
    </w:r>
    <w:r w:rsidRPr="00CF35FD">
      <w:rPr>
        <w:b/>
        <w:noProof/>
        <w:color w:val="002957"/>
        <w:sz w:val="36"/>
        <w:szCs w:val="36"/>
        <w:lang w:val="en-US"/>
      </w:rPr>
      <w:drawing>
        <wp:anchor distT="0" distB="0" distL="114300" distR="114300" simplePos="0" relativeHeight="251658242" behindDoc="0" locked="0" layoutInCell="1" allowOverlap="1" wp14:anchorId="06F999EE" wp14:editId="3092FAE1">
          <wp:simplePos x="0" y="0"/>
          <wp:positionH relativeFrom="page">
            <wp:posOffset>523875</wp:posOffset>
          </wp:positionH>
          <wp:positionV relativeFrom="page">
            <wp:posOffset>523875</wp:posOffset>
          </wp:positionV>
          <wp:extent cx="1457325" cy="895350"/>
          <wp:effectExtent l="19050" t="0" r="0" b="0"/>
          <wp:wrapSquare wrapText="bothSides"/>
          <wp:docPr id="63168434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Pr>
        <w:rFonts w:ascii="Verdana" w:hAnsi="Verdana"/>
        <w:color w:val="002957"/>
        <w:sz w:val="36"/>
        <w:szCs w:val="36"/>
      </w:rPr>
      <w:t xml:space="preserve"> information</w:t>
    </w:r>
  </w:p>
  <w:p w14:paraId="54CB4509" w14:textId="77777777" w:rsidR="00FE35C0" w:rsidRDefault="00FE35C0" w:rsidP="00875154">
    <w:pPr>
      <w:jc w:val="right"/>
      <w:rPr>
        <w:b/>
        <w:i/>
        <w:color w:val="002957"/>
        <w:sz w:val="32"/>
        <w:szCs w:val="32"/>
      </w:rPr>
    </w:pPr>
  </w:p>
  <w:p w14:paraId="152443D0" w14:textId="77777777" w:rsidR="00FE35C0" w:rsidRPr="002A5F53" w:rsidRDefault="00FE35C0">
    <w:pPr>
      <w:pStyle w:val="CEADocumentTitle"/>
      <w:tabs>
        <w:tab w:val="clear" w:pos="10440"/>
      </w:tabs>
      <w:rPr>
        <w:b w:val="0"/>
        <w:color w:val="002957"/>
        <w:sz w:val="36"/>
        <w:szCs w:val="36"/>
      </w:rPr>
    </w:pPr>
  </w:p>
  <w:p w14:paraId="28F62BC3" w14:textId="77777777" w:rsidR="00FE35C0" w:rsidRDefault="00FE35C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EA - Bullets Rounded Squares_BulletLevel1_forMS"/>
      </v:shape>
    </w:pict>
  </w:numPicBullet>
  <w:numPicBullet w:numPicBulletId="1">
    <w:pict>
      <v:shape id="_x0000_i1026" type="#_x0000_t75" style="width:7.5pt;height:7.5pt" o:bullet="t">
        <v:imagedata r:id="rId2" o:title="CEA - Bullets Rounded Squares_BulletLevel2_forMS"/>
      </v:shape>
    </w:pict>
  </w:numPicBullet>
  <w:numPicBullet w:numPicBulletId="2">
    <w:pict>
      <v:shape id="_x0000_i1027" type="#_x0000_t75" style="width:9pt;height:9pt" o:bullet="t">
        <v:imagedata r:id="rId3" o:title="CEA - Bullets Rounded Squares_BulletLevel3_forMS"/>
      </v:shape>
    </w:pict>
  </w:numPicBullet>
  <w:abstractNum w:abstractNumId="0" w15:restartNumberingAfterBreak="0">
    <w:nsid w:val="1054071E"/>
    <w:multiLevelType w:val="hybridMultilevel"/>
    <w:tmpl w:val="87F2D9AA"/>
    <w:lvl w:ilvl="0" w:tplc="2FD42A22">
      <w:start w:val="165"/>
      <w:numFmt w:val="bullet"/>
      <w:pStyle w:val="IEBullet-Level2"/>
      <w:lvlText w:val=""/>
      <w:lvlJc w:val="left"/>
      <w:pPr>
        <w:ind w:left="1800" w:hanging="360"/>
      </w:pPr>
      <w:rPr>
        <w:rFonts w:ascii="Wingdings" w:hAnsi="Wingdings" w:hint="default"/>
        <w:color w:val="82C55B"/>
        <w:position w:val="-2"/>
        <w:sz w:val="22"/>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CAB05164"/>
    <w:lvl w:ilvl="0" w:tplc="20C482DC">
      <w:start w:val="165"/>
      <w:numFmt w:val="bullet"/>
      <w:pStyle w:val="IEBullet-Level3"/>
      <w:lvlText w:val=""/>
      <w:lvlJc w:val="left"/>
      <w:pPr>
        <w:ind w:left="2673" w:hanging="360"/>
      </w:pPr>
      <w:rPr>
        <w:rFonts w:ascii="Wingdings" w:hAnsi="Wingdings" w:hint="default"/>
        <w:color w:val="002957"/>
        <w:position w:val="-2"/>
        <w:sz w:val="18"/>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50964508"/>
    <w:multiLevelType w:val="multilevel"/>
    <w:tmpl w:val="F38E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9E2B88"/>
    <w:multiLevelType w:val="hybridMultilevel"/>
    <w:tmpl w:val="BB52DF06"/>
    <w:lvl w:ilvl="0" w:tplc="AB7A1D0C">
      <w:start w:val="165"/>
      <w:numFmt w:val="bullet"/>
      <w:pStyle w:val="IEBullet-Level1"/>
      <w:lvlText w:val=""/>
      <w:lvlJc w:val="left"/>
      <w:pPr>
        <w:ind w:left="720" w:hanging="360"/>
      </w:pPr>
      <w:rPr>
        <w:rFonts w:ascii="Wingdings" w:hAnsi="Wingdings" w:hint="default"/>
        <w:color w:val="002957"/>
        <w:position w:val="-2"/>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2590028">
    <w:abstractNumId w:val="3"/>
  </w:num>
  <w:num w:numId="2" w16cid:durableId="28268374">
    <w:abstractNumId w:val="0"/>
  </w:num>
  <w:num w:numId="3" w16cid:durableId="658657660">
    <w:abstractNumId w:val="1"/>
  </w:num>
  <w:num w:numId="4" w16cid:durableId="343552453">
    <w:abstractNumId w:val="3"/>
  </w:num>
  <w:num w:numId="5" w16cid:durableId="533348462">
    <w:abstractNumId w:val="0"/>
  </w:num>
  <w:num w:numId="6" w16cid:durableId="116409788">
    <w:abstractNumId w:val="1"/>
  </w:num>
  <w:num w:numId="7" w16cid:durableId="1971786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003BD"/>
    <w:rsid w:val="0001797A"/>
    <w:rsid w:val="00091055"/>
    <w:rsid w:val="00095D27"/>
    <w:rsid w:val="000D061F"/>
    <w:rsid w:val="000E550B"/>
    <w:rsid w:val="001208A8"/>
    <w:rsid w:val="00120DF4"/>
    <w:rsid w:val="0014319B"/>
    <w:rsid w:val="001441FB"/>
    <w:rsid w:val="00145666"/>
    <w:rsid w:val="0016089A"/>
    <w:rsid w:val="00164389"/>
    <w:rsid w:val="0016561A"/>
    <w:rsid w:val="00165AC7"/>
    <w:rsid w:val="00167CE8"/>
    <w:rsid w:val="00173AF6"/>
    <w:rsid w:val="00186A91"/>
    <w:rsid w:val="00195B17"/>
    <w:rsid w:val="001969B9"/>
    <w:rsid w:val="001B3EA9"/>
    <w:rsid w:val="001C366D"/>
    <w:rsid w:val="001E1BFA"/>
    <w:rsid w:val="001F0CF6"/>
    <w:rsid w:val="001F18B8"/>
    <w:rsid w:val="00211203"/>
    <w:rsid w:val="00220CAC"/>
    <w:rsid w:val="002219F2"/>
    <w:rsid w:val="00244345"/>
    <w:rsid w:val="00296BA5"/>
    <w:rsid w:val="002A15F4"/>
    <w:rsid w:val="002A6AB0"/>
    <w:rsid w:val="002B32FD"/>
    <w:rsid w:val="002C28DB"/>
    <w:rsid w:val="002D5146"/>
    <w:rsid w:val="002E448F"/>
    <w:rsid w:val="002F4CE1"/>
    <w:rsid w:val="00305888"/>
    <w:rsid w:val="00310E43"/>
    <w:rsid w:val="00311DD0"/>
    <w:rsid w:val="00312ECE"/>
    <w:rsid w:val="00320D8E"/>
    <w:rsid w:val="00353714"/>
    <w:rsid w:val="00355872"/>
    <w:rsid w:val="00361190"/>
    <w:rsid w:val="003838CB"/>
    <w:rsid w:val="0039100B"/>
    <w:rsid w:val="003974F1"/>
    <w:rsid w:val="003C4ABD"/>
    <w:rsid w:val="003D52FC"/>
    <w:rsid w:val="003E31B8"/>
    <w:rsid w:val="00424E3D"/>
    <w:rsid w:val="004361E4"/>
    <w:rsid w:val="00440FEE"/>
    <w:rsid w:val="004422F0"/>
    <w:rsid w:val="004567EF"/>
    <w:rsid w:val="00470537"/>
    <w:rsid w:val="00482856"/>
    <w:rsid w:val="004879F6"/>
    <w:rsid w:val="004956AA"/>
    <w:rsid w:val="004A40C4"/>
    <w:rsid w:val="004B6675"/>
    <w:rsid w:val="004C39AA"/>
    <w:rsid w:val="004C72D7"/>
    <w:rsid w:val="004D2FA2"/>
    <w:rsid w:val="004D6E3B"/>
    <w:rsid w:val="004F5A07"/>
    <w:rsid w:val="0051557B"/>
    <w:rsid w:val="005329AA"/>
    <w:rsid w:val="005354C7"/>
    <w:rsid w:val="0054537A"/>
    <w:rsid w:val="00560FB7"/>
    <w:rsid w:val="005740A2"/>
    <w:rsid w:val="005B0D87"/>
    <w:rsid w:val="005B2699"/>
    <w:rsid w:val="005B40C4"/>
    <w:rsid w:val="005C7563"/>
    <w:rsid w:val="005F16C2"/>
    <w:rsid w:val="006028B1"/>
    <w:rsid w:val="00610C71"/>
    <w:rsid w:val="00624939"/>
    <w:rsid w:val="006316F8"/>
    <w:rsid w:val="00634941"/>
    <w:rsid w:val="00641449"/>
    <w:rsid w:val="00660139"/>
    <w:rsid w:val="00666A0D"/>
    <w:rsid w:val="0068325E"/>
    <w:rsid w:val="0068406E"/>
    <w:rsid w:val="0069088C"/>
    <w:rsid w:val="00694720"/>
    <w:rsid w:val="006B6D89"/>
    <w:rsid w:val="006D7516"/>
    <w:rsid w:val="006E08CC"/>
    <w:rsid w:val="006E2A98"/>
    <w:rsid w:val="006F05A5"/>
    <w:rsid w:val="00705BED"/>
    <w:rsid w:val="00717FA3"/>
    <w:rsid w:val="0075104D"/>
    <w:rsid w:val="007649E7"/>
    <w:rsid w:val="00767411"/>
    <w:rsid w:val="00773632"/>
    <w:rsid w:val="00776725"/>
    <w:rsid w:val="00782038"/>
    <w:rsid w:val="00784684"/>
    <w:rsid w:val="00791D25"/>
    <w:rsid w:val="007A65C7"/>
    <w:rsid w:val="007B032E"/>
    <w:rsid w:val="007B5B03"/>
    <w:rsid w:val="007D0968"/>
    <w:rsid w:val="007E191E"/>
    <w:rsid w:val="008021B5"/>
    <w:rsid w:val="00817D24"/>
    <w:rsid w:val="0082235C"/>
    <w:rsid w:val="0083203B"/>
    <w:rsid w:val="00836D1B"/>
    <w:rsid w:val="00840667"/>
    <w:rsid w:val="00867562"/>
    <w:rsid w:val="00871ADA"/>
    <w:rsid w:val="00875154"/>
    <w:rsid w:val="0089626C"/>
    <w:rsid w:val="008A7972"/>
    <w:rsid w:val="008B15CC"/>
    <w:rsid w:val="008B2B20"/>
    <w:rsid w:val="008C0E13"/>
    <w:rsid w:val="008C3233"/>
    <w:rsid w:val="008C452F"/>
    <w:rsid w:val="008E38C2"/>
    <w:rsid w:val="00904FEA"/>
    <w:rsid w:val="009129CC"/>
    <w:rsid w:val="00923157"/>
    <w:rsid w:val="00934D20"/>
    <w:rsid w:val="009832AC"/>
    <w:rsid w:val="00991925"/>
    <w:rsid w:val="009979DC"/>
    <w:rsid w:val="009A3A22"/>
    <w:rsid w:val="009A41FC"/>
    <w:rsid w:val="009A7082"/>
    <w:rsid w:val="009B0956"/>
    <w:rsid w:val="009C463D"/>
    <w:rsid w:val="009E4646"/>
    <w:rsid w:val="00A108DB"/>
    <w:rsid w:val="00A175DA"/>
    <w:rsid w:val="00A5751D"/>
    <w:rsid w:val="00A63735"/>
    <w:rsid w:val="00A82BD9"/>
    <w:rsid w:val="00AB75BF"/>
    <w:rsid w:val="00AC2A32"/>
    <w:rsid w:val="00AC359E"/>
    <w:rsid w:val="00AD08D3"/>
    <w:rsid w:val="00AD439C"/>
    <w:rsid w:val="00B01699"/>
    <w:rsid w:val="00B112C9"/>
    <w:rsid w:val="00B33451"/>
    <w:rsid w:val="00B4721E"/>
    <w:rsid w:val="00B50223"/>
    <w:rsid w:val="00B65B43"/>
    <w:rsid w:val="00B67744"/>
    <w:rsid w:val="00B753BF"/>
    <w:rsid w:val="00B80026"/>
    <w:rsid w:val="00B872F1"/>
    <w:rsid w:val="00BA4C9D"/>
    <w:rsid w:val="00BB76FB"/>
    <w:rsid w:val="00BC1BD7"/>
    <w:rsid w:val="00BC7F55"/>
    <w:rsid w:val="00BD156C"/>
    <w:rsid w:val="00C0076E"/>
    <w:rsid w:val="00C13065"/>
    <w:rsid w:val="00C35B4A"/>
    <w:rsid w:val="00C64EB7"/>
    <w:rsid w:val="00C6773B"/>
    <w:rsid w:val="00C839EE"/>
    <w:rsid w:val="00C9321B"/>
    <w:rsid w:val="00C933FE"/>
    <w:rsid w:val="00CA5AA4"/>
    <w:rsid w:val="00CB7858"/>
    <w:rsid w:val="00CD2298"/>
    <w:rsid w:val="00CD282D"/>
    <w:rsid w:val="00CF2B08"/>
    <w:rsid w:val="00D01EBE"/>
    <w:rsid w:val="00D022CF"/>
    <w:rsid w:val="00D06234"/>
    <w:rsid w:val="00D34C70"/>
    <w:rsid w:val="00D37BEE"/>
    <w:rsid w:val="00D64BF8"/>
    <w:rsid w:val="00D655ED"/>
    <w:rsid w:val="00D6773C"/>
    <w:rsid w:val="00D741FF"/>
    <w:rsid w:val="00D85B2E"/>
    <w:rsid w:val="00D95615"/>
    <w:rsid w:val="00DA2E9F"/>
    <w:rsid w:val="00DA59DB"/>
    <w:rsid w:val="00DB6B8D"/>
    <w:rsid w:val="00DD2A9E"/>
    <w:rsid w:val="00DD395E"/>
    <w:rsid w:val="00DD60C2"/>
    <w:rsid w:val="00E047A3"/>
    <w:rsid w:val="00E135ED"/>
    <w:rsid w:val="00E20C68"/>
    <w:rsid w:val="00E2150C"/>
    <w:rsid w:val="00E50282"/>
    <w:rsid w:val="00E5293A"/>
    <w:rsid w:val="00E5777A"/>
    <w:rsid w:val="00E603E9"/>
    <w:rsid w:val="00E60918"/>
    <w:rsid w:val="00E61E51"/>
    <w:rsid w:val="00E71474"/>
    <w:rsid w:val="00E82344"/>
    <w:rsid w:val="00E91A64"/>
    <w:rsid w:val="00ED6DE9"/>
    <w:rsid w:val="00F01ACD"/>
    <w:rsid w:val="00F11993"/>
    <w:rsid w:val="00F15E1B"/>
    <w:rsid w:val="00F21C1F"/>
    <w:rsid w:val="00F56CFC"/>
    <w:rsid w:val="00F653B0"/>
    <w:rsid w:val="00F8705B"/>
    <w:rsid w:val="00FC1F52"/>
    <w:rsid w:val="00FE35C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BD5F03"/>
  <w15:docId w15:val="{681E05AE-B53D-4A76-A9A4-90BEA291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IEStandardHeading">
    <w:name w:val="IE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IEBullet-Level1">
    <w:name w:val="IE Bullet - Level 1"/>
    <w:basedOn w:val="Normlny"/>
    <w:link w:val="IEBullet-Level1Char"/>
    <w:qFormat/>
    <w:rsid w:val="008C452F"/>
    <w:pPr>
      <w:numPr>
        <w:numId w:val="4"/>
      </w:numPr>
      <w:autoSpaceDE w:val="0"/>
      <w:autoSpaceDN w:val="0"/>
      <w:adjustRightInd w:val="0"/>
    </w:pPr>
    <w:rPr>
      <w:rFonts w:cs="Frutiger LT Std 45 Light"/>
      <w:color w:val="000000"/>
      <w:sz w:val="17"/>
      <w:szCs w:val="20"/>
    </w:rPr>
  </w:style>
  <w:style w:type="paragraph" w:customStyle="1" w:styleId="IEBullet-Level2">
    <w:name w:val="IE Bullet - Level 2"/>
    <w:basedOn w:val="IEBullet-Level1"/>
    <w:next w:val="IEBullet-Level3"/>
    <w:qFormat/>
    <w:rsid w:val="008C452F"/>
    <w:pPr>
      <w:numPr>
        <w:numId w:val="5"/>
      </w:numPr>
    </w:pPr>
  </w:style>
  <w:style w:type="paragraph" w:customStyle="1" w:styleId="IEBullet-Level3">
    <w:name w:val="IE Bullet - Level 3"/>
    <w:basedOn w:val="Normlny"/>
    <w:qFormat/>
    <w:rsid w:val="008C452F"/>
    <w:pPr>
      <w:numPr>
        <w:numId w:val="6"/>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1969B9"/>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969B9"/>
    <w:pPr>
      <w:jc w:val="right"/>
    </w:pPr>
    <w:rPr>
      <w:rFonts w:cs="Frutiger LT Std 55 Roman"/>
      <w:b/>
      <w:color w:val="0032FF"/>
      <w:sz w:val="40"/>
      <w:szCs w:val="40"/>
    </w:rPr>
  </w:style>
  <w:style w:type="paragraph" w:customStyle="1" w:styleId="CEAFootnote">
    <w:name w:val="CEA Footnote"/>
    <w:basedOn w:val="Normlny"/>
    <w:semiHidden/>
    <w:qFormat/>
    <w:rsid w:val="001969B9"/>
    <w:pPr>
      <w:spacing w:line="240" w:lineRule="auto"/>
    </w:pPr>
    <w:rPr>
      <w:sz w:val="16"/>
    </w:rPr>
  </w:style>
  <w:style w:type="character" w:customStyle="1" w:styleId="CEAGraphTitle">
    <w:name w:val="CEA Graph Title"/>
    <w:uiPriority w:val="1"/>
    <w:qFormat/>
    <w:rsid w:val="001969B9"/>
    <w:rPr>
      <w:rFonts w:ascii="Verdana" w:hAnsi="Verdana"/>
      <w:smallCaps w:val="0"/>
      <w:sz w:val="19"/>
      <w:lang w:val="en-GB"/>
    </w:rPr>
  </w:style>
  <w:style w:type="character" w:customStyle="1" w:styleId="CEAGraphX">
    <w:name w:val="CEA Graph X"/>
    <w:uiPriority w:val="1"/>
    <w:qFormat/>
    <w:rsid w:val="001969B9"/>
    <w:rPr>
      <w:rFonts w:ascii="Verdana" w:hAnsi="Verdana"/>
      <w:smallCaps/>
      <w:sz w:val="19"/>
      <w:lang w:val="en-GB"/>
    </w:rPr>
  </w:style>
  <w:style w:type="paragraph" w:customStyle="1" w:styleId="CEAPositionPaperTitle">
    <w:name w:val="CEA Position Paper Title"/>
    <w:basedOn w:val="Normlny"/>
    <w:semiHidden/>
    <w:qFormat/>
    <w:rsid w:val="001969B9"/>
    <w:pPr>
      <w:ind w:left="-27"/>
    </w:pPr>
    <w:rPr>
      <w:b/>
      <w:color w:val="034EA2"/>
      <w:sz w:val="32"/>
      <w:szCs w:val="32"/>
    </w:rPr>
  </w:style>
  <w:style w:type="paragraph" w:customStyle="1" w:styleId="CEAPressReleaseSubtitle">
    <w:name w:val="CEA Press Release Subtitle"/>
    <w:basedOn w:val="Normlny"/>
    <w:semiHidden/>
    <w:qFormat/>
    <w:rsid w:val="001969B9"/>
    <w:rPr>
      <w:sz w:val="22"/>
      <w:szCs w:val="22"/>
    </w:rPr>
  </w:style>
  <w:style w:type="paragraph" w:customStyle="1" w:styleId="CEAPressReleaseTitle">
    <w:name w:val="CEA Press Release Title"/>
    <w:basedOn w:val="Normlny"/>
    <w:semiHidden/>
    <w:qFormat/>
    <w:rsid w:val="001969B9"/>
    <w:pPr>
      <w:autoSpaceDE w:val="0"/>
      <w:autoSpaceDN w:val="0"/>
      <w:adjustRightInd w:val="0"/>
      <w:spacing w:line="240" w:lineRule="auto"/>
    </w:pPr>
    <w:rPr>
      <w:rFonts w:ascii="Frutiger LT Com 45 Light" w:hAnsi="Frutiger LT Com 45 Light"/>
      <w:b/>
      <w:color w:val="034EA2"/>
      <w:sz w:val="36"/>
      <w:szCs w:val="36"/>
    </w:rPr>
  </w:style>
  <w:style w:type="table" w:styleId="Mriekatabuky">
    <w:name w:val="Table Grid"/>
    <w:basedOn w:val="Normlnatabuka"/>
    <w:uiPriority w:val="59"/>
    <w:rsid w:val="00C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Bullet-Level1Char">
    <w:name w:val="IE Bullet - Level 1 Char"/>
    <w:link w:val="IEBullet-Level1"/>
    <w:locked/>
    <w:rsid w:val="008C452F"/>
    <w:rPr>
      <w:rFonts w:ascii="Verdana" w:eastAsia="Times New Roman" w:hAnsi="Verdana" w:cs="Frutiger LT Std 45 Light"/>
      <w:color w:val="000000"/>
      <w:sz w:val="17"/>
      <w:szCs w:val="20"/>
      <w:lang w:val="en-GB"/>
    </w:rPr>
  </w:style>
  <w:style w:type="character" w:styleId="Odkaznakomentr">
    <w:name w:val="annotation reference"/>
    <w:basedOn w:val="Predvolenpsmoodseku"/>
    <w:uiPriority w:val="99"/>
    <w:semiHidden/>
    <w:unhideWhenUsed/>
    <w:rsid w:val="00B112C9"/>
    <w:rPr>
      <w:sz w:val="16"/>
      <w:szCs w:val="16"/>
    </w:rPr>
  </w:style>
  <w:style w:type="paragraph" w:styleId="Textkomentra">
    <w:name w:val="annotation text"/>
    <w:basedOn w:val="Normlny"/>
    <w:link w:val="TextkomentraChar"/>
    <w:uiPriority w:val="99"/>
    <w:unhideWhenUsed/>
    <w:rsid w:val="00B112C9"/>
    <w:pPr>
      <w:spacing w:line="240" w:lineRule="auto"/>
    </w:pPr>
    <w:rPr>
      <w:szCs w:val="20"/>
    </w:rPr>
  </w:style>
  <w:style w:type="character" w:customStyle="1" w:styleId="TextkomentraChar">
    <w:name w:val="Text komentára Char"/>
    <w:basedOn w:val="Predvolenpsmoodseku"/>
    <w:link w:val="Textkomentra"/>
    <w:uiPriority w:val="99"/>
    <w:rsid w:val="00B112C9"/>
    <w:rPr>
      <w:rFonts w:ascii="Verdana" w:eastAsia="Times New Roman" w:hAnsi="Verdana" w:cs="Times New Roman"/>
      <w:sz w:val="20"/>
      <w:szCs w:val="20"/>
      <w:lang w:val="en-GB"/>
    </w:rPr>
  </w:style>
  <w:style w:type="character" w:styleId="Hypertextovprepojenie">
    <w:name w:val="Hyperlink"/>
    <w:basedOn w:val="Predvolenpsmoodseku"/>
    <w:uiPriority w:val="99"/>
    <w:unhideWhenUsed/>
    <w:rsid w:val="00934D20"/>
    <w:rPr>
      <w:color w:val="0000FF" w:themeColor="hyperlink"/>
      <w:u w:val="single"/>
    </w:rPr>
  </w:style>
  <w:style w:type="character" w:styleId="Nevyrieenzmienka">
    <w:name w:val="Unresolved Mention"/>
    <w:basedOn w:val="Predvolenpsmoodseku"/>
    <w:uiPriority w:val="99"/>
    <w:semiHidden/>
    <w:unhideWhenUsed/>
    <w:rsid w:val="00934D20"/>
    <w:rPr>
      <w:color w:val="605E5C"/>
      <w:shd w:val="clear" w:color="auto" w:fill="E1DFDD"/>
    </w:rPr>
  </w:style>
  <w:style w:type="paragraph" w:customStyle="1" w:styleId="IEBullet-Level10">
    <w:name w:val="_IE Bullet - Level 1"/>
    <w:basedOn w:val="Normlny"/>
    <w:link w:val="IEBullet-Level1Char0"/>
    <w:qFormat/>
    <w:rsid w:val="004B6675"/>
    <w:pPr>
      <w:autoSpaceDE w:val="0"/>
      <w:autoSpaceDN w:val="0"/>
      <w:adjustRightInd w:val="0"/>
      <w:ind w:left="720" w:hanging="360"/>
    </w:pPr>
    <w:rPr>
      <w:rFonts w:cs="Frutiger LT Std 45 Light"/>
      <w:color w:val="000000"/>
      <w:sz w:val="17"/>
      <w:szCs w:val="20"/>
    </w:rPr>
  </w:style>
  <w:style w:type="character" w:customStyle="1" w:styleId="IEGraphTitle">
    <w:name w:val="IE Graph Title"/>
    <w:uiPriority w:val="1"/>
    <w:qFormat/>
    <w:rsid w:val="004B6675"/>
    <w:rPr>
      <w:rFonts w:ascii="Verdana" w:hAnsi="Verdana"/>
      <w:smallCaps w:val="0"/>
      <w:sz w:val="19"/>
      <w:lang w:val="en-GB"/>
    </w:rPr>
  </w:style>
  <w:style w:type="character" w:customStyle="1" w:styleId="IEBullet-Level1Char0">
    <w:name w:val="_IE Bullet - Level 1 Char"/>
    <w:link w:val="IEBullet-Level10"/>
    <w:locked/>
    <w:rsid w:val="004B6675"/>
    <w:rPr>
      <w:rFonts w:ascii="Verdana" w:eastAsia="Times New Roman" w:hAnsi="Verdana" w:cs="Frutiger LT Std 45 Light"/>
      <w:color w:val="000000"/>
      <w:sz w:val="17"/>
      <w:szCs w:val="20"/>
      <w:lang w:val="en-GB"/>
    </w:rPr>
  </w:style>
  <w:style w:type="paragraph" w:styleId="Odsekzoznamu">
    <w:name w:val="List Paragraph"/>
    <w:basedOn w:val="Normlny"/>
    <w:uiPriority w:val="34"/>
    <w:qFormat/>
    <w:rsid w:val="00F56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73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udential@insuranceeurope.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DefaultPlaceholder_-1854013440"/>
        <w:category>
          <w:name w:val="General"/>
          <w:gallery w:val="placeholder"/>
        </w:category>
        <w:types>
          <w:type w:val="bbPlcHdr"/>
        </w:types>
        <w:behaviors>
          <w:behavior w:val="content"/>
        </w:behaviors>
        <w:guid w:val="{350E5685-6C96-4FE6-872F-19F6FA4E2ADB}"/>
      </w:docPartPr>
      <w:docPartBody>
        <w:p w:rsidR="003278DF" w:rsidRDefault="005901AA">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125A37"/>
    <w:rsid w:val="00157260"/>
    <w:rsid w:val="001F0766"/>
    <w:rsid w:val="002020F5"/>
    <w:rsid w:val="003278DF"/>
    <w:rsid w:val="003C10C7"/>
    <w:rsid w:val="003E28DA"/>
    <w:rsid w:val="004427E9"/>
    <w:rsid w:val="004567EF"/>
    <w:rsid w:val="00482856"/>
    <w:rsid w:val="004C7FA8"/>
    <w:rsid w:val="0054070F"/>
    <w:rsid w:val="005901AA"/>
    <w:rsid w:val="005D21B1"/>
    <w:rsid w:val="005F6EC7"/>
    <w:rsid w:val="006704B4"/>
    <w:rsid w:val="006E08CC"/>
    <w:rsid w:val="0075104D"/>
    <w:rsid w:val="00756109"/>
    <w:rsid w:val="00931FEF"/>
    <w:rsid w:val="00981EE1"/>
    <w:rsid w:val="009A5F5F"/>
    <w:rsid w:val="009D348E"/>
    <w:rsid w:val="009E0A14"/>
    <w:rsid w:val="00A467DB"/>
    <w:rsid w:val="00A47A5F"/>
    <w:rsid w:val="00AB1078"/>
    <w:rsid w:val="00B16236"/>
    <w:rsid w:val="00B17031"/>
    <w:rsid w:val="00B65B43"/>
    <w:rsid w:val="00BC5215"/>
    <w:rsid w:val="00C67B6A"/>
    <w:rsid w:val="00C96AA8"/>
    <w:rsid w:val="00CC0E72"/>
    <w:rsid w:val="00CD0058"/>
    <w:rsid w:val="00CF4325"/>
    <w:rsid w:val="00D22431"/>
    <w:rsid w:val="00D92B7A"/>
    <w:rsid w:val="00E2150C"/>
    <w:rsid w:val="00E30A5C"/>
    <w:rsid w:val="00E34EAE"/>
    <w:rsid w:val="00E5777A"/>
    <w:rsid w:val="00F12596"/>
    <w:rsid w:val="00F216DA"/>
    <w:rsid w:val="00F674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C7FA8"/>
    <w:rPr>
      <w:color w:val="808080"/>
    </w:rPr>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30D00C9159A40A142F60EA7E19883" ma:contentTypeVersion="8" ma:contentTypeDescription="Create a new document." ma:contentTypeScope="" ma:versionID="d87816c7e33e62be84b415b5c3cbc267">
  <xsd:schema xmlns:xsd="http://www.w3.org/2001/XMLSchema" xmlns:xs="http://www.w3.org/2001/XMLSchema" xmlns:p="http://schemas.microsoft.com/office/2006/metadata/properties" xmlns:ns2="d89e7f9f-465d-4b0e-8a4e-a5735fe6921d" targetNamespace="http://schemas.microsoft.com/office/2006/metadata/properties" ma:root="true" ma:fieldsID="fe4b98305ca6d695f3921010c23e2310" ns2:_="">
    <xsd:import namespace="d89e7f9f-465d-4b0e-8a4e-a5735fe6921d"/>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7f9f-465d-4b0e-8a4e-a5735fe6921d"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adline xmlns="d89e7f9f-465d-4b0e-8a4e-a5735fe6921d" xsi:nil="true"/>
    <Feedback_x0020_type xmlns="d89e7f9f-465d-4b0e-8a4e-a5735fe6921d" xsi:nil="true"/>
    <Allow_x0020_uploads xmlns="d89e7f9f-465d-4b0e-8a4e-a5735fe6921d" xsi:nil="true"/>
    <Allow_x0020_comments xmlns="d89e7f9f-465d-4b0e-8a4e-a5735fe6921d" xsi:nil="true"/>
    <Leading_x0020_document xmlns="d89e7f9f-465d-4b0e-8a4e-a5735fe692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83CA-95BA-418D-9DE5-4A876DB6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7f9f-465d-4b0e-8a4e-a5735fe69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E8AC2-BC04-484A-AE5F-6753D3DE5469}">
  <ds:schemaRefs>
    <ds:schemaRef ds:uri="http://schemas.microsoft.com/office/2006/metadata/properties"/>
    <ds:schemaRef ds:uri="http://schemas.microsoft.com/office/infopath/2007/PartnerControls"/>
    <ds:schemaRef ds:uri="d89e7f9f-465d-4b0e-8a4e-a5735fe6921d"/>
  </ds:schemaRefs>
</ds:datastoreItem>
</file>

<file path=customXml/itemProps3.xml><?xml version="1.0" encoding="utf-8"?>
<ds:datastoreItem xmlns:ds="http://schemas.openxmlformats.org/officeDocument/2006/customXml" ds:itemID="{80D543F7-D990-4A6E-8CB8-19DE2D01605D}">
  <ds:schemaRefs>
    <ds:schemaRef ds:uri="http://schemas.microsoft.com/sharepoint/v3/contenttype/forms"/>
  </ds:schemaRefs>
</ds:datastoreItem>
</file>

<file path=customXml/itemProps4.xml><?xml version="1.0" encoding="utf-8"?>
<ds:datastoreItem xmlns:ds="http://schemas.openxmlformats.org/officeDocument/2006/customXml" ds:itemID="{BAE09D75-F009-4B9E-BD47-BE2B6EEE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999</Words>
  <Characters>5700</Characters>
  <Application>Microsoft Office Word</Application>
  <DocSecurity>0</DocSecurity>
  <Lines>47</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Survey - Solvency II Review - Implementation member state options</vt:lpstr>
      <vt:lpstr>Title</vt:lpstr>
    </vt:vector>
  </TitlesOfParts>
  <Company>Insurance Europe</Company>
  <LinksUpToDate>false</LinksUpToDate>
  <CharactersWithSpaces>6686</CharactersWithSpaces>
  <SharedDoc>false</SharedDoc>
  <HLinks>
    <vt:vector size="6" baseType="variant">
      <vt:variant>
        <vt:i4>7471182</vt:i4>
      </vt:variant>
      <vt:variant>
        <vt:i4>0</vt:i4>
      </vt:variant>
      <vt:variant>
        <vt:i4>0</vt:i4>
      </vt:variant>
      <vt:variant>
        <vt:i4>5</vt:i4>
      </vt:variant>
      <vt:variant>
        <vt:lpwstr>mailto:prudential@insuranceeurope.eu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 Solvency II Review - Implementation member state options</dc:title>
  <dc:creator>Insurance Europe</dc:creator>
  <cp:lastModifiedBy>Jozef Bachnicek</cp:lastModifiedBy>
  <cp:revision>5</cp:revision>
  <dcterms:created xsi:type="dcterms:W3CDTF">2026-01-26T11:49:00Z</dcterms:created>
  <dcterms:modified xsi:type="dcterms:W3CDTF">2026-01-26T11:55:00Z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0x01010046230D00C9159A40A142F60EA7E19883</vt:lpwstr>
  </property>
  <property fmtid="{D5CDD505-2E9C-101B-9397-08002B2CF9AE}" pid="3" name="_dlc_DocIdItemGuid">
    <vt:lpwstr>807015e5-4965-44a9-a54b-51b6e9b5700a</vt:lpwstr>
  </property>
  <property fmtid="{D5CDD505-2E9C-101B-9397-08002B2CF9AE}" pid="4" name="docLang">
    <vt:lpwstr>en</vt:lpwstr>
  </property>
  <property fmtid="{D5CDD505-2E9C-101B-9397-08002B2CF9AE}" pid="5" name="ClassificationContentMarkingFooterShapeIds">
    <vt:lpwstr>6d1e30cb,7b07e394,3af60110,43ff2bf6</vt:lpwstr>
  </property>
  <property fmtid="{D5CDD505-2E9C-101B-9397-08002B2CF9AE}" pid="6" name="ClassificationContentMarkingFooterFontProps">
    <vt:lpwstr>#000000,10,Aptos</vt:lpwstr>
  </property>
  <property fmtid="{D5CDD505-2E9C-101B-9397-08002B2CF9AE}" pid="7" name="ClassificationContentMarkingFooterText">
    <vt:lpwstr>Interné</vt:lpwstr>
  </property>
  <property fmtid="{D5CDD505-2E9C-101B-9397-08002B2CF9AE}" pid="8" name="MSIP_Label_4c805978-f532-4a1a-b9e1-4e19c2c6466f_Enabled">
    <vt:lpwstr>true</vt:lpwstr>
  </property>
  <property fmtid="{D5CDD505-2E9C-101B-9397-08002B2CF9AE}" pid="9" name="MSIP_Label_4c805978-f532-4a1a-b9e1-4e19c2c6466f_SetDate">
    <vt:lpwstr>2026-01-21T12:48:31Z</vt:lpwstr>
  </property>
  <property fmtid="{D5CDD505-2E9C-101B-9397-08002B2CF9AE}" pid="10" name="MSIP_Label_4c805978-f532-4a1a-b9e1-4e19c2c6466f_Method">
    <vt:lpwstr>Standard</vt:lpwstr>
  </property>
  <property fmtid="{D5CDD505-2E9C-101B-9397-08002B2CF9AE}" pid="11" name="MSIP_Label_4c805978-f532-4a1a-b9e1-4e19c2c6466f_Name">
    <vt:lpwstr>Internal</vt:lpwstr>
  </property>
  <property fmtid="{D5CDD505-2E9C-101B-9397-08002B2CF9AE}" pid="12" name="MSIP_Label_4c805978-f532-4a1a-b9e1-4e19c2c6466f_SiteId">
    <vt:lpwstr>579df390-dbff-49fd-8f10-624670566482</vt:lpwstr>
  </property>
  <property fmtid="{D5CDD505-2E9C-101B-9397-08002B2CF9AE}" pid="13" name="MSIP_Label_4c805978-f532-4a1a-b9e1-4e19c2c6466f_ActionId">
    <vt:lpwstr>febf694a-119f-478e-b8f2-ae1dea052fe6</vt:lpwstr>
  </property>
  <property fmtid="{D5CDD505-2E9C-101B-9397-08002B2CF9AE}" pid="14" name="MSIP_Label_4c805978-f532-4a1a-b9e1-4e19c2c6466f_ContentBits">
    <vt:lpwstr>2</vt:lpwstr>
  </property>
  <property fmtid="{D5CDD505-2E9C-101B-9397-08002B2CF9AE}" pid="15" name="MSIP_Label_4c805978-f532-4a1a-b9e1-4e19c2c6466f_Tag">
    <vt:lpwstr>10, 3, 0, 1</vt:lpwstr>
  </property>
</Properties>
</file>