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E432" w14:textId="2B61A748" w:rsidR="007412CD" w:rsidRPr="00AB34B9" w:rsidRDefault="00230CB0" w:rsidP="00231CCC">
      <w:pPr>
        <w:rPr>
          <w:b/>
          <w:bCs/>
          <w:sz w:val="20"/>
          <w:szCs w:val="20"/>
        </w:rPr>
      </w:pPr>
      <w:r w:rsidRPr="00AB34B9">
        <w:rPr>
          <w:b/>
          <w:bCs/>
          <w:sz w:val="20"/>
          <w:szCs w:val="20"/>
        </w:rPr>
        <w:t xml:space="preserve">SUMMARY of </w:t>
      </w:r>
      <w:r w:rsidR="00130AA0" w:rsidRPr="00AB34B9">
        <w:rPr>
          <w:b/>
          <w:bCs/>
          <w:sz w:val="20"/>
          <w:szCs w:val="20"/>
        </w:rPr>
        <w:t>EIOPA REPORT ON EUROPEAN INSURERS’ EXPOSURE TO PHYSICAL CLIMATE CHANGE RISK</w:t>
      </w:r>
    </w:p>
    <w:p w14:paraId="4975F5B9" w14:textId="77777777" w:rsidR="007412CD" w:rsidRDefault="007412CD" w:rsidP="00231CCC">
      <w:pPr>
        <w:rPr>
          <w:b/>
          <w:bCs/>
          <w:u w:val="single"/>
        </w:rPr>
      </w:pPr>
    </w:p>
    <w:p w14:paraId="78A126B3" w14:textId="19DA4D7D" w:rsidR="00DD4DD5" w:rsidRDefault="00DD4DD5" w:rsidP="00231CCC">
      <w:pPr>
        <w:rPr>
          <w:b/>
          <w:bCs/>
          <w:lang w:val="en-US"/>
        </w:rPr>
      </w:pPr>
      <w:r>
        <w:rPr>
          <w:b/>
          <w:bCs/>
          <w:lang w:val="en-US"/>
        </w:rPr>
        <w:t>Summary</w:t>
      </w:r>
    </w:p>
    <w:p w14:paraId="2753F4F9" w14:textId="77777777" w:rsidR="00D51F43" w:rsidRPr="00D51F43" w:rsidRDefault="00D51F43" w:rsidP="00231CCC">
      <w:pPr>
        <w:rPr>
          <w:b/>
          <w:bCs/>
          <w:lang w:val="en-US"/>
        </w:rPr>
      </w:pPr>
    </w:p>
    <w:p w14:paraId="67507B3E" w14:textId="75FEF177" w:rsidR="000429B3" w:rsidRPr="000429B3" w:rsidRDefault="000429B3" w:rsidP="00130AA0">
      <w:pPr>
        <w:pStyle w:val="CEABullet-Level1"/>
        <w:rPr>
          <w:lang w:val="en-US"/>
        </w:rPr>
      </w:pPr>
      <w:r w:rsidRPr="000429B3">
        <w:rPr>
          <w:lang w:val="en-US"/>
        </w:rPr>
        <w:t xml:space="preserve">Published on 20 May, this </w:t>
      </w:r>
      <w:hyperlink r:id="rId10" w:history="1">
        <w:r w:rsidRPr="00694B1A">
          <w:rPr>
            <w:rStyle w:val="Hypertextovprepojenie"/>
            <w:lang w:val="en-US"/>
          </w:rPr>
          <w:t>discussion paper</w:t>
        </w:r>
      </w:hyperlink>
      <w:r w:rsidRPr="000429B3">
        <w:rPr>
          <w:lang w:val="en-US"/>
        </w:rPr>
        <w:t xml:space="preserve"> focuses on assessing the materiality of the insurance sector exposure to physical climate change risk under a financial stability perspective.</w:t>
      </w:r>
    </w:p>
    <w:p w14:paraId="1594F169" w14:textId="0E6B8706" w:rsidR="000429B3" w:rsidRPr="000429B3" w:rsidRDefault="000429B3" w:rsidP="00130AA0">
      <w:pPr>
        <w:pStyle w:val="CEABullet-Level1"/>
        <w:rPr>
          <w:lang w:val="en-US"/>
        </w:rPr>
      </w:pPr>
      <w:r w:rsidRPr="000429B3">
        <w:rPr>
          <w:lang w:val="en-US"/>
        </w:rPr>
        <w:t>The paper is part of the more general process of EIOPA aimed at integrating the assessment of ESG risks within the regulatory and supervisory framework and the analysis and evaluation work continues industry exposure to climate change risk that began on 15 December 2020 with the publication of a sensitivity analysis of transition risks related to climate change in the investment portfolio of European policyholders.</w:t>
      </w:r>
    </w:p>
    <w:p w14:paraId="0DFE149A" w14:textId="20FEEECB" w:rsidR="000429B3" w:rsidRPr="000429B3" w:rsidRDefault="000429B3" w:rsidP="00130AA0">
      <w:pPr>
        <w:pStyle w:val="CEABullet-Level1"/>
        <w:rPr>
          <w:lang w:val="en-US"/>
        </w:rPr>
      </w:pPr>
      <w:r w:rsidRPr="000429B3">
        <w:rPr>
          <w:lang w:val="en-US"/>
        </w:rPr>
        <w:t>The paper presents the first results obtained on the basis of a data collection exercise of the insurance sector and focuses on property insurance the property branch with a focus on the risks considered more significant from a current and long-term perspective, such as the risk of storm, forest fires and floods.</w:t>
      </w:r>
    </w:p>
    <w:p w14:paraId="6769080C" w14:textId="25E7EA69" w:rsidR="000429B3" w:rsidRPr="000429B3" w:rsidRDefault="000429B3" w:rsidP="00130AA0">
      <w:pPr>
        <w:pStyle w:val="CEABullet-Level1"/>
        <w:rPr>
          <w:lang w:val="en-US"/>
        </w:rPr>
      </w:pPr>
      <w:r w:rsidRPr="000429B3">
        <w:rPr>
          <w:lang w:val="en-US"/>
        </w:rPr>
        <w:t xml:space="preserve">Although the results show that the sampled insurers have </w:t>
      </w:r>
      <w:r w:rsidR="00FC7F13" w:rsidRPr="000429B3">
        <w:rPr>
          <w:lang w:val="en-US"/>
        </w:rPr>
        <w:t>would be</w:t>
      </w:r>
      <w:r w:rsidRPr="000429B3">
        <w:rPr>
          <w:lang w:val="en-US"/>
        </w:rPr>
        <w:t xml:space="preserve"> able to manage the claims deriving from the three main natural disasters </w:t>
      </w:r>
      <w:proofErr w:type="spellStart"/>
      <w:r w:rsidRPr="000429B3">
        <w:rPr>
          <w:lang w:val="en-US"/>
        </w:rPr>
        <w:t>analysed</w:t>
      </w:r>
      <w:proofErr w:type="spellEnd"/>
      <w:r w:rsidRPr="000429B3">
        <w:rPr>
          <w:lang w:val="en-US"/>
        </w:rPr>
        <w:t>, EIOPA believes that the industry's ability to continue to deliver financial protection against the consequences of natural disasters depends on their ability to measure the potential impact of climate change and adapt their business strategies.</w:t>
      </w:r>
    </w:p>
    <w:p w14:paraId="0EBC4E8F" w14:textId="5521188C" w:rsidR="00651F42" w:rsidRPr="000B7F9F" w:rsidRDefault="000429B3" w:rsidP="00130AA0">
      <w:pPr>
        <w:pStyle w:val="CEABullet-Level1"/>
        <w:rPr>
          <w:lang w:val="en-US"/>
        </w:rPr>
      </w:pPr>
      <w:r w:rsidRPr="000429B3">
        <w:rPr>
          <w:lang w:val="en-US"/>
        </w:rPr>
        <w:t xml:space="preserve">The document also shows a substantial consensus on the part of the participants to the survey, on the impact of the physical risks of climate change in all activity </w:t>
      </w:r>
      <w:r w:rsidR="00230CB0" w:rsidRPr="000429B3">
        <w:rPr>
          <w:lang w:val="en-US"/>
        </w:rPr>
        <w:t xml:space="preserve">lines </w:t>
      </w:r>
      <w:r w:rsidRPr="000429B3">
        <w:rPr>
          <w:lang w:val="en-US"/>
        </w:rPr>
        <w:t>and the importance of the role of adaptation and mitigation measures in reduction of risk levels in the future</w:t>
      </w:r>
      <w:r w:rsidR="009C15C6">
        <w:rPr>
          <w:lang w:val="en-US"/>
        </w:rPr>
        <w:t>.</w:t>
      </w:r>
    </w:p>
    <w:p w14:paraId="4D064EB8" w14:textId="00087F7E" w:rsidR="000B7F9F" w:rsidRPr="000B7F9F" w:rsidRDefault="00FC7F13" w:rsidP="00130AA0">
      <w:pPr>
        <w:pStyle w:val="CEABullet-Level1"/>
        <w:rPr>
          <w:lang w:val="en-US"/>
        </w:rPr>
      </w:pPr>
      <w:r w:rsidRPr="000B7F9F">
        <w:rPr>
          <w:lang w:val="en-US"/>
        </w:rPr>
        <w:t>Th</w:t>
      </w:r>
      <w:r>
        <w:rPr>
          <w:lang w:val="en-US"/>
        </w:rPr>
        <w:t>e</w:t>
      </w:r>
      <w:r w:rsidRPr="000B7F9F">
        <w:rPr>
          <w:lang w:val="en-US"/>
        </w:rPr>
        <w:t xml:space="preserve"> </w:t>
      </w:r>
      <w:r w:rsidR="000B7F9F" w:rsidRPr="000B7F9F">
        <w:rPr>
          <w:lang w:val="en-US"/>
        </w:rPr>
        <w:t>report aims at:</w:t>
      </w:r>
    </w:p>
    <w:p w14:paraId="0606D45F" w14:textId="134ACC7C" w:rsidR="000B7F9F" w:rsidRDefault="00B2351F" w:rsidP="00130AA0">
      <w:pPr>
        <w:pStyle w:val="CEABullet-Level2"/>
        <w:rPr>
          <w:lang w:val="en-US"/>
        </w:rPr>
      </w:pPr>
      <w:r>
        <w:rPr>
          <w:lang w:val="en-US"/>
        </w:rPr>
        <w:t>Stimulating</w:t>
      </w:r>
      <w:r w:rsidR="000B7F9F">
        <w:rPr>
          <w:lang w:val="en-US"/>
        </w:rPr>
        <w:t xml:space="preserve"> the discussion </w:t>
      </w:r>
      <w:r w:rsidR="00FA67D6">
        <w:rPr>
          <w:lang w:val="en-US"/>
        </w:rPr>
        <w:t>and raising awareness</w:t>
      </w:r>
      <w:r w:rsidR="00E07916">
        <w:rPr>
          <w:lang w:val="en-US"/>
        </w:rPr>
        <w:t>.</w:t>
      </w:r>
    </w:p>
    <w:p w14:paraId="4F0DE6B9" w14:textId="36BDC535" w:rsidR="000B7F9F" w:rsidRDefault="000B7F9F" w:rsidP="00130AA0">
      <w:pPr>
        <w:pStyle w:val="CEABullet-Level2"/>
        <w:rPr>
          <w:lang w:val="en-US"/>
        </w:rPr>
      </w:pPr>
      <w:r>
        <w:rPr>
          <w:lang w:val="en-US"/>
        </w:rPr>
        <w:t>Understanding the share of the insurance sector’s exposure to climate related hazards</w:t>
      </w:r>
      <w:r w:rsidR="008002A5">
        <w:rPr>
          <w:lang w:val="en-US"/>
        </w:rPr>
        <w:t xml:space="preserve"> </w:t>
      </w:r>
      <w:r w:rsidR="008002A5">
        <w:t>via their buildings, content and business interruption insurance businesses to physical climate change risk</w:t>
      </w:r>
      <w:r w:rsidR="00E07916">
        <w:t>.</w:t>
      </w:r>
    </w:p>
    <w:p w14:paraId="282CA279" w14:textId="77C71049" w:rsidR="00651F42" w:rsidRPr="00D51F43" w:rsidRDefault="000B7F9F" w:rsidP="00130AA0">
      <w:pPr>
        <w:pStyle w:val="CEABullet-Level2"/>
        <w:rPr>
          <w:rStyle w:val="CEAGraphTitle"/>
          <w:lang w:val="en-US"/>
        </w:rPr>
      </w:pPr>
      <w:r>
        <w:rPr>
          <w:lang w:val="en-US"/>
        </w:rPr>
        <w:t>Improving the understanding of how insurers are exposed to physical climate change risks</w:t>
      </w:r>
      <w:r w:rsidR="00E07916">
        <w:rPr>
          <w:lang w:val="en-US"/>
        </w:rPr>
        <w:t>.</w:t>
      </w:r>
    </w:p>
    <w:p w14:paraId="716E6A90" w14:textId="50D875A8" w:rsidR="000B7F9F" w:rsidRDefault="000B7F9F" w:rsidP="00231CCC"/>
    <w:p w14:paraId="26390D8E" w14:textId="61BAA853" w:rsidR="000B7F9F" w:rsidRDefault="000B7F9F" w:rsidP="00231CCC">
      <w:pPr>
        <w:rPr>
          <w:b/>
          <w:bCs/>
          <w:lang w:val="en-US"/>
        </w:rPr>
      </w:pPr>
      <w:r>
        <w:rPr>
          <w:b/>
          <w:bCs/>
          <w:lang w:val="en-US"/>
        </w:rPr>
        <w:t xml:space="preserve">1. </w:t>
      </w:r>
      <w:r w:rsidRPr="00654E1B">
        <w:rPr>
          <w:b/>
          <w:bCs/>
          <w:lang w:val="en-US"/>
        </w:rPr>
        <w:t>CLIMATE CHANGE AND PHYSICAL RISKS: THE “NEW NORMAL” IN THE INSURANCE SECTOR</w:t>
      </w:r>
    </w:p>
    <w:p w14:paraId="75C9C72A" w14:textId="77777777" w:rsidR="000B7F9F" w:rsidRDefault="000B7F9F" w:rsidP="00231CCC">
      <w:pPr>
        <w:rPr>
          <w:b/>
          <w:bCs/>
          <w:lang w:val="en-US"/>
        </w:rPr>
      </w:pPr>
    </w:p>
    <w:p w14:paraId="58EA9A81" w14:textId="0D1FDAE2" w:rsidR="000B7F9F" w:rsidRPr="000B7F9F" w:rsidRDefault="00320D08" w:rsidP="00231CCC">
      <w:pPr>
        <w:rPr>
          <w:rFonts w:cs="Frutiger LT Std 45 Light"/>
          <w:color w:val="000000"/>
          <w:szCs w:val="20"/>
          <w:lang w:val="en-US"/>
        </w:rPr>
      </w:pPr>
      <w:r>
        <w:rPr>
          <w:rFonts w:cs="Frutiger LT Std 45 Light"/>
          <w:color w:val="000000"/>
          <w:szCs w:val="20"/>
          <w:lang w:val="en-US"/>
        </w:rPr>
        <w:t xml:space="preserve">The </w:t>
      </w:r>
      <w:r w:rsidR="000B7F9F" w:rsidRPr="000B7F9F">
        <w:rPr>
          <w:rFonts w:cs="Frutiger LT Std 45 Light"/>
          <w:color w:val="000000"/>
          <w:szCs w:val="20"/>
          <w:lang w:val="en-US"/>
        </w:rPr>
        <w:t>chapter describes the impacts that could arise from extreme weather events</w:t>
      </w:r>
      <w:r>
        <w:rPr>
          <w:rFonts w:cs="Frutiger LT Std 45 Light"/>
          <w:color w:val="000000"/>
          <w:szCs w:val="20"/>
          <w:lang w:val="en-US"/>
        </w:rPr>
        <w:t>/gradual</w:t>
      </w:r>
      <w:r w:rsidR="000B7F9F" w:rsidRPr="000B7F9F">
        <w:rPr>
          <w:rFonts w:cs="Frutiger LT Std 45 Light"/>
          <w:color w:val="000000"/>
          <w:szCs w:val="20"/>
          <w:lang w:val="en-US"/>
        </w:rPr>
        <w:t xml:space="preserve"> global warming and the</w:t>
      </w:r>
      <w:r w:rsidR="00B41868">
        <w:rPr>
          <w:rFonts w:cs="Frutiger LT Std 45 Light"/>
          <w:color w:val="000000"/>
          <w:szCs w:val="20"/>
          <w:lang w:val="en-US"/>
        </w:rPr>
        <w:t>ir</w:t>
      </w:r>
      <w:r w:rsidR="000B7F9F" w:rsidRPr="000B7F9F">
        <w:rPr>
          <w:rFonts w:cs="Frutiger LT Std 45 Light"/>
          <w:color w:val="000000"/>
          <w:szCs w:val="20"/>
          <w:lang w:val="en-US"/>
        </w:rPr>
        <w:t xml:space="preserve"> potential consequences on the non-life insurance business.</w:t>
      </w:r>
    </w:p>
    <w:p w14:paraId="3B3637A2" w14:textId="77777777" w:rsidR="000B7F9F" w:rsidRPr="000B7F9F" w:rsidRDefault="000B7F9F" w:rsidP="00231CCC">
      <w:pPr>
        <w:rPr>
          <w:rFonts w:cs="Frutiger LT Std 45 Light"/>
          <w:color w:val="000000"/>
          <w:szCs w:val="20"/>
          <w:lang w:val="en-US"/>
        </w:rPr>
      </w:pPr>
    </w:p>
    <w:p w14:paraId="2A01037E" w14:textId="16552560" w:rsidR="000B7F9F" w:rsidRPr="000B7F9F" w:rsidRDefault="000B7F9F" w:rsidP="00231CCC">
      <w:pPr>
        <w:rPr>
          <w:rFonts w:cs="Frutiger LT Std 45 Light"/>
          <w:color w:val="000000"/>
          <w:szCs w:val="20"/>
          <w:lang w:val="en-US"/>
        </w:rPr>
      </w:pPr>
      <w:r w:rsidRPr="000B7F9F">
        <w:rPr>
          <w:rFonts w:cs="Frutiger LT Std 45 Light"/>
          <w:color w:val="000000"/>
          <w:szCs w:val="20"/>
          <w:lang w:val="en-US"/>
        </w:rPr>
        <w:t xml:space="preserve">Physical climate change risks arise from the physical effects of climate </w:t>
      </w:r>
      <w:r w:rsidR="00230CB0" w:rsidRPr="000B7F9F">
        <w:rPr>
          <w:rFonts w:cs="Frutiger LT Std 45 Light"/>
          <w:color w:val="000000"/>
          <w:szCs w:val="20"/>
          <w:lang w:val="en-US"/>
        </w:rPr>
        <w:t>change</w:t>
      </w:r>
      <w:r w:rsidR="00230CB0">
        <w:rPr>
          <w:rFonts w:cs="Frutiger LT Std 45 Light"/>
          <w:color w:val="000000"/>
          <w:szCs w:val="20"/>
          <w:lang w:val="en-US"/>
        </w:rPr>
        <w:t xml:space="preserve"> and</w:t>
      </w:r>
      <w:r w:rsidR="00E37C5B">
        <w:rPr>
          <w:rFonts w:cs="Frutiger LT Std 45 Light"/>
          <w:color w:val="000000"/>
          <w:szCs w:val="20"/>
          <w:lang w:val="en-US"/>
        </w:rPr>
        <w:t xml:space="preserve"> can affect both asset </w:t>
      </w:r>
      <w:r w:rsidR="000C356F">
        <w:rPr>
          <w:rFonts w:cs="Frutiger LT Std 45 Light"/>
          <w:color w:val="000000"/>
          <w:szCs w:val="20"/>
          <w:lang w:val="en-US"/>
        </w:rPr>
        <w:t>(</w:t>
      </w:r>
      <w:r w:rsidR="00E37C5B">
        <w:rPr>
          <w:rFonts w:cs="Frutiger LT Std 45 Light"/>
          <w:color w:val="000000"/>
          <w:szCs w:val="20"/>
          <w:lang w:val="en-US"/>
        </w:rPr>
        <w:t>and liability side</w:t>
      </w:r>
      <w:r w:rsidRPr="000B7F9F">
        <w:rPr>
          <w:rFonts w:cs="Frutiger LT Std 45 Light"/>
          <w:color w:val="000000"/>
          <w:szCs w:val="20"/>
          <w:lang w:val="en-US"/>
        </w:rPr>
        <w:t>.</w:t>
      </w:r>
    </w:p>
    <w:p w14:paraId="03EFB0C0" w14:textId="77777777" w:rsidR="000B7F9F" w:rsidRPr="000B7F9F" w:rsidRDefault="000B7F9F" w:rsidP="00231CCC">
      <w:pPr>
        <w:rPr>
          <w:rFonts w:cs="Frutiger LT Std 45 Light"/>
          <w:color w:val="000000"/>
          <w:szCs w:val="20"/>
          <w:lang w:val="en-US"/>
        </w:rPr>
      </w:pPr>
    </w:p>
    <w:p w14:paraId="1D5C5D2A" w14:textId="0E545017" w:rsidR="000B7F9F" w:rsidRPr="000B7F9F" w:rsidRDefault="000B7F9F" w:rsidP="00231CCC">
      <w:pPr>
        <w:rPr>
          <w:rFonts w:cs="Frutiger LT Std 45 Light"/>
          <w:color w:val="000000"/>
          <w:szCs w:val="20"/>
          <w:lang w:val="en-US"/>
        </w:rPr>
      </w:pPr>
      <w:r w:rsidRPr="000B7F9F">
        <w:rPr>
          <w:rFonts w:cs="Frutiger LT Std 45 Light"/>
          <w:color w:val="000000"/>
          <w:szCs w:val="20"/>
          <w:lang w:val="en-US"/>
        </w:rPr>
        <w:t>The impacts of climate change on physical risk could arise from both an increase of extreme weather events (</w:t>
      </w:r>
      <w:r w:rsidRPr="00130AA0">
        <w:rPr>
          <w:rFonts w:cs="Frutiger LT Std 45 Light"/>
          <w:b/>
          <w:bCs/>
          <w:i/>
          <w:iCs/>
          <w:color w:val="000000"/>
          <w:szCs w:val="20"/>
          <w:lang w:val="en-US"/>
        </w:rPr>
        <w:t>acute impacts</w:t>
      </w:r>
      <w:r w:rsidRPr="000B7F9F">
        <w:rPr>
          <w:rFonts w:cs="Frutiger LT Std 45 Light"/>
          <w:color w:val="000000"/>
          <w:szCs w:val="20"/>
          <w:lang w:val="en-US"/>
        </w:rPr>
        <w:t xml:space="preserve">), </w:t>
      </w:r>
      <w:r w:rsidR="00323FC7">
        <w:rPr>
          <w:rFonts w:cs="Frutiger LT Std 45 Light"/>
          <w:color w:val="000000"/>
          <w:szCs w:val="20"/>
          <w:lang w:val="en-US"/>
        </w:rPr>
        <w:t>and</w:t>
      </w:r>
      <w:r w:rsidRPr="000B7F9F">
        <w:rPr>
          <w:rFonts w:cs="Frutiger LT Std 45 Light"/>
          <w:color w:val="000000"/>
          <w:szCs w:val="20"/>
          <w:lang w:val="en-US"/>
        </w:rPr>
        <w:t xml:space="preserve"> from gradual global warming (</w:t>
      </w:r>
      <w:r w:rsidRPr="00130AA0">
        <w:rPr>
          <w:rFonts w:cs="Frutiger LT Std 45 Light"/>
          <w:b/>
          <w:bCs/>
          <w:i/>
          <w:iCs/>
          <w:color w:val="000000"/>
          <w:szCs w:val="20"/>
          <w:lang w:val="en-US"/>
        </w:rPr>
        <w:t>chronic impacts</w:t>
      </w:r>
      <w:r w:rsidRPr="000B7F9F">
        <w:rPr>
          <w:rFonts w:cs="Frutiger LT Std 45 Light"/>
          <w:color w:val="000000"/>
          <w:szCs w:val="20"/>
          <w:lang w:val="en-US"/>
        </w:rPr>
        <w:t xml:space="preserve">). Acute impacts can lead to damage to property, business disruption or reduced productivity. Chronic impacts, particularly from increased temperatures, sea levels rise and precipitation, may affect </w:t>
      </w:r>
      <w:proofErr w:type="spellStart"/>
      <w:r w:rsidRPr="000B7F9F">
        <w:rPr>
          <w:rFonts w:cs="Frutiger LT Std 45 Light"/>
          <w:color w:val="000000"/>
          <w:szCs w:val="20"/>
          <w:lang w:val="en-US"/>
        </w:rPr>
        <w:t>labour</w:t>
      </w:r>
      <w:proofErr w:type="spellEnd"/>
      <w:r w:rsidRPr="000B7F9F">
        <w:rPr>
          <w:rFonts w:cs="Frutiger LT Std 45 Light"/>
          <w:color w:val="000000"/>
          <w:szCs w:val="20"/>
          <w:lang w:val="en-US"/>
        </w:rPr>
        <w:t>, capital and agriculture productivity.</w:t>
      </w:r>
    </w:p>
    <w:p w14:paraId="7B6EDC8F" w14:textId="77777777" w:rsidR="000B7F9F" w:rsidRPr="000B7F9F" w:rsidRDefault="000B7F9F" w:rsidP="00231CCC">
      <w:pPr>
        <w:rPr>
          <w:rFonts w:cs="Frutiger LT Std 45 Light"/>
          <w:color w:val="000000"/>
          <w:szCs w:val="20"/>
          <w:lang w:val="en-US"/>
        </w:rPr>
      </w:pPr>
    </w:p>
    <w:p w14:paraId="67106504" w14:textId="5ED23C0E" w:rsidR="000B7F9F" w:rsidRPr="000B7F9F" w:rsidRDefault="00A523F7" w:rsidP="00231CCC">
      <w:pPr>
        <w:rPr>
          <w:rFonts w:cs="Frutiger LT Std 45 Light"/>
          <w:color w:val="000000"/>
          <w:szCs w:val="20"/>
          <w:lang w:val="en-US"/>
        </w:rPr>
      </w:pPr>
      <w:r>
        <w:rPr>
          <w:rFonts w:cs="Frutiger LT Std 45 Light"/>
          <w:color w:val="000000"/>
          <w:szCs w:val="20"/>
          <w:lang w:val="en-US"/>
        </w:rPr>
        <w:t>M</w:t>
      </w:r>
      <w:r w:rsidR="000B7F9F" w:rsidRPr="000B7F9F">
        <w:rPr>
          <w:rFonts w:cs="Frutiger LT Std 45 Light"/>
          <w:color w:val="000000"/>
          <w:szCs w:val="20"/>
          <w:lang w:val="en-US"/>
        </w:rPr>
        <w:t>any challenges related to the understanding of potential consequences of these impacts</w:t>
      </w:r>
      <w:r>
        <w:rPr>
          <w:rFonts w:cs="Frutiger LT Std 45 Light"/>
          <w:color w:val="000000"/>
          <w:szCs w:val="20"/>
          <w:lang w:val="en-US"/>
        </w:rPr>
        <w:t xml:space="preserve"> are ahead</w:t>
      </w:r>
      <w:r w:rsidR="00674365">
        <w:rPr>
          <w:rFonts w:cs="Frutiger LT Std 45 Light"/>
          <w:color w:val="000000"/>
          <w:szCs w:val="20"/>
          <w:lang w:val="en-US"/>
        </w:rPr>
        <w:t>, in particular</w:t>
      </w:r>
      <w:r w:rsidR="000B7F9F" w:rsidRPr="000B7F9F">
        <w:rPr>
          <w:rFonts w:cs="Frutiger LT Std 45 Light"/>
          <w:color w:val="000000"/>
          <w:szCs w:val="20"/>
          <w:lang w:val="en-US"/>
        </w:rPr>
        <w:t>:</w:t>
      </w:r>
    </w:p>
    <w:p w14:paraId="7B002916" w14:textId="38705AC5" w:rsidR="000B7F9F" w:rsidRPr="000B7F9F" w:rsidRDefault="000B7F9F" w:rsidP="00231CCC">
      <w:pPr>
        <w:pStyle w:val="CEABullet-Level1"/>
        <w:rPr>
          <w:lang w:val="en-US"/>
        </w:rPr>
      </w:pPr>
      <w:r w:rsidRPr="000B7F9F">
        <w:rPr>
          <w:lang w:val="en-US"/>
        </w:rPr>
        <w:t xml:space="preserve">The transposal of the expected </w:t>
      </w:r>
      <w:r w:rsidR="00E74067">
        <w:rPr>
          <w:lang w:val="en-US"/>
        </w:rPr>
        <w:t xml:space="preserve">global temperature </w:t>
      </w:r>
      <w:r w:rsidR="00230CB0" w:rsidRPr="000B7F9F">
        <w:rPr>
          <w:lang w:val="en-US"/>
        </w:rPr>
        <w:t>increases</w:t>
      </w:r>
      <w:r w:rsidRPr="000B7F9F">
        <w:rPr>
          <w:lang w:val="en-US"/>
        </w:rPr>
        <w:t xml:space="preserve"> into changes </w:t>
      </w:r>
      <w:r w:rsidR="009F4B02">
        <w:rPr>
          <w:lang w:val="en-US"/>
        </w:rPr>
        <w:t>in frequency/sever</w:t>
      </w:r>
      <w:r w:rsidR="00D832A6">
        <w:rPr>
          <w:lang w:val="en-US"/>
        </w:rPr>
        <w:t xml:space="preserve">ity of </w:t>
      </w:r>
      <w:r w:rsidRPr="000B7F9F">
        <w:rPr>
          <w:lang w:val="en-US"/>
        </w:rPr>
        <w:t>weather-related catastrophes</w:t>
      </w:r>
      <w:r w:rsidR="00946C12">
        <w:rPr>
          <w:lang w:val="en-US"/>
        </w:rPr>
        <w:t>;</w:t>
      </w:r>
    </w:p>
    <w:p w14:paraId="50351AA4" w14:textId="04CC00CC" w:rsidR="000B7F9F" w:rsidRPr="000B7F9F" w:rsidRDefault="000B7F9F" w:rsidP="00231CCC">
      <w:pPr>
        <w:pStyle w:val="CEABullet-Level1"/>
        <w:rPr>
          <w:lang w:val="en-US"/>
        </w:rPr>
      </w:pPr>
      <w:r w:rsidRPr="000B7F9F">
        <w:rPr>
          <w:lang w:val="en-US"/>
        </w:rPr>
        <w:t xml:space="preserve">The </w:t>
      </w:r>
      <w:r w:rsidR="00ED6226">
        <w:rPr>
          <w:lang w:val="en-US"/>
        </w:rPr>
        <w:t xml:space="preserve">conversion of </w:t>
      </w:r>
      <w:r w:rsidR="00ED6226" w:rsidRPr="000B7F9F">
        <w:rPr>
          <w:lang w:val="en-US"/>
        </w:rPr>
        <w:t>these estimations</w:t>
      </w:r>
      <w:r w:rsidR="00ED6226">
        <w:rPr>
          <w:lang w:val="en-US"/>
        </w:rPr>
        <w:t xml:space="preserve"> </w:t>
      </w:r>
      <w:r w:rsidR="009728E7">
        <w:rPr>
          <w:lang w:val="en-US"/>
        </w:rPr>
        <w:t xml:space="preserve">into </w:t>
      </w:r>
      <w:r w:rsidRPr="000B7F9F">
        <w:rPr>
          <w:lang w:val="en-US"/>
        </w:rPr>
        <w:t xml:space="preserve">economic impact </w:t>
      </w:r>
      <w:r w:rsidR="00960DC0">
        <w:rPr>
          <w:lang w:val="en-US"/>
        </w:rPr>
        <w:t>on undertakings’ underwriting portfolio</w:t>
      </w:r>
      <w:r w:rsidR="00230CB0">
        <w:rPr>
          <w:lang w:val="en-US"/>
        </w:rPr>
        <w:t>;</w:t>
      </w:r>
    </w:p>
    <w:p w14:paraId="204BE3EA" w14:textId="110F5D37" w:rsidR="000B7F9F" w:rsidRPr="000B7F9F" w:rsidRDefault="000B7F9F" w:rsidP="00231CCC">
      <w:pPr>
        <w:pStyle w:val="CEABullet-Level1"/>
        <w:rPr>
          <w:lang w:val="en-US"/>
        </w:rPr>
      </w:pPr>
      <w:r w:rsidRPr="000B7F9F">
        <w:rPr>
          <w:lang w:val="en-US"/>
        </w:rPr>
        <w:t xml:space="preserve">The understanding of the time horizons over which climate-related risks are most likely to </w:t>
      </w:r>
      <w:r w:rsidR="00946C12">
        <w:rPr>
          <w:lang w:val="en-US"/>
        </w:rPr>
        <w:t>materialize;</w:t>
      </w:r>
    </w:p>
    <w:p w14:paraId="1A7355C9" w14:textId="77777777" w:rsidR="000B7F9F" w:rsidRPr="000B7F9F" w:rsidRDefault="000B7F9F" w:rsidP="00231CCC">
      <w:pPr>
        <w:pStyle w:val="CEABullet-Level1"/>
        <w:rPr>
          <w:lang w:val="en-US"/>
        </w:rPr>
      </w:pPr>
      <w:r w:rsidRPr="000B7F9F">
        <w:rPr>
          <w:lang w:val="en-US"/>
        </w:rPr>
        <w:t>The long-term evolution of the insurance business to better adapt to climate change risks and opportunities.</w:t>
      </w:r>
    </w:p>
    <w:p w14:paraId="39C98368" w14:textId="77777777" w:rsidR="006A11EB" w:rsidRDefault="006A11EB" w:rsidP="00231CCC">
      <w:pPr>
        <w:rPr>
          <w:rFonts w:cs="Frutiger LT Std 45 Light"/>
          <w:color w:val="000000"/>
          <w:szCs w:val="20"/>
          <w:lang w:val="en-US"/>
        </w:rPr>
      </w:pPr>
    </w:p>
    <w:p w14:paraId="55AEC853" w14:textId="1A9DFB97" w:rsidR="000B7F9F" w:rsidRPr="000B7F9F" w:rsidRDefault="000B7F9F" w:rsidP="00231CCC">
      <w:pPr>
        <w:rPr>
          <w:rFonts w:cs="Frutiger LT Std 45 Light"/>
          <w:color w:val="000000"/>
          <w:szCs w:val="20"/>
          <w:lang w:val="en-US"/>
        </w:rPr>
      </w:pPr>
      <w:r w:rsidRPr="000B7F9F">
        <w:rPr>
          <w:rFonts w:cs="Frutiger LT Std 45 Light"/>
          <w:color w:val="000000"/>
          <w:szCs w:val="20"/>
          <w:lang w:val="en-US"/>
        </w:rPr>
        <w:t>For these reasons, an accurate assessment of physical climate-change related risks requires access to a unique set of granular data, scientific and actuarial expertise, new modelling methods as well as a deep understanding of the various business models employed in the insurance sector.</w:t>
      </w:r>
    </w:p>
    <w:p w14:paraId="2D47FCDC" w14:textId="77777777" w:rsidR="000B7F9F" w:rsidRPr="000B7F9F" w:rsidRDefault="000B7F9F" w:rsidP="00231CCC">
      <w:pPr>
        <w:rPr>
          <w:rFonts w:cs="Frutiger LT Std 45 Light"/>
          <w:color w:val="000000"/>
          <w:szCs w:val="20"/>
          <w:lang w:val="en-US"/>
        </w:rPr>
      </w:pPr>
    </w:p>
    <w:p w14:paraId="3DBC3C32" w14:textId="77777777" w:rsidR="000B7F9F" w:rsidRPr="000B7F9F" w:rsidRDefault="000B7F9F" w:rsidP="00231CCC">
      <w:pPr>
        <w:rPr>
          <w:rFonts w:cs="Frutiger LT Std 45 Light"/>
          <w:color w:val="000000"/>
          <w:szCs w:val="20"/>
          <w:lang w:val="en-US"/>
        </w:rPr>
      </w:pPr>
      <w:r w:rsidRPr="000B7F9F">
        <w:rPr>
          <w:rFonts w:cs="Frutiger LT Std 45 Light"/>
          <w:color w:val="000000"/>
          <w:szCs w:val="20"/>
          <w:lang w:val="en-US"/>
        </w:rPr>
        <w:t>The report highlights three key components to consider when modelling physical risks:</w:t>
      </w:r>
    </w:p>
    <w:p w14:paraId="6FD6F45C" w14:textId="18D703E3" w:rsidR="00DA67A2" w:rsidRPr="00DA67A2" w:rsidRDefault="000B7F9F" w:rsidP="00231CCC">
      <w:pPr>
        <w:pStyle w:val="CEABullet-Level1"/>
        <w:rPr>
          <w:lang w:val="en-US"/>
        </w:rPr>
      </w:pPr>
      <w:r w:rsidRPr="000B7F9F">
        <w:rPr>
          <w:lang w:val="en-US"/>
        </w:rPr>
        <w:t xml:space="preserve">The </w:t>
      </w:r>
      <w:r w:rsidRPr="00DA67A2">
        <w:rPr>
          <w:b/>
          <w:bCs/>
          <w:lang w:val="en-US"/>
        </w:rPr>
        <w:t>level of exposure</w:t>
      </w:r>
      <w:r w:rsidR="00800ADF">
        <w:rPr>
          <w:lang w:val="en-US"/>
        </w:rPr>
        <w:t xml:space="preserve"> </w:t>
      </w:r>
      <w:r w:rsidR="00B804A1">
        <w:t>estimating the potential share and composition of the population or the value and properties of assets at risk</w:t>
      </w:r>
      <w:r w:rsidR="00761BCF">
        <w:t>.</w:t>
      </w:r>
    </w:p>
    <w:p w14:paraId="7A57B39D" w14:textId="37F78135" w:rsidR="00DA67A2" w:rsidRPr="00DA67A2" w:rsidRDefault="00B92A31" w:rsidP="00231CCC">
      <w:pPr>
        <w:pStyle w:val="CEABullet-Level1"/>
        <w:rPr>
          <w:lang w:val="en-US"/>
        </w:rPr>
      </w:pPr>
      <w:r>
        <w:t>T</w:t>
      </w:r>
      <w:r w:rsidR="00B804A1">
        <w:t xml:space="preserve">he </w:t>
      </w:r>
      <w:r w:rsidR="00B804A1" w:rsidRPr="00DA67A2">
        <w:rPr>
          <w:b/>
          <w:bCs/>
        </w:rPr>
        <w:t>hazard</w:t>
      </w:r>
      <w:r w:rsidR="00B804A1">
        <w:t xml:space="preserve"> describing the physical characteristics, such as frequency and intensity, </w:t>
      </w:r>
      <w:r w:rsidR="0093608A">
        <w:t xml:space="preserve">and so the probability of occurrence </w:t>
      </w:r>
      <w:r w:rsidR="00B804A1">
        <w:t>of weather-related events</w:t>
      </w:r>
      <w:r w:rsidR="00590014">
        <w:t>.</w:t>
      </w:r>
    </w:p>
    <w:p w14:paraId="4222DD22" w14:textId="7ED95558" w:rsidR="000B7F9F" w:rsidRPr="00130AA0" w:rsidRDefault="00B92A31" w:rsidP="00231CCC">
      <w:pPr>
        <w:pStyle w:val="CEABullet-Level1"/>
        <w:rPr>
          <w:lang w:val="en-US"/>
        </w:rPr>
      </w:pPr>
      <w:r>
        <w:t>T</w:t>
      </w:r>
      <w:r w:rsidR="00B804A1">
        <w:t xml:space="preserve">he </w:t>
      </w:r>
      <w:r w:rsidR="00B804A1" w:rsidRPr="00DA67A2">
        <w:rPr>
          <w:b/>
          <w:bCs/>
        </w:rPr>
        <w:t>vulnerability</w:t>
      </w:r>
      <w:r w:rsidR="00B804A1">
        <w:t xml:space="preserve"> </w:t>
      </w:r>
      <w:r w:rsidR="001B45CD">
        <w:t>that reflects the propensity of exposed population or physical assets to suffer adverse effects from the impact of natural events</w:t>
      </w:r>
      <w:r w:rsidR="006B09AF">
        <w:t>.</w:t>
      </w:r>
    </w:p>
    <w:p w14:paraId="194364D5" w14:textId="0DC7D2DC" w:rsidR="0051083F" w:rsidRPr="00130AA0" w:rsidRDefault="0051083F" w:rsidP="00796799">
      <w:pPr>
        <w:pStyle w:val="CEABullet-Level1"/>
        <w:rPr>
          <w:b/>
          <w:bCs/>
          <w:lang w:val="en-US"/>
        </w:rPr>
      </w:pPr>
      <w:r w:rsidRPr="00130AA0">
        <w:rPr>
          <w:b/>
          <w:bCs/>
          <w:lang w:val="en-US"/>
        </w:rPr>
        <w:t>Insurance coverage</w:t>
      </w:r>
      <w:r w:rsidRPr="00796799">
        <w:rPr>
          <w:lang w:val="en-US"/>
        </w:rPr>
        <w:t xml:space="preserve"> </w:t>
      </w:r>
      <w:r w:rsidR="00796799" w:rsidRPr="00796799">
        <w:rPr>
          <w:lang w:val="en-US"/>
        </w:rPr>
        <w:t xml:space="preserve">in place to </w:t>
      </w:r>
      <w:proofErr w:type="gramStart"/>
      <w:r w:rsidR="00796799" w:rsidRPr="00796799">
        <w:rPr>
          <w:lang w:val="en-US"/>
        </w:rPr>
        <w:t>insure</w:t>
      </w:r>
      <w:proofErr w:type="gramEnd"/>
      <w:r w:rsidR="00796799" w:rsidRPr="00796799">
        <w:rPr>
          <w:lang w:val="en-US"/>
        </w:rPr>
        <w:t xml:space="preserve"> the objects will determine the final financial and underwriting risk to which the insurance sector is exposed</w:t>
      </w:r>
      <w:r w:rsidR="00796799">
        <w:rPr>
          <w:lang w:val="en-US"/>
        </w:rPr>
        <w:t>.</w:t>
      </w:r>
    </w:p>
    <w:p w14:paraId="62D42ABD" w14:textId="77777777" w:rsidR="00D22C37" w:rsidRDefault="00D22C37" w:rsidP="000311A4">
      <w:pPr>
        <w:pStyle w:val="CEABullet-Level1"/>
        <w:numPr>
          <w:ilvl w:val="0"/>
          <w:numId w:val="0"/>
        </w:numPr>
      </w:pPr>
    </w:p>
    <w:p w14:paraId="62B06DD2" w14:textId="0A6291A1" w:rsidR="000311A4" w:rsidRDefault="000311A4" w:rsidP="000311A4">
      <w:pPr>
        <w:pStyle w:val="CEABullet-Level1"/>
        <w:numPr>
          <w:ilvl w:val="0"/>
          <w:numId w:val="0"/>
        </w:numPr>
      </w:pPr>
      <w:r w:rsidRPr="00130AA0">
        <w:t xml:space="preserve">The report notes that </w:t>
      </w:r>
      <w:r>
        <w:t>o</w:t>
      </w:r>
      <w:r w:rsidRPr="00130AA0">
        <w:t>ver the long term, direct consequences of physical climate change risk are likely to affect insurers’</w:t>
      </w:r>
      <w:r w:rsidR="00D22C37">
        <w:t xml:space="preserve"> </w:t>
      </w:r>
      <w:r w:rsidRPr="00130AA0">
        <w:t>risk management</w:t>
      </w:r>
      <w:r w:rsidR="00D22C37">
        <w:t>/</w:t>
      </w:r>
      <w:r w:rsidRPr="00130AA0">
        <w:t>risk transfer</w:t>
      </w:r>
      <w:r w:rsidR="00D22C37">
        <w:t>/</w:t>
      </w:r>
      <w:r w:rsidRPr="00130AA0">
        <w:t>investment channels and their underwriting and pricing strategies.</w:t>
      </w:r>
      <w:r w:rsidR="00D22C37">
        <w:t xml:space="preserve"> </w:t>
      </w:r>
      <w:r w:rsidRPr="00130AA0">
        <w:t>Physical climate change risks may have different impacts on insurance companies</w:t>
      </w:r>
      <w:r w:rsidR="00F130F3">
        <w:t>, both on assets and liability side,</w:t>
      </w:r>
      <w:r w:rsidRPr="00130AA0">
        <w:t xml:space="preserve"> depending on</w:t>
      </w:r>
      <w:r w:rsidR="00F130F3">
        <w:t xml:space="preserve"> </w:t>
      </w:r>
      <w:r w:rsidRPr="00130AA0">
        <w:t>their characteristics</w:t>
      </w:r>
      <w:r w:rsidR="00C73C02">
        <w:t xml:space="preserve"> and </w:t>
      </w:r>
      <w:r w:rsidR="00055378">
        <w:t>impacts are likely to vary across regions.</w:t>
      </w:r>
    </w:p>
    <w:p w14:paraId="0F70AC32" w14:textId="77777777" w:rsidR="003E7363" w:rsidRDefault="003E7363" w:rsidP="000311A4">
      <w:pPr>
        <w:pStyle w:val="CEABullet-Level1"/>
        <w:numPr>
          <w:ilvl w:val="0"/>
          <w:numId w:val="0"/>
        </w:numPr>
      </w:pPr>
    </w:p>
    <w:p w14:paraId="667A335C" w14:textId="488AD916" w:rsidR="003E7363" w:rsidRDefault="003E7363" w:rsidP="003E7363">
      <w:pPr>
        <w:pStyle w:val="CEABullet-Level1"/>
        <w:numPr>
          <w:ilvl w:val="0"/>
          <w:numId w:val="0"/>
        </w:numPr>
      </w:pPr>
      <w:r w:rsidRPr="003E7363">
        <w:t>Furthermore, a knowledge</w:t>
      </w:r>
      <w:r>
        <w:t xml:space="preserve"> </w:t>
      </w:r>
      <w:r w:rsidRPr="003E7363">
        <w:t>gap, the tendency to project from past data and, in particular, the uncertainties around future</w:t>
      </w:r>
      <w:r>
        <w:t xml:space="preserve"> </w:t>
      </w:r>
      <w:r w:rsidRPr="003E7363">
        <w:t>climate projections may lead to mispricing and under-reserving.</w:t>
      </w:r>
      <w:r w:rsidR="003E2AC3">
        <w:t xml:space="preserve"> And </w:t>
      </w:r>
      <w:r w:rsidR="00230CB0">
        <w:t>consequently,</w:t>
      </w:r>
      <w:r w:rsidR="003E2AC3">
        <w:t xml:space="preserve"> underwriting strategies may need to be adapted. </w:t>
      </w:r>
    </w:p>
    <w:p w14:paraId="603D9262" w14:textId="77777777" w:rsidR="001F205B" w:rsidRDefault="001F205B" w:rsidP="003E7363">
      <w:pPr>
        <w:pStyle w:val="CEABullet-Level1"/>
        <w:numPr>
          <w:ilvl w:val="0"/>
          <w:numId w:val="0"/>
        </w:numPr>
      </w:pPr>
    </w:p>
    <w:p w14:paraId="175DB6CD" w14:textId="77777777" w:rsidR="0011054B" w:rsidRDefault="001F205B">
      <w:pPr>
        <w:pStyle w:val="CEABullet-Level1"/>
        <w:numPr>
          <w:ilvl w:val="0"/>
          <w:numId w:val="0"/>
        </w:numPr>
      </w:pPr>
      <w:r>
        <w:t>Reinsuran</w:t>
      </w:r>
      <w:r w:rsidR="00C22FAF">
        <w:t>ce may mitigate the risks for indivi</w:t>
      </w:r>
      <w:r w:rsidR="002711CB">
        <w:t xml:space="preserve">dual insurers, </w:t>
      </w:r>
      <w:r w:rsidR="008F0847">
        <w:t xml:space="preserve">however, </w:t>
      </w:r>
      <w:r w:rsidR="000A6448">
        <w:t>due to increasing severity/frequency of weather events</w:t>
      </w:r>
      <w:r w:rsidR="00A10797">
        <w:t xml:space="preserve">, reinsurance may become more expensive/restricted/unavailable, thereby </w:t>
      </w:r>
      <w:r w:rsidR="0011054B">
        <w:t xml:space="preserve">widening the insurance protection gap. </w:t>
      </w:r>
    </w:p>
    <w:p w14:paraId="1882015F" w14:textId="77777777" w:rsidR="0011054B" w:rsidRDefault="0011054B">
      <w:pPr>
        <w:pStyle w:val="CEABullet-Level1"/>
        <w:numPr>
          <w:ilvl w:val="0"/>
          <w:numId w:val="0"/>
        </w:numPr>
      </w:pPr>
    </w:p>
    <w:p w14:paraId="660B9665" w14:textId="0F075747" w:rsidR="001F205B" w:rsidRDefault="0011054B" w:rsidP="00227CA3">
      <w:pPr>
        <w:pStyle w:val="CEABullet-Level1"/>
        <w:numPr>
          <w:ilvl w:val="0"/>
          <w:numId w:val="0"/>
        </w:numPr>
      </w:pPr>
      <w:r>
        <w:t xml:space="preserve">Insurers can reprice </w:t>
      </w:r>
      <w:r w:rsidR="00AB0186">
        <w:t>contracts when risk</w:t>
      </w:r>
      <w:r w:rsidR="00E548BF">
        <w:t>s</w:t>
      </w:r>
      <w:r w:rsidR="00AB0186">
        <w:t xml:space="preserve"> change, </w:t>
      </w:r>
      <w:r w:rsidR="008966F0">
        <w:t>but often past data is used, which may not fully capture the emergin</w:t>
      </w:r>
      <w:r w:rsidR="00853D17">
        <w:t xml:space="preserve">g climate trends. Or insurance coverage could become unaffordable for policyholders. </w:t>
      </w:r>
      <w:r w:rsidR="008F0847">
        <w:t xml:space="preserve"> </w:t>
      </w:r>
      <w:r w:rsidR="00227CA3">
        <w:t>Against this background, may also expose insurers to reputational risks and have broader macroeconomic implications.</w:t>
      </w:r>
    </w:p>
    <w:p w14:paraId="598E4875" w14:textId="77777777" w:rsidR="00494C02" w:rsidRDefault="00494C02" w:rsidP="00227CA3">
      <w:pPr>
        <w:pStyle w:val="CEABullet-Level1"/>
        <w:numPr>
          <w:ilvl w:val="0"/>
          <w:numId w:val="0"/>
        </w:numPr>
      </w:pPr>
    </w:p>
    <w:p w14:paraId="476EE811" w14:textId="04487555" w:rsidR="00494C02" w:rsidRPr="00130AA0" w:rsidRDefault="00494C02" w:rsidP="00130AA0">
      <w:pPr>
        <w:pStyle w:val="CEABullet-Level1"/>
        <w:numPr>
          <w:ilvl w:val="0"/>
          <w:numId w:val="0"/>
        </w:numPr>
        <w:jc w:val="left"/>
      </w:pPr>
      <w:r w:rsidRPr="00130AA0">
        <w:t xml:space="preserve">Insurers might thus need to explore innovative product design, such as </w:t>
      </w:r>
      <w:r w:rsidRPr="00130AA0">
        <w:rPr>
          <w:i/>
          <w:iCs/>
        </w:rPr>
        <w:t>impact underwriting</w:t>
      </w:r>
      <w:r w:rsidRPr="00130AA0">
        <w:t>, to</w:t>
      </w:r>
      <w:r w:rsidR="0027643E">
        <w:t xml:space="preserve"> </w:t>
      </w:r>
      <w:r w:rsidRPr="00130AA0">
        <w:t>keep insurance available and affordable and to avoid the widening of protection gaps.</w:t>
      </w:r>
      <w:r w:rsidR="00997FA2" w:rsidRPr="00130AA0">
        <w:t xml:space="preserve"> </w:t>
      </w:r>
      <w:r w:rsidR="00230CB0" w:rsidRPr="00130AA0">
        <w:t>Also,</w:t>
      </w:r>
      <w:r w:rsidR="00997FA2" w:rsidRPr="00130AA0">
        <w:t xml:space="preserve"> </w:t>
      </w:r>
      <w:r w:rsidR="00BF1481" w:rsidRPr="00130AA0">
        <w:t xml:space="preserve">information sharing, </w:t>
      </w:r>
      <w:proofErr w:type="spellStart"/>
      <w:proofErr w:type="gramStart"/>
      <w:r w:rsidR="00BF1481" w:rsidRPr="00130AA0">
        <w:t>eg</w:t>
      </w:r>
      <w:proofErr w:type="spellEnd"/>
      <w:proofErr w:type="gramEnd"/>
      <w:r w:rsidR="00BF1481" w:rsidRPr="00130AA0">
        <w:t xml:space="preserve"> on risk assessment and possible adaptation measures, could p</w:t>
      </w:r>
      <w:r w:rsidR="0027643E" w:rsidRPr="00130AA0">
        <w:t xml:space="preserve">lay a role. </w:t>
      </w:r>
    </w:p>
    <w:p w14:paraId="5C3D8403" w14:textId="6BA36244" w:rsidR="001E1DAE" w:rsidRDefault="001E1DAE" w:rsidP="00231CCC">
      <w:pPr>
        <w:pStyle w:val="CEABullet-Level1"/>
        <w:numPr>
          <w:ilvl w:val="0"/>
          <w:numId w:val="0"/>
        </w:numPr>
        <w:rPr>
          <w:lang w:val="en-US"/>
        </w:rPr>
      </w:pPr>
    </w:p>
    <w:p w14:paraId="0B1ECB94" w14:textId="07B74E35" w:rsidR="00D51F43" w:rsidRDefault="008A11AE" w:rsidP="00231CCC">
      <w:pPr>
        <w:pStyle w:val="CEABullet-Level1"/>
        <w:numPr>
          <w:ilvl w:val="0"/>
          <w:numId w:val="0"/>
        </w:numPr>
        <w:rPr>
          <w:b/>
          <w:bCs/>
          <w:lang w:val="en-US"/>
        </w:rPr>
      </w:pPr>
      <w:r>
        <w:rPr>
          <w:b/>
          <w:bCs/>
          <w:lang w:val="en-US"/>
        </w:rPr>
        <w:t>2. APPROACH AND METHODOLOGY</w:t>
      </w:r>
    </w:p>
    <w:p w14:paraId="007B848E" w14:textId="77777777" w:rsidR="004F646A" w:rsidRPr="00130AA0" w:rsidRDefault="004F646A" w:rsidP="00231CCC">
      <w:pPr>
        <w:pStyle w:val="CEABullet-Level1"/>
        <w:numPr>
          <w:ilvl w:val="0"/>
          <w:numId w:val="0"/>
        </w:numPr>
        <w:rPr>
          <w:lang w:val="en-US"/>
        </w:rPr>
      </w:pPr>
    </w:p>
    <w:p w14:paraId="66F4A0D0" w14:textId="1D3D161E" w:rsidR="008A11AE" w:rsidRDefault="002911F4" w:rsidP="00231CCC">
      <w:pPr>
        <w:pStyle w:val="CEABullet-Level1"/>
        <w:numPr>
          <w:ilvl w:val="0"/>
          <w:numId w:val="0"/>
        </w:numPr>
      </w:pPr>
      <w:r w:rsidRPr="006A11EB">
        <w:t>The complexity and uncertainty in terms of time horizons and potential future pathway and developments make it difficult to precisely assess these risks.</w:t>
      </w:r>
      <w:r>
        <w:t xml:space="preserve"> Therefore, this </w:t>
      </w:r>
      <w:r w:rsidRPr="00130AA0">
        <w:rPr>
          <w:b/>
          <w:bCs/>
        </w:rPr>
        <w:t xml:space="preserve">report should be seen as </w:t>
      </w:r>
      <w:r w:rsidR="00CD6460" w:rsidRPr="00130AA0">
        <w:rPr>
          <w:b/>
          <w:bCs/>
        </w:rPr>
        <w:t xml:space="preserve">an exploratory, </w:t>
      </w:r>
      <w:r w:rsidRPr="00130AA0">
        <w:rPr>
          <w:b/>
          <w:bCs/>
        </w:rPr>
        <w:t>first learning exercise</w:t>
      </w:r>
      <w:r>
        <w:t>, aiming at understanding the share of the insurance sector’s exposure that may be at risk due to potential increase in frequency and severity of climate related hazards</w:t>
      </w:r>
      <w:r w:rsidR="00EF7980">
        <w:t xml:space="preserve"> (such as flood, windstorm and wildfire)</w:t>
      </w:r>
      <w:r w:rsidR="0069337A">
        <w:t xml:space="preserve"> or the emergence of new perils which need to be increasingly monitored.</w:t>
      </w:r>
    </w:p>
    <w:p w14:paraId="6F91CDAD" w14:textId="77777777" w:rsidR="001E1DAE" w:rsidRDefault="001E1DAE" w:rsidP="00231CCC">
      <w:pPr>
        <w:pStyle w:val="CEABullet-Level1"/>
        <w:numPr>
          <w:ilvl w:val="0"/>
          <w:numId w:val="0"/>
        </w:numPr>
      </w:pPr>
    </w:p>
    <w:p w14:paraId="6FF18CC7" w14:textId="57B1EED9" w:rsidR="001E1DAE" w:rsidRDefault="00A4604F" w:rsidP="00850803">
      <w:pPr>
        <w:pStyle w:val="CEABullet-Level1"/>
        <w:numPr>
          <w:ilvl w:val="0"/>
          <w:numId w:val="0"/>
        </w:numPr>
      </w:pPr>
      <w:r>
        <w:t xml:space="preserve">The </w:t>
      </w:r>
      <w:r w:rsidRPr="00130AA0">
        <w:rPr>
          <w:b/>
          <w:bCs/>
        </w:rPr>
        <w:t xml:space="preserve">impact of climate change is potentially </w:t>
      </w:r>
      <w:r w:rsidR="00DB6793" w:rsidRPr="00130AA0">
        <w:rPr>
          <w:b/>
          <w:bCs/>
        </w:rPr>
        <w:t xml:space="preserve">more </w:t>
      </w:r>
      <w:r w:rsidRPr="00130AA0">
        <w:rPr>
          <w:b/>
          <w:bCs/>
        </w:rPr>
        <w:t>significant for the property insurance business</w:t>
      </w:r>
      <w:r>
        <w:t xml:space="preserve">. </w:t>
      </w:r>
      <w:r w:rsidR="003B746A">
        <w:t>T</w:t>
      </w:r>
      <w:r>
        <w:t xml:space="preserve">his study focuses specifically on the potential consequences of physical climate change risk on </w:t>
      </w:r>
      <w:r w:rsidR="003B746A">
        <w:t>buildings, content, and business interruption insurance coverages</w:t>
      </w:r>
      <w:r>
        <w:t xml:space="preserve">. </w:t>
      </w:r>
      <w:r w:rsidR="00850803" w:rsidRPr="00130AA0">
        <w:t>With this discussion paper, EIOPA aims at raising awareness, stimulating the discussion and understanding how insurers are exposed via their buildings, content and business interruption insurance businesses to physical climate change risk.</w:t>
      </w:r>
    </w:p>
    <w:p w14:paraId="6AB79554" w14:textId="77777777" w:rsidR="00D73E43" w:rsidRDefault="00D73E43" w:rsidP="00231CCC">
      <w:pPr>
        <w:pStyle w:val="CEABullet-Level1"/>
        <w:numPr>
          <w:ilvl w:val="0"/>
          <w:numId w:val="0"/>
        </w:numPr>
      </w:pPr>
    </w:p>
    <w:p w14:paraId="65C92A59" w14:textId="79789C53" w:rsidR="00D73E43" w:rsidRDefault="00D73E43" w:rsidP="00231CCC">
      <w:pPr>
        <w:pStyle w:val="CEABullet-Level1"/>
        <w:numPr>
          <w:ilvl w:val="0"/>
          <w:numId w:val="0"/>
        </w:numPr>
      </w:pPr>
      <w:r>
        <w:t xml:space="preserve">Assessing physical risk requires </w:t>
      </w:r>
      <w:r w:rsidRPr="00130AA0">
        <w:rPr>
          <w:b/>
          <w:bCs/>
        </w:rPr>
        <w:t>granular information</w:t>
      </w:r>
      <w:r>
        <w:t xml:space="preserve"> on the geo-spatial characteristics of insurers’ exposures as well as data on physical risk hazard and vulnerability.</w:t>
      </w:r>
      <w:r w:rsidR="008B06EE">
        <w:t xml:space="preserve"> Although </w:t>
      </w:r>
      <w:r w:rsidR="008B06EE" w:rsidRPr="00130AA0">
        <w:rPr>
          <w:b/>
          <w:bCs/>
        </w:rPr>
        <w:t xml:space="preserve">Solvency II data is a good </w:t>
      </w:r>
      <w:r w:rsidR="008B06EE" w:rsidRPr="00130AA0">
        <w:rPr>
          <w:b/>
          <w:bCs/>
        </w:rPr>
        <w:lastRenderedPageBreak/>
        <w:t>starting point</w:t>
      </w:r>
      <w:r w:rsidR="008B06EE">
        <w:t xml:space="preserve"> for an exploratory analysis, additional and more granular information is required to measur</w:t>
      </w:r>
      <w:r w:rsidR="00496FA2">
        <w:t>e</w:t>
      </w:r>
      <w:r w:rsidR="008B06EE">
        <w:t xml:space="preserve"> the exposure to key climate relevant perils and assess the potential impact of physical risk under different horizons and scenarios. For this reason, EIOPA launched an ad hoc data collection</w:t>
      </w:r>
      <w:r w:rsidR="00A5637A">
        <w:t>.</w:t>
      </w:r>
    </w:p>
    <w:p w14:paraId="598EB1B7" w14:textId="77777777" w:rsidR="00513663" w:rsidRDefault="00513663" w:rsidP="00231CCC">
      <w:pPr>
        <w:pStyle w:val="CEABullet-Level1"/>
        <w:numPr>
          <w:ilvl w:val="0"/>
          <w:numId w:val="0"/>
        </w:numPr>
      </w:pPr>
    </w:p>
    <w:p w14:paraId="2C67502C" w14:textId="066C9C8A" w:rsidR="00513663" w:rsidRPr="00324BD4" w:rsidRDefault="00D45124" w:rsidP="00231CCC">
      <w:pPr>
        <w:pStyle w:val="CEABullet-Level1"/>
        <w:numPr>
          <w:ilvl w:val="0"/>
          <w:numId w:val="0"/>
        </w:numPr>
        <w:rPr>
          <w:b/>
          <w:bCs/>
        </w:rPr>
      </w:pPr>
      <w:r>
        <w:t xml:space="preserve">The </w:t>
      </w:r>
      <w:r w:rsidRPr="00130AA0">
        <w:rPr>
          <w:b/>
          <w:bCs/>
        </w:rPr>
        <w:t xml:space="preserve">analysis focuses on four key </w:t>
      </w:r>
      <w:r w:rsidR="00F613C8" w:rsidRPr="00130AA0">
        <w:rPr>
          <w:b/>
          <w:bCs/>
        </w:rPr>
        <w:t>weather-related</w:t>
      </w:r>
      <w:r w:rsidRPr="00130AA0">
        <w:rPr>
          <w:b/>
          <w:bCs/>
        </w:rPr>
        <w:t xml:space="preserve"> perils</w:t>
      </w:r>
      <w:r>
        <w:t xml:space="preserve">: </w:t>
      </w:r>
      <w:r w:rsidRPr="00130AA0">
        <w:t xml:space="preserve">windstorm, </w:t>
      </w:r>
      <w:r w:rsidR="00F613C8" w:rsidRPr="00130AA0">
        <w:t>wildfire,</w:t>
      </w:r>
      <w:r w:rsidRPr="00130AA0">
        <w:t xml:space="preserve"> coastal</w:t>
      </w:r>
      <w:r w:rsidR="007F6EFC">
        <w:t xml:space="preserve"> and </w:t>
      </w:r>
      <w:r w:rsidRPr="00130AA0">
        <w:t>river flood.</w:t>
      </w:r>
    </w:p>
    <w:p w14:paraId="56CF5A7B" w14:textId="77777777" w:rsidR="00D45124" w:rsidRDefault="00D45124" w:rsidP="00231CCC">
      <w:pPr>
        <w:pStyle w:val="CEABullet-Level1"/>
        <w:numPr>
          <w:ilvl w:val="0"/>
          <w:numId w:val="0"/>
        </w:numPr>
      </w:pPr>
    </w:p>
    <w:p w14:paraId="1FCE8B49" w14:textId="569AE65B" w:rsidR="00D45124" w:rsidRDefault="00862DEF" w:rsidP="00231CCC">
      <w:pPr>
        <w:pStyle w:val="CEABullet-Level1"/>
        <w:numPr>
          <w:ilvl w:val="0"/>
          <w:numId w:val="0"/>
        </w:numPr>
      </w:pPr>
      <w:r>
        <w:t xml:space="preserve">The </w:t>
      </w:r>
      <w:r w:rsidRPr="00130AA0">
        <w:rPr>
          <w:b/>
          <w:bCs/>
        </w:rPr>
        <w:t>sample</w:t>
      </w:r>
      <w:r>
        <w:t xml:space="preserve"> includes 35 groups</w:t>
      </w:r>
      <w:r w:rsidR="00EE220C">
        <w:t>,</w:t>
      </w:r>
      <w:r>
        <w:t xml:space="preserve"> 9 non-life and composite solo undertakings with relevant exposure to fire and other damages to property business.</w:t>
      </w:r>
      <w:r w:rsidR="00E8400E">
        <w:t xml:space="preserve"> The selected sample </w:t>
      </w:r>
      <w:r w:rsidR="00785606">
        <w:t>represents</w:t>
      </w:r>
      <w:r w:rsidR="00E8400E">
        <w:t xml:space="preserve"> at least 50% coverage at country level for 24 jurisdictions.</w:t>
      </w:r>
      <w:r w:rsidR="00785606">
        <w:t xml:space="preserve"> On aggregate, the groups and solos in the sample cover approximately 59% of the EEA-wide market in terms of gross premiums (for direct business) written in 2020 for fire and other damages to property insurance </w:t>
      </w:r>
      <w:proofErr w:type="spellStart"/>
      <w:r w:rsidR="00785606">
        <w:t>LoB</w:t>
      </w:r>
      <w:proofErr w:type="spellEnd"/>
      <w:r w:rsidR="00230CB0">
        <w:t>.</w:t>
      </w:r>
    </w:p>
    <w:p w14:paraId="32BA6FAD" w14:textId="77777777" w:rsidR="00862DEF" w:rsidRDefault="00862DEF" w:rsidP="00231CCC">
      <w:pPr>
        <w:pStyle w:val="CEABullet-Level1"/>
        <w:numPr>
          <w:ilvl w:val="0"/>
          <w:numId w:val="0"/>
        </w:numPr>
      </w:pPr>
    </w:p>
    <w:p w14:paraId="78AB2F96" w14:textId="77777777" w:rsidR="007F6C62" w:rsidRPr="003864A4" w:rsidRDefault="007F6C62" w:rsidP="00231CCC">
      <w:pPr>
        <w:pStyle w:val="CEABullet-Level1"/>
        <w:numPr>
          <w:ilvl w:val="0"/>
          <w:numId w:val="0"/>
        </w:numPr>
      </w:pPr>
    </w:p>
    <w:p w14:paraId="785ABCF0" w14:textId="34F4B5E8" w:rsidR="00862DEF" w:rsidRDefault="00D2759A" w:rsidP="00231CCC">
      <w:pPr>
        <w:pStyle w:val="CEABullet-Level1"/>
        <w:numPr>
          <w:ilvl w:val="0"/>
          <w:numId w:val="0"/>
        </w:numPr>
        <w:rPr>
          <w:b/>
          <w:bCs/>
          <w:lang w:val="en-US"/>
        </w:rPr>
      </w:pPr>
      <w:r>
        <w:rPr>
          <w:b/>
          <w:bCs/>
          <w:lang w:val="en-US"/>
        </w:rPr>
        <w:t>3. MAIN FINDINGS</w:t>
      </w:r>
    </w:p>
    <w:p w14:paraId="552A9EB8" w14:textId="77777777" w:rsidR="00D2759A" w:rsidRDefault="00D2759A" w:rsidP="00231CCC">
      <w:pPr>
        <w:pStyle w:val="CEABullet-Level1"/>
        <w:numPr>
          <w:ilvl w:val="0"/>
          <w:numId w:val="0"/>
        </w:numPr>
        <w:rPr>
          <w:b/>
          <w:bCs/>
          <w:lang w:val="en-US"/>
        </w:rPr>
      </w:pPr>
    </w:p>
    <w:p w14:paraId="6FFBBC8F" w14:textId="5EE22740" w:rsidR="00D2759A" w:rsidRDefault="00D42C71" w:rsidP="00231CCC">
      <w:pPr>
        <w:pStyle w:val="CEABullet-Level1"/>
        <w:numPr>
          <w:ilvl w:val="0"/>
          <w:numId w:val="0"/>
        </w:numPr>
      </w:pPr>
      <w:r>
        <w:t xml:space="preserve">This chapter </w:t>
      </w:r>
      <w:r w:rsidR="00EB048C">
        <w:t>reports</w:t>
      </w:r>
      <w:r>
        <w:t xml:space="preserve"> the main findings based on quantitative and qualitative</w:t>
      </w:r>
      <w:r w:rsidR="001D1E7E">
        <w:t xml:space="preserve"> data from the sample</w:t>
      </w:r>
      <w:r w:rsidR="00785606">
        <w:t>.</w:t>
      </w:r>
    </w:p>
    <w:p w14:paraId="475C9A7C" w14:textId="77777777" w:rsidR="00DB23C9" w:rsidRDefault="00DB23C9" w:rsidP="0022326A">
      <w:pPr>
        <w:pStyle w:val="CEABullet-Level1"/>
        <w:numPr>
          <w:ilvl w:val="0"/>
          <w:numId w:val="0"/>
        </w:numPr>
      </w:pPr>
    </w:p>
    <w:p w14:paraId="5AD06626" w14:textId="6BBD6B49" w:rsidR="00872804" w:rsidRPr="00130AA0" w:rsidRDefault="00872804" w:rsidP="009F70CC">
      <w:pPr>
        <w:pStyle w:val="CEABullet-Level1"/>
        <w:numPr>
          <w:ilvl w:val="0"/>
          <w:numId w:val="0"/>
        </w:numPr>
        <w:rPr>
          <w:i/>
          <w:iCs/>
          <w:u w:val="single"/>
        </w:rPr>
      </w:pPr>
      <w:r w:rsidRPr="00130AA0">
        <w:rPr>
          <w:i/>
          <w:iCs/>
          <w:u w:val="single"/>
        </w:rPr>
        <w:t>Understanding the EU insurance sector exposures</w:t>
      </w:r>
    </w:p>
    <w:p w14:paraId="3676800C" w14:textId="77777777" w:rsidR="005001A2" w:rsidRDefault="005001A2" w:rsidP="005001A2">
      <w:pPr>
        <w:pStyle w:val="CEABullet-Level1"/>
        <w:numPr>
          <w:ilvl w:val="0"/>
          <w:numId w:val="0"/>
        </w:numPr>
      </w:pPr>
      <w:r>
        <w:t xml:space="preserve">It should be noted that </w:t>
      </w:r>
      <w:r w:rsidRPr="00DD508B">
        <w:t>primary insurance conditions for natural perils coverage vary across markets and within each country</w:t>
      </w:r>
      <w:r>
        <w:t xml:space="preserve">. For example, damage contracts are often multi risk, covering all or a subset of the perils considered in the paper and in some MS flood/wildfire coverages are included in the property and fire insurance. Currently, most EEA countries do not require mandatory insurance coverage for natural catastrophes. The report includes an overview of national insurance schemes and product characteristics. </w:t>
      </w:r>
    </w:p>
    <w:p w14:paraId="59292BA2" w14:textId="77777777" w:rsidR="00C71BF1" w:rsidRDefault="00C71BF1" w:rsidP="00231CCC">
      <w:pPr>
        <w:pStyle w:val="CEABullet-Level1"/>
        <w:numPr>
          <w:ilvl w:val="0"/>
          <w:numId w:val="0"/>
        </w:numPr>
      </w:pPr>
    </w:p>
    <w:p w14:paraId="3F71110E" w14:textId="77777777" w:rsidR="00194563" w:rsidRPr="00130AA0" w:rsidRDefault="00194563" w:rsidP="00194563">
      <w:pPr>
        <w:pStyle w:val="CEABullet-Level1"/>
        <w:numPr>
          <w:ilvl w:val="0"/>
          <w:numId w:val="0"/>
        </w:numPr>
        <w:rPr>
          <w:i/>
          <w:iCs/>
          <w:u w:val="single"/>
        </w:rPr>
      </w:pPr>
      <w:r w:rsidRPr="00130AA0">
        <w:rPr>
          <w:i/>
          <w:iCs/>
          <w:u w:val="single"/>
        </w:rPr>
        <w:t>Current trends in the insurance sector in terms of climate change</w:t>
      </w:r>
    </w:p>
    <w:p w14:paraId="607E802B" w14:textId="77777777" w:rsidR="0012501C" w:rsidRDefault="008867D0" w:rsidP="00CE09C2">
      <w:pPr>
        <w:pStyle w:val="CEABullet-Level1"/>
        <w:numPr>
          <w:ilvl w:val="0"/>
          <w:numId w:val="0"/>
        </w:numPr>
      </w:pPr>
      <w:r>
        <w:t>C</w:t>
      </w:r>
      <w:r w:rsidR="00BC774B">
        <w:t>limate change is exacerbating the frequency and severity of weather-related events. In particular, global warming is influencing weather related hazards.</w:t>
      </w:r>
    </w:p>
    <w:p w14:paraId="77FDE98D" w14:textId="77777777" w:rsidR="0012501C" w:rsidRDefault="0012501C" w:rsidP="00CE09C2">
      <w:pPr>
        <w:pStyle w:val="CEABullet-Level1"/>
        <w:numPr>
          <w:ilvl w:val="0"/>
          <w:numId w:val="0"/>
        </w:numPr>
      </w:pPr>
    </w:p>
    <w:p w14:paraId="7D018689" w14:textId="7007D832" w:rsidR="00CE09C2" w:rsidRDefault="000778F9" w:rsidP="00CE09C2">
      <w:pPr>
        <w:pStyle w:val="CEABullet-Level1"/>
        <w:numPr>
          <w:ilvl w:val="0"/>
          <w:numId w:val="0"/>
        </w:numPr>
      </w:pPr>
      <w:r>
        <w:t>The historical trends analysis of temperature and precipitation related variables reveals that negative consequences of climate change are already visible today.</w:t>
      </w:r>
      <w:r w:rsidR="00851139">
        <w:t xml:space="preserve"> </w:t>
      </w:r>
      <w:r w:rsidR="002D7D2A">
        <w:t>The</w:t>
      </w:r>
      <w:r w:rsidR="00851139">
        <w:t xml:space="preserve"> report reveals different trends depending on the season and region considered. The identification of such trends is not trivial due to the complex interplay of socio-economic and natural factors.</w:t>
      </w:r>
    </w:p>
    <w:p w14:paraId="39F1754F" w14:textId="77777777" w:rsidR="00063F6D" w:rsidRDefault="00063F6D" w:rsidP="00CE09C2">
      <w:pPr>
        <w:pStyle w:val="CEABullet-Level1"/>
        <w:numPr>
          <w:ilvl w:val="0"/>
          <w:numId w:val="0"/>
        </w:numPr>
      </w:pPr>
    </w:p>
    <w:p w14:paraId="702AE584" w14:textId="36668019" w:rsidR="00063F6D" w:rsidRDefault="004344DC" w:rsidP="00CE09C2">
      <w:pPr>
        <w:pStyle w:val="CEABullet-Level1"/>
        <w:numPr>
          <w:ilvl w:val="0"/>
          <w:numId w:val="0"/>
        </w:numPr>
      </w:pPr>
      <w:r>
        <w:t>Q</w:t>
      </w:r>
      <w:r w:rsidR="008E60CE">
        <w:t xml:space="preserve">ualitative information </w:t>
      </w:r>
      <w:r w:rsidR="00110FFF">
        <w:t>was</w:t>
      </w:r>
      <w:r w:rsidR="00D16FB8">
        <w:t xml:space="preserve"> </w:t>
      </w:r>
      <w:r w:rsidR="008E60CE">
        <w:t>collected from participants on observed developments and their future expectations in light of climate change in relation to a broader set of weather-related hazards.</w:t>
      </w:r>
    </w:p>
    <w:p w14:paraId="42DAD0AD" w14:textId="77777777" w:rsidR="007C64E6" w:rsidRDefault="007C64E6" w:rsidP="00CE09C2">
      <w:pPr>
        <w:pStyle w:val="CEABullet-Level1"/>
        <w:numPr>
          <w:ilvl w:val="0"/>
          <w:numId w:val="0"/>
        </w:numPr>
      </w:pPr>
    </w:p>
    <w:p w14:paraId="4AE67924" w14:textId="77777777" w:rsidR="00E347DE" w:rsidRPr="00130AA0" w:rsidRDefault="00E347DE" w:rsidP="00E347DE">
      <w:pPr>
        <w:pStyle w:val="CEABullet-Level1"/>
        <w:numPr>
          <w:ilvl w:val="0"/>
          <w:numId w:val="0"/>
        </w:numPr>
        <w:rPr>
          <w:i/>
          <w:iCs/>
        </w:rPr>
      </w:pPr>
      <w:r w:rsidRPr="00130AA0">
        <w:rPr>
          <w:i/>
          <w:iCs/>
        </w:rPr>
        <w:t>Historical consequences of major natural catastrophes in light of climate change</w:t>
      </w:r>
    </w:p>
    <w:p w14:paraId="6E8704FD" w14:textId="597AF071" w:rsidR="00E347DE" w:rsidRDefault="00866010" w:rsidP="002F7A78">
      <w:pPr>
        <w:pStyle w:val="CEABullet-Level1"/>
        <w:numPr>
          <w:ilvl w:val="0"/>
          <w:numId w:val="0"/>
        </w:numPr>
      </w:pPr>
      <w:r>
        <w:t xml:space="preserve">In the analysis three </w:t>
      </w:r>
      <w:r w:rsidR="00166A6A">
        <w:t>major natural catastrophes were considered, windstorm Ciara (</w:t>
      </w:r>
      <w:r w:rsidR="008E785A">
        <w:t xml:space="preserve">February 2020), forest fire in Portugal (June 2017), </w:t>
      </w:r>
      <w:r w:rsidR="00C15C98">
        <w:t xml:space="preserve">Floods affecting several countries such as Germany, Czech, </w:t>
      </w:r>
      <w:r w:rsidR="00FF73D4">
        <w:t>Hungary and Austria (June 2013)</w:t>
      </w:r>
      <w:r w:rsidR="00606F18">
        <w:t>.</w:t>
      </w:r>
    </w:p>
    <w:p w14:paraId="48B0920B" w14:textId="77777777" w:rsidR="0015499F" w:rsidRDefault="0015499F" w:rsidP="002F7A78">
      <w:pPr>
        <w:pStyle w:val="CEABullet-Level1"/>
        <w:numPr>
          <w:ilvl w:val="0"/>
          <w:numId w:val="0"/>
        </w:numPr>
      </w:pPr>
    </w:p>
    <w:p w14:paraId="765889A2" w14:textId="5F33AE07" w:rsidR="00606F18" w:rsidRPr="00130AA0" w:rsidRDefault="00606F18" w:rsidP="002F7A78">
      <w:pPr>
        <w:pStyle w:val="CEABullet-Level1"/>
        <w:numPr>
          <w:ilvl w:val="0"/>
          <w:numId w:val="0"/>
        </w:numPr>
      </w:pPr>
      <w:r>
        <w:t xml:space="preserve">The data gathered focused on claims and </w:t>
      </w:r>
      <w:r w:rsidR="005D6DA7">
        <w:t xml:space="preserve">was split between commercial and residential exposures and by type of coverage. </w:t>
      </w:r>
    </w:p>
    <w:p w14:paraId="61B7EB51" w14:textId="77777777" w:rsidR="00E347DE" w:rsidRDefault="00E347DE" w:rsidP="002F7A78">
      <w:pPr>
        <w:pStyle w:val="CEABullet-Level1"/>
        <w:numPr>
          <w:ilvl w:val="0"/>
          <w:numId w:val="0"/>
        </w:numPr>
        <w:rPr>
          <w:i/>
          <w:iCs/>
        </w:rPr>
      </w:pPr>
    </w:p>
    <w:p w14:paraId="0303FDA7" w14:textId="668043DA" w:rsidR="002F7A78" w:rsidRPr="00130AA0" w:rsidRDefault="002F7A78" w:rsidP="002F7A78">
      <w:pPr>
        <w:pStyle w:val="CEABullet-Level1"/>
        <w:numPr>
          <w:ilvl w:val="0"/>
          <w:numId w:val="0"/>
        </w:numPr>
        <w:rPr>
          <w:i/>
          <w:iCs/>
          <w:szCs w:val="17"/>
          <w:u w:val="single"/>
        </w:rPr>
      </w:pPr>
      <w:r w:rsidRPr="00130AA0">
        <w:rPr>
          <w:i/>
          <w:iCs/>
          <w:szCs w:val="17"/>
          <w:u w:val="single"/>
        </w:rPr>
        <w:t xml:space="preserve">Current physical risk and forward-looking expectations </w:t>
      </w:r>
    </w:p>
    <w:p w14:paraId="00646EFA" w14:textId="5D2B8F84" w:rsidR="002D1653" w:rsidRDefault="0062626F" w:rsidP="00CE09C2">
      <w:pPr>
        <w:pStyle w:val="CEABullet-Level1"/>
        <w:numPr>
          <w:ilvl w:val="0"/>
          <w:numId w:val="0"/>
        </w:numPr>
      </w:pPr>
      <w:r>
        <w:t>The results highlight that more than 50% of the sample has not undertaken any climate change analyses yet</w:t>
      </w:r>
      <w:r w:rsidR="00110FFF">
        <w:t xml:space="preserve"> and </w:t>
      </w:r>
      <w:r w:rsidR="005A4005">
        <w:t>especially smaller insurers still need to build expertise.</w:t>
      </w:r>
      <w:r w:rsidR="005A30BE">
        <w:t xml:space="preserve"> Depending on peril and time horizon, between 27% and 40% of the companies were unable to provide a qualitative assessment on global developments.</w:t>
      </w:r>
      <w:r w:rsidR="00604F82">
        <w:t xml:space="preserve"> In general, more information was provided in relation to their forward-looking expectations rather than on the already observed trends.</w:t>
      </w:r>
      <w:r w:rsidR="004D3ECB">
        <w:t xml:space="preserve"> </w:t>
      </w:r>
    </w:p>
    <w:p w14:paraId="16481E5E" w14:textId="2AE0F2F8" w:rsidR="00473C45" w:rsidRDefault="00473C45" w:rsidP="00CE09C2">
      <w:pPr>
        <w:pStyle w:val="CEABullet-Level1"/>
        <w:numPr>
          <w:ilvl w:val="0"/>
          <w:numId w:val="0"/>
        </w:numPr>
      </w:pPr>
    </w:p>
    <w:p w14:paraId="52810B5A" w14:textId="4AB449DD" w:rsidR="007A010D" w:rsidRDefault="002D1653" w:rsidP="00CE09C2">
      <w:pPr>
        <w:pStyle w:val="CEABullet-Level1"/>
        <w:numPr>
          <w:ilvl w:val="0"/>
          <w:numId w:val="0"/>
        </w:numPr>
      </w:pPr>
      <w:r>
        <w:lastRenderedPageBreak/>
        <w:t>I</w:t>
      </w:r>
      <w:r w:rsidR="00A26226">
        <w:t xml:space="preserve">nsurers highlighted that there is high level of uncertainty with regards to the future development of </w:t>
      </w:r>
      <w:r w:rsidR="00A26226" w:rsidRPr="002D1653">
        <w:rPr>
          <w:b/>
          <w:bCs/>
        </w:rPr>
        <w:t>windstorm</w:t>
      </w:r>
      <w:r w:rsidR="00A26226">
        <w:t xml:space="preserve"> risk</w:t>
      </w:r>
      <w:r w:rsidR="001700D5">
        <w:t xml:space="preserve"> and c</w:t>
      </w:r>
      <w:r w:rsidR="00E02125">
        <w:t xml:space="preserve">learer </w:t>
      </w:r>
      <w:r w:rsidR="00A26226">
        <w:t>signals are expected to emerge towards the end of the century.</w:t>
      </w:r>
      <w:r>
        <w:t xml:space="preserve"> </w:t>
      </w:r>
      <w:r w:rsidR="00F85D74">
        <w:t xml:space="preserve">Although participants do not </w:t>
      </w:r>
      <w:r w:rsidR="000750D0">
        <w:t>foresee</w:t>
      </w:r>
      <w:r w:rsidR="00F85D74">
        <w:t xml:space="preserve"> an increase in storms frequency, storm strength is expected to increase over the North Sea with potential negative consequences on Northern European exposur</w:t>
      </w:r>
      <w:r w:rsidR="003F25DD">
        <w:t>e</w:t>
      </w:r>
      <w:r w:rsidR="00F85D74">
        <w:t>.</w:t>
      </w:r>
      <w:r w:rsidR="001700D5">
        <w:t xml:space="preserve"> E</w:t>
      </w:r>
      <w:r w:rsidR="00F85D74">
        <w:t>conomic and insured damages caused by windstorm events might increase because of changes in other factors such as the rise of water levels in the winter and generally growing exposure. In a long-term, there is a risk of increased claims payments. All property-related line</w:t>
      </w:r>
      <w:r w:rsidR="00B05B08">
        <w:t>s</w:t>
      </w:r>
      <w:r w:rsidR="00F85D74">
        <w:t xml:space="preserve"> of business are expected to be impacted</w:t>
      </w:r>
      <w:r w:rsidR="005F75E7">
        <w:t xml:space="preserve"> and, f</w:t>
      </w:r>
      <w:r w:rsidR="00F85D74">
        <w:t>or these reasons, insurance companies are already closely monitoring</w:t>
      </w:r>
      <w:r w:rsidR="005F75E7">
        <w:t xml:space="preserve"> </w:t>
      </w:r>
      <w:r w:rsidR="00F85D74">
        <w:t>the potential evolution of this risk in most EEA countries</w:t>
      </w:r>
      <w:r w:rsidR="007A010D">
        <w:t>.</w:t>
      </w:r>
    </w:p>
    <w:p w14:paraId="13C2776A" w14:textId="77777777" w:rsidR="007A010D" w:rsidRDefault="007A010D" w:rsidP="00CE09C2">
      <w:pPr>
        <w:pStyle w:val="CEABullet-Level1"/>
        <w:numPr>
          <w:ilvl w:val="0"/>
          <w:numId w:val="0"/>
        </w:numPr>
      </w:pPr>
    </w:p>
    <w:p w14:paraId="620AF4C5" w14:textId="24F5D08E" w:rsidR="00F42BF9" w:rsidRDefault="00F42BF9" w:rsidP="00CE09C2">
      <w:pPr>
        <w:pStyle w:val="CEABullet-Level1"/>
        <w:numPr>
          <w:ilvl w:val="0"/>
          <w:numId w:val="0"/>
        </w:numPr>
      </w:pPr>
      <w:r>
        <w:t xml:space="preserve">With regards to river </w:t>
      </w:r>
      <w:r w:rsidRPr="00B659E9">
        <w:rPr>
          <w:b/>
          <w:bCs/>
        </w:rPr>
        <w:t>flood</w:t>
      </w:r>
      <w:r>
        <w:t>, participants expect an increase in frequency in most European regions, with potential negative consequences on the insurance portfolio in terms of higher claims payments.</w:t>
      </w:r>
      <w:r w:rsidR="00A97DDE">
        <w:t xml:space="preserve"> Several insurers report that they have already taken actions to limit the impact on the non-life insurance portfolio and business.</w:t>
      </w:r>
      <w:r w:rsidR="00502571">
        <w:t xml:space="preserve"> </w:t>
      </w:r>
      <w:r w:rsidR="003F2EA8">
        <w:t>They</w:t>
      </w:r>
      <w:r w:rsidR="00502571">
        <w:t xml:space="preserve"> may decide to rise their risk-based premiums consequence to counterbalance the increase in flood risk caused by climate change.</w:t>
      </w:r>
    </w:p>
    <w:p w14:paraId="6366AC06" w14:textId="77777777" w:rsidR="00FA1779" w:rsidRDefault="00FA1779" w:rsidP="00CE09C2">
      <w:pPr>
        <w:pStyle w:val="CEABullet-Level1"/>
        <w:numPr>
          <w:ilvl w:val="0"/>
          <w:numId w:val="0"/>
        </w:numPr>
      </w:pPr>
    </w:p>
    <w:p w14:paraId="26F0C931" w14:textId="339675D4" w:rsidR="00BC4FD7" w:rsidRDefault="00BC4FD7" w:rsidP="00CE09C2">
      <w:pPr>
        <w:pStyle w:val="CEABullet-Level1"/>
        <w:numPr>
          <w:ilvl w:val="0"/>
          <w:numId w:val="0"/>
        </w:numPr>
      </w:pPr>
      <w:r>
        <w:t xml:space="preserve">Even if, at the European level, insurers do not consider </w:t>
      </w:r>
      <w:r w:rsidRPr="00FA1779">
        <w:rPr>
          <w:b/>
          <w:bCs/>
        </w:rPr>
        <w:t>wildfire</w:t>
      </w:r>
      <w:r>
        <w:t xml:space="preserve"> a material peril for their underwriting portfolios, increasing trends have been experienced in the last 5-10 years in Southern European countries. In addition to the property business, insurance companies expect substantial increase in frequency and impact</w:t>
      </w:r>
      <w:r w:rsidR="006F50F1">
        <w:t>. However, several insurers mentioned that it was not possible to identify the policies located in forest areas subject to wildfire. Therefore, a first important step towards understanding of the potential implications of global warming on this peril would be to collect granular geospatial information at policy level.</w:t>
      </w:r>
    </w:p>
    <w:p w14:paraId="039E0547" w14:textId="77777777" w:rsidR="004E76BE" w:rsidRDefault="004E76BE" w:rsidP="00CE09C2">
      <w:pPr>
        <w:pStyle w:val="CEABullet-Level1"/>
        <w:numPr>
          <w:ilvl w:val="0"/>
          <w:numId w:val="0"/>
        </w:numPr>
      </w:pPr>
    </w:p>
    <w:p w14:paraId="535F94A3" w14:textId="1D959A0E" w:rsidR="000D3E75" w:rsidRDefault="00B90173" w:rsidP="00CE09C2">
      <w:pPr>
        <w:pStyle w:val="CEABullet-Level1"/>
        <w:numPr>
          <w:ilvl w:val="0"/>
          <w:numId w:val="0"/>
        </w:numPr>
      </w:pPr>
      <w:r>
        <w:t xml:space="preserve">Risks </w:t>
      </w:r>
      <w:r w:rsidR="004829C8">
        <w:t>emerging</w:t>
      </w:r>
      <w:r>
        <w:t xml:space="preserve"> are </w:t>
      </w:r>
      <w:r w:rsidRPr="00130AA0">
        <w:rPr>
          <w:b/>
          <w:bCs/>
        </w:rPr>
        <w:t xml:space="preserve">drought risk </w:t>
      </w:r>
      <w:r>
        <w:t xml:space="preserve">and </w:t>
      </w:r>
      <w:r w:rsidRPr="00130AA0">
        <w:rPr>
          <w:b/>
          <w:bCs/>
        </w:rPr>
        <w:t>risk of subsidence</w:t>
      </w:r>
      <w:r>
        <w:t xml:space="preserve">. </w:t>
      </w:r>
      <w:r w:rsidR="00BB691B">
        <w:t xml:space="preserve">Drought risk, caused by </w:t>
      </w:r>
      <w:r w:rsidR="0012546A">
        <w:t>lack of precipitation</w:t>
      </w:r>
      <w:r w:rsidR="00BB691B">
        <w:t xml:space="preserve"> </w:t>
      </w:r>
      <w:r w:rsidR="008F1F05">
        <w:t xml:space="preserve">is gaining in importance, and it is increasingly monitored in certain countries. </w:t>
      </w:r>
      <w:r w:rsidR="000D3E75">
        <w:t xml:space="preserve">Some insurers have already taken management actions to limit exposures. </w:t>
      </w:r>
      <w:r w:rsidR="00B828A0">
        <w:t xml:space="preserve">For subsidence risk no model is available and EIOPA notes it is one of the </w:t>
      </w:r>
      <w:r w:rsidR="004829C8">
        <w:t xml:space="preserve">emerging </w:t>
      </w:r>
      <w:r w:rsidR="00B828A0">
        <w:t>perils</w:t>
      </w:r>
      <w:r w:rsidR="004829C8">
        <w:t xml:space="preserve"> </w:t>
      </w:r>
      <w:r w:rsidR="003B2348">
        <w:t xml:space="preserve">to be monitored in the context of climate change. </w:t>
      </w:r>
      <w:r w:rsidR="00B828A0">
        <w:t xml:space="preserve"> </w:t>
      </w:r>
    </w:p>
    <w:p w14:paraId="4DBE2357" w14:textId="00623A34" w:rsidR="0069688D" w:rsidRDefault="0012546A" w:rsidP="00CE09C2">
      <w:pPr>
        <w:pStyle w:val="CEABullet-Level1"/>
        <w:numPr>
          <w:ilvl w:val="0"/>
          <w:numId w:val="0"/>
        </w:numPr>
      </w:pPr>
      <w:r>
        <w:t xml:space="preserve"> </w:t>
      </w:r>
    </w:p>
    <w:p w14:paraId="432B268F" w14:textId="31C7547E" w:rsidR="004E76BE" w:rsidRDefault="00867F4F" w:rsidP="00CE09C2">
      <w:pPr>
        <w:pStyle w:val="CEABullet-Level1"/>
        <w:numPr>
          <w:ilvl w:val="0"/>
          <w:numId w:val="0"/>
        </w:numPr>
      </w:pPr>
      <w:r>
        <w:t>Generally speaking, a</w:t>
      </w:r>
      <w:r w:rsidR="004E76BE">
        <w:t xml:space="preserve">ccording to the participants, </w:t>
      </w:r>
      <w:r w:rsidR="004E76BE" w:rsidRPr="00130AA0">
        <w:rPr>
          <w:b/>
          <w:bCs/>
        </w:rPr>
        <w:t>considerations on the potential impact of climate change, are generally part of the regular pricing, underwriting and risk management insurance processes</w:t>
      </w:r>
      <w:r w:rsidR="004E76BE">
        <w:t>. In particular, in response to heightened physical risks caused by climate change, insurance companies are considering, or planning to intensify, several management actions. The main actions foreseen include a mixture of changes to the pricing, underwriting and reinsurance strategies, including premium increase and changes in deductibles or limits. In addition, insurance companies plan to continue to expand their internal capabilities and know-how to better understand and monitor the implications of climate risk developments on their business</w:t>
      </w:r>
      <w:r w:rsidR="003759D1">
        <w:t>.</w:t>
      </w:r>
    </w:p>
    <w:p w14:paraId="72536A2C" w14:textId="77777777" w:rsidR="003759D1" w:rsidRDefault="003759D1" w:rsidP="00CE09C2">
      <w:pPr>
        <w:pStyle w:val="CEABullet-Level1"/>
        <w:numPr>
          <w:ilvl w:val="0"/>
          <w:numId w:val="0"/>
        </w:numPr>
      </w:pPr>
    </w:p>
    <w:p w14:paraId="0F90569E" w14:textId="5B4ADA0D" w:rsidR="003759D1" w:rsidRDefault="003759D1" w:rsidP="003759D1">
      <w:pPr>
        <w:pStyle w:val="CEABullet-Level1"/>
        <w:numPr>
          <w:ilvl w:val="0"/>
          <w:numId w:val="0"/>
        </w:numPr>
        <w:rPr>
          <w:b/>
          <w:bCs/>
          <w:lang w:val="en-US"/>
        </w:rPr>
      </w:pPr>
      <w:r>
        <w:rPr>
          <w:b/>
          <w:bCs/>
          <w:lang w:val="en-US"/>
        </w:rPr>
        <w:t>4. CONCLUSION AND NEXT STEPS</w:t>
      </w:r>
    </w:p>
    <w:p w14:paraId="3928647C" w14:textId="77777777" w:rsidR="003759D1" w:rsidRDefault="003759D1" w:rsidP="003759D1">
      <w:pPr>
        <w:pStyle w:val="CEABullet-Level1"/>
        <w:numPr>
          <w:ilvl w:val="0"/>
          <w:numId w:val="0"/>
        </w:numPr>
        <w:rPr>
          <w:b/>
          <w:bCs/>
          <w:lang w:val="en-US"/>
        </w:rPr>
      </w:pPr>
    </w:p>
    <w:p w14:paraId="6D13E02C" w14:textId="49167310" w:rsidR="003759D1" w:rsidRPr="003759D1" w:rsidRDefault="00867F4F" w:rsidP="003759D1">
      <w:pPr>
        <w:pStyle w:val="CEABullet-Level1"/>
        <w:numPr>
          <w:ilvl w:val="0"/>
          <w:numId w:val="0"/>
        </w:numPr>
        <w:rPr>
          <w:lang w:val="en-US"/>
        </w:rPr>
      </w:pPr>
      <w:r>
        <w:t>T</w:t>
      </w:r>
      <w:r w:rsidR="00D80F44">
        <w:t>h</w:t>
      </w:r>
      <w:r>
        <w:t>is</w:t>
      </w:r>
      <w:r w:rsidR="00D80F44">
        <w:t xml:space="preserve"> report finds that the </w:t>
      </w:r>
      <w:r w:rsidR="00D80F44" w:rsidRPr="00130AA0">
        <w:rPr>
          <w:b/>
          <w:bCs/>
        </w:rPr>
        <w:t>insurers in the sample historically have been well positioned to handle the pursuing claims</w:t>
      </w:r>
      <w:r w:rsidR="00D80F44">
        <w:t xml:space="preserve">. However, due to the </w:t>
      </w:r>
      <w:r w:rsidR="00D80F44" w:rsidRPr="00130AA0">
        <w:rPr>
          <w:b/>
          <w:bCs/>
        </w:rPr>
        <w:t>increase in the probability of compound events</w:t>
      </w:r>
      <w:r w:rsidR="00D80F44">
        <w:t xml:space="preserve">, insurance companies may experience an </w:t>
      </w:r>
      <w:r w:rsidR="00D80F44" w:rsidRPr="00130AA0">
        <w:rPr>
          <w:b/>
          <w:bCs/>
        </w:rPr>
        <w:t xml:space="preserve">increase in the magnitude and frequency of their </w:t>
      </w:r>
      <w:proofErr w:type="spellStart"/>
      <w:r w:rsidR="00D80F44" w:rsidRPr="00130AA0">
        <w:rPr>
          <w:b/>
          <w:bCs/>
        </w:rPr>
        <w:t>NatCat</w:t>
      </w:r>
      <w:proofErr w:type="spellEnd"/>
      <w:r w:rsidR="00D80F44" w:rsidRPr="00130AA0">
        <w:rPr>
          <w:b/>
          <w:bCs/>
        </w:rPr>
        <w:t xml:space="preserve"> claims</w:t>
      </w:r>
      <w:r w:rsidR="00D80F44">
        <w:t>.</w:t>
      </w:r>
    </w:p>
    <w:p w14:paraId="20D86597" w14:textId="77777777" w:rsidR="003759D1" w:rsidRDefault="003759D1" w:rsidP="00CE09C2">
      <w:pPr>
        <w:pStyle w:val="CEABullet-Level1"/>
        <w:numPr>
          <w:ilvl w:val="0"/>
          <w:numId w:val="0"/>
        </w:numPr>
      </w:pPr>
    </w:p>
    <w:p w14:paraId="78532D97" w14:textId="729AB89D" w:rsidR="0033394F" w:rsidRDefault="0033394F" w:rsidP="00CE09C2">
      <w:pPr>
        <w:pStyle w:val="CEABullet-Level1"/>
        <w:numPr>
          <w:ilvl w:val="0"/>
          <w:numId w:val="0"/>
        </w:numPr>
      </w:pPr>
      <w:r>
        <w:t xml:space="preserve">The </w:t>
      </w:r>
      <w:r w:rsidRPr="00130AA0">
        <w:rPr>
          <w:b/>
          <w:bCs/>
        </w:rPr>
        <w:t>insurance sector’s ability to continue to offer financial protection</w:t>
      </w:r>
      <w:r>
        <w:t xml:space="preserve"> against the consequences of these events relies on their </w:t>
      </w:r>
      <w:r w:rsidRPr="00130AA0">
        <w:rPr>
          <w:b/>
          <w:bCs/>
        </w:rPr>
        <w:t>ability to understand the likely impact of climate change and adapt their business strategies</w:t>
      </w:r>
      <w:r>
        <w:t>. All property-related line</w:t>
      </w:r>
      <w:r w:rsidR="00E6331A">
        <w:t>s</w:t>
      </w:r>
      <w:r>
        <w:t xml:space="preserve"> of business</w:t>
      </w:r>
      <w:r w:rsidR="00E6331A">
        <w:t xml:space="preserve"> </w:t>
      </w:r>
      <w:r>
        <w:t xml:space="preserve">are expected to be impacted by physical climate change risk and there is an emerging consensus that premiums are likely to </w:t>
      </w:r>
      <w:r w:rsidR="00E6331A">
        <w:t>increase,</w:t>
      </w:r>
      <w:r>
        <w:t xml:space="preserve"> and that adaptation and mitigation measures will play a crucial role in reducing the risk levels in the future.</w:t>
      </w:r>
      <w:r w:rsidR="000F4126">
        <w:t xml:space="preserve"> Some insurers are also considering </w:t>
      </w:r>
      <w:r w:rsidR="00833BDF">
        <w:t>incentivising</w:t>
      </w:r>
      <w:r w:rsidR="000F4126">
        <w:t xml:space="preserve"> mitigation policies, apply higher deductibles/lower limits or policy restrictions as well as raising policyholders’ awareness.</w:t>
      </w:r>
    </w:p>
    <w:p w14:paraId="00F63734" w14:textId="77777777" w:rsidR="00B4522F" w:rsidRDefault="00B4522F" w:rsidP="00CE09C2">
      <w:pPr>
        <w:pStyle w:val="CEABullet-Level1"/>
        <w:numPr>
          <w:ilvl w:val="0"/>
          <w:numId w:val="0"/>
        </w:numPr>
      </w:pPr>
    </w:p>
    <w:p w14:paraId="63E1D626" w14:textId="0246225D" w:rsidR="00B4522F" w:rsidRDefault="00B4522F" w:rsidP="00CE09C2">
      <w:pPr>
        <w:pStyle w:val="CEABullet-Level1"/>
        <w:numPr>
          <w:ilvl w:val="0"/>
          <w:numId w:val="0"/>
        </w:numPr>
      </w:pPr>
      <w:r>
        <w:lastRenderedPageBreak/>
        <w:t xml:space="preserve">The findings in this report indicate that </w:t>
      </w:r>
      <w:r w:rsidRPr="00130AA0">
        <w:rPr>
          <w:b/>
          <w:bCs/>
        </w:rPr>
        <w:t>a lot of work still needs to be done to prepare</w:t>
      </w:r>
      <w:r>
        <w:t xml:space="preserve"> for these changes. Climate change related risks are long-term risks for which a standardised methodology for assessment is not yet widely and fully developed.</w:t>
      </w:r>
    </w:p>
    <w:p w14:paraId="29518255" w14:textId="77777777" w:rsidR="008C7986" w:rsidRDefault="008C7986" w:rsidP="00CE09C2">
      <w:pPr>
        <w:pStyle w:val="CEABullet-Level1"/>
        <w:numPr>
          <w:ilvl w:val="0"/>
          <w:numId w:val="0"/>
        </w:numPr>
      </w:pPr>
    </w:p>
    <w:p w14:paraId="27C7C51D" w14:textId="77777777" w:rsidR="00324BD4" w:rsidRDefault="008C7986" w:rsidP="00CE09C2">
      <w:pPr>
        <w:pStyle w:val="CEABullet-Level1"/>
        <w:numPr>
          <w:ilvl w:val="0"/>
          <w:numId w:val="0"/>
        </w:numPr>
      </w:pPr>
      <w:r>
        <w:t xml:space="preserve">The survey results presented in this report highlight that </w:t>
      </w:r>
      <w:r w:rsidR="002D6EEE">
        <w:t>a</w:t>
      </w:r>
      <w:r>
        <w:t xml:space="preserve"> </w:t>
      </w:r>
      <w:r w:rsidRPr="00130AA0">
        <w:rPr>
          <w:b/>
          <w:bCs/>
        </w:rPr>
        <w:t xml:space="preserve">substantial share of the companies </w:t>
      </w:r>
      <w:r w:rsidR="00B65CA8" w:rsidRPr="00130AA0">
        <w:rPr>
          <w:b/>
          <w:bCs/>
        </w:rPr>
        <w:t>was</w:t>
      </w:r>
      <w:r w:rsidRPr="00130AA0">
        <w:rPr>
          <w:b/>
          <w:bCs/>
        </w:rPr>
        <w:t xml:space="preserve"> unable to provide a qualitative assessment</w:t>
      </w:r>
      <w:r>
        <w:t xml:space="preserve"> on global developments and very often </w:t>
      </w:r>
      <w:r w:rsidRPr="00130AA0">
        <w:rPr>
          <w:b/>
          <w:bCs/>
        </w:rPr>
        <w:t>struggled to provide data</w:t>
      </w:r>
      <w:r>
        <w:t xml:space="preserve"> and assessment at a </w:t>
      </w:r>
      <w:r w:rsidRPr="00130AA0">
        <w:rPr>
          <w:b/>
          <w:bCs/>
        </w:rPr>
        <w:t>level of granularity required</w:t>
      </w:r>
      <w:r>
        <w:t xml:space="preserve"> for an in-depth assessment of the risks which are likely to materialise in the coming years. </w:t>
      </w:r>
    </w:p>
    <w:p w14:paraId="433F8C70" w14:textId="77777777" w:rsidR="00324BD4" w:rsidRDefault="00324BD4" w:rsidP="00CE09C2">
      <w:pPr>
        <w:pStyle w:val="CEABullet-Level1"/>
        <w:numPr>
          <w:ilvl w:val="0"/>
          <w:numId w:val="0"/>
        </w:numPr>
      </w:pPr>
    </w:p>
    <w:p w14:paraId="319E63B3" w14:textId="667F7886" w:rsidR="0033394F" w:rsidRPr="00862DEF" w:rsidRDefault="008C7986" w:rsidP="00CE09C2">
      <w:pPr>
        <w:pStyle w:val="CEABullet-Level1"/>
        <w:numPr>
          <w:ilvl w:val="0"/>
          <w:numId w:val="0"/>
        </w:numPr>
      </w:pPr>
      <w:r>
        <w:t xml:space="preserve">Going forward, </w:t>
      </w:r>
      <w:r w:rsidRPr="00130AA0">
        <w:rPr>
          <w:b/>
          <w:bCs/>
        </w:rPr>
        <w:t xml:space="preserve">EIOPA will </w:t>
      </w:r>
      <w:r>
        <w:t>therefore c</w:t>
      </w:r>
      <w:r w:rsidRPr="00130AA0">
        <w:rPr>
          <w:b/>
          <w:bCs/>
        </w:rPr>
        <w:t xml:space="preserve">ontinue its work with national competent authorities and the industry to push the sustainable finance agenda forward and continue bringing new results, analysis and policy proposals </w:t>
      </w:r>
      <w:r>
        <w:t>to the table to help prepare the insurance sector for the effects of climate change. EIOPA plans to continue its analytical work in this field with an overall aim of supporting further forward-looking views and analysis of physical risks in light of climate change.</w:t>
      </w:r>
    </w:p>
    <w:sectPr w:rsidR="0033394F" w:rsidRPr="00862DEF" w:rsidSect="009176FF">
      <w:headerReference w:type="default" r:id="rId11"/>
      <w:footerReference w:type="default" r:id="rId12"/>
      <w:pgSz w:w="11907" w:h="16839" w:code="9"/>
      <w:pgMar w:top="2410" w:right="902" w:bottom="1418"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A19F" w14:textId="77777777" w:rsidR="00D801E3" w:rsidRDefault="00D801E3">
      <w:pPr>
        <w:spacing w:line="240" w:lineRule="auto"/>
      </w:pPr>
      <w:r>
        <w:separator/>
      </w:r>
    </w:p>
  </w:endnote>
  <w:endnote w:type="continuationSeparator" w:id="0">
    <w:p w14:paraId="3F4983DE" w14:textId="77777777" w:rsidR="00D801E3" w:rsidRDefault="00D801E3">
      <w:pPr>
        <w:spacing w:line="240" w:lineRule="auto"/>
      </w:pPr>
      <w:r>
        <w:continuationSeparator/>
      </w:r>
    </w:p>
  </w:endnote>
  <w:endnote w:type="continuationNotice" w:id="1">
    <w:p w14:paraId="4A1B4148" w14:textId="77777777" w:rsidR="00D801E3" w:rsidRDefault="00D801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721946"/>
      <w:docPartObj>
        <w:docPartGallery w:val="Page Numbers (Bottom of Page)"/>
        <w:docPartUnique/>
      </w:docPartObj>
    </w:sdtPr>
    <w:sdtEndPr>
      <w:rPr>
        <w:noProof/>
      </w:rPr>
    </w:sdtEndPr>
    <w:sdtContent>
      <w:p w14:paraId="1F5BE681" w14:textId="4B0A4072" w:rsidR="009C44B1" w:rsidRDefault="009C44B1">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31DA7036" w14:textId="77777777" w:rsidR="00D801E3" w:rsidRPr="00CD51F6" w:rsidRDefault="00D801E3" w:rsidP="00D801E3">
    <w:pPr>
      <w:pStyle w:val="Pta"/>
      <w:ind w:left="546"/>
      <w:rPr>
        <w:rFonts w:cs="Arial"/>
        <w:b/>
        <w:color w:val="0032FF"/>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FD2B" w14:textId="77777777" w:rsidR="00D801E3" w:rsidRDefault="00D801E3">
      <w:pPr>
        <w:spacing w:line="240" w:lineRule="auto"/>
      </w:pPr>
      <w:r>
        <w:separator/>
      </w:r>
    </w:p>
  </w:footnote>
  <w:footnote w:type="continuationSeparator" w:id="0">
    <w:p w14:paraId="297F8F43" w14:textId="77777777" w:rsidR="00D801E3" w:rsidRDefault="00D801E3">
      <w:pPr>
        <w:spacing w:line="240" w:lineRule="auto"/>
      </w:pPr>
      <w:r>
        <w:continuationSeparator/>
      </w:r>
    </w:p>
  </w:footnote>
  <w:footnote w:type="continuationNotice" w:id="1">
    <w:p w14:paraId="013C1B2C" w14:textId="77777777" w:rsidR="00D801E3" w:rsidRDefault="00D801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7033" w14:textId="77777777" w:rsidR="00D801E3" w:rsidRPr="000846C0" w:rsidRDefault="00D801E3" w:rsidP="00D801E3">
    <w:pPr>
      <w:pStyle w:val="Noparagraphstyle"/>
      <w:jc w:val="right"/>
      <w:rPr>
        <w:sz w:val="18"/>
        <w:szCs w:val="18"/>
      </w:rPr>
    </w:pPr>
  </w:p>
  <w:p w14:paraId="31DA7034" w14:textId="77777777" w:rsidR="00D801E3" w:rsidRPr="00CD51F6" w:rsidRDefault="009176FF" w:rsidP="00D801E3">
    <w:pPr>
      <w:pStyle w:val="Noparagraphstyle"/>
      <w:jc w:val="right"/>
      <w:rPr>
        <w:rFonts w:ascii="Arial" w:hAnsi="Arial" w:cs="Arial"/>
        <w:i/>
        <w:iCs/>
        <w:color w:val="034EA2"/>
      </w:rPr>
    </w:pPr>
    <w:r>
      <w:tab/>
    </w:r>
  </w:p>
  <w:p w14:paraId="31DA7035" w14:textId="77777777" w:rsidR="00D801E3" w:rsidRPr="007349E1" w:rsidRDefault="009176FF" w:rsidP="00D801E3">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8240" behindDoc="0" locked="0" layoutInCell="1" allowOverlap="1" wp14:anchorId="31DA7037" wp14:editId="31DA7038">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1.25pt;height:11.25pt" o:bullet="t">
        <v:imagedata r:id="rId1" o:title="CEA - Bullets Rounded Squares_BulletLevel1_forMS"/>
      </v:shape>
    </w:pict>
  </w:numPicBullet>
  <w:numPicBullet w:numPicBulletId="1">
    <w:pict>
      <v:shape id="_x0000_i1171" type="#_x0000_t75" style="width:7.5pt;height:7.5pt" o:bullet="t">
        <v:imagedata r:id="rId2" o:title="CEA - Bullets Rounded Squares_BulletLevel2_forMS"/>
      </v:shape>
    </w:pict>
  </w:numPicBullet>
  <w:numPicBullet w:numPicBulletId="2">
    <w:pict>
      <v:shape id="_x0000_i1172" type="#_x0000_t75" style="width:9pt;height:8.25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45C01FC2"/>
    <w:multiLevelType w:val="hybridMultilevel"/>
    <w:tmpl w:val="182CB8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20C6A4E"/>
    <w:multiLevelType w:val="hybridMultilevel"/>
    <w:tmpl w:val="1F485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2633595">
    <w:abstractNumId w:val="4"/>
  </w:num>
  <w:num w:numId="2" w16cid:durableId="890001025">
    <w:abstractNumId w:val="0"/>
  </w:num>
  <w:num w:numId="3" w16cid:durableId="1412002600">
    <w:abstractNumId w:val="1"/>
  </w:num>
  <w:num w:numId="4" w16cid:durableId="348484685">
    <w:abstractNumId w:val="3"/>
  </w:num>
  <w:num w:numId="5" w16cid:durableId="1919165500">
    <w:abstractNumId w:val="2"/>
  </w:num>
  <w:num w:numId="6" w16cid:durableId="1459299737">
    <w:abstractNumId w:val="4"/>
  </w:num>
  <w:num w:numId="7" w16cid:durableId="54548162">
    <w:abstractNumId w:val="4"/>
  </w:num>
  <w:num w:numId="8" w16cid:durableId="231502339">
    <w:abstractNumId w:val="4"/>
  </w:num>
  <w:num w:numId="9" w16cid:durableId="893466421">
    <w:abstractNumId w:val="4"/>
  </w:num>
  <w:num w:numId="10" w16cid:durableId="210272071">
    <w:abstractNumId w:val="0"/>
  </w:num>
  <w:num w:numId="11" w16cid:durableId="137242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30FAC"/>
    <w:rsid w:val="000311A4"/>
    <w:rsid w:val="000429B3"/>
    <w:rsid w:val="0005447C"/>
    <w:rsid w:val="00055378"/>
    <w:rsid w:val="00063F6D"/>
    <w:rsid w:val="000750D0"/>
    <w:rsid w:val="000778F9"/>
    <w:rsid w:val="00084D96"/>
    <w:rsid w:val="000A6448"/>
    <w:rsid w:val="000A65D0"/>
    <w:rsid w:val="000B5569"/>
    <w:rsid w:val="000B5C7B"/>
    <w:rsid w:val="000B7F9F"/>
    <w:rsid w:val="000C356F"/>
    <w:rsid w:val="000C6DBF"/>
    <w:rsid w:val="000D3E75"/>
    <w:rsid w:val="000F4126"/>
    <w:rsid w:val="00106E0F"/>
    <w:rsid w:val="0011054B"/>
    <w:rsid w:val="00110FFF"/>
    <w:rsid w:val="001126A0"/>
    <w:rsid w:val="0012501C"/>
    <w:rsid w:val="0012546A"/>
    <w:rsid w:val="00127BE4"/>
    <w:rsid w:val="00130AA0"/>
    <w:rsid w:val="0015499F"/>
    <w:rsid w:val="00157D5F"/>
    <w:rsid w:val="00166A6A"/>
    <w:rsid w:val="001700D5"/>
    <w:rsid w:val="00173021"/>
    <w:rsid w:val="00194563"/>
    <w:rsid w:val="001B45CD"/>
    <w:rsid w:val="001C1FC4"/>
    <w:rsid w:val="001C3645"/>
    <w:rsid w:val="001C664D"/>
    <w:rsid w:val="001D1E7E"/>
    <w:rsid w:val="001E1DAE"/>
    <w:rsid w:val="001E395B"/>
    <w:rsid w:val="001F205B"/>
    <w:rsid w:val="00204081"/>
    <w:rsid w:val="00207ECD"/>
    <w:rsid w:val="0022326A"/>
    <w:rsid w:val="00227CA3"/>
    <w:rsid w:val="00230CB0"/>
    <w:rsid w:val="00231CCC"/>
    <w:rsid w:val="002711CB"/>
    <w:rsid w:val="0027643E"/>
    <w:rsid w:val="00281C8C"/>
    <w:rsid w:val="00281D11"/>
    <w:rsid w:val="002911F4"/>
    <w:rsid w:val="00295AEC"/>
    <w:rsid w:val="002C43A3"/>
    <w:rsid w:val="002D1653"/>
    <w:rsid w:val="002D6EEE"/>
    <w:rsid w:val="002D7D2A"/>
    <w:rsid w:val="002E005C"/>
    <w:rsid w:val="002F7A78"/>
    <w:rsid w:val="00320D08"/>
    <w:rsid w:val="00323FC7"/>
    <w:rsid w:val="00324BD4"/>
    <w:rsid w:val="0032705A"/>
    <w:rsid w:val="0033394F"/>
    <w:rsid w:val="00355A0D"/>
    <w:rsid w:val="003709EE"/>
    <w:rsid w:val="003759D1"/>
    <w:rsid w:val="00376BC2"/>
    <w:rsid w:val="003864A4"/>
    <w:rsid w:val="00391578"/>
    <w:rsid w:val="003A6A10"/>
    <w:rsid w:val="003B2348"/>
    <w:rsid w:val="003B746A"/>
    <w:rsid w:val="003C4C75"/>
    <w:rsid w:val="003E2AC3"/>
    <w:rsid w:val="003E6501"/>
    <w:rsid w:val="003E7363"/>
    <w:rsid w:val="003F25DD"/>
    <w:rsid w:val="003F2EA8"/>
    <w:rsid w:val="004344DC"/>
    <w:rsid w:val="00440FEE"/>
    <w:rsid w:val="00457A78"/>
    <w:rsid w:val="00473C45"/>
    <w:rsid w:val="004829C8"/>
    <w:rsid w:val="004865DF"/>
    <w:rsid w:val="00494C02"/>
    <w:rsid w:val="00496FA2"/>
    <w:rsid w:val="004B17C9"/>
    <w:rsid w:val="004D3ECB"/>
    <w:rsid w:val="004E76BE"/>
    <w:rsid w:val="004F646A"/>
    <w:rsid w:val="005001A2"/>
    <w:rsid w:val="00502571"/>
    <w:rsid w:val="0051083F"/>
    <w:rsid w:val="00513663"/>
    <w:rsid w:val="00516821"/>
    <w:rsid w:val="005600EC"/>
    <w:rsid w:val="00590014"/>
    <w:rsid w:val="005A30BE"/>
    <w:rsid w:val="005A4005"/>
    <w:rsid w:val="005B4DDD"/>
    <w:rsid w:val="005D025F"/>
    <w:rsid w:val="005D3F68"/>
    <w:rsid w:val="005D6DA7"/>
    <w:rsid w:val="005F75E7"/>
    <w:rsid w:val="00604F82"/>
    <w:rsid w:val="0060505B"/>
    <w:rsid w:val="00606F18"/>
    <w:rsid w:val="006133ED"/>
    <w:rsid w:val="0062626F"/>
    <w:rsid w:val="00651F42"/>
    <w:rsid w:val="00674365"/>
    <w:rsid w:val="00692C65"/>
    <w:rsid w:val="0069337A"/>
    <w:rsid w:val="00694B1A"/>
    <w:rsid w:val="0069688D"/>
    <w:rsid w:val="006A11EB"/>
    <w:rsid w:val="006A53E6"/>
    <w:rsid w:val="006B09AF"/>
    <w:rsid w:val="006D248E"/>
    <w:rsid w:val="006E4363"/>
    <w:rsid w:val="006E4E1A"/>
    <w:rsid w:val="006F3A37"/>
    <w:rsid w:val="006F50F1"/>
    <w:rsid w:val="006F5B5F"/>
    <w:rsid w:val="007412CD"/>
    <w:rsid w:val="00761BCF"/>
    <w:rsid w:val="0076212E"/>
    <w:rsid w:val="0077285C"/>
    <w:rsid w:val="00783E32"/>
    <w:rsid w:val="00785606"/>
    <w:rsid w:val="00785C4D"/>
    <w:rsid w:val="00796799"/>
    <w:rsid w:val="007A010D"/>
    <w:rsid w:val="007B7971"/>
    <w:rsid w:val="007C4E02"/>
    <w:rsid w:val="007C64E6"/>
    <w:rsid w:val="007E0C8D"/>
    <w:rsid w:val="007E1853"/>
    <w:rsid w:val="007F0873"/>
    <w:rsid w:val="007F6C62"/>
    <w:rsid w:val="007F6EFC"/>
    <w:rsid w:val="008002A5"/>
    <w:rsid w:val="00800ADF"/>
    <w:rsid w:val="00804933"/>
    <w:rsid w:val="00814102"/>
    <w:rsid w:val="00827D8B"/>
    <w:rsid w:val="008320F7"/>
    <w:rsid w:val="00833BDF"/>
    <w:rsid w:val="00850803"/>
    <w:rsid w:val="00851139"/>
    <w:rsid w:val="00853D17"/>
    <w:rsid w:val="00862DEF"/>
    <w:rsid w:val="00866010"/>
    <w:rsid w:val="00867F4F"/>
    <w:rsid w:val="00872804"/>
    <w:rsid w:val="00874EB4"/>
    <w:rsid w:val="008867D0"/>
    <w:rsid w:val="008966F0"/>
    <w:rsid w:val="008A11AE"/>
    <w:rsid w:val="008B06EE"/>
    <w:rsid w:val="008C7986"/>
    <w:rsid w:val="008E60CE"/>
    <w:rsid w:val="008E785A"/>
    <w:rsid w:val="008F0847"/>
    <w:rsid w:val="008F1F05"/>
    <w:rsid w:val="009176FF"/>
    <w:rsid w:val="0093608A"/>
    <w:rsid w:val="009369B4"/>
    <w:rsid w:val="00946C12"/>
    <w:rsid w:val="009475A8"/>
    <w:rsid w:val="00960DC0"/>
    <w:rsid w:val="00961FF0"/>
    <w:rsid w:val="009728E7"/>
    <w:rsid w:val="00997FA2"/>
    <w:rsid w:val="009C14F4"/>
    <w:rsid w:val="009C15C6"/>
    <w:rsid w:val="009C44B1"/>
    <w:rsid w:val="009C4588"/>
    <w:rsid w:val="009D2711"/>
    <w:rsid w:val="009E03C8"/>
    <w:rsid w:val="009F4B02"/>
    <w:rsid w:val="009F70CC"/>
    <w:rsid w:val="00A00F4D"/>
    <w:rsid w:val="00A10797"/>
    <w:rsid w:val="00A206B9"/>
    <w:rsid w:val="00A26226"/>
    <w:rsid w:val="00A4604F"/>
    <w:rsid w:val="00A523F7"/>
    <w:rsid w:val="00A5637A"/>
    <w:rsid w:val="00A97DDE"/>
    <w:rsid w:val="00AB0186"/>
    <w:rsid w:val="00AB34B9"/>
    <w:rsid w:val="00AD285D"/>
    <w:rsid w:val="00AE0DA1"/>
    <w:rsid w:val="00B05B08"/>
    <w:rsid w:val="00B07CEC"/>
    <w:rsid w:val="00B22505"/>
    <w:rsid w:val="00B2351F"/>
    <w:rsid w:val="00B25DD2"/>
    <w:rsid w:val="00B37E3F"/>
    <w:rsid w:val="00B41868"/>
    <w:rsid w:val="00B4522F"/>
    <w:rsid w:val="00B572CD"/>
    <w:rsid w:val="00B60FC7"/>
    <w:rsid w:val="00B659E9"/>
    <w:rsid w:val="00B65CA8"/>
    <w:rsid w:val="00B804A1"/>
    <w:rsid w:val="00B80F1D"/>
    <w:rsid w:val="00B828A0"/>
    <w:rsid w:val="00B84415"/>
    <w:rsid w:val="00B90173"/>
    <w:rsid w:val="00B92A31"/>
    <w:rsid w:val="00BA3DEC"/>
    <w:rsid w:val="00BB691B"/>
    <w:rsid w:val="00BC3BEC"/>
    <w:rsid w:val="00BC4FD7"/>
    <w:rsid w:val="00BC5409"/>
    <w:rsid w:val="00BC774B"/>
    <w:rsid w:val="00BE3C97"/>
    <w:rsid w:val="00BF0D49"/>
    <w:rsid w:val="00BF1481"/>
    <w:rsid w:val="00C14B8C"/>
    <w:rsid w:val="00C14BD2"/>
    <w:rsid w:val="00C15C98"/>
    <w:rsid w:val="00C22FAF"/>
    <w:rsid w:val="00C33309"/>
    <w:rsid w:val="00C410D6"/>
    <w:rsid w:val="00C5193C"/>
    <w:rsid w:val="00C60D10"/>
    <w:rsid w:val="00C71BF1"/>
    <w:rsid w:val="00C73C02"/>
    <w:rsid w:val="00C800A3"/>
    <w:rsid w:val="00C95B0B"/>
    <w:rsid w:val="00CD6460"/>
    <w:rsid w:val="00CE09C2"/>
    <w:rsid w:val="00CE0A9B"/>
    <w:rsid w:val="00D16FB8"/>
    <w:rsid w:val="00D22083"/>
    <w:rsid w:val="00D22C37"/>
    <w:rsid w:val="00D26A84"/>
    <w:rsid w:val="00D2759A"/>
    <w:rsid w:val="00D36EFC"/>
    <w:rsid w:val="00D42C71"/>
    <w:rsid w:val="00D45124"/>
    <w:rsid w:val="00D51F43"/>
    <w:rsid w:val="00D73E43"/>
    <w:rsid w:val="00D801E3"/>
    <w:rsid w:val="00D80F44"/>
    <w:rsid w:val="00D832A6"/>
    <w:rsid w:val="00DA23F1"/>
    <w:rsid w:val="00DA67A2"/>
    <w:rsid w:val="00DB23C9"/>
    <w:rsid w:val="00DB6793"/>
    <w:rsid w:val="00DD4DD5"/>
    <w:rsid w:val="00E02125"/>
    <w:rsid w:val="00E07916"/>
    <w:rsid w:val="00E31797"/>
    <w:rsid w:val="00E347DE"/>
    <w:rsid w:val="00E37C5B"/>
    <w:rsid w:val="00E44FDB"/>
    <w:rsid w:val="00E548BF"/>
    <w:rsid w:val="00E6331A"/>
    <w:rsid w:val="00E71D2A"/>
    <w:rsid w:val="00E74067"/>
    <w:rsid w:val="00E8400E"/>
    <w:rsid w:val="00E949C1"/>
    <w:rsid w:val="00EA0D94"/>
    <w:rsid w:val="00EB048C"/>
    <w:rsid w:val="00EC042B"/>
    <w:rsid w:val="00ED51A5"/>
    <w:rsid w:val="00ED6226"/>
    <w:rsid w:val="00EE220C"/>
    <w:rsid w:val="00EF7980"/>
    <w:rsid w:val="00F130F3"/>
    <w:rsid w:val="00F24723"/>
    <w:rsid w:val="00F37CF0"/>
    <w:rsid w:val="00F4092D"/>
    <w:rsid w:val="00F42BF9"/>
    <w:rsid w:val="00F43A8D"/>
    <w:rsid w:val="00F613C8"/>
    <w:rsid w:val="00F85D74"/>
    <w:rsid w:val="00F86EC2"/>
    <w:rsid w:val="00F8705B"/>
    <w:rsid w:val="00FA1779"/>
    <w:rsid w:val="00FA4DAB"/>
    <w:rsid w:val="00FA67D6"/>
    <w:rsid w:val="00FB5803"/>
    <w:rsid w:val="00FC4046"/>
    <w:rsid w:val="00FC7F13"/>
    <w:rsid w:val="00FD14B0"/>
    <w:rsid w:val="00FD4DE2"/>
    <w:rsid w:val="00FF2ECF"/>
    <w:rsid w:val="00FF73D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1DA702D"/>
  <w15:docId w15:val="{2A0F3220-EFC8-4943-A3B0-BE4A78FF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uiPriority w:val="99"/>
    <w:rsid w:val="009176FF"/>
    <w:pPr>
      <w:tabs>
        <w:tab w:val="center" w:pos="4320"/>
        <w:tab w:val="right" w:pos="8640"/>
      </w:tabs>
    </w:pPr>
  </w:style>
  <w:style w:type="character" w:customStyle="1" w:styleId="PtaChar">
    <w:name w:val="Päta Char"/>
    <w:basedOn w:val="Predvolenpsmoodseku"/>
    <w:link w:val="Pta"/>
    <w:uiPriority w:val="99"/>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32705A"/>
    <w:pPr>
      <w:numPr>
        <w:numId w:val="9"/>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32705A"/>
    <w:pPr>
      <w:numPr>
        <w:numId w:val="10"/>
      </w:numPr>
    </w:pPr>
  </w:style>
  <w:style w:type="paragraph" w:customStyle="1" w:styleId="CEABullet-Level3">
    <w:name w:val="CEA Bullet - Level 3"/>
    <w:basedOn w:val="Normlny"/>
    <w:qFormat/>
    <w:rsid w:val="0032705A"/>
    <w:pPr>
      <w:numPr>
        <w:numId w:val="11"/>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paragraph" w:styleId="Odsekzoznamu">
    <w:name w:val="List Paragraph"/>
    <w:basedOn w:val="Normlny"/>
    <w:uiPriority w:val="34"/>
    <w:qFormat/>
    <w:rsid w:val="000B7F9F"/>
    <w:pPr>
      <w:spacing w:after="160" w:line="252" w:lineRule="auto"/>
      <w:ind w:left="720"/>
      <w:contextualSpacing/>
      <w:jc w:val="left"/>
    </w:pPr>
    <w:rPr>
      <w:rFonts w:ascii="Calibri" w:eastAsiaTheme="minorHAnsi" w:hAnsi="Calibri" w:cs="Calibri"/>
      <w:sz w:val="22"/>
      <w:szCs w:val="22"/>
    </w:rPr>
  </w:style>
  <w:style w:type="character" w:styleId="Odkaznakomentr">
    <w:name w:val="annotation reference"/>
    <w:basedOn w:val="Predvolenpsmoodseku"/>
    <w:uiPriority w:val="99"/>
    <w:semiHidden/>
    <w:unhideWhenUsed/>
    <w:rsid w:val="000B7F9F"/>
    <w:rPr>
      <w:sz w:val="16"/>
      <w:szCs w:val="16"/>
    </w:rPr>
  </w:style>
  <w:style w:type="paragraph" w:styleId="Textkomentra">
    <w:name w:val="annotation text"/>
    <w:basedOn w:val="Normlny"/>
    <w:link w:val="TextkomentraChar"/>
    <w:uiPriority w:val="99"/>
    <w:semiHidden/>
    <w:unhideWhenUsed/>
    <w:rsid w:val="000B7F9F"/>
    <w:pPr>
      <w:spacing w:line="240" w:lineRule="auto"/>
    </w:pPr>
    <w:rPr>
      <w:sz w:val="20"/>
      <w:szCs w:val="20"/>
    </w:rPr>
  </w:style>
  <w:style w:type="character" w:customStyle="1" w:styleId="TextkomentraChar">
    <w:name w:val="Text komentára Char"/>
    <w:basedOn w:val="Predvolenpsmoodseku"/>
    <w:link w:val="Textkomentra"/>
    <w:uiPriority w:val="99"/>
    <w:semiHidden/>
    <w:rsid w:val="000B7F9F"/>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0B7F9F"/>
    <w:rPr>
      <w:b/>
      <w:bCs/>
    </w:rPr>
  </w:style>
  <w:style w:type="character" w:customStyle="1" w:styleId="PredmetkomentraChar">
    <w:name w:val="Predmet komentára Char"/>
    <w:basedOn w:val="TextkomentraChar"/>
    <w:link w:val="Predmetkomentra"/>
    <w:uiPriority w:val="99"/>
    <w:semiHidden/>
    <w:rsid w:val="000B7F9F"/>
    <w:rPr>
      <w:rFonts w:ascii="Verdana" w:eastAsia="Times New Roman" w:hAnsi="Verdana" w:cs="Times New Roman"/>
      <w:b/>
      <w:bCs/>
      <w:sz w:val="20"/>
      <w:szCs w:val="20"/>
      <w:lang w:val="en-GB"/>
    </w:rPr>
  </w:style>
  <w:style w:type="character" w:styleId="Hypertextovprepojenie">
    <w:name w:val="Hyperlink"/>
    <w:basedOn w:val="Predvolenpsmoodseku"/>
    <w:uiPriority w:val="99"/>
    <w:unhideWhenUsed/>
    <w:rsid w:val="00694B1A"/>
    <w:rPr>
      <w:color w:val="0000FF" w:themeColor="hyperlink"/>
      <w:u w:val="single"/>
    </w:rPr>
  </w:style>
  <w:style w:type="character" w:styleId="Nevyrieenzmienka">
    <w:name w:val="Unresolved Mention"/>
    <w:basedOn w:val="Predvolenpsmoodseku"/>
    <w:uiPriority w:val="99"/>
    <w:semiHidden/>
    <w:unhideWhenUsed/>
    <w:rsid w:val="00694B1A"/>
    <w:rPr>
      <w:color w:val="605E5C"/>
      <w:shd w:val="clear" w:color="auto" w:fill="E1DFDD"/>
    </w:rPr>
  </w:style>
  <w:style w:type="character" w:styleId="PouitHypertextovPrepojenie">
    <w:name w:val="FollowedHyperlink"/>
    <w:basedOn w:val="Predvolenpsmoodseku"/>
    <w:uiPriority w:val="99"/>
    <w:semiHidden/>
    <w:unhideWhenUsed/>
    <w:rsid w:val="00694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iopa.europa.eu/sites/default/files/publications/other_documents/discussion_paper_on_physical_climate_change_risk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2" ma:contentTypeDescription="Published Documents Content types for Insurance Europe" ma:contentTypeScope="" ma:versionID="684735056240bbc18f54e74bba908b1f">
  <xsd:schema xmlns:xsd="http://www.w3.org/2001/XMLSchema" xmlns:xs="http://www.w3.org/2001/XMLSchema" xmlns:p="http://schemas.microsoft.com/office/2006/metadata/properties" xmlns:ns2="d352728d-c7aa-455d-bd83-40fe44122be8" targetNamespace="http://schemas.microsoft.com/office/2006/metadata/properties" ma:root="true" ma:fieldsID="7318338eec0ffa23ad0f6e13c74328bf"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d352728d-c7aa-455d-bd83-40fe44122be8" xsi:nil="true"/>
    <Deadline xmlns="d352728d-c7aa-455d-bd83-40fe44122be8" xsi:nil="true"/>
    <Type_x0020_of_x0020_document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Props1.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2.xml><?xml version="1.0" encoding="utf-8"?>
<ds:datastoreItem xmlns:ds="http://schemas.openxmlformats.org/officeDocument/2006/customXml" ds:itemID="{9C9FB9CE-D4A7-46AA-AD9F-05041F0F4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7A0EA-14CF-4487-AFCD-561CDD8E319F}">
  <ds:schemaRefs>
    <ds:schemaRef ds:uri="http://www.w3.org/XML/1998/namespace"/>
    <ds:schemaRef ds:uri="http://schemas.microsoft.com/office/2006/metadata/properties"/>
    <ds:schemaRef ds:uri="http://schemas.openxmlformats.org/package/2006/metadata/core-properties"/>
    <ds:schemaRef ds:uri="d352728d-c7aa-455d-bd83-40fe44122be8"/>
    <ds:schemaRef ds:uri="http://purl.org/dc/elements/1.1/"/>
    <ds:schemaRef ds:uri="http://schemas.microsoft.com/office/infopath/2007/PartnerControls"/>
    <ds:schemaRef ds:uri="http://schemas.microsoft.com/office/2006/documentManagement/typ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2350</Words>
  <Characters>13396</Characters>
  <Application>Microsoft Office Word</Application>
  <DocSecurity>4</DocSecurity>
  <Lines>111</Lines>
  <Paragraphs>31</Paragraphs>
  <ScaleCrop>false</ScaleCrop>
  <Company>Insurance Europe</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EIOPA report on European insurers’ exposure to physical climate change risk</dc:title>
  <dc:subject/>
  <dc:creator>Insurance Europe</dc:creator>
  <cp:keywords/>
  <cp:lastModifiedBy>jozef.bachnicek</cp:lastModifiedBy>
  <cp:revision>2</cp:revision>
  <dcterms:created xsi:type="dcterms:W3CDTF">2022-06-20T10:20:00Z</dcterms:created>
  <dcterms:modified xsi:type="dcterms:W3CDTF">2022-06-20T10:20:00Z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ies>
</file>