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E095D" w14:textId="41E07B87" w:rsidR="00A52A1A" w:rsidRPr="00373A02" w:rsidRDefault="005B4545" w:rsidP="00AB6587">
      <w:pPr>
        <w:spacing w:after="200" w:line="276" w:lineRule="auto"/>
        <w:ind w:left="-567"/>
        <w:rPr>
          <w:b/>
          <w:bCs/>
          <w:color w:val="002957"/>
          <w:sz w:val="19"/>
          <w:szCs w:val="19"/>
        </w:rPr>
      </w:pPr>
      <w:r>
        <w:rPr>
          <w:b/>
          <w:bCs/>
          <w:color w:val="002957"/>
          <w:sz w:val="19"/>
          <w:szCs w:val="19"/>
        </w:rPr>
        <w:t xml:space="preserve">V2 </w:t>
      </w:r>
      <w:r w:rsidR="00A52A1A" w:rsidRPr="47D341ED">
        <w:rPr>
          <w:b/>
          <w:bCs/>
          <w:color w:val="002957"/>
          <w:sz w:val="19"/>
          <w:szCs w:val="19"/>
        </w:rPr>
        <w:t>Status update on areas of the Solvency II review</w:t>
      </w:r>
      <w:r w:rsidR="00237EAB" w:rsidRPr="47D341ED">
        <w:rPr>
          <w:b/>
          <w:bCs/>
          <w:color w:val="002957"/>
          <w:sz w:val="19"/>
          <w:szCs w:val="19"/>
        </w:rPr>
        <w:t xml:space="preserve"> across industry, EC, Council and EP</w:t>
      </w:r>
    </w:p>
    <w:p w14:paraId="0CDC52FC" w14:textId="72D8BE37" w:rsidR="00285B47" w:rsidRDefault="00285B47" w:rsidP="00CF02E9">
      <w:pPr>
        <w:spacing w:after="200" w:line="276" w:lineRule="auto"/>
        <w:rPr>
          <w:rFonts w:cs="Frutiger LT Std 45 Light"/>
          <w:color w:val="000000"/>
          <w:szCs w:val="20"/>
        </w:rPr>
      </w:pPr>
      <w:r>
        <w:rPr>
          <w:rFonts w:cs="Frutiger LT Std 45 Light"/>
          <w:color w:val="000000"/>
          <w:szCs w:val="20"/>
        </w:rPr>
        <w:t>The following tables include a summary of the proposals</w:t>
      </w:r>
      <w:r w:rsidR="00DC0073">
        <w:rPr>
          <w:rFonts w:cs="Frutiger LT Std 45 Light"/>
          <w:color w:val="000000"/>
          <w:szCs w:val="20"/>
        </w:rPr>
        <w:t xml:space="preserve">, </w:t>
      </w:r>
      <w:r w:rsidR="00DC0073" w:rsidRPr="00DC0073">
        <w:rPr>
          <w:rFonts w:cs="Frutiger LT Std 45 Light"/>
          <w:b/>
          <w:bCs/>
          <w:color w:val="000000"/>
          <w:szCs w:val="20"/>
        </w:rPr>
        <w:t>per topic</w:t>
      </w:r>
      <w:r w:rsidR="00DC0073">
        <w:rPr>
          <w:rFonts w:cs="Frutiger LT Std 45 Light"/>
          <w:color w:val="000000"/>
          <w:szCs w:val="20"/>
        </w:rPr>
        <w:t>, made</w:t>
      </w:r>
      <w:r>
        <w:rPr>
          <w:rFonts w:cs="Frutiger LT Std 45 Light"/>
          <w:color w:val="000000"/>
          <w:szCs w:val="20"/>
        </w:rPr>
        <w:t xml:space="preserve"> </w:t>
      </w:r>
      <w:r w:rsidR="00B72E86">
        <w:rPr>
          <w:rFonts w:cs="Frutiger LT Std 45 Light"/>
          <w:color w:val="000000"/>
          <w:szCs w:val="20"/>
        </w:rPr>
        <w:t xml:space="preserve">by </w:t>
      </w:r>
      <w:r w:rsidR="00963D75">
        <w:rPr>
          <w:rFonts w:cs="Frutiger LT Std 45 Light"/>
          <w:color w:val="000000"/>
          <w:szCs w:val="20"/>
        </w:rPr>
        <w:t>EC</w:t>
      </w:r>
      <w:r>
        <w:rPr>
          <w:rFonts w:cs="Frutiger LT Std 45 Light"/>
          <w:color w:val="000000"/>
          <w:szCs w:val="20"/>
        </w:rPr>
        <w:t>,</w:t>
      </w:r>
      <w:r w:rsidR="00B72E86">
        <w:rPr>
          <w:rFonts w:cs="Frutiger LT Std 45 Light"/>
          <w:color w:val="000000"/>
          <w:szCs w:val="20"/>
        </w:rPr>
        <w:t xml:space="preserve"> Council and</w:t>
      </w:r>
      <w:r>
        <w:rPr>
          <w:rFonts w:cs="Frutiger LT Std 45 Light"/>
          <w:color w:val="000000"/>
          <w:szCs w:val="20"/>
        </w:rPr>
        <w:t xml:space="preserve"> </w:t>
      </w:r>
      <w:r w:rsidR="00963D75">
        <w:rPr>
          <w:rFonts w:cs="Frutiger LT Std 45 Light"/>
          <w:color w:val="000000"/>
          <w:szCs w:val="20"/>
        </w:rPr>
        <w:t>EP</w:t>
      </w:r>
      <w:r w:rsidR="00B72E86">
        <w:rPr>
          <w:rFonts w:cs="Frutiger LT Std 45 Light"/>
          <w:color w:val="000000"/>
          <w:szCs w:val="20"/>
        </w:rPr>
        <w:t>.</w:t>
      </w:r>
      <w:r w:rsidR="00A15223">
        <w:rPr>
          <w:rFonts w:cs="Frutiger LT Std 45 Light"/>
          <w:color w:val="000000"/>
          <w:szCs w:val="20"/>
        </w:rPr>
        <w:t xml:space="preserve"> </w:t>
      </w:r>
      <w:r w:rsidR="00C67D6C">
        <w:rPr>
          <w:rFonts w:cs="Frutiger LT Std 45 Light"/>
          <w:color w:val="000000"/>
          <w:szCs w:val="20"/>
        </w:rPr>
        <w:t xml:space="preserve">A </w:t>
      </w:r>
      <w:r>
        <w:rPr>
          <w:rFonts w:cs="Frutiger LT Std 45 Light"/>
          <w:color w:val="000000"/>
          <w:szCs w:val="20"/>
        </w:rPr>
        <w:t>way forward</w:t>
      </w:r>
      <w:r w:rsidR="0089179A">
        <w:rPr>
          <w:rFonts w:cs="Frutiger LT Std 45 Light"/>
          <w:color w:val="000000"/>
          <w:szCs w:val="20"/>
        </w:rPr>
        <w:t xml:space="preserve"> </w:t>
      </w:r>
      <w:r w:rsidR="00B4542A">
        <w:rPr>
          <w:rFonts w:cs="Frutiger LT Std 45 Light"/>
          <w:color w:val="000000"/>
          <w:szCs w:val="20"/>
        </w:rPr>
        <w:t xml:space="preserve">for </w:t>
      </w:r>
      <w:r w:rsidR="00C67D6C">
        <w:rPr>
          <w:rFonts w:cs="Frutiger LT Std 45 Light"/>
          <w:color w:val="000000"/>
          <w:szCs w:val="20"/>
        </w:rPr>
        <w:t xml:space="preserve">industry positioning during </w:t>
      </w:r>
      <w:r w:rsidR="00B4542A">
        <w:rPr>
          <w:rFonts w:cs="Frutiger LT Std 45 Light"/>
          <w:color w:val="000000"/>
          <w:szCs w:val="20"/>
        </w:rPr>
        <w:t xml:space="preserve">the </w:t>
      </w:r>
      <w:proofErr w:type="spellStart"/>
      <w:r w:rsidR="00B4542A">
        <w:rPr>
          <w:rFonts w:cs="Frutiger LT Std 45 Light"/>
          <w:color w:val="000000"/>
          <w:szCs w:val="20"/>
        </w:rPr>
        <w:t>Trilogues</w:t>
      </w:r>
      <w:proofErr w:type="spellEnd"/>
      <w:r w:rsidR="00B4542A">
        <w:rPr>
          <w:rFonts w:cs="Frutiger LT Std 45 Light"/>
          <w:color w:val="000000"/>
          <w:szCs w:val="20"/>
        </w:rPr>
        <w:t xml:space="preserve"> is </w:t>
      </w:r>
      <w:r w:rsidR="0089179A">
        <w:rPr>
          <w:rFonts w:cs="Frutiger LT Std 45 Light"/>
          <w:color w:val="000000"/>
          <w:szCs w:val="20"/>
        </w:rPr>
        <w:t>proposed for discussion</w:t>
      </w:r>
      <w:r>
        <w:rPr>
          <w:rFonts w:cs="Frutiger LT Std 45 Light"/>
          <w:color w:val="000000"/>
          <w:szCs w:val="20"/>
        </w:rPr>
        <w:t>.</w:t>
      </w:r>
    </w:p>
    <w:p w14:paraId="4A2355FC" w14:textId="27F32097" w:rsidR="00743341" w:rsidRPr="00AB6587" w:rsidRDefault="00EF03AA" w:rsidP="00A455FE">
      <w:pPr>
        <w:spacing w:after="200" w:line="276" w:lineRule="auto"/>
        <w:ind w:left="-426" w:hanging="141"/>
        <w:rPr>
          <w:rFonts w:cs="Frutiger LT Std 45 Light"/>
          <w:b/>
          <w:bCs/>
          <w:color w:val="000000"/>
          <w:sz w:val="18"/>
          <w:szCs w:val="22"/>
          <w:u w:val="single"/>
        </w:rPr>
      </w:pPr>
      <w:r>
        <w:rPr>
          <w:rFonts w:cs="Frutiger LT Std 45 Light"/>
          <w:b/>
          <w:bCs/>
          <w:color w:val="000000"/>
          <w:sz w:val="18"/>
          <w:szCs w:val="22"/>
          <w:u w:val="single"/>
        </w:rPr>
        <w:t xml:space="preserve">Topics </w:t>
      </w:r>
    </w:p>
    <w:tbl>
      <w:tblPr>
        <w:tblStyle w:val="Mriekatabuky"/>
        <w:tblW w:w="15026" w:type="dxa"/>
        <w:tblInd w:w="-459" w:type="dxa"/>
        <w:tblLayout w:type="fixed"/>
        <w:tblLook w:val="04A0" w:firstRow="1" w:lastRow="0" w:firstColumn="1" w:lastColumn="0" w:noHBand="0" w:noVBand="1"/>
      </w:tblPr>
      <w:tblGrid>
        <w:gridCol w:w="1447"/>
        <w:gridCol w:w="3118"/>
        <w:gridCol w:w="3260"/>
        <w:gridCol w:w="3828"/>
        <w:gridCol w:w="3373"/>
      </w:tblGrid>
      <w:tr w:rsidR="0073591C" w14:paraId="0B35A308" w14:textId="77777777" w:rsidTr="00226E73">
        <w:trPr>
          <w:trHeight w:val="437"/>
          <w:tblHeader/>
        </w:trPr>
        <w:tc>
          <w:tcPr>
            <w:tcW w:w="1447" w:type="dxa"/>
          </w:tcPr>
          <w:p w14:paraId="0E788DAE" w14:textId="77777777" w:rsidR="0073591C" w:rsidRDefault="0073591C" w:rsidP="00A852D3">
            <w:pPr>
              <w:tabs>
                <w:tab w:val="left" w:pos="3815"/>
              </w:tabs>
              <w:jc w:val="left"/>
              <w:rPr>
                <w:b/>
                <w:bCs/>
                <w:szCs w:val="17"/>
              </w:rPr>
            </w:pPr>
          </w:p>
        </w:tc>
        <w:tc>
          <w:tcPr>
            <w:tcW w:w="3118" w:type="dxa"/>
            <w:shd w:val="clear" w:color="auto" w:fill="auto"/>
          </w:tcPr>
          <w:p w14:paraId="086AC7BE" w14:textId="47BBE622" w:rsidR="0073591C" w:rsidRPr="00491EB9" w:rsidRDefault="0073591C" w:rsidP="00A852D3">
            <w:pPr>
              <w:tabs>
                <w:tab w:val="left" w:pos="3815"/>
              </w:tabs>
              <w:jc w:val="left"/>
              <w:rPr>
                <w:b/>
                <w:bCs/>
                <w:szCs w:val="17"/>
              </w:rPr>
            </w:pPr>
            <w:r>
              <w:rPr>
                <w:b/>
                <w:bCs/>
                <w:szCs w:val="17"/>
              </w:rPr>
              <w:t>EC</w:t>
            </w:r>
            <w:r w:rsidRPr="00491EB9">
              <w:rPr>
                <w:b/>
                <w:bCs/>
                <w:szCs w:val="17"/>
              </w:rPr>
              <w:t xml:space="preserve"> proposal</w:t>
            </w:r>
          </w:p>
        </w:tc>
        <w:tc>
          <w:tcPr>
            <w:tcW w:w="3260" w:type="dxa"/>
            <w:shd w:val="clear" w:color="auto" w:fill="auto"/>
          </w:tcPr>
          <w:p w14:paraId="037D7FE5" w14:textId="405BB872" w:rsidR="0073591C" w:rsidRPr="00491EB9" w:rsidRDefault="004E51DD" w:rsidP="00A852D3">
            <w:pPr>
              <w:tabs>
                <w:tab w:val="left" w:pos="3815"/>
              </w:tabs>
              <w:jc w:val="left"/>
              <w:rPr>
                <w:b/>
                <w:bCs/>
                <w:szCs w:val="17"/>
              </w:rPr>
            </w:pPr>
            <w:r>
              <w:rPr>
                <w:b/>
                <w:bCs/>
                <w:szCs w:val="17"/>
              </w:rPr>
              <w:t>Council general approach</w:t>
            </w:r>
          </w:p>
        </w:tc>
        <w:tc>
          <w:tcPr>
            <w:tcW w:w="3828" w:type="dxa"/>
          </w:tcPr>
          <w:p w14:paraId="00A02CB1" w14:textId="66FCDBAE" w:rsidR="0073591C" w:rsidRDefault="00157488" w:rsidP="00A852D3">
            <w:pPr>
              <w:tabs>
                <w:tab w:val="left" w:pos="3815"/>
              </w:tabs>
              <w:jc w:val="left"/>
              <w:rPr>
                <w:b/>
                <w:bCs/>
                <w:szCs w:val="17"/>
              </w:rPr>
            </w:pPr>
            <w:r>
              <w:rPr>
                <w:b/>
                <w:bCs/>
                <w:szCs w:val="17"/>
              </w:rPr>
              <w:t>Parliament position</w:t>
            </w:r>
          </w:p>
        </w:tc>
        <w:tc>
          <w:tcPr>
            <w:tcW w:w="3373" w:type="dxa"/>
          </w:tcPr>
          <w:p w14:paraId="5CDFA7CF" w14:textId="7F32CE87" w:rsidR="0073591C" w:rsidRPr="00491EB9" w:rsidRDefault="007A3750" w:rsidP="00CE0F3D">
            <w:pPr>
              <w:tabs>
                <w:tab w:val="left" w:pos="3815"/>
              </w:tabs>
              <w:rPr>
                <w:b/>
                <w:bCs/>
                <w:szCs w:val="17"/>
              </w:rPr>
            </w:pPr>
            <w:r>
              <w:rPr>
                <w:b/>
                <w:bCs/>
                <w:szCs w:val="17"/>
              </w:rPr>
              <w:t xml:space="preserve">Industry </w:t>
            </w:r>
            <w:r w:rsidR="00157488">
              <w:rPr>
                <w:b/>
                <w:bCs/>
                <w:szCs w:val="17"/>
              </w:rPr>
              <w:t>way</w:t>
            </w:r>
            <w:r w:rsidR="008A63F4">
              <w:rPr>
                <w:b/>
                <w:bCs/>
                <w:szCs w:val="17"/>
              </w:rPr>
              <w:t xml:space="preserve"> </w:t>
            </w:r>
            <w:r w:rsidR="00157488">
              <w:rPr>
                <w:b/>
                <w:bCs/>
                <w:szCs w:val="17"/>
              </w:rPr>
              <w:t>forward</w:t>
            </w:r>
          </w:p>
        </w:tc>
      </w:tr>
      <w:tr w:rsidR="0073591C" w14:paraId="300B256B" w14:textId="77777777" w:rsidTr="00226E73">
        <w:trPr>
          <w:trHeight w:val="1336"/>
        </w:trPr>
        <w:tc>
          <w:tcPr>
            <w:tcW w:w="1447" w:type="dxa"/>
          </w:tcPr>
          <w:p w14:paraId="4C001C1F" w14:textId="1D3BB3C3" w:rsidR="0073591C" w:rsidRPr="00BD5AF9" w:rsidRDefault="0073591C" w:rsidP="00A852D3">
            <w:pPr>
              <w:tabs>
                <w:tab w:val="left" w:pos="3815"/>
              </w:tabs>
              <w:jc w:val="left"/>
              <w:rPr>
                <w:b/>
                <w:bCs/>
                <w:color w:val="00B050"/>
                <w:szCs w:val="17"/>
              </w:rPr>
            </w:pPr>
            <w:r w:rsidRPr="00DC1C62">
              <w:rPr>
                <w:b/>
                <w:bCs/>
                <w:szCs w:val="17"/>
              </w:rPr>
              <w:t>VA</w:t>
            </w:r>
          </w:p>
        </w:tc>
        <w:tc>
          <w:tcPr>
            <w:tcW w:w="3118" w:type="dxa"/>
            <w:shd w:val="clear" w:color="auto" w:fill="auto"/>
          </w:tcPr>
          <w:p w14:paraId="34492C2B" w14:textId="3FCA02C0" w:rsidR="008F30A7" w:rsidRDefault="0073591C" w:rsidP="00A852D3">
            <w:pPr>
              <w:tabs>
                <w:tab w:val="left" w:pos="3815"/>
              </w:tabs>
              <w:jc w:val="left"/>
              <w:rPr>
                <w:szCs w:val="17"/>
              </w:rPr>
            </w:pPr>
            <w:r w:rsidRPr="00BD5AF9">
              <w:rPr>
                <w:b/>
                <w:bCs/>
                <w:color w:val="00B050"/>
                <w:szCs w:val="17"/>
              </w:rPr>
              <w:t xml:space="preserve">[Positive] </w:t>
            </w:r>
            <w:r w:rsidR="005C5EB8" w:rsidRPr="005C5EB8">
              <w:rPr>
                <w:szCs w:val="17"/>
              </w:rPr>
              <w:t>VA reference portfolio to consist of 100% fixed income assets (‘</w:t>
            </w:r>
            <w:r w:rsidR="006D1C59">
              <w:rPr>
                <w:szCs w:val="17"/>
              </w:rPr>
              <w:t>Rescale factor’</w:t>
            </w:r>
            <w:r w:rsidR="005C5EB8" w:rsidRPr="005C5EB8">
              <w:rPr>
                <w:szCs w:val="17"/>
              </w:rPr>
              <w:t>)</w:t>
            </w:r>
          </w:p>
          <w:p w14:paraId="35438AC4" w14:textId="77777777" w:rsidR="008F30A7" w:rsidRDefault="008F30A7" w:rsidP="00A852D3">
            <w:pPr>
              <w:tabs>
                <w:tab w:val="left" w:pos="3815"/>
              </w:tabs>
              <w:jc w:val="left"/>
              <w:rPr>
                <w:szCs w:val="17"/>
              </w:rPr>
            </w:pPr>
          </w:p>
          <w:p w14:paraId="44321359" w14:textId="77777777" w:rsidR="008F30A7" w:rsidRDefault="008F30A7" w:rsidP="00A852D3">
            <w:pPr>
              <w:tabs>
                <w:tab w:val="left" w:pos="3815"/>
              </w:tabs>
              <w:jc w:val="left"/>
              <w:rPr>
                <w:rStyle w:val="eop"/>
                <w:color w:val="000000"/>
                <w:szCs w:val="17"/>
                <w:shd w:val="clear" w:color="auto" w:fill="FFFFFF"/>
              </w:rPr>
            </w:pPr>
            <w:r>
              <w:rPr>
                <w:rStyle w:val="normaltextrun"/>
                <w:b/>
                <w:bCs/>
                <w:color w:val="00B050"/>
                <w:szCs w:val="17"/>
                <w:shd w:val="clear" w:color="auto" w:fill="FFFFFF"/>
              </w:rPr>
              <w:t>[Positive]</w:t>
            </w:r>
            <w:r>
              <w:rPr>
                <w:rStyle w:val="normaltextrun"/>
                <w:b/>
                <w:bCs/>
                <w:color w:val="00B050"/>
                <w:shd w:val="clear" w:color="auto" w:fill="FFFFFF"/>
              </w:rPr>
              <w:t xml:space="preserve"> </w:t>
            </w:r>
            <w:r>
              <w:rPr>
                <w:rStyle w:val="normaltextrun"/>
                <w:color w:val="000000"/>
                <w:szCs w:val="17"/>
                <w:shd w:val="clear" w:color="auto" w:fill="FFFFFF"/>
              </w:rPr>
              <w:t>Improve country-specific VA (‘</w:t>
            </w:r>
            <w:proofErr w:type="gramStart"/>
            <w:r>
              <w:rPr>
                <w:rStyle w:val="normaltextrun"/>
                <w:i/>
                <w:iCs/>
                <w:color w:val="000000"/>
                <w:szCs w:val="17"/>
                <w:shd w:val="clear" w:color="auto" w:fill="FFFFFF"/>
              </w:rPr>
              <w:t>macro VA</w:t>
            </w:r>
            <w:proofErr w:type="gramEnd"/>
            <w:r>
              <w:rPr>
                <w:rStyle w:val="normaltextrun"/>
                <w:color w:val="000000"/>
                <w:szCs w:val="17"/>
                <w:shd w:val="clear" w:color="auto" w:fill="FFFFFF"/>
              </w:rPr>
              <w:t>’)</w:t>
            </w:r>
            <w:r>
              <w:rPr>
                <w:rStyle w:val="eop"/>
                <w:color w:val="000000"/>
                <w:szCs w:val="17"/>
                <w:shd w:val="clear" w:color="auto" w:fill="FFFFFF"/>
              </w:rPr>
              <w:t> </w:t>
            </w:r>
          </w:p>
          <w:p w14:paraId="4BC236F9" w14:textId="77777777" w:rsidR="00BE70FC" w:rsidRDefault="00BE70FC" w:rsidP="00A852D3">
            <w:pPr>
              <w:tabs>
                <w:tab w:val="left" w:pos="3815"/>
              </w:tabs>
              <w:jc w:val="left"/>
              <w:rPr>
                <w:rStyle w:val="normaltextrun"/>
                <w:b/>
                <w:bCs/>
                <w:color w:val="00B050"/>
                <w:szCs w:val="17"/>
                <w:shd w:val="clear" w:color="auto" w:fill="FFFFFF"/>
              </w:rPr>
            </w:pPr>
          </w:p>
          <w:p w14:paraId="69EE0F68" w14:textId="6B3E2FF2" w:rsidR="0073591C" w:rsidRDefault="008F30A7" w:rsidP="00A852D3">
            <w:pPr>
              <w:tabs>
                <w:tab w:val="left" w:pos="3815"/>
              </w:tabs>
              <w:jc w:val="left"/>
              <w:rPr>
                <w:rStyle w:val="eop"/>
                <w:color w:val="000000"/>
                <w:szCs w:val="17"/>
                <w:shd w:val="clear" w:color="auto" w:fill="FFFFFF"/>
              </w:rPr>
            </w:pPr>
            <w:r>
              <w:rPr>
                <w:rStyle w:val="normaltextrun"/>
                <w:b/>
                <w:bCs/>
                <w:color w:val="00B050"/>
                <w:szCs w:val="17"/>
                <w:shd w:val="clear" w:color="auto" w:fill="FFFFFF"/>
              </w:rPr>
              <w:t>[Positive]</w:t>
            </w:r>
            <w:r>
              <w:rPr>
                <w:rStyle w:val="normaltextrun"/>
                <w:b/>
                <w:bCs/>
                <w:color w:val="00B050"/>
                <w:shd w:val="clear" w:color="auto" w:fill="FFFFFF"/>
              </w:rPr>
              <w:t xml:space="preserve"> </w:t>
            </w:r>
            <w:r>
              <w:rPr>
                <w:rStyle w:val="normaltextrun"/>
                <w:color w:val="000000"/>
                <w:szCs w:val="17"/>
                <w:shd w:val="clear" w:color="auto" w:fill="FFFFFF"/>
              </w:rPr>
              <w:t>Increase the general application ratio (GAR) to 85%</w:t>
            </w:r>
            <w:r>
              <w:rPr>
                <w:rStyle w:val="eop"/>
                <w:color w:val="000000"/>
                <w:szCs w:val="17"/>
                <w:shd w:val="clear" w:color="auto" w:fill="FFFFFF"/>
              </w:rPr>
              <w:t> </w:t>
            </w:r>
          </w:p>
          <w:p w14:paraId="58DFF709" w14:textId="77777777" w:rsidR="00BE70FC" w:rsidRDefault="00BE70FC" w:rsidP="00A852D3">
            <w:pPr>
              <w:tabs>
                <w:tab w:val="left" w:pos="3815"/>
              </w:tabs>
              <w:jc w:val="left"/>
              <w:rPr>
                <w:rStyle w:val="normaltextrun"/>
                <w:b/>
                <w:bCs/>
                <w:color w:val="00B050"/>
                <w:szCs w:val="17"/>
                <w:shd w:val="clear" w:color="auto" w:fill="FFFFFF"/>
              </w:rPr>
            </w:pPr>
          </w:p>
          <w:p w14:paraId="7876A337" w14:textId="306CCC22" w:rsidR="004C4523" w:rsidRDefault="004C4523" w:rsidP="00A852D3">
            <w:pPr>
              <w:tabs>
                <w:tab w:val="left" w:pos="3815"/>
              </w:tabs>
              <w:jc w:val="left"/>
              <w:rPr>
                <w:rStyle w:val="eop"/>
                <w:color w:val="000000"/>
                <w:szCs w:val="17"/>
                <w:shd w:val="clear" w:color="auto" w:fill="FFFFFF"/>
              </w:rPr>
            </w:pPr>
            <w:r>
              <w:rPr>
                <w:rStyle w:val="normaltextrun"/>
                <w:b/>
                <w:bCs/>
                <w:color w:val="00B050"/>
                <w:szCs w:val="17"/>
                <w:shd w:val="clear" w:color="auto" w:fill="FFFFFF"/>
              </w:rPr>
              <w:t xml:space="preserve">[Positive] </w:t>
            </w:r>
            <w:r>
              <w:rPr>
                <w:rStyle w:val="normaltextrun"/>
                <w:color w:val="000000"/>
                <w:szCs w:val="17"/>
                <w:shd w:val="clear" w:color="auto" w:fill="FFFFFF"/>
              </w:rPr>
              <w:t>Include a duration ratio (‘CSSR’)</w:t>
            </w:r>
            <w:r>
              <w:rPr>
                <w:rStyle w:val="eop"/>
                <w:color w:val="000000"/>
                <w:szCs w:val="17"/>
                <w:shd w:val="clear" w:color="auto" w:fill="FFFFFF"/>
              </w:rPr>
              <w:t> </w:t>
            </w:r>
          </w:p>
          <w:p w14:paraId="4B71A6C2" w14:textId="77777777" w:rsidR="00BE70FC" w:rsidRDefault="00BE70FC" w:rsidP="00A852D3">
            <w:pPr>
              <w:tabs>
                <w:tab w:val="left" w:pos="3815"/>
              </w:tabs>
              <w:jc w:val="left"/>
              <w:rPr>
                <w:rStyle w:val="normaltextrun"/>
                <w:b/>
                <w:bCs/>
                <w:color w:val="FF0000"/>
                <w:szCs w:val="17"/>
                <w:shd w:val="clear" w:color="auto" w:fill="FFFFFF"/>
              </w:rPr>
            </w:pPr>
          </w:p>
          <w:p w14:paraId="3749D8F6" w14:textId="24B1EFFF" w:rsidR="004C4523" w:rsidRDefault="004C4523" w:rsidP="00A852D3">
            <w:pPr>
              <w:tabs>
                <w:tab w:val="left" w:pos="3815"/>
              </w:tabs>
              <w:jc w:val="left"/>
              <w:rPr>
                <w:rStyle w:val="eop"/>
                <w:color w:val="000000"/>
                <w:szCs w:val="17"/>
                <w:shd w:val="clear" w:color="auto" w:fill="FFFFFF"/>
              </w:rPr>
            </w:pPr>
            <w:r w:rsidRPr="00BD5AF9">
              <w:rPr>
                <w:b/>
                <w:color w:val="00B050"/>
                <w:szCs w:val="17"/>
              </w:rPr>
              <w:t>[</w:t>
            </w:r>
            <w:r w:rsidR="008F74DF" w:rsidRPr="00BD5AF9">
              <w:rPr>
                <w:b/>
                <w:bCs/>
                <w:color w:val="00B050"/>
                <w:szCs w:val="17"/>
              </w:rPr>
              <w:t>Positive]</w:t>
            </w:r>
            <w:r w:rsidR="008F74DF" w:rsidRPr="00BD5AF9">
              <w:rPr>
                <w:color w:val="E36C0A" w:themeColor="accent6" w:themeShade="BF"/>
                <w:szCs w:val="17"/>
              </w:rPr>
              <w:t xml:space="preserve"> </w:t>
            </w:r>
            <w:r w:rsidR="00CD55FE">
              <w:rPr>
                <w:rStyle w:val="normaltextrun"/>
                <w:color w:val="000000"/>
                <w:szCs w:val="17"/>
                <w:shd w:val="clear" w:color="auto" w:fill="FFFFFF"/>
              </w:rPr>
              <w:t>Do</w:t>
            </w:r>
            <w:r w:rsidR="000F5D7B">
              <w:rPr>
                <w:rStyle w:val="normaltextrun"/>
                <w:color w:val="000000"/>
                <w:szCs w:val="17"/>
                <w:shd w:val="clear" w:color="auto" w:fill="FFFFFF"/>
              </w:rPr>
              <w:t>es</w:t>
            </w:r>
            <w:r w:rsidR="00CD55FE">
              <w:rPr>
                <w:rStyle w:val="normaltextrun"/>
                <w:color w:val="000000"/>
                <w:szCs w:val="17"/>
                <w:shd w:val="clear" w:color="auto" w:fill="FFFFFF"/>
              </w:rPr>
              <w:t xml:space="preserve"> not </w:t>
            </w:r>
            <w:r w:rsidR="00CB5049">
              <w:rPr>
                <w:rStyle w:val="normaltextrun"/>
                <w:color w:val="000000"/>
                <w:szCs w:val="17"/>
                <w:shd w:val="clear" w:color="auto" w:fill="FFFFFF"/>
              </w:rPr>
              <w:t>i</w:t>
            </w:r>
            <w:r>
              <w:rPr>
                <w:rStyle w:val="normaltextrun"/>
                <w:color w:val="000000"/>
                <w:szCs w:val="17"/>
                <w:shd w:val="clear" w:color="auto" w:fill="FFFFFF"/>
              </w:rPr>
              <w:t xml:space="preserve">nclude </w:t>
            </w:r>
            <w:r w:rsidR="00062A26">
              <w:rPr>
                <w:rStyle w:val="normaltextrun"/>
                <w:color w:val="000000"/>
                <w:szCs w:val="17"/>
                <w:shd w:val="clear" w:color="auto" w:fill="FFFFFF"/>
              </w:rPr>
              <w:t xml:space="preserve">EIOPA’s proposed </w:t>
            </w:r>
            <w:r>
              <w:rPr>
                <w:rStyle w:val="normaltextrun"/>
                <w:color w:val="000000"/>
                <w:szCs w:val="17"/>
                <w:shd w:val="clear" w:color="auto" w:fill="FFFFFF"/>
              </w:rPr>
              <w:t>liquidity ratio</w:t>
            </w:r>
            <w:r>
              <w:rPr>
                <w:rStyle w:val="eop"/>
                <w:color w:val="000000"/>
                <w:szCs w:val="17"/>
                <w:shd w:val="clear" w:color="auto" w:fill="FFFFFF"/>
              </w:rPr>
              <w:t> </w:t>
            </w:r>
          </w:p>
          <w:p w14:paraId="60C6D655" w14:textId="77777777" w:rsidR="004C61CA" w:rsidRDefault="004C61CA" w:rsidP="00A852D3">
            <w:pPr>
              <w:tabs>
                <w:tab w:val="left" w:pos="3815"/>
              </w:tabs>
              <w:jc w:val="left"/>
              <w:rPr>
                <w:rStyle w:val="normaltextrun"/>
                <w:b/>
                <w:bCs/>
                <w:color w:val="FF0000"/>
                <w:szCs w:val="17"/>
                <w:highlight w:val="yellow"/>
                <w:shd w:val="clear" w:color="auto" w:fill="FFFFFF"/>
              </w:rPr>
            </w:pPr>
          </w:p>
          <w:p w14:paraId="2C1D6DC7" w14:textId="77777777" w:rsidR="004C61CA" w:rsidRDefault="004C61CA" w:rsidP="00A852D3">
            <w:pPr>
              <w:tabs>
                <w:tab w:val="left" w:pos="3815"/>
              </w:tabs>
              <w:jc w:val="left"/>
              <w:rPr>
                <w:rStyle w:val="normaltextrun"/>
                <w:b/>
                <w:bCs/>
                <w:color w:val="FF0000"/>
                <w:szCs w:val="17"/>
                <w:highlight w:val="yellow"/>
                <w:shd w:val="clear" w:color="auto" w:fill="FFFFFF"/>
              </w:rPr>
            </w:pPr>
          </w:p>
          <w:p w14:paraId="742F132F" w14:textId="01C56D36" w:rsidR="004C4523" w:rsidRDefault="004C4523" w:rsidP="00A852D3">
            <w:pPr>
              <w:tabs>
                <w:tab w:val="left" w:pos="3815"/>
              </w:tabs>
              <w:jc w:val="left"/>
              <w:rPr>
                <w:rStyle w:val="eop"/>
                <w:color w:val="000000"/>
                <w:szCs w:val="17"/>
                <w:shd w:val="clear" w:color="auto" w:fill="FFFFFF"/>
              </w:rPr>
            </w:pPr>
            <w:r w:rsidRPr="00A161B6">
              <w:rPr>
                <w:rStyle w:val="normaltextrun"/>
                <w:b/>
                <w:color w:val="FF0000"/>
                <w:szCs w:val="17"/>
                <w:shd w:val="clear" w:color="auto" w:fill="FFFFFF"/>
              </w:rPr>
              <w:t xml:space="preserve">[Negative] </w:t>
            </w:r>
            <w:r w:rsidRPr="00A161B6">
              <w:rPr>
                <w:rStyle w:val="normaltextrun"/>
                <w:color w:val="000000"/>
                <w:szCs w:val="17"/>
                <w:shd w:val="clear" w:color="auto" w:fill="FFFFFF"/>
              </w:rPr>
              <w:t>Risk Correction (RC) to become a % of the current spread</w:t>
            </w:r>
          </w:p>
          <w:p w14:paraId="1C33F132" w14:textId="77777777" w:rsidR="00BE70FC" w:rsidRDefault="00BE70FC" w:rsidP="00A852D3">
            <w:pPr>
              <w:tabs>
                <w:tab w:val="left" w:pos="3815"/>
              </w:tabs>
              <w:jc w:val="left"/>
              <w:rPr>
                <w:rStyle w:val="eop"/>
                <w:color w:val="000000"/>
                <w:szCs w:val="17"/>
                <w:shd w:val="clear" w:color="auto" w:fill="FFFFFF"/>
              </w:rPr>
            </w:pPr>
          </w:p>
          <w:p w14:paraId="4533183E" w14:textId="45E5CE9B" w:rsidR="00BE70FC" w:rsidRDefault="00BE70FC" w:rsidP="00A852D3">
            <w:pPr>
              <w:tabs>
                <w:tab w:val="left" w:pos="3815"/>
              </w:tabs>
              <w:jc w:val="left"/>
              <w:rPr>
                <w:rStyle w:val="eop"/>
                <w:color w:val="000000"/>
                <w:szCs w:val="17"/>
                <w:shd w:val="clear" w:color="auto" w:fill="FFFFFF"/>
              </w:rPr>
            </w:pPr>
            <w:r>
              <w:rPr>
                <w:rStyle w:val="normaltextrun"/>
                <w:b/>
                <w:bCs/>
                <w:color w:val="00B050"/>
                <w:szCs w:val="17"/>
                <w:shd w:val="clear" w:color="auto" w:fill="FFFFFF"/>
              </w:rPr>
              <w:t xml:space="preserve">[Positive] </w:t>
            </w:r>
            <w:r>
              <w:rPr>
                <w:rStyle w:val="normaltextrun"/>
                <w:color w:val="000000"/>
                <w:szCs w:val="17"/>
                <w:shd w:val="clear" w:color="auto" w:fill="FFFFFF"/>
              </w:rPr>
              <w:t>No introduction of an own asset approach</w:t>
            </w:r>
            <w:r>
              <w:rPr>
                <w:rStyle w:val="eop"/>
                <w:color w:val="000000"/>
                <w:szCs w:val="17"/>
                <w:shd w:val="clear" w:color="auto" w:fill="FFFFFF"/>
              </w:rPr>
              <w:t> </w:t>
            </w:r>
          </w:p>
          <w:p w14:paraId="10E9A96A" w14:textId="77777777" w:rsidR="006D6469" w:rsidRDefault="006D6469" w:rsidP="00A852D3">
            <w:pPr>
              <w:tabs>
                <w:tab w:val="left" w:pos="3815"/>
              </w:tabs>
              <w:jc w:val="left"/>
              <w:rPr>
                <w:rStyle w:val="normaltextrun"/>
                <w:b/>
                <w:bCs/>
                <w:color w:val="595959"/>
                <w:szCs w:val="17"/>
                <w:shd w:val="clear" w:color="auto" w:fill="FFFFFF"/>
              </w:rPr>
            </w:pPr>
          </w:p>
          <w:p w14:paraId="5074F51A" w14:textId="77777777" w:rsidR="006D6469" w:rsidRDefault="006D6469" w:rsidP="00A852D3">
            <w:pPr>
              <w:tabs>
                <w:tab w:val="left" w:pos="3815"/>
              </w:tabs>
              <w:jc w:val="left"/>
              <w:rPr>
                <w:rStyle w:val="normaltextrun"/>
                <w:b/>
                <w:bCs/>
                <w:color w:val="595959"/>
                <w:szCs w:val="17"/>
                <w:shd w:val="clear" w:color="auto" w:fill="FFFFFF"/>
              </w:rPr>
            </w:pPr>
          </w:p>
          <w:p w14:paraId="4D30149C" w14:textId="77777777" w:rsidR="006D6469" w:rsidRDefault="006D6469" w:rsidP="00A852D3">
            <w:pPr>
              <w:tabs>
                <w:tab w:val="left" w:pos="3815"/>
              </w:tabs>
              <w:jc w:val="left"/>
              <w:rPr>
                <w:rStyle w:val="normaltextrun"/>
                <w:b/>
                <w:bCs/>
                <w:color w:val="595959"/>
                <w:szCs w:val="17"/>
                <w:shd w:val="clear" w:color="auto" w:fill="FFFFFF"/>
              </w:rPr>
            </w:pPr>
          </w:p>
          <w:p w14:paraId="1E645EDA" w14:textId="77777777" w:rsidR="006D6469" w:rsidRDefault="006D6469" w:rsidP="00A852D3">
            <w:pPr>
              <w:tabs>
                <w:tab w:val="left" w:pos="3815"/>
              </w:tabs>
              <w:jc w:val="left"/>
              <w:rPr>
                <w:rStyle w:val="normaltextrun"/>
                <w:b/>
                <w:bCs/>
                <w:color w:val="595959"/>
                <w:szCs w:val="17"/>
                <w:shd w:val="clear" w:color="auto" w:fill="FFFFFF"/>
              </w:rPr>
            </w:pPr>
          </w:p>
          <w:p w14:paraId="5BE2D9ED" w14:textId="77777777" w:rsidR="006D6469" w:rsidRDefault="006D6469" w:rsidP="00A852D3">
            <w:pPr>
              <w:tabs>
                <w:tab w:val="left" w:pos="3815"/>
              </w:tabs>
              <w:jc w:val="left"/>
              <w:rPr>
                <w:rStyle w:val="normaltextrun"/>
                <w:b/>
                <w:bCs/>
                <w:color w:val="595959"/>
                <w:szCs w:val="17"/>
                <w:shd w:val="clear" w:color="auto" w:fill="FFFFFF"/>
              </w:rPr>
            </w:pPr>
          </w:p>
          <w:p w14:paraId="10BD8E9B" w14:textId="77777777" w:rsidR="006D6469" w:rsidRDefault="006D6469" w:rsidP="00A852D3">
            <w:pPr>
              <w:tabs>
                <w:tab w:val="left" w:pos="3815"/>
              </w:tabs>
              <w:jc w:val="left"/>
              <w:rPr>
                <w:rStyle w:val="normaltextrun"/>
                <w:b/>
                <w:bCs/>
                <w:color w:val="595959"/>
                <w:szCs w:val="17"/>
                <w:shd w:val="clear" w:color="auto" w:fill="FFFFFF"/>
              </w:rPr>
            </w:pPr>
          </w:p>
          <w:p w14:paraId="3173B141" w14:textId="77777777" w:rsidR="006D6469" w:rsidRDefault="006D6469" w:rsidP="00A852D3">
            <w:pPr>
              <w:tabs>
                <w:tab w:val="left" w:pos="3815"/>
              </w:tabs>
              <w:jc w:val="left"/>
              <w:rPr>
                <w:rStyle w:val="normaltextrun"/>
                <w:b/>
                <w:bCs/>
                <w:color w:val="595959"/>
                <w:szCs w:val="17"/>
                <w:shd w:val="clear" w:color="auto" w:fill="FFFFFF"/>
              </w:rPr>
            </w:pPr>
          </w:p>
          <w:p w14:paraId="753273E4" w14:textId="77777777" w:rsidR="006D6469" w:rsidRDefault="006D6469" w:rsidP="00A852D3">
            <w:pPr>
              <w:tabs>
                <w:tab w:val="left" w:pos="3815"/>
              </w:tabs>
              <w:jc w:val="left"/>
              <w:rPr>
                <w:rStyle w:val="normaltextrun"/>
                <w:b/>
                <w:bCs/>
                <w:color w:val="595959"/>
                <w:szCs w:val="17"/>
                <w:shd w:val="clear" w:color="auto" w:fill="FFFFFF"/>
              </w:rPr>
            </w:pPr>
          </w:p>
          <w:p w14:paraId="3F6F9024" w14:textId="77777777" w:rsidR="00476D7E" w:rsidRDefault="00476D7E" w:rsidP="00A852D3">
            <w:pPr>
              <w:tabs>
                <w:tab w:val="left" w:pos="3815"/>
              </w:tabs>
              <w:jc w:val="left"/>
              <w:rPr>
                <w:rStyle w:val="normaltextrun"/>
                <w:b/>
                <w:bCs/>
                <w:color w:val="595959"/>
                <w:szCs w:val="17"/>
                <w:shd w:val="clear" w:color="auto" w:fill="FFFFFF"/>
              </w:rPr>
            </w:pPr>
          </w:p>
          <w:p w14:paraId="55A578EB" w14:textId="77777777" w:rsidR="00476D7E" w:rsidRDefault="00476D7E" w:rsidP="00A852D3">
            <w:pPr>
              <w:tabs>
                <w:tab w:val="left" w:pos="3815"/>
              </w:tabs>
              <w:jc w:val="left"/>
              <w:rPr>
                <w:rStyle w:val="normaltextrun"/>
                <w:b/>
                <w:bCs/>
                <w:color w:val="595959"/>
                <w:szCs w:val="17"/>
                <w:shd w:val="clear" w:color="auto" w:fill="FFFFFF"/>
              </w:rPr>
            </w:pPr>
          </w:p>
          <w:p w14:paraId="4A047C16" w14:textId="77777777" w:rsidR="00476D7E" w:rsidRDefault="00476D7E" w:rsidP="00A852D3">
            <w:pPr>
              <w:tabs>
                <w:tab w:val="left" w:pos="3815"/>
              </w:tabs>
              <w:jc w:val="left"/>
              <w:rPr>
                <w:rStyle w:val="normaltextrun"/>
                <w:b/>
                <w:bCs/>
                <w:color w:val="595959"/>
                <w:szCs w:val="17"/>
                <w:shd w:val="clear" w:color="auto" w:fill="FFFFFF"/>
              </w:rPr>
            </w:pPr>
          </w:p>
          <w:p w14:paraId="623DD3E9" w14:textId="77777777" w:rsidR="00476D7E" w:rsidRDefault="00476D7E" w:rsidP="00A852D3">
            <w:pPr>
              <w:tabs>
                <w:tab w:val="left" w:pos="3815"/>
              </w:tabs>
              <w:jc w:val="left"/>
              <w:rPr>
                <w:rStyle w:val="normaltextrun"/>
                <w:b/>
                <w:bCs/>
                <w:color w:val="595959"/>
                <w:szCs w:val="17"/>
                <w:shd w:val="clear" w:color="auto" w:fill="FFFFFF"/>
              </w:rPr>
            </w:pPr>
          </w:p>
          <w:p w14:paraId="6C02C086" w14:textId="36227060" w:rsidR="002614C9" w:rsidRDefault="002614C9" w:rsidP="00A852D3">
            <w:pPr>
              <w:tabs>
                <w:tab w:val="left" w:pos="3815"/>
              </w:tabs>
              <w:jc w:val="left"/>
              <w:rPr>
                <w:szCs w:val="17"/>
              </w:rPr>
            </w:pPr>
            <w:r>
              <w:rPr>
                <w:rStyle w:val="normaltextrun"/>
                <w:b/>
                <w:bCs/>
                <w:color w:val="595959"/>
                <w:szCs w:val="17"/>
                <w:shd w:val="clear" w:color="auto" w:fill="FFFFFF"/>
              </w:rPr>
              <w:t xml:space="preserve">[Neutral] </w:t>
            </w:r>
            <w:r>
              <w:rPr>
                <w:rStyle w:val="normaltextrun"/>
                <w:color w:val="000000"/>
                <w:szCs w:val="17"/>
                <w:shd w:val="clear" w:color="auto" w:fill="FFFFFF"/>
              </w:rPr>
              <w:t>Mandatory supervisory approval required for companies who wish to start applying the VA.</w:t>
            </w:r>
            <w:r>
              <w:rPr>
                <w:rStyle w:val="eop"/>
                <w:color w:val="000000"/>
                <w:szCs w:val="17"/>
                <w:shd w:val="clear" w:color="auto" w:fill="FFFFFF"/>
              </w:rPr>
              <w:t> </w:t>
            </w:r>
          </w:p>
        </w:tc>
        <w:tc>
          <w:tcPr>
            <w:tcW w:w="3260" w:type="dxa"/>
            <w:shd w:val="clear" w:color="auto" w:fill="auto"/>
          </w:tcPr>
          <w:p w14:paraId="04C3CBF0" w14:textId="4954B1AB" w:rsidR="0033735B" w:rsidRDefault="0073591C" w:rsidP="0033735B">
            <w:pPr>
              <w:tabs>
                <w:tab w:val="left" w:pos="3815"/>
              </w:tabs>
              <w:jc w:val="left"/>
              <w:rPr>
                <w:szCs w:val="17"/>
              </w:rPr>
            </w:pPr>
            <w:r w:rsidRPr="00BD5AF9">
              <w:rPr>
                <w:b/>
                <w:bCs/>
                <w:color w:val="00B050"/>
                <w:szCs w:val="17"/>
              </w:rPr>
              <w:lastRenderedPageBreak/>
              <w:t xml:space="preserve">[Positive] </w:t>
            </w:r>
            <w:r w:rsidR="006D1C59">
              <w:rPr>
                <w:szCs w:val="17"/>
              </w:rPr>
              <w:t xml:space="preserve">Rescale factor, </w:t>
            </w:r>
            <w:proofErr w:type="gramStart"/>
            <w:r w:rsidR="00801205">
              <w:rPr>
                <w:szCs w:val="17"/>
              </w:rPr>
              <w:t>macro VA</w:t>
            </w:r>
            <w:proofErr w:type="gramEnd"/>
            <w:r w:rsidR="00801205">
              <w:rPr>
                <w:szCs w:val="17"/>
              </w:rPr>
              <w:t>, GAR and CSSR consistent with COM proposal.</w:t>
            </w:r>
          </w:p>
          <w:p w14:paraId="66736DDB" w14:textId="77777777" w:rsidR="0033735B" w:rsidRDefault="0033735B" w:rsidP="0033735B">
            <w:pPr>
              <w:tabs>
                <w:tab w:val="left" w:pos="3815"/>
              </w:tabs>
              <w:jc w:val="left"/>
              <w:rPr>
                <w:szCs w:val="17"/>
              </w:rPr>
            </w:pPr>
          </w:p>
          <w:p w14:paraId="6C5D53FF" w14:textId="263152E0" w:rsidR="0033735B" w:rsidRDefault="00C8759A" w:rsidP="0033735B">
            <w:pPr>
              <w:tabs>
                <w:tab w:val="left" w:pos="3815"/>
              </w:tabs>
              <w:jc w:val="left"/>
              <w:rPr>
                <w:szCs w:val="17"/>
              </w:rPr>
            </w:pPr>
            <w:r w:rsidRPr="00BD5AF9">
              <w:rPr>
                <w:b/>
                <w:bCs/>
                <w:color w:val="00B050"/>
                <w:szCs w:val="17"/>
              </w:rPr>
              <w:t>[Positive]</w:t>
            </w:r>
            <w:r w:rsidR="007E6AF0">
              <w:rPr>
                <w:b/>
                <w:bCs/>
                <w:color w:val="00B050"/>
                <w:szCs w:val="17"/>
              </w:rPr>
              <w:t xml:space="preserve"> </w:t>
            </w:r>
            <w:r w:rsidR="00801205">
              <w:rPr>
                <w:szCs w:val="17"/>
              </w:rPr>
              <w:t xml:space="preserve">Council </w:t>
            </w:r>
            <w:r w:rsidR="0033735B">
              <w:rPr>
                <w:szCs w:val="17"/>
              </w:rPr>
              <w:t>introduces flexibility in the calculation of the CSSR for those countries which have currencies pegged to the Euro.</w:t>
            </w:r>
          </w:p>
          <w:p w14:paraId="3CD3613B" w14:textId="77777777" w:rsidR="007E6AF0" w:rsidRDefault="007E6AF0" w:rsidP="007E6AF0">
            <w:pPr>
              <w:tabs>
                <w:tab w:val="left" w:pos="3815"/>
              </w:tabs>
              <w:jc w:val="left"/>
              <w:rPr>
                <w:b/>
                <w:bCs/>
                <w:color w:val="00B050"/>
                <w:szCs w:val="17"/>
              </w:rPr>
            </w:pPr>
          </w:p>
          <w:p w14:paraId="009CCBFC" w14:textId="5A4EF3D9" w:rsidR="006D6469" w:rsidRDefault="00BD38B9" w:rsidP="0033735B">
            <w:pPr>
              <w:tabs>
                <w:tab w:val="left" w:pos="3815"/>
              </w:tabs>
              <w:jc w:val="left"/>
              <w:rPr>
                <w:szCs w:val="17"/>
              </w:rPr>
            </w:pPr>
            <w:r w:rsidRPr="00747AF0">
              <w:rPr>
                <w:b/>
                <w:color w:val="595959" w:themeColor="text1" w:themeTint="A6"/>
                <w:szCs w:val="17"/>
              </w:rPr>
              <w:t>[Neutral]</w:t>
            </w:r>
            <w:r w:rsidR="006D6469" w:rsidRPr="00F15250">
              <w:rPr>
                <w:color w:val="FFC000"/>
                <w:szCs w:val="17"/>
              </w:rPr>
              <w:t xml:space="preserve"> </w:t>
            </w:r>
            <w:r w:rsidR="007E6AF0" w:rsidRPr="00094DB3">
              <w:rPr>
                <w:szCs w:val="17"/>
              </w:rPr>
              <w:t xml:space="preserve">In </w:t>
            </w:r>
            <w:r w:rsidR="006D6469" w:rsidRPr="00765D77">
              <w:rPr>
                <w:szCs w:val="17"/>
              </w:rPr>
              <w:t xml:space="preserve">EGBPI </w:t>
            </w:r>
            <w:r w:rsidR="007E6AF0">
              <w:rPr>
                <w:szCs w:val="17"/>
              </w:rPr>
              <w:t>discussion on risk correction,</w:t>
            </w:r>
            <w:r w:rsidR="006D6469" w:rsidRPr="00765D77">
              <w:rPr>
                <w:szCs w:val="17"/>
              </w:rPr>
              <w:t xml:space="preserve"> </w:t>
            </w:r>
            <w:r w:rsidR="006D6469">
              <w:rPr>
                <w:szCs w:val="17"/>
              </w:rPr>
              <w:t>there seems to be general support for the EC’s proposed changes to EIOPA’s proposals in order to limit volatility and procyclicality concerns raised</w:t>
            </w:r>
            <w:r w:rsidR="006D6469" w:rsidRPr="00765D77">
              <w:rPr>
                <w:szCs w:val="17"/>
              </w:rPr>
              <w:t xml:space="preserve"> </w:t>
            </w:r>
            <w:r w:rsidR="006D6469" w:rsidRPr="000027A4">
              <w:rPr>
                <w:szCs w:val="17"/>
              </w:rPr>
              <w:t>(</w:t>
            </w:r>
            <w:proofErr w:type="spellStart"/>
            <w:proofErr w:type="gramStart"/>
            <w:r w:rsidR="006D6469">
              <w:rPr>
                <w:szCs w:val="17"/>
              </w:rPr>
              <w:t>eg</w:t>
            </w:r>
            <w:proofErr w:type="spellEnd"/>
            <w:proofErr w:type="gramEnd"/>
            <w:r w:rsidR="006D6469">
              <w:rPr>
                <w:szCs w:val="17"/>
              </w:rPr>
              <w:t xml:space="preserve"> Italy) (Art 77d(c)). However, the calibrations being discussed by EGBPI are not as beneficial as those proposed by industry.</w:t>
            </w:r>
          </w:p>
          <w:p w14:paraId="5E02B1AD" w14:textId="77777777" w:rsidR="00337ED6" w:rsidRDefault="00337ED6" w:rsidP="0033735B">
            <w:pPr>
              <w:tabs>
                <w:tab w:val="left" w:pos="3815"/>
              </w:tabs>
              <w:jc w:val="left"/>
              <w:rPr>
                <w:szCs w:val="17"/>
              </w:rPr>
            </w:pPr>
          </w:p>
          <w:p w14:paraId="0B33B632" w14:textId="3EE65C6B" w:rsidR="00476D7E" w:rsidRDefault="00476D7E" w:rsidP="0033735B">
            <w:pPr>
              <w:tabs>
                <w:tab w:val="left" w:pos="3815"/>
              </w:tabs>
              <w:jc w:val="left"/>
              <w:rPr>
                <w:szCs w:val="17"/>
              </w:rPr>
            </w:pPr>
            <w:r>
              <w:rPr>
                <w:rStyle w:val="normaltextrun"/>
                <w:b/>
                <w:bCs/>
                <w:color w:val="FF0000"/>
                <w:szCs w:val="17"/>
                <w:shd w:val="clear" w:color="auto" w:fill="FFFFFF"/>
              </w:rPr>
              <w:t>[Negative]</w:t>
            </w:r>
            <w:r>
              <w:rPr>
                <w:rStyle w:val="normaltextrun"/>
                <w:color w:val="E36C0A"/>
                <w:szCs w:val="17"/>
                <w:shd w:val="clear" w:color="auto" w:fill="FFFFFF"/>
              </w:rPr>
              <w:t xml:space="preserve"> </w:t>
            </w:r>
            <w:r w:rsidR="007E6AF0">
              <w:rPr>
                <w:rStyle w:val="normaltextrun"/>
                <w:color w:val="000000"/>
                <w:szCs w:val="17"/>
                <w:shd w:val="clear" w:color="auto" w:fill="FFFFFF"/>
              </w:rPr>
              <w:t>Council</w:t>
            </w:r>
            <w:r>
              <w:rPr>
                <w:rStyle w:val="normaltextrun"/>
                <w:color w:val="000000"/>
                <w:szCs w:val="17"/>
                <w:shd w:val="clear" w:color="auto" w:fill="FFFFFF"/>
              </w:rPr>
              <w:t xml:space="preserve"> introduces the possibility for companies to apply a company specific ratio which can lower the company’s VA to be consistent with an own assets VA </w:t>
            </w:r>
            <w:r>
              <w:rPr>
                <w:rStyle w:val="normaltextrun"/>
                <w:color w:val="000000"/>
                <w:szCs w:val="17"/>
                <w:shd w:val="clear" w:color="auto" w:fill="FFFFFF"/>
              </w:rPr>
              <w:lastRenderedPageBreak/>
              <w:t>where quality overshooting is present (the ratio is capped at 100% so a company cannot benefit from having a VA higher than the reference</w:t>
            </w:r>
            <w:r w:rsidR="00E6423A">
              <w:rPr>
                <w:rStyle w:val="normaltextrun"/>
                <w:color w:val="000000"/>
                <w:szCs w:val="17"/>
                <w:shd w:val="clear" w:color="auto" w:fill="FFFFFF"/>
              </w:rPr>
              <w:t>)</w:t>
            </w:r>
            <w:r>
              <w:rPr>
                <w:rStyle w:val="normaltextrun"/>
                <w:color w:val="000000"/>
                <w:szCs w:val="17"/>
                <w:shd w:val="clear" w:color="auto" w:fill="FFFFFF"/>
              </w:rPr>
              <w:t xml:space="preserve"> portfolio(s)). Supervisory approval is also required. </w:t>
            </w:r>
            <w:r>
              <w:rPr>
                <w:rStyle w:val="eop"/>
                <w:color w:val="000000"/>
                <w:szCs w:val="17"/>
                <w:shd w:val="clear" w:color="auto" w:fill="FFFFFF"/>
              </w:rPr>
              <w:t> </w:t>
            </w:r>
          </w:p>
          <w:p w14:paraId="2DC23FF9" w14:textId="77777777" w:rsidR="00476D7E" w:rsidRDefault="00476D7E" w:rsidP="0033735B">
            <w:pPr>
              <w:tabs>
                <w:tab w:val="left" w:pos="3815"/>
              </w:tabs>
              <w:jc w:val="left"/>
              <w:rPr>
                <w:szCs w:val="17"/>
              </w:rPr>
            </w:pPr>
          </w:p>
          <w:p w14:paraId="11AACD24" w14:textId="77777777" w:rsidR="00476D7E" w:rsidRDefault="00476D7E" w:rsidP="0033735B">
            <w:pPr>
              <w:tabs>
                <w:tab w:val="left" w:pos="3815"/>
              </w:tabs>
              <w:jc w:val="left"/>
              <w:rPr>
                <w:szCs w:val="17"/>
              </w:rPr>
            </w:pPr>
          </w:p>
          <w:p w14:paraId="40A0C440" w14:textId="595A8F6B" w:rsidR="00337ED6" w:rsidRDefault="00337ED6" w:rsidP="0033735B">
            <w:pPr>
              <w:tabs>
                <w:tab w:val="left" w:pos="3815"/>
              </w:tabs>
              <w:jc w:val="left"/>
              <w:rPr>
                <w:szCs w:val="17"/>
              </w:rPr>
            </w:pPr>
            <w:r w:rsidRPr="00703802">
              <w:rPr>
                <w:b/>
                <w:bCs/>
                <w:color w:val="FF0000"/>
                <w:szCs w:val="17"/>
              </w:rPr>
              <w:t>[Negative]</w:t>
            </w:r>
            <w:r>
              <w:rPr>
                <w:b/>
                <w:bCs/>
                <w:color w:val="FF0000"/>
                <w:szCs w:val="17"/>
              </w:rPr>
              <w:t xml:space="preserve"> </w:t>
            </w:r>
            <w:r w:rsidR="00602560">
              <w:rPr>
                <w:szCs w:val="17"/>
              </w:rPr>
              <w:t xml:space="preserve">Council </w:t>
            </w:r>
            <w:r w:rsidRPr="00703802">
              <w:rPr>
                <w:szCs w:val="17"/>
              </w:rPr>
              <w:t>extends the supervisory approval process to permit additional national criteria to be used in the application process.</w:t>
            </w:r>
          </w:p>
        </w:tc>
        <w:tc>
          <w:tcPr>
            <w:tcW w:w="3828" w:type="dxa"/>
          </w:tcPr>
          <w:p w14:paraId="489F7CF9" w14:textId="77777777" w:rsidR="00404B75" w:rsidRDefault="00CB58E4" w:rsidP="007E6AF0">
            <w:pPr>
              <w:tabs>
                <w:tab w:val="left" w:pos="3815"/>
              </w:tabs>
              <w:jc w:val="left"/>
              <w:rPr>
                <w:szCs w:val="17"/>
              </w:rPr>
            </w:pPr>
            <w:r>
              <w:rPr>
                <w:rStyle w:val="normaltextrun"/>
                <w:b/>
                <w:bCs/>
                <w:color w:val="00B050"/>
                <w:szCs w:val="17"/>
                <w:shd w:val="clear" w:color="auto" w:fill="FFFFFF"/>
              </w:rPr>
              <w:lastRenderedPageBreak/>
              <w:t xml:space="preserve">[Positive] </w:t>
            </w:r>
            <w:r w:rsidR="00404B75">
              <w:rPr>
                <w:szCs w:val="17"/>
              </w:rPr>
              <w:t xml:space="preserve">Rescale factor, </w:t>
            </w:r>
            <w:proofErr w:type="gramStart"/>
            <w:r w:rsidR="00404B75">
              <w:rPr>
                <w:szCs w:val="17"/>
              </w:rPr>
              <w:t>macro VA</w:t>
            </w:r>
            <w:proofErr w:type="gramEnd"/>
            <w:r w:rsidR="00404B75">
              <w:rPr>
                <w:szCs w:val="17"/>
              </w:rPr>
              <w:t>, GAR and CSSR consistent with COM proposal.</w:t>
            </w:r>
          </w:p>
          <w:p w14:paraId="547C8666" w14:textId="55BE4EED" w:rsidR="0022403F" w:rsidRDefault="0022403F" w:rsidP="00F01A03">
            <w:pPr>
              <w:tabs>
                <w:tab w:val="left" w:pos="3815"/>
              </w:tabs>
              <w:jc w:val="left"/>
              <w:rPr>
                <w:szCs w:val="17"/>
              </w:rPr>
            </w:pPr>
          </w:p>
          <w:p w14:paraId="1A58B05A" w14:textId="5F304C7A" w:rsidR="009C29A4" w:rsidRPr="009C29A4" w:rsidRDefault="00C8759A" w:rsidP="00094DB3">
            <w:pPr>
              <w:tabs>
                <w:tab w:val="left" w:pos="3815"/>
              </w:tabs>
              <w:jc w:val="left"/>
              <w:rPr>
                <w:b/>
                <w:color w:val="00B050"/>
                <w:szCs w:val="17"/>
              </w:rPr>
            </w:pPr>
            <w:r w:rsidRPr="00BD5AF9">
              <w:rPr>
                <w:b/>
                <w:bCs/>
                <w:color w:val="00B050"/>
                <w:szCs w:val="17"/>
              </w:rPr>
              <w:t>[Positive]</w:t>
            </w:r>
            <w:r>
              <w:rPr>
                <w:rStyle w:val="normaltextrun"/>
                <w:b/>
                <w:bCs/>
                <w:color w:val="00B050"/>
                <w:szCs w:val="17"/>
                <w:shd w:val="clear" w:color="auto" w:fill="FFFFFF"/>
              </w:rPr>
              <w:t xml:space="preserve"> </w:t>
            </w:r>
            <w:r w:rsidRPr="003059F9">
              <w:rPr>
                <w:rStyle w:val="normaltextrun"/>
                <w:szCs w:val="17"/>
                <w:shd w:val="clear" w:color="auto" w:fill="FFFFFF"/>
              </w:rPr>
              <w:t>Parliament introduces</w:t>
            </w:r>
            <w:r w:rsidR="009C29A4" w:rsidRPr="00F01A03">
              <w:rPr>
                <w:szCs w:val="17"/>
              </w:rPr>
              <w:t xml:space="preserve"> flexibility in the calculation of CSSR for </w:t>
            </w:r>
            <w:r w:rsidR="009C29A4">
              <w:rPr>
                <w:szCs w:val="17"/>
              </w:rPr>
              <w:t>c</w:t>
            </w:r>
            <w:r w:rsidR="009C29A4" w:rsidRPr="00F01A03">
              <w:rPr>
                <w:szCs w:val="17"/>
              </w:rPr>
              <w:t>ountries which have currencies pegged to the Euro.</w:t>
            </w:r>
          </w:p>
          <w:p w14:paraId="09DC958A" w14:textId="77777777" w:rsidR="00A8320B" w:rsidRDefault="00A8320B" w:rsidP="00F01A03">
            <w:pPr>
              <w:tabs>
                <w:tab w:val="left" w:pos="3815"/>
              </w:tabs>
              <w:jc w:val="left"/>
              <w:rPr>
                <w:rStyle w:val="normaltextrun"/>
                <w:b/>
                <w:bCs/>
                <w:color w:val="FF0000"/>
                <w:szCs w:val="17"/>
                <w:shd w:val="clear" w:color="auto" w:fill="FFFFFF"/>
              </w:rPr>
            </w:pPr>
          </w:p>
          <w:p w14:paraId="07898A36" w14:textId="77777777" w:rsidR="00C14825" w:rsidRDefault="00C14825" w:rsidP="00F01A03">
            <w:pPr>
              <w:tabs>
                <w:tab w:val="left" w:pos="3815"/>
              </w:tabs>
              <w:jc w:val="left"/>
              <w:rPr>
                <w:rStyle w:val="normaltextrun"/>
                <w:b/>
                <w:bCs/>
                <w:color w:val="FF0000"/>
                <w:szCs w:val="17"/>
                <w:shd w:val="clear" w:color="auto" w:fill="FFFFFF"/>
              </w:rPr>
            </w:pPr>
          </w:p>
          <w:p w14:paraId="6C3B04A6" w14:textId="77777777" w:rsidR="00B5195E" w:rsidRPr="00F01A03" w:rsidRDefault="00B5195E" w:rsidP="003059F9">
            <w:pPr>
              <w:tabs>
                <w:tab w:val="left" w:pos="3815"/>
              </w:tabs>
              <w:jc w:val="left"/>
              <w:rPr>
                <w:b/>
                <w:color w:val="00B050"/>
                <w:szCs w:val="17"/>
              </w:rPr>
            </w:pPr>
            <w:r w:rsidRPr="00361F9F">
              <w:rPr>
                <w:b/>
                <w:color w:val="00B050"/>
                <w:szCs w:val="17"/>
              </w:rPr>
              <w:t>[Positive]</w:t>
            </w:r>
          </w:p>
          <w:p w14:paraId="2F2E51BD" w14:textId="77777777" w:rsidR="00B5195E" w:rsidRDefault="00B5195E" w:rsidP="00B5195E">
            <w:pPr>
              <w:tabs>
                <w:tab w:val="left" w:pos="3815"/>
              </w:tabs>
              <w:jc w:val="left"/>
              <w:rPr>
                <w:szCs w:val="17"/>
              </w:rPr>
            </w:pPr>
            <w:r w:rsidRPr="00F01A03">
              <w:rPr>
                <w:szCs w:val="17"/>
              </w:rPr>
              <w:t xml:space="preserve">No change </w:t>
            </w:r>
            <w:r>
              <w:rPr>
                <w:szCs w:val="17"/>
              </w:rPr>
              <w:t>to the</w:t>
            </w:r>
            <w:r w:rsidRPr="00F01A03">
              <w:rPr>
                <w:szCs w:val="17"/>
              </w:rPr>
              <w:t xml:space="preserve"> risk correction. </w:t>
            </w:r>
          </w:p>
          <w:p w14:paraId="7288AFEF" w14:textId="77777777" w:rsidR="00C14825" w:rsidRDefault="00C14825" w:rsidP="00F01A03">
            <w:pPr>
              <w:tabs>
                <w:tab w:val="left" w:pos="3815"/>
              </w:tabs>
              <w:jc w:val="left"/>
              <w:rPr>
                <w:rStyle w:val="normaltextrun"/>
                <w:b/>
                <w:bCs/>
                <w:color w:val="FF0000"/>
                <w:szCs w:val="17"/>
                <w:shd w:val="clear" w:color="auto" w:fill="FFFFFF"/>
              </w:rPr>
            </w:pPr>
          </w:p>
          <w:p w14:paraId="238201F3" w14:textId="77777777" w:rsidR="00B5195E" w:rsidRDefault="00B5195E" w:rsidP="00B5195E">
            <w:pPr>
              <w:tabs>
                <w:tab w:val="left" w:pos="3815"/>
              </w:tabs>
              <w:jc w:val="left"/>
              <w:rPr>
                <w:rStyle w:val="normaltextrun"/>
                <w:b/>
                <w:bCs/>
                <w:color w:val="FF0000"/>
                <w:szCs w:val="17"/>
                <w:shd w:val="clear" w:color="auto" w:fill="FFFFFF"/>
              </w:rPr>
            </w:pPr>
            <w:r>
              <w:rPr>
                <w:rStyle w:val="normaltextrun"/>
                <w:b/>
                <w:bCs/>
                <w:color w:val="FF0000"/>
                <w:szCs w:val="17"/>
                <w:shd w:val="clear" w:color="auto" w:fill="FFFFFF"/>
              </w:rPr>
              <w:t xml:space="preserve">[Negative] </w:t>
            </w:r>
          </w:p>
          <w:p w14:paraId="4D918551" w14:textId="77777777" w:rsidR="00B5195E" w:rsidRPr="002A2336" w:rsidRDefault="00B5195E" w:rsidP="00B5195E">
            <w:pPr>
              <w:tabs>
                <w:tab w:val="left" w:pos="3815"/>
              </w:tabs>
              <w:jc w:val="left"/>
              <w:rPr>
                <w:szCs w:val="17"/>
              </w:rPr>
            </w:pPr>
            <w:r w:rsidRPr="002A2336">
              <w:rPr>
                <w:szCs w:val="17"/>
              </w:rPr>
              <w:t xml:space="preserve">Optional undertaking-specific </w:t>
            </w:r>
          </w:p>
          <w:p w14:paraId="259C8170" w14:textId="62B45D8C" w:rsidR="00C14825" w:rsidRDefault="00B5195E" w:rsidP="00B5195E">
            <w:pPr>
              <w:tabs>
                <w:tab w:val="left" w:pos="3815"/>
              </w:tabs>
              <w:jc w:val="left"/>
              <w:rPr>
                <w:szCs w:val="17"/>
              </w:rPr>
            </w:pPr>
            <w:r w:rsidRPr="002A2336">
              <w:rPr>
                <w:szCs w:val="17"/>
              </w:rPr>
              <w:t>adjustment for VA remains but is capped at 125% and subject to application criteria.</w:t>
            </w:r>
          </w:p>
          <w:p w14:paraId="22072BC9" w14:textId="77777777" w:rsidR="009A4B8D" w:rsidRDefault="009A4B8D" w:rsidP="00B5195E">
            <w:pPr>
              <w:tabs>
                <w:tab w:val="left" w:pos="3815"/>
              </w:tabs>
              <w:jc w:val="left"/>
              <w:rPr>
                <w:szCs w:val="17"/>
              </w:rPr>
            </w:pPr>
          </w:p>
          <w:p w14:paraId="725AC52B" w14:textId="1A1BB838" w:rsidR="009A4B8D" w:rsidRDefault="009A4B8D" w:rsidP="00B5195E">
            <w:pPr>
              <w:tabs>
                <w:tab w:val="left" w:pos="3815"/>
              </w:tabs>
              <w:jc w:val="left"/>
              <w:rPr>
                <w:rStyle w:val="normaltextrun"/>
                <w:b/>
                <w:bCs/>
                <w:color w:val="FF0000"/>
                <w:szCs w:val="17"/>
                <w:shd w:val="clear" w:color="auto" w:fill="FFFFFF"/>
              </w:rPr>
            </w:pPr>
            <w:r>
              <w:rPr>
                <w:rStyle w:val="normaltextrun"/>
                <w:b/>
                <w:bCs/>
                <w:color w:val="595959"/>
                <w:szCs w:val="17"/>
                <w:shd w:val="clear" w:color="auto" w:fill="FFFFFF"/>
              </w:rPr>
              <w:t xml:space="preserve">[Neutral] </w:t>
            </w:r>
            <w:r>
              <w:rPr>
                <w:rStyle w:val="normaltextrun"/>
                <w:color w:val="000000"/>
                <w:szCs w:val="17"/>
                <w:shd w:val="clear" w:color="auto" w:fill="FFFFFF"/>
              </w:rPr>
              <w:t>As per EC, mandatory supervisory approval required</w:t>
            </w:r>
            <w:r w:rsidR="00B23582">
              <w:rPr>
                <w:rStyle w:val="normaltextrun"/>
                <w:color w:val="000000"/>
                <w:szCs w:val="17"/>
                <w:shd w:val="clear" w:color="auto" w:fill="FFFFFF"/>
              </w:rPr>
              <w:t xml:space="preserve"> for </w:t>
            </w:r>
            <w:r w:rsidR="002B418C" w:rsidRPr="002B418C">
              <w:rPr>
                <w:rStyle w:val="normaltextrun"/>
                <w:color w:val="000000"/>
                <w:szCs w:val="17"/>
                <w:shd w:val="clear" w:color="auto" w:fill="FFFFFF"/>
              </w:rPr>
              <w:t xml:space="preserve">new </w:t>
            </w:r>
            <w:r w:rsidR="00B23582">
              <w:rPr>
                <w:rStyle w:val="normaltextrun"/>
                <w:color w:val="000000"/>
                <w:szCs w:val="17"/>
                <w:shd w:val="clear" w:color="auto" w:fill="FFFFFF"/>
              </w:rPr>
              <w:t xml:space="preserve">VA </w:t>
            </w:r>
            <w:r w:rsidR="00B23582" w:rsidRPr="002B418C">
              <w:rPr>
                <w:rStyle w:val="normaltextrun"/>
                <w:color w:val="000000"/>
                <w:szCs w:val="17"/>
                <w:shd w:val="clear" w:color="auto" w:fill="FFFFFF"/>
              </w:rPr>
              <w:t>application</w:t>
            </w:r>
            <w:r w:rsidR="002B418C" w:rsidRPr="002B418C">
              <w:rPr>
                <w:rStyle w:val="normaltextrun"/>
                <w:color w:val="000000"/>
                <w:szCs w:val="17"/>
                <w:shd w:val="clear" w:color="auto" w:fill="FFFFFF"/>
              </w:rPr>
              <w:t>s</w:t>
            </w:r>
            <w:r w:rsidR="00B23582">
              <w:rPr>
                <w:rStyle w:val="normaltextrun"/>
                <w:color w:val="000000"/>
                <w:szCs w:val="17"/>
                <w:shd w:val="clear" w:color="auto" w:fill="FFFFFF"/>
              </w:rPr>
              <w:t>.</w:t>
            </w:r>
          </w:p>
          <w:p w14:paraId="7295908E" w14:textId="136EFA38" w:rsidR="002A2336" w:rsidRPr="00A6698B" w:rsidRDefault="002A2336" w:rsidP="002A2336">
            <w:pPr>
              <w:tabs>
                <w:tab w:val="left" w:pos="3815"/>
              </w:tabs>
              <w:jc w:val="left"/>
              <w:rPr>
                <w:b/>
                <w:bCs/>
                <w:color w:val="000000" w:themeColor="text1"/>
                <w:szCs w:val="17"/>
              </w:rPr>
            </w:pPr>
          </w:p>
        </w:tc>
        <w:tc>
          <w:tcPr>
            <w:tcW w:w="3373" w:type="dxa"/>
          </w:tcPr>
          <w:p w14:paraId="08D8FBC8" w14:textId="6535E250" w:rsidR="00456C23" w:rsidRDefault="0073591C" w:rsidP="00422273">
            <w:pPr>
              <w:tabs>
                <w:tab w:val="left" w:pos="3815"/>
              </w:tabs>
              <w:rPr>
                <w:color w:val="1F497D" w:themeColor="text2"/>
                <w:szCs w:val="17"/>
              </w:rPr>
            </w:pPr>
            <w:r w:rsidRPr="007D2B02">
              <w:rPr>
                <w:b/>
                <w:bCs/>
                <w:color w:val="1F497D" w:themeColor="text2"/>
                <w:szCs w:val="17"/>
              </w:rPr>
              <w:t>Way forward</w:t>
            </w:r>
            <w:r w:rsidRPr="007D2B02">
              <w:rPr>
                <w:color w:val="1F497D" w:themeColor="text2"/>
                <w:szCs w:val="17"/>
              </w:rPr>
              <w:t xml:space="preserve">: </w:t>
            </w:r>
            <w:r w:rsidR="00660E51" w:rsidRPr="00D33179">
              <w:rPr>
                <w:color w:val="1F497D" w:themeColor="text2"/>
                <w:szCs w:val="17"/>
              </w:rPr>
              <w:t>Support</w:t>
            </w:r>
            <w:r w:rsidR="00422273" w:rsidRPr="00D33179">
              <w:rPr>
                <w:color w:val="1F497D" w:themeColor="text2"/>
                <w:szCs w:val="17"/>
              </w:rPr>
              <w:t xml:space="preserve"> </w:t>
            </w:r>
            <w:r w:rsidR="00422273" w:rsidRPr="000E1679">
              <w:rPr>
                <w:b/>
                <w:bCs/>
                <w:color w:val="1F497D" w:themeColor="text2"/>
                <w:szCs w:val="17"/>
              </w:rPr>
              <w:t>EP proposal</w:t>
            </w:r>
            <w:r w:rsidR="00AE0F44" w:rsidRPr="00AE0F44">
              <w:rPr>
                <w:b/>
                <w:bCs/>
                <w:color w:val="1F497D" w:themeColor="text2"/>
                <w:szCs w:val="17"/>
              </w:rPr>
              <w:t xml:space="preserve"> </w:t>
            </w:r>
            <w:r w:rsidR="00AE0F44">
              <w:rPr>
                <w:color w:val="1F497D" w:themeColor="text2"/>
                <w:szCs w:val="17"/>
              </w:rPr>
              <w:t xml:space="preserve">but </w:t>
            </w:r>
            <w:r w:rsidR="00AE0F44">
              <w:rPr>
                <w:b/>
                <w:bCs/>
                <w:color w:val="1F497D" w:themeColor="text2"/>
                <w:szCs w:val="17"/>
              </w:rPr>
              <w:t xml:space="preserve">oppose </w:t>
            </w:r>
            <w:r w:rsidR="00AE0F44">
              <w:rPr>
                <w:color w:val="1F497D" w:themeColor="text2"/>
                <w:szCs w:val="17"/>
              </w:rPr>
              <w:t>the introduction</w:t>
            </w:r>
            <w:r w:rsidR="00AB27CB">
              <w:rPr>
                <w:color w:val="1F497D" w:themeColor="text2"/>
                <w:szCs w:val="17"/>
              </w:rPr>
              <w:t xml:space="preserve"> of the undertaking specific adjustment</w:t>
            </w:r>
            <w:r w:rsidR="00CB5189">
              <w:rPr>
                <w:color w:val="1F497D" w:themeColor="text2"/>
                <w:szCs w:val="17"/>
              </w:rPr>
              <w:t>.</w:t>
            </w:r>
          </w:p>
          <w:p w14:paraId="38CC0D41" w14:textId="77777777" w:rsidR="00456C23" w:rsidRDefault="00456C23" w:rsidP="00422273">
            <w:pPr>
              <w:tabs>
                <w:tab w:val="left" w:pos="3815"/>
              </w:tabs>
              <w:rPr>
                <w:color w:val="1F497D" w:themeColor="text2"/>
                <w:szCs w:val="17"/>
              </w:rPr>
            </w:pPr>
          </w:p>
          <w:p w14:paraId="01D45296" w14:textId="7F5F9E99" w:rsidR="004C3D9B" w:rsidRDefault="00456C23" w:rsidP="00422273">
            <w:pPr>
              <w:tabs>
                <w:tab w:val="left" w:pos="3815"/>
              </w:tabs>
              <w:rPr>
                <w:color w:val="1F497D" w:themeColor="text2"/>
                <w:szCs w:val="17"/>
              </w:rPr>
            </w:pPr>
            <w:r>
              <w:rPr>
                <w:color w:val="1F497D" w:themeColor="text2"/>
                <w:szCs w:val="17"/>
              </w:rPr>
              <w:t>The EP proposal</w:t>
            </w:r>
            <w:r w:rsidR="00422273" w:rsidRPr="00D33179">
              <w:rPr>
                <w:color w:val="1F497D" w:themeColor="text2"/>
                <w:szCs w:val="17"/>
              </w:rPr>
              <w:t xml:space="preserve"> incorporates all the</w:t>
            </w:r>
            <w:r w:rsidR="00422273" w:rsidRPr="00422273">
              <w:rPr>
                <w:color w:val="1F497D" w:themeColor="text2"/>
                <w:szCs w:val="17"/>
              </w:rPr>
              <w:t xml:space="preserve"> positive elements of the EC proposal, including maintaining the current RC calibration without any changes.</w:t>
            </w:r>
            <w:r w:rsidR="00422273">
              <w:rPr>
                <w:color w:val="1F497D" w:themeColor="text2"/>
                <w:szCs w:val="17"/>
              </w:rPr>
              <w:t xml:space="preserve"> </w:t>
            </w:r>
            <w:r w:rsidR="009F69BC">
              <w:rPr>
                <w:color w:val="1F497D" w:themeColor="text2"/>
                <w:szCs w:val="17"/>
                <w:u w:val="single"/>
              </w:rPr>
              <w:t>Continue to</w:t>
            </w:r>
            <w:r w:rsidR="00422273" w:rsidRPr="00CF154C">
              <w:rPr>
                <w:color w:val="1F497D" w:themeColor="text2"/>
                <w:szCs w:val="17"/>
                <w:u w:val="single"/>
              </w:rPr>
              <w:t xml:space="preserve"> oppose</w:t>
            </w:r>
            <w:r w:rsidR="00422273">
              <w:rPr>
                <w:color w:val="1F497D" w:themeColor="text2"/>
                <w:szCs w:val="17"/>
              </w:rPr>
              <w:t xml:space="preserve"> the introduction of </w:t>
            </w:r>
            <w:r w:rsidR="00900324">
              <w:rPr>
                <w:color w:val="1F497D" w:themeColor="text2"/>
                <w:szCs w:val="17"/>
              </w:rPr>
              <w:t>the</w:t>
            </w:r>
            <w:r w:rsidR="00237BB9">
              <w:rPr>
                <w:color w:val="1F497D" w:themeColor="text2"/>
                <w:szCs w:val="17"/>
              </w:rPr>
              <w:t xml:space="preserve"> overshooting ratio</w:t>
            </w:r>
            <w:r w:rsidR="00050D9F">
              <w:rPr>
                <w:color w:val="1F497D" w:themeColor="text2"/>
                <w:szCs w:val="17"/>
              </w:rPr>
              <w:t xml:space="preserve"> </w:t>
            </w:r>
            <w:r w:rsidR="00422273">
              <w:rPr>
                <w:color w:val="1F497D" w:themeColor="text2"/>
                <w:szCs w:val="17"/>
              </w:rPr>
              <w:t>but</w:t>
            </w:r>
            <w:r w:rsidR="00F560AD">
              <w:rPr>
                <w:color w:val="1F497D" w:themeColor="text2"/>
                <w:szCs w:val="17"/>
              </w:rPr>
              <w:t xml:space="preserve"> preference for </w:t>
            </w:r>
            <w:r w:rsidR="0020024B">
              <w:rPr>
                <w:color w:val="1F497D" w:themeColor="text2"/>
                <w:szCs w:val="17"/>
              </w:rPr>
              <w:t xml:space="preserve">the </w:t>
            </w:r>
            <w:r w:rsidR="00F83C70">
              <w:rPr>
                <w:color w:val="1F497D" w:themeColor="text2"/>
                <w:szCs w:val="17"/>
              </w:rPr>
              <w:t>EP’s proposed alternative over the Council’s version</w:t>
            </w:r>
            <w:r w:rsidR="0020024B">
              <w:rPr>
                <w:color w:val="1F497D" w:themeColor="text2"/>
                <w:szCs w:val="17"/>
              </w:rPr>
              <w:t>.</w:t>
            </w:r>
            <w:r w:rsidR="00603971">
              <w:rPr>
                <w:color w:val="1F497D" w:themeColor="text2"/>
                <w:szCs w:val="17"/>
              </w:rPr>
              <w:t xml:space="preserve"> </w:t>
            </w:r>
          </w:p>
          <w:p w14:paraId="307D89A1" w14:textId="77777777" w:rsidR="0073591C" w:rsidRPr="000A518A" w:rsidRDefault="0073591C" w:rsidP="00CE0F3D">
            <w:pPr>
              <w:tabs>
                <w:tab w:val="left" w:pos="3815"/>
              </w:tabs>
              <w:rPr>
                <w:color w:val="1F497D" w:themeColor="text2"/>
                <w:szCs w:val="17"/>
              </w:rPr>
            </w:pPr>
          </w:p>
          <w:p w14:paraId="4A3A0CD5" w14:textId="1BFC2F20" w:rsidR="0073591C" w:rsidRPr="00050D9F" w:rsidRDefault="0073591C" w:rsidP="00245561">
            <w:pPr>
              <w:tabs>
                <w:tab w:val="left" w:pos="3815"/>
              </w:tabs>
              <w:rPr>
                <w:szCs w:val="17"/>
              </w:rPr>
            </w:pPr>
          </w:p>
        </w:tc>
      </w:tr>
      <w:tr w:rsidR="003F3336" w14:paraId="2FDC45C9" w14:textId="77777777" w:rsidTr="00226E73">
        <w:trPr>
          <w:trHeight w:val="43"/>
        </w:trPr>
        <w:tc>
          <w:tcPr>
            <w:tcW w:w="1447" w:type="dxa"/>
          </w:tcPr>
          <w:p w14:paraId="5AD9FFED" w14:textId="3618A0F0" w:rsidR="00EE6C05" w:rsidRPr="0062030C" w:rsidRDefault="0039391E" w:rsidP="00701B9F">
            <w:pPr>
              <w:tabs>
                <w:tab w:val="left" w:pos="3815"/>
              </w:tabs>
              <w:jc w:val="left"/>
              <w:rPr>
                <w:b/>
                <w:bCs/>
                <w:szCs w:val="17"/>
              </w:rPr>
            </w:pPr>
            <w:r w:rsidRPr="0062030C">
              <w:rPr>
                <w:b/>
                <w:bCs/>
                <w:szCs w:val="17"/>
              </w:rPr>
              <w:t>Extrapolation</w:t>
            </w:r>
          </w:p>
        </w:tc>
        <w:tc>
          <w:tcPr>
            <w:tcW w:w="3118" w:type="dxa"/>
          </w:tcPr>
          <w:p w14:paraId="783C06EE" w14:textId="0C3D7F05" w:rsidR="00EE6C05" w:rsidRPr="00B476C7" w:rsidRDefault="00EE6C05" w:rsidP="00701B9F">
            <w:pPr>
              <w:tabs>
                <w:tab w:val="left" w:pos="3815"/>
              </w:tabs>
              <w:jc w:val="left"/>
              <w:rPr>
                <w:szCs w:val="17"/>
              </w:rPr>
            </w:pPr>
            <w:r w:rsidRPr="00BD5AF9">
              <w:rPr>
                <w:b/>
                <w:bCs/>
                <w:color w:val="FF0000"/>
                <w:szCs w:val="17"/>
              </w:rPr>
              <w:t>[Negative]</w:t>
            </w:r>
            <w:r>
              <w:rPr>
                <w:b/>
                <w:bCs/>
                <w:color w:val="FF0000"/>
                <w:szCs w:val="17"/>
              </w:rPr>
              <w:t xml:space="preserve"> </w:t>
            </w:r>
            <w:r w:rsidRPr="00823F31">
              <w:rPr>
                <w:szCs w:val="17"/>
              </w:rPr>
              <w:t>Adopt EIOPA’s proposed new</w:t>
            </w:r>
            <w:r>
              <w:rPr>
                <w:szCs w:val="17"/>
              </w:rPr>
              <w:t xml:space="preserve"> </w:t>
            </w:r>
            <w:r w:rsidRPr="00823F31">
              <w:rPr>
                <w:szCs w:val="17"/>
              </w:rPr>
              <w:t>methodology</w:t>
            </w:r>
            <w:r w:rsidR="00B476C7" w:rsidRPr="00B476C7">
              <w:rPr>
                <w:szCs w:val="17"/>
              </w:rPr>
              <w:t>.</w:t>
            </w:r>
          </w:p>
          <w:p w14:paraId="4EB51557" w14:textId="77777777" w:rsidR="00D23807" w:rsidRDefault="00D23807" w:rsidP="00701B9F">
            <w:pPr>
              <w:tabs>
                <w:tab w:val="left" w:pos="3815"/>
              </w:tabs>
              <w:jc w:val="left"/>
              <w:rPr>
                <w:szCs w:val="17"/>
              </w:rPr>
            </w:pPr>
          </w:p>
          <w:p w14:paraId="6F059BC2" w14:textId="77777777" w:rsidR="00EE6C05" w:rsidRDefault="00D23807" w:rsidP="00701B9F">
            <w:pPr>
              <w:tabs>
                <w:tab w:val="left" w:pos="3815"/>
              </w:tabs>
              <w:jc w:val="left"/>
              <w:rPr>
                <w:szCs w:val="17"/>
              </w:rPr>
            </w:pPr>
            <w:r w:rsidRPr="002A745F">
              <w:rPr>
                <w:b/>
                <w:color w:val="FF0000"/>
                <w:szCs w:val="17"/>
              </w:rPr>
              <w:t>[</w:t>
            </w:r>
            <w:r w:rsidRPr="00D23807">
              <w:rPr>
                <w:b/>
                <w:bCs/>
                <w:color w:val="FF0000"/>
                <w:szCs w:val="17"/>
              </w:rPr>
              <w:t>Negative]</w:t>
            </w:r>
            <w:r w:rsidRPr="00D23807">
              <w:rPr>
                <w:szCs w:val="17"/>
              </w:rPr>
              <w:t xml:space="preserve"> Set alpha parameter to 10%</w:t>
            </w:r>
          </w:p>
          <w:p w14:paraId="654FD5DB" w14:textId="77777777" w:rsidR="00D23807" w:rsidRDefault="00D23807" w:rsidP="00701B9F">
            <w:pPr>
              <w:tabs>
                <w:tab w:val="left" w:pos="3815"/>
              </w:tabs>
              <w:jc w:val="left"/>
              <w:rPr>
                <w:szCs w:val="17"/>
              </w:rPr>
            </w:pPr>
          </w:p>
          <w:p w14:paraId="63A1E1C7" w14:textId="35D6DF33" w:rsidR="00D23807" w:rsidRPr="00823F31" w:rsidRDefault="00732F12" w:rsidP="00D23807">
            <w:pPr>
              <w:tabs>
                <w:tab w:val="left" w:pos="3815"/>
              </w:tabs>
              <w:jc w:val="left"/>
              <w:rPr>
                <w:szCs w:val="17"/>
              </w:rPr>
            </w:pPr>
            <w:r w:rsidRPr="00BD5AF9">
              <w:rPr>
                <w:b/>
                <w:bCs/>
                <w:color w:val="00B050"/>
                <w:szCs w:val="17"/>
              </w:rPr>
              <w:t>[Positive]</w:t>
            </w:r>
            <w:r>
              <w:rPr>
                <w:b/>
                <w:bCs/>
                <w:color w:val="00B050"/>
                <w:szCs w:val="17"/>
              </w:rPr>
              <w:t xml:space="preserve"> </w:t>
            </w:r>
            <w:r w:rsidR="00D23807" w:rsidRPr="00823F31">
              <w:rPr>
                <w:szCs w:val="17"/>
              </w:rPr>
              <w:t>Implement gradually the</w:t>
            </w:r>
            <w:r w:rsidR="00D23807">
              <w:rPr>
                <w:szCs w:val="17"/>
              </w:rPr>
              <w:t xml:space="preserve"> c</w:t>
            </w:r>
            <w:r w:rsidR="00D23807" w:rsidRPr="00823F31">
              <w:rPr>
                <w:szCs w:val="17"/>
              </w:rPr>
              <w:t>hange (starting with an alpha</w:t>
            </w:r>
            <w:r w:rsidR="00432C13">
              <w:rPr>
                <w:szCs w:val="17"/>
              </w:rPr>
              <w:t xml:space="preserve"> </w:t>
            </w:r>
            <w:r w:rsidR="00D23807" w:rsidRPr="00823F31">
              <w:rPr>
                <w:szCs w:val="17"/>
              </w:rPr>
              <w:t>parameter at 20%) as a</w:t>
            </w:r>
          </w:p>
          <w:p w14:paraId="3AA7EE8F" w14:textId="77777777" w:rsidR="00732F12" w:rsidRDefault="00D23807" w:rsidP="00D23807">
            <w:pPr>
              <w:tabs>
                <w:tab w:val="left" w:pos="3815"/>
              </w:tabs>
              <w:jc w:val="left"/>
              <w:rPr>
                <w:szCs w:val="17"/>
              </w:rPr>
            </w:pPr>
            <w:r w:rsidRPr="00823F31">
              <w:rPr>
                <w:szCs w:val="17"/>
              </w:rPr>
              <w:t>transitional until 2032</w:t>
            </w:r>
            <w:r w:rsidR="005D0988">
              <w:rPr>
                <w:szCs w:val="17"/>
              </w:rPr>
              <w:t xml:space="preserve"> </w:t>
            </w:r>
          </w:p>
          <w:p w14:paraId="55B7868A" w14:textId="77777777" w:rsidR="00732F12" w:rsidRDefault="00732F12" w:rsidP="00D23807">
            <w:pPr>
              <w:tabs>
                <w:tab w:val="left" w:pos="3815"/>
              </w:tabs>
              <w:jc w:val="left"/>
              <w:rPr>
                <w:b/>
                <w:bCs/>
                <w:color w:val="FF0000"/>
                <w:szCs w:val="17"/>
              </w:rPr>
            </w:pPr>
          </w:p>
          <w:p w14:paraId="31E2BE84" w14:textId="0F3D7681" w:rsidR="00D23807" w:rsidRDefault="005D0988" w:rsidP="00D23807">
            <w:pPr>
              <w:tabs>
                <w:tab w:val="left" w:pos="3815"/>
              </w:tabs>
              <w:jc w:val="left"/>
              <w:rPr>
                <w:szCs w:val="17"/>
              </w:rPr>
            </w:pPr>
            <w:r w:rsidRPr="00BD5AF9">
              <w:rPr>
                <w:b/>
                <w:bCs/>
                <w:color w:val="FF0000"/>
                <w:szCs w:val="17"/>
              </w:rPr>
              <w:t>[Negative]</w:t>
            </w:r>
            <w:r>
              <w:rPr>
                <w:b/>
                <w:bCs/>
                <w:color w:val="FF0000"/>
                <w:szCs w:val="17"/>
              </w:rPr>
              <w:t xml:space="preserve"> </w:t>
            </w:r>
            <w:r w:rsidR="00D23807" w:rsidRPr="00823F31">
              <w:rPr>
                <w:szCs w:val="17"/>
              </w:rPr>
              <w:t>with</w:t>
            </w:r>
            <w:r w:rsidR="00D23807">
              <w:rPr>
                <w:szCs w:val="17"/>
              </w:rPr>
              <w:t xml:space="preserve"> </w:t>
            </w:r>
            <w:r w:rsidR="00D23807" w:rsidRPr="00823F31">
              <w:rPr>
                <w:szCs w:val="17"/>
              </w:rPr>
              <w:t>impact disclosed</w:t>
            </w:r>
          </w:p>
        </w:tc>
        <w:tc>
          <w:tcPr>
            <w:tcW w:w="3260" w:type="dxa"/>
          </w:tcPr>
          <w:p w14:paraId="3EEBAAF0" w14:textId="19E4C9AF" w:rsidR="00EE6C05" w:rsidRDefault="00EE6C05" w:rsidP="00701B9F">
            <w:pPr>
              <w:tabs>
                <w:tab w:val="left" w:pos="3815"/>
              </w:tabs>
              <w:jc w:val="left"/>
              <w:rPr>
                <w:szCs w:val="17"/>
              </w:rPr>
            </w:pPr>
            <w:r w:rsidRPr="00BD5AF9">
              <w:rPr>
                <w:b/>
                <w:bCs/>
                <w:color w:val="FF0000"/>
                <w:szCs w:val="17"/>
              </w:rPr>
              <w:t>[Negative]</w:t>
            </w:r>
            <w:r>
              <w:rPr>
                <w:b/>
                <w:bCs/>
                <w:color w:val="FF0000"/>
                <w:szCs w:val="17"/>
              </w:rPr>
              <w:t xml:space="preserve"> </w:t>
            </w:r>
            <w:r w:rsidRPr="00765D77">
              <w:rPr>
                <w:szCs w:val="17"/>
              </w:rPr>
              <w:t xml:space="preserve">EC/EIOPA’s proposals are included in the </w:t>
            </w:r>
            <w:r w:rsidR="008F637C">
              <w:rPr>
                <w:szCs w:val="17"/>
              </w:rPr>
              <w:t>Council position</w:t>
            </w:r>
            <w:r w:rsidRPr="00823F31">
              <w:rPr>
                <w:szCs w:val="17"/>
              </w:rPr>
              <w:t>.</w:t>
            </w:r>
            <w:r>
              <w:rPr>
                <w:szCs w:val="17"/>
              </w:rPr>
              <w:t xml:space="preserve"> (Art prop77(a))</w:t>
            </w:r>
          </w:p>
          <w:p w14:paraId="42CA55CC" w14:textId="77777777" w:rsidR="00D23807" w:rsidRDefault="00D23807" w:rsidP="00701B9F">
            <w:pPr>
              <w:tabs>
                <w:tab w:val="left" w:pos="3815"/>
              </w:tabs>
              <w:jc w:val="left"/>
              <w:rPr>
                <w:szCs w:val="17"/>
              </w:rPr>
            </w:pPr>
          </w:p>
          <w:p w14:paraId="1E95F6AC" w14:textId="77777777" w:rsidR="00D23807" w:rsidRDefault="00D23807" w:rsidP="00701B9F">
            <w:pPr>
              <w:tabs>
                <w:tab w:val="left" w:pos="3815"/>
              </w:tabs>
              <w:jc w:val="left"/>
              <w:rPr>
                <w:szCs w:val="17"/>
              </w:rPr>
            </w:pPr>
            <w:r w:rsidRPr="00747AF0">
              <w:rPr>
                <w:b/>
                <w:color w:val="595959" w:themeColor="text1" w:themeTint="A6"/>
                <w:szCs w:val="17"/>
              </w:rPr>
              <w:t xml:space="preserve">[Neutral] </w:t>
            </w:r>
            <w:r w:rsidRPr="00823F31">
              <w:rPr>
                <w:szCs w:val="17"/>
              </w:rPr>
              <w:t>Alpha level itself not</w:t>
            </w:r>
            <w:r>
              <w:rPr>
                <w:szCs w:val="17"/>
              </w:rPr>
              <w:t xml:space="preserve"> </w:t>
            </w:r>
            <w:r w:rsidRPr="00823F31">
              <w:rPr>
                <w:szCs w:val="17"/>
              </w:rPr>
              <w:t>yet discussed, just whether the</w:t>
            </w:r>
            <w:r>
              <w:rPr>
                <w:szCs w:val="17"/>
              </w:rPr>
              <w:t xml:space="preserve"> </w:t>
            </w:r>
            <w:r w:rsidRPr="00823F31">
              <w:rPr>
                <w:szCs w:val="17"/>
              </w:rPr>
              <w:t>calibration should be</w:t>
            </w:r>
            <w:r>
              <w:rPr>
                <w:szCs w:val="17"/>
              </w:rPr>
              <w:t xml:space="preserve"> </w:t>
            </w:r>
            <w:r w:rsidRPr="00823F31">
              <w:rPr>
                <w:szCs w:val="17"/>
              </w:rPr>
              <w:t>determined in</w:t>
            </w:r>
            <w:r>
              <w:rPr>
                <w:szCs w:val="17"/>
              </w:rPr>
              <w:t xml:space="preserve"> </w:t>
            </w:r>
            <w:r w:rsidRPr="00823F31">
              <w:rPr>
                <w:szCs w:val="17"/>
              </w:rPr>
              <w:t>level 1 (Directive) or level 2</w:t>
            </w:r>
            <w:r>
              <w:rPr>
                <w:szCs w:val="17"/>
              </w:rPr>
              <w:t xml:space="preserve"> </w:t>
            </w:r>
            <w:r w:rsidRPr="00823F31">
              <w:rPr>
                <w:szCs w:val="17"/>
              </w:rPr>
              <w:t>(Delegated Acts).</w:t>
            </w:r>
          </w:p>
          <w:p w14:paraId="75550951" w14:textId="77777777" w:rsidR="00D23807" w:rsidRDefault="00D23807" w:rsidP="00701B9F">
            <w:pPr>
              <w:tabs>
                <w:tab w:val="left" w:pos="3815"/>
              </w:tabs>
              <w:jc w:val="left"/>
              <w:rPr>
                <w:szCs w:val="17"/>
              </w:rPr>
            </w:pPr>
          </w:p>
          <w:p w14:paraId="5A53616F" w14:textId="53377E95" w:rsidR="00D23807" w:rsidRDefault="00D23807" w:rsidP="00D23807">
            <w:pPr>
              <w:tabs>
                <w:tab w:val="left" w:pos="3815"/>
              </w:tabs>
              <w:jc w:val="left"/>
              <w:rPr>
                <w:szCs w:val="17"/>
              </w:rPr>
            </w:pPr>
            <w:r>
              <w:rPr>
                <w:b/>
                <w:color w:val="595959" w:themeColor="text1" w:themeTint="A6"/>
                <w:szCs w:val="17"/>
              </w:rPr>
              <w:t>[</w:t>
            </w:r>
            <w:r w:rsidRPr="00747AF0">
              <w:rPr>
                <w:b/>
                <w:color w:val="595959" w:themeColor="text1" w:themeTint="A6"/>
                <w:szCs w:val="17"/>
              </w:rPr>
              <w:t xml:space="preserve">Neutral] </w:t>
            </w:r>
            <w:r w:rsidR="003524B7">
              <w:rPr>
                <w:szCs w:val="17"/>
              </w:rPr>
              <w:t xml:space="preserve">Council </w:t>
            </w:r>
            <w:r w:rsidRPr="00765D77">
              <w:rPr>
                <w:szCs w:val="17"/>
              </w:rPr>
              <w:t xml:space="preserve">includes </w:t>
            </w:r>
            <w:r>
              <w:rPr>
                <w:szCs w:val="17"/>
              </w:rPr>
              <w:t xml:space="preserve">disclosure of combined impact of </w:t>
            </w:r>
            <w:proofErr w:type="spellStart"/>
            <w:r>
              <w:rPr>
                <w:szCs w:val="17"/>
              </w:rPr>
              <w:t>transitionals</w:t>
            </w:r>
            <w:proofErr w:type="spellEnd"/>
            <w:r>
              <w:rPr>
                <w:szCs w:val="17"/>
              </w:rPr>
              <w:t xml:space="preserve"> (</w:t>
            </w:r>
            <w:proofErr w:type="spellStart"/>
            <w:proofErr w:type="gramStart"/>
            <w:r>
              <w:rPr>
                <w:szCs w:val="17"/>
              </w:rPr>
              <w:t>eg</w:t>
            </w:r>
            <w:proofErr w:type="spellEnd"/>
            <w:proofErr w:type="gramEnd"/>
            <w:r>
              <w:rPr>
                <w:szCs w:val="17"/>
              </w:rPr>
              <w:t xml:space="preserve"> transitional on extrapolation, TRFR and TMTP) to be disclosed in SFCR. (Art 51)</w:t>
            </w:r>
          </w:p>
          <w:p w14:paraId="4BCDC6A6" w14:textId="77777777" w:rsidR="00D23807" w:rsidRDefault="00D23807" w:rsidP="00D23807">
            <w:pPr>
              <w:tabs>
                <w:tab w:val="left" w:pos="3815"/>
              </w:tabs>
              <w:jc w:val="left"/>
              <w:rPr>
                <w:szCs w:val="17"/>
              </w:rPr>
            </w:pPr>
          </w:p>
          <w:p w14:paraId="62B390B6" w14:textId="304ABAA7" w:rsidR="00D23807" w:rsidRDefault="00D23807" w:rsidP="00D23807">
            <w:pPr>
              <w:tabs>
                <w:tab w:val="left" w:pos="3815"/>
              </w:tabs>
              <w:jc w:val="left"/>
              <w:rPr>
                <w:szCs w:val="17"/>
              </w:rPr>
            </w:pPr>
            <w:r>
              <w:rPr>
                <w:szCs w:val="17"/>
              </w:rPr>
              <w:t xml:space="preserve">COM is requested adopt level 2 texts to specify the extrapolation </w:t>
            </w:r>
            <w:r>
              <w:rPr>
                <w:szCs w:val="17"/>
              </w:rPr>
              <w:lastRenderedPageBreak/>
              <w:t>methodology, convergence parameter, DLT assessment, FSP and transitional mechanism.</w:t>
            </w:r>
          </w:p>
        </w:tc>
        <w:tc>
          <w:tcPr>
            <w:tcW w:w="3828" w:type="dxa"/>
          </w:tcPr>
          <w:p w14:paraId="389BBB93" w14:textId="126366E6" w:rsidR="00341EBB" w:rsidRDefault="00D0210B" w:rsidP="00E52F8C">
            <w:pPr>
              <w:jc w:val="left"/>
              <w:rPr>
                <w:szCs w:val="17"/>
              </w:rPr>
            </w:pPr>
            <w:r w:rsidRPr="00BD5AF9">
              <w:rPr>
                <w:b/>
                <w:bCs/>
                <w:color w:val="FF0000"/>
                <w:szCs w:val="17"/>
              </w:rPr>
              <w:lastRenderedPageBreak/>
              <w:t>[Negative]</w:t>
            </w:r>
            <w:r>
              <w:rPr>
                <w:b/>
                <w:bCs/>
                <w:color w:val="FF0000"/>
                <w:szCs w:val="17"/>
              </w:rPr>
              <w:t xml:space="preserve"> </w:t>
            </w:r>
            <w:r>
              <w:rPr>
                <w:szCs w:val="17"/>
              </w:rPr>
              <w:t>As per EC proposal,</w:t>
            </w:r>
            <w:r w:rsidR="00217F7E">
              <w:rPr>
                <w:szCs w:val="17"/>
              </w:rPr>
              <w:t xml:space="preserve"> EIOPA’s methodology is adopted</w:t>
            </w:r>
            <w:r w:rsidR="00B020D5">
              <w:rPr>
                <w:szCs w:val="17"/>
              </w:rPr>
              <w:t>.</w:t>
            </w:r>
          </w:p>
          <w:p w14:paraId="66EBE516" w14:textId="77777777" w:rsidR="00B020D5" w:rsidRDefault="00B020D5" w:rsidP="00E52F8C">
            <w:pPr>
              <w:jc w:val="left"/>
              <w:rPr>
                <w:b/>
                <w:bCs/>
                <w:color w:val="FF0000"/>
                <w:szCs w:val="17"/>
              </w:rPr>
            </w:pPr>
          </w:p>
          <w:p w14:paraId="3C91945E" w14:textId="2538F915" w:rsidR="00E52F8C" w:rsidRDefault="00690924" w:rsidP="00E52F8C">
            <w:pPr>
              <w:jc w:val="left"/>
              <w:rPr>
                <w:sz w:val="16"/>
                <w:szCs w:val="16"/>
              </w:rPr>
            </w:pPr>
            <w:r w:rsidRPr="00BD5AF9">
              <w:rPr>
                <w:b/>
                <w:bCs/>
                <w:color w:val="FF0000"/>
                <w:szCs w:val="17"/>
              </w:rPr>
              <w:t>[Negative]</w:t>
            </w:r>
            <w:r>
              <w:rPr>
                <w:b/>
                <w:bCs/>
                <w:color w:val="FF0000"/>
                <w:szCs w:val="17"/>
              </w:rPr>
              <w:t xml:space="preserve"> </w:t>
            </w:r>
            <w:r w:rsidR="00E52F8C" w:rsidRPr="004600D8">
              <w:rPr>
                <w:szCs w:val="17"/>
              </w:rPr>
              <w:t>Convergence parameter of c. 13%</w:t>
            </w:r>
            <w:r w:rsidR="003F57E4">
              <w:rPr>
                <w:szCs w:val="17"/>
              </w:rPr>
              <w:t xml:space="preserve"> (minimum).</w:t>
            </w:r>
          </w:p>
          <w:p w14:paraId="64D6674F" w14:textId="77777777" w:rsidR="00E52F8C" w:rsidRDefault="00E52F8C" w:rsidP="00E52F8C">
            <w:pPr>
              <w:jc w:val="left"/>
              <w:rPr>
                <w:sz w:val="16"/>
                <w:szCs w:val="16"/>
              </w:rPr>
            </w:pPr>
          </w:p>
          <w:p w14:paraId="587DDFF5" w14:textId="700597E3" w:rsidR="00E52F8C" w:rsidRDefault="00E52F8C" w:rsidP="00E52F8C">
            <w:pPr>
              <w:jc w:val="left"/>
              <w:rPr>
                <w:sz w:val="16"/>
                <w:szCs w:val="16"/>
              </w:rPr>
            </w:pPr>
            <w:r w:rsidRPr="00BD5AF9">
              <w:rPr>
                <w:b/>
                <w:bCs/>
                <w:color w:val="FF0000"/>
                <w:szCs w:val="17"/>
              </w:rPr>
              <w:t>[Negative]</w:t>
            </w:r>
          </w:p>
          <w:p w14:paraId="5228048C" w14:textId="38886C57" w:rsidR="00EE6C05" w:rsidRDefault="00E52F8C" w:rsidP="00E52F8C">
            <w:pPr>
              <w:jc w:val="left"/>
              <w:rPr>
                <w:szCs w:val="17"/>
              </w:rPr>
            </w:pPr>
            <w:r w:rsidRPr="004600D8">
              <w:rPr>
                <w:szCs w:val="17"/>
              </w:rPr>
              <w:t>No specifics for non-Euro currencies.</w:t>
            </w:r>
          </w:p>
          <w:p w14:paraId="79A73156" w14:textId="77777777" w:rsidR="00B020D5" w:rsidRDefault="00B020D5" w:rsidP="00E52F8C">
            <w:pPr>
              <w:jc w:val="left"/>
              <w:rPr>
                <w:szCs w:val="17"/>
              </w:rPr>
            </w:pPr>
          </w:p>
          <w:p w14:paraId="706CA020" w14:textId="1AE18B89" w:rsidR="0013103A" w:rsidRDefault="005D0988" w:rsidP="0013103A">
            <w:pPr>
              <w:jc w:val="left"/>
              <w:rPr>
                <w:szCs w:val="17"/>
              </w:rPr>
            </w:pPr>
            <w:r w:rsidRPr="00BD5AF9">
              <w:rPr>
                <w:b/>
                <w:bCs/>
                <w:color w:val="FF0000"/>
                <w:szCs w:val="17"/>
              </w:rPr>
              <w:t>[Negative]</w:t>
            </w:r>
            <w:r>
              <w:rPr>
                <w:b/>
                <w:bCs/>
                <w:color w:val="FF0000"/>
                <w:szCs w:val="17"/>
              </w:rPr>
              <w:t xml:space="preserve"> </w:t>
            </w:r>
            <w:r w:rsidR="0013103A">
              <w:rPr>
                <w:szCs w:val="17"/>
              </w:rPr>
              <w:t xml:space="preserve">Transition </w:t>
            </w:r>
            <w:r w:rsidR="00702825">
              <w:rPr>
                <w:szCs w:val="17"/>
              </w:rPr>
              <w:t>mechanism is removed.</w:t>
            </w:r>
            <w:r w:rsidR="0013103A">
              <w:rPr>
                <w:szCs w:val="17"/>
              </w:rPr>
              <w:t xml:space="preserve"> </w:t>
            </w:r>
          </w:p>
          <w:p w14:paraId="16AF3F11" w14:textId="1247EADB" w:rsidR="0013103A" w:rsidRDefault="0013103A" w:rsidP="00E52F8C">
            <w:pPr>
              <w:jc w:val="left"/>
              <w:rPr>
                <w:szCs w:val="17"/>
              </w:rPr>
            </w:pPr>
          </w:p>
          <w:p w14:paraId="6683E28F" w14:textId="77777777" w:rsidR="0013103A" w:rsidRDefault="0013103A" w:rsidP="00E52F8C">
            <w:pPr>
              <w:jc w:val="left"/>
              <w:rPr>
                <w:szCs w:val="17"/>
              </w:rPr>
            </w:pPr>
          </w:p>
          <w:p w14:paraId="663F6FB5" w14:textId="3D083B0D" w:rsidR="00502255" w:rsidRDefault="00502255" w:rsidP="00502255">
            <w:pPr>
              <w:jc w:val="left"/>
              <w:rPr>
                <w:szCs w:val="17"/>
              </w:rPr>
            </w:pPr>
            <w:r w:rsidRPr="00BD5AF9">
              <w:rPr>
                <w:b/>
                <w:bCs/>
                <w:color w:val="00B050"/>
                <w:szCs w:val="17"/>
              </w:rPr>
              <w:t>[Positive]</w:t>
            </w:r>
            <w:r>
              <w:rPr>
                <w:b/>
                <w:bCs/>
                <w:color w:val="00B050"/>
                <w:szCs w:val="17"/>
              </w:rPr>
              <w:t xml:space="preserve"> </w:t>
            </w:r>
            <w:r>
              <w:rPr>
                <w:szCs w:val="17"/>
              </w:rPr>
              <w:t xml:space="preserve">First </w:t>
            </w:r>
            <w:r w:rsidR="00D827F9">
              <w:rPr>
                <w:szCs w:val="17"/>
              </w:rPr>
              <w:t>S</w:t>
            </w:r>
            <w:r>
              <w:rPr>
                <w:szCs w:val="17"/>
              </w:rPr>
              <w:t xml:space="preserve">moothing </w:t>
            </w:r>
            <w:r w:rsidR="00D827F9">
              <w:rPr>
                <w:szCs w:val="17"/>
              </w:rPr>
              <w:t>P</w:t>
            </w:r>
            <w:r>
              <w:rPr>
                <w:szCs w:val="17"/>
              </w:rPr>
              <w:t>oint</w:t>
            </w:r>
            <w:r w:rsidR="00D827F9">
              <w:rPr>
                <w:szCs w:val="17"/>
              </w:rPr>
              <w:t xml:space="preserve"> (FSP)</w:t>
            </w:r>
            <w:r>
              <w:rPr>
                <w:szCs w:val="17"/>
              </w:rPr>
              <w:t xml:space="preserve"> for the Euro </w:t>
            </w:r>
            <w:r w:rsidR="00873930">
              <w:rPr>
                <w:szCs w:val="17"/>
              </w:rPr>
              <w:t xml:space="preserve">set </w:t>
            </w:r>
            <w:r>
              <w:rPr>
                <w:szCs w:val="17"/>
              </w:rPr>
              <w:t>at 20 years.</w:t>
            </w:r>
          </w:p>
          <w:p w14:paraId="1DC39041" w14:textId="2AAD7249" w:rsidR="00502255" w:rsidRPr="00373285" w:rsidRDefault="00502255" w:rsidP="00E52F8C">
            <w:pPr>
              <w:jc w:val="left"/>
              <w:rPr>
                <w:sz w:val="16"/>
                <w:szCs w:val="16"/>
              </w:rPr>
            </w:pPr>
          </w:p>
        </w:tc>
        <w:tc>
          <w:tcPr>
            <w:tcW w:w="3373" w:type="dxa"/>
          </w:tcPr>
          <w:p w14:paraId="110D12F3" w14:textId="77777777" w:rsidR="00EE6C05" w:rsidRPr="00795B32" w:rsidRDefault="00EE6C05" w:rsidP="00CC7F00">
            <w:pPr>
              <w:jc w:val="left"/>
              <w:rPr>
                <w:color w:val="1F497D" w:themeColor="text2"/>
                <w:szCs w:val="17"/>
              </w:rPr>
            </w:pPr>
            <w:r w:rsidRPr="007E1CBB">
              <w:rPr>
                <w:b/>
                <w:color w:val="1F497D" w:themeColor="text2"/>
                <w:szCs w:val="17"/>
              </w:rPr>
              <w:t xml:space="preserve">Way forward: </w:t>
            </w:r>
            <w:r w:rsidR="007240D8" w:rsidRPr="007E1CBB">
              <w:rPr>
                <w:color w:val="1F497D" w:themeColor="text2"/>
                <w:szCs w:val="17"/>
              </w:rPr>
              <w:t xml:space="preserve">Support </w:t>
            </w:r>
            <w:r w:rsidR="007240D8" w:rsidRPr="000E1679">
              <w:rPr>
                <w:b/>
                <w:bCs/>
                <w:color w:val="1F497D" w:themeColor="text2"/>
                <w:szCs w:val="17"/>
              </w:rPr>
              <w:t>EP proposal</w:t>
            </w:r>
            <w:r w:rsidR="00846259">
              <w:rPr>
                <w:color w:val="1F497D" w:themeColor="text2"/>
                <w:szCs w:val="17"/>
              </w:rPr>
              <w:t xml:space="preserve"> which in</w:t>
            </w:r>
            <w:r w:rsidR="00CC7F00">
              <w:rPr>
                <w:color w:val="1F497D" w:themeColor="text2"/>
                <w:szCs w:val="17"/>
              </w:rPr>
              <w:t>cludes</w:t>
            </w:r>
            <w:r w:rsidR="007240D8" w:rsidRPr="007E1CBB">
              <w:rPr>
                <w:color w:val="1F497D" w:themeColor="text2"/>
                <w:szCs w:val="17"/>
              </w:rPr>
              <w:t xml:space="preserve"> a </w:t>
            </w:r>
            <w:r w:rsidR="00CC7F00">
              <w:rPr>
                <w:color w:val="1F497D" w:themeColor="text2"/>
                <w:szCs w:val="17"/>
              </w:rPr>
              <w:t xml:space="preserve">(min) </w:t>
            </w:r>
            <w:r w:rsidR="007240D8" w:rsidRPr="007E1CBB">
              <w:rPr>
                <w:color w:val="1F497D" w:themeColor="text2"/>
                <w:szCs w:val="17"/>
              </w:rPr>
              <w:t>convergence parameter of c. 13%</w:t>
            </w:r>
            <w:r w:rsidR="00DC2ADC" w:rsidRPr="007E1CBB">
              <w:rPr>
                <w:color w:val="1F497D" w:themeColor="text2"/>
                <w:szCs w:val="17"/>
              </w:rPr>
              <w:t xml:space="preserve">, </w:t>
            </w:r>
            <w:r w:rsidR="00A84F73">
              <w:rPr>
                <w:color w:val="1F497D" w:themeColor="text2"/>
                <w:szCs w:val="17"/>
              </w:rPr>
              <w:t>a</w:t>
            </w:r>
            <w:r w:rsidR="00CE66D6">
              <w:rPr>
                <w:color w:val="1F497D" w:themeColor="text2"/>
                <w:szCs w:val="17"/>
              </w:rPr>
              <w:t xml:space="preserve"> </w:t>
            </w:r>
            <w:r w:rsidR="00465D5F" w:rsidRPr="007E1CBB">
              <w:rPr>
                <w:color w:val="1F497D" w:themeColor="text2"/>
                <w:szCs w:val="17"/>
              </w:rPr>
              <w:t>FSP</w:t>
            </w:r>
            <w:r w:rsidR="007A695D" w:rsidRPr="007E1CBB">
              <w:rPr>
                <w:color w:val="1F497D" w:themeColor="text2"/>
                <w:szCs w:val="17"/>
              </w:rPr>
              <w:t xml:space="preserve"> for the Euro</w:t>
            </w:r>
            <w:r w:rsidR="00465D5F" w:rsidRPr="007E1CBB">
              <w:rPr>
                <w:color w:val="1F497D" w:themeColor="text2"/>
                <w:szCs w:val="17"/>
              </w:rPr>
              <w:t xml:space="preserve"> of 20 </w:t>
            </w:r>
            <w:r w:rsidR="00F57721" w:rsidRPr="007E1CBB">
              <w:rPr>
                <w:color w:val="1F497D" w:themeColor="text2"/>
                <w:szCs w:val="17"/>
              </w:rPr>
              <w:t>years</w:t>
            </w:r>
            <w:r w:rsidR="00DC2ADC" w:rsidRPr="007E1CBB">
              <w:rPr>
                <w:color w:val="1F497D" w:themeColor="text2"/>
                <w:szCs w:val="17"/>
              </w:rPr>
              <w:t xml:space="preserve"> and no </w:t>
            </w:r>
            <w:r w:rsidR="00CD4B57">
              <w:rPr>
                <w:color w:val="1F497D" w:themeColor="text2"/>
                <w:szCs w:val="17"/>
              </w:rPr>
              <w:t xml:space="preserve">disclosure requirement for the </w:t>
            </w:r>
            <w:r w:rsidR="00DC2ADC" w:rsidRPr="007E1CBB">
              <w:rPr>
                <w:color w:val="1F497D" w:themeColor="text2"/>
                <w:szCs w:val="17"/>
              </w:rPr>
              <w:t>transition</w:t>
            </w:r>
            <w:r w:rsidR="007E1CBB" w:rsidRPr="007E1CBB">
              <w:rPr>
                <w:color w:val="1F497D" w:themeColor="text2"/>
                <w:szCs w:val="17"/>
              </w:rPr>
              <w:t xml:space="preserve"> </w:t>
            </w:r>
            <w:r w:rsidR="007E1CBB" w:rsidRPr="00795B32">
              <w:rPr>
                <w:color w:val="1F497D" w:themeColor="text2"/>
                <w:szCs w:val="17"/>
              </w:rPr>
              <w:t>mechanism</w:t>
            </w:r>
            <w:r w:rsidR="00CD4B57" w:rsidRPr="00795B32">
              <w:rPr>
                <w:color w:val="1F497D" w:themeColor="text2"/>
                <w:szCs w:val="17"/>
              </w:rPr>
              <w:t xml:space="preserve"> results</w:t>
            </w:r>
            <w:r w:rsidR="007E1CBB" w:rsidRPr="00795B32">
              <w:rPr>
                <w:color w:val="1F497D" w:themeColor="text2"/>
                <w:szCs w:val="17"/>
              </w:rPr>
              <w:t>.</w:t>
            </w:r>
            <w:r w:rsidR="00CE66D6" w:rsidRPr="00795B32">
              <w:rPr>
                <w:color w:val="1F497D" w:themeColor="text2"/>
                <w:szCs w:val="17"/>
              </w:rPr>
              <w:t xml:space="preserve"> </w:t>
            </w:r>
          </w:p>
          <w:p w14:paraId="62BE0BEC" w14:textId="4E40A4B3" w:rsidR="00B1566F" w:rsidRPr="002A7A85" w:rsidRDefault="00B1566F" w:rsidP="00CC7F00">
            <w:pPr>
              <w:jc w:val="left"/>
              <w:rPr>
                <w:color w:val="1F497D" w:themeColor="text2"/>
                <w:szCs w:val="17"/>
              </w:rPr>
            </w:pPr>
            <w:r w:rsidRPr="00795B32">
              <w:rPr>
                <w:color w:val="1F497D" w:themeColor="text2"/>
                <w:szCs w:val="17"/>
              </w:rPr>
              <w:t>The industry position is, however, still that the convergence parameter should be higher than 13 % and around 70 % for SEK.</w:t>
            </w:r>
          </w:p>
        </w:tc>
      </w:tr>
      <w:tr w:rsidR="00EE6C05" w14:paraId="006557BE" w14:textId="77777777" w:rsidTr="00226E73">
        <w:tc>
          <w:tcPr>
            <w:tcW w:w="1447" w:type="dxa"/>
          </w:tcPr>
          <w:p w14:paraId="7AA1C076" w14:textId="26506EAD" w:rsidR="00EE6C05" w:rsidRPr="00BA5C18" w:rsidRDefault="00960D3C" w:rsidP="0065382E">
            <w:pPr>
              <w:spacing w:after="200" w:line="276" w:lineRule="auto"/>
              <w:jc w:val="left"/>
              <w:rPr>
                <w:b/>
                <w:bCs/>
                <w:szCs w:val="17"/>
              </w:rPr>
            </w:pPr>
            <w:r w:rsidRPr="00BA5C18">
              <w:rPr>
                <w:b/>
                <w:bCs/>
                <w:szCs w:val="17"/>
              </w:rPr>
              <w:t>Risk Margin</w:t>
            </w:r>
          </w:p>
        </w:tc>
        <w:tc>
          <w:tcPr>
            <w:tcW w:w="3118" w:type="dxa"/>
          </w:tcPr>
          <w:p w14:paraId="077AF4A2" w14:textId="2CE4425F" w:rsidR="00EE6C05" w:rsidRPr="00BA5C18" w:rsidRDefault="00EE6C05" w:rsidP="0065382E">
            <w:pPr>
              <w:spacing w:after="200" w:line="276" w:lineRule="auto"/>
              <w:jc w:val="left"/>
              <w:rPr>
                <w:szCs w:val="17"/>
              </w:rPr>
            </w:pPr>
            <w:r w:rsidRPr="00BA5C18">
              <w:rPr>
                <w:b/>
                <w:bCs/>
                <w:color w:val="00B050"/>
                <w:szCs w:val="17"/>
              </w:rPr>
              <w:t xml:space="preserve">[Positive] </w:t>
            </w:r>
            <w:r w:rsidRPr="00BA5C18">
              <w:rPr>
                <w:szCs w:val="17"/>
              </w:rPr>
              <w:t>Reduction of CoC to 5%</w:t>
            </w:r>
            <w:r w:rsidR="008D7903">
              <w:rPr>
                <w:szCs w:val="17"/>
              </w:rPr>
              <w:t xml:space="preserve"> (but to be set in EGBPI/Level 2 discussions)</w:t>
            </w:r>
          </w:p>
          <w:p w14:paraId="350078C9" w14:textId="3635A884" w:rsidR="0024797B" w:rsidRPr="00BA5C18" w:rsidRDefault="002B7B8E" w:rsidP="0065382E">
            <w:pPr>
              <w:spacing w:after="200" w:line="276" w:lineRule="auto"/>
              <w:jc w:val="left"/>
              <w:rPr>
                <w:szCs w:val="17"/>
              </w:rPr>
            </w:pPr>
            <w:r w:rsidRPr="00BA5C18">
              <w:rPr>
                <w:b/>
                <w:bCs/>
                <w:color w:val="00B050"/>
                <w:szCs w:val="17"/>
              </w:rPr>
              <w:t>[Positive]</w:t>
            </w:r>
            <w:r w:rsidRPr="00BA5C18">
              <w:rPr>
                <w:szCs w:val="17"/>
              </w:rPr>
              <w:t xml:space="preserve"> EC </w:t>
            </w:r>
            <w:r w:rsidR="009E342D">
              <w:rPr>
                <w:szCs w:val="17"/>
              </w:rPr>
              <w:t xml:space="preserve">proposed </w:t>
            </w:r>
            <w:r w:rsidRPr="00BA5C18">
              <w:rPr>
                <w:szCs w:val="17"/>
              </w:rPr>
              <w:t xml:space="preserve">lambda </w:t>
            </w:r>
            <w:r w:rsidR="009E342D" w:rsidRPr="005A667E">
              <w:rPr>
                <w:szCs w:val="17"/>
              </w:rPr>
              <w:t>of 0.975</w:t>
            </w:r>
            <w:r w:rsidRPr="00BA5C18">
              <w:rPr>
                <w:szCs w:val="17"/>
              </w:rPr>
              <w:t xml:space="preserve"> with no floor</w:t>
            </w:r>
            <w:r w:rsidR="005A667E" w:rsidRPr="005A667E">
              <w:rPr>
                <w:szCs w:val="17"/>
              </w:rPr>
              <w:t xml:space="preserve"> (but to be set in EGBPI/Level 2 discussions)</w:t>
            </w:r>
            <w:r w:rsidR="00653BA8" w:rsidRPr="005A667E">
              <w:rPr>
                <w:szCs w:val="17"/>
              </w:rPr>
              <w:t>.</w:t>
            </w:r>
            <w:r w:rsidRPr="00BA5C18">
              <w:rPr>
                <w:szCs w:val="17"/>
              </w:rPr>
              <w:t xml:space="preserve"> </w:t>
            </w:r>
          </w:p>
          <w:p w14:paraId="2A617A29" w14:textId="77C5F35E" w:rsidR="0024797B" w:rsidRPr="00BA5C18" w:rsidRDefault="00AA1264" w:rsidP="00037709">
            <w:pPr>
              <w:spacing w:after="200" w:line="276" w:lineRule="auto"/>
              <w:jc w:val="left"/>
              <w:rPr>
                <w:szCs w:val="17"/>
              </w:rPr>
            </w:pPr>
            <w:r w:rsidRPr="00BA5C18">
              <w:rPr>
                <w:b/>
                <w:bCs/>
                <w:color w:val="FF0000"/>
                <w:szCs w:val="17"/>
              </w:rPr>
              <w:t xml:space="preserve">[Negative] </w:t>
            </w:r>
            <w:r w:rsidRPr="00BA5C18">
              <w:rPr>
                <w:szCs w:val="17"/>
              </w:rPr>
              <w:t>No diversification</w:t>
            </w:r>
            <w:r w:rsidR="009E342D">
              <w:rPr>
                <w:szCs w:val="17"/>
              </w:rPr>
              <w:t xml:space="preserve"> </w:t>
            </w:r>
            <w:r w:rsidR="009E342D" w:rsidRPr="005A667E">
              <w:rPr>
                <w:szCs w:val="17"/>
              </w:rPr>
              <w:t>between life and non-life undertakings.</w:t>
            </w:r>
          </w:p>
        </w:tc>
        <w:tc>
          <w:tcPr>
            <w:tcW w:w="3260" w:type="dxa"/>
          </w:tcPr>
          <w:p w14:paraId="611ECCF2" w14:textId="39A74C3A" w:rsidR="00EE6C05" w:rsidRPr="00BA5C18" w:rsidRDefault="00A5037B" w:rsidP="0065382E">
            <w:pPr>
              <w:tabs>
                <w:tab w:val="left" w:pos="3815"/>
              </w:tabs>
              <w:jc w:val="left"/>
              <w:rPr>
                <w:szCs w:val="17"/>
              </w:rPr>
            </w:pPr>
            <w:r w:rsidRPr="000F2ED6">
              <w:rPr>
                <w:b/>
                <w:bCs/>
                <w:color w:val="FF0000"/>
                <w:szCs w:val="17"/>
              </w:rPr>
              <w:t xml:space="preserve">[Negative] </w:t>
            </w:r>
            <w:r w:rsidRPr="000F2ED6">
              <w:rPr>
                <w:szCs w:val="17"/>
              </w:rPr>
              <w:t xml:space="preserve">The CoC and lambda parameter have </w:t>
            </w:r>
            <w:r w:rsidR="00D17E42" w:rsidRPr="000F2ED6">
              <w:rPr>
                <w:szCs w:val="17"/>
              </w:rPr>
              <w:t>no</w:t>
            </w:r>
            <w:r w:rsidR="000F7673" w:rsidRPr="000F2ED6">
              <w:rPr>
                <w:szCs w:val="17"/>
              </w:rPr>
              <w:t>t</w:t>
            </w:r>
            <w:r w:rsidR="00D17E42" w:rsidRPr="000F2ED6">
              <w:rPr>
                <w:szCs w:val="17"/>
              </w:rPr>
              <w:t xml:space="preserve"> </w:t>
            </w:r>
            <w:r w:rsidRPr="000F2ED6">
              <w:rPr>
                <w:szCs w:val="17"/>
              </w:rPr>
              <w:t>been defined in the Council proposal.</w:t>
            </w:r>
          </w:p>
        </w:tc>
        <w:tc>
          <w:tcPr>
            <w:tcW w:w="3828" w:type="dxa"/>
          </w:tcPr>
          <w:p w14:paraId="2907F203" w14:textId="4854A7C9" w:rsidR="0051025B" w:rsidRDefault="0016511A" w:rsidP="0065382E">
            <w:pPr>
              <w:tabs>
                <w:tab w:val="left" w:pos="3815"/>
              </w:tabs>
              <w:jc w:val="left"/>
              <w:rPr>
                <w:b/>
                <w:bCs/>
                <w:szCs w:val="17"/>
              </w:rPr>
            </w:pPr>
            <w:r w:rsidRPr="00AF061A">
              <w:rPr>
                <w:b/>
                <w:color w:val="00B050"/>
                <w:szCs w:val="17"/>
              </w:rPr>
              <w:t xml:space="preserve">[Positive] </w:t>
            </w:r>
            <w:r w:rsidRPr="00F42216">
              <w:rPr>
                <w:szCs w:val="17"/>
              </w:rPr>
              <w:t>Co</w:t>
            </w:r>
            <w:r w:rsidR="00517473">
              <w:rPr>
                <w:szCs w:val="17"/>
              </w:rPr>
              <w:t>C</w:t>
            </w:r>
            <w:r w:rsidRPr="00F42216">
              <w:rPr>
                <w:szCs w:val="17"/>
              </w:rPr>
              <w:t xml:space="preserve"> of 4.5% </w:t>
            </w:r>
            <w:r w:rsidR="00EA5B6C" w:rsidRPr="00F42216">
              <w:rPr>
                <w:szCs w:val="17"/>
              </w:rPr>
              <w:t>in L1</w:t>
            </w:r>
            <w:r w:rsidR="00EA5B6C" w:rsidRPr="00F42216">
              <w:rPr>
                <w:b/>
                <w:szCs w:val="17"/>
              </w:rPr>
              <w:t xml:space="preserve"> </w:t>
            </w:r>
          </w:p>
          <w:p w14:paraId="097F2DCB" w14:textId="77777777" w:rsidR="0051025B" w:rsidRDefault="0051025B" w:rsidP="0065382E">
            <w:pPr>
              <w:tabs>
                <w:tab w:val="left" w:pos="3815"/>
              </w:tabs>
              <w:jc w:val="left"/>
              <w:rPr>
                <w:b/>
                <w:bCs/>
                <w:szCs w:val="17"/>
              </w:rPr>
            </w:pPr>
          </w:p>
          <w:p w14:paraId="75A959F9" w14:textId="4E06DA44" w:rsidR="00EE6C05" w:rsidRPr="00990153" w:rsidRDefault="006B294C" w:rsidP="0065382E">
            <w:pPr>
              <w:tabs>
                <w:tab w:val="left" w:pos="3815"/>
              </w:tabs>
              <w:jc w:val="left"/>
              <w:rPr>
                <w:b/>
                <w:bCs/>
                <w:szCs w:val="17"/>
              </w:rPr>
            </w:pPr>
            <w:r w:rsidRPr="00AF061A">
              <w:rPr>
                <w:b/>
                <w:color w:val="00B050"/>
                <w:szCs w:val="17"/>
              </w:rPr>
              <w:t>[</w:t>
            </w:r>
            <w:proofErr w:type="gramStart"/>
            <w:r w:rsidRPr="00AF061A">
              <w:rPr>
                <w:b/>
                <w:color w:val="00B050"/>
                <w:szCs w:val="17"/>
              </w:rPr>
              <w:t xml:space="preserve">Positive] </w:t>
            </w:r>
            <w:r w:rsidR="000957C5" w:rsidRPr="00F42216">
              <w:rPr>
                <w:szCs w:val="17"/>
              </w:rPr>
              <w:t xml:space="preserve"> </w:t>
            </w:r>
            <w:r w:rsidR="002E2281" w:rsidRPr="00F42216">
              <w:rPr>
                <w:szCs w:val="17"/>
              </w:rPr>
              <w:t>Time</w:t>
            </w:r>
            <w:proofErr w:type="gramEnd"/>
            <w:r w:rsidR="002E2281" w:rsidRPr="00F42216">
              <w:rPr>
                <w:szCs w:val="17"/>
              </w:rPr>
              <w:t xml:space="preserve"> dependency of</w:t>
            </w:r>
            <w:r w:rsidR="0099468B" w:rsidRPr="00F42216">
              <w:rPr>
                <w:szCs w:val="17"/>
              </w:rPr>
              <w:t xml:space="preserve"> RM is introduced, </w:t>
            </w:r>
            <w:r w:rsidR="007426DD">
              <w:rPr>
                <w:szCs w:val="17"/>
              </w:rPr>
              <w:t xml:space="preserve">but </w:t>
            </w:r>
            <w:r w:rsidRPr="00BD5AF9">
              <w:rPr>
                <w:b/>
                <w:bCs/>
                <w:color w:val="FF0000"/>
                <w:szCs w:val="17"/>
              </w:rPr>
              <w:t>[Negative]</w:t>
            </w:r>
            <w:r>
              <w:rPr>
                <w:b/>
                <w:bCs/>
                <w:color w:val="FF0000"/>
                <w:szCs w:val="17"/>
              </w:rPr>
              <w:t xml:space="preserve"> </w:t>
            </w:r>
            <w:r w:rsidR="008970D7">
              <w:rPr>
                <w:szCs w:val="17"/>
              </w:rPr>
              <w:t xml:space="preserve">exact calibration of </w:t>
            </w:r>
            <w:r w:rsidR="0099468B" w:rsidRPr="00F42216">
              <w:rPr>
                <w:szCs w:val="17"/>
              </w:rPr>
              <w:t>l</w:t>
            </w:r>
            <w:r w:rsidR="0016511A" w:rsidRPr="00F42216">
              <w:rPr>
                <w:szCs w:val="17"/>
              </w:rPr>
              <w:t xml:space="preserve">ambda </w:t>
            </w:r>
            <w:r w:rsidR="00916993" w:rsidRPr="00F42216">
              <w:rPr>
                <w:szCs w:val="17"/>
              </w:rPr>
              <w:t>left to L2</w:t>
            </w:r>
            <w:r w:rsidR="002E2281">
              <w:rPr>
                <w:szCs w:val="17"/>
              </w:rPr>
              <w:t>.</w:t>
            </w:r>
          </w:p>
        </w:tc>
        <w:tc>
          <w:tcPr>
            <w:tcW w:w="3373" w:type="dxa"/>
          </w:tcPr>
          <w:p w14:paraId="0EF5A270" w14:textId="7591C7B6" w:rsidR="00EE6C05" w:rsidRPr="000F7673" w:rsidRDefault="00EE6C05" w:rsidP="0065382E">
            <w:pPr>
              <w:spacing w:after="200" w:line="276" w:lineRule="auto"/>
              <w:jc w:val="left"/>
              <w:rPr>
                <w:szCs w:val="17"/>
              </w:rPr>
            </w:pPr>
            <w:r w:rsidRPr="000F7673">
              <w:rPr>
                <w:b/>
                <w:color w:val="1F497D" w:themeColor="text2"/>
                <w:szCs w:val="17"/>
              </w:rPr>
              <w:t xml:space="preserve">Way forward: </w:t>
            </w:r>
            <w:r w:rsidR="000E30CA" w:rsidRPr="000F7673">
              <w:rPr>
                <w:color w:val="1F497D" w:themeColor="text2"/>
                <w:szCs w:val="17"/>
              </w:rPr>
              <w:t>S</w:t>
            </w:r>
            <w:r w:rsidRPr="000F7673">
              <w:rPr>
                <w:color w:val="1F497D" w:themeColor="text2"/>
                <w:szCs w:val="17"/>
              </w:rPr>
              <w:t xml:space="preserve">upport </w:t>
            </w:r>
            <w:r w:rsidRPr="000E1679">
              <w:rPr>
                <w:b/>
                <w:bCs/>
                <w:color w:val="1F497D" w:themeColor="text2"/>
                <w:szCs w:val="17"/>
              </w:rPr>
              <w:t xml:space="preserve">EP </w:t>
            </w:r>
            <w:r w:rsidR="00653BA8" w:rsidRPr="000E1679">
              <w:rPr>
                <w:b/>
                <w:bCs/>
                <w:color w:val="1F497D" w:themeColor="text2"/>
                <w:szCs w:val="17"/>
              </w:rPr>
              <w:t>proposal</w:t>
            </w:r>
            <w:r w:rsidR="00256DC9" w:rsidRPr="000F7673">
              <w:rPr>
                <w:color w:val="1F497D" w:themeColor="text2"/>
                <w:szCs w:val="17"/>
              </w:rPr>
              <w:t xml:space="preserve"> for CoC</w:t>
            </w:r>
            <w:r w:rsidR="000F7673" w:rsidRPr="000F7673">
              <w:rPr>
                <w:color w:val="1F497D" w:themeColor="text2"/>
                <w:szCs w:val="17"/>
              </w:rPr>
              <w:t xml:space="preserve"> and </w:t>
            </w:r>
            <w:r w:rsidR="00585818" w:rsidRPr="000F7673">
              <w:rPr>
                <w:color w:val="1F497D" w:themeColor="text2"/>
                <w:szCs w:val="17"/>
              </w:rPr>
              <w:t>contin</w:t>
            </w:r>
            <w:r w:rsidR="00035A00">
              <w:rPr>
                <w:color w:val="1F497D" w:themeColor="text2"/>
                <w:szCs w:val="17"/>
              </w:rPr>
              <w:t>ue</w:t>
            </w:r>
            <w:r w:rsidR="00585818" w:rsidRPr="000F7673">
              <w:rPr>
                <w:color w:val="1F497D" w:themeColor="text2"/>
                <w:szCs w:val="17"/>
              </w:rPr>
              <w:t xml:space="preserve"> lobby</w:t>
            </w:r>
            <w:r w:rsidR="000F7673" w:rsidRPr="000F7673">
              <w:rPr>
                <w:color w:val="1F497D" w:themeColor="text2"/>
                <w:szCs w:val="17"/>
              </w:rPr>
              <w:t>ing</w:t>
            </w:r>
            <w:r w:rsidR="00585818" w:rsidRPr="000F7673">
              <w:rPr>
                <w:color w:val="1F497D" w:themeColor="text2"/>
                <w:szCs w:val="17"/>
              </w:rPr>
              <w:t xml:space="preserve"> for a lambda </w:t>
            </w:r>
            <w:r w:rsidR="00322AA8" w:rsidRPr="000F7673">
              <w:rPr>
                <w:color w:val="1F497D" w:themeColor="text2"/>
                <w:szCs w:val="17"/>
              </w:rPr>
              <w:t xml:space="preserve">that </w:t>
            </w:r>
            <w:r w:rsidR="006E0DEE" w:rsidRPr="000F7673">
              <w:rPr>
                <w:color w:val="1F497D" w:themeColor="text2"/>
                <w:szCs w:val="17"/>
              </w:rPr>
              <w:t>is lower than proposed by EC</w:t>
            </w:r>
            <w:r w:rsidR="00195CCD" w:rsidRPr="000F7673">
              <w:rPr>
                <w:color w:val="1F497D" w:themeColor="text2"/>
                <w:szCs w:val="17"/>
              </w:rPr>
              <w:t xml:space="preserve">/EIOPA to ultimately achieve </w:t>
            </w:r>
            <w:r w:rsidR="00415BB0" w:rsidRPr="000F7673">
              <w:rPr>
                <w:color w:val="1F497D" w:themeColor="text2"/>
                <w:szCs w:val="17"/>
              </w:rPr>
              <w:t xml:space="preserve">a </w:t>
            </w:r>
            <w:r w:rsidR="00FA0827" w:rsidRPr="000F7673">
              <w:rPr>
                <w:color w:val="1F497D" w:themeColor="text2"/>
                <w:szCs w:val="17"/>
              </w:rPr>
              <w:t>c.</w:t>
            </w:r>
            <w:r w:rsidR="003547B2" w:rsidRPr="000F7673">
              <w:rPr>
                <w:color w:val="1F497D" w:themeColor="text2"/>
                <w:szCs w:val="17"/>
              </w:rPr>
              <w:t>50%</w:t>
            </w:r>
            <w:r w:rsidR="00415BB0" w:rsidRPr="000F7673">
              <w:rPr>
                <w:color w:val="1F497D" w:themeColor="text2"/>
                <w:szCs w:val="17"/>
              </w:rPr>
              <w:t xml:space="preserve"> reduction </w:t>
            </w:r>
            <w:r w:rsidR="007433BC" w:rsidRPr="000F7673">
              <w:rPr>
                <w:color w:val="1F497D" w:themeColor="text2"/>
                <w:szCs w:val="17"/>
              </w:rPr>
              <w:t>in risk margin</w:t>
            </w:r>
            <w:r w:rsidR="00195CCD" w:rsidRPr="000F7673">
              <w:rPr>
                <w:color w:val="1F497D" w:themeColor="text2"/>
                <w:szCs w:val="17"/>
              </w:rPr>
              <w:t xml:space="preserve">. </w:t>
            </w:r>
          </w:p>
        </w:tc>
      </w:tr>
      <w:tr w:rsidR="003F0232" w14:paraId="0AA3ABE3" w14:textId="77777777" w:rsidTr="00226E73">
        <w:tc>
          <w:tcPr>
            <w:tcW w:w="1447" w:type="dxa"/>
          </w:tcPr>
          <w:p w14:paraId="33C99459" w14:textId="23D3C4F6" w:rsidR="003F0232" w:rsidRPr="00BA5C18" w:rsidRDefault="003F0232" w:rsidP="003F0232">
            <w:pPr>
              <w:spacing w:after="200" w:line="276" w:lineRule="auto"/>
              <w:jc w:val="left"/>
              <w:rPr>
                <w:b/>
                <w:bCs/>
                <w:szCs w:val="17"/>
              </w:rPr>
            </w:pPr>
            <w:r w:rsidRPr="00BA5C18">
              <w:rPr>
                <w:b/>
                <w:bCs/>
                <w:szCs w:val="17"/>
              </w:rPr>
              <w:t>MA</w:t>
            </w:r>
          </w:p>
        </w:tc>
        <w:tc>
          <w:tcPr>
            <w:tcW w:w="3118" w:type="dxa"/>
          </w:tcPr>
          <w:p w14:paraId="574CF405" w14:textId="5394CEA7" w:rsidR="003F0232" w:rsidRPr="00BA5C18" w:rsidRDefault="003F0232" w:rsidP="003F0232">
            <w:pPr>
              <w:spacing w:after="200" w:line="276" w:lineRule="auto"/>
              <w:jc w:val="left"/>
              <w:rPr>
                <w:b/>
                <w:bCs/>
                <w:color w:val="00B050"/>
                <w:szCs w:val="17"/>
              </w:rPr>
            </w:pPr>
            <w:r w:rsidRPr="00BA5C18">
              <w:rPr>
                <w:b/>
                <w:bCs/>
                <w:color w:val="00B050"/>
                <w:szCs w:val="17"/>
              </w:rPr>
              <w:t xml:space="preserve">[Positive] </w:t>
            </w:r>
            <w:r w:rsidRPr="00BA5C18">
              <w:rPr>
                <w:szCs w:val="17"/>
              </w:rPr>
              <w:t>EC notes intention to adopt EIOPA proposal</w:t>
            </w:r>
          </w:p>
        </w:tc>
        <w:tc>
          <w:tcPr>
            <w:tcW w:w="3260" w:type="dxa"/>
          </w:tcPr>
          <w:p w14:paraId="3E3A4DEA" w14:textId="0EC8CA84" w:rsidR="003F0232" w:rsidRPr="00BA5C18" w:rsidRDefault="003F0232" w:rsidP="003F0232">
            <w:pPr>
              <w:tabs>
                <w:tab w:val="left" w:pos="3815"/>
              </w:tabs>
              <w:jc w:val="left"/>
              <w:rPr>
                <w:szCs w:val="17"/>
              </w:rPr>
            </w:pPr>
            <w:r w:rsidRPr="00BA5C18">
              <w:rPr>
                <w:b/>
                <w:bCs/>
                <w:color w:val="00B050"/>
                <w:szCs w:val="17"/>
              </w:rPr>
              <w:t xml:space="preserve">[Positive] </w:t>
            </w:r>
            <w:r w:rsidRPr="00BA5C18">
              <w:rPr>
                <w:szCs w:val="17"/>
              </w:rPr>
              <w:t>No known opposition to the EC proposal (Art 77b)</w:t>
            </w:r>
          </w:p>
        </w:tc>
        <w:tc>
          <w:tcPr>
            <w:tcW w:w="3828" w:type="dxa"/>
          </w:tcPr>
          <w:p w14:paraId="5DCBEBA3" w14:textId="2944C2DA" w:rsidR="003F0232" w:rsidRPr="00906E22" w:rsidRDefault="007A00CF" w:rsidP="003F0232">
            <w:pPr>
              <w:tabs>
                <w:tab w:val="left" w:pos="3815"/>
              </w:tabs>
              <w:jc w:val="left"/>
              <w:rPr>
                <w:b/>
                <w:bCs/>
                <w:szCs w:val="17"/>
                <w:highlight w:val="yellow"/>
              </w:rPr>
            </w:pPr>
            <w:r>
              <w:rPr>
                <w:b/>
                <w:color w:val="595959" w:themeColor="text1" w:themeTint="A6"/>
                <w:szCs w:val="17"/>
              </w:rPr>
              <w:t>[</w:t>
            </w:r>
            <w:r w:rsidRPr="00747AF0">
              <w:rPr>
                <w:b/>
                <w:color w:val="595959" w:themeColor="text1" w:themeTint="A6"/>
                <w:szCs w:val="17"/>
              </w:rPr>
              <w:t>Neutral</w:t>
            </w:r>
            <w:r>
              <w:rPr>
                <w:b/>
                <w:color w:val="595959" w:themeColor="text1" w:themeTint="A6"/>
                <w:szCs w:val="17"/>
              </w:rPr>
              <w:t>]</w:t>
            </w:r>
            <w:r w:rsidR="006B420E">
              <w:rPr>
                <w:b/>
                <w:color w:val="595959" w:themeColor="text1" w:themeTint="A6"/>
                <w:szCs w:val="17"/>
              </w:rPr>
              <w:t xml:space="preserve"> </w:t>
            </w:r>
            <w:r w:rsidR="00D43FF4">
              <w:rPr>
                <w:szCs w:val="17"/>
              </w:rPr>
              <w:t>Inclu</w:t>
            </w:r>
            <w:r w:rsidR="00472C79">
              <w:rPr>
                <w:szCs w:val="17"/>
              </w:rPr>
              <w:t>sion of</w:t>
            </w:r>
            <w:r w:rsidR="00FB263E">
              <w:rPr>
                <w:szCs w:val="17"/>
              </w:rPr>
              <w:t xml:space="preserve"> </w:t>
            </w:r>
            <w:r w:rsidR="00906E22">
              <w:rPr>
                <w:szCs w:val="17"/>
              </w:rPr>
              <w:t xml:space="preserve">group contracts </w:t>
            </w:r>
            <w:r w:rsidR="00DC2AF7">
              <w:rPr>
                <w:szCs w:val="17"/>
              </w:rPr>
              <w:t xml:space="preserve">considered as single contracts </w:t>
            </w:r>
            <w:r w:rsidR="00685708">
              <w:rPr>
                <w:szCs w:val="17"/>
              </w:rPr>
              <w:t>under point (</w:t>
            </w:r>
            <w:proofErr w:type="spellStart"/>
            <w:r w:rsidR="00685708">
              <w:rPr>
                <w:szCs w:val="17"/>
              </w:rPr>
              <w:t>i</w:t>
            </w:r>
            <w:proofErr w:type="spellEnd"/>
            <w:r w:rsidR="00685708">
              <w:rPr>
                <w:szCs w:val="17"/>
              </w:rPr>
              <w:t>) of paragraph 1.</w:t>
            </w:r>
          </w:p>
        </w:tc>
        <w:tc>
          <w:tcPr>
            <w:tcW w:w="3373" w:type="dxa"/>
          </w:tcPr>
          <w:p w14:paraId="731BC00D" w14:textId="2B5F9D48" w:rsidR="003F0232" w:rsidRPr="00555D06" w:rsidRDefault="003F0232" w:rsidP="003F0232">
            <w:pPr>
              <w:tabs>
                <w:tab w:val="left" w:pos="3815"/>
              </w:tabs>
              <w:jc w:val="left"/>
              <w:rPr>
                <w:color w:val="00B050"/>
                <w:szCs w:val="17"/>
              </w:rPr>
            </w:pPr>
            <w:r w:rsidRPr="00685708">
              <w:rPr>
                <w:b/>
                <w:color w:val="1F497D" w:themeColor="text2"/>
                <w:szCs w:val="17"/>
              </w:rPr>
              <w:t xml:space="preserve">Way forward: </w:t>
            </w:r>
            <w:r w:rsidR="00CD073E">
              <w:rPr>
                <w:color w:val="1F497D" w:themeColor="text2"/>
                <w:szCs w:val="17"/>
              </w:rPr>
              <w:t xml:space="preserve">Both </w:t>
            </w:r>
            <w:r w:rsidR="00CD073E">
              <w:rPr>
                <w:b/>
                <w:bCs/>
                <w:color w:val="1F497D" w:themeColor="text2"/>
                <w:szCs w:val="17"/>
              </w:rPr>
              <w:t xml:space="preserve">EP </w:t>
            </w:r>
            <w:r w:rsidR="00CD073E" w:rsidRPr="002B7EFB">
              <w:rPr>
                <w:color w:val="1F497D" w:themeColor="text2"/>
                <w:szCs w:val="17"/>
              </w:rPr>
              <w:t>and</w:t>
            </w:r>
            <w:r w:rsidR="00CD073E">
              <w:rPr>
                <w:b/>
                <w:bCs/>
                <w:color w:val="1F497D" w:themeColor="text2"/>
                <w:szCs w:val="17"/>
              </w:rPr>
              <w:t xml:space="preserve"> Council p</w:t>
            </w:r>
            <w:r w:rsidR="00DF3AB3">
              <w:rPr>
                <w:b/>
                <w:bCs/>
                <w:color w:val="1F497D" w:themeColor="text2"/>
                <w:szCs w:val="17"/>
              </w:rPr>
              <w:t>roposals</w:t>
            </w:r>
            <w:r w:rsidR="00555D06">
              <w:rPr>
                <w:b/>
                <w:bCs/>
                <w:color w:val="1F497D" w:themeColor="text2"/>
                <w:szCs w:val="17"/>
              </w:rPr>
              <w:t xml:space="preserve"> </w:t>
            </w:r>
            <w:r w:rsidR="00555D06">
              <w:rPr>
                <w:color w:val="1F497D" w:themeColor="text2"/>
                <w:szCs w:val="17"/>
              </w:rPr>
              <w:t>can be supported</w:t>
            </w:r>
            <w:r w:rsidR="005F0CE0">
              <w:rPr>
                <w:color w:val="1F497D" w:themeColor="text2"/>
                <w:szCs w:val="17"/>
              </w:rPr>
              <w:t xml:space="preserve"> as they propose minor</w:t>
            </w:r>
            <w:r w:rsidR="00D43DD7">
              <w:rPr>
                <w:color w:val="1F497D" w:themeColor="text2"/>
                <w:szCs w:val="17"/>
              </w:rPr>
              <w:t xml:space="preserve"> changes</w:t>
            </w:r>
            <w:r w:rsidR="005F0CE0">
              <w:rPr>
                <w:color w:val="1F497D" w:themeColor="text2"/>
                <w:szCs w:val="17"/>
              </w:rPr>
              <w:t xml:space="preserve"> </w:t>
            </w:r>
            <w:r w:rsidR="00BA5C18">
              <w:rPr>
                <w:color w:val="1F497D" w:themeColor="text2"/>
                <w:szCs w:val="17"/>
              </w:rPr>
              <w:t>to the MA.</w:t>
            </w:r>
          </w:p>
        </w:tc>
      </w:tr>
      <w:tr w:rsidR="003F0232" w14:paraId="63EDC7E6" w14:textId="77777777" w:rsidTr="00226E73">
        <w:tc>
          <w:tcPr>
            <w:tcW w:w="1447" w:type="dxa"/>
          </w:tcPr>
          <w:p w14:paraId="71E1D882" w14:textId="3F388D7C" w:rsidR="00C00B44" w:rsidRPr="00BA5C18" w:rsidRDefault="00C00B44" w:rsidP="00C00B44">
            <w:pPr>
              <w:tabs>
                <w:tab w:val="left" w:pos="3815"/>
              </w:tabs>
              <w:jc w:val="left"/>
              <w:rPr>
                <w:b/>
                <w:bCs/>
                <w:szCs w:val="17"/>
              </w:rPr>
            </w:pPr>
            <w:r w:rsidRPr="00BA5C18">
              <w:rPr>
                <w:b/>
                <w:bCs/>
                <w:szCs w:val="17"/>
              </w:rPr>
              <w:t xml:space="preserve">Interest rate risk </w:t>
            </w:r>
          </w:p>
          <w:p w14:paraId="0D6E2D48" w14:textId="77777777" w:rsidR="003F0232" w:rsidRPr="00BA5C18" w:rsidRDefault="003F0232" w:rsidP="003F0232">
            <w:pPr>
              <w:spacing w:after="200" w:line="276" w:lineRule="auto"/>
              <w:jc w:val="left"/>
              <w:rPr>
                <w:b/>
                <w:bCs/>
                <w:szCs w:val="17"/>
              </w:rPr>
            </w:pPr>
          </w:p>
        </w:tc>
        <w:tc>
          <w:tcPr>
            <w:tcW w:w="3118" w:type="dxa"/>
          </w:tcPr>
          <w:p w14:paraId="51827333" w14:textId="24E5CE64" w:rsidR="0058016A" w:rsidRPr="00BA5C18" w:rsidRDefault="00162A00" w:rsidP="0058016A">
            <w:pPr>
              <w:tabs>
                <w:tab w:val="left" w:pos="3815"/>
              </w:tabs>
              <w:jc w:val="left"/>
              <w:rPr>
                <w:szCs w:val="17"/>
              </w:rPr>
            </w:pPr>
            <w:r w:rsidRPr="00BA5C18">
              <w:rPr>
                <w:b/>
                <w:bCs/>
                <w:color w:val="00B050"/>
                <w:szCs w:val="17"/>
              </w:rPr>
              <w:t xml:space="preserve">[Positive] </w:t>
            </w:r>
            <w:r w:rsidR="0058016A" w:rsidRPr="00BA5C18">
              <w:rPr>
                <w:szCs w:val="17"/>
              </w:rPr>
              <w:t xml:space="preserve">EC proposes EIOPA shifted methodology but </w:t>
            </w:r>
          </w:p>
          <w:p w14:paraId="56CBE3D1" w14:textId="6B149CC2" w:rsidR="003F0232" w:rsidRPr="00BA5C18" w:rsidRDefault="00C00B44" w:rsidP="0058016A">
            <w:pPr>
              <w:spacing w:after="200" w:line="276" w:lineRule="auto"/>
              <w:jc w:val="left"/>
              <w:rPr>
                <w:b/>
                <w:bCs/>
                <w:color w:val="00B050"/>
                <w:szCs w:val="17"/>
              </w:rPr>
            </w:pPr>
            <w:r w:rsidRPr="00BA5C18">
              <w:rPr>
                <w:szCs w:val="17"/>
              </w:rPr>
              <w:t>introduced extrapolation of the stressed curves.</w:t>
            </w:r>
          </w:p>
        </w:tc>
        <w:tc>
          <w:tcPr>
            <w:tcW w:w="3260" w:type="dxa"/>
          </w:tcPr>
          <w:p w14:paraId="0CBA9790" w14:textId="77777777" w:rsidR="00162A00" w:rsidRPr="00BA5C18" w:rsidRDefault="00162A00" w:rsidP="00162A00">
            <w:pPr>
              <w:tabs>
                <w:tab w:val="left" w:pos="3815"/>
              </w:tabs>
              <w:jc w:val="left"/>
              <w:rPr>
                <w:szCs w:val="17"/>
              </w:rPr>
            </w:pPr>
            <w:r w:rsidRPr="00BA5C18">
              <w:rPr>
                <w:b/>
                <w:color w:val="595959" w:themeColor="text1" w:themeTint="A6"/>
                <w:szCs w:val="17"/>
              </w:rPr>
              <w:t xml:space="preserve">[Neutral] </w:t>
            </w:r>
            <w:r w:rsidRPr="00BA5C18">
              <w:rPr>
                <w:szCs w:val="17"/>
              </w:rPr>
              <w:t>Majority of MS accept EC proposals and also support</w:t>
            </w:r>
            <w:r w:rsidRPr="00BA5C18">
              <w:rPr>
                <w:b/>
                <w:szCs w:val="17"/>
              </w:rPr>
              <w:t xml:space="preserve"> </w:t>
            </w:r>
            <w:r w:rsidRPr="00BA5C18">
              <w:rPr>
                <w:szCs w:val="17"/>
              </w:rPr>
              <w:t>EIOPA’s proposed -1.25% floor.</w:t>
            </w:r>
          </w:p>
          <w:p w14:paraId="6D552D93" w14:textId="77777777" w:rsidR="00162A00" w:rsidRPr="00BA5C18" w:rsidRDefault="00162A00" w:rsidP="00162A00">
            <w:pPr>
              <w:tabs>
                <w:tab w:val="left" w:pos="3815"/>
              </w:tabs>
              <w:jc w:val="left"/>
              <w:rPr>
                <w:b/>
                <w:bCs/>
                <w:color w:val="FF0000"/>
                <w:szCs w:val="17"/>
              </w:rPr>
            </w:pPr>
          </w:p>
          <w:p w14:paraId="77C25E6E" w14:textId="2565F8C2" w:rsidR="00162A00" w:rsidRPr="00BA5C18" w:rsidRDefault="00551EBB" w:rsidP="00162A00">
            <w:pPr>
              <w:tabs>
                <w:tab w:val="left" w:pos="3815"/>
              </w:tabs>
              <w:jc w:val="left"/>
              <w:rPr>
                <w:szCs w:val="17"/>
              </w:rPr>
            </w:pPr>
            <w:r>
              <w:rPr>
                <w:szCs w:val="17"/>
              </w:rPr>
              <w:t xml:space="preserve">Council </w:t>
            </w:r>
            <w:r w:rsidR="00162A00" w:rsidRPr="00BA5C18">
              <w:rPr>
                <w:szCs w:val="17"/>
              </w:rPr>
              <w:t xml:space="preserve">includes a mandatory 5-year transitional measure for implementation of IRR changes. </w:t>
            </w:r>
          </w:p>
          <w:p w14:paraId="76AD8FE1" w14:textId="77777777" w:rsidR="00162A00" w:rsidRPr="00BA5C18" w:rsidRDefault="00162A00" w:rsidP="00162A00">
            <w:pPr>
              <w:tabs>
                <w:tab w:val="left" w:pos="3815"/>
              </w:tabs>
              <w:jc w:val="left"/>
              <w:rPr>
                <w:szCs w:val="17"/>
              </w:rPr>
            </w:pPr>
          </w:p>
          <w:p w14:paraId="66EFBFC3" w14:textId="392A63D6" w:rsidR="003F0232" w:rsidRPr="00BA5C18" w:rsidRDefault="00162A00" w:rsidP="00162A00">
            <w:pPr>
              <w:tabs>
                <w:tab w:val="left" w:pos="3815"/>
              </w:tabs>
              <w:jc w:val="left"/>
              <w:rPr>
                <w:b/>
                <w:bCs/>
                <w:color w:val="00B050"/>
                <w:szCs w:val="17"/>
              </w:rPr>
            </w:pPr>
            <w:r w:rsidRPr="00BA5C18">
              <w:rPr>
                <w:szCs w:val="17"/>
              </w:rPr>
              <w:t>Impact of transitional proposed to be disclosed separately in the SFCR. (Art 111(1)(b), Rec 42a)</w:t>
            </w:r>
          </w:p>
        </w:tc>
        <w:tc>
          <w:tcPr>
            <w:tcW w:w="3828" w:type="dxa"/>
          </w:tcPr>
          <w:p w14:paraId="537708EA" w14:textId="189DDD90" w:rsidR="0051025B" w:rsidRDefault="0051025B" w:rsidP="003F0232">
            <w:pPr>
              <w:tabs>
                <w:tab w:val="left" w:pos="3815"/>
              </w:tabs>
              <w:jc w:val="left"/>
              <w:rPr>
                <w:szCs w:val="17"/>
              </w:rPr>
            </w:pPr>
            <w:r w:rsidRPr="00AF061A">
              <w:rPr>
                <w:b/>
                <w:color w:val="00B050"/>
                <w:szCs w:val="17"/>
              </w:rPr>
              <w:t>[Positive]</w:t>
            </w:r>
          </w:p>
          <w:p w14:paraId="14AC0E51" w14:textId="2205184F" w:rsidR="003F0232" w:rsidRDefault="00321232" w:rsidP="003F0232">
            <w:pPr>
              <w:tabs>
                <w:tab w:val="left" w:pos="3815"/>
              </w:tabs>
              <w:jc w:val="left"/>
              <w:rPr>
                <w:szCs w:val="17"/>
              </w:rPr>
            </w:pPr>
            <w:r>
              <w:rPr>
                <w:szCs w:val="17"/>
              </w:rPr>
              <w:t>Extrapolation</w:t>
            </w:r>
            <w:r w:rsidR="009A5881" w:rsidRPr="009A5881">
              <w:rPr>
                <w:szCs w:val="17"/>
              </w:rPr>
              <w:t xml:space="preserve"> (</w:t>
            </w:r>
            <w:r>
              <w:rPr>
                <w:szCs w:val="17"/>
              </w:rPr>
              <w:t>as per Article 7</w:t>
            </w:r>
            <w:r w:rsidR="004048FD" w:rsidRPr="004048FD">
              <w:rPr>
                <w:szCs w:val="17"/>
              </w:rPr>
              <w:t>7</w:t>
            </w:r>
            <w:r w:rsidR="004048FD">
              <w:rPr>
                <w:szCs w:val="17"/>
              </w:rPr>
              <w:t>a</w:t>
            </w:r>
            <w:r w:rsidR="009A5881" w:rsidRPr="009A5881">
              <w:rPr>
                <w:szCs w:val="17"/>
              </w:rPr>
              <w:t>)</w:t>
            </w:r>
            <w:r>
              <w:rPr>
                <w:szCs w:val="17"/>
              </w:rPr>
              <w:t xml:space="preserve"> of the stress curves is included</w:t>
            </w:r>
            <w:r w:rsidR="00490E8E">
              <w:rPr>
                <w:szCs w:val="17"/>
              </w:rPr>
              <w:t xml:space="preserve"> in Directive</w:t>
            </w:r>
            <w:r>
              <w:rPr>
                <w:szCs w:val="17"/>
              </w:rPr>
              <w:t xml:space="preserve">. </w:t>
            </w:r>
          </w:p>
          <w:p w14:paraId="58FB4DD8" w14:textId="77777777" w:rsidR="005802E4" w:rsidRDefault="005802E4" w:rsidP="003F0232">
            <w:pPr>
              <w:tabs>
                <w:tab w:val="left" w:pos="3815"/>
              </w:tabs>
              <w:jc w:val="left"/>
              <w:rPr>
                <w:szCs w:val="17"/>
              </w:rPr>
            </w:pPr>
          </w:p>
          <w:p w14:paraId="6D4B0432" w14:textId="77777777" w:rsidR="005802E4" w:rsidRDefault="005802E4" w:rsidP="003F0232">
            <w:pPr>
              <w:tabs>
                <w:tab w:val="left" w:pos="3815"/>
              </w:tabs>
              <w:jc w:val="left"/>
            </w:pPr>
            <w:r>
              <w:t>Negative term-dependent floor whose calibration shall ensure a sufficiently small likelihood of interest rates not being at all times above it.</w:t>
            </w:r>
          </w:p>
          <w:p w14:paraId="269CDA0B" w14:textId="77777777" w:rsidR="007A7097" w:rsidRDefault="007A7097" w:rsidP="003F0232">
            <w:pPr>
              <w:tabs>
                <w:tab w:val="left" w:pos="3815"/>
              </w:tabs>
              <w:jc w:val="left"/>
            </w:pPr>
          </w:p>
          <w:p w14:paraId="169C78D4" w14:textId="2C1DEAE2" w:rsidR="007A7097" w:rsidRPr="0051025B" w:rsidRDefault="007A7097" w:rsidP="003F0232">
            <w:pPr>
              <w:tabs>
                <w:tab w:val="left" w:pos="3815"/>
              </w:tabs>
              <w:jc w:val="left"/>
              <w:rPr>
                <w:szCs w:val="17"/>
                <w:highlight w:val="yellow"/>
              </w:rPr>
            </w:pPr>
            <w:r w:rsidRPr="00747AF0">
              <w:rPr>
                <w:b/>
                <w:color w:val="595959" w:themeColor="text1" w:themeTint="A6"/>
                <w:szCs w:val="17"/>
              </w:rPr>
              <w:t xml:space="preserve">[Neutral] </w:t>
            </w:r>
            <w:r>
              <w:t>Mandatory phasing-in over a period of up to five years for all undertakings.</w:t>
            </w:r>
          </w:p>
        </w:tc>
        <w:tc>
          <w:tcPr>
            <w:tcW w:w="3373" w:type="dxa"/>
          </w:tcPr>
          <w:p w14:paraId="6C90324E" w14:textId="266D8FA6" w:rsidR="00162A00" w:rsidRDefault="00162A00" w:rsidP="00162A00">
            <w:pPr>
              <w:tabs>
                <w:tab w:val="left" w:pos="3815"/>
              </w:tabs>
              <w:jc w:val="left"/>
              <w:rPr>
                <w:b/>
                <w:bCs/>
                <w:color w:val="1F497D" w:themeColor="text2"/>
                <w:szCs w:val="17"/>
              </w:rPr>
            </w:pPr>
            <w:r w:rsidRPr="007D2B02">
              <w:rPr>
                <w:b/>
                <w:bCs/>
                <w:color w:val="1F497D" w:themeColor="text2"/>
                <w:szCs w:val="17"/>
              </w:rPr>
              <w:t xml:space="preserve">Way forward: </w:t>
            </w:r>
            <w:r w:rsidR="008E3B54">
              <w:rPr>
                <w:color w:val="1F497D" w:themeColor="text2"/>
                <w:szCs w:val="17"/>
              </w:rPr>
              <w:t xml:space="preserve">Support </w:t>
            </w:r>
            <w:r w:rsidR="008E3B54" w:rsidRPr="00F047CC">
              <w:rPr>
                <w:b/>
                <w:bCs/>
                <w:color w:val="1F497D" w:themeColor="text2"/>
                <w:szCs w:val="17"/>
              </w:rPr>
              <w:t>EP proposal</w:t>
            </w:r>
            <w:r w:rsidR="00A96FE3">
              <w:rPr>
                <w:color w:val="1F497D" w:themeColor="text2"/>
                <w:szCs w:val="17"/>
              </w:rPr>
              <w:t>.</w:t>
            </w:r>
          </w:p>
          <w:p w14:paraId="0BD42074" w14:textId="77777777" w:rsidR="003F0232" w:rsidRPr="007D2B02" w:rsidRDefault="003F0232" w:rsidP="003F0232">
            <w:pPr>
              <w:tabs>
                <w:tab w:val="left" w:pos="3815"/>
              </w:tabs>
              <w:jc w:val="left"/>
              <w:rPr>
                <w:b/>
                <w:color w:val="F79646" w:themeColor="accent6"/>
                <w:szCs w:val="17"/>
              </w:rPr>
            </w:pPr>
          </w:p>
        </w:tc>
      </w:tr>
      <w:tr w:rsidR="00162A00" w14:paraId="3F9B3952" w14:textId="77777777" w:rsidTr="00226E73">
        <w:tc>
          <w:tcPr>
            <w:tcW w:w="1447" w:type="dxa"/>
          </w:tcPr>
          <w:p w14:paraId="538C54AF" w14:textId="6A4D1092" w:rsidR="00162A00" w:rsidRPr="00F91FD6" w:rsidRDefault="00162A00" w:rsidP="00C00B44">
            <w:pPr>
              <w:tabs>
                <w:tab w:val="left" w:pos="3815"/>
              </w:tabs>
              <w:jc w:val="left"/>
              <w:rPr>
                <w:b/>
                <w:bCs/>
                <w:szCs w:val="17"/>
              </w:rPr>
            </w:pPr>
            <w:r w:rsidRPr="00F91FD6">
              <w:rPr>
                <w:b/>
                <w:bCs/>
                <w:szCs w:val="17"/>
              </w:rPr>
              <w:lastRenderedPageBreak/>
              <w:t>Long Term equity</w:t>
            </w:r>
          </w:p>
        </w:tc>
        <w:tc>
          <w:tcPr>
            <w:tcW w:w="3118" w:type="dxa"/>
          </w:tcPr>
          <w:p w14:paraId="49999F21" w14:textId="5B01AEF7" w:rsidR="00162A00" w:rsidRDefault="006E27CF" w:rsidP="0058016A">
            <w:pPr>
              <w:tabs>
                <w:tab w:val="left" w:pos="3815"/>
              </w:tabs>
              <w:jc w:val="left"/>
              <w:rPr>
                <w:b/>
                <w:bCs/>
                <w:color w:val="00B050"/>
                <w:szCs w:val="17"/>
              </w:rPr>
            </w:pPr>
            <w:r w:rsidRPr="001310DC">
              <w:rPr>
                <w:b/>
                <w:bCs/>
                <w:color w:val="00B050"/>
                <w:szCs w:val="17"/>
              </w:rPr>
              <w:t>[Positive]</w:t>
            </w:r>
            <w:r>
              <w:rPr>
                <w:b/>
                <w:bCs/>
                <w:color w:val="00B050"/>
                <w:szCs w:val="17"/>
              </w:rPr>
              <w:t xml:space="preserve"> </w:t>
            </w:r>
            <w:r w:rsidRPr="00F57182">
              <w:rPr>
                <w:szCs w:val="17"/>
              </w:rPr>
              <w:t>EC has committed to developing a workable set of criteria</w:t>
            </w:r>
            <w:r>
              <w:rPr>
                <w:szCs w:val="17"/>
              </w:rPr>
              <w:t>.</w:t>
            </w:r>
          </w:p>
        </w:tc>
        <w:tc>
          <w:tcPr>
            <w:tcW w:w="3260" w:type="dxa"/>
          </w:tcPr>
          <w:p w14:paraId="257AA1DC" w14:textId="3EC72A4D" w:rsidR="00162A00" w:rsidRPr="00162A00" w:rsidRDefault="006E27CF" w:rsidP="005245C7">
            <w:pPr>
              <w:tabs>
                <w:tab w:val="left" w:pos="3815"/>
              </w:tabs>
              <w:jc w:val="left"/>
              <w:rPr>
                <w:b/>
                <w:color w:val="595959" w:themeColor="text1" w:themeTint="A6"/>
                <w:szCs w:val="17"/>
                <w:highlight w:val="yellow"/>
              </w:rPr>
            </w:pPr>
            <w:r w:rsidRPr="00747AF0">
              <w:rPr>
                <w:b/>
                <w:color w:val="595959" w:themeColor="text1" w:themeTint="A6"/>
                <w:szCs w:val="17"/>
              </w:rPr>
              <w:t xml:space="preserve">[Neutral] </w:t>
            </w:r>
            <w:r w:rsidRPr="00F57182">
              <w:rPr>
                <w:szCs w:val="17"/>
              </w:rPr>
              <w:t>EC presented both the EIOPA proposals and the FR, NL and LU governments liquidity test idea at the recent EGBPI. Feedback was that opinion is split among MS on the way forward.</w:t>
            </w:r>
          </w:p>
        </w:tc>
        <w:tc>
          <w:tcPr>
            <w:tcW w:w="3828" w:type="dxa"/>
          </w:tcPr>
          <w:p w14:paraId="6CA04BD6" w14:textId="3A2D54E4" w:rsidR="005149BF" w:rsidRPr="00A96FE3" w:rsidRDefault="00EE7FFC" w:rsidP="007A768C">
            <w:pPr>
              <w:tabs>
                <w:tab w:val="left" w:pos="3815"/>
              </w:tabs>
              <w:jc w:val="left"/>
              <w:rPr>
                <w:b/>
                <w:bCs/>
                <w:szCs w:val="17"/>
              </w:rPr>
            </w:pPr>
            <w:r w:rsidRPr="00A96FE3">
              <w:rPr>
                <w:b/>
                <w:bCs/>
                <w:color w:val="00B050"/>
                <w:szCs w:val="17"/>
              </w:rPr>
              <w:t>[Positive]</w:t>
            </w:r>
            <w:r w:rsidR="00681DCE" w:rsidRPr="00A96FE3">
              <w:rPr>
                <w:b/>
                <w:bCs/>
                <w:color w:val="00B050"/>
                <w:szCs w:val="17"/>
              </w:rPr>
              <w:t xml:space="preserve"> </w:t>
            </w:r>
            <w:r w:rsidR="00DB5559">
              <w:rPr>
                <w:szCs w:val="17"/>
              </w:rPr>
              <w:t>Simplified LTE criteria are proposed.</w:t>
            </w:r>
          </w:p>
        </w:tc>
        <w:tc>
          <w:tcPr>
            <w:tcW w:w="3373" w:type="dxa"/>
          </w:tcPr>
          <w:p w14:paraId="6DAAE834" w14:textId="47E258B5" w:rsidR="006E27CF" w:rsidRPr="000C4912" w:rsidRDefault="006E27CF" w:rsidP="006E27CF">
            <w:pPr>
              <w:tabs>
                <w:tab w:val="left" w:pos="3815"/>
              </w:tabs>
              <w:jc w:val="left"/>
              <w:rPr>
                <w:b/>
                <w:bCs/>
                <w:color w:val="1F497D" w:themeColor="text2"/>
                <w:szCs w:val="17"/>
              </w:rPr>
            </w:pPr>
            <w:r w:rsidRPr="007D2B02">
              <w:rPr>
                <w:b/>
                <w:bCs/>
                <w:color w:val="1F497D" w:themeColor="text2"/>
                <w:szCs w:val="17"/>
              </w:rPr>
              <w:t>Way forward:</w:t>
            </w:r>
            <w:r w:rsidR="006A6071">
              <w:rPr>
                <w:b/>
                <w:bCs/>
                <w:color w:val="1F497D" w:themeColor="text2"/>
                <w:szCs w:val="17"/>
              </w:rPr>
              <w:t xml:space="preserve"> </w:t>
            </w:r>
            <w:r w:rsidR="000C4912">
              <w:rPr>
                <w:color w:val="1F497D" w:themeColor="text2"/>
                <w:szCs w:val="17"/>
              </w:rPr>
              <w:t xml:space="preserve">Support </w:t>
            </w:r>
            <w:r w:rsidR="000C4912">
              <w:rPr>
                <w:b/>
                <w:bCs/>
                <w:color w:val="1F497D" w:themeColor="text2"/>
                <w:szCs w:val="17"/>
              </w:rPr>
              <w:t>EP proposal</w:t>
            </w:r>
            <w:r w:rsidR="000A0A6D">
              <w:rPr>
                <w:color w:val="1F497D" w:themeColor="text2"/>
                <w:szCs w:val="17"/>
              </w:rPr>
              <w:t xml:space="preserve">, which incorporates </w:t>
            </w:r>
            <w:r w:rsidR="00CD48E2">
              <w:rPr>
                <w:color w:val="1F497D" w:themeColor="text2"/>
                <w:szCs w:val="17"/>
              </w:rPr>
              <w:t xml:space="preserve">more simplified and workable criteria </w:t>
            </w:r>
            <w:r w:rsidR="009922B6">
              <w:rPr>
                <w:color w:val="1F497D" w:themeColor="text2"/>
                <w:szCs w:val="17"/>
              </w:rPr>
              <w:t xml:space="preserve">for all markets </w:t>
            </w:r>
            <w:r w:rsidR="00CD48E2">
              <w:rPr>
                <w:color w:val="1F497D" w:themeColor="text2"/>
                <w:szCs w:val="17"/>
              </w:rPr>
              <w:t xml:space="preserve">without being </w:t>
            </w:r>
            <w:r w:rsidR="0025559A">
              <w:rPr>
                <w:color w:val="1F497D" w:themeColor="text2"/>
                <w:szCs w:val="17"/>
              </w:rPr>
              <w:t>over prescriptive</w:t>
            </w:r>
            <w:r w:rsidR="00282701">
              <w:rPr>
                <w:color w:val="1F497D" w:themeColor="text2"/>
                <w:szCs w:val="17"/>
              </w:rPr>
              <w:t xml:space="preserve"> (although further definitions/criteria could be included in Level 2)</w:t>
            </w:r>
            <w:r w:rsidR="00CD48E2">
              <w:rPr>
                <w:color w:val="1F497D" w:themeColor="text2"/>
                <w:szCs w:val="17"/>
              </w:rPr>
              <w:t>.</w:t>
            </w:r>
          </w:p>
          <w:p w14:paraId="5C8A458E" w14:textId="77777777" w:rsidR="00162A00" w:rsidRDefault="00162A00" w:rsidP="00162A00">
            <w:pPr>
              <w:tabs>
                <w:tab w:val="left" w:pos="3815"/>
              </w:tabs>
              <w:jc w:val="left"/>
              <w:rPr>
                <w:b/>
                <w:color w:val="595959" w:themeColor="text1" w:themeTint="A6"/>
                <w:szCs w:val="17"/>
              </w:rPr>
            </w:pPr>
          </w:p>
        </w:tc>
      </w:tr>
      <w:tr w:rsidR="00FC3EEE" w14:paraId="63B65465" w14:textId="77777777" w:rsidTr="00226E73">
        <w:tc>
          <w:tcPr>
            <w:tcW w:w="1447" w:type="dxa"/>
          </w:tcPr>
          <w:p w14:paraId="24605B62" w14:textId="4CBF77AF" w:rsidR="00FC3EEE" w:rsidRPr="00F91FD6" w:rsidRDefault="00FC3EEE" w:rsidP="00C00B44">
            <w:pPr>
              <w:tabs>
                <w:tab w:val="left" w:pos="3815"/>
              </w:tabs>
              <w:jc w:val="left"/>
              <w:rPr>
                <w:b/>
                <w:bCs/>
                <w:szCs w:val="17"/>
              </w:rPr>
            </w:pPr>
            <w:proofErr w:type="spellStart"/>
            <w:r w:rsidRPr="00F91FD6">
              <w:rPr>
                <w:b/>
                <w:bCs/>
                <w:szCs w:val="17"/>
              </w:rPr>
              <w:t>Transitionals</w:t>
            </w:r>
            <w:proofErr w:type="spellEnd"/>
            <w:r w:rsidRPr="00F91FD6">
              <w:rPr>
                <w:b/>
                <w:bCs/>
                <w:szCs w:val="17"/>
              </w:rPr>
              <w:t xml:space="preserve"> </w:t>
            </w:r>
          </w:p>
        </w:tc>
        <w:tc>
          <w:tcPr>
            <w:tcW w:w="3118" w:type="dxa"/>
          </w:tcPr>
          <w:p w14:paraId="1F9E7228" w14:textId="77777777" w:rsidR="00FC3EEE" w:rsidRPr="001310DC" w:rsidRDefault="00FC3EEE" w:rsidP="0058016A">
            <w:pPr>
              <w:tabs>
                <w:tab w:val="left" w:pos="3815"/>
              </w:tabs>
              <w:jc w:val="left"/>
              <w:rPr>
                <w:b/>
                <w:bCs/>
                <w:color w:val="00B050"/>
                <w:szCs w:val="17"/>
              </w:rPr>
            </w:pPr>
          </w:p>
        </w:tc>
        <w:tc>
          <w:tcPr>
            <w:tcW w:w="3260" w:type="dxa"/>
          </w:tcPr>
          <w:p w14:paraId="1C8E1AD0" w14:textId="3C5249C3" w:rsidR="00FC3EEE" w:rsidRPr="00747AF0" w:rsidRDefault="00FC3EEE" w:rsidP="006E27CF">
            <w:pPr>
              <w:tabs>
                <w:tab w:val="left" w:pos="3815"/>
              </w:tabs>
              <w:jc w:val="left"/>
              <w:rPr>
                <w:b/>
                <w:color w:val="595959" w:themeColor="text1" w:themeTint="A6"/>
                <w:szCs w:val="17"/>
              </w:rPr>
            </w:pPr>
            <w:r>
              <w:rPr>
                <w:b/>
                <w:bCs/>
                <w:color w:val="FF0000"/>
                <w:szCs w:val="17"/>
              </w:rPr>
              <w:t>[</w:t>
            </w:r>
            <w:r w:rsidRPr="00DD7CCE">
              <w:rPr>
                <w:b/>
                <w:bCs/>
                <w:color w:val="FF0000"/>
                <w:szCs w:val="17"/>
              </w:rPr>
              <w:t>Negative]</w:t>
            </w:r>
            <w:r>
              <w:rPr>
                <w:b/>
                <w:bCs/>
                <w:color w:val="FF0000"/>
                <w:szCs w:val="17"/>
              </w:rPr>
              <w:t xml:space="preserve"> </w:t>
            </w:r>
            <w:r w:rsidR="00864325">
              <w:rPr>
                <w:szCs w:val="17"/>
              </w:rPr>
              <w:t>I</w:t>
            </w:r>
            <w:r w:rsidRPr="00DD7CCE">
              <w:rPr>
                <w:szCs w:val="17"/>
              </w:rPr>
              <w:t>ncludes a new Article 308e which includes the new transitional measures (Extrapolation and IRR), includes a new</w:t>
            </w:r>
            <w:r>
              <w:rPr>
                <w:szCs w:val="17"/>
              </w:rPr>
              <w:t xml:space="preserve"> </w:t>
            </w:r>
            <w:r w:rsidRPr="00DD7CCE">
              <w:rPr>
                <w:szCs w:val="17"/>
              </w:rPr>
              <w:t xml:space="preserve">requirement on detailing the timing of phasing-in measures and gives NSAs the power to revoke the application of transitional </w:t>
            </w:r>
            <w:r w:rsidRPr="00DD7CCE" w:rsidDel="00A379B5">
              <w:rPr>
                <w:szCs w:val="17"/>
              </w:rPr>
              <w:t xml:space="preserve">measures </w:t>
            </w:r>
            <w:r w:rsidRPr="00DD7CCE">
              <w:rPr>
                <w:szCs w:val="17"/>
              </w:rPr>
              <w:t xml:space="preserve">where undertaking does not demonstrate enough progress towards </w:t>
            </w:r>
            <w:r w:rsidRPr="00CD4477">
              <w:rPr>
                <w:szCs w:val="17"/>
              </w:rPr>
              <w:t>compliance</w:t>
            </w:r>
            <w:r w:rsidRPr="00DD7CCE">
              <w:rPr>
                <w:szCs w:val="17"/>
              </w:rPr>
              <w:t xml:space="preserve"> with SCR at end of transitional period.</w:t>
            </w:r>
          </w:p>
        </w:tc>
        <w:tc>
          <w:tcPr>
            <w:tcW w:w="3828" w:type="dxa"/>
          </w:tcPr>
          <w:p w14:paraId="12A74C79" w14:textId="77777777" w:rsidR="00FC3EEE" w:rsidRPr="0016511A" w:rsidRDefault="00FC3EEE" w:rsidP="003F0232">
            <w:pPr>
              <w:tabs>
                <w:tab w:val="left" w:pos="3815"/>
              </w:tabs>
              <w:jc w:val="left"/>
              <w:rPr>
                <w:b/>
                <w:bCs/>
                <w:szCs w:val="17"/>
                <w:highlight w:val="yellow"/>
              </w:rPr>
            </w:pPr>
          </w:p>
        </w:tc>
        <w:tc>
          <w:tcPr>
            <w:tcW w:w="3373" w:type="dxa"/>
          </w:tcPr>
          <w:p w14:paraId="439AABC2" w14:textId="77777777" w:rsidR="00FC3EEE" w:rsidRDefault="00FC3EEE" w:rsidP="00FC3EEE">
            <w:pPr>
              <w:tabs>
                <w:tab w:val="left" w:pos="3815"/>
              </w:tabs>
              <w:rPr>
                <w:color w:val="1F497D" w:themeColor="text2"/>
                <w:szCs w:val="17"/>
              </w:rPr>
            </w:pPr>
            <w:r w:rsidRPr="007D2B02">
              <w:rPr>
                <w:b/>
                <w:bCs/>
                <w:color w:val="1F497D" w:themeColor="text2"/>
                <w:szCs w:val="17"/>
              </w:rPr>
              <w:t xml:space="preserve">Way forward: </w:t>
            </w:r>
            <w:r w:rsidRPr="007D2B02">
              <w:rPr>
                <w:color w:val="1F497D" w:themeColor="text2"/>
                <w:szCs w:val="17"/>
              </w:rPr>
              <w:t>Not prioritise.</w:t>
            </w:r>
          </w:p>
          <w:p w14:paraId="372D6632" w14:textId="77777777" w:rsidR="00FC3EEE" w:rsidRPr="00E7390B" w:rsidRDefault="00FC3EEE" w:rsidP="006E27CF">
            <w:pPr>
              <w:tabs>
                <w:tab w:val="left" w:pos="3815"/>
              </w:tabs>
              <w:jc w:val="left"/>
              <w:rPr>
                <w:b/>
                <w:bCs/>
                <w:color w:val="FF0000"/>
                <w:szCs w:val="17"/>
              </w:rPr>
            </w:pPr>
          </w:p>
        </w:tc>
      </w:tr>
      <w:tr w:rsidR="00FC3EEE" w14:paraId="07729924" w14:textId="77777777" w:rsidTr="00226E73">
        <w:tc>
          <w:tcPr>
            <w:tcW w:w="1447" w:type="dxa"/>
          </w:tcPr>
          <w:p w14:paraId="40F8CC7A" w14:textId="52639BF8" w:rsidR="00FC3EEE" w:rsidRPr="00F91FD6" w:rsidRDefault="00FC3EEE" w:rsidP="00C00B44">
            <w:pPr>
              <w:tabs>
                <w:tab w:val="left" w:pos="3815"/>
              </w:tabs>
              <w:jc w:val="left"/>
              <w:rPr>
                <w:b/>
                <w:bCs/>
                <w:szCs w:val="17"/>
              </w:rPr>
            </w:pPr>
            <w:r w:rsidRPr="00F91FD6">
              <w:rPr>
                <w:b/>
                <w:bCs/>
                <w:szCs w:val="17"/>
              </w:rPr>
              <w:t>Symmetric equity adjustment</w:t>
            </w:r>
          </w:p>
        </w:tc>
        <w:tc>
          <w:tcPr>
            <w:tcW w:w="3118" w:type="dxa"/>
          </w:tcPr>
          <w:p w14:paraId="23C939E4" w14:textId="45F5FD91" w:rsidR="00FC3EEE" w:rsidRPr="001310DC" w:rsidRDefault="00FC3EEE" w:rsidP="0058016A">
            <w:pPr>
              <w:tabs>
                <w:tab w:val="left" w:pos="3815"/>
              </w:tabs>
              <w:jc w:val="left"/>
              <w:rPr>
                <w:b/>
                <w:bCs/>
                <w:color w:val="00B050"/>
                <w:szCs w:val="17"/>
              </w:rPr>
            </w:pPr>
            <w:r w:rsidRPr="00BD5AF9">
              <w:rPr>
                <w:b/>
                <w:bCs/>
                <w:color w:val="FF0000"/>
                <w:szCs w:val="17"/>
              </w:rPr>
              <w:t>[Negative]</w:t>
            </w:r>
            <w:r>
              <w:rPr>
                <w:b/>
                <w:bCs/>
                <w:color w:val="FF0000"/>
                <w:szCs w:val="17"/>
              </w:rPr>
              <w:t xml:space="preserve"> </w:t>
            </w:r>
            <w:r w:rsidRPr="00F57182">
              <w:rPr>
                <w:szCs w:val="17"/>
              </w:rPr>
              <w:t>Propose to increase the corridor of the symmetric adjustment to +/-17% (from +/-10%)</w:t>
            </w:r>
          </w:p>
        </w:tc>
        <w:tc>
          <w:tcPr>
            <w:tcW w:w="3260" w:type="dxa"/>
          </w:tcPr>
          <w:p w14:paraId="2C3A201D" w14:textId="58017EA3" w:rsidR="00FC3EEE" w:rsidRPr="00B53440" w:rsidRDefault="00DB592F" w:rsidP="00FC3EEE">
            <w:pPr>
              <w:tabs>
                <w:tab w:val="left" w:pos="3815"/>
              </w:tabs>
              <w:jc w:val="left"/>
              <w:rPr>
                <w:b/>
                <w:szCs w:val="17"/>
              </w:rPr>
            </w:pPr>
            <w:r w:rsidRPr="00B53440">
              <w:rPr>
                <w:b/>
                <w:bCs/>
                <w:color w:val="00B050"/>
                <w:szCs w:val="17"/>
              </w:rPr>
              <w:t xml:space="preserve">[Positive] </w:t>
            </w:r>
            <w:r w:rsidR="00227EB4" w:rsidRPr="00B53440">
              <w:rPr>
                <w:szCs w:val="17"/>
              </w:rPr>
              <w:t>D</w:t>
            </w:r>
            <w:r w:rsidR="00FC3EEE" w:rsidRPr="00B53440">
              <w:rPr>
                <w:szCs w:val="17"/>
              </w:rPr>
              <w:t xml:space="preserve">oes not include the EC’s proposed changes to the corridor of the symmetric adjustment (Art 106 </w:t>
            </w:r>
            <w:r w:rsidR="00FC3EEE" w:rsidRPr="00B53440">
              <w:rPr>
                <w:bCs/>
                <w:szCs w:val="17"/>
              </w:rPr>
              <w:t>para 3)</w:t>
            </w:r>
          </w:p>
          <w:p w14:paraId="79BEA3EF" w14:textId="77777777" w:rsidR="00FC3EEE" w:rsidRPr="00B53440" w:rsidRDefault="00FC3EEE" w:rsidP="006E27CF">
            <w:pPr>
              <w:tabs>
                <w:tab w:val="left" w:pos="3815"/>
              </w:tabs>
              <w:jc w:val="left"/>
              <w:rPr>
                <w:b/>
                <w:bCs/>
                <w:color w:val="FF0000"/>
                <w:szCs w:val="17"/>
              </w:rPr>
            </w:pPr>
          </w:p>
        </w:tc>
        <w:tc>
          <w:tcPr>
            <w:tcW w:w="3828" w:type="dxa"/>
          </w:tcPr>
          <w:p w14:paraId="3306F326" w14:textId="39C230CE" w:rsidR="005975F4" w:rsidRPr="00B53440" w:rsidRDefault="00DB592F" w:rsidP="00C82C5E">
            <w:pPr>
              <w:tabs>
                <w:tab w:val="left" w:pos="3815"/>
              </w:tabs>
              <w:jc w:val="left"/>
              <w:rPr>
                <w:szCs w:val="17"/>
              </w:rPr>
            </w:pPr>
            <w:r w:rsidRPr="00B53440">
              <w:rPr>
                <w:b/>
                <w:bCs/>
                <w:color w:val="FF0000"/>
                <w:szCs w:val="17"/>
              </w:rPr>
              <w:t xml:space="preserve">[Negative] </w:t>
            </w:r>
            <w:r w:rsidR="00C82C5E" w:rsidRPr="00B53440">
              <w:rPr>
                <w:szCs w:val="17"/>
              </w:rPr>
              <w:t>Widen corridor of the symmetric adjustment (+/- 17%).</w:t>
            </w:r>
          </w:p>
          <w:p w14:paraId="3152A777" w14:textId="77777777" w:rsidR="005975F4" w:rsidRPr="00B53440" w:rsidRDefault="005975F4" w:rsidP="003F0232">
            <w:pPr>
              <w:tabs>
                <w:tab w:val="left" w:pos="3815"/>
              </w:tabs>
              <w:jc w:val="left"/>
              <w:rPr>
                <w:szCs w:val="17"/>
              </w:rPr>
            </w:pPr>
          </w:p>
          <w:p w14:paraId="21A40C4D" w14:textId="0BD43E72" w:rsidR="005975F4" w:rsidRPr="00C82C5E" w:rsidRDefault="00CD72E5" w:rsidP="008B1AE5">
            <w:pPr>
              <w:tabs>
                <w:tab w:val="left" w:pos="3815"/>
              </w:tabs>
              <w:jc w:val="left"/>
              <w:rPr>
                <w:szCs w:val="17"/>
              </w:rPr>
            </w:pPr>
            <w:r w:rsidRPr="00B53440">
              <w:rPr>
                <w:b/>
                <w:bCs/>
                <w:color w:val="00B050"/>
                <w:szCs w:val="17"/>
              </w:rPr>
              <w:t>[Positive]</w:t>
            </w:r>
            <w:r w:rsidR="001B5A11" w:rsidRPr="00B53440">
              <w:rPr>
                <w:szCs w:val="17"/>
              </w:rPr>
              <w:t xml:space="preserve"> </w:t>
            </w:r>
            <w:r w:rsidRPr="00B53440">
              <w:rPr>
                <w:szCs w:val="17"/>
              </w:rPr>
              <w:t>E</w:t>
            </w:r>
            <w:r w:rsidR="001B5A11" w:rsidRPr="00B53440">
              <w:rPr>
                <w:szCs w:val="17"/>
              </w:rPr>
              <w:t xml:space="preserve">xclusion of </w:t>
            </w:r>
            <w:r w:rsidR="005975F4" w:rsidRPr="00B53440">
              <w:rPr>
                <w:szCs w:val="17"/>
              </w:rPr>
              <w:t>unit-linked policies</w:t>
            </w:r>
          </w:p>
        </w:tc>
        <w:tc>
          <w:tcPr>
            <w:tcW w:w="3373" w:type="dxa"/>
          </w:tcPr>
          <w:p w14:paraId="6B51E3E7" w14:textId="6A794C2D" w:rsidR="00577981" w:rsidRDefault="00FC3EEE" w:rsidP="00FC3EEE">
            <w:pPr>
              <w:tabs>
                <w:tab w:val="left" w:pos="3815"/>
              </w:tabs>
              <w:rPr>
                <w:color w:val="1F497D" w:themeColor="text2"/>
                <w:szCs w:val="17"/>
              </w:rPr>
            </w:pPr>
            <w:r w:rsidRPr="00B53440">
              <w:rPr>
                <w:b/>
                <w:bCs/>
                <w:color w:val="1F497D" w:themeColor="text2"/>
                <w:szCs w:val="17"/>
              </w:rPr>
              <w:t>Way forward:</w:t>
            </w:r>
            <w:r w:rsidR="00D82189" w:rsidRPr="00B53440">
              <w:rPr>
                <w:b/>
                <w:bCs/>
                <w:color w:val="1F497D" w:themeColor="text2"/>
                <w:szCs w:val="17"/>
              </w:rPr>
              <w:t xml:space="preserve"> </w:t>
            </w:r>
            <w:r w:rsidR="00D82189" w:rsidRPr="00B53440">
              <w:rPr>
                <w:color w:val="1F497D" w:themeColor="text2"/>
                <w:szCs w:val="17"/>
              </w:rPr>
              <w:t xml:space="preserve">Support </w:t>
            </w:r>
            <w:r w:rsidR="00DB592F" w:rsidRPr="00B53440">
              <w:rPr>
                <w:b/>
                <w:bCs/>
                <w:color w:val="1F497D" w:themeColor="text2"/>
                <w:szCs w:val="17"/>
              </w:rPr>
              <w:t xml:space="preserve">Council </w:t>
            </w:r>
            <w:r w:rsidR="00DD0BBB" w:rsidRPr="00B53440">
              <w:rPr>
                <w:b/>
                <w:bCs/>
                <w:color w:val="1F497D" w:themeColor="text2"/>
                <w:szCs w:val="17"/>
              </w:rPr>
              <w:t>proposal</w:t>
            </w:r>
            <w:r w:rsidR="00F60A9E" w:rsidRPr="00B53440">
              <w:rPr>
                <w:b/>
                <w:bCs/>
                <w:color w:val="1F497D" w:themeColor="text2"/>
                <w:szCs w:val="17"/>
              </w:rPr>
              <w:t xml:space="preserve"> </w:t>
            </w:r>
            <w:r w:rsidR="00F60A9E" w:rsidRPr="00B53440">
              <w:rPr>
                <w:color w:val="1F497D" w:themeColor="text2"/>
                <w:szCs w:val="17"/>
              </w:rPr>
              <w:t>to not widen the corridor and support EP proposal to exclude unit-linked policies.</w:t>
            </w:r>
          </w:p>
          <w:p w14:paraId="2D789ED8" w14:textId="4EF2C1C0" w:rsidR="00FC3EEE" w:rsidRPr="001133FD" w:rsidRDefault="00FC3EEE" w:rsidP="00FC3EEE">
            <w:pPr>
              <w:tabs>
                <w:tab w:val="left" w:pos="3815"/>
              </w:tabs>
              <w:rPr>
                <w:b/>
                <w:bCs/>
                <w:color w:val="FF0000"/>
                <w:szCs w:val="17"/>
              </w:rPr>
            </w:pPr>
          </w:p>
        </w:tc>
      </w:tr>
      <w:tr w:rsidR="00EF4325" w14:paraId="6D17A4D2" w14:textId="77777777" w:rsidTr="00226E73">
        <w:tc>
          <w:tcPr>
            <w:tcW w:w="1447" w:type="dxa"/>
          </w:tcPr>
          <w:p w14:paraId="654738FD" w14:textId="7E247684" w:rsidR="00EF4325" w:rsidRPr="0062030C" w:rsidRDefault="002821BA" w:rsidP="00C00B44">
            <w:pPr>
              <w:tabs>
                <w:tab w:val="left" w:pos="3815"/>
              </w:tabs>
              <w:jc w:val="left"/>
              <w:rPr>
                <w:b/>
                <w:bCs/>
                <w:szCs w:val="17"/>
              </w:rPr>
            </w:pPr>
            <w:r w:rsidRPr="0062030C">
              <w:rPr>
                <w:b/>
                <w:bCs/>
                <w:szCs w:val="17"/>
              </w:rPr>
              <w:t>Macroprudential</w:t>
            </w:r>
          </w:p>
        </w:tc>
        <w:tc>
          <w:tcPr>
            <w:tcW w:w="3118" w:type="dxa"/>
          </w:tcPr>
          <w:p w14:paraId="33849AFD" w14:textId="77777777" w:rsidR="002821BA" w:rsidRDefault="002821BA" w:rsidP="0058016A">
            <w:pPr>
              <w:tabs>
                <w:tab w:val="left" w:pos="3815"/>
              </w:tabs>
              <w:jc w:val="left"/>
              <w:rPr>
                <w:szCs w:val="17"/>
              </w:rPr>
            </w:pPr>
            <w:r w:rsidRPr="00BD5AF9">
              <w:rPr>
                <w:b/>
                <w:bCs/>
                <w:color w:val="FF0000"/>
                <w:szCs w:val="17"/>
              </w:rPr>
              <w:t>[Negative]</w:t>
            </w:r>
            <w:r>
              <w:rPr>
                <w:b/>
                <w:bCs/>
                <w:color w:val="FF0000"/>
                <w:szCs w:val="17"/>
              </w:rPr>
              <w:t xml:space="preserve"> </w:t>
            </w:r>
            <w:r w:rsidRPr="00823F31">
              <w:rPr>
                <w:szCs w:val="17"/>
              </w:rPr>
              <w:t>New intervention powers before SCR</w:t>
            </w:r>
            <w:r>
              <w:rPr>
                <w:szCs w:val="17"/>
              </w:rPr>
              <w:t xml:space="preserve"> i</w:t>
            </w:r>
            <w:r w:rsidRPr="00823F31">
              <w:rPr>
                <w:szCs w:val="17"/>
              </w:rPr>
              <w:t>s breached</w:t>
            </w:r>
            <w:r>
              <w:rPr>
                <w:szCs w:val="17"/>
              </w:rPr>
              <w:t xml:space="preserve">, such as </w:t>
            </w:r>
            <w:r w:rsidRPr="00823F31">
              <w:rPr>
                <w:szCs w:val="17"/>
              </w:rPr>
              <w:t>restricting</w:t>
            </w:r>
            <w:r>
              <w:rPr>
                <w:szCs w:val="17"/>
              </w:rPr>
              <w:t xml:space="preserve"> or</w:t>
            </w:r>
            <w:r w:rsidRPr="00823F31">
              <w:rPr>
                <w:szCs w:val="17"/>
              </w:rPr>
              <w:t xml:space="preserve"> suspending</w:t>
            </w:r>
            <w:r>
              <w:rPr>
                <w:szCs w:val="17"/>
              </w:rPr>
              <w:t xml:space="preserve"> </w:t>
            </w:r>
            <w:r w:rsidRPr="00823F31">
              <w:rPr>
                <w:szCs w:val="17"/>
              </w:rPr>
              <w:t>dividends</w:t>
            </w:r>
            <w:r>
              <w:rPr>
                <w:szCs w:val="17"/>
              </w:rPr>
              <w:t xml:space="preserve"> and</w:t>
            </w:r>
            <w:r w:rsidRPr="00823F31">
              <w:rPr>
                <w:szCs w:val="17"/>
              </w:rPr>
              <w:t xml:space="preserve"> other shareholder</w:t>
            </w:r>
            <w:r>
              <w:rPr>
                <w:szCs w:val="17"/>
              </w:rPr>
              <w:t xml:space="preserve"> </w:t>
            </w:r>
            <w:r w:rsidRPr="00823F31">
              <w:rPr>
                <w:szCs w:val="17"/>
              </w:rPr>
              <w:t>payments</w:t>
            </w:r>
            <w:r>
              <w:rPr>
                <w:szCs w:val="17"/>
              </w:rPr>
              <w:t xml:space="preserve"> “</w:t>
            </w:r>
            <w:r w:rsidRPr="00823F31">
              <w:rPr>
                <w:szCs w:val="17"/>
              </w:rPr>
              <w:t>during periods of</w:t>
            </w:r>
            <w:r>
              <w:rPr>
                <w:szCs w:val="17"/>
              </w:rPr>
              <w:t xml:space="preserve"> </w:t>
            </w:r>
            <w:r w:rsidRPr="00823F31">
              <w:rPr>
                <w:szCs w:val="17"/>
              </w:rPr>
              <w:t>exceptional sector wide shocks</w:t>
            </w:r>
            <w:r>
              <w:rPr>
                <w:szCs w:val="17"/>
              </w:rPr>
              <w:t>”</w:t>
            </w:r>
            <w:r w:rsidRPr="00823F31">
              <w:rPr>
                <w:szCs w:val="17"/>
              </w:rPr>
              <w:t xml:space="preserve"> but on</w:t>
            </w:r>
            <w:r>
              <w:rPr>
                <w:szCs w:val="17"/>
              </w:rPr>
              <w:t xml:space="preserve"> </w:t>
            </w:r>
            <w:r w:rsidRPr="00823F31">
              <w:rPr>
                <w:szCs w:val="17"/>
              </w:rPr>
              <w:t>a case-by-case basis</w:t>
            </w:r>
            <w:r>
              <w:rPr>
                <w:szCs w:val="17"/>
              </w:rPr>
              <w:t>.</w:t>
            </w:r>
          </w:p>
          <w:p w14:paraId="4424BAE1" w14:textId="77777777" w:rsidR="002821BA" w:rsidRDefault="002821BA" w:rsidP="0058016A">
            <w:pPr>
              <w:tabs>
                <w:tab w:val="left" w:pos="3815"/>
              </w:tabs>
              <w:jc w:val="left"/>
              <w:rPr>
                <w:szCs w:val="17"/>
              </w:rPr>
            </w:pPr>
          </w:p>
          <w:p w14:paraId="15CE3827" w14:textId="77777777" w:rsidR="002821BA" w:rsidRDefault="002821BA" w:rsidP="0058016A">
            <w:pPr>
              <w:tabs>
                <w:tab w:val="left" w:pos="3815"/>
              </w:tabs>
              <w:jc w:val="left"/>
              <w:rPr>
                <w:szCs w:val="17"/>
              </w:rPr>
            </w:pPr>
            <w:r w:rsidRPr="00747AF0">
              <w:rPr>
                <w:b/>
                <w:color w:val="595959" w:themeColor="text1" w:themeTint="A6"/>
                <w:szCs w:val="17"/>
              </w:rPr>
              <w:t xml:space="preserve">[Neutral] </w:t>
            </w:r>
            <w:r w:rsidRPr="00491EB9">
              <w:rPr>
                <w:szCs w:val="17"/>
              </w:rPr>
              <w:t>L</w:t>
            </w:r>
            <w:r>
              <w:rPr>
                <w:szCs w:val="17"/>
              </w:rPr>
              <w:t>iquidity Risk Management Plans (L</w:t>
            </w:r>
            <w:r w:rsidRPr="00491EB9">
              <w:rPr>
                <w:szCs w:val="17"/>
              </w:rPr>
              <w:t>RMP</w:t>
            </w:r>
            <w:r>
              <w:rPr>
                <w:szCs w:val="17"/>
              </w:rPr>
              <w:t>)</w:t>
            </w:r>
            <w:r w:rsidRPr="00491EB9">
              <w:rPr>
                <w:szCs w:val="17"/>
              </w:rPr>
              <w:t xml:space="preserve"> where insurers (other than</w:t>
            </w:r>
            <w:r>
              <w:rPr>
                <w:szCs w:val="17"/>
              </w:rPr>
              <w:t xml:space="preserve"> </w:t>
            </w:r>
            <w:r w:rsidRPr="00491EB9">
              <w:rPr>
                <w:szCs w:val="17"/>
              </w:rPr>
              <w:t>low risk undertakings) develop</w:t>
            </w:r>
            <w:r>
              <w:rPr>
                <w:szCs w:val="17"/>
              </w:rPr>
              <w:t xml:space="preserve"> </w:t>
            </w:r>
            <w:r w:rsidRPr="00491EB9">
              <w:rPr>
                <w:szCs w:val="17"/>
              </w:rPr>
              <w:t>indicators to identify, monitor and</w:t>
            </w:r>
            <w:r>
              <w:rPr>
                <w:szCs w:val="17"/>
              </w:rPr>
              <w:t xml:space="preserve"> </w:t>
            </w:r>
            <w:r w:rsidRPr="00491EB9">
              <w:rPr>
                <w:szCs w:val="17"/>
              </w:rPr>
              <w:t>address potential liquidity risk (no</w:t>
            </w:r>
            <w:r>
              <w:rPr>
                <w:szCs w:val="17"/>
              </w:rPr>
              <w:t xml:space="preserve"> </w:t>
            </w:r>
            <w:r w:rsidRPr="00491EB9">
              <w:rPr>
                <w:szCs w:val="17"/>
              </w:rPr>
              <w:t>exemption for IM users</w:t>
            </w:r>
            <w:r>
              <w:rPr>
                <w:szCs w:val="17"/>
              </w:rPr>
              <w:t>).</w:t>
            </w:r>
            <w:r w:rsidRPr="00C61679">
              <w:rPr>
                <w:szCs w:val="17"/>
              </w:rPr>
              <w:t xml:space="preserve"> VA/MA </w:t>
            </w:r>
            <w:r w:rsidRPr="007C5033">
              <w:rPr>
                <w:szCs w:val="17"/>
              </w:rPr>
              <w:t>liquidity analysis can be</w:t>
            </w:r>
            <w:r>
              <w:rPr>
                <w:szCs w:val="17"/>
              </w:rPr>
              <w:t xml:space="preserve"> </w:t>
            </w:r>
            <w:r w:rsidRPr="007C5033">
              <w:rPr>
                <w:szCs w:val="17"/>
              </w:rPr>
              <w:t xml:space="preserve">integrated in </w:t>
            </w:r>
            <w:r>
              <w:rPr>
                <w:szCs w:val="17"/>
              </w:rPr>
              <w:t>LRMP.</w:t>
            </w:r>
          </w:p>
          <w:p w14:paraId="0CD3C2E2" w14:textId="77777777" w:rsidR="001C062E" w:rsidRDefault="001C062E" w:rsidP="0058016A">
            <w:pPr>
              <w:tabs>
                <w:tab w:val="left" w:pos="3815"/>
              </w:tabs>
              <w:jc w:val="left"/>
              <w:rPr>
                <w:szCs w:val="17"/>
              </w:rPr>
            </w:pPr>
          </w:p>
          <w:p w14:paraId="21B74CC5" w14:textId="5D313701" w:rsidR="002821BA" w:rsidRDefault="002821BA" w:rsidP="0058016A">
            <w:pPr>
              <w:tabs>
                <w:tab w:val="left" w:pos="3815"/>
              </w:tabs>
              <w:jc w:val="left"/>
              <w:rPr>
                <w:szCs w:val="17"/>
              </w:rPr>
            </w:pPr>
            <w:r w:rsidRPr="00BD5AF9">
              <w:rPr>
                <w:b/>
                <w:bCs/>
                <w:color w:val="00B050"/>
                <w:szCs w:val="17"/>
              </w:rPr>
              <w:t>[Positive]</w:t>
            </w:r>
            <w:r w:rsidRPr="00BD5AF9">
              <w:rPr>
                <w:color w:val="E36C0A" w:themeColor="accent6" w:themeShade="BF"/>
                <w:szCs w:val="17"/>
              </w:rPr>
              <w:t xml:space="preserve"> </w:t>
            </w:r>
            <w:r w:rsidRPr="00491EB9">
              <w:rPr>
                <w:szCs w:val="17"/>
              </w:rPr>
              <w:t>Powers to remedy perceived liquidity</w:t>
            </w:r>
            <w:r>
              <w:rPr>
                <w:szCs w:val="17"/>
              </w:rPr>
              <w:t xml:space="preserve"> </w:t>
            </w:r>
            <w:r w:rsidRPr="00491EB9">
              <w:rPr>
                <w:szCs w:val="17"/>
              </w:rPr>
              <w:t>vulnerabilities in exceptional</w:t>
            </w:r>
            <w:r>
              <w:rPr>
                <w:szCs w:val="17"/>
              </w:rPr>
              <w:t xml:space="preserve"> </w:t>
            </w:r>
            <w:r w:rsidRPr="00491EB9">
              <w:rPr>
                <w:szCs w:val="17"/>
              </w:rPr>
              <w:t>circumstances (</w:t>
            </w:r>
            <w:proofErr w:type="spellStart"/>
            <w:proofErr w:type="gramStart"/>
            <w:r w:rsidRPr="00491EB9">
              <w:rPr>
                <w:szCs w:val="17"/>
              </w:rPr>
              <w:t>e</w:t>
            </w:r>
            <w:r>
              <w:rPr>
                <w:szCs w:val="17"/>
              </w:rPr>
              <w:t>g</w:t>
            </w:r>
            <w:proofErr w:type="spellEnd"/>
            <w:proofErr w:type="gramEnd"/>
            <w:r w:rsidRPr="00491EB9">
              <w:rPr>
                <w:szCs w:val="17"/>
              </w:rPr>
              <w:t xml:space="preserve"> temporarily</w:t>
            </w:r>
            <w:r>
              <w:rPr>
                <w:szCs w:val="17"/>
              </w:rPr>
              <w:t xml:space="preserve"> </w:t>
            </w:r>
            <w:r w:rsidRPr="00491EB9">
              <w:rPr>
                <w:szCs w:val="17"/>
              </w:rPr>
              <w:t>suspend redemption rights of life</w:t>
            </w:r>
            <w:r>
              <w:rPr>
                <w:szCs w:val="17"/>
              </w:rPr>
              <w:t xml:space="preserve"> </w:t>
            </w:r>
            <w:r w:rsidRPr="00491EB9">
              <w:rPr>
                <w:szCs w:val="17"/>
              </w:rPr>
              <w:t>insurance</w:t>
            </w:r>
            <w:r>
              <w:rPr>
                <w:szCs w:val="17"/>
              </w:rPr>
              <w:t xml:space="preserve"> </w:t>
            </w:r>
            <w:r w:rsidRPr="00491EB9">
              <w:rPr>
                <w:szCs w:val="17"/>
              </w:rPr>
              <w:t>policy</w:t>
            </w:r>
            <w:r w:rsidR="00750080">
              <w:rPr>
                <w:szCs w:val="17"/>
              </w:rPr>
              <w:t xml:space="preserve"> </w:t>
            </w:r>
            <w:r w:rsidRPr="00491EB9">
              <w:rPr>
                <w:szCs w:val="17"/>
              </w:rPr>
              <w:t>holders with</w:t>
            </w:r>
            <w:r>
              <w:rPr>
                <w:szCs w:val="17"/>
              </w:rPr>
              <w:t xml:space="preserve"> </w:t>
            </w:r>
            <w:r w:rsidRPr="00491EB9">
              <w:rPr>
                <w:szCs w:val="17"/>
              </w:rPr>
              <w:t>subsequent impact on dividend</w:t>
            </w:r>
            <w:r>
              <w:rPr>
                <w:szCs w:val="17"/>
              </w:rPr>
              <w:t xml:space="preserve"> </w:t>
            </w:r>
            <w:r w:rsidRPr="00491EB9">
              <w:rPr>
                <w:szCs w:val="17"/>
              </w:rPr>
              <w:t>distributions</w:t>
            </w:r>
            <w:r>
              <w:rPr>
                <w:szCs w:val="17"/>
              </w:rPr>
              <w:t xml:space="preserve">, </w:t>
            </w:r>
            <w:r w:rsidRPr="00491EB9">
              <w:rPr>
                <w:szCs w:val="17"/>
              </w:rPr>
              <w:t xml:space="preserve">bonuses </w:t>
            </w:r>
            <w:r>
              <w:rPr>
                <w:szCs w:val="17"/>
              </w:rPr>
              <w:t>and</w:t>
            </w:r>
            <w:r w:rsidRPr="00491EB9">
              <w:rPr>
                <w:szCs w:val="17"/>
              </w:rPr>
              <w:t xml:space="preserve"> variable</w:t>
            </w:r>
            <w:r>
              <w:rPr>
                <w:szCs w:val="17"/>
              </w:rPr>
              <w:t xml:space="preserve"> </w:t>
            </w:r>
            <w:r w:rsidRPr="00491EB9">
              <w:rPr>
                <w:szCs w:val="17"/>
              </w:rPr>
              <w:t>remuneration)</w:t>
            </w:r>
            <w:r>
              <w:rPr>
                <w:szCs w:val="17"/>
              </w:rPr>
              <w:t>.</w:t>
            </w:r>
          </w:p>
          <w:p w14:paraId="408DF9E3" w14:textId="77777777" w:rsidR="002821BA" w:rsidRDefault="002821BA" w:rsidP="0058016A">
            <w:pPr>
              <w:tabs>
                <w:tab w:val="left" w:pos="3815"/>
              </w:tabs>
              <w:jc w:val="left"/>
              <w:rPr>
                <w:szCs w:val="17"/>
              </w:rPr>
            </w:pPr>
          </w:p>
          <w:p w14:paraId="6A080601" w14:textId="77777777" w:rsidR="005901E5" w:rsidRDefault="005901E5" w:rsidP="0058016A">
            <w:pPr>
              <w:tabs>
                <w:tab w:val="left" w:pos="3815"/>
              </w:tabs>
              <w:jc w:val="left"/>
              <w:rPr>
                <w:b/>
                <w:color w:val="595959" w:themeColor="text1" w:themeTint="A6"/>
                <w:szCs w:val="17"/>
              </w:rPr>
            </w:pPr>
          </w:p>
          <w:p w14:paraId="7D87265B" w14:textId="77777777" w:rsidR="005901E5" w:rsidRDefault="005901E5" w:rsidP="0058016A">
            <w:pPr>
              <w:tabs>
                <w:tab w:val="left" w:pos="3815"/>
              </w:tabs>
              <w:jc w:val="left"/>
              <w:rPr>
                <w:b/>
                <w:color w:val="595959" w:themeColor="text1" w:themeTint="A6"/>
                <w:szCs w:val="17"/>
              </w:rPr>
            </w:pPr>
          </w:p>
          <w:p w14:paraId="786223C3" w14:textId="4A6C4B6A" w:rsidR="00EF4325" w:rsidRPr="00BD5AF9" w:rsidRDefault="00AA08D0" w:rsidP="0058016A">
            <w:pPr>
              <w:tabs>
                <w:tab w:val="left" w:pos="3815"/>
              </w:tabs>
              <w:jc w:val="left"/>
              <w:rPr>
                <w:b/>
                <w:bCs/>
                <w:color w:val="FF0000"/>
                <w:szCs w:val="17"/>
              </w:rPr>
            </w:pPr>
            <w:r w:rsidRPr="00BD5AF9">
              <w:rPr>
                <w:b/>
                <w:bCs/>
                <w:color w:val="FF0000"/>
                <w:szCs w:val="17"/>
              </w:rPr>
              <w:t>[</w:t>
            </w:r>
            <w:proofErr w:type="gramStart"/>
            <w:r w:rsidRPr="00BD5AF9">
              <w:rPr>
                <w:b/>
                <w:bCs/>
                <w:color w:val="FF0000"/>
                <w:szCs w:val="17"/>
              </w:rPr>
              <w:t>Negative]</w:t>
            </w:r>
            <w:r>
              <w:rPr>
                <w:b/>
                <w:bCs/>
                <w:color w:val="FF0000"/>
                <w:szCs w:val="17"/>
              </w:rPr>
              <w:t xml:space="preserve"> </w:t>
            </w:r>
            <w:r w:rsidR="002821BA" w:rsidRPr="00747AF0">
              <w:rPr>
                <w:b/>
                <w:color w:val="595959" w:themeColor="text1" w:themeTint="A6"/>
                <w:szCs w:val="17"/>
              </w:rPr>
              <w:t xml:space="preserve"> </w:t>
            </w:r>
            <w:r w:rsidR="002821BA" w:rsidRPr="008957F1">
              <w:rPr>
                <w:szCs w:val="17"/>
              </w:rPr>
              <w:t>Integration</w:t>
            </w:r>
            <w:proofErr w:type="gramEnd"/>
            <w:r w:rsidR="002821BA" w:rsidRPr="008957F1">
              <w:rPr>
                <w:szCs w:val="17"/>
              </w:rPr>
              <w:t xml:space="preserve"> of macroeconomic</w:t>
            </w:r>
            <w:r w:rsidR="002821BA">
              <w:rPr>
                <w:szCs w:val="17"/>
              </w:rPr>
              <w:t xml:space="preserve"> </w:t>
            </w:r>
            <w:r w:rsidR="002821BA" w:rsidRPr="008957F1">
              <w:rPr>
                <w:szCs w:val="17"/>
              </w:rPr>
              <w:t xml:space="preserve">considerations in ORSA and </w:t>
            </w:r>
            <w:r w:rsidR="00B97B91">
              <w:rPr>
                <w:szCs w:val="17"/>
              </w:rPr>
              <w:t>PPP</w:t>
            </w:r>
          </w:p>
        </w:tc>
        <w:tc>
          <w:tcPr>
            <w:tcW w:w="3260" w:type="dxa"/>
          </w:tcPr>
          <w:p w14:paraId="7AF1D656" w14:textId="219953DD" w:rsidR="005901E5" w:rsidRDefault="005901E5" w:rsidP="005901E5">
            <w:pPr>
              <w:tabs>
                <w:tab w:val="left" w:pos="3815"/>
              </w:tabs>
              <w:jc w:val="left"/>
              <w:rPr>
                <w:szCs w:val="17"/>
              </w:rPr>
            </w:pPr>
            <w:r w:rsidRPr="00BD5AF9">
              <w:rPr>
                <w:b/>
                <w:bCs/>
                <w:color w:val="FF0000"/>
                <w:szCs w:val="17"/>
              </w:rPr>
              <w:lastRenderedPageBreak/>
              <w:t>[Negative]</w:t>
            </w:r>
            <w:r>
              <w:rPr>
                <w:b/>
                <w:bCs/>
                <w:color w:val="FF0000"/>
                <w:szCs w:val="17"/>
              </w:rPr>
              <w:t xml:space="preserve"> </w:t>
            </w:r>
            <w:r w:rsidR="00C64B10">
              <w:rPr>
                <w:szCs w:val="17"/>
              </w:rPr>
              <w:t>Council</w:t>
            </w:r>
            <w:r>
              <w:rPr>
                <w:szCs w:val="17"/>
              </w:rPr>
              <w:t xml:space="preserve"> makes minor changes to the EC proposals but no change of substance. </w:t>
            </w:r>
          </w:p>
          <w:p w14:paraId="64871105" w14:textId="77777777" w:rsidR="005901E5" w:rsidRDefault="005901E5" w:rsidP="005901E5">
            <w:pPr>
              <w:tabs>
                <w:tab w:val="left" w:pos="3815"/>
              </w:tabs>
              <w:jc w:val="left"/>
              <w:rPr>
                <w:szCs w:val="17"/>
              </w:rPr>
            </w:pPr>
          </w:p>
          <w:p w14:paraId="22F4A46F" w14:textId="77777777" w:rsidR="005901E5" w:rsidRDefault="005901E5" w:rsidP="005901E5">
            <w:pPr>
              <w:tabs>
                <w:tab w:val="left" w:pos="3815"/>
              </w:tabs>
              <w:jc w:val="left"/>
              <w:rPr>
                <w:szCs w:val="17"/>
              </w:rPr>
            </w:pPr>
          </w:p>
          <w:p w14:paraId="16E4AB73" w14:textId="77777777" w:rsidR="005901E5" w:rsidRDefault="005901E5" w:rsidP="005901E5">
            <w:pPr>
              <w:tabs>
                <w:tab w:val="left" w:pos="3815"/>
              </w:tabs>
              <w:jc w:val="left"/>
              <w:rPr>
                <w:szCs w:val="17"/>
              </w:rPr>
            </w:pPr>
          </w:p>
          <w:p w14:paraId="0EFA31D9" w14:textId="77777777" w:rsidR="005901E5" w:rsidRDefault="005901E5" w:rsidP="005901E5">
            <w:pPr>
              <w:tabs>
                <w:tab w:val="left" w:pos="3815"/>
              </w:tabs>
              <w:jc w:val="left"/>
              <w:rPr>
                <w:szCs w:val="17"/>
              </w:rPr>
            </w:pPr>
          </w:p>
          <w:p w14:paraId="4B503AA2" w14:textId="77777777" w:rsidR="005901E5" w:rsidRDefault="005901E5" w:rsidP="005901E5">
            <w:pPr>
              <w:tabs>
                <w:tab w:val="left" w:pos="3815"/>
              </w:tabs>
              <w:jc w:val="left"/>
              <w:rPr>
                <w:szCs w:val="17"/>
              </w:rPr>
            </w:pPr>
          </w:p>
          <w:p w14:paraId="7000CF2D" w14:textId="77777777" w:rsidR="005901E5" w:rsidRPr="001366D2" w:rsidRDefault="005901E5" w:rsidP="005901E5">
            <w:pPr>
              <w:tabs>
                <w:tab w:val="left" w:pos="3815"/>
              </w:tabs>
              <w:jc w:val="left"/>
              <w:rPr>
                <w:szCs w:val="17"/>
              </w:rPr>
            </w:pPr>
          </w:p>
          <w:p w14:paraId="751F29EA" w14:textId="77777777" w:rsidR="005901E5" w:rsidRDefault="005901E5" w:rsidP="005901E5">
            <w:pPr>
              <w:tabs>
                <w:tab w:val="left" w:pos="3815"/>
              </w:tabs>
              <w:jc w:val="left"/>
              <w:rPr>
                <w:szCs w:val="17"/>
              </w:rPr>
            </w:pPr>
          </w:p>
          <w:p w14:paraId="5A7B3007" w14:textId="1232FF95" w:rsidR="005901E5" w:rsidRDefault="005901E5" w:rsidP="005901E5">
            <w:pPr>
              <w:tabs>
                <w:tab w:val="left" w:pos="3815"/>
              </w:tabs>
              <w:jc w:val="left"/>
              <w:rPr>
                <w:szCs w:val="17"/>
              </w:rPr>
            </w:pPr>
            <w:r w:rsidRPr="00BD5AF9">
              <w:rPr>
                <w:b/>
                <w:bCs/>
                <w:color w:val="00B050"/>
                <w:szCs w:val="17"/>
              </w:rPr>
              <w:t xml:space="preserve">[Positive] </w:t>
            </w:r>
            <w:r w:rsidR="00493C7F">
              <w:rPr>
                <w:szCs w:val="17"/>
              </w:rPr>
              <w:t xml:space="preserve">LRMP are </w:t>
            </w:r>
            <w:r w:rsidRPr="008D0101">
              <w:rPr>
                <w:szCs w:val="17"/>
              </w:rPr>
              <w:t>limit</w:t>
            </w:r>
            <w:r w:rsidR="00493C7F">
              <w:rPr>
                <w:szCs w:val="17"/>
              </w:rPr>
              <w:t>ed t</w:t>
            </w:r>
            <w:r w:rsidRPr="008D0101">
              <w:rPr>
                <w:szCs w:val="17"/>
              </w:rPr>
              <w:t>o be only at request of supervisor</w:t>
            </w:r>
            <w:r>
              <w:rPr>
                <w:szCs w:val="17"/>
              </w:rPr>
              <w:t xml:space="preserve">. </w:t>
            </w:r>
            <w:r w:rsidR="001D6407">
              <w:rPr>
                <w:szCs w:val="17"/>
              </w:rPr>
              <w:t>P</w:t>
            </w:r>
            <w:r>
              <w:rPr>
                <w:szCs w:val="17"/>
              </w:rPr>
              <w:t xml:space="preserve">roposes EIOPA develops </w:t>
            </w:r>
            <w:r w:rsidRPr="007C5033">
              <w:rPr>
                <w:szCs w:val="17"/>
              </w:rPr>
              <w:t>guidelines rather</w:t>
            </w:r>
            <w:r>
              <w:rPr>
                <w:szCs w:val="17"/>
              </w:rPr>
              <w:t xml:space="preserve"> </w:t>
            </w:r>
            <w:r w:rsidRPr="007C5033">
              <w:rPr>
                <w:szCs w:val="17"/>
              </w:rPr>
              <w:t>than RTS</w:t>
            </w:r>
            <w:r>
              <w:rPr>
                <w:szCs w:val="17"/>
              </w:rPr>
              <w:t xml:space="preserve"> and exempts </w:t>
            </w:r>
            <w:r w:rsidRPr="007C5033">
              <w:rPr>
                <w:szCs w:val="17"/>
              </w:rPr>
              <w:t>subsidiaries if a group LRMP in</w:t>
            </w:r>
            <w:r>
              <w:rPr>
                <w:szCs w:val="17"/>
              </w:rPr>
              <w:t xml:space="preserve"> </w:t>
            </w:r>
            <w:r w:rsidRPr="007C5033">
              <w:rPr>
                <w:szCs w:val="17"/>
              </w:rPr>
              <w:t>place</w:t>
            </w:r>
            <w:r>
              <w:rPr>
                <w:szCs w:val="17"/>
              </w:rPr>
              <w:t>. (</w:t>
            </w:r>
            <w:r w:rsidRPr="00FF4BAB">
              <w:rPr>
                <w:szCs w:val="17"/>
              </w:rPr>
              <w:t>Article 144a,</w:t>
            </w:r>
            <w:r>
              <w:t xml:space="preserve"> </w:t>
            </w:r>
            <w:r w:rsidRPr="00FF4BAB">
              <w:rPr>
                <w:szCs w:val="17"/>
              </w:rPr>
              <w:t>Article 246a</w:t>
            </w:r>
            <w:r>
              <w:rPr>
                <w:szCs w:val="17"/>
              </w:rPr>
              <w:t>)</w:t>
            </w:r>
          </w:p>
          <w:p w14:paraId="05918ACD" w14:textId="77777777" w:rsidR="00EF4325" w:rsidRDefault="00EF4325" w:rsidP="00FC3EEE">
            <w:pPr>
              <w:tabs>
                <w:tab w:val="left" w:pos="3815"/>
              </w:tabs>
              <w:jc w:val="left"/>
              <w:rPr>
                <w:b/>
                <w:color w:val="595959" w:themeColor="text1" w:themeTint="A6"/>
                <w:szCs w:val="17"/>
              </w:rPr>
            </w:pPr>
          </w:p>
          <w:p w14:paraId="5FC14780" w14:textId="77777777" w:rsidR="005901E5" w:rsidRDefault="005901E5" w:rsidP="00FC3EEE">
            <w:pPr>
              <w:tabs>
                <w:tab w:val="left" w:pos="3815"/>
              </w:tabs>
              <w:jc w:val="left"/>
              <w:rPr>
                <w:b/>
                <w:color w:val="595959" w:themeColor="text1" w:themeTint="A6"/>
                <w:szCs w:val="17"/>
              </w:rPr>
            </w:pPr>
          </w:p>
          <w:p w14:paraId="507ED9D1" w14:textId="77777777" w:rsidR="00493C7F" w:rsidRDefault="00493C7F" w:rsidP="00FC3EEE">
            <w:pPr>
              <w:tabs>
                <w:tab w:val="left" w:pos="3815"/>
              </w:tabs>
              <w:jc w:val="left"/>
              <w:rPr>
                <w:b/>
                <w:color w:val="595959" w:themeColor="text1" w:themeTint="A6"/>
                <w:szCs w:val="17"/>
              </w:rPr>
            </w:pPr>
          </w:p>
          <w:p w14:paraId="46633CA1" w14:textId="77777777" w:rsidR="005901E5" w:rsidRDefault="005901E5" w:rsidP="00FC3EEE">
            <w:pPr>
              <w:tabs>
                <w:tab w:val="left" w:pos="3815"/>
              </w:tabs>
              <w:jc w:val="left"/>
              <w:rPr>
                <w:b/>
                <w:color w:val="595959" w:themeColor="text1" w:themeTint="A6"/>
                <w:szCs w:val="17"/>
              </w:rPr>
            </w:pPr>
          </w:p>
          <w:p w14:paraId="527D1148" w14:textId="53890CA3" w:rsidR="005901E5" w:rsidRDefault="005901E5" w:rsidP="005901E5">
            <w:pPr>
              <w:tabs>
                <w:tab w:val="left" w:pos="3815"/>
              </w:tabs>
              <w:jc w:val="left"/>
              <w:rPr>
                <w:szCs w:val="17"/>
              </w:rPr>
            </w:pPr>
            <w:r w:rsidRPr="00BD5AF9">
              <w:rPr>
                <w:b/>
                <w:bCs/>
                <w:color w:val="00B050"/>
                <w:szCs w:val="17"/>
              </w:rPr>
              <w:t xml:space="preserve">[Positive] </w:t>
            </w:r>
            <w:r w:rsidRPr="007A0CC8">
              <w:rPr>
                <w:szCs w:val="17"/>
              </w:rPr>
              <w:t>Power</w:t>
            </w:r>
            <w:r w:rsidR="000925BB" w:rsidRPr="00491EB9">
              <w:rPr>
                <w:szCs w:val="17"/>
              </w:rPr>
              <w:t xml:space="preserve"> remedy perceived liquidity</w:t>
            </w:r>
            <w:r w:rsidR="000925BB">
              <w:rPr>
                <w:szCs w:val="17"/>
              </w:rPr>
              <w:t xml:space="preserve"> </w:t>
            </w:r>
            <w:r w:rsidR="000925BB" w:rsidRPr="00491EB9">
              <w:rPr>
                <w:szCs w:val="17"/>
              </w:rPr>
              <w:t>vulnerabilities in exceptional</w:t>
            </w:r>
            <w:r w:rsidR="000925BB">
              <w:rPr>
                <w:szCs w:val="17"/>
              </w:rPr>
              <w:t xml:space="preserve"> </w:t>
            </w:r>
            <w:r w:rsidR="000925BB" w:rsidRPr="00491EB9">
              <w:rPr>
                <w:szCs w:val="17"/>
              </w:rPr>
              <w:t>circumstances</w:t>
            </w:r>
            <w:r w:rsidRPr="007A0CC8">
              <w:rPr>
                <w:szCs w:val="17"/>
              </w:rPr>
              <w:t xml:space="preserve"> shall only be exercised in exceptional</w:t>
            </w:r>
            <w:r>
              <w:rPr>
                <w:szCs w:val="17"/>
              </w:rPr>
              <w:t xml:space="preserve"> </w:t>
            </w:r>
            <w:r w:rsidRPr="007A0CC8">
              <w:rPr>
                <w:szCs w:val="17"/>
              </w:rPr>
              <w:t>circumstances, as a last resort measure and</w:t>
            </w:r>
            <w:r>
              <w:rPr>
                <w:szCs w:val="17"/>
              </w:rPr>
              <w:t xml:space="preserve"> </w:t>
            </w:r>
            <w:r w:rsidRPr="007A0CC8">
              <w:rPr>
                <w:szCs w:val="17"/>
              </w:rPr>
              <w:t>where it is in the collective interest of the</w:t>
            </w:r>
            <w:r>
              <w:rPr>
                <w:szCs w:val="17"/>
              </w:rPr>
              <w:t xml:space="preserve"> </w:t>
            </w:r>
            <w:r w:rsidRPr="007A0CC8">
              <w:rPr>
                <w:szCs w:val="17"/>
              </w:rPr>
              <w:t>policyholders and beneficiaries of the</w:t>
            </w:r>
            <w:r>
              <w:rPr>
                <w:szCs w:val="17"/>
              </w:rPr>
              <w:t xml:space="preserve"> </w:t>
            </w:r>
            <w:r w:rsidRPr="007A0CC8">
              <w:rPr>
                <w:szCs w:val="17"/>
              </w:rPr>
              <w:t>undertaking. Temporarily suspend redemption</w:t>
            </w:r>
            <w:r>
              <w:rPr>
                <w:szCs w:val="17"/>
              </w:rPr>
              <w:t xml:space="preserve"> </w:t>
            </w:r>
            <w:r w:rsidRPr="007A0CC8">
              <w:rPr>
                <w:szCs w:val="17"/>
              </w:rPr>
              <w:t>rights of policyholders on life insurance policies of</w:t>
            </w:r>
            <w:r w:rsidR="000925BB">
              <w:rPr>
                <w:szCs w:val="17"/>
              </w:rPr>
              <w:t xml:space="preserve"> </w:t>
            </w:r>
            <w:r w:rsidRPr="007A0CC8">
              <w:rPr>
                <w:szCs w:val="17"/>
              </w:rPr>
              <w:t>undertakings facing significant liquidity risks</w:t>
            </w:r>
            <w:r>
              <w:rPr>
                <w:szCs w:val="17"/>
              </w:rPr>
              <w:t>. (</w:t>
            </w:r>
            <w:r w:rsidRPr="004432EA">
              <w:rPr>
                <w:szCs w:val="17"/>
              </w:rPr>
              <w:t>Article 144</w:t>
            </w:r>
            <w:r>
              <w:rPr>
                <w:szCs w:val="17"/>
              </w:rPr>
              <w:t>b)</w:t>
            </w:r>
          </w:p>
          <w:p w14:paraId="130DD737" w14:textId="230CC9CE" w:rsidR="005901E5" w:rsidRDefault="005901E5" w:rsidP="00FC3EEE">
            <w:pPr>
              <w:tabs>
                <w:tab w:val="left" w:pos="3815"/>
              </w:tabs>
              <w:jc w:val="left"/>
              <w:rPr>
                <w:b/>
                <w:color w:val="595959" w:themeColor="text1" w:themeTint="A6"/>
                <w:szCs w:val="17"/>
              </w:rPr>
            </w:pPr>
          </w:p>
          <w:p w14:paraId="6802F895" w14:textId="1705E5A9" w:rsidR="005901E5" w:rsidRPr="00747AF0" w:rsidRDefault="005901E5" w:rsidP="00ED1673">
            <w:pPr>
              <w:tabs>
                <w:tab w:val="left" w:pos="3815"/>
              </w:tabs>
              <w:jc w:val="left"/>
              <w:rPr>
                <w:b/>
                <w:color w:val="595959" w:themeColor="text1" w:themeTint="A6"/>
                <w:szCs w:val="17"/>
              </w:rPr>
            </w:pPr>
            <w:r w:rsidRPr="00BD5AF9">
              <w:rPr>
                <w:b/>
                <w:bCs/>
                <w:color w:val="00B050"/>
                <w:szCs w:val="17"/>
              </w:rPr>
              <w:t xml:space="preserve">[Positive] </w:t>
            </w:r>
            <w:r w:rsidR="00B97B91" w:rsidRPr="00B97B91">
              <w:rPr>
                <w:szCs w:val="17"/>
              </w:rPr>
              <w:t xml:space="preserve">Reduces </w:t>
            </w:r>
            <w:r w:rsidRPr="008B5B48">
              <w:rPr>
                <w:szCs w:val="17"/>
              </w:rPr>
              <w:t xml:space="preserve">scope </w:t>
            </w:r>
            <w:r>
              <w:rPr>
                <w:szCs w:val="17"/>
              </w:rPr>
              <w:t xml:space="preserve">of macroprudential considerations in ORSA and </w:t>
            </w:r>
            <w:r w:rsidR="00B97B91">
              <w:rPr>
                <w:szCs w:val="17"/>
              </w:rPr>
              <w:t>PPP</w:t>
            </w:r>
            <w:r>
              <w:rPr>
                <w:szCs w:val="17"/>
              </w:rPr>
              <w:t xml:space="preserve"> - additional </w:t>
            </w:r>
            <w:r w:rsidRPr="008B5B48">
              <w:rPr>
                <w:szCs w:val="17"/>
              </w:rPr>
              <w:t xml:space="preserve">analysis </w:t>
            </w:r>
            <w:r>
              <w:rPr>
                <w:szCs w:val="17"/>
              </w:rPr>
              <w:lastRenderedPageBreak/>
              <w:t xml:space="preserve">of “macroprudential concerns” only </w:t>
            </w:r>
            <w:r w:rsidRPr="008B5B48">
              <w:rPr>
                <w:szCs w:val="17"/>
              </w:rPr>
              <w:t xml:space="preserve">to be </w:t>
            </w:r>
            <w:r>
              <w:rPr>
                <w:szCs w:val="17"/>
              </w:rPr>
              <w:t>included</w:t>
            </w:r>
            <w:r w:rsidRPr="008B5B48">
              <w:rPr>
                <w:szCs w:val="17"/>
              </w:rPr>
              <w:t xml:space="preserve"> at</w:t>
            </w:r>
            <w:r>
              <w:rPr>
                <w:szCs w:val="17"/>
              </w:rPr>
              <w:t xml:space="preserve"> </w:t>
            </w:r>
            <w:r w:rsidRPr="008B5B48">
              <w:rPr>
                <w:szCs w:val="17"/>
              </w:rPr>
              <w:t>request of the supervisor;</w:t>
            </w:r>
            <w:r>
              <w:rPr>
                <w:szCs w:val="17"/>
              </w:rPr>
              <w:t xml:space="preserve"> </w:t>
            </w:r>
            <w:r w:rsidRPr="008B5B48">
              <w:rPr>
                <w:szCs w:val="17"/>
              </w:rPr>
              <w:t>nature/scale/complexity</w:t>
            </w:r>
            <w:r>
              <w:rPr>
                <w:szCs w:val="17"/>
              </w:rPr>
              <w:t xml:space="preserve"> </w:t>
            </w:r>
            <w:r w:rsidRPr="008B5B48">
              <w:rPr>
                <w:szCs w:val="17"/>
              </w:rPr>
              <w:t>of the risks inherent in the business of the</w:t>
            </w:r>
            <w:r>
              <w:rPr>
                <w:szCs w:val="17"/>
              </w:rPr>
              <w:t xml:space="preserve"> </w:t>
            </w:r>
            <w:r w:rsidRPr="008B5B48">
              <w:rPr>
                <w:szCs w:val="17"/>
              </w:rPr>
              <w:t>undertakings to be considered; subsidiaries</w:t>
            </w:r>
            <w:r>
              <w:rPr>
                <w:szCs w:val="17"/>
              </w:rPr>
              <w:t xml:space="preserve"> can be </w:t>
            </w:r>
            <w:r w:rsidRPr="008B5B48">
              <w:rPr>
                <w:szCs w:val="17"/>
              </w:rPr>
              <w:t xml:space="preserve">exempted </w:t>
            </w:r>
            <w:r>
              <w:rPr>
                <w:szCs w:val="17"/>
              </w:rPr>
              <w:t>from ORSA requirements where</w:t>
            </w:r>
            <w:r w:rsidRPr="008B5B48">
              <w:rPr>
                <w:szCs w:val="17"/>
              </w:rPr>
              <w:t xml:space="preserve"> a group analysis in place.</w:t>
            </w:r>
            <w:r>
              <w:rPr>
                <w:szCs w:val="17"/>
              </w:rPr>
              <w:t xml:space="preserve"> (Art. 144d)</w:t>
            </w:r>
          </w:p>
        </w:tc>
        <w:tc>
          <w:tcPr>
            <w:tcW w:w="3828" w:type="dxa"/>
          </w:tcPr>
          <w:p w14:paraId="5B7939FB" w14:textId="76CE4B15" w:rsidR="00D6239A" w:rsidRDefault="00C72C57" w:rsidP="003F0232">
            <w:pPr>
              <w:tabs>
                <w:tab w:val="left" w:pos="3815"/>
              </w:tabs>
              <w:jc w:val="left"/>
              <w:rPr>
                <w:szCs w:val="17"/>
              </w:rPr>
            </w:pPr>
            <w:r w:rsidRPr="00BD5AF9">
              <w:rPr>
                <w:b/>
                <w:bCs/>
                <w:color w:val="FF0000"/>
                <w:szCs w:val="17"/>
              </w:rPr>
              <w:lastRenderedPageBreak/>
              <w:t>[Negative</w:t>
            </w:r>
            <w:r>
              <w:rPr>
                <w:b/>
                <w:bCs/>
                <w:color w:val="FF0000"/>
                <w:szCs w:val="17"/>
              </w:rPr>
              <w:t xml:space="preserve">] </w:t>
            </w:r>
            <w:r>
              <w:rPr>
                <w:szCs w:val="17"/>
              </w:rPr>
              <w:t>Similar to EC proposal, supervisory measures</w:t>
            </w:r>
            <w:r w:rsidR="00F95573">
              <w:rPr>
                <w:szCs w:val="17"/>
              </w:rPr>
              <w:t xml:space="preserve"> are introduced </w:t>
            </w:r>
            <w:r w:rsidR="000C5D8A">
              <w:rPr>
                <w:szCs w:val="17"/>
              </w:rPr>
              <w:t>aimed at</w:t>
            </w:r>
            <w:r w:rsidR="00F95573">
              <w:rPr>
                <w:szCs w:val="17"/>
              </w:rPr>
              <w:t xml:space="preserve"> preserving the financial position of undertakings during exceptional sector-wide shocks.</w:t>
            </w:r>
          </w:p>
          <w:p w14:paraId="7A5C3603" w14:textId="77777777" w:rsidR="00D6239A" w:rsidRDefault="00D6239A" w:rsidP="003F0232">
            <w:pPr>
              <w:tabs>
                <w:tab w:val="left" w:pos="3815"/>
              </w:tabs>
              <w:jc w:val="left"/>
              <w:rPr>
                <w:szCs w:val="17"/>
              </w:rPr>
            </w:pPr>
          </w:p>
          <w:p w14:paraId="6025C6FC" w14:textId="77777777" w:rsidR="00D6239A" w:rsidRDefault="00D6239A" w:rsidP="003F0232">
            <w:pPr>
              <w:tabs>
                <w:tab w:val="left" w:pos="3815"/>
              </w:tabs>
              <w:jc w:val="left"/>
              <w:rPr>
                <w:szCs w:val="17"/>
              </w:rPr>
            </w:pPr>
          </w:p>
          <w:p w14:paraId="003B60D1" w14:textId="77777777" w:rsidR="00C53D93" w:rsidRDefault="00C53D93" w:rsidP="003F0232">
            <w:pPr>
              <w:tabs>
                <w:tab w:val="left" w:pos="3815"/>
              </w:tabs>
              <w:jc w:val="left"/>
              <w:rPr>
                <w:szCs w:val="17"/>
              </w:rPr>
            </w:pPr>
          </w:p>
          <w:p w14:paraId="59B95A90" w14:textId="77777777" w:rsidR="00C53D93" w:rsidRDefault="00C53D93" w:rsidP="003F0232">
            <w:pPr>
              <w:tabs>
                <w:tab w:val="left" w:pos="3815"/>
              </w:tabs>
              <w:jc w:val="left"/>
              <w:rPr>
                <w:szCs w:val="17"/>
              </w:rPr>
            </w:pPr>
          </w:p>
          <w:p w14:paraId="6E060AB8" w14:textId="77777777" w:rsidR="00C53D93" w:rsidRDefault="00C53D93" w:rsidP="003F0232">
            <w:pPr>
              <w:tabs>
                <w:tab w:val="left" w:pos="3815"/>
              </w:tabs>
              <w:jc w:val="left"/>
              <w:rPr>
                <w:szCs w:val="17"/>
              </w:rPr>
            </w:pPr>
          </w:p>
          <w:p w14:paraId="4E52D8E2" w14:textId="72891A52" w:rsidR="00EF4325" w:rsidRDefault="00812D58" w:rsidP="00812D58">
            <w:pPr>
              <w:tabs>
                <w:tab w:val="left" w:pos="3815"/>
              </w:tabs>
              <w:jc w:val="left"/>
              <w:rPr>
                <w:szCs w:val="17"/>
              </w:rPr>
            </w:pPr>
            <w:r w:rsidRPr="00747AF0">
              <w:rPr>
                <w:b/>
                <w:color w:val="595959" w:themeColor="text1" w:themeTint="A6"/>
                <w:szCs w:val="17"/>
              </w:rPr>
              <w:t>[Neutral]</w:t>
            </w:r>
            <w:r>
              <w:rPr>
                <w:b/>
                <w:color w:val="595959" w:themeColor="text1" w:themeTint="A6"/>
                <w:szCs w:val="17"/>
              </w:rPr>
              <w:t xml:space="preserve"> </w:t>
            </w:r>
            <w:r w:rsidR="00222D75">
              <w:rPr>
                <w:szCs w:val="17"/>
              </w:rPr>
              <w:t xml:space="preserve">As per </w:t>
            </w:r>
            <w:r w:rsidR="007C726A">
              <w:rPr>
                <w:szCs w:val="17"/>
              </w:rPr>
              <w:t>EC</w:t>
            </w:r>
            <w:r w:rsidR="00222D75">
              <w:rPr>
                <w:szCs w:val="17"/>
              </w:rPr>
              <w:t xml:space="preserve"> proposal, i</w:t>
            </w:r>
            <w:r w:rsidR="009F6957">
              <w:rPr>
                <w:szCs w:val="17"/>
              </w:rPr>
              <w:t>nsurers</w:t>
            </w:r>
            <w:r w:rsidR="00191E86">
              <w:rPr>
                <w:szCs w:val="17"/>
              </w:rPr>
              <w:t>, with the exception of LRPUs,</w:t>
            </w:r>
            <w:r w:rsidR="009F6957">
              <w:rPr>
                <w:szCs w:val="17"/>
              </w:rPr>
              <w:t xml:space="preserve"> shall </w:t>
            </w:r>
            <w:r w:rsidR="006A34A8">
              <w:rPr>
                <w:szCs w:val="17"/>
              </w:rPr>
              <w:t>maintain and keep up to date</w:t>
            </w:r>
            <w:r w:rsidR="003D271F">
              <w:rPr>
                <w:szCs w:val="17"/>
              </w:rPr>
              <w:t xml:space="preserve"> LRMPs</w:t>
            </w:r>
            <w:r w:rsidR="00503540">
              <w:rPr>
                <w:szCs w:val="17"/>
              </w:rPr>
              <w:t xml:space="preserve"> with appropriate</w:t>
            </w:r>
            <w:r w:rsidR="00A9342D">
              <w:rPr>
                <w:szCs w:val="17"/>
              </w:rPr>
              <w:t xml:space="preserve"> l</w:t>
            </w:r>
            <w:r w:rsidR="004068D9">
              <w:rPr>
                <w:szCs w:val="17"/>
              </w:rPr>
              <w:t>iquidity indicators</w:t>
            </w:r>
            <w:r w:rsidR="00FE6BEF">
              <w:rPr>
                <w:szCs w:val="17"/>
              </w:rPr>
              <w:t xml:space="preserve"> </w:t>
            </w:r>
            <w:r w:rsidR="006A34A8">
              <w:rPr>
                <w:szCs w:val="17"/>
              </w:rPr>
              <w:t>to ensure their liquidity position even under stressed conditions.</w:t>
            </w:r>
            <w:r w:rsidR="00F77068">
              <w:rPr>
                <w:szCs w:val="17"/>
              </w:rPr>
              <w:t xml:space="preserve"> EIOPA’s </w:t>
            </w:r>
            <w:r w:rsidR="00B371C1">
              <w:rPr>
                <w:szCs w:val="17"/>
              </w:rPr>
              <w:t>RTS</w:t>
            </w:r>
            <w:r w:rsidR="0086230C">
              <w:rPr>
                <w:szCs w:val="17"/>
              </w:rPr>
              <w:t xml:space="preserve"> no</w:t>
            </w:r>
            <w:r w:rsidR="007846B3">
              <w:rPr>
                <w:szCs w:val="17"/>
              </w:rPr>
              <w:t>t</w:t>
            </w:r>
            <w:r w:rsidR="0086230C">
              <w:rPr>
                <w:szCs w:val="17"/>
              </w:rPr>
              <w:t xml:space="preserve"> required to specify the format of the LRMP nor the stressed conditions</w:t>
            </w:r>
            <w:r w:rsidR="00720F00">
              <w:rPr>
                <w:szCs w:val="17"/>
              </w:rPr>
              <w:t>.</w:t>
            </w:r>
          </w:p>
          <w:p w14:paraId="4E19F006" w14:textId="77777777" w:rsidR="00B01969" w:rsidRDefault="00B01969" w:rsidP="00812D58">
            <w:pPr>
              <w:tabs>
                <w:tab w:val="left" w:pos="3815"/>
              </w:tabs>
              <w:jc w:val="left"/>
              <w:rPr>
                <w:szCs w:val="17"/>
              </w:rPr>
            </w:pPr>
          </w:p>
          <w:p w14:paraId="4B790DCB" w14:textId="77777777" w:rsidR="00C53D93" w:rsidRDefault="00C53D93" w:rsidP="00812D58">
            <w:pPr>
              <w:tabs>
                <w:tab w:val="left" w:pos="3815"/>
              </w:tabs>
              <w:jc w:val="left"/>
              <w:rPr>
                <w:szCs w:val="17"/>
              </w:rPr>
            </w:pPr>
          </w:p>
          <w:p w14:paraId="541A0765" w14:textId="77777777" w:rsidR="00B01969" w:rsidRPr="00D91AAF" w:rsidRDefault="00B01969" w:rsidP="00B01969">
            <w:pPr>
              <w:tabs>
                <w:tab w:val="left" w:pos="3815"/>
              </w:tabs>
              <w:jc w:val="left"/>
              <w:rPr>
                <w:szCs w:val="17"/>
              </w:rPr>
            </w:pPr>
            <w:r w:rsidRPr="00BD5AF9">
              <w:rPr>
                <w:b/>
                <w:bCs/>
                <w:color w:val="FF0000"/>
                <w:szCs w:val="17"/>
              </w:rPr>
              <w:t>[Negative]</w:t>
            </w:r>
            <w:r>
              <w:rPr>
                <w:b/>
                <w:bCs/>
                <w:color w:val="FF0000"/>
                <w:szCs w:val="17"/>
              </w:rPr>
              <w:t xml:space="preserve"> </w:t>
            </w:r>
            <w:r>
              <w:rPr>
                <w:szCs w:val="17"/>
              </w:rPr>
              <w:t>Supervisory powers (</w:t>
            </w:r>
            <w:proofErr w:type="gramStart"/>
            <w:r>
              <w:rPr>
                <w:szCs w:val="17"/>
              </w:rPr>
              <w:t>e.g.</w:t>
            </w:r>
            <w:proofErr w:type="gramEnd"/>
            <w:r>
              <w:rPr>
                <w:szCs w:val="17"/>
              </w:rPr>
              <w:t xml:space="preserve"> restrictions of dividends and share buy-backs, suspension of redemption rights etc) can be applied to individual u/kings when liquidity risks and deficiencies are identified including cases where there is an imminent risk of non-compliance with the SCR.</w:t>
            </w:r>
            <w:r w:rsidRPr="00D91AAF">
              <w:rPr>
                <w:szCs w:val="17"/>
              </w:rPr>
              <w:t xml:space="preserve"> </w:t>
            </w:r>
            <w:r>
              <w:rPr>
                <w:szCs w:val="17"/>
              </w:rPr>
              <w:t>Powers to be reviewed every six months.</w:t>
            </w:r>
          </w:p>
          <w:p w14:paraId="4C85C17A" w14:textId="77777777" w:rsidR="00B01969" w:rsidRDefault="00B01969" w:rsidP="00812D58">
            <w:pPr>
              <w:tabs>
                <w:tab w:val="left" w:pos="3815"/>
              </w:tabs>
              <w:jc w:val="left"/>
              <w:rPr>
                <w:szCs w:val="17"/>
              </w:rPr>
            </w:pPr>
          </w:p>
          <w:p w14:paraId="55075900" w14:textId="448B06A4" w:rsidR="009E1CED" w:rsidRPr="007F0437" w:rsidRDefault="00D908FA" w:rsidP="009E1CED">
            <w:pPr>
              <w:tabs>
                <w:tab w:val="left" w:pos="3815"/>
              </w:tabs>
              <w:jc w:val="left"/>
              <w:rPr>
                <w:szCs w:val="17"/>
              </w:rPr>
            </w:pPr>
            <w:r w:rsidRPr="00BD5AF9">
              <w:rPr>
                <w:b/>
                <w:bCs/>
                <w:color w:val="FF0000"/>
                <w:szCs w:val="17"/>
              </w:rPr>
              <w:t>[Negative]</w:t>
            </w:r>
            <w:r>
              <w:rPr>
                <w:b/>
                <w:bCs/>
                <w:color w:val="FF0000"/>
                <w:szCs w:val="17"/>
              </w:rPr>
              <w:t xml:space="preserve"> </w:t>
            </w:r>
            <w:r w:rsidR="0023774B">
              <w:rPr>
                <w:szCs w:val="17"/>
              </w:rPr>
              <w:t xml:space="preserve">Introduction of recital stating that </w:t>
            </w:r>
            <w:r w:rsidR="000178A6">
              <w:rPr>
                <w:szCs w:val="17"/>
              </w:rPr>
              <w:t>u/kings can pose significant risk to financial stability and</w:t>
            </w:r>
            <w:r w:rsidR="00C53768">
              <w:rPr>
                <w:szCs w:val="17"/>
              </w:rPr>
              <w:t>,</w:t>
            </w:r>
            <w:r w:rsidR="000178A6">
              <w:rPr>
                <w:szCs w:val="17"/>
              </w:rPr>
              <w:t xml:space="preserve"> therefore, m</w:t>
            </w:r>
            <w:r w:rsidR="009E1CED">
              <w:rPr>
                <w:szCs w:val="17"/>
              </w:rPr>
              <w:t>acroprudential considerations to be incorporated in undertakings’ underwriting, investment and risk management activities</w:t>
            </w:r>
            <w:r w:rsidR="00C53768">
              <w:rPr>
                <w:szCs w:val="17"/>
              </w:rPr>
              <w:t>.</w:t>
            </w:r>
          </w:p>
        </w:tc>
        <w:tc>
          <w:tcPr>
            <w:tcW w:w="3373" w:type="dxa"/>
          </w:tcPr>
          <w:p w14:paraId="15EE2BEB" w14:textId="7DB10537" w:rsidR="00E307A5" w:rsidRPr="00E307A5" w:rsidRDefault="00E307A5" w:rsidP="00FC3EEE">
            <w:pPr>
              <w:tabs>
                <w:tab w:val="left" w:pos="3815"/>
              </w:tabs>
              <w:rPr>
                <w:color w:val="00B050"/>
                <w:szCs w:val="17"/>
              </w:rPr>
            </w:pPr>
            <w:r w:rsidRPr="007D2B02">
              <w:rPr>
                <w:b/>
                <w:bCs/>
                <w:color w:val="1F497D" w:themeColor="text2"/>
                <w:szCs w:val="17"/>
              </w:rPr>
              <w:lastRenderedPageBreak/>
              <w:t>Way forward:</w:t>
            </w:r>
            <w:r>
              <w:rPr>
                <w:color w:val="1F497D" w:themeColor="text2"/>
                <w:szCs w:val="17"/>
              </w:rPr>
              <w:t xml:space="preserve"> Support </w:t>
            </w:r>
            <w:r w:rsidRPr="00494B3D">
              <w:rPr>
                <w:b/>
                <w:bCs/>
                <w:color w:val="1F497D" w:themeColor="text2"/>
                <w:szCs w:val="17"/>
              </w:rPr>
              <w:t>Council proposal</w:t>
            </w:r>
            <w:r w:rsidR="00455E14">
              <w:rPr>
                <w:color w:val="1F497D" w:themeColor="text2"/>
                <w:szCs w:val="17"/>
              </w:rPr>
              <w:t>.</w:t>
            </w:r>
          </w:p>
        </w:tc>
      </w:tr>
      <w:tr w:rsidR="00E93591" w14:paraId="39702797" w14:textId="77777777" w:rsidTr="00226E73">
        <w:trPr>
          <w:trHeight w:val="2430"/>
        </w:trPr>
        <w:tc>
          <w:tcPr>
            <w:tcW w:w="1447" w:type="dxa"/>
          </w:tcPr>
          <w:p w14:paraId="571ADE5C" w14:textId="26112B1F" w:rsidR="00E93591" w:rsidRDefault="00E93591" w:rsidP="00C00B44">
            <w:pPr>
              <w:tabs>
                <w:tab w:val="left" w:pos="3815"/>
              </w:tabs>
              <w:jc w:val="left"/>
              <w:rPr>
                <w:b/>
                <w:color w:val="595959" w:themeColor="text1" w:themeTint="A6"/>
                <w:szCs w:val="17"/>
              </w:rPr>
            </w:pPr>
            <w:r w:rsidRPr="00C66E79">
              <w:rPr>
                <w:b/>
                <w:bCs/>
                <w:szCs w:val="17"/>
              </w:rPr>
              <w:lastRenderedPageBreak/>
              <w:t>Group supervision</w:t>
            </w:r>
          </w:p>
        </w:tc>
        <w:tc>
          <w:tcPr>
            <w:tcW w:w="3118" w:type="dxa"/>
          </w:tcPr>
          <w:p w14:paraId="296F3772" w14:textId="77777777" w:rsidR="00E93591" w:rsidRPr="00750ECB" w:rsidRDefault="00E93591" w:rsidP="00E93591">
            <w:pPr>
              <w:pStyle w:val="Default"/>
              <w:rPr>
                <w:sz w:val="17"/>
                <w:szCs w:val="17"/>
              </w:rPr>
            </w:pPr>
            <w:r w:rsidRPr="00BD5AF9">
              <w:rPr>
                <w:b/>
                <w:bCs/>
                <w:color w:val="00B050"/>
                <w:sz w:val="17"/>
                <w:szCs w:val="17"/>
              </w:rPr>
              <w:t>[Positive]</w:t>
            </w:r>
            <w:r w:rsidRPr="00BD5AF9">
              <w:rPr>
                <w:b/>
                <w:bCs/>
                <w:color w:val="00B050"/>
                <w:szCs w:val="17"/>
              </w:rPr>
              <w:t xml:space="preserve"> </w:t>
            </w:r>
            <w:r w:rsidRPr="00750ECB">
              <w:rPr>
                <w:sz w:val="17"/>
                <w:szCs w:val="17"/>
              </w:rPr>
              <w:t>Group MCR limit: 45% of group SCR</w:t>
            </w:r>
          </w:p>
          <w:p w14:paraId="3C535C79" w14:textId="77777777" w:rsidR="00E93591" w:rsidRDefault="00E93591" w:rsidP="0058016A">
            <w:pPr>
              <w:tabs>
                <w:tab w:val="left" w:pos="3815"/>
              </w:tabs>
              <w:jc w:val="left"/>
              <w:rPr>
                <w:b/>
                <w:bCs/>
                <w:color w:val="FF0000"/>
                <w:szCs w:val="17"/>
              </w:rPr>
            </w:pPr>
          </w:p>
          <w:p w14:paraId="5578E637" w14:textId="77777777" w:rsidR="00F70965" w:rsidRDefault="00F70965" w:rsidP="0058016A">
            <w:pPr>
              <w:tabs>
                <w:tab w:val="left" w:pos="3815"/>
              </w:tabs>
              <w:jc w:val="left"/>
              <w:rPr>
                <w:b/>
                <w:bCs/>
                <w:color w:val="FF0000"/>
                <w:szCs w:val="17"/>
              </w:rPr>
            </w:pPr>
          </w:p>
          <w:p w14:paraId="6177EEC8" w14:textId="77777777" w:rsidR="00F70965" w:rsidRDefault="00F70965" w:rsidP="0058016A">
            <w:pPr>
              <w:tabs>
                <w:tab w:val="left" w:pos="3815"/>
              </w:tabs>
              <w:jc w:val="left"/>
              <w:rPr>
                <w:b/>
                <w:bCs/>
                <w:color w:val="FF0000"/>
                <w:szCs w:val="17"/>
              </w:rPr>
            </w:pPr>
          </w:p>
          <w:p w14:paraId="24F3D967" w14:textId="77777777" w:rsidR="00F70965" w:rsidRDefault="00F70965" w:rsidP="0058016A">
            <w:pPr>
              <w:tabs>
                <w:tab w:val="left" w:pos="3815"/>
              </w:tabs>
              <w:jc w:val="left"/>
              <w:rPr>
                <w:b/>
                <w:bCs/>
                <w:color w:val="FF0000"/>
                <w:szCs w:val="17"/>
              </w:rPr>
            </w:pPr>
          </w:p>
          <w:p w14:paraId="15541F98" w14:textId="77777777" w:rsidR="00F70965" w:rsidRDefault="00F70965" w:rsidP="0058016A">
            <w:pPr>
              <w:tabs>
                <w:tab w:val="left" w:pos="3815"/>
              </w:tabs>
              <w:jc w:val="left"/>
              <w:rPr>
                <w:b/>
                <w:bCs/>
                <w:color w:val="FF0000"/>
                <w:szCs w:val="17"/>
              </w:rPr>
            </w:pPr>
          </w:p>
          <w:p w14:paraId="3FD32146" w14:textId="77777777" w:rsidR="00F70965" w:rsidRDefault="00F70965" w:rsidP="0058016A">
            <w:pPr>
              <w:tabs>
                <w:tab w:val="left" w:pos="3815"/>
              </w:tabs>
              <w:jc w:val="left"/>
              <w:rPr>
                <w:b/>
                <w:bCs/>
                <w:color w:val="FF0000"/>
                <w:szCs w:val="17"/>
              </w:rPr>
            </w:pPr>
          </w:p>
          <w:p w14:paraId="254D5B9F" w14:textId="77777777" w:rsidR="00F70965" w:rsidRDefault="00F70965" w:rsidP="0058016A">
            <w:pPr>
              <w:tabs>
                <w:tab w:val="left" w:pos="3815"/>
              </w:tabs>
              <w:jc w:val="left"/>
              <w:rPr>
                <w:b/>
                <w:bCs/>
                <w:color w:val="FF0000"/>
                <w:szCs w:val="17"/>
              </w:rPr>
            </w:pPr>
          </w:p>
          <w:p w14:paraId="42C96987" w14:textId="5901635A" w:rsidR="00E93591" w:rsidRDefault="00E93591" w:rsidP="0058016A">
            <w:pPr>
              <w:tabs>
                <w:tab w:val="left" w:pos="3815"/>
              </w:tabs>
              <w:jc w:val="left"/>
              <w:rPr>
                <w:szCs w:val="17"/>
              </w:rPr>
            </w:pPr>
            <w:r w:rsidRPr="00B50875">
              <w:rPr>
                <w:b/>
                <w:bCs/>
                <w:color w:val="FF0000"/>
                <w:szCs w:val="17"/>
              </w:rPr>
              <w:t xml:space="preserve">[Negative] </w:t>
            </w:r>
            <w:r w:rsidRPr="00B50875">
              <w:rPr>
                <w:szCs w:val="17"/>
              </w:rPr>
              <w:t>Group floor is maintained and extended</w:t>
            </w:r>
            <w:r>
              <w:rPr>
                <w:szCs w:val="17"/>
              </w:rPr>
              <w:t xml:space="preserve"> in L1</w:t>
            </w:r>
            <w:r w:rsidRPr="00B50875">
              <w:rPr>
                <w:szCs w:val="17"/>
              </w:rPr>
              <w:t xml:space="preserve"> to </w:t>
            </w:r>
            <w:r>
              <w:rPr>
                <w:szCs w:val="17"/>
              </w:rPr>
              <w:t xml:space="preserve">non-EEA subsidiaries and </w:t>
            </w:r>
            <w:r w:rsidRPr="00B50875">
              <w:rPr>
                <w:szCs w:val="17"/>
              </w:rPr>
              <w:t>holding companies with notional MCR =35% SCR</w:t>
            </w:r>
            <w:r>
              <w:rPr>
                <w:szCs w:val="17"/>
              </w:rPr>
              <w:t>.</w:t>
            </w:r>
            <w:r w:rsidRPr="00B50875">
              <w:rPr>
                <w:szCs w:val="17"/>
              </w:rPr>
              <w:t xml:space="preserve"> Double-counting of participations is not removed.</w:t>
            </w:r>
          </w:p>
          <w:p w14:paraId="5A93D099" w14:textId="77777777" w:rsidR="00E93591" w:rsidRDefault="00E93591" w:rsidP="0058016A">
            <w:pPr>
              <w:tabs>
                <w:tab w:val="left" w:pos="3815"/>
              </w:tabs>
              <w:jc w:val="left"/>
              <w:rPr>
                <w:szCs w:val="17"/>
              </w:rPr>
            </w:pPr>
          </w:p>
          <w:p w14:paraId="7CA7527B" w14:textId="77777777" w:rsidR="00F70965" w:rsidRDefault="00F70965" w:rsidP="0058016A">
            <w:pPr>
              <w:tabs>
                <w:tab w:val="left" w:pos="3815"/>
              </w:tabs>
              <w:jc w:val="left"/>
              <w:rPr>
                <w:b/>
                <w:bCs/>
                <w:color w:val="FF0000"/>
                <w:szCs w:val="17"/>
              </w:rPr>
            </w:pPr>
          </w:p>
          <w:p w14:paraId="2FDDF169" w14:textId="77777777" w:rsidR="00F70965" w:rsidRDefault="00F70965" w:rsidP="0058016A">
            <w:pPr>
              <w:tabs>
                <w:tab w:val="left" w:pos="3815"/>
              </w:tabs>
              <w:jc w:val="left"/>
              <w:rPr>
                <w:b/>
                <w:bCs/>
                <w:color w:val="FF0000"/>
                <w:szCs w:val="17"/>
              </w:rPr>
            </w:pPr>
          </w:p>
          <w:p w14:paraId="522C265B" w14:textId="77777777" w:rsidR="00F70965" w:rsidRDefault="00F70965" w:rsidP="0058016A">
            <w:pPr>
              <w:tabs>
                <w:tab w:val="left" w:pos="3815"/>
              </w:tabs>
              <w:jc w:val="left"/>
              <w:rPr>
                <w:b/>
                <w:bCs/>
                <w:color w:val="FF0000"/>
                <w:szCs w:val="17"/>
              </w:rPr>
            </w:pPr>
          </w:p>
          <w:p w14:paraId="5AC8681E" w14:textId="77777777" w:rsidR="00F70965" w:rsidRDefault="00F70965" w:rsidP="0058016A">
            <w:pPr>
              <w:tabs>
                <w:tab w:val="left" w:pos="3815"/>
              </w:tabs>
              <w:jc w:val="left"/>
              <w:rPr>
                <w:b/>
                <w:bCs/>
                <w:color w:val="FF0000"/>
                <w:szCs w:val="17"/>
              </w:rPr>
            </w:pPr>
          </w:p>
          <w:p w14:paraId="7BBBEBC9" w14:textId="77777777" w:rsidR="00F70965" w:rsidRDefault="00F70965" w:rsidP="0058016A">
            <w:pPr>
              <w:tabs>
                <w:tab w:val="left" w:pos="3815"/>
              </w:tabs>
              <w:jc w:val="left"/>
              <w:rPr>
                <w:b/>
                <w:bCs/>
                <w:color w:val="FF0000"/>
                <w:szCs w:val="17"/>
              </w:rPr>
            </w:pPr>
          </w:p>
          <w:p w14:paraId="1D570FD5" w14:textId="77777777" w:rsidR="00F70965" w:rsidRDefault="00F70965" w:rsidP="0058016A">
            <w:pPr>
              <w:tabs>
                <w:tab w:val="left" w:pos="3815"/>
              </w:tabs>
              <w:jc w:val="left"/>
              <w:rPr>
                <w:b/>
                <w:bCs/>
                <w:color w:val="FF0000"/>
                <w:szCs w:val="17"/>
              </w:rPr>
            </w:pPr>
          </w:p>
          <w:p w14:paraId="6894963D" w14:textId="77777777" w:rsidR="00F70965" w:rsidRDefault="00F70965" w:rsidP="0058016A">
            <w:pPr>
              <w:tabs>
                <w:tab w:val="left" w:pos="3815"/>
              </w:tabs>
              <w:jc w:val="left"/>
              <w:rPr>
                <w:b/>
                <w:bCs/>
                <w:color w:val="FF0000"/>
                <w:szCs w:val="17"/>
              </w:rPr>
            </w:pPr>
          </w:p>
          <w:p w14:paraId="3EB20299" w14:textId="77777777" w:rsidR="00E93591" w:rsidRPr="00750ECB" w:rsidRDefault="00E93591" w:rsidP="00E93591">
            <w:pPr>
              <w:pStyle w:val="Default"/>
              <w:rPr>
                <w:sz w:val="17"/>
                <w:szCs w:val="17"/>
              </w:rPr>
            </w:pPr>
            <w:r w:rsidRPr="00BD5AF9">
              <w:rPr>
                <w:b/>
                <w:bCs/>
                <w:color w:val="FF0000"/>
                <w:sz w:val="17"/>
                <w:szCs w:val="17"/>
              </w:rPr>
              <w:lastRenderedPageBreak/>
              <w:t>[Negative]</w:t>
            </w:r>
            <w:r>
              <w:rPr>
                <w:b/>
                <w:bCs/>
                <w:color w:val="FF0000"/>
                <w:szCs w:val="17"/>
              </w:rPr>
              <w:t xml:space="preserve"> </w:t>
            </w:r>
            <w:r w:rsidRPr="00750ECB">
              <w:rPr>
                <w:sz w:val="17"/>
                <w:szCs w:val="17"/>
              </w:rPr>
              <w:t xml:space="preserve">Various proposals on group supervision covering </w:t>
            </w:r>
            <w:proofErr w:type="spellStart"/>
            <w:proofErr w:type="gramStart"/>
            <w:r w:rsidRPr="00750ECB">
              <w:rPr>
                <w:sz w:val="17"/>
                <w:szCs w:val="17"/>
              </w:rPr>
              <w:t>eg</w:t>
            </w:r>
            <w:proofErr w:type="spellEnd"/>
            <w:proofErr w:type="gramEnd"/>
            <w:r>
              <w:rPr>
                <w:sz w:val="17"/>
                <w:szCs w:val="17"/>
              </w:rPr>
              <w:t xml:space="preserve"> </w:t>
            </w:r>
            <w:r w:rsidRPr="00750ECB">
              <w:rPr>
                <w:sz w:val="17"/>
                <w:szCs w:val="17"/>
              </w:rPr>
              <w:t>requirements at Group level, incl. MCR/SCR calculations for Holdings, D&amp;A, continuation of group SCR floor, etc.</w:t>
            </w:r>
          </w:p>
          <w:p w14:paraId="3CD146DD" w14:textId="1BEECAB1" w:rsidR="00E93591" w:rsidRPr="00BD5AF9" w:rsidRDefault="00E93591" w:rsidP="0058016A">
            <w:pPr>
              <w:tabs>
                <w:tab w:val="left" w:pos="3815"/>
              </w:tabs>
              <w:jc w:val="left"/>
              <w:rPr>
                <w:b/>
                <w:bCs/>
                <w:color w:val="FF0000"/>
                <w:szCs w:val="17"/>
              </w:rPr>
            </w:pPr>
          </w:p>
        </w:tc>
        <w:tc>
          <w:tcPr>
            <w:tcW w:w="3260" w:type="dxa"/>
          </w:tcPr>
          <w:p w14:paraId="1CF3B1F3" w14:textId="77777777" w:rsidR="00F70965" w:rsidRDefault="00F70965" w:rsidP="005901E5">
            <w:pPr>
              <w:tabs>
                <w:tab w:val="left" w:pos="3815"/>
              </w:tabs>
              <w:jc w:val="left"/>
              <w:rPr>
                <w:szCs w:val="17"/>
              </w:rPr>
            </w:pPr>
            <w:r w:rsidRPr="00B50875">
              <w:rPr>
                <w:rFonts w:eastAsiaTheme="minorHAnsi" w:cs="Verdana"/>
                <w:b/>
                <w:color w:val="FF0000"/>
                <w:szCs w:val="17"/>
              </w:rPr>
              <w:lastRenderedPageBreak/>
              <w:t>[</w:t>
            </w:r>
            <w:r>
              <w:rPr>
                <w:rFonts w:eastAsiaTheme="minorHAnsi" w:cs="Verdana"/>
                <w:b/>
                <w:bCs/>
                <w:color w:val="FF0000"/>
                <w:szCs w:val="17"/>
              </w:rPr>
              <w:t>Negative</w:t>
            </w:r>
            <w:r w:rsidRPr="00B50875">
              <w:rPr>
                <w:rFonts w:eastAsiaTheme="minorHAnsi" w:cs="Verdana"/>
                <w:b/>
                <w:bCs/>
                <w:color w:val="FF0000"/>
                <w:szCs w:val="17"/>
              </w:rPr>
              <w:t>]</w:t>
            </w:r>
            <w:r w:rsidRPr="00B50875" w:rsidDel="00700407">
              <w:rPr>
                <w:b/>
                <w:bCs/>
                <w:color w:val="FF0000"/>
                <w:szCs w:val="17"/>
              </w:rPr>
              <w:t xml:space="preserve"> </w:t>
            </w:r>
            <w:r>
              <w:rPr>
                <w:szCs w:val="17"/>
              </w:rPr>
              <w:t>removal of solution for trigger inversion. Instead, it is now suggested to apply, in case of MCR breach while the SCR is not breached, only Art 138 (non-compliance with SCR) (Art 230(3))</w:t>
            </w:r>
          </w:p>
          <w:p w14:paraId="7D885ACB" w14:textId="77777777" w:rsidR="00F70965" w:rsidRDefault="00F70965" w:rsidP="005901E5">
            <w:pPr>
              <w:tabs>
                <w:tab w:val="left" w:pos="3815"/>
              </w:tabs>
              <w:jc w:val="left"/>
              <w:rPr>
                <w:szCs w:val="17"/>
              </w:rPr>
            </w:pPr>
          </w:p>
          <w:p w14:paraId="12CB3728" w14:textId="77777777" w:rsidR="00A4613A" w:rsidRDefault="00A4613A" w:rsidP="005901E5">
            <w:pPr>
              <w:tabs>
                <w:tab w:val="left" w:pos="3815"/>
              </w:tabs>
              <w:jc w:val="left"/>
              <w:rPr>
                <w:szCs w:val="17"/>
              </w:rPr>
            </w:pPr>
          </w:p>
          <w:p w14:paraId="4DE0B36F" w14:textId="77777777" w:rsidR="00F70965" w:rsidRDefault="00F70965" w:rsidP="005901E5">
            <w:pPr>
              <w:tabs>
                <w:tab w:val="left" w:pos="3815"/>
              </w:tabs>
              <w:jc w:val="left"/>
              <w:rPr>
                <w:szCs w:val="17"/>
              </w:rPr>
            </w:pPr>
          </w:p>
          <w:p w14:paraId="03F406E7" w14:textId="753FB84D" w:rsidR="00F70965" w:rsidRDefault="00F70965" w:rsidP="00F70965">
            <w:pPr>
              <w:tabs>
                <w:tab w:val="left" w:pos="3815"/>
              </w:tabs>
              <w:jc w:val="left"/>
              <w:rPr>
                <w:szCs w:val="17"/>
              </w:rPr>
            </w:pPr>
            <w:r w:rsidRPr="00F70965">
              <w:rPr>
                <w:b/>
                <w:bCs/>
                <w:color w:val="00B050"/>
                <w:szCs w:val="17"/>
              </w:rPr>
              <w:t>[Positive]</w:t>
            </w:r>
            <w:r w:rsidRPr="00F70965">
              <w:rPr>
                <w:b/>
                <w:bCs/>
                <w:color w:val="FF0000"/>
                <w:szCs w:val="17"/>
              </w:rPr>
              <w:t xml:space="preserve"> </w:t>
            </w:r>
            <w:r w:rsidR="00687855">
              <w:rPr>
                <w:szCs w:val="17"/>
              </w:rPr>
              <w:t>I</w:t>
            </w:r>
            <w:r w:rsidRPr="00F70965">
              <w:rPr>
                <w:szCs w:val="17"/>
              </w:rPr>
              <w:t>ssue of double counting in the group floor</w:t>
            </w:r>
            <w:r>
              <w:rPr>
                <w:szCs w:val="17"/>
              </w:rPr>
              <w:t xml:space="preserve"> is recognised</w:t>
            </w:r>
            <w:r w:rsidRPr="00F70965">
              <w:rPr>
                <w:szCs w:val="17"/>
              </w:rPr>
              <w:t xml:space="preserve"> and proposes to remove the inclusion of notional MCR for holding companies in the group floor calculation.</w:t>
            </w:r>
          </w:p>
          <w:p w14:paraId="2974D6EF" w14:textId="77777777" w:rsidR="00687855" w:rsidRPr="00F70965" w:rsidRDefault="00687855" w:rsidP="00F70965">
            <w:pPr>
              <w:tabs>
                <w:tab w:val="left" w:pos="3815"/>
              </w:tabs>
              <w:jc w:val="left"/>
              <w:rPr>
                <w:b/>
                <w:bCs/>
                <w:color w:val="FF0000"/>
                <w:szCs w:val="17"/>
              </w:rPr>
            </w:pPr>
          </w:p>
          <w:p w14:paraId="25A21BF8" w14:textId="3C396BB8" w:rsidR="00F70965" w:rsidRDefault="00F70965" w:rsidP="00F70965">
            <w:pPr>
              <w:tabs>
                <w:tab w:val="left" w:pos="3815"/>
              </w:tabs>
              <w:jc w:val="left"/>
              <w:rPr>
                <w:szCs w:val="17"/>
              </w:rPr>
            </w:pPr>
            <w:r w:rsidRPr="00F70965">
              <w:rPr>
                <w:b/>
                <w:bCs/>
                <w:color w:val="FF0000"/>
                <w:szCs w:val="17"/>
              </w:rPr>
              <w:t>[Negative]</w:t>
            </w:r>
            <w:r w:rsidRPr="00F70965">
              <w:rPr>
                <w:szCs w:val="17"/>
              </w:rPr>
              <w:t xml:space="preserve"> </w:t>
            </w:r>
            <w:r>
              <w:rPr>
                <w:szCs w:val="17"/>
              </w:rPr>
              <w:t>E</w:t>
            </w:r>
            <w:r w:rsidRPr="00F70965">
              <w:rPr>
                <w:szCs w:val="17"/>
              </w:rPr>
              <w:t>xtension of the group floor to non-EEA subsidiaries is maintained and with it the risk of double counting their risks when they are already accounted for at the level of the EEA participating undertakings</w:t>
            </w:r>
          </w:p>
          <w:p w14:paraId="5991BD44" w14:textId="77777777" w:rsidR="00A4613A" w:rsidRDefault="00A4613A" w:rsidP="00F70965">
            <w:pPr>
              <w:tabs>
                <w:tab w:val="left" w:pos="3815"/>
              </w:tabs>
              <w:jc w:val="left"/>
              <w:rPr>
                <w:szCs w:val="17"/>
              </w:rPr>
            </w:pPr>
          </w:p>
          <w:p w14:paraId="65F2210A" w14:textId="77777777" w:rsidR="00A4613A" w:rsidRDefault="00A4613A" w:rsidP="00F70965">
            <w:pPr>
              <w:tabs>
                <w:tab w:val="left" w:pos="3815"/>
              </w:tabs>
              <w:jc w:val="left"/>
              <w:rPr>
                <w:szCs w:val="17"/>
              </w:rPr>
            </w:pPr>
          </w:p>
          <w:p w14:paraId="1A0F5F7D" w14:textId="77777777" w:rsidR="00DC5B21" w:rsidRPr="00F70965" w:rsidRDefault="00DC5B21" w:rsidP="00F70965">
            <w:pPr>
              <w:tabs>
                <w:tab w:val="left" w:pos="3815"/>
              </w:tabs>
              <w:jc w:val="left"/>
              <w:rPr>
                <w:szCs w:val="17"/>
              </w:rPr>
            </w:pPr>
          </w:p>
          <w:p w14:paraId="47013823" w14:textId="77777777" w:rsidR="00F70965" w:rsidRDefault="00F70965" w:rsidP="005901E5">
            <w:pPr>
              <w:tabs>
                <w:tab w:val="left" w:pos="3815"/>
              </w:tabs>
              <w:jc w:val="left"/>
              <w:rPr>
                <w:b/>
                <w:bCs/>
                <w:color w:val="FF0000"/>
                <w:szCs w:val="17"/>
              </w:rPr>
            </w:pPr>
          </w:p>
          <w:p w14:paraId="2DCFBEA2" w14:textId="06B1263E" w:rsidR="00CB54E9" w:rsidRDefault="00CB54E9" w:rsidP="00CB54E9">
            <w:pPr>
              <w:spacing w:after="200" w:line="276" w:lineRule="auto"/>
              <w:rPr>
                <w:szCs w:val="17"/>
              </w:rPr>
            </w:pPr>
            <w:r w:rsidRPr="007D2B02">
              <w:rPr>
                <w:b/>
                <w:color w:val="595959" w:themeColor="text1" w:themeTint="A6"/>
                <w:szCs w:val="17"/>
              </w:rPr>
              <w:t>[Neutral]</w:t>
            </w:r>
            <w:r w:rsidRPr="00BD5AF9">
              <w:rPr>
                <w:color w:val="E36C0A" w:themeColor="accent6" w:themeShade="BF"/>
                <w:szCs w:val="17"/>
              </w:rPr>
              <w:t xml:space="preserve"> </w:t>
            </w:r>
            <w:r w:rsidRPr="00E75739">
              <w:rPr>
                <w:szCs w:val="17"/>
              </w:rPr>
              <w:t>Some further changes are proposed, such as changed definition for IHC</w:t>
            </w:r>
            <w:r>
              <w:rPr>
                <w:szCs w:val="17"/>
              </w:rPr>
              <w:t>, (Art. 212)</w:t>
            </w:r>
            <w:r w:rsidRPr="00E75739">
              <w:rPr>
                <w:szCs w:val="17"/>
              </w:rPr>
              <w:t xml:space="preserve">, </w:t>
            </w:r>
            <w:r w:rsidRPr="00765D77">
              <w:rPr>
                <w:szCs w:val="17"/>
              </w:rPr>
              <w:t>introduction of a threshold below which the availability assessment for own fund items of related undertakings from other financial sectors does not need to be performed</w:t>
            </w:r>
            <w:r w:rsidRPr="00E75739">
              <w:rPr>
                <w:szCs w:val="17"/>
              </w:rPr>
              <w:t xml:space="preserve">; </w:t>
            </w:r>
          </w:p>
          <w:p w14:paraId="43986526" w14:textId="30D6F955" w:rsidR="00E93591" w:rsidRPr="00BD5AF9" w:rsidRDefault="00CB54E9" w:rsidP="0062030C">
            <w:pPr>
              <w:tabs>
                <w:tab w:val="left" w:pos="3815"/>
              </w:tabs>
              <w:jc w:val="left"/>
              <w:rPr>
                <w:b/>
                <w:bCs/>
                <w:color w:val="FF0000"/>
                <w:szCs w:val="17"/>
              </w:rPr>
            </w:pPr>
            <w:r>
              <w:rPr>
                <w:szCs w:val="17"/>
              </w:rPr>
              <w:t>EIOPA is requested to prepare RTSs specifying factors to be considered by NSAs when identifying a relationship between undertakings that could form part of a group. (Recital 82c)</w:t>
            </w:r>
          </w:p>
        </w:tc>
        <w:tc>
          <w:tcPr>
            <w:tcW w:w="3828" w:type="dxa"/>
          </w:tcPr>
          <w:p w14:paraId="26761C81" w14:textId="77777777" w:rsidR="00FA51B4" w:rsidRDefault="00FA51B4" w:rsidP="00FA51B4">
            <w:pPr>
              <w:tabs>
                <w:tab w:val="left" w:pos="3815"/>
              </w:tabs>
              <w:jc w:val="left"/>
              <w:rPr>
                <w:szCs w:val="17"/>
              </w:rPr>
            </w:pPr>
            <w:r>
              <w:rPr>
                <w:b/>
                <w:bCs/>
                <w:color w:val="00B050"/>
                <w:szCs w:val="17"/>
              </w:rPr>
              <w:lastRenderedPageBreak/>
              <w:t>[Positive]</w:t>
            </w:r>
            <w:r>
              <w:rPr>
                <w:b/>
                <w:bCs/>
                <w:color w:val="FF0000"/>
                <w:szCs w:val="17"/>
              </w:rPr>
              <w:t xml:space="preserve"> </w:t>
            </w:r>
            <w:r>
              <w:rPr>
                <w:szCs w:val="17"/>
              </w:rPr>
              <w:t xml:space="preserve">Trigger inversion/Group MCR (Art 230) reverts to Commission proposal </w:t>
            </w:r>
          </w:p>
          <w:p w14:paraId="1C304161" w14:textId="77777777" w:rsidR="00FA51B4" w:rsidRDefault="00FA51B4" w:rsidP="00FA51B4">
            <w:pPr>
              <w:tabs>
                <w:tab w:val="left" w:pos="3815"/>
              </w:tabs>
              <w:jc w:val="left"/>
              <w:rPr>
                <w:b/>
                <w:bCs/>
                <w:szCs w:val="17"/>
              </w:rPr>
            </w:pPr>
          </w:p>
          <w:p w14:paraId="0248E8C7" w14:textId="77777777" w:rsidR="00FA51B4" w:rsidRDefault="00FA51B4" w:rsidP="00FA51B4">
            <w:pPr>
              <w:tabs>
                <w:tab w:val="left" w:pos="3815"/>
              </w:tabs>
              <w:jc w:val="left"/>
              <w:rPr>
                <w:b/>
                <w:bCs/>
                <w:szCs w:val="17"/>
              </w:rPr>
            </w:pPr>
          </w:p>
          <w:p w14:paraId="4216D928" w14:textId="77777777" w:rsidR="00FA51B4" w:rsidRDefault="00FA51B4" w:rsidP="00FA51B4">
            <w:pPr>
              <w:tabs>
                <w:tab w:val="left" w:pos="3815"/>
              </w:tabs>
              <w:jc w:val="left"/>
              <w:rPr>
                <w:szCs w:val="17"/>
              </w:rPr>
            </w:pPr>
            <w:r>
              <w:rPr>
                <w:b/>
                <w:bCs/>
                <w:color w:val="FF0000"/>
                <w:szCs w:val="17"/>
              </w:rPr>
              <w:t xml:space="preserve">[Negative] </w:t>
            </w:r>
            <w:r>
              <w:rPr>
                <w:szCs w:val="17"/>
              </w:rPr>
              <w:t>Group floor is maintained and extended in L1 to non-EEA subsidiaries and holding companies with notional MCR =35% SCR. Double-counting of participations is not removed.</w:t>
            </w:r>
          </w:p>
          <w:p w14:paraId="0195BC96" w14:textId="77777777" w:rsidR="00FA51B4" w:rsidRDefault="00FA51B4" w:rsidP="00FA51B4">
            <w:pPr>
              <w:tabs>
                <w:tab w:val="left" w:pos="3815"/>
              </w:tabs>
              <w:jc w:val="left"/>
              <w:rPr>
                <w:b/>
                <w:bCs/>
                <w:szCs w:val="17"/>
              </w:rPr>
            </w:pPr>
          </w:p>
          <w:p w14:paraId="687083EE" w14:textId="77777777" w:rsidR="00FA51B4" w:rsidRDefault="00FA51B4" w:rsidP="00FA51B4">
            <w:pPr>
              <w:tabs>
                <w:tab w:val="left" w:pos="3815"/>
              </w:tabs>
              <w:jc w:val="left"/>
              <w:rPr>
                <w:bCs/>
                <w:color w:val="595959" w:themeColor="text1" w:themeTint="A6"/>
                <w:szCs w:val="17"/>
              </w:rPr>
            </w:pPr>
            <w:r>
              <w:rPr>
                <w:b/>
                <w:color w:val="595959" w:themeColor="text1" w:themeTint="A6"/>
                <w:szCs w:val="17"/>
              </w:rPr>
              <w:t>[Neutral]</w:t>
            </w:r>
            <w:r>
              <w:t xml:space="preserve"> </w:t>
            </w:r>
            <w:r>
              <w:rPr>
                <w:bCs/>
                <w:szCs w:val="17"/>
              </w:rPr>
              <w:t xml:space="preserve">FICOD review/EC report by 31 December 2027, including legislative proposals if deemed necessary. </w:t>
            </w:r>
          </w:p>
          <w:p w14:paraId="3F823F91" w14:textId="77777777" w:rsidR="00FA51B4" w:rsidRDefault="00FA51B4" w:rsidP="00FA51B4">
            <w:pPr>
              <w:tabs>
                <w:tab w:val="left" w:pos="3815"/>
              </w:tabs>
              <w:jc w:val="left"/>
              <w:rPr>
                <w:b/>
                <w:bCs/>
                <w:szCs w:val="17"/>
              </w:rPr>
            </w:pPr>
          </w:p>
          <w:p w14:paraId="1F6ED4A1" w14:textId="3795FF05" w:rsidR="00FA51B4" w:rsidRDefault="00CD7C83" w:rsidP="00FA51B4">
            <w:pPr>
              <w:tabs>
                <w:tab w:val="left" w:pos="3815"/>
              </w:tabs>
              <w:jc w:val="left"/>
              <w:rPr>
                <w:szCs w:val="17"/>
              </w:rPr>
            </w:pPr>
            <w:r w:rsidRPr="00F70965">
              <w:rPr>
                <w:b/>
                <w:bCs/>
                <w:color w:val="FF0000"/>
                <w:szCs w:val="17"/>
              </w:rPr>
              <w:t>[Negative]</w:t>
            </w:r>
            <w:r w:rsidRPr="00F70965">
              <w:rPr>
                <w:szCs w:val="17"/>
              </w:rPr>
              <w:t xml:space="preserve"> </w:t>
            </w:r>
            <w:r w:rsidR="00FA51B4">
              <w:rPr>
                <w:szCs w:val="17"/>
              </w:rPr>
              <w:t xml:space="preserve">Reverted to EC proposal on calculation of currency risk in group solvency (Art 233a) </w:t>
            </w:r>
          </w:p>
          <w:p w14:paraId="79DFD783" w14:textId="77777777" w:rsidR="00FA51B4" w:rsidRDefault="00FA51B4" w:rsidP="00FA51B4">
            <w:pPr>
              <w:tabs>
                <w:tab w:val="left" w:pos="3815"/>
              </w:tabs>
              <w:jc w:val="left"/>
              <w:rPr>
                <w:b/>
                <w:bCs/>
                <w:szCs w:val="17"/>
                <w:highlight w:val="yellow"/>
              </w:rPr>
            </w:pPr>
          </w:p>
          <w:p w14:paraId="1B5BC82F" w14:textId="77777777" w:rsidR="00FA51B4" w:rsidRDefault="00FA51B4" w:rsidP="00FA51B4">
            <w:pPr>
              <w:tabs>
                <w:tab w:val="left" w:pos="3815"/>
              </w:tabs>
              <w:jc w:val="left"/>
              <w:rPr>
                <w:szCs w:val="17"/>
              </w:rPr>
            </w:pPr>
            <w:r>
              <w:rPr>
                <w:b/>
                <w:bCs/>
                <w:color w:val="00B050"/>
                <w:szCs w:val="17"/>
              </w:rPr>
              <w:t xml:space="preserve">[Positive] </w:t>
            </w:r>
            <w:r>
              <w:rPr>
                <w:szCs w:val="17"/>
              </w:rPr>
              <w:t xml:space="preserve">Removal of various proposals giving more powers to NSAs, such as de facto groups and NSA powers to change organisational structures, further no additional NSA powers to require the </w:t>
            </w:r>
            <w:r>
              <w:rPr>
                <w:szCs w:val="17"/>
              </w:rPr>
              <w:lastRenderedPageBreak/>
              <w:t>change of internal arrangements and requirement to restructure groups, no additional NSA powers for NSAs to require the establishment of an IHC/MFHC with head office in EU.</w:t>
            </w:r>
          </w:p>
          <w:p w14:paraId="2B1B75D6" w14:textId="77777777" w:rsidR="00FA51B4" w:rsidRDefault="00FA51B4" w:rsidP="00FA51B4">
            <w:pPr>
              <w:tabs>
                <w:tab w:val="left" w:pos="3815"/>
              </w:tabs>
              <w:jc w:val="left"/>
              <w:rPr>
                <w:szCs w:val="17"/>
              </w:rPr>
            </w:pPr>
            <w:r>
              <w:rPr>
                <w:szCs w:val="17"/>
              </w:rPr>
              <w:t xml:space="preserve">Finally only group NSA, in case not all undertakings have head office in same MS, may conclude that these undertakings form a group based on opinion that u/takings are managed on unified basis. </w:t>
            </w:r>
          </w:p>
          <w:p w14:paraId="486D4CFA" w14:textId="082D0223" w:rsidR="008E0651" w:rsidRPr="0016511A" w:rsidRDefault="008E0651" w:rsidP="00274BC5">
            <w:pPr>
              <w:tabs>
                <w:tab w:val="left" w:pos="3815"/>
              </w:tabs>
              <w:jc w:val="left"/>
              <w:rPr>
                <w:b/>
                <w:bCs/>
                <w:szCs w:val="17"/>
                <w:highlight w:val="yellow"/>
              </w:rPr>
            </w:pPr>
          </w:p>
        </w:tc>
        <w:tc>
          <w:tcPr>
            <w:tcW w:w="3373" w:type="dxa"/>
          </w:tcPr>
          <w:p w14:paraId="6DCF721D" w14:textId="5B4B54B3" w:rsidR="00862070" w:rsidRDefault="0062030C" w:rsidP="0062030C">
            <w:pPr>
              <w:spacing w:after="200" w:line="276" w:lineRule="auto"/>
              <w:rPr>
                <w:color w:val="1F497D" w:themeColor="text2"/>
                <w:szCs w:val="17"/>
              </w:rPr>
            </w:pPr>
            <w:r w:rsidRPr="009F6707">
              <w:rPr>
                <w:b/>
                <w:color w:val="1F497D" w:themeColor="text2"/>
                <w:szCs w:val="17"/>
              </w:rPr>
              <w:lastRenderedPageBreak/>
              <w:t xml:space="preserve">Way forward: </w:t>
            </w:r>
            <w:r w:rsidRPr="009F6707">
              <w:rPr>
                <w:color w:val="1F497D" w:themeColor="text2"/>
                <w:szCs w:val="17"/>
              </w:rPr>
              <w:t xml:space="preserve">  Support proposals preserving the trigger inversion solution as proposed by EC </w:t>
            </w:r>
            <w:r w:rsidR="003F1629" w:rsidRPr="009F6707">
              <w:rPr>
                <w:color w:val="1F497D" w:themeColor="text2"/>
                <w:szCs w:val="17"/>
              </w:rPr>
              <w:t xml:space="preserve">however the </w:t>
            </w:r>
            <w:r w:rsidRPr="009F6707">
              <w:rPr>
                <w:color w:val="1F497D" w:themeColor="text2"/>
                <w:szCs w:val="17"/>
              </w:rPr>
              <w:t>double counting issues</w:t>
            </w:r>
            <w:r w:rsidR="009F6707" w:rsidRPr="009F6707">
              <w:rPr>
                <w:color w:val="1F497D" w:themeColor="text2"/>
                <w:szCs w:val="17"/>
              </w:rPr>
              <w:t xml:space="preserve"> should be addressed</w:t>
            </w:r>
            <w:r w:rsidR="00782928">
              <w:rPr>
                <w:color w:val="1F497D" w:themeColor="text2"/>
                <w:szCs w:val="17"/>
              </w:rPr>
              <w:t xml:space="preserve">, in line with the </w:t>
            </w:r>
            <w:r w:rsidR="0056204D">
              <w:rPr>
                <w:color w:val="1F497D" w:themeColor="text2"/>
                <w:szCs w:val="17"/>
              </w:rPr>
              <w:t>C</w:t>
            </w:r>
            <w:r w:rsidR="00782928">
              <w:rPr>
                <w:color w:val="1F497D" w:themeColor="text2"/>
                <w:szCs w:val="17"/>
              </w:rPr>
              <w:t>ouncil proposal</w:t>
            </w:r>
            <w:r w:rsidR="009F6707" w:rsidRPr="009F6707">
              <w:rPr>
                <w:color w:val="1F497D" w:themeColor="text2"/>
                <w:szCs w:val="17"/>
              </w:rPr>
              <w:t>.</w:t>
            </w:r>
            <w:r w:rsidR="009F6707">
              <w:rPr>
                <w:color w:val="1F497D" w:themeColor="text2"/>
                <w:szCs w:val="17"/>
              </w:rPr>
              <w:t xml:space="preserve"> </w:t>
            </w:r>
          </w:p>
          <w:p w14:paraId="2A8CAEE3" w14:textId="77777777" w:rsidR="00FE3AB7" w:rsidRDefault="00FE3AB7" w:rsidP="00FE3AB7">
            <w:pPr>
              <w:spacing w:after="200" w:line="276" w:lineRule="auto"/>
              <w:rPr>
                <w:color w:val="1F497D" w:themeColor="text2"/>
                <w:szCs w:val="17"/>
              </w:rPr>
            </w:pPr>
            <w:r>
              <w:rPr>
                <w:color w:val="1F497D" w:themeColor="text2"/>
                <w:szCs w:val="17"/>
              </w:rPr>
              <w:t>Support the EP position on Art. 212 / 213.</w:t>
            </w:r>
          </w:p>
          <w:p w14:paraId="7BED29F1" w14:textId="1170CD58" w:rsidR="0062030C" w:rsidRPr="009F6707" w:rsidRDefault="00862070" w:rsidP="0062030C">
            <w:pPr>
              <w:spacing w:after="200" w:line="276" w:lineRule="auto"/>
              <w:rPr>
                <w:color w:val="1F497D" w:themeColor="text2"/>
                <w:szCs w:val="17"/>
              </w:rPr>
            </w:pPr>
            <w:r>
              <w:rPr>
                <w:color w:val="1F497D" w:themeColor="text2"/>
                <w:szCs w:val="17"/>
              </w:rPr>
              <w:t xml:space="preserve">In addition, regarding the calculation of currency risk in group solvency </w:t>
            </w:r>
            <w:r w:rsidR="00567FC2">
              <w:rPr>
                <w:color w:val="1F497D" w:themeColor="text2"/>
                <w:szCs w:val="17"/>
              </w:rPr>
              <w:t>the industry</w:t>
            </w:r>
            <w:r w:rsidR="00CE5C5C">
              <w:rPr>
                <w:color w:val="1F497D" w:themeColor="text2"/>
                <w:szCs w:val="17"/>
              </w:rPr>
              <w:t xml:space="preserve"> support</w:t>
            </w:r>
            <w:r w:rsidR="00567FC2">
              <w:rPr>
                <w:color w:val="1F497D" w:themeColor="text2"/>
                <w:szCs w:val="17"/>
              </w:rPr>
              <w:t>s</w:t>
            </w:r>
            <w:r w:rsidR="00336AF2">
              <w:rPr>
                <w:color w:val="1F497D" w:themeColor="text2"/>
                <w:szCs w:val="17"/>
              </w:rPr>
              <w:t xml:space="preserve"> the EC proposal. </w:t>
            </w:r>
          </w:p>
          <w:p w14:paraId="2C284ACE" w14:textId="77777777" w:rsidR="003F1629" w:rsidRPr="00691B59" w:rsidRDefault="003F1629" w:rsidP="0062030C">
            <w:pPr>
              <w:spacing w:after="200" w:line="276" w:lineRule="auto"/>
              <w:rPr>
                <w:color w:val="1F497D" w:themeColor="text2"/>
                <w:szCs w:val="17"/>
                <w:highlight w:val="lightGray"/>
              </w:rPr>
            </w:pPr>
          </w:p>
          <w:p w14:paraId="242EFB6C" w14:textId="77777777" w:rsidR="00E93591" w:rsidRPr="0062030C" w:rsidRDefault="00E93591" w:rsidP="005943CA">
            <w:pPr>
              <w:spacing w:after="200" w:line="276" w:lineRule="auto"/>
              <w:rPr>
                <w:rStyle w:val="normaltextrun"/>
                <w:rFonts w:cs="Segoe UI"/>
                <w:b/>
                <w:bCs/>
                <w:color w:val="595959"/>
                <w:szCs w:val="17"/>
              </w:rPr>
            </w:pPr>
          </w:p>
        </w:tc>
      </w:tr>
      <w:tr w:rsidR="0062030C" w14:paraId="41C3A8C1" w14:textId="77777777" w:rsidTr="00226E73">
        <w:trPr>
          <w:trHeight w:val="2036"/>
        </w:trPr>
        <w:tc>
          <w:tcPr>
            <w:tcW w:w="1447" w:type="dxa"/>
          </w:tcPr>
          <w:p w14:paraId="3107F64A" w14:textId="4101232D" w:rsidR="0062030C" w:rsidRDefault="0062030C" w:rsidP="00C00B44">
            <w:pPr>
              <w:tabs>
                <w:tab w:val="left" w:pos="3815"/>
              </w:tabs>
              <w:jc w:val="left"/>
              <w:rPr>
                <w:b/>
                <w:color w:val="595959" w:themeColor="text1" w:themeTint="A6"/>
                <w:szCs w:val="17"/>
              </w:rPr>
            </w:pPr>
            <w:r w:rsidRPr="00D9778A">
              <w:rPr>
                <w:b/>
                <w:szCs w:val="17"/>
              </w:rPr>
              <w:t xml:space="preserve">Internal Models </w:t>
            </w:r>
          </w:p>
        </w:tc>
        <w:tc>
          <w:tcPr>
            <w:tcW w:w="3118" w:type="dxa"/>
          </w:tcPr>
          <w:p w14:paraId="1980438F" w14:textId="6C658DF8" w:rsidR="0062030C" w:rsidRPr="00050B7A" w:rsidRDefault="00050B7A" w:rsidP="00E93591">
            <w:pPr>
              <w:pStyle w:val="Default"/>
              <w:rPr>
                <w:b/>
                <w:bCs/>
                <w:color w:val="00B050"/>
                <w:sz w:val="17"/>
                <w:szCs w:val="17"/>
              </w:rPr>
            </w:pPr>
            <w:r w:rsidRPr="00050B7A">
              <w:rPr>
                <w:b/>
                <w:bCs/>
                <w:color w:val="FF0000"/>
                <w:sz w:val="17"/>
                <w:szCs w:val="17"/>
              </w:rPr>
              <w:t xml:space="preserve">[Negative] </w:t>
            </w:r>
            <w:r w:rsidRPr="00050B7A">
              <w:rPr>
                <w:sz w:val="17"/>
                <w:szCs w:val="17"/>
              </w:rPr>
              <w:t>Require insurers using an internal model to report regularly to the supervisors an estimation of the Solvency Capital Requirement calculated with the standard formula.</w:t>
            </w:r>
          </w:p>
        </w:tc>
        <w:tc>
          <w:tcPr>
            <w:tcW w:w="3260" w:type="dxa"/>
          </w:tcPr>
          <w:p w14:paraId="68AC9425" w14:textId="6F295429" w:rsidR="0062030C" w:rsidRPr="00B50875" w:rsidRDefault="008C4332" w:rsidP="005901E5">
            <w:pPr>
              <w:tabs>
                <w:tab w:val="left" w:pos="3815"/>
              </w:tabs>
              <w:jc w:val="left"/>
              <w:rPr>
                <w:rFonts w:eastAsiaTheme="minorHAnsi" w:cs="Verdana"/>
                <w:b/>
                <w:color w:val="FF0000"/>
                <w:szCs w:val="17"/>
              </w:rPr>
            </w:pPr>
            <w:r w:rsidRPr="00050B7A">
              <w:rPr>
                <w:b/>
                <w:bCs/>
                <w:color w:val="FF0000"/>
                <w:szCs w:val="17"/>
              </w:rPr>
              <w:t xml:space="preserve">[Negative] </w:t>
            </w:r>
            <w:r w:rsidR="00050B7A">
              <w:rPr>
                <w:szCs w:val="17"/>
              </w:rPr>
              <w:t>Minor improvement, it is specified that the reporting can only be required with an annual frequency.</w:t>
            </w:r>
          </w:p>
        </w:tc>
        <w:tc>
          <w:tcPr>
            <w:tcW w:w="3828" w:type="dxa"/>
          </w:tcPr>
          <w:p w14:paraId="3FBC4F6B" w14:textId="6DA3BA1D" w:rsidR="0062030C" w:rsidRPr="0016511A" w:rsidRDefault="0085070C" w:rsidP="003F0232">
            <w:pPr>
              <w:tabs>
                <w:tab w:val="left" w:pos="3815"/>
              </w:tabs>
              <w:jc w:val="left"/>
              <w:rPr>
                <w:b/>
                <w:bCs/>
                <w:szCs w:val="17"/>
                <w:highlight w:val="yellow"/>
              </w:rPr>
            </w:pPr>
            <w:r w:rsidRPr="00BD5AF9">
              <w:rPr>
                <w:b/>
                <w:bCs/>
                <w:color w:val="00B050"/>
                <w:szCs w:val="17"/>
              </w:rPr>
              <w:t>[Positive]</w:t>
            </w:r>
            <w:r>
              <w:rPr>
                <w:b/>
                <w:bCs/>
                <w:color w:val="00B050"/>
                <w:szCs w:val="17"/>
              </w:rPr>
              <w:t xml:space="preserve"> </w:t>
            </w:r>
            <w:r w:rsidR="00A673C7" w:rsidRPr="00951DA4">
              <w:rPr>
                <w:szCs w:val="17"/>
              </w:rPr>
              <w:t xml:space="preserve">Removes the EC proposal to require regular </w:t>
            </w:r>
            <w:r w:rsidRPr="00951DA4">
              <w:rPr>
                <w:szCs w:val="17"/>
              </w:rPr>
              <w:t>SF reporting for IM companies</w:t>
            </w:r>
            <w:r w:rsidR="00D815C8">
              <w:rPr>
                <w:szCs w:val="17"/>
              </w:rPr>
              <w:t>, including in recital 44.</w:t>
            </w:r>
            <w:r w:rsidRPr="00951DA4">
              <w:rPr>
                <w:b/>
                <w:bCs/>
                <w:szCs w:val="17"/>
              </w:rPr>
              <w:t xml:space="preserve"> </w:t>
            </w:r>
          </w:p>
        </w:tc>
        <w:tc>
          <w:tcPr>
            <w:tcW w:w="3373" w:type="dxa"/>
          </w:tcPr>
          <w:p w14:paraId="363F9F01" w14:textId="0EF3D1C3" w:rsidR="0062030C" w:rsidRPr="00B87C4B" w:rsidRDefault="00BE57AA" w:rsidP="0062030C">
            <w:pPr>
              <w:spacing w:after="200" w:line="276" w:lineRule="auto"/>
              <w:rPr>
                <w:rFonts w:eastAsiaTheme="minorHAnsi"/>
                <w:b/>
                <w:color w:val="FF0000"/>
                <w:szCs w:val="17"/>
              </w:rPr>
            </w:pPr>
            <w:r w:rsidRPr="009F6707">
              <w:rPr>
                <w:b/>
                <w:color w:val="1F497D" w:themeColor="text2"/>
                <w:szCs w:val="17"/>
              </w:rPr>
              <w:t xml:space="preserve">Way forward: </w:t>
            </w:r>
            <w:r w:rsidRPr="009F6707">
              <w:rPr>
                <w:color w:val="1F497D" w:themeColor="text2"/>
                <w:szCs w:val="17"/>
              </w:rPr>
              <w:t xml:space="preserve">  </w:t>
            </w:r>
            <w:r w:rsidR="0015728B" w:rsidRPr="00BE57AA">
              <w:rPr>
                <w:color w:val="1F497D" w:themeColor="text2"/>
                <w:szCs w:val="17"/>
              </w:rPr>
              <w:t>Strong s</w:t>
            </w:r>
            <w:r w:rsidR="00050B7A" w:rsidRPr="00BE57AA">
              <w:rPr>
                <w:color w:val="1F497D" w:themeColor="text2"/>
                <w:szCs w:val="17"/>
              </w:rPr>
              <w:t xml:space="preserve">upport </w:t>
            </w:r>
            <w:r w:rsidR="0015728B" w:rsidRPr="00BE57AA">
              <w:rPr>
                <w:color w:val="1F497D" w:themeColor="text2"/>
                <w:szCs w:val="17"/>
              </w:rPr>
              <w:t>for</w:t>
            </w:r>
            <w:r w:rsidR="00050B7A" w:rsidRPr="00BE57AA">
              <w:rPr>
                <w:color w:val="1F497D" w:themeColor="text2"/>
                <w:szCs w:val="17"/>
              </w:rPr>
              <w:t xml:space="preserve"> </w:t>
            </w:r>
            <w:r w:rsidR="00050B7A" w:rsidRPr="00561141">
              <w:rPr>
                <w:b/>
                <w:bCs/>
                <w:color w:val="1F497D" w:themeColor="text2"/>
                <w:szCs w:val="17"/>
              </w:rPr>
              <w:t xml:space="preserve">EP </w:t>
            </w:r>
            <w:r w:rsidR="0015728B" w:rsidRPr="00561141">
              <w:rPr>
                <w:b/>
                <w:bCs/>
                <w:color w:val="1F497D" w:themeColor="text2"/>
                <w:szCs w:val="17"/>
              </w:rPr>
              <w:t>position</w:t>
            </w:r>
            <w:r w:rsidR="00050B7A" w:rsidRPr="00BE57AA">
              <w:rPr>
                <w:color w:val="1F497D" w:themeColor="text2"/>
                <w:szCs w:val="17"/>
              </w:rPr>
              <w:t xml:space="preserve"> to remove the</w:t>
            </w:r>
            <w:r w:rsidR="00050B7A" w:rsidRPr="00B87C4B">
              <w:rPr>
                <w:color w:val="1F497D" w:themeColor="text2"/>
                <w:szCs w:val="17"/>
              </w:rPr>
              <w:t xml:space="preserve"> SF reporting requirement </w:t>
            </w:r>
            <w:r w:rsidR="00126202">
              <w:rPr>
                <w:color w:val="1F497D" w:themeColor="text2"/>
                <w:szCs w:val="17"/>
              </w:rPr>
              <w:t>f</w:t>
            </w:r>
            <w:r w:rsidR="00050B7A" w:rsidRPr="00B87C4B">
              <w:rPr>
                <w:color w:val="1F497D" w:themeColor="text2"/>
                <w:szCs w:val="17"/>
              </w:rPr>
              <w:t xml:space="preserve">or IM companies. </w:t>
            </w:r>
          </w:p>
        </w:tc>
      </w:tr>
      <w:tr w:rsidR="00050B7A" w14:paraId="077EC652" w14:textId="77777777" w:rsidTr="00226E73">
        <w:trPr>
          <w:trHeight w:val="743"/>
        </w:trPr>
        <w:tc>
          <w:tcPr>
            <w:tcW w:w="1447" w:type="dxa"/>
          </w:tcPr>
          <w:p w14:paraId="563B7486" w14:textId="3075D495" w:rsidR="00050B7A" w:rsidRDefault="00CE694A" w:rsidP="00C00B44">
            <w:pPr>
              <w:tabs>
                <w:tab w:val="left" w:pos="3815"/>
              </w:tabs>
              <w:jc w:val="left"/>
              <w:rPr>
                <w:b/>
                <w:color w:val="595959" w:themeColor="text1" w:themeTint="A6"/>
                <w:szCs w:val="17"/>
              </w:rPr>
            </w:pPr>
            <w:r w:rsidRPr="00CE694A">
              <w:rPr>
                <w:b/>
                <w:szCs w:val="17"/>
              </w:rPr>
              <w:t>Cross border supervision</w:t>
            </w:r>
          </w:p>
        </w:tc>
        <w:tc>
          <w:tcPr>
            <w:tcW w:w="3118" w:type="dxa"/>
          </w:tcPr>
          <w:p w14:paraId="03044E92" w14:textId="21635A68" w:rsidR="00AD5775" w:rsidRPr="005905F7" w:rsidRDefault="00AD5775" w:rsidP="00AD5775">
            <w:pPr>
              <w:pStyle w:val="Default"/>
              <w:rPr>
                <w:color w:val="FF0000"/>
                <w:sz w:val="17"/>
                <w:szCs w:val="17"/>
              </w:rPr>
            </w:pPr>
            <w:r w:rsidRPr="0055056C">
              <w:rPr>
                <w:b/>
                <w:color w:val="00B050"/>
                <w:sz w:val="17"/>
                <w:szCs w:val="17"/>
              </w:rPr>
              <w:t>[</w:t>
            </w:r>
            <w:r w:rsidR="00043076" w:rsidRPr="004C2E54">
              <w:rPr>
                <w:b/>
                <w:color w:val="00B050"/>
                <w:sz w:val="17"/>
                <w:szCs w:val="17"/>
              </w:rPr>
              <w:t>Positive</w:t>
            </w:r>
            <w:r w:rsidR="004B7F1A" w:rsidRPr="004C2E54">
              <w:rPr>
                <w:b/>
                <w:color w:val="00B050"/>
                <w:sz w:val="17"/>
                <w:szCs w:val="17"/>
              </w:rPr>
              <w:t>]</w:t>
            </w:r>
            <w:r w:rsidR="004B7F1A">
              <w:rPr>
                <w:b/>
                <w:color w:val="00B050"/>
                <w:szCs w:val="17"/>
              </w:rPr>
              <w:t xml:space="preserve"> </w:t>
            </w:r>
            <w:r w:rsidRPr="00581D18">
              <w:rPr>
                <w:color w:val="auto"/>
                <w:sz w:val="17"/>
                <w:szCs w:val="17"/>
              </w:rPr>
              <w:t>In line with EIOPA’s proposals, cooperation between home/host NSA is enhanced and strengthened</w:t>
            </w:r>
            <w:r w:rsidR="00017CB0">
              <w:rPr>
                <w:color w:val="auto"/>
                <w:sz w:val="17"/>
                <w:szCs w:val="17"/>
              </w:rPr>
              <w:t>:</w:t>
            </w:r>
          </w:p>
          <w:p w14:paraId="5746DB4E" w14:textId="77777777" w:rsidR="00AD5775" w:rsidRPr="004C2E54" w:rsidRDefault="00AD5775" w:rsidP="00AD5775">
            <w:pPr>
              <w:pStyle w:val="Default"/>
              <w:numPr>
                <w:ilvl w:val="0"/>
                <w:numId w:val="31"/>
              </w:numPr>
              <w:ind w:left="314"/>
              <w:rPr>
                <w:b/>
                <w:color w:val="auto"/>
                <w:sz w:val="17"/>
                <w:szCs w:val="17"/>
              </w:rPr>
            </w:pPr>
            <w:proofErr w:type="spellStart"/>
            <w:proofErr w:type="gramStart"/>
            <w:r w:rsidRPr="00581D18">
              <w:rPr>
                <w:color w:val="auto"/>
                <w:sz w:val="17"/>
                <w:szCs w:val="17"/>
              </w:rPr>
              <w:lastRenderedPageBreak/>
              <w:t>eg</w:t>
            </w:r>
            <w:proofErr w:type="spellEnd"/>
            <w:proofErr w:type="gramEnd"/>
            <w:r w:rsidRPr="00581D18">
              <w:rPr>
                <w:color w:val="auto"/>
                <w:sz w:val="17"/>
                <w:szCs w:val="17"/>
              </w:rPr>
              <w:t xml:space="preserve"> by proposing minimum requirements regarding the exchange of information between the home/host NSA concerning the insurers and their activities in the host MS and i</w:t>
            </w:r>
            <w:r w:rsidRPr="004C2E54">
              <w:rPr>
                <w:color w:val="auto"/>
                <w:sz w:val="17"/>
                <w:szCs w:val="17"/>
              </w:rPr>
              <w:t>nsurers should notify material changes and emerging risks related to ongoing cross-border activities. NSAs should exchange such information.</w:t>
            </w:r>
          </w:p>
          <w:p w14:paraId="30731824" w14:textId="77777777" w:rsidR="00017CB0" w:rsidRPr="004C2E54" w:rsidRDefault="00AD5775" w:rsidP="004C2E54">
            <w:pPr>
              <w:pStyle w:val="Default"/>
              <w:numPr>
                <w:ilvl w:val="0"/>
                <w:numId w:val="31"/>
              </w:numPr>
              <w:ind w:left="314"/>
              <w:rPr>
                <w:b/>
                <w:color w:val="auto"/>
                <w:sz w:val="17"/>
                <w:szCs w:val="17"/>
              </w:rPr>
            </w:pPr>
            <w:r w:rsidRPr="004C2E54">
              <w:rPr>
                <w:color w:val="auto"/>
                <w:sz w:val="17"/>
                <w:szCs w:val="17"/>
              </w:rPr>
              <w:t>EIOPA is given role to resolve disagreements between NSAs.</w:t>
            </w:r>
            <w:r w:rsidRPr="004C2E54">
              <w:rPr>
                <w:b/>
                <w:color w:val="auto"/>
                <w:sz w:val="17"/>
                <w:szCs w:val="17"/>
              </w:rPr>
              <w:t xml:space="preserve"> </w:t>
            </w:r>
          </w:p>
          <w:p w14:paraId="65ACE1A2" w14:textId="77777777" w:rsidR="00017CB0" w:rsidRDefault="00017CB0" w:rsidP="00AD5775">
            <w:pPr>
              <w:pStyle w:val="Default"/>
              <w:rPr>
                <w:b/>
                <w:bCs/>
                <w:color w:val="FF0000"/>
                <w:sz w:val="17"/>
                <w:szCs w:val="17"/>
              </w:rPr>
            </w:pPr>
          </w:p>
          <w:p w14:paraId="2CCA0ECE" w14:textId="20011C71" w:rsidR="0068794C" w:rsidRDefault="00CE694A" w:rsidP="00E93591">
            <w:pPr>
              <w:pStyle w:val="Default"/>
              <w:rPr>
                <w:b/>
                <w:bCs/>
                <w:color w:val="FF0000"/>
                <w:sz w:val="17"/>
                <w:szCs w:val="17"/>
              </w:rPr>
            </w:pPr>
            <w:r w:rsidRPr="00CE694A">
              <w:rPr>
                <w:b/>
                <w:bCs/>
                <w:color w:val="FF0000"/>
                <w:sz w:val="17"/>
                <w:szCs w:val="17"/>
              </w:rPr>
              <w:t>[</w:t>
            </w:r>
            <w:r w:rsidRPr="00CE694A" w:rsidDel="00067FCA">
              <w:rPr>
                <w:b/>
                <w:bCs/>
                <w:color w:val="FF0000"/>
                <w:sz w:val="17"/>
                <w:szCs w:val="17"/>
              </w:rPr>
              <w:t>Negative</w:t>
            </w:r>
            <w:r w:rsidRPr="00CE694A">
              <w:rPr>
                <w:b/>
                <w:bCs/>
                <w:color w:val="FF0000"/>
                <w:sz w:val="17"/>
                <w:szCs w:val="17"/>
              </w:rPr>
              <w:t xml:space="preserve">] </w:t>
            </w:r>
          </w:p>
          <w:p w14:paraId="3D530FE5" w14:textId="300EF682" w:rsidR="0068794C" w:rsidRDefault="00CE694A" w:rsidP="004C2E54">
            <w:pPr>
              <w:pStyle w:val="Default"/>
              <w:numPr>
                <w:ilvl w:val="0"/>
                <w:numId w:val="30"/>
              </w:numPr>
              <w:ind w:left="456"/>
              <w:rPr>
                <w:sz w:val="17"/>
                <w:szCs w:val="17"/>
              </w:rPr>
            </w:pPr>
            <w:proofErr w:type="gramStart"/>
            <w:r w:rsidRPr="00CE694A">
              <w:rPr>
                <w:sz w:val="17"/>
                <w:szCs w:val="17"/>
              </w:rPr>
              <w:t>EC’s</w:t>
            </w:r>
            <w:proofErr w:type="gramEnd"/>
            <w:r w:rsidRPr="00CE694A">
              <w:rPr>
                <w:sz w:val="17"/>
                <w:szCs w:val="17"/>
              </w:rPr>
              <w:t xml:space="preserve"> proposed 5% threshold for “significant” cross border activity is overly simplistic and not risk based.</w:t>
            </w:r>
          </w:p>
          <w:p w14:paraId="04BE4978" w14:textId="77777777" w:rsidR="00AD5775" w:rsidRDefault="00AD5775" w:rsidP="00AD5775">
            <w:pPr>
              <w:pStyle w:val="Default"/>
              <w:numPr>
                <w:ilvl w:val="0"/>
                <w:numId w:val="30"/>
              </w:numPr>
              <w:ind w:left="456"/>
              <w:rPr>
                <w:sz w:val="17"/>
                <w:szCs w:val="17"/>
              </w:rPr>
            </w:pPr>
            <w:r w:rsidRPr="0068794C">
              <w:rPr>
                <w:sz w:val="17"/>
                <w:szCs w:val="17"/>
              </w:rPr>
              <w:t>No standing exchange mechanism proposed</w:t>
            </w:r>
            <w:r>
              <w:rPr>
                <w:sz w:val="17"/>
                <w:szCs w:val="17"/>
              </w:rPr>
              <w:t>.</w:t>
            </w:r>
          </w:p>
          <w:p w14:paraId="41F21D02" w14:textId="2EBD5D13" w:rsidR="00050B7A" w:rsidRPr="004C2E54" w:rsidRDefault="0068794C" w:rsidP="004C2E54">
            <w:pPr>
              <w:pStyle w:val="Default"/>
              <w:numPr>
                <w:ilvl w:val="0"/>
                <w:numId w:val="30"/>
              </w:numPr>
              <w:ind w:left="456"/>
              <w:rPr>
                <w:sz w:val="17"/>
                <w:szCs w:val="17"/>
              </w:rPr>
            </w:pPr>
            <w:r w:rsidRPr="0068794C">
              <w:rPr>
                <w:sz w:val="17"/>
                <w:szCs w:val="17"/>
              </w:rPr>
              <w:t>Ability for host NCAs to circumvent the home NCA when requesting information.</w:t>
            </w:r>
          </w:p>
        </w:tc>
        <w:tc>
          <w:tcPr>
            <w:tcW w:w="3260" w:type="dxa"/>
          </w:tcPr>
          <w:p w14:paraId="4D075F5F" w14:textId="294CB945" w:rsidR="00544309" w:rsidRPr="00544309" w:rsidRDefault="00544309" w:rsidP="00544309">
            <w:pPr>
              <w:tabs>
                <w:tab w:val="left" w:pos="3815"/>
              </w:tabs>
              <w:jc w:val="left"/>
              <w:rPr>
                <w:szCs w:val="17"/>
              </w:rPr>
            </w:pPr>
            <w:r w:rsidRPr="00544309">
              <w:rPr>
                <w:b/>
                <w:bCs/>
                <w:color w:val="FF0000"/>
                <w:szCs w:val="17"/>
              </w:rPr>
              <w:lastRenderedPageBreak/>
              <w:t>[Negative]</w:t>
            </w:r>
            <w:r w:rsidRPr="00544309">
              <w:rPr>
                <w:color w:val="FF0000"/>
                <w:szCs w:val="17"/>
              </w:rPr>
              <w:t xml:space="preserve"> </w:t>
            </w:r>
            <w:r w:rsidR="00FB1142">
              <w:rPr>
                <w:szCs w:val="17"/>
              </w:rPr>
              <w:t>I</w:t>
            </w:r>
            <w:r w:rsidRPr="00544309">
              <w:rPr>
                <w:szCs w:val="17"/>
              </w:rPr>
              <w:t>ncludes new definition of “significant cross border activities”. These are defined as either</w:t>
            </w:r>
          </w:p>
          <w:p w14:paraId="2EE29DD9" w14:textId="77777777" w:rsidR="00544309" w:rsidRPr="00544309" w:rsidRDefault="00544309" w:rsidP="00544309">
            <w:pPr>
              <w:tabs>
                <w:tab w:val="left" w:pos="3815"/>
              </w:tabs>
              <w:jc w:val="left"/>
              <w:rPr>
                <w:szCs w:val="17"/>
              </w:rPr>
            </w:pPr>
            <w:r w:rsidRPr="00544309">
              <w:rPr>
                <w:szCs w:val="17"/>
              </w:rPr>
              <w:lastRenderedPageBreak/>
              <w:t xml:space="preserve">1. where </w:t>
            </w:r>
            <w:proofErr w:type="spellStart"/>
            <w:r w:rsidRPr="00544309">
              <w:rPr>
                <w:szCs w:val="17"/>
              </w:rPr>
              <w:t>FoS</w:t>
            </w:r>
            <w:proofErr w:type="spellEnd"/>
            <w:r w:rsidRPr="00544309">
              <w:rPr>
                <w:szCs w:val="17"/>
              </w:rPr>
              <w:t>/</w:t>
            </w:r>
            <w:proofErr w:type="spellStart"/>
            <w:r w:rsidRPr="00544309">
              <w:rPr>
                <w:szCs w:val="17"/>
              </w:rPr>
              <w:t>FoE</w:t>
            </w:r>
            <w:proofErr w:type="spellEnd"/>
            <w:r w:rsidRPr="00544309">
              <w:rPr>
                <w:szCs w:val="17"/>
              </w:rPr>
              <w:t xml:space="preserve"> activities exceed €15m GWP</w:t>
            </w:r>
          </w:p>
          <w:p w14:paraId="46CE5B9C" w14:textId="77777777" w:rsidR="00544309" w:rsidRPr="00544309" w:rsidRDefault="00544309" w:rsidP="00544309">
            <w:pPr>
              <w:tabs>
                <w:tab w:val="left" w:pos="3815"/>
              </w:tabs>
              <w:jc w:val="left"/>
              <w:rPr>
                <w:szCs w:val="17"/>
              </w:rPr>
            </w:pPr>
            <w:r w:rsidRPr="00544309">
              <w:rPr>
                <w:szCs w:val="17"/>
              </w:rPr>
              <w:t xml:space="preserve">2. activities are considered relevant/sensitive by host NSA </w:t>
            </w:r>
          </w:p>
          <w:p w14:paraId="2826460B" w14:textId="77777777" w:rsidR="004B68B1" w:rsidRPr="00544309" w:rsidRDefault="004B68B1" w:rsidP="00544309">
            <w:pPr>
              <w:tabs>
                <w:tab w:val="left" w:pos="3815"/>
              </w:tabs>
              <w:jc w:val="left"/>
              <w:rPr>
                <w:szCs w:val="17"/>
              </w:rPr>
            </w:pPr>
          </w:p>
          <w:p w14:paraId="759D37FA" w14:textId="77777777" w:rsidR="00544309" w:rsidRPr="00544309" w:rsidRDefault="00544309" w:rsidP="00544309">
            <w:pPr>
              <w:tabs>
                <w:tab w:val="left" w:pos="3815"/>
              </w:tabs>
              <w:jc w:val="left"/>
              <w:rPr>
                <w:szCs w:val="17"/>
              </w:rPr>
            </w:pPr>
            <w:r w:rsidRPr="00544309">
              <w:rPr>
                <w:szCs w:val="17"/>
              </w:rPr>
              <w:t xml:space="preserve">Where activities are considered sensitive by the host NSA, then host NSA must inform home NSA who has right to disagree with EIOPA given remedial powers. </w:t>
            </w:r>
          </w:p>
          <w:p w14:paraId="2B795687" w14:textId="77777777" w:rsidR="00544309" w:rsidRPr="00544309" w:rsidRDefault="00544309" w:rsidP="00544309">
            <w:pPr>
              <w:tabs>
                <w:tab w:val="left" w:pos="3815"/>
              </w:tabs>
              <w:jc w:val="left"/>
              <w:rPr>
                <w:szCs w:val="17"/>
              </w:rPr>
            </w:pPr>
            <w:r w:rsidRPr="00544309">
              <w:rPr>
                <w:szCs w:val="17"/>
              </w:rPr>
              <w:t>It also proposes more limited EIOPA powers to initiate on-site inspections.</w:t>
            </w:r>
          </w:p>
          <w:p w14:paraId="68F93150" w14:textId="77777777" w:rsidR="00544309" w:rsidRPr="00544309" w:rsidRDefault="00544309" w:rsidP="00544309">
            <w:pPr>
              <w:tabs>
                <w:tab w:val="left" w:pos="3815"/>
              </w:tabs>
              <w:jc w:val="left"/>
              <w:rPr>
                <w:szCs w:val="17"/>
              </w:rPr>
            </w:pPr>
            <w:r w:rsidRPr="00544309">
              <w:rPr>
                <w:szCs w:val="17"/>
              </w:rPr>
              <w:t>EIOPA is requested to issue guidelines in relation to Art 33a and Art 159a specifying conditions under which insurers are deemed relevant for the local market of the host MS.</w:t>
            </w:r>
          </w:p>
          <w:p w14:paraId="004FB7E3" w14:textId="787DB5C4" w:rsidR="00050B7A" w:rsidRPr="00544309" w:rsidRDefault="00544309" w:rsidP="00544309">
            <w:pPr>
              <w:tabs>
                <w:tab w:val="left" w:pos="3815"/>
              </w:tabs>
              <w:jc w:val="left"/>
              <w:rPr>
                <w:szCs w:val="17"/>
              </w:rPr>
            </w:pPr>
            <w:r w:rsidRPr="00544309">
              <w:rPr>
                <w:szCs w:val="17"/>
              </w:rPr>
              <w:t xml:space="preserve">Regarding information requests, </w:t>
            </w:r>
            <w:r w:rsidR="00BD2794">
              <w:rPr>
                <w:szCs w:val="17"/>
              </w:rPr>
              <w:t>also it is</w:t>
            </w:r>
            <w:r w:rsidRPr="00544309">
              <w:rPr>
                <w:szCs w:val="17"/>
              </w:rPr>
              <w:t xml:space="preserve"> proposed that host NSA can only contact an undertaking directly where the home NSA does not provide a response within 2 weeks of the request.</w:t>
            </w:r>
          </w:p>
        </w:tc>
        <w:tc>
          <w:tcPr>
            <w:tcW w:w="3828" w:type="dxa"/>
          </w:tcPr>
          <w:p w14:paraId="7C9AE09F" w14:textId="77777777" w:rsidR="00066E41" w:rsidRDefault="00066E41" w:rsidP="00066E41">
            <w:pPr>
              <w:tabs>
                <w:tab w:val="left" w:pos="3815"/>
              </w:tabs>
              <w:rPr>
                <w:b/>
                <w:bCs/>
                <w:color w:val="FF0000"/>
                <w:szCs w:val="17"/>
              </w:rPr>
            </w:pPr>
            <w:r>
              <w:rPr>
                <w:b/>
                <w:bCs/>
                <w:color w:val="00B050"/>
                <w:szCs w:val="17"/>
              </w:rPr>
              <w:lastRenderedPageBreak/>
              <w:t xml:space="preserve">[Positive] </w:t>
            </w:r>
            <w:r>
              <w:rPr>
                <w:szCs w:val="17"/>
              </w:rPr>
              <w:t>Inclusion of recital (5b) stating that further integration of single market is key objective of this review for several reasons.</w:t>
            </w:r>
            <w:r>
              <w:rPr>
                <w:b/>
                <w:bCs/>
                <w:szCs w:val="17"/>
              </w:rPr>
              <w:t xml:space="preserve"> </w:t>
            </w:r>
          </w:p>
          <w:p w14:paraId="5CA81C83" w14:textId="77777777" w:rsidR="00066E41" w:rsidRDefault="00066E41" w:rsidP="00066E41">
            <w:pPr>
              <w:tabs>
                <w:tab w:val="left" w:pos="3815"/>
              </w:tabs>
              <w:rPr>
                <w:b/>
                <w:bCs/>
                <w:color w:val="FF0000"/>
                <w:szCs w:val="17"/>
              </w:rPr>
            </w:pPr>
          </w:p>
          <w:p w14:paraId="385AA508" w14:textId="77777777" w:rsidR="00066E41" w:rsidRDefault="00066E41" w:rsidP="00066E41">
            <w:pPr>
              <w:tabs>
                <w:tab w:val="left" w:pos="3815"/>
              </w:tabs>
              <w:rPr>
                <w:szCs w:val="17"/>
              </w:rPr>
            </w:pPr>
            <w:r>
              <w:rPr>
                <w:b/>
                <w:bCs/>
                <w:color w:val="FF0000"/>
                <w:szCs w:val="17"/>
              </w:rPr>
              <w:t>[Negative]</w:t>
            </w:r>
            <w:r>
              <w:rPr>
                <w:color w:val="FF0000"/>
                <w:szCs w:val="17"/>
              </w:rPr>
              <w:t xml:space="preserve"> </w:t>
            </w:r>
            <w:r>
              <w:rPr>
                <w:szCs w:val="17"/>
              </w:rPr>
              <w:t>Definition of significant cross border supervision remains quantitative and is reduced to 15% of GWP or €30m.</w:t>
            </w:r>
          </w:p>
          <w:p w14:paraId="0879FCC6" w14:textId="77777777" w:rsidR="00066E41" w:rsidRDefault="00066E41" w:rsidP="00066E41">
            <w:pPr>
              <w:tabs>
                <w:tab w:val="left" w:pos="3815"/>
              </w:tabs>
              <w:rPr>
                <w:szCs w:val="17"/>
              </w:rPr>
            </w:pPr>
          </w:p>
          <w:p w14:paraId="1CE09A0D" w14:textId="619E614E" w:rsidR="00934FA2" w:rsidRDefault="00934FA2" w:rsidP="00066E41">
            <w:pPr>
              <w:tabs>
                <w:tab w:val="left" w:pos="3815"/>
              </w:tabs>
            </w:pPr>
            <w:r w:rsidRPr="00747AF0">
              <w:rPr>
                <w:b/>
                <w:color w:val="595959" w:themeColor="text1" w:themeTint="A6"/>
                <w:szCs w:val="17"/>
              </w:rPr>
              <w:t>[Neutral]</w:t>
            </w:r>
            <w:r>
              <w:t xml:space="preserve"> Collaboration platforms are mandatory for significant cross-border activities. Facilitated by EIOPA, they should be digital and technology based.</w:t>
            </w:r>
          </w:p>
          <w:p w14:paraId="3CBECD37" w14:textId="77777777" w:rsidR="00D555B2" w:rsidRDefault="00D555B2" w:rsidP="00066E41">
            <w:pPr>
              <w:tabs>
                <w:tab w:val="left" w:pos="3815"/>
              </w:tabs>
              <w:rPr>
                <w:szCs w:val="17"/>
              </w:rPr>
            </w:pPr>
          </w:p>
          <w:p w14:paraId="69B7C793" w14:textId="77777777" w:rsidR="00684CB1" w:rsidRPr="00BD5FA5" w:rsidRDefault="00684CB1" w:rsidP="00684CB1">
            <w:pPr>
              <w:pStyle w:val="CEABullet-Level1"/>
              <w:numPr>
                <w:ilvl w:val="0"/>
                <w:numId w:val="0"/>
              </w:numPr>
            </w:pPr>
            <w:r w:rsidRPr="00BD5FA5">
              <w:rPr>
                <w:b/>
                <w:bCs/>
                <w:color w:val="FF0000"/>
                <w:szCs w:val="17"/>
              </w:rPr>
              <w:t>[Negative]</w:t>
            </w:r>
          </w:p>
          <w:p w14:paraId="4A70372E" w14:textId="7DA7CDAA" w:rsidR="00684CB1" w:rsidRDefault="00684CB1" w:rsidP="00684CB1">
            <w:pPr>
              <w:pStyle w:val="CEABullet-Level1"/>
              <w:numPr>
                <w:ilvl w:val="0"/>
                <w:numId w:val="0"/>
              </w:numPr>
            </w:pPr>
            <w:r w:rsidRPr="00BD5FA5">
              <w:t>For significant cross border activities, any concerned NSA has the right to ask the host NSA additional information.</w:t>
            </w:r>
            <w:r>
              <w:t xml:space="preserve"> </w:t>
            </w:r>
          </w:p>
          <w:p w14:paraId="46303330" w14:textId="77777777" w:rsidR="00684CB1" w:rsidRDefault="00684CB1" w:rsidP="00684CB1">
            <w:pPr>
              <w:pStyle w:val="CEABullet-Level1"/>
              <w:numPr>
                <w:ilvl w:val="0"/>
                <w:numId w:val="0"/>
              </w:numPr>
            </w:pPr>
          </w:p>
          <w:p w14:paraId="1C7322C9" w14:textId="1E804F0B" w:rsidR="00066E41" w:rsidRDefault="00622C54" w:rsidP="00066E41">
            <w:pPr>
              <w:pStyle w:val="CEABullet-Level1"/>
              <w:numPr>
                <w:ilvl w:val="0"/>
                <w:numId w:val="0"/>
              </w:numPr>
            </w:pPr>
            <w:r>
              <w:rPr>
                <w:b/>
                <w:bCs/>
                <w:color w:val="00B050"/>
                <w:szCs w:val="17"/>
              </w:rPr>
              <w:t xml:space="preserve">[Positive] </w:t>
            </w:r>
            <w:r w:rsidR="00066E41">
              <w:t>Home NSA should coordinate a joint on-site inspection</w:t>
            </w:r>
            <w:r w:rsidR="005D188F">
              <w:t>, at request of any concerned NSA.</w:t>
            </w:r>
            <w:r w:rsidR="003523CB">
              <w:t xml:space="preserve"> In case the insurer is doing significant cross border business.</w:t>
            </w:r>
          </w:p>
          <w:p w14:paraId="080A3378" w14:textId="77777777" w:rsidR="00066E41" w:rsidRDefault="00066E41" w:rsidP="00284AAB">
            <w:pPr>
              <w:pStyle w:val="CEABullet-Level1"/>
              <w:numPr>
                <w:ilvl w:val="0"/>
                <w:numId w:val="0"/>
              </w:numPr>
            </w:pPr>
            <w:r>
              <w:t>NSAs shall submit all ‘relevant’ information to the collaboration platform, within 1 month.</w:t>
            </w:r>
          </w:p>
          <w:p w14:paraId="67D407C6" w14:textId="77777777" w:rsidR="00D555B2" w:rsidRDefault="00D555B2" w:rsidP="00284AAB">
            <w:pPr>
              <w:pStyle w:val="CEABullet-Level1"/>
              <w:numPr>
                <w:ilvl w:val="0"/>
                <w:numId w:val="0"/>
              </w:numPr>
            </w:pPr>
          </w:p>
          <w:p w14:paraId="606C1D29" w14:textId="31951362" w:rsidR="00531DA2" w:rsidRPr="00531DA2" w:rsidRDefault="00A3243E" w:rsidP="00284AAB">
            <w:pPr>
              <w:pStyle w:val="CEABullet-Level1"/>
              <w:numPr>
                <w:ilvl w:val="0"/>
                <w:numId w:val="0"/>
              </w:numPr>
              <w:rPr>
                <w:highlight w:val="yellow"/>
              </w:rPr>
            </w:pPr>
            <w:r w:rsidRPr="00747AF0">
              <w:rPr>
                <w:b/>
                <w:color w:val="595959" w:themeColor="text1" w:themeTint="A6"/>
                <w:szCs w:val="17"/>
              </w:rPr>
              <w:t>[Neutral]</w:t>
            </w:r>
            <w:r>
              <w:t xml:space="preserve"> </w:t>
            </w:r>
            <w:r w:rsidR="00066E41">
              <w:t xml:space="preserve">EIOPA receives remedial powers, in case of disagreements in platform, </w:t>
            </w:r>
            <w:proofErr w:type="spellStart"/>
            <w:proofErr w:type="gramStart"/>
            <w:r w:rsidR="00066E41">
              <w:t>eg</w:t>
            </w:r>
            <w:proofErr w:type="spellEnd"/>
            <w:proofErr w:type="gramEnd"/>
            <w:r w:rsidR="00066E41">
              <w:t xml:space="preserve"> EIOPA may issue a recommendation to NSA concerned</w:t>
            </w:r>
            <w:r w:rsidR="00D555B2">
              <w:t>.</w:t>
            </w:r>
          </w:p>
          <w:p w14:paraId="0D4E30FF" w14:textId="7085B9D6" w:rsidR="00050B7A" w:rsidRPr="00F42216" w:rsidRDefault="00050B7A" w:rsidP="00F204CA">
            <w:pPr>
              <w:pStyle w:val="CEABullet-Level1"/>
              <w:numPr>
                <w:ilvl w:val="0"/>
                <w:numId w:val="0"/>
              </w:numPr>
              <w:ind w:left="352"/>
              <w:rPr>
                <w:highlight w:val="yellow"/>
              </w:rPr>
            </w:pPr>
          </w:p>
        </w:tc>
        <w:tc>
          <w:tcPr>
            <w:tcW w:w="3373" w:type="dxa"/>
          </w:tcPr>
          <w:p w14:paraId="7BF5470B" w14:textId="0EB06472" w:rsidR="00544309" w:rsidRPr="002752F4" w:rsidRDefault="00544309" w:rsidP="000C4929">
            <w:pPr>
              <w:spacing w:line="276" w:lineRule="auto"/>
              <w:rPr>
                <w:rFonts w:cstheme="minorHAnsi"/>
                <w:color w:val="002060"/>
                <w:szCs w:val="17"/>
              </w:rPr>
            </w:pPr>
            <w:r w:rsidRPr="00E63FA6">
              <w:rPr>
                <w:b/>
                <w:bCs/>
                <w:color w:val="002060"/>
                <w:szCs w:val="17"/>
              </w:rPr>
              <w:lastRenderedPageBreak/>
              <w:t xml:space="preserve">Way forward: </w:t>
            </w:r>
            <w:r w:rsidRPr="00E63FA6">
              <w:rPr>
                <w:color w:val="002060"/>
                <w:szCs w:val="17"/>
              </w:rPr>
              <w:t xml:space="preserve">Support </w:t>
            </w:r>
            <w:r w:rsidR="009818D1">
              <w:rPr>
                <w:b/>
                <w:bCs/>
                <w:color w:val="002060"/>
                <w:szCs w:val="17"/>
              </w:rPr>
              <w:t>EP</w:t>
            </w:r>
            <w:r w:rsidR="009818D1" w:rsidRPr="000B5CB2">
              <w:rPr>
                <w:b/>
                <w:bCs/>
                <w:color w:val="002060"/>
                <w:szCs w:val="17"/>
              </w:rPr>
              <w:t xml:space="preserve"> </w:t>
            </w:r>
            <w:r w:rsidR="00A804FD">
              <w:rPr>
                <w:b/>
                <w:bCs/>
                <w:color w:val="002060"/>
                <w:szCs w:val="17"/>
              </w:rPr>
              <w:t>proposal</w:t>
            </w:r>
            <w:r>
              <w:rPr>
                <w:b/>
                <w:color w:val="002060"/>
                <w:szCs w:val="17"/>
              </w:rPr>
              <w:t xml:space="preserve"> </w:t>
            </w:r>
            <w:r w:rsidRPr="00E63FA6">
              <w:rPr>
                <w:color w:val="002060"/>
                <w:szCs w:val="17"/>
              </w:rPr>
              <w:t xml:space="preserve">to set up collaboration platforms in cases of </w:t>
            </w:r>
            <w:r w:rsidR="00AA7F2E">
              <w:rPr>
                <w:color w:val="002060"/>
                <w:szCs w:val="17"/>
              </w:rPr>
              <w:t xml:space="preserve">significant </w:t>
            </w:r>
            <w:r w:rsidRPr="00E63FA6">
              <w:rPr>
                <w:color w:val="002060"/>
                <w:szCs w:val="17"/>
              </w:rPr>
              <w:t xml:space="preserve">cross border </w:t>
            </w:r>
            <w:r w:rsidR="000A0FE0">
              <w:rPr>
                <w:color w:val="002060"/>
                <w:szCs w:val="17"/>
              </w:rPr>
              <w:t>activities</w:t>
            </w:r>
            <w:r w:rsidR="000C4929" w:rsidRPr="002752F4">
              <w:rPr>
                <w:rFonts w:cstheme="minorHAnsi"/>
                <w:color w:val="002060"/>
                <w:szCs w:val="17"/>
              </w:rPr>
              <w:t xml:space="preserve">. </w:t>
            </w:r>
          </w:p>
          <w:p w14:paraId="0BBA5C97" w14:textId="1284C9BB" w:rsidR="00050B7A" w:rsidRDefault="00050B7A" w:rsidP="00544309">
            <w:pPr>
              <w:spacing w:after="200" w:line="276" w:lineRule="auto"/>
              <w:rPr>
                <w:b/>
                <w:bCs/>
                <w:color w:val="1F497D" w:themeColor="text2"/>
                <w:szCs w:val="17"/>
              </w:rPr>
            </w:pPr>
          </w:p>
        </w:tc>
      </w:tr>
      <w:tr w:rsidR="00940B0E" w14:paraId="0951F7E3" w14:textId="77777777" w:rsidTr="00226E73">
        <w:trPr>
          <w:trHeight w:val="1876"/>
        </w:trPr>
        <w:tc>
          <w:tcPr>
            <w:tcW w:w="1447" w:type="dxa"/>
          </w:tcPr>
          <w:p w14:paraId="09112768" w14:textId="7E047A9C" w:rsidR="00940B0E" w:rsidRPr="00CE694A" w:rsidRDefault="00940B0E" w:rsidP="00940B0E">
            <w:pPr>
              <w:tabs>
                <w:tab w:val="left" w:pos="3815"/>
              </w:tabs>
              <w:jc w:val="left"/>
              <w:rPr>
                <w:b/>
                <w:szCs w:val="17"/>
              </w:rPr>
            </w:pPr>
            <w:r>
              <w:rPr>
                <w:b/>
                <w:szCs w:val="17"/>
              </w:rPr>
              <w:lastRenderedPageBreak/>
              <w:t>Sustainable finance</w:t>
            </w:r>
          </w:p>
        </w:tc>
        <w:tc>
          <w:tcPr>
            <w:tcW w:w="3118" w:type="dxa"/>
          </w:tcPr>
          <w:p w14:paraId="72217A06" w14:textId="200A1480" w:rsidR="00940B0E" w:rsidRPr="00940B0E" w:rsidRDefault="00940B0E" w:rsidP="00940B0E">
            <w:pPr>
              <w:pStyle w:val="Default"/>
              <w:rPr>
                <w:b/>
                <w:bCs/>
                <w:color w:val="FF0000"/>
                <w:sz w:val="17"/>
                <w:szCs w:val="17"/>
              </w:rPr>
            </w:pPr>
            <w:r w:rsidRPr="00940B0E">
              <w:rPr>
                <w:b/>
                <w:bCs/>
                <w:color w:val="00B050"/>
                <w:sz w:val="17"/>
                <w:szCs w:val="17"/>
              </w:rPr>
              <w:t>[</w:t>
            </w:r>
            <w:r w:rsidRPr="00940B0E" w:rsidDel="004102B1">
              <w:rPr>
                <w:b/>
                <w:bCs/>
                <w:color w:val="00B050"/>
                <w:sz w:val="17"/>
                <w:szCs w:val="17"/>
              </w:rPr>
              <w:t>Positive</w:t>
            </w:r>
            <w:r w:rsidRPr="00940B0E">
              <w:rPr>
                <w:b/>
                <w:bCs/>
                <w:color w:val="00B050"/>
                <w:sz w:val="17"/>
                <w:szCs w:val="17"/>
              </w:rPr>
              <w:t xml:space="preserve">] </w:t>
            </w:r>
            <w:r w:rsidRPr="00940B0E">
              <w:rPr>
                <w:sz w:val="17"/>
                <w:szCs w:val="17"/>
              </w:rPr>
              <w:t xml:space="preserve">The EC proposes changes in line with the EIOPA recommendations and includes a mandate for EIOPA to report on </w:t>
            </w:r>
            <w:r w:rsidR="00292D25">
              <w:rPr>
                <w:sz w:val="17"/>
                <w:szCs w:val="17"/>
              </w:rPr>
              <w:t>whether a</w:t>
            </w:r>
            <w:r w:rsidR="00637429">
              <w:rPr>
                <w:sz w:val="17"/>
                <w:szCs w:val="17"/>
              </w:rPr>
              <w:t xml:space="preserve"> dedicated prudential treatment of sustainability risks</w:t>
            </w:r>
            <w:r w:rsidR="00292D25">
              <w:rPr>
                <w:sz w:val="17"/>
                <w:szCs w:val="17"/>
              </w:rPr>
              <w:t xml:space="preserve"> is justified.</w:t>
            </w:r>
          </w:p>
        </w:tc>
        <w:tc>
          <w:tcPr>
            <w:tcW w:w="3260" w:type="dxa"/>
          </w:tcPr>
          <w:p w14:paraId="30E18F78" w14:textId="09B31B9D" w:rsidR="00940B0E" w:rsidRDefault="00940B0E" w:rsidP="00940B0E">
            <w:pPr>
              <w:tabs>
                <w:tab w:val="left" w:pos="3815"/>
              </w:tabs>
              <w:rPr>
                <w:szCs w:val="17"/>
              </w:rPr>
            </w:pPr>
            <w:r w:rsidRPr="005D7877">
              <w:rPr>
                <w:b/>
                <w:color w:val="595959" w:themeColor="text1" w:themeTint="A6"/>
                <w:szCs w:val="17"/>
              </w:rPr>
              <w:t>[Neutral]</w:t>
            </w:r>
            <w:r w:rsidRPr="005B3EFA">
              <w:rPr>
                <w:b/>
                <w:color w:val="F79646" w:themeColor="accent6"/>
                <w:szCs w:val="17"/>
              </w:rPr>
              <w:t xml:space="preserve"> </w:t>
            </w:r>
            <w:r w:rsidR="009257B9">
              <w:rPr>
                <w:szCs w:val="17"/>
              </w:rPr>
              <w:t>Council General Approach</w:t>
            </w:r>
            <w:r>
              <w:rPr>
                <w:szCs w:val="17"/>
              </w:rPr>
              <w:t xml:space="preserve"> includes</w:t>
            </w:r>
            <w:r w:rsidR="009257B9">
              <w:rPr>
                <w:szCs w:val="17"/>
              </w:rPr>
              <w:t>:</w:t>
            </w:r>
          </w:p>
          <w:p w14:paraId="5849C5F5" w14:textId="77777777" w:rsidR="00940B0E" w:rsidRDefault="00940B0E" w:rsidP="00940B0E">
            <w:pPr>
              <w:tabs>
                <w:tab w:val="left" w:pos="3815"/>
              </w:tabs>
              <w:rPr>
                <w:b/>
                <w:bCs/>
                <w:color w:val="00B050"/>
                <w:szCs w:val="17"/>
              </w:rPr>
            </w:pPr>
          </w:p>
          <w:p w14:paraId="213C4044" w14:textId="3DC136FC" w:rsidR="00940B0E" w:rsidRDefault="00940B0E" w:rsidP="00940B0E">
            <w:pPr>
              <w:tabs>
                <w:tab w:val="left" w:pos="3815"/>
              </w:tabs>
              <w:rPr>
                <w:szCs w:val="17"/>
              </w:rPr>
            </w:pPr>
            <w:r w:rsidRPr="0051077D">
              <w:rPr>
                <w:szCs w:val="17"/>
              </w:rPr>
              <w:t xml:space="preserve">1.  </w:t>
            </w:r>
            <w:r>
              <w:rPr>
                <w:szCs w:val="17"/>
              </w:rPr>
              <w:t>New</w:t>
            </w:r>
            <w:r w:rsidRPr="0051077D">
              <w:rPr>
                <w:szCs w:val="17"/>
              </w:rPr>
              <w:t xml:space="preserve"> EIOPA </w:t>
            </w:r>
            <w:r>
              <w:rPr>
                <w:szCs w:val="17"/>
              </w:rPr>
              <w:t>mandate to assess</w:t>
            </w:r>
            <w:r w:rsidRPr="0051077D">
              <w:rPr>
                <w:szCs w:val="17"/>
              </w:rPr>
              <w:t xml:space="preserve"> biodiversity loss risks</w:t>
            </w:r>
            <w:r>
              <w:rPr>
                <w:szCs w:val="17"/>
              </w:rPr>
              <w:t xml:space="preserve"> (as well as </w:t>
            </w:r>
            <w:r w:rsidR="00ED3594">
              <w:rPr>
                <w:szCs w:val="17"/>
              </w:rPr>
              <w:t>whether a dedicated prudential treatment of sustainability risks is justified.</w:t>
            </w:r>
            <w:r>
              <w:rPr>
                <w:szCs w:val="17"/>
              </w:rPr>
              <w:t>)</w:t>
            </w:r>
          </w:p>
          <w:p w14:paraId="1F7A38A3" w14:textId="77777777" w:rsidR="00940B0E" w:rsidRPr="0051077D" w:rsidRDefault="00940B0E" w:rsidP="00940B0E">
            <w:pPr>
              <w:tabs>
                <w:tab w:val="left" w:pos="3815"/>
              </w:tabs>
              <w:rPr>
                <w:szCs w:val="17"/>
              </w:rPr>
            </w:pPr>
          </w:p>
          <w:p w14:paraId="2EDB8714" w14:textId="77777777" w:rsidR="00940B0E" w:rsidRDefault="00940B0E" w:rsidP="00940B0E">
            <w:pPr>
              <w:spacing w:after="200" w:line="276" w:lineRule="auto"/>
              <w:rPr>
                <w:szCs w:val="17"/>
              </w:rPr>
            </w:pPr>
            <w:r>
              <w:rPr>
                <w:szCs w:val="17"/>
              </w:rPr>
              <w:t>2</w:t>
            </w:r>
            <w:r w:rsidRPr="0051077D">
              <w:rPr>
                <w:szCs w:val="17"/>
              </w:rPr>
              <w:t xml:space="preserve">. </w:t>
            </w:r>
            <w:r>
              <w:rPr>
                <w:szCs w:val="17"/>
              </w:rPr>
              <w:t>Reduced f</w:t>
            </w:r>
            <w:r w:rsidRPr="0051077D">
              <w:rPr>
                <w:szCs w:val="17"/>
              </w:rPr>
              <w:t xml:space="preserve">requency of recalibration of </w:t>
            </w:r>
            <w:proofErr w:type="spellStart"/>
            <w:r w:rsidRPr="0051077D">
              <w:rPr>
                <w:szCs w:val="17"/>
              </w:rPr>
              <w:t>natcat</w:t>
            </w:r>
            <w:proofErr w:type="spellEnd"/>
            <w:r w:rsidRPr="0051077D">
              <w:rPr>
                <w:szCs w:val="17"/>
              </w:rPr>
              <w:t xml:space="preserve"> parameters</w:t>
            </w:r>
            <w:r>
              <w:rPr>
                <w:szCs w:val="17"/>
              </w:rPr>
              <w:t xml:space="preserve"> to 5 years                             </w:t>
            </w:r>
          </w:p>
          <w:p w14:paraId="36D9D725" w14:textId="77777777" w:rsidR="00940B0E" w:rsidRDefault="00940B0E" w:rsidP="00940B0E">
            <w:pPr>
              <w:spacing w:after="200" w:line="276" w:lineRule="auto"/>
              <w:rPr>
                <w:szCs w:val="17"/>
              </w:rPr>
            </w:pPr>
            <w:r>
              <w:rPr>
                <w:szCs w:val="17"/>
              </w:rPr>
              <w:t xml:space="preserve">3.Clarification that EIOPA mandate on the GSF/BPF is not only on the assets side but include the liabilities.                        </w:t>
            </w:r>
          </w:p>
          <w:p w14:paraId="09532FB2" w14:textId="2B6BC5F8" w:rsidR="00940B0E" w:rsidRPr="00544309" w:rsidRDefault="00940B0E" w:rsidP="00940B0E">
            <w:pPr>
              <w:spacing w:after="200" w:line="276" w:lineRule="auto"/>
              <w:rPr>
                <w:b/>
                <w:bCs/>
                <w:color w:val="FF0000"/>
                <w:szCs w:val="17"/>
              </w:rPr>
            </w:pPr>
            <w:r>
              <w:rPr>
                <w:szCs w:val="17"/>
              </w:rPr>
              <w:t xml:space="preserve">4. </w:t>
            </w:r>
            <w:r w:rsidRPr="00E119B9">
              <w:rPr>
                <w:szCs w:val="17"/>
              </w:rPr>
              <w:t xml:space="preserve">ESAs </w:t>
            </w:r>
            <w:r>
              <w:rPr>
                <w:szCs w:val="17"/>
              </w:rPr>
              <w:t>to</w:t>
            </w:r>
            <w:r w:rsidRPr="00E119B9">
              <w:rPr>
                <w:szCs w:val="17"/>
              </w:rPr>
              <w:t xml:space="preserve"> develop guidelines </w:t>
            </w:r>
            <w:r>
              <w:rPr>
                <w:szCs w:val="17"/>
              </w:rPr>
              <w:t xml:space="preserve">ensuring </w:t>
            </w:r>
            <w:r w:rsidRPr="00E119B9">
              <w:rPr>
                <w:szCs w:val="17"/>
              </w:rPr>
              <w:t xml:space="preserve">common standards for assessment methodologies </w:t>
            </w:r>
            <w:r>
              <w:rPr>
                <w:szCs w:val="17"/>
              </w:rPr>
              <w:t xml:space="preserve">for </w:t>
            </w:r>
            <w:r w:rsidRPr="00E119B9">
              <w:rPr>
                <w:szCs w:val="17"/>
              </w:rPr>
              <w:t xml:space="preserve">stress testing of </w:t>
            </w:r>
            <w:r>
              <w:rPr>
                <w:szCs w:val="17"/>
              </w:rPr>
              <w:t>ESG risks</w:t>
            </w:r>
            <w:r w:rsidRPr="00E119B9">
              <w:rPr>
                <w:szCs w:val="17"/>
              </w:rPr>
              <w:t>.</w:t>
            </w:r>
          </w:p>
        </w:tc>
        <w:tc>
          <w:tcPr>
            <w:tcW w:w="3828" w:type="dxa"/>
          </w:tcPr>
          <w:p w14:paraId="7338EC76" w14:textId="77777777" w:rsidR="00FB76CB" w:rsidRDefault="00FB76CB" w:rsidP="000D3D19">
            <w:pPr>
              <w:pStyle w:val="CEABullet-Level1"/>
              <w:numPr>
                <w:ilvl w:val="0"/>
                <w:numId w:val="0"/>
              </w:numPr>
              <w:spacing w:line="30" w:lineRule="atLeast"/>
              <w:jc w:val="left"/>
              <w:rPr>
                <w:b/>
                <w:bCs/>
                <w:color w:val="FF0000"/>
                <w:szCs w:val="17"/>
              </w:rPr>
            </w:pPr>
          </w:p>
          <w:p w14:paraId="018773AA" w14:textId="541CE2E2" w:rsidR="000D3D19" w:rsidRDefault="000D3D19" w:rsidP="000D3D19">
            <w:pPr>
              <w:pStyle w:val="CEABullet-Level1"/>
              <w:numPr>
                <w:ilvl w:val="0"/>
                <w:numId w:val="0"/>
              </w:numPr>
              <w:spacing w:line="30" w:lineRule="atLeast"/>
              <w:jc w:val="left"/>
              <w:rPr>
                <w:szCs w:val="17"/>
              </w:rPr>
            </w:pPr>
            <w:r>
              <w:rPr>
                <w:b/>
                <w:bCs/>
                <w:color w:val="FF0000"/>
                <w:szCs w:val="17"/>
              </w:rPr>
              <w:t xml:space="preserve">[Negative] </w:t>
            </w:r>
            <w:r>
              <w:rPr>
                <w:color w:val="auto"/>
                <w:szCs w:val="17"/>
              </w:rPr>
              <w:t xml:space="preserve">Transition’ planning requirements introduced (broadly consistent with CRD). </w:t>
            </w:r>
            <w:r>
              <w:rPr>
                <w:b/>
                <w:bCs/>
                <w:color w:val="00B050"/>
                <w:szCs w:val="17"/>
              </w:rPr>
              <w:t xml:space="preserve">[Positive] </w:t>
            </w:r>
            <w:r>
              <w:rPr>
                <w:szCs w:val="17"/>
              </w:rPr>
              <w:t xml:space="preserve">LRPU are exempted </w:t>
            </w:r>
          </w:p>
          <w:p w14:paraId="446CEFAA" w14:textId="77777777" w:rsidR="000D3D19" w:rsidRDefault="000D3D19" w:rsidP="000D3D19">
            <w:pPr>
              <w:pStyle w:val="CEABullet-Level1"/>
              <w:numPr>
                <w:ilvl w:val="0"/>
                <w:numId w:val="0"/>
              </w:numPr>
              <w:spacing w:line="30" w:lineRule="atLeast"/>
              <w:jc w:val="left"/>
              <w:rPr>
                <w:szCs w:val="17"/>
              </w:rPr>
            </w:pPr>
          </w:p>
          <w:p w14:paraId="2E9C1E49" w14:textId="77777777" w:rsidR="000D3D19" w:rsidRDefault="000D3D19" w:rsidP="000D3D19">
            <w:pPr>
              <w:pStyle w:val="CEABullet-Level1"/>
              <w:numPr>
                <w:ilvl w:val="0"/>
                <w:numId w:val="0"/>
              </w:numPr>
              <w:spacing w:line="30" w:lineRule="atLeast"/>
              <w:jc w:val="left"/>
              <w:rPr>
                <w:rStyle w:val="normaltextrun"/>
                <w:rFonts w:eastAsiaTheme="majorEastAsia" w:cs="Calibri"/>
                <w:color w:val="auto"/>
              </w:rPr>
            </w:pPr>
            <w:r>
              <w:rPr>
                <w:b/>
                <w:bCs/>
                <w:color w:val="FF0000"/>
                <w:szCs w:val="17"/>
              </w:rPr>
              <w:t xml:space="preserve">[Negative] </w:t>
            </w:r>
            <w:r>
              <w:rPr>
                <w:rStyle w:val="normaltextrun"/>
                <w:rFonts w:eastAsiaTheme="majorEastAsia" w:cs="Calibri"/>
                <w:color w:val="auto"/>
                <w:szCs w:val="17"/>
              </w:rPr>
              <w:t>SFCR disclosure requirements for climate sensitivity analysis.</w:t>
            </w:r>
          </w:p>
          <w:p w14:paraId="3642904A" w14:textId="77777777" w:rsidR="000D3D19" w:rsidRDefault="000D3D19" w:rsidP="000D3D19">
            <w:pPr>
              <w:pStyle w:val="CEABullet-Level1"/>
              <w:numPr>
                <w:ilvl w:val="0"/>
                <w:numId w:val="0"/>
              </w:numPr>
              <w:spacing w:line="30" w:lineRule="atLeast"/>
              <w:jc w:val="left"/>
              <w:rPr>
                <w:b/>
                <w:color w:val="595959" w:themeColor="text1" w:themeTint="A6"/>
              </w:rPr>
            </w:pPr>
          </w:p>
          <w:p w14:paraId="32A64272" w14:textId="6B7AD557" w:rsidR="000D3D19" w:rsidRDefault="00EA0814" w:rsidP="000D3D19">
            <w:pPr>
              <w:pStyle w:val="CEABullet-Level1"/>
              <w:numPr>
                <w:ilvl w:val="0"/>
                <w:numId w:val="0"/>
              </w:numPr>
              <w:spacing w:line="30" w:lineRule="atLeast"/>
              <w:jc w:val="left"/>
              <w:rPr>
                <w:rStyle w:val="normaltextrun"/>
                <w:rFonts w:eastAsiaTheme="majorEastAsia" w:cs="Calibri"/>
                <w:color w:val="auto"/>
              </w:rPr>
            </w:pPr>
            <w:r>
              <w:rPr>
                <w:b/>
                <w:bCs/>
                <w:color w:val="FF0000"/>
                <w:szCs w:val="17"/>
              </w:rPr>
              <w:t xml:space="preserve">[Negative] </w:t>
            </w:r>
            <w:r w:rsidR="000D3D19">
              <w:rPr>
                <w:rStyle w:val="normaltextrun"/>
                <w:rFonts w:eastAsiaTheme="majorEastAsia" w:cs="Calibri"/>
                <w:color w:val="auto"/>
                <w:szCs w:val="17"/>
              </w:rPr>
              <w:t>A description of the implementation of the ‘transition’ plan is to be included in SFCR, including targets/milestones.</w:t>
            </w:r>
          </w:p>
          <w:p w14:paraId="2F4FE7E8" w14:textId="77777777" w:rsidR="000D3D19" w:rsidRDefault="000D3D19" w:rsidP="000D3D19">
            <w:pPr>
              <w:pStyle w:val="CEABullet-Level1"/>
              <w:numPr>
                <w:ilvl w:val="0"/>
                <w:numId w:val="0"/>
              </w:numPr>
              <w:jc w:val="left"/>
              <w:rPr>
                <w:b/>
                <w:color w:val="595959" w:themeColor="text1" w:themeTint="A6"/>
              </w:rPr>
            </w:pPr>
          </w:p>
          <w:p w14:paraId="2780769D" w14:textId="77777777" w:rsidR="000D3D19" w:rsidRDefault="000D3D19" w:rsidP="000D3D19">
            <w:pPr>
              <w:pStyle w:val="CEABullet-Level1"/>
              <w:numPr>
                <w:ilvl w:val="0"/>
                <w:numId w:val="0"/>
              </w:numPr>
              <w:jc w:val="left"/>
              <w:rPr>
                <w:rStyle w:val="normaltextrun"/>
                <w:rFonts w:eastAsiaTheme="majorEastAsia" w:cs="Calibri"/>
                <w:color w:val="auto"/>
                <w:szCs w:val="17"/>
              </w:rPr>
            </w:pPr>
            <w:r>
              <w:rPr>
                <w:b/>
                <w:color w:val="595959" w:themeColor="text1" w:themeTint="A6"/>
              </w:rPr>
              <w:t xml:space="preserve">[Neutral] </w:t>
            </w:r>
            <w:r>
              <w:rPr>
                <w:rStyle w:val="normaltextrun"/>
                <w:rFonts w:eastAsiaTheme="majorEastAsia" w:cs="Calibri"/>
                <w:color w:val="auto"/>
                <w:szCs w:val="17"/>
              </w:rPr>
              <w:t>Requirement To consider previous analysis when doing sensitivity analysis in ORSA and when reviewing climate change scenarios, performance of tools and principles from previous scenarios should be considered.</w:t>
            </w:r>
          </w:p>
          <w:p w14:paraId="06533BE2" w14:textId="77777777" w:rsidR="000D3D19" w:rsidRDefault="000D3D19" w:rsidP="000D3D19">
            <w:pPr>
              <w:pStyle w:val="CEABullet-Level1"/>
              <w:numPr>
                <w:ilvl w:val="0"/>
                <w:numId w:val="0"/>
              </w:numPr>
              <w:spacing w:line="30" w:lineRule="atLeast"/>
              <w:jc w:val="left"/>
              <w:rPr>
                <w:rStyle w:val="normaltextrun"/>
                <w:rFonts w:eastAsiaTheme="majorEastAsia" w:cs="Calibri"/>
                <w:color w:val="auto"/>
                <w:szCs w:val="17"/>
              </w:rPr>
            </w:pPr>
          </w:p>
          <w:p w14:paraId="50BBBF1F" w14:textId="76C31EC8" w:rsidR="000D3D19" w:rsidRDefault="000D3D19" w:rsidP="00BA4799">
            <w:pPr>
              <w:pStyle w:val="CEABullet-Level1"/>
              <w:numPr>
                <w:ilvl w:val="0"/>
                <w:numId w:val="0"/>
              </w:numPr>
              <w:jc w:val="left"/>
              <w:rPr>
                <w:rStyle w:val="normaltextrun"/>
                <w:rFonts w:eastAsiaTheme="majorEastAsia" w:cs="Calibri"/>
                <w:color w:val="auto"/>
                <w:szCs w:val="17"/>
              </w:rPr>
            </w:pPr>
            <w:r>
              <w:rPr>
                <w:b/>
                <w:color w:val="595959" w:themeColor="text1" w:themeTint="A6"/>
                <w:szCs w:val="17"/>
              </w:rPr>
              <w:t xml:space="preserve">[Neutral] </w:t>
            </w:r>
            <w:r>
              <w:rPr>
                <w:rStyle w:val="normaltextrun"/>
                <w:rFonts w:eastAsiaTheme="majorEastAsia" w:cs="Calibri"/>
                <w:color w:val="auto"/>
                <w:szCs w:val="17"/>
              </w:rPr>
              <w:t>Added ‘fossil fuel related assets’ to EIOPA mandate</w:t>
            </w:r>
          </w:p>
          <w:p w14:paraId="780DEFEF" w14:textId="77777777" w:rsidR="00BA4799" w:rsidRDefault="00BA4799" w:rsidP="00BA4799">
            <w:pPr>
              <w:pStyle w:val="CEABullet-Level1"/>
              <w:numPr>
                <w:ilvl w:val="0"/>
                <w:numId w:val="0"/>
              </w:numPr>
              <w:jc w:val="left"/>
              <w:rPr>
                <w:rStyle w:val="normaltextrun"/>
                <w:rFonts w:eastAsiaTheme="majorEastAsia" w:cs="Calibri"/>
                <w:color w:val="auto"/>
              </w:rPr>
            </w:pPr>
          </w:p>
          <w:p w14:paraId="0B751CD1" w14:textId="503FBE2F" w:rsidR="000D3D19" w:rsidRDefault="000D3D19" w:rsidP="00BA4799">
            <w:pPr>
              <w:pStyle w:val="CEABullet-Level1"/>
              <w:numPr>
                <w:ilvl w:val="0"/>
                <w:numId w:val="0"/>
              </w:numPr>
              <w:jc w:val="left"/>
              <w:rPr>
                <w:rStyle w:val="normaltextrun"/>
                <w:rFonts w:eastAsiaTheme="majorEastAsia" w:cs="Calibri"/>
                <w:color w:val="auto"/>
                <w:szCs w:val="17"/>
              </w:rPr>
            </w:pPr>
            <w:r>
              <w:rPr>
                <w:b/>
                <w:bCs/>
                <w:color w:val="FF0000"/>
                <w:szCs w:val="17"/>
              </w:rPr>
              <w:t>[Negative]</w:t>
            </w:r>
            <w:r w:rsidR="00BA4799">
              <w:rPr>
                <w:b/>
                <w:bCs/>
                <w:color w:val="FF0000"/>
                <w:szCs w:val="17"/>
              </w:rPr>
              <w:t xml:space="preserve"> </w:t>
            </w:r>
            <w:r>
              <w:rPr>
                <w:rStyle w:val="normaltextrun"/>
                <w:rFonts w:eastAsiaTheme="majorEastAsia" w:cs="Calibri"/>
                <w:color w:val="auto"/>
                <w:szCs w:val="17"/>
              </w:rPr>
              <w:t>EIOPA mandated to assess and report EC the extent to which biodiversity risks are considered ORSA by 30 June 2024.</w:t>
            </w:r>
          </w:p>
          <w:p w14:paraId="26DF3620" w14:textId="77777777" w:rsidR="000D3D19" w:rsidRDefault="000D3D19" w:rsidP="000D3D19">
            <w:pPr>
              <w:tabs>
                <w:tab w:val="left" w:pos="3815"/>
              </w:tabs>
              <w:jc w:val="left"/>
              <w:rPr>
                <w:b/>
                <w:bCs/>
                <w:color w:val="00B050"/>
              </w:rPr>
            </w:pPr>
          </w:p>
          <w:p w14:paraId="5C2C25F1" w14:textId="77777777" w:rsidR="000D3D19" w:rsidRDefault="000D3D19" w:rsidP="000D3D19">
            <w:pPr>
              <w:tabs>
                <w:tab w:val="left" w:pos="3815"/>
              </w:tabs>
              <w:jc w:val="left"/>
              <w:rPr>
                <w:szCs w:val="17"/>
              </w:rPr>
            </w:pPr>
            <w:r>
              <w:rPr>
                <w:b/>
                <w:bCs/>
                <w:color w:val="00B050"/>
                <w:szCs w:val="17"/>
              </w:rPr>
              <w:t xml:space="preserve">[Positive] </w:t>
            </w:r>
            <w:r>
              <w:rPr>
                <w:szCs w:val="17"/>
              </w:rPr>
              <w:t xml:space="preserve">Requirement for ESAs to develop </w:t>
            </w:r>
            <w:r>
              <w:rPr>
                <w:b/>
                <w:szCs w:val="17"/>
              </w:rPr>
              <w:t>guidelines on ESG stress test</w:t>
            </w:r>
            <w:r>
              <w:rPr>
                <w:szCs w:val="17"/>
              </w:rPr>
              <w:t xml:space="preserve"> and ESA to investigate how S&amp;G related risks could be integrated into stress test.  </w:t>
            </w:r>
          </w:p>
          <w:p w14:paraId="24B870DC" w14:textId="77777777" w:rsidR="000D3D19" w:rsidRDefault="000D3D19" w:rsidP="000D3D19">
            <w:pPr>
              <w:tabs>
                <w:tab w:val="left" w:pos="3815"/>
              </w:tabs>
              <w:jc w:val="left"/>
              <w:rPr>
                <w:szCs w:val="17"/>
              </w:rPr>
            </w:pPr>
          </w:p>
          <w:p w14:paraId="53611509" w14:textId="1EB316AA" w:rsidR="000D3D19" w:rsidRDefault="00A9456D" w:rsidP="000D3D19">
            <w:pPr>
              <w:tabs>
                <w:tab w:val="left" w:pos="3815"/>
              </w:tabs>
              <w:jc w:val="left"/>
              <w:rPr>
                <w:szCs w:val="17"/>
              </w:rPr>
            </w:pPr>
            <w:r w:rsidRPr="00F70965">
              <w:rPr>
                <w:b/>
                <w:bCs/>
                <w:color w:val="FF0000"/>
                <w:szCs w:val="17"/>
              </w:rPr>
              <w:lastRenderedPageBreak/>
              <w:t>[Negative]</w:t>
            </w:r>
            <w:r w:rsidRPr="00F70965">
              <w:rPr>
                <w:szCs w:val="17"/>
              </w:rPr>
              <w:t xml:space="preserve"> </w:t>
            </w:r>
            <w:r w:rsidR="000D3D19" w:rsidRPr="00171466">
              <w:rPr>
                <w:b/>
                <w:bCs/>
                <w:szCs w:val="17"/>
              </w:rPr>
              <w:t>Prudent Person Principle</w:t>
            </w:r>
            <w:r w:rsidR="000D3D19">
              <w:rPr>
                <w:szCs w:val="17"/>
              </w:rPr>
              <w:t xml:space="preserve"> includes explicit reference to long-term impact of investment decisions on ESG factors.</w:t>
            </w:r>
          </w:p>
          <w:p w14:paraId="4E70CC77" w14:textId="77777777" w:rsidR="000D3D19" w:rsidRDefault="000D3D19" w:rsidP="000D3D19">
            <w:pPr>
              <w:tabs>
                <w:tab w:val="left" w:pos="3815"/>
              </w:tabs>
              <w:jc w:val="left"/>
              <w:rPr>
                <w:szCs w:val="17"/>
              </w:rPr>
            </w:pPr>
          </w:p>
          <w:p w14:paraId="57596859" w14:textId="76ECF24A" w:rsidR="00940B0E" w:rsidRPr="006C5F67" w:rsidRDefault="000D3D19" w:rsidP="00940B0E">
            <w:pPr>
              <w:tabs>
                <w:tab w:val="left" w:pos="3815"/>
              </w:tabs>
              <w:jc w:val="left"/>
              <w:rPr>
                <w:szCs w:val="17"/>
              </w:rPr>
            </w:pPr>
            <w:r>
              <w:rPr>
                <w:b/>
                <w:bCs/>
                <w:color w:val="00B050"/>
                <w:szCs w:val="17"/>
              </w:rPr>
              <w:t xml:space="preserve">[Positive] </w:t>
            </w:r>
            <w:r>
              <w:rPr>
                <w:szCs w:val="17"/>
              </w:rPr>
              <w:t xml:space="preserve">Some </w:t>
            </w:r>
            <w:r w:rsidRPr="00FA5578">
              <w:rPr>
                <w:b/>
                <w:bCs/>
                <w:szCs w:val="17"/>
              </w:rPr>
              <w:t>governance related changes</w:t>
            </w:r>
            <w:r>
              <w:rPr>
                <w:szCs w:val="17"/>
              </w:rPr>
              <w:t xml:space="preserve">, </w:t>
            </w:r>
            <w:r w:rsidR="00A43590">
              <w:rPr>
                <w:szCs w:val="17"/>
              </w:rPr>
              <w:t xml:space="preserve">such as </w:t>
            </w:r>
            <w:r>
              <w:rPr>
                <w:szCs w:val="17"/>
              </w:rPr>
              <w:t xml:space="preserve">AMSB members should be of good </w:t>
            </w:r>
            <w:proofErr w:type="gramStart"/>
            <w:r>
              <w:rPr>
                <w:szCs w:val="17"/>
              </w:rPr>
              <w:t>repute,</w:t>
            </w:r>
            <w:r w:rsidR="00BA4799">
              <w:rPr>
                <w:szCs w:val="17"/>
              </w:rPr>
              <w:t xml:space="preserve"> </w:t>
            </w:r>
            <w:r>
              <w:rPr>
                <w:b/>
                <w:bCs/>
                <w:color w:val="00B050"/>
                <w:szCs w:val="17"/>
              </w:rPr>
              <w:t xml:space="preserve"> </w:t>
            </w:r>
            <w:r>
              <w:rPr>
                <w:szCs w:val="17"/>
              </w:rPr>
              <w:t>u</w:t>
            </w:r>
            <w:proofErr w:type="gramEnd"/>
            <w:r>
              <w:rPr>
                <w:szCs w:val="17"/>
              </w:rPr>
              <w:t>/takings shall have in place an effective sys of governance which takes into account short, medium, long term when assessing possible materialisat</w:t>
            </w:r>
            <w:r w:rsidR="00A238D2">
              <w:rPr>
                <w:szCs w:val="17"/>
              </w:rPr>
              <w:t>i</w:t>
            </w:r>
            <w:r>
              <w:rPr>
                <w:szCs w:val="17"/>
              </w:rPr>
              <w:t>on of ESG risks, and risk management system to cover ESG risks relating to investment portfolio (management) and NSAs to ensure that ESG risks are considered over an appropriate set of time horizons.</w:t>
            </w:r>
          </w:p>
        </w:tc>
        <w:tc>
          <w:tcPr>
            <w:tcW w:w="3373" w:type="dxa"/>
          </w:tcPr>
          <w:p w14:paraId="24B44557" w14:textId="4088A0D1" w:rsidR="00297396" w:rsidRDefault="00DE5D0D" w:rsidP="001D478D">
            <w:pPr>
              <w:spacing w:after="200" w:line="276" w:lineRule="auto"/>
              <w:rPr>
                <w:color w:val="1F497D" w:themeColor="text2"/>
                <w:szCs w:val="17"/>
              </w:rPr>
            </w:pPr>
            <w:r w:rsidRPr="009F6707">
              <w:rPr>
                <w:b/>
                <w:color w:val="1F497D" w:themeColor="text2"/>
                <w:szCs w:val="17"/>
              </w:rPr>
              <w:lastRenderedPageBreak/>
              <w:t xml:space="preserve">Way forward: </w:t>
            </w:r>
            <w:r w:rsidRPr="009F6707">
              <w:rPr>
                <w:color w:val="1F497D" w:themeColor="text2"/>
                <w:szCs w:val="17"/>
              </w:rPr>
              <w:t xml:space="preserve">  </w:t>
            </w:r>
            <w:r w:rsidR="001D478D">
              <w:rPr>
                <w:color w:val="1F497D" w:themeColor="text2"/>
                <w:szCs w:val="17"/>
              </w:rPr>
              <w:t xml:space="preserve">Support the </w:t>
            </w:r>
            <w:r w:rsidR="001D478D" w:rsidRPr="00297396">
              <w:rPr>
                <w:b/>
                <w:bCs/>
                <w:color w:val="1F497D" w:themeColor="text2"/>
                <w:szCs w:val="17"/>
              </w:rPr>
              <w:t>EC</w:t>
            </w:r>
            <w:r w:rsidR="00FE37AF" w:rsidRPr="00A15223">
              <w:rPr>
                <w:b/>
                <w:bCs/>
                <w:color w:val="1F497D" w:themeColor="text2"/>
                <w:szCs w:val="17"/>
              </w:rPr>
              <w:t>/</w:t>
            </w:r>
            <w:r w:rsidR="00ED3594" w:rsidRPr="00A15223">
              <w:rPr>
                <w:b/>
                <w:bCs/>
                <w:color w:val="1F497D" w:themeColor="text2"/>
                <w:szCs w:val="17"/>
              </w:rPr>
              <w:t>Council</w:t>
            </w:r>
            <w:r w:rsidR="001D478D" w:rsidRPr="00297396">
              <w:rPr>
                <w:b/>
                <w:bCs/>
                <w:color w:val="1F497D" w:themeColor="text2"/>
                <w:szCs w:val="17"/>
              </w:rPr>
              <w:t xml:space="preserve"> proposals</w:t>
            </w:r>
            <w:r w:rsidR="00745EDD">
              <w:rPr>
                <w:color w:val="1F497D" w:themeColor="text2"/>
                <w:szCs w:val="17"/>
              </w:rPr>
              <w:t xml:space="preserve">. </w:t>
            </w:r>
          </w:p>
          <w:p w14:paraId="1BB44BB0" w14:textId="4742F838" w:rsidR="001D478D" w:rsidRDefault="002F144A" w:rsidP="001D478D">
            <w:pPr>
              <w:spacing w:after="200" w:line="276" w:lineRule="auto"/>
              <w:rPr>
                <w:color w:val="1F497D" w:themeColor="text2"/>
                <w:szCs w:val="17"/>
              </w:rPr>
            </w:pPr>
            <w:r>
              <w:rPr>
                <w:color w:val="1F497D" w:themeColor="text2"/>
                <w:szCs w:val="17"/>
              </w:rPr>
              <w:t>At the same time</w:t>
            </w:r>
            <w:r w:rsidR="00216608">
              <w:rPr>
                <w:color w:val="1F497D" w:themeColor="text2"/>
                <w:szCs w:val="17"/>
              </w:rPr>
              <w:t xml:space="preserve"> </w:t>
            </w:r>
            <w:r w:rsidR="00907617">
              <w:rPr>
                <w:color w:val="1F497D" w:themeColor="text2"/>
                <w:szCs w:val="17"/>
              </w:rPr>
              <w:t>oppose</w:t>
            </w:r>
            <w:r w:rsidR="001D478D">
              <w:rPr>
                <w:color w:val="1F497D" w:themeColor="text2"/>
                <w:szCs w:val="17"/>
              </w:rPr>
              <w:t xml:space="preserve"> the </w:t>
            </w:r>
            <w:r w:rsidR="00907617">
              <w:rPr>
                <w:color w:val="1F497D" w:themeColor="text2"/>
                <w:szCs w:val="17"/>
              </w:rPr>
              <w:t>inclusion of</w:t>
            </w:r>
            <w:r w:rsidR="001D478D">
              <w:rPr>
                <w:color w:val="1F497D" w:themeColor="text2"/>
                <w:szCs w:val="17"/>
              </w:rPr>
              <w:t xml:space="preserve"> the following EP proposals</w:t>
            </w:r>
            <w:r w:rsidR="00216608">
              <w:rPr>
                <w:color w:val="1F497D" w:themeColor="text2"/>
                <w:szCs w:val="17"/>
              </w:rPr>
              <w:t>:</w:t>
            </w:r>
          </w:p>
          <w:p w14:paraId="6EC8607F" w14:textId="77777777" w:rsidR="001D478D" w:rsidRDefault="001D478D" w:rsidP="001D478D">
            <w:pPr>
              <w:pStyle w:val="CEABullet-Level1"/>
              <w:rPr>
                <w:color w:val="002060"/>
              </w:rPr>
            </w:pPr>
            <w:r>
              <w:rPr>
                <w:color w:val="002060"/>
              </w:rPr>
              <w:t>transition plans in the SII directive as proposed by the EP</w:t>
            </w:r>
          </w:p>
          <w:p w14:paraId="182AE5DF" w14:textId="77777777" w:rsidR="001D478D" w:rsidRDefault="001D478D" w:rsidP="001D478D">
            <w:pPr>
              <w:pStyle w:val="CEABullet-Level1"/>
              <w:rPr>
                <w:color w:val="002060"/>
              </w:rPr>
            </w:pPr>
            <w:r>
              <w:rPr>
                <w:color w:val="002060"/>
              </w:rPr>
              <w:t>Disclosure of climate sensitivity analysis results in SFCR.</w:t>
            </w:r>
          </w:p>
          <w:p w14:paraId="40C147B2" w14:textId="77777777" w:rsidR="001D478D" w:rsidRDefault="001D478D" w:rsidP="001D478D">
            <w:pPr>
              <w:pStyle w:val="CEABullet-Level1"/>
              <w:rPr>
                <w:color w:val="002060"/>
              </w:rPr>
            </w:pPr>
            <w:r>
              <w:rPr>
                <w:color w:val="002060"/>
              </w:rPr>
              <w:t>EIOPA mandate to assess extent to which biodiversity risks are considered in ORSA.</w:t>
            </w:r>
          </w:p>
          <w:p w14:paraId="1C051060" w14:textId="407A7CD8" w:rsidR="00940B0E" w:rsidRDefault="00940B0E" w:rsidP="00940B0E">
            <w:pPr>
              <w:spacing w:after="200" w:line="276" w:lineRule="auto"/>
              <w:rPr>
                <w:b/>
                <w:color w:val="E36C0A" w:themeColor="accent6" w:themeShade="BF"/>
                <w:szCs w:val="17"/>
              </w:rPr>
            </w:pPr>
          </w:p>
        </w:tc>
      </w:tr>
      <w:tr w:rsidR="00940B0E" w14:paraId="67D39BAC" w14:textId="77777777" w:rsidTr="00226E73">
        <w:trPr>
          <w:trHeight w:val="2160"/>
        </w:trPr>
        <w:tc>
          <w:tcPr>
            <w:tcW w:w="1447" w:type="dxa"/>
          </w:tcPr>
          <w:p w14:paraId="088A3C86" w14:textId="5DBC1419" w:rsidR="00940B0E" w:rsidRDefault="00C21020" w:rsidP="00940B0E">
            <w:pPr>
              <w:tabs>
                <w:tab w:val="left" w:pos="3815"/>
              </w:tabs>
              <w:jc w:val="left"/>
              <w:rPr>
                <w:b/>
                <w:szCs w:val="17"/>
              </w:rPr>
            </w:pPr>
            <w:r>
              <w:br w:type="page"/>
            </w:r>
            <w:r w:rsidR="00940B0E">
              <w:rPr>
                <w:b/>
                <w:szCs w:val="17"/>
              </w:rPr>
              <w:t>Proportionality</w:t>
            </w:r>
          </w:p>
        </w:tc>
        <w:tc>
          <w:tcPr>
            <w:tcW w:w="3118" w:type="dxa"/>
          </w:tcPr>
          <w:p w14:paraId="262BC328" w14:textId="77777777" w:rsidR="00940B0E" w:rsidRDefault="00940B0E" w:rsidP="00940B0E">
            <w:pPr>
              <w:pStyle w:val="CEABullet-Level1"/>
              <w:numPr>
                <w:ilvl w:val="0"/>
                <w:numId w:val="0"/>
              </w:numPr>
              <w:spacing w:line="30" w:lineRule="atLeast"/>
              <w:jc w:val="left"/>
              <w:rPr>
                <w:b/>
                <w:bCs/>
                <w:color w:val="00B050"/>
                <w:szCs w:val="17"/>
              </w:rPr>
            </w:pPr>
            <w:r w:rsidRPr="00BD5AF9">
              <w:rPr>
                <w:b/>
                <w:bCs/>
                <w:color w:val="00B050"/>
                <w:szCs w:val="17"/>
              </w:rPr>
              <w:t>[Positive]</w:t>
            </w:r>
            <w:r>
              <w:rPr>
                <w:b/>
                <w:bCs/>
                <w:color w:val="00B050"/>
                <w:szCs w:val="17"/>
              </w:rPr>
              <w:t xml:space="preserve"> </w:t>
            </w:r>
          </w:p>
          <w:p w14:paraId="77EA8CC0" w14:textId="77777777" w:rsidR="00940B0E" w:rsidRDefault="00940B0E" w:rsidP="00940B0E">
            <w:pPr>
              <w:pStyle w:val="CEABullet-Level1"/>
              <w:numPr>
                <w:ilvl w:val="0"/>
                <w:numId w:val="6"/>
              </w:numPr>
              <w:spacing w:line="30" w:lineRule="atLeast"/>
              <w:jc w:val="left"/>
              <w:rPr>
                <w:bCs/>
                <w:color w:val="auto"/>
                <w:szCs w:val="17"/>
              </w:rPr>
            </w:pPr>
            <w:r w:rsidRPr="00F57182">
              <w:rPr>
                <w:color w:val="auto"/>
                <w:szCs w:val="17"/>
              </w:rPr>
              <w:t xml:space="preserve">Automatic proportionality for </w:t>
            </w:r>
            <w:r>
              <w:rPr>
                <w:bCs/>
                <w:color w:val="auto"/>
                <w:szCs w:val="17"/>
              </w:rPr>
              <w:t>LRPU</w:t>
            </w:r>
            <w:r w:rsidRPr="00F57182">
              <w:rPr>
                <w:color w:val="auto"/>
                <w:szCs w:val="17"/>
              </w:rPr>
              <w:t xml:space="preserve"> and extended to low</w:t>
            </w:r>
            <w:r>
              <w:rPr>
                <w:color w:val="auto"/>
                <w:szCs w:val="17"/>
              </w:rPr>
              <w:t>-</w:t>
            </w:r>
            <w:r w:rsidRPr="00F57182">
              <w:rPr>
                <w:color w:val="auto"/>
                <w:szCs w:val="17"/>
              </w:rPr>
              <w:t xml:space="preserve">risk groups </w:t>
            </w:r>
          </w:p>
          <w:p w14:paraId="7C269CEE" w14:textId="77777777" w:rsidR="00940B0E" w:rsidRPr="00F57182" w:rsidRDefault="00940B0E" w:rsidP="00940B0E">
            <w:pPr>
              <w:pStyle w:val="CEABullet-Level1"/>
              <w:numPr>
                <w:ilvl w:val="0"/>
                <w:numId w:val="6"/>
              </w:numPr>
              <w:spacing w:line="30" w:lineRule="atLeast"/>
              <w:jc w:val="left"/>
              <w:rPr>
                <w:color w:val="auto"/>
                <w:szCs w:val="17"/>
              </w:rPr>
            </w:pPr>
            <w:r w:rsidRPr="00F57182">
              <w:rPr>
                <w:color w:val="auto"/>
                <w:szCs w:val="17"/>
              </w:rPr>
              <w:t>List of proportionality measures that apply automatically for LRPU</w:t>
            </w:r>
            <w:r w:rsidRPr="00F57182" w:rsidDel="00495AE3">
              <w:rPr>
                <w:color w:val="auto"/>
                <w:szCs w:val="17"/>
              </w:rPr>
              <w:t xml:space="preserve"> </w:t>
            </w:r>
          </w:p>
          <w:p w14:paraId="5FCB317E" w14:textId="77777777" w:rsidR="00940B0E" w:rsidRDefault="00940B0E" w:rsidP="00940B0E">
            <w:pPr>
              <w:pStyle w:val="CEABullet-Level1"/>
              <w:numPr>
                <w:ilvl w:val="0"/>
                <w:numId w:val="0"/>
              </w:numPr>
              <w:jc w:val="left"/>
              <w:rPr>
                <w:szCs w:val="17"/>
              </w:rPr>
            </w:pPr>
            <w:r w:rsidRPr="00D709D2">
              <w:rPr>
                <w:b/>
                <w:bCs/>
                <w:color w:val="FF0000"/>
                <w:szCs w:val="17"/>
              </w:rPr>
              <w:t>[Negat</w:t>
            </w:r>
            <w:r>
              <w:rPr>
                <w:b/>
                <w:bCs/>
                <w:color w:val="FF0000"/>
                <w:szCs w:val="17"/>
              </w:rPr>
              <w:t xml:space="preserve">ive] </w:t>
            </w:r>
            <w:r w:rsidRPr="00940B0E">
              <w:rPr>
                <w:szCs w:val="17"/>
              </w:rPr>
              <w:t>However, criteria to identify low risk undertakings are too restrictive and not risk based</w:t>
            </w:r>
          </w:p>
          <w:p w14:paraId="688E540A" w14:textId="77777777" w:rsidR="007C287A" w:rsidRDefault="007C287A" w:rsidP="00940B0E">
            <w:pPr>
              <w:pStyle w:val="CEABullet-Level1"/>
              <w:numPr>
                <w:ilvl w:val="0"/>
                <w:numId w:val="0"/>
              </w:numPr>
              <w:jc w:val="left"/>
              <w:rPr>
                <w:b/>
                <w:bCs/>
                <w:color w:val="00B050"/>
                <w:szCs w:val="17"/>
              </w:rPr>
            </w:pPr>
          </w:p>
          <w:p w14:paraId="6B9976BC" w14:textId="77777777" w:rsidR="007C287A" w:rsidRDefault="007C287A" w:rsidP="00940B0E">
            <w:pPr>
              <w:pStyle w:val="CEABullet-Level1"/>
              <w:numPr>
                <w:ilvl w:val="0"/>
                <w:numId w:val="0"/>
              </w:numPr>
              <w:jc w:val="left"/>
              <w:rPr>
                <w:b/>
                <w:bCs/>
                <w:color w:val="00B050"/>
                <w:szCs w:val="17"/>
              </w:rPr>
            </w:pPr>
          </w:p>
          <w:p w14:paraId="646CE286" w14:textId="77777777" w:rsidR="007C287A" w:rsidRDefault="007C287A" w:rsidP="00940B0E">
            <w:pPr>
              <w:pStyle w:val="CEABullet-Level1"/>
              <w:numPr>
                <w:ilvl w:val="0"/>
                <w:numId w:val="0"/>
              </w:numPr>
              <w:jc w:val="left"/>
              <w:rPr>
                <w:b/>
                <w:bCs/>
                <w:color w:val="00B050"/>
                <w:szCs w:val="17"/>
              </w:rPr>
            </w:pPr>
          </w:p>
          <w:p w14:paraId="34582144" w14:textId="77777777" w:rsidR="007C287A" w:rsidRDefault="007C287A" w:rsidP="00940B0E">
            <w:pPr>
              <w:pStyle w:val="CEABullet-Level1"/>
              <w:numPr>
                <w:ilvl w:val="0"/>
                <w:numId w:val="0"/>
              </w:numPr>
              <w:jc w:val="left"/>
              <w:rPr>
                <w:b/>
                <w:bCs/>
                <w:color w:val="00B050"/>
                <w:szCs w:val="17"/>
              </w:rPr>
            </w:pPr>
          </w:p>
          <w:p w14:paraId="231B98BE" w14:textId="77777777" w:rsidR="007C287A" w:rsidRDefault="007C287A" w:rsidP="00940B0E">
            <w:pPr>
              <w:pStyle w:val="CEABullet-Level1"/>
              <w:numPr>
                <w:ilvl w:val="0"/>
                <w:numId w:val="0"/>
              </w:numPr>
              <w:jc w:val="left"/>
              <w:rPr>
                <w:b/>
                <w:bCs/>
                <w:color w:val="00B050"/>
                <w:szCs w:val="17"/>
              </w:rPr>
            </w:pPr>
          </w:p>
          <w:p w14:paraId="72701B44" w14:textId="77777777" w:rsidR="007C287A" w:rsidRDefault="007C287A" w:rsidP="00940B0E">
            <w:pPr>
              <w:pStyle w:val="CEABullet-Level1"/>
              <w:numPr>
                <w:ilvl w:val="0"/>
                <w:numId w:val="0"/>
              </w:numPr>
              <w:jc w:val="left"/>
              <w:rPr>
                <w:b/>
                <w:bCs/>
                <w:color w:val="00B050"/>
                <w:szCs w:val="17"/>
              </w:rPr>
            </w:pPr>
          </w:p>
          <w:p w14:paraId="251DCB23" w14:textId="77777777" w:rsidR="007C287A" w:rsidRDefault="007C287A" w:rsidP="00940B0E">
            <w:pPr>
              <w:pStyle w:val="CEABullet-Level1"/>
              <w:numPr>
                <w:ilvl w:val="0"/>
                <w:numId w:val="0"/>
              </w:numPr>
              <w:jc w:val="left"/>
              <w:rPr>
                <w:b/>
                <w:bCs/>
                <w:color w:val="00B050"/>
                <w:szCs w:val="17"/>
              </w:rPr>
            </w:pPr>
          </w:p>
          <w:p w14:paraId="33FC08A3" w14:textId="77777777" w:rsidR="007C287A" w:rsidRDefault="007C287A" w:rsidP="00940B0E">
            <w:pPr>
              <w:pStyle w:val="CEABullet-Level1"/>
              <w:numPr>
                <w:ilvl w:val="0"/>
                <w:numId w:val="0"/>
              </w:numPr>
              <w:jc w:val="left"/>
              <w:rPr>
                <w:b/>
                <w:bCs/>
                <w:color w:val="00B050"/>
                <w:szCs w:val="17"/>
              </w:rPr>
            </w:pPr>
          </w:p>
          <w:p w14:paraId="58059641" w14:textId="77777777" w:rsidR="007C287A" w:rsidRDefault="007C287A" w:rsidP="00940B0E">
            <w:pPr>
              <w:pStyle w:val="CEABullet-Level1"/>
              <w:numPr>
                <w:ilvl w:val="0"/>
                <w:numId w:val="0"/>
              </w:numPr>
              <w:jc w:val="left"/>
              <w:rPr>
                <w:b/>
                <w:bCs/>
                <w:color w:val="00B050"/>
                <w:szCs w:val="17"/>
              </w:rPr>
            </w:pPr>
          </w:p>
          <w:p w14:paraId="762AEECA" w14:textId="77777777" w:rsidR="007C287A" w:rsidRDefault="007C287A" w:rsidP="00940B0E">
            <w:pPr>
              <w:pStyle w:val="CEABullet-Level1"/>
              <w:numPr>
                <w:ilvl w:val="0"/>
                <w:numId w:val="0"/>
              </w:numPr>
              <w:jc w:val="left"/>
              <w:rPr>
                <w:b/>
                <w:bCs/>
                <w:color w:val="00B050"/>
                <w:szCs w:val="17"/>
              </w:rPr>
            </w:pPr>
          </w:p>
          <w:p w14:paraId="6E1A628D" w14:textId="77777777" w:rsidR="007C287A" w:rsidRDefault="007C287A" w:rsidP="00940B0E">
            <w:pPr>
              <w:pStyle w:val="CEABullet-Level1"/>
              <w:numPr>
                <w:ilvl w:val="0"/>
                <w:numId w:val="0"/>
              </w:numPr>
              <w:jc w:val="left"/>
              <w:rPr>
                <w:b/>
                <w:bCs/>
                <w:color w:val="00B050"/>
                <w:szCs w:val="17"/>
              </w:rPr>
            </w:pPr>
          </w:p>
          <w:p w14:paraId="117A41EF" w14:textId="77777777" w:rsidR="007C287A" w:rsidRDefault="007C287A" w:rsidP="00940B0E">
            <w:pPr>
              <w:pStyle w:val="CEABullet-Level1"/>
              <w:numPr>
                <w:ilvl w:val="0"/>
                <w:numId w:val="0"/>
              </w:numPr>
              <w:jc w:val="left"/>
              <w:rPr>
                <w:b/>
                <w:bCs/>
                <w:color w:val="00B050"/>
                <w:szCs w:val="17"/>
              </w:rPr>
            </w:pPr>
          </w:p>
          <w:p w14:paraId="28C8FE77" w14:textId="77777777" w:rsidR="007C287A" w:rsidRDefault="007C287A" w:rsidP="00940B0E">
            <w:pPr>
              <w:pStyle w:val="CEABullet-Level1"/>
              <w:numPr>
                <w:ilvl w:val="0"/>
                <w:numId w:val="0"/>
              </w:numPr>
              <w:jc w:val="left"/>
              <w:rPr>
                <w:b/>
                <w:bCs/>
                <w:color w:val="00B050"/>
                <w:szCs w:val="17"/>
              </w:rPr>
            </w:pPr>
          </w:p>
          <w:p w14:paraId="6D7EF0FA" w14:textId="77777777" w:rsidR="007C287A" w:rsidRDefault="007C287A" w:rsidP="00940B0E">
            <w:pPr>
              <w:pStyle w:val="CEABullet-Level1"/>
              <w:numPr>
                <w:ilvl w:val="0"/>
                <w:numId w:val="0"/>
              </w:numPr>
              <w:jc w:val="left"/>
              <w:rPr>
                <w:b/>
                <w:bCs/>
                <w:color w:val="00B050"/>
                <w:szCs w:val="17"/>
              </w:rPr>
            </w:pPr>
          </w:p>
          <w:p w14:paraId="388B92A7" w14:textId="77777777" w:rsidR="007C287A" w:rsidRDefault="007C287A" w:rsidP="00940B0E">
            <w:pPr>
              <w:pStyle w:val="CEABullet-Level1"/>
              <w:numPr>
                <w:ilvl w:val="0"/>
                <w:numId w:val="0"/>
              </w:numPr>
              <w:jc w:val="left"/>
              <w:rPr>
                <w:b/>
                <w:bCs/>
                <w:color w:val="00B050"/>
                <w:szCs w:val="17"/>
              </w:rPr>
            </w:pPr>
          </w:p>
          <w:p w14:paraId="71C519F6" w14:textId="77777777" w:rsidR="007C287A" w:rsidRDefault="007C287A" w:rsidP="00940B0E">
            <w:pPr>
              <w:pStyle w:val="CEABullet-Level1"/>
              <w:numPr>
                <w:ilvl w:val="0"/>
                <w:numId w:val="0"/>
              </w:numPr>
              <w:jc w:val="left"/>
              <w:rPr>
                <w:b/>
                <w:bCs/>
                <w:color w:val="00B050"/>
                <w:szCs w:val="17"/>
              </w:rPr>
            </w:pPr>
          </w:p>
          <w:p w14:paraId="5FE20C9E" w14:textId="77777777" w:rsidR="007C287A" w:rsidRDefault="007C287A" w:rsidP="00940B0E">
            <w:pPr>
              <w:pStyle w:val="CEABullet-Level1"/>
              <w:numPr>
                <w:ilvl w:val="0"/>
                <w:numId w:val="0"/>
              </w:numPr>
              <w:jc w:val="left"/>
              <w:rPr>
                <w:b/>
                <w:bCs/>
                <w:color w:val="00B050"/>
                <w:szCs w:val="17"/>
              </w:rPr>
            </w:pPr>
          </w:p>
          <w:p w14:paraId="03E47F84" w14:textId="77777777" w:rsidR="007C287A" w:rsidRDefault="007C287A" w:rsidP="00940B0E">
            <w:pPr>
              <w:pStyle w:val="CEABullet-Level1"/>
              <w:numPr>
                <w:ilvl w:val="0"/>
                <w:numId w:val="0"/>
              </w:numPr>
              <w:jc w:val="left"/>
              <w:rPr>
                <w:b/>
                <w:bCs/>
                <w:color w:val="00B050"/>
                <w:szCs w:val="17"/>
              </w:rPr>
            </w:pPr>
          </w:p>
          <w:p w14:paraId="48E9788C" w14:textId="77777777" w:rsidR="007C287A" w:rsidRDefault="007C287A" w:rsidP="00940B0E">
            <w:pPr>
              <w:pStyle w:val="CEABullet-Level1"/>
              <w:numPr>
                <w:ilvl w:val="0"/>
                <w:numId w:val="0"/>
              </w:numPr>
              <w:jc w:val="left"/>
              <w:rPr>
                <w:b/>
                <w:bCs/>
                <w:color w:val="00B050"/>
                <w:szCs w:val="17"/>
              </w:rPr>
            </w:pPr>
          </w:p>
          <w:p w14:paraId="21385C0C" w14:textId="77777777" w:rsidR="007C287A" w:rsidRDefault="007C287A" w:rsidP="00940B0E">
            <w:pPr>
              <w:pStyle w:val="CEABullet-Level1"/>
              <w:numPr>
                <w:ilvl w:val="0"/>
                <w:numId w:val="0"/>
              </w:numPr>
              <w:jc w:val="left"/>
              <w:rPr>
                <w:b/>
                <w:bCs/>
                <w:color w:val="00B050"/>
                <w:szCs w:val="17"/>
              </w:rPr>
            </w:pPr>
          </w:p>
          <w:p w14:paraId="6C297A65" w14:textId="77777777" w:rsidR="007C287A" w:rsidRDefault="007C287A" w:rsidP="00940B0E">
            <w:pPr>
              <w:pStyle w:val="CEABullet-Level1"/>
              <w:numPr>
                <w:ilvl w:val="0"/>
                <w:numId w:val="0"/>
              </w:numPr>
              <w:jc w:val="left"/>
              <w:rPr>
                <w:b/>
                <w:bCs/>
                <w:color w:val="00B050"/>
                <w:szCs w:val="17"/>
              </w:rPr>
            </w:pPr>
          </w:p>
          <w:p w14:paraId="2F39736D" w14:textId="77777777" w:rsidR="007C287A" w:rsidRDefault="007C287A" w:rsidP="00940B0E">
            <w:pPr>
              <w:pStyle w:val="CEABullet-Level1"/>
              <w:numPr>
                <w:ilvl w:val="0"/>
                <w:numId w:val="0"/>
              </w:numPr>
              <w:jc w:val="left"/>
              <w:rPr>
                <w:b/>
                <w:bCs/>
                <w:color w:val="00B050"/>
                <w:szCs w:val="17"/>
              </w:rPr>
            </w:pPr>
          </w:p>
          <w:p w14:paraId="15691037" w14:textId="77777777" w:rsidR="007C287A" w:rsidRDefault="007C287A" w:rsidP="00940B0E">
            <w:pPr>
              <w:pStyle w:val="CEABullet-Level1"/>
              <w:numPr>
                <w:ilvl w:val="0"/>
                <w:numId w:val="0"/>
              </w:numPr>
              <w:jc w:val="left"/>
              <w:rPr>
                <w:b/>
                <w:bCs/>
                <w:color w:val="00B050"/>
                <w:szCs w:val="17"/>
              </w:rPr>
            </w:pPr>
          </w:p>
          <w:p w14:paraId="5F12488F" w14:textId="77777777" w:rsidR="007C287A" w:rsidRDefault="007C287A" w:rsidP="00940B0E">
            <w:pPr>
              <w:pStyle w:val="CEABullet-Level1"/>
              <w:numPr>
                <w:ilvl w:val="0"/>
                <w:numId w:val="0"/>
              </w:numPr>
              <w:jc w:val="left"/>
              <w:rPr>
                <w:b/>
                <w:bCs/>
                <w:color w:val="00B050"/>
                <w:szCs w:val="17"/>
              </w:rPr>
            </w:pPr>
          </w:p>
          <w:p w14:paraId="6E90B1AB" w14:textId="77777777" w:rsidR="007C287A" w:rsidRDefault="007C287A" w:rsidP="00940B0E">
            <w:pPr>
              <w:pStyle w:val="CEABullet-Level1"/>
              <w:numPr>
                <w:ilvl w:val="0"/>
                <w:numId w:val="0"/>
              </w:numPr>
              <w:jc w:val="left"/>
              <w:rPr>
                <w:b/>
                <w:bCs/>
                <w:color w:val="00B050"/>
                <w:szCs w:val="17"/>
              </w:rPr>
            </w:pPr>
          </w:p>
          <w:p w14:paraId="6049D306" w14:textId="77777777" w:rsidR="007C287A" w:rsidRDefault="007C287A" w:rsidP="00940B0E">
            <w:pPr>
              <w:pStyle w:val="CEABullet-Level1"/>
              <w:numPr>
                <w:ilvl w:val="0"/>
                <w:numId w:val="0"/>
              </w:numPr>
              <w:jc w:val="left"/>
              <w:rPr>
                <w:b/>
                <w:bCs/>
                <w:color w:val="00B050"/>
                <w:szCs w:val="17"/>
              </w:rPr>
            </w:pPr>
          </w:p>
          <w:p w14:paraId="05D6281D" w14:textId="77777777" w:rsidR="007C287A" w:rsidRDefault="007C287A" w:rsidP="00940B0E">
            <w:pPr>
              <w:pStyle w:val="CEABullet-Level1"/>
              <w:numPr>
                <w:ilvl w:val="0"/>
                <w:numId w:val="0"/>
              </w:numPr>
              <w:jc w:val="left"/>
              <w:rPr>
                <w:b/>
                <w:bCs/>
                <w:color w:val="00B050"/>
                <w:szCs w:val="17"/>
              </w:rPr>
            </w:pPr>
          </w:p>
          <w:p w14:paraId="037A08D2" w14:textId="77777777" w:rsidR="007C287A" w:rsidRDefault="007C287A" w:rsidP="00940B0E">
            <w:pPr>
              <w:pStyle w:val="CEABullet-Level1"/>
              <w:numPr>
                <w:ilvl w:val="0"/>
                <w:numId w:val="0"/>
              </w:numPr>
              <w:jc w:val="left"/>
              <w:rPr>
                <w:b/>
                <w:bCs/>
                <w:color w:val="00B050"/>
                <w:szCs w:val="17"/>
              </w:rPr>
            </w:pPr>
          </w:p>
          <w:p w14:paraId="55EDD9BE" w14:textId="77777777" w:rsidR="007C287A" w:rsidRDefault="007C287A" w:rsidP="00940B0E">
            <w:pPr>
              <w:pStyle w:val="CEABullet-Level1"/>
              <w:numPr>
                <w:ilvl w:val="0"/>
                <w:numId w:val="0"/>
              </w:numPr>
              <w:jc w:val="left"/>
              <w:rPr>
                <w:b/>
                <w:bCs/>
                <w:color w:val="00B050"/>
                <w:szCs w:val="17"/>
              </w:rPr>
            </w:pPr>
          </w:p>
          <w:p w14:paraId="13179D8C" w14:textId="77777777" w:rsidR="007C287A" w:rsidRDefault="007C287A" w:rsidP="00940B0E">
            <w:pPr>
              <w:pStyle w:val="CEABullet-Level1"/>
              <w:numPr>
                <w:ilvl w:val="0"/>
                <w:numId w:val="0"/>
              </w:numPr>
              <w:jc w:val="left"/>
              <w:rPr>
                <w:b/>
                <w:bCs/>
                <w:color w:val="00B050"/>
                <w:szCs w:val="17"/>
              </w:rPr>
            </w:pPr>
          </w:p>
          <w:p w14:paraId="066666DD" w14:textId="77777777" w:rsidR="007C287A" w:rsidRDefault="007C287A" w:rsidP="00940B0E">
            <w:pPr>
              <w:pStyle w:val="CEABullet-Level1"/>
              <w:numPr>
                <w:ilvl w:val="0"/>
                <w:numId w:val="0"/>
              </w:numPr>
              <w:jc w:val="left"/>
              <w:rPr>
                <w:b/>
                <w:bCs/>
                <w:color w:val="00B050"/>
                <w:szCs w:val="17"/>
              </w:rPr>
            </w:pPr>
          </w:p>
          <w:p w14:paraId="043AEE7A" w14:textId="77777777" w:rsidR="007C287A" w:rsidRDefault="007C287A" w:rsidP="00940B0E">
            <w:pPr>
              <w:pStyle w:val="CEABullet-Level1"/>
              <w:numPr>
                <w:ilvl w:val="0"/>
                <w:numId w:val="0"/>
              </w:numPr>
              <w:jc w:val="left"/>
              <w:rPr>
                <w:b/>
                <w:bCs/>
                <w:color w:val="00B050"/>
                <w:szCs w:val="17"/>
              </w:rPr>
            </w:pPr>
          </w:p>
          <w:p w14:paraId="75DA2312" w14:textId="77777777" w:rsidR="007C287A" w:rsidRDefault="007C287A" w:rsidP="00940B0E">
            <w:pPr>
              <w:pStyle w:val="CEABullet-Level1"/>
              <w:numPr>
                <w:ilvl w:val="0"/>
                <w:numId w:val="0"/>
              </w:numPr>
              <w:jc w:val="left"/>
              <w:rPr>
                <w:b/>
                <w:bCs/>
                <w:color w:val="00B050"/>
                <w:szCs w:val="17"/>
              </w:rPr>
            </w:pPr>
          </w:p>
          <w:p w14:paraId="731B0A26" w14:textId="77777777" w:rsidR="007C287A" w:rsidRDefault="007C287A" w:rsidP="00940B0E">
            <w:pPr>
              <w:pStyle w:val="CEABullet-Level1"/>
              <w:numPr>
                <w:ilvl w:val="0"/>
                <w:numId w:val="0"/>
              </w:numPr>
              <w:jc w:val="left"/>
              <w:rPr>
                <w:b/>
                <w:bCs/>
                <w:color w:val="00B050"/>
                <w:szCs w:val="17"/>
              </w:rPr>
            </w:pPr>
          </w:p>
          <w:p w14:paraId="045C3CFE" w14:textId="77777777" w:rsidR="007C287A" w:rsidRDefault="007C287A" w:rsidP="00940B0E">
            <w:pPr>
              <w:pStyle w:val="CEABullet-Level1"/>
              <w:numPr>
                <w:ilvl w:val="0"/>
                <w:numId w:val="0"/>
              </w:numPr>
              <w:jc w:val="left"/>
              <w:rPr>
                <w:b/>
                <w:bCs/>
                <w:color w:val="00B050"/>
                <w:szCs w:val="17"/>
              </w:rPr>
            </w:pPr>
          </w:p>
          <w:p w14:paraId="4CBC9C02" w14:textId="77777777" w:rsidR="007C287A" w:rsidRDefault="007C287A" w:rsidP="00940B0E">
            <w:pPr>
              <w:pStyle w:val="CEABullet-Level1"/>
              <w:numPr>
                <w:ilvl w:val="0"/>
                <w:numId w:val="0"/>
              </w:numPr>
              <w:jc w:val="left"/>
              <w:rPr>
                <w:b/>
                <w:bCs/>
                <w:color w:val="00B050"/>
                <w:szCs w:val="17"/>
              </w:rPr>
            </w:pPr>
          </w:p>
          <w:p w14:paraId="493F6EC6" w14:textId="77777777" w:rsidR="007C287A" w:rsidRDefault="007C287A" w:rsidP="00940B0E">
            <w:pPr>
              <w:pStyle w:val="CEABullet-Level1"/>
              <w:numPr>
                <w:ilvl w:val="0"/>
                <w:numId w:val="0"/>
              </w:numPr>
              <w:jc w:val="left"/>
              <w:rPr>
                <w:b/>
                <w:bCs/>
                <w:color w:val="00B050"/>
                <w:szCs w:val="17"/>
              </w:rPr>
            </w:pPr>
          </w:p>
          <w:p w14:paraId="330A7E7B" w14:textId="77777777" w:rsidR="007C287A" w:rsidRDefault="007C287A" w:rsidP="00940B0E">
            <w:pPr>
              <w:pStyle w:val="CEABullet-Level1"/>
              <w:numPr>
                <w:ilvl w:val="0"/>
                <w:numId w:val="0"/>
              </w:numPr>
              <w:jc w:val="left"/>
              <w:rPr>
                <w:b/>
                <w:bCs/>
                <w:color w:val="00B050"/>
                <w:szCs w:val="17"/>
              </w:rPr>
            </w:pPr>
          </w:p>
          <w:p w14:paraId="6BD05A9D" w14:textId="77777777" w:rsidR="007C287A" w:rsidRDefault="007C287A" w:rsidP="00940B0E">
            <w:pPr>
              <w:pStyle w:val="CEABullet-Level1"/>
              <w:numPr>
                <w:ilvl w:val="0"/>
                <w:numId w:val="0"/>
              </w:numPr>
              <w:jc w:val="left"/>
              <w:rPr>
                <w:b/>
                <w:bCs/>
                <w:color w:val="00B050"/>
                <w:szCs w:val="17"/>
              </w:rPr>
            </w:pPr>
          </w:p>
          <w:p w14:paraId="7D65E4D7" w14:textId="77777777" w:rsidR="007C287A" w:rsidRDefault="007C287A" w:rsidP="00940B0E">
            <w:pPr>
              <w:pStyle w:val="CEABullet-Level1"/>
              <w:numPr>
                <w:ilvl w:val="0"/>
                <w:numId w:val="0"/>
              </w:numPr>
              <w:jc w:val="left"/>
              <w:rPr>
                <w:b/>
                <w:bCs/>
                <w:color w:val="00B050"/>
                <w:szCs w:val="17"/>
              </w:rPr>
            </w:pPr>
          </w:p>
          <w:p w14:paraId="7CDC10FD" w14:textId="77777777" w:rsidR="007C287A" w:rsidRDefault="007C287A" w:rsidP="00940B0E">
            <w:pPr>
              <w:pStyle w:val="CEABullet-Level1"/>
              <w:numPr>
                <w:ilvl w:val="0"/>
                <w:numId w:val="0"/>
              </w:numPr>
              <w:jc w:val="left"/>
              <w:rPr>
                <w:b/>
                <w:bCs/>
                <w:color w:val="00B050"/>
                <w:szCs w:val="17"/>
              </w:rPr>
            </w:pPr>
          </w:p>
          <w:p w14:paraId="7CA553B0" w14:textId="77777777" w:rsidR="007C287A" w:rsidRDefault="007C287A" w:rsidP="00940B0E">
            <w:pPr>
              <w:pStyle w:val="CEABullet-Level1"/>
              <w:numPr>
                <w:ilvl w:val="0"/>
                <w:numId w:val="0"/>
              </w:numPr>
              <w:jc w:val="left"/>
              <w:rPr>
                <w:b/>
                <w:bCs/>
                <w:color w:val="00B050"/>
                <w:szCs w:val="17"/>
              </w:rPr>
            </w:pPr>
          </w:p>
          <w:p w14:paraId="2A9857AF" w14:textId="77777777" w:rsidR="007C287A" w:rsidRDefault="007C287A" w:rsidP="00940B0E">
            <w:pPr>
              <w:pStyle w:val="CEABullet-Level1"/>
              <w:numPr>
                <w:ilvl w:val="0"/>
                <w:numId w:val="0"/>
              </w:numPr>
              <w:jc w:val="left"/>
              <w:rPr>
                <w:b/>
                <w:bCs/>
                <w:color w:val="00B050"/>
                <w:szCs w:val="17"/>
              </w:rPr>
            </w:pPr>
          </w:p>
          <w:p w14:paraId="3168A952" w14:textId="77777777" w:rsidR="007C287A" w:rsidRDefault="007C287A" w:rsidP="007C287A">
            <w:pPr>
              <w:pStyle w:val="CEABullet-Level1"/>
              <w:numPr>
                <w:ilvl w:val="0"/>
                <w:numId w:val="0"/>
              </w:numPr>
              <w:spacing w:line="30" w:lineRule="atLeast"/>
              <w:jc w:val="left"/>
              <w:rPr>
                <w:szCs w:val="17"/>
              </w:rPr>
            </w:pPr>
            <w:r w:rsidRPr="00BD5AF9">
              <w:rPr>
                <w:b/>
                <w:bCs/>
                <w:color w:val="00B050"/>
                <w:szCs w:val="17"/>
              </w:rPr>
              <w:t>[Positive]</w:t>
            </w:r>
            <w:r>
              <w:rPr>
                <w:b/>
                <w:bCs/>
                <w:color w:val="00B050"/>
                <w:szCs w:val="17"/>
              </w:rPr>
              <w:t xml:space="preserve"> </w:t>
            </w:r>
            <w:r w:rsidRPr="00F57182">
              <w:rPr>
                <w:szCs w:val="17"/>
              </w:rPr>
              <w:t>introduction of simplification for non-material risks</w:t>
            </w:r>
          </w:p>
          <w:p w14:paraId="173472FA" w14:textId="77777777" w:rsidR="007C287A" w:rsidRDefault="007C287A" w:rsidP="007C287A">
            <w:pPr>
              <w:pStyle w:val="CEABullet-Level1"/>
              <w:numPr>
                <w:ilvl w:val="0"/>
                <w:numId w:val="0"/>
              </w:numPr>
              <w:spacing w:line="30" w:lineRule="atLeast"/>
              <w:jc w:val="left"/>
              <w:rPr>
                <w:color w:val="auto"/>
                <w:szCs w:val="17"/>
              </w:rPr>
            </w:pPr>
          </w:p>
          <w:p w14:paraId="3A4086D2" w14:textId="5BC1DA29" w:rsidR="007C287A" w:rsidRPr="00940B0E" w:rsidRDefault="007C287A" w:rsidP="007C0A0A">
            <w:pPr>
              <w:pStyle w:val="CEABullet-Level1"/>
              <w:numPr>
                <w:ilvl w:val="0"/>
                <w:numId w:val="0"/>
              </w:numPr>
              <w:spacing w:line="30" w:lineRule="atLeast"/>
              <w:jc w:val="left"/>
              <w:rPr>
                <w:b/>
                <w:bCs/>
                <w:color w:val="00B050"/>
                <w:szCs w:val="17"/>
              </w:rPr>
            </w:pPr>
            <w:r w:rsidRPr="00BD5AF9">
              <w:rPr>
                <w:b/>
                <w:bCs/>
                <w:color w:val="00B050"/>
                <w:szCs w:val="17"/>
              </w:rPr>
              <w:t>[Positive]</w:t>
            </w:r>
            <w:r>
              <w:rPr>
                <w:b/>
                <w:bCs/>
                <w:color w:val="00B050"/>
                <w:szCs w:val="17"/>
              </w:rPr>
              <w:t xml:space="preserve"> </w:t>
            </w:r>
            <w:r w:rsidRPr="007E7DBD">
              <w:rPr>
                <w:szCs w:val="17"/>
              </w:rPr>
              <w:t>Increase in thresholds for exclusion of SII</w:t>
            </w:r>
            <w:r>
              <w:rPr>
                <w:szCs w:val="17"/>
              </w:rPr>
              <w:t>. (</w:t>
            </w:r>
            <w:proofErr w:type="gramStart"/>
            <w:r w:rsidRPr="00BE3E8D">
              <w:rPr>
                <w:szCs w:val="17"/>
              </w:rPr>
              <w:t>technical</w:t>
            </w:r>
            <w:proofErr w:type="gramEnd"/>
            <w:r w:rsidRPr="00BE3E8D">
              <w:rPr>
                <w:szCs w:val="17"/>
              </w:rPr>
              <w:t xml:space="preserve"> provisions from €</w:t>
            </w:r>
            <w:r>
              <w:rPr>
                <w:szCs w:val="17"/>
              </w:rPr>
              <w:t>2</w:t>
            </w:r>
            <w:r w:rsidRPr="00BE3E8D">
              <w:rPr>
                <w:szCs w:val="17"/>
              </w:rPr>
              <w:t>5m to €</w:t>
            </w:r>
            <w:r>
              <w:rPr>
                <w:szCs w:val="17"/>
              </w:rPr>
              <w:t>50</w:t>
            </w:r>
            <w:r w:rsidRPr="00BE3E8D">
              <w:rPr>
                <w:szCs w:val="17"/>
              </w:rPr>
              <w:t xml:space="preserve">m </w:t>
            </w:r>
            <w:r>
              <w:rPr>
                <w:szCs w:val="17"/>
              </w:rPr>
              <w:t xml:space="preserve">and </w:t>
            </w:r>
            <w:r w:rsidRPr="00BE3E8D">
              <w:rPr>
                <w:szCs w:val="17"/>
              </w:rPr>
              <w:t>premiums from €5m to €</w:t>
            </w:r>
            <w:r>
              <w:rPr>
                <w:szCs w:val="17"/>
              </w:rPr>
              <w:t>15m)</w:t>
            </w:r>
          </w:p>
        </w:tc>
        <w:tc>
          <w:tcPr>
            <w:tcW w:w="3260" w:type="dxa"/>
          </w:tcPr>
          <w:p w14:paraId="416DBAF7" w14:textId="77777777" w:rsidR="00940B0E" w:rsidRDefault="00940B0E" w:rsidP="00940B0E">
            <w:pPr>
              <w:tabs>
                <w:tab w:val="left" w:pos="3815"/>
              </w:tabs>
              <w:jc w:val="left"/>
              <w:rPr>
                <w:b/>
                <w:color w:val="E36C0A" w:themeColor="accent6" w:themeShade="BF"/>
                <w:szCs w:val="17"/>
              </w:rPr>
            </w:pPr>
            <w:r w:rsidRPr="005D7877">
              <w:rPr>
                <w:b/>
                <w:color w:val="595959" w:themeColor="text1" w:themeTint="A6"/>
                <w:szCs w:val="17"/>
              </w:rPr>
              <w:lastRenderedPageBreak/>
              <w:t>[Neutral]</w:t>
            </w:r>
            <w:r>
              <w:rPr>
                <w:b/>
                <w:color w:val="E36C0A" w:themeColor="accent6" w:themeShade="BF"/>
                <w:szCs w:val="17"/>
              </w:rPr>
              <w:t xml:space="preserve"> </w:t>
            </w:r>
          </w:p>
          <w:p w14:paraId="29AA7B8F" w14:textId="42C3FB06" w:rsidR="00940B0E" w:rsidRDefault="00940B0E" w:rsidP="00940B0E">
            <w:pPr>
              <w:pStyle w:val="CEABullet-Level1"/>
              <w:ind w:left="360"/>
              <w:jc w:val="left"/>
            </w:pPr>
            <w:r>
              <w:t xml:space="preserve">LRPU is labelled as small and non-complex undertaking, which aligns with banking wording. (Art. 13) </w:t>
            </w:r>
          </w:p>
          <w:p w14:paraId="0C52F106" w14:textId="77777777" w:rsidR="00940B0E" w:rsidRPr="00B66284" w:rsidRDefault="00940B0E" w:rsidP="00940B0E">
            <w:pPr>
              <w:pStyle w:val="CEABullet-Level1"/>
              <w:ind w:left="360"/>
              <w:jc w:val="left"/>
            </w:pPr>
            <w:r w:rsidRPr="00DD7CCE">
              <w:t>Conditions:</w:t>
            </w:r>
          </w:p>
          <w:p w14:paraId="64F51F03" w14:textId="77777777" w:rsidR="00940B0E" w:rsidRPr="00765D77" w:rsidRDefault="00940B0E" w:rsidP="00940B0E">
            <w:pPr>
              <w:pStyle w:val="Odsekzoznamu"/>
              <w:numPr>
                <w:ilvl w:val="1"/>
                <w:numId w:val="6"/>
              </w:numPr>
              <w:ind w:left="596"/>
              <w:jc w:val="left"/>
              <w:rPr>
                <w:rFonts w:cs="Frutiger LT Std 45 Light"/>
                <w:szCs w:val="17"/>
              </w:rPr>
            </w:pPr>
            <w:r w:rsidRPr="00DD7CCE">
              <w:rPr>
                <w:rFonts w:cs="Frutiger LT Std 45 Light"/>
                <w:szCs w:val="17"/>
              </w:rPr>
              <w:t>Cross border - 1</w:t>
            </w:r>
            <w:r w:rsidRPr="00765D77">
              <w:rPr>
                <w:rFonts w:cs="Frutiger LT Std 45 Light"/>
                <w:szCs w:val="17"/>
              </w:rPr>
              <w:t>5Mio or 5% of total annual GWP</w:t>
            </w:r>
            <w:r>
              <w:rPr>
                <w:rFonts w:cs="Frutiger LT Std 45 Light"/>
                <w:szCs w:val="17"/>
              </w:rPr>
              <w:t xml:space="preserve"> (Art. 29a)</w:t>
            </w:r>
          </w:p>
          <w:p w14:paraId="2AB399E5" w14:textId="77777777" w:rsidR="00940B0E" w:rsidRDefault="00940B0E" w:rsidP="00940B0E">
            <w:pPr>
              <w:pStyle w:val="Odsekzoznamu"/>
              <w:numPr>
                <w:ilvl w:val="1"/>
                <w:numId w:val="6"/>
              </w:numPr>
              <w:ind w:left="596"/>
              <w:jc w:val="left"/>
              <w:rPr>
                <w:rFonts w:cs="Frutiger LT Std 45 Light"/>
                <w:szCs w:val="17"/>
              </w:rPr>
            </w:pPr>
            <w:r w:rsidRPr="00DD7CCE">
              <w:rPr>
                <w:rFonts w:cs="Frutiger LT Std 45 Light"/>
                <w:szCs w:val="17"/>
              </w:rPr>
              <w:t>Non-traditional</w:t>
            </w:r>
            <w:r w:rsidRPr="00DD7CCE">
              <w:rPr>
                <w:szCs w:val="17"/>
              </w:rPr>
              <w:t xml:space="preserve"> investments </w:t>
            </w:r>
            <w:r>
              <w:rPr>
                <w:szCs w:val="17"/>
              </w:rPr>
              <w:t xml:space="preserve">criterion is converted into ‘traditional investments criterion, traditional investments should be minimum 80% (EC shall </w:t>
            </w:r>
            <w:r>
              <w:rPr>
                <w:szCs w:val="17"/>
              </w:rPr>
              <w:lastRenderedPageBreak/>
              <w:t>specify in DA which investments may not be considered as traditional investments Art 29(6))</w:t>
            </w:r>
          </w:p>
          <w:p w14:paraId="4723BDEF" w14:textId="77777777" w:rsidR="00940B0E" w:rsidRPr="00DD7CCE" w:rsidRDefault="00940B0E" w:rsidP="00940B0E">
            <w:pPr>
              <w:pStyle w:val="CEABullet-Level1"/>
              <w:ind w:left="360"/>
              <w:jc w:val="left"/>
            </w:pPr>
            <w:r w:rsidRPr="00DD7CCE">
              <w:t>Additional criteria added based on which NSAs can refuse small and non-complex undertakings status</w:t>
            </w:r>
          </w:p>
          <w:p w14:paraId="413A4833" w14:textId="77777777" w:rsidR="00940B0E" w:rsidRPr="007A4DF7" w:rsidRDefault="00940B0E" w:rsidP="00940B0E">
            <w:pPr>
              <w:pStyle w:val="Odsekzoznamu"/>
              <w:numPr>
                <w:ilvl w:val="1"/>
                <w:numId w:val="6"/>
              </w:numPr>
              <w:ind w:left="596"/>
              <w:jc w:val="left"/>
              <w:rPr>
                <w:rFonts w:cs="Frutiger LT Std 45 Light"/>
                <w:szCs w:val="17"/>
              </w:rPr>
            </w:pPr>
            <w:r w:rsidRPr="007A4DF7">
              <w:rPr>
                <w:rFonts w:cs="Frutiger LT Std 45 Light"/>
                <w:szCs w:val="17"/>
              </w:rPr>
              <w:t xml:space="preserve">Non-compliance with SCR, assessed with and without </w:t>
            </w:r>
            <w:proofErr w:type="spellStart"/>
            <w:r w:rsidRPr="007A4DF7">
              <w:rPr>
                <w:rFonts w:cs="Frutiger LT Std 45 Light"/>
                <w:szCs w:val="17"/>
              </w:rPr>
              <w:t>transitionals</w:t>
            </w:r>
            <w:proofErr w:type="spellEnd"/>
            <w:r w:rsidRPr="007A4DF7">
              <w:rPr>
                <w:rFonts w:cs="Frutiger LT Std 45 Light"/>
                <w:szCs w:val="17"/>
              </w:rPr>
              <w:t xml:space="preserve">; </w:t>
            </w:r>
            <w:r>
              <w:rPr>
                <w:rFonts w:cs="Frutiger LT Std 45 Light"/>
                <w:szCs w:val="17"/>
              </w:rPr>
              <w:t>(Art. 29b)</w:t>
            </w:r>
          </w:p>
          <w:p w14:paraId="73F0A637" w14:textId="77777777" w:rsidR="00940B0E" w:rsidRPr="007A4DF7" w:rsidRDefault="00940B0E" w:rsidP="00940B0E">
            <w:pPr>
              <w:pStyle w:val="Odsekzoznamu"/>
              <w:numPr>
                <w:ilvl w:val="1"/>
                <w:numId w:val="6"/>
              </w:numPr>
              <w:ind w:left="596"/>
              <w:jc w:val="left"/>
              <w:rPr>
                <w:rFonts w:cs="Frutiger LT Std 45 Light"/>
                <w:szCs w:val="17"/>
              </w:rPr>
            </w:pPr>
            <w:r w:rsidRPr="007A4DF7">
              <w:rPr>
                <w:rFonts w:cs="Frutiger LT Std 45 Light"/>
                <w:szCs w:val="17"/>
              </w:rPr>
              <w:t xml:space="preserve">Undertaking represents more than 5% of life/non-life of the home MS of the undertaking (market share) </w:t>
            </w:r>
            <w:r>
              <w:rPr>
                <w:rFonts w:cs="Frutiger LT Std 45 Light"/>
                <w:szCs w:val="17"/>
              </w:rPr>
              <w:t>(Art. 29b)</w:t>
            </w:r>
          </w:p>
          <w:p w14:paraId="72257614" w14:textId="77777777" w:rsidR="00940B0E" w:rsidRDefault="00940B0E" w:rsidP="00940B0E">
            <w:pPr>
              <w:pStyle w:val="CEABullet-Level1"/>
              <w:ind w:left="360"/>
              <w:jc w:val="left"/>
              <w:rPr>
                <w:szCs w:val="17"/>
              </w:rPr>
            </w:pPr>
            <w:r>
              <w:t xml:space="preserve">notification requirement for small and non-complex undertakings, when it plans to use more/less proportionality measures than announced. </w:t>
            </w:r>
            <w:r>
              <w:rPr>
                <w:szCs w:val="17"/>
              </w:rPr>
              <w:t>(Art. 29b)</w:t>
            </w:r>
          </w:p>
          <w:p w14:paraId="222FBEE6" w14:textId="77777777" w:rsidR="00940B0E" w:rsidRDefault="00940B0E" w:rsidP="00940B0E">
            <w:pPr>
              <w:pStyle w:val="CEABullet-Level1"/>
              <w:ind w:left="360"/>
              <w:jc w:val="left"/>
              <w:rPr>
                <w:szCs w:val="17"/>
              </w:rPr>
            </w:pPr>
            <w:r>
              <w:rPr>
                <w:szCs w:val="17"/>
              </w:rPr>
              <w:t xml:space="preserve">Art 29c specifies criteria under which NSAs can ask undertakings not to use automatic proportionality measures (serious concerns re: SCR with/without </w:t>
            </w:r>
            <w:proofErr w:type="spellStart"/>
            <w:r>
              <w:rPr>
                <w:szCs w:val="17"/>
              </w:rPr>
              <w:t>transitionals</w:t>
            </w:r>
            <w:proofErr w:type="spellEnd"/>
            <w:r>
              <w:rPr>
                <w:szCs w:val="17"/>
              </w:rPr>
              <w:t xml:space="preserve">; severe deficiencies regarding functioning of system of governance; material changes </w:t>
            </w:r>
            <w:r>
              <w:rPr>
                <w:szCs w:val="17"/>
              </w:rPr>
              <w:lastRenderedPageBreak/>
              <w:t>in the insurer’s activities that affect compliance with the criteria)</w:t>
            </w:r>
          </w:p>
          <w:p w14:paraId="1CBB4B1C" w14:textId="77777777" w:rsidR="00940B0E" w:rsidRPr="00E45B8E" w:rsidRDefault="00940B0E" w:rsidP="00940B0E">
            <w:pPr>
              <w:pStyle w:val="CEABullet-Level1"/>
              <w:ind w:left="360"/>
              <w:jc w:val="left"/>
              <w:rPr>
                <w:szCs w:val="17"/>
              </w:rPr>
            </w:pPr>
            <w:r>
              <w:rPr>
                <w:szCs w:val="17"/>
              </w:rPr>
              <w:t>EIOPA requested to publish scenarios to be used for prudent deterministic validation (Art 77e(aa))</w:t>
            </w:r>
          </w:p>
          <w:p w14:paraId="57832B1D" w14:textId="77777777" w:rsidR="00940B0E" w:rsidRDefault="00940B0E" w:rsidP="00940B0E">
            <w:pPr>
              <w:tabs>
                <w:tab w:val="left" w:pos="3815"/>
              </w:tabs>
              <w:rPr>
                <w:b/>
                <w:color w:val="595959" w:themeColor="text1" w:themeTint="A6"/>
                <w:szCs w:val="17"/>
              </w:rPr>
            </w:pPr>
          </w:p>
          <w:p w14:paraId="5880EB39" w14:textId="0361D6B2" w:rsidR="007C287A" w:rsidRPr="005D7877" w:rsidRDefault="007C287A" w:rsidP="00940B0E">
            <w:pPr>
              <w:tabs>
                <w:tab w:val="left" w:pos="3815"/>
              </w:tabs>
              <w:rPr>
                <w:b/>
                <w:color w:val="595959" w:themeColor="text1" w:themeTint="A6"/>
                <w:szCs w:val="17"/>
              </w:rPr>
            </w:pPr>
            <w:r w:rsidRPr="00DD7CCE">
              <w:rPr>
                <w:rFonts w:cs="Frutiger LT Std 45 Light"/>
                <w:b/>
                <w:bCs/>
                <w:color w:val="00B050"/>
                <w:szCs w:val="17"/>
              </w:rPr>
              <w:t>[Positive]</w:t>
            </w:r>
            <w:r>
              <w:rPr>
                <w:b/>
                <w:bCs/>
                <w:color w:val="00B050"/>
                <w:szCs w:val="17"/>
              </w:rPr>
              <w:t xml:space="preserve"> </w:t>
            </w:r>
            <w:r w:rsidRPr="008828DE">
              <w:rPr>
                <w:szCs w:val="17"/>
              </w:rPr>
              <w:t xml:space="preserve">Groups with technical provisions (gross of reinsurance </w:t>
            </w:r>
            <w:proofErr w:type="spellStart"/>
            <w:r w:rsidRPr="008828DE">
              <w:rPr>
                <w:szCs w:val="17"/>
              </w:rPr>
              <w:t>recoverables</w:t>
            </w:r>
            <w:proofErr w:type="spellEnd"/>
            <w:r w:rsidRPr="008828DE">
              <w:rPr>
                <w:szCs w:val="17"/>
              </w:rPr>
              <w:t>) below 50mio are exempted from SII.</w:t>
            </w:r>
            <w:r>
              <w:rPr>
                <w:szCs w:val="17"/>
              </w:rPr>
              <w:t xml:space="preserve"> (Art. 4)</w:t>
            </w:r>
          </w:p>
        </w:tc>
        <w:tc>
          <w:tcPr>
            <w:tcW w:w="3828" w:type="dxa"/>
          </w:tcPr>
          <w:p w14:paraId="1D51B0F9" w14:textId="77777777" w:rsidR="00E16261" w:rsidRDefault="00E16261" w:rsidP="00E16261">
            <w:pPr>
              <w:pStyle w:val="CEABullet-Level1"/>
              <w:numPr>
                <w:ilvl w:val="0"/>
                <w:numId w:val="0"/>
              </w:numPr>
              <w:spacing w:line="30" w:lineRule="atLeast"/>
              <w:jc w:val="left"/>
              <w:rPr>
                <w:szCs w:val="17"/>
              </w:rPr>
            </w:pPr>
            <w:r>
              <w:rPr>
                <w:b/>
                <w:bCs/>
                <w:color w:val="00B050"/>
                <w:szCs w:val="17"/>
              </w:rPr>
              <w:lastRenderedPageBreak/>
              <w:t xml:space="preserve">[Positive] </w:t>
            </w:r>
            <w:r>
              <w:rPr>
                <w:b/>
                <w:szCs w:val="17"/>
              </w:rPr>
              <w:t>Simplified reporting for LRPU</w:t>
            </w:r>
            <w:r>
              <w:rPr>
                <w:szCs w:val="17"/>
              </w:rPr>
              <w:t xml:space="preserve"> is proposed, including amendment proposal for CSRD (DIR 2013/34/EU).</w:t>
            </w:r>
          </w:p>
          <w:p w14:paraId="61FF08C3" w14:textId="77777777" w:rsidR="00E16261" w:rsidRDefault="00E16261" w:rsidP="00E16261">
            <w:pPr>
              <w:pStyle w:val="CEABullet-Level1"/>
              <w:numPr>
                <w:ilvl w:val="0"/>
                <w:numId w:val="0"/>
              </w:numPr>
              <w:spacing w:line="30" w:lineRule="atLeast"/>
              <w:jc w:val="left"/>
              <w:rPr>
                <w:szCs w:val="17"/>
              </w:rPr>
            </w:pPr>
          </w:p>
          <w:p w14:paraId="1000058C" w14:textId="77777777" w:rsidR="00E16261" w:rsidRDefault="00E16261" w:rsidP="00E16261">
            <w:pPr>
              <w:pStyle w:val="CEABullet-Level1"/>
              <w:numPr>
                <w:ilvl w:val="0"/>
                <w:numId w:val="0"/>
              </w:numPr>
              <w:spacing w:line="30" w:lineRule="atLeast"/>
              <w:jc w:val="left"/>
              <w:rPr>
                <w:szCs w:val="17"/>
              </w:rPr>
            </w:pPr>
            <w:r>
              <w:rPr>
                <w:b/>
                <w:bCs/>
                <w:color w:val="00B050"/>
                <w:szCs w:val="17"/>
              </w:rPr>
              <w:t xml:space="preserve">[Positive] </w:t>
            </w:r>
            <w:r>
              <w:rPr>
                <w:szCs w:val="17"/>
              </w:rPr>
              <w:t xml:space="preserve">New recital (5a) noting that </w:t>
            </w:r>
            <w:r>
              <w:rPr>
                <w:b/>
                <w:szCs w:val="17"/>
              </w:rPr>
              <w:t>numerous legislative initiatives</w:t>
            </w:r>
            <w:r>
              <w:rPr>
                <w:szCs w:val="17"/>
              </w:rPr>
              <w:t xml:space="preserve"> have recently been proposed and adopted to improve resilience and contribution to sustainability, in particular in relation to sustainability reporting. </w:t>
            </w:r>
          </w:p>
          <w:p w14:paraId="714EBFC4" w14:textId="77777777" w:rsidR="00E16261" w:rsidRDefault="00E16261" w:rsidP="00B52823">
            <w:pPr>
              <w:pStyle w:val="CEABullet-Level1"/>
              <w:numPr>
                <w:ilvl w:val="0"/>
                <w:numId w:val="0"/>
              </w:numPr>
              <w:spacing w:line="30" w:lineRule="atLeast"/>
              <w:jc w:val="left"/>
              <w:rPr>
                <w:b/>
                <w:bCs/>
                <w:color w:val="00B050"/>
                <w:szCs w:val="17"/>
              </w:rPr>
            </w:pPr>
          </w:p>
          <w:p w14:paraId="1B4B8309" w14:textId="71BCC141" w:rsidR="00B52823" w:rsidRDefault="00B52823" w:rsidP="00B52823">
            <w:pPr>
              <w:pStyle w:val="CEABullet-Level1"/>
              <w:numPr>
                <w:ilvl w:val="0"/>
                <w:numId w:val="0"/>
              </w:numPr>
              <w:spacing w:line="30" w:lineRule="atLeast"/>
              <w:jc w:val="left"/>
              <w:rPr>
                <w:rFonts w:cs="Times New Roman"/>
                <w:color w:val="auto"/>
                <w:szCs w:val="17"/>
              </w:rPr>
            </w:pPr>
            <w:r>
              <w:rPr>
                <w:b/>
                <w:bCs/>
                <w:color w:val="00B050"/>
                <w:szCs w:val="17"/>
              </w:rPr>
              <w:t xml:space="preserve">[Positive] </w:t>
            </w:r>
            <w:r>
              <w:rPr>
                <w:rFonts w:cs="Times New Roman"/>
                <w:color w:val="auto"/>
                <w:szCs w:val="17"/>
              </w:rPr>
              <w:t xml:space="preserve">Captives automatically classified as LRPU and IM companies can be eligible for LRPU status, subject to supervisory approval. </w:t>
            </w:r>
          </w:p>
          <w:p w14:paraId="3AEEAE93" w14:textId="77777777" w:rsidR="00B52823" w:rsidRDefault="00B52823" w:rsidP="00B52823">
            <w:pPr>
              <w:pStyle w:val="CEABullet-Level1"/>
              <w:numPr>
                <w:ilvl w:val="0"/>
                <w:numId w:val="0"/>
              </w:numPr>
              <w:spacing w:line="30" w:lineRule="atLeast"/>
              <w:jc w:val="left"/>
              <w:rPr>
                <w:rFonts w:cs="Times New Roman"/>
                <w:color w:val="auto"/>
                <w:szCs w:val="17"/>
              </w:rPr>
            </w:pPr>
            <w:r>
              <w:rPr>
                <w:b/>
                <w:bCs/>
                <w:color w:val="FF0000"/>
                <w:szCs w:val="17"/>
              </w:rPr>
              <w:t xml:space="preserve">[Negative] </w:t>
            </w:r>
            <w:r>
              <w:rPr>
                <w:color w:val="auto"/>
                <w:szCs w:val="17"/>
              </w:rPr>
              <w:t>Reinsurers cannot classify as LRPU</w:t>
            </w:r>
          </w:p>
          <w:p w14:paraId="71AC055E" w14:textId="77777777" w:rsidR="00B52823" w:rsidRDefault="00B52823" w:rsidP="00B52823">
            <w:pPr>
              <w:tabs>
                <w:tab w:val="left" w:pos="3815"/>
              </w:tabs>
              <w:jc w:val="left"/>
              <w:rPr>
                <w:b/>
                <w:color w:val="595959" w:themeColor="text1" w:themeTint="A6"/>
                <w:szCs w:val="17"/>
              </w:rPr>
            </w:pPr>
          </w:p>
          <w:p w14:paraId="6F56E613" w14:textId="77777777" w:rsidR="00B52823" w:rsidRDefault="00B52823" w:rsidP="00B52823">
            <w:pPr>
              <w:tabs>
                <w:tab w:val="left" w:pos="3815"/>
              </w:tabs>
              <w:jc w:val="left"/>
              <w:rPr>
                <w:b/>
                <w:color w:val="E36C0A" w:themeColor="accent6" w:themeShade="BF"/>
                <w:szCs w:val="17"/>
              </w:rPr>
            </w:pPr>
            <w:r>
              <w:rPr>
                <w:b/>
                <w:color w:val="595959" w:themeColor="text1" w:themeTint="A6"/>
                <w:szCs w:val="17"/>
              </w:rPr>
              <w:lastRenderedPageBreak/>
              <w:t>[Neutral]</w:t>
            </w:r>
            <w:r>
              <w:rPr>
                <w:b/>
                <w:color w:val="E36C0A" w:themeColor="accent6" w:themeShade="BF"/>
                <w:szCs w:val="17"/>
              </w:rPr>
              <w:t xml:space="preserve"> </w:t>
            </w:r>
          </w:p>
          <w:p w14:paraId="73C55BB6" w14:textId="77777777" w:rsidR="00B52823" w:rsidRDefault="00B52823" w:rsidP="00B52823">
            <w:pPr>
              <w:pStyle w:val="CEABullet-Level1"/>
              <w:numPr>
                <w:ilvl w:val="0"/>
                <w:numId w:val="0"/>
              </w:numPr>
              <w:spacing w:line="30" w:lineRule="atLeast"/>
              <w:jc w:val="left"/>
              <w:rPr>
                <w:rFonts w:cs="Times New Roman"/>
                <w:color w:val="auto"/>
                <w:szCs w:val="17"/>
              </w:rPr>
            </w:pPr>
            <w:r>
              <w:rPr>
                <w:rFonts w:cs="Times New Roman"/>
                <w:color w:val="auto"/>
                <w:szCs w:val="17"/>
              </w:rPr>
              <w:t>Criteria follow EC criteria, except:</w:t>
            </w:r>
          </w:p>
          <w:p w14:paraId="755C5C36" w14:textId="77777777" w:rsidR="00B52823" w:rsidRDefault="00B52823" w:rsidP="00B52823">
            <w:pPr>
              <w:pStyle w:val="CEABullet-Level1"/>
              <w:spacing w:line="30" w:lineRule="atLeast"/>
              <w:ind w:left="344"/>
              <w:jc w:val="left"/>
              <w:rPr>
                <w:rFonts w:cs="Times New Roman"/>
                <w:color w:val="auto"/>
                <w:szCs w:val="17"/>
              </w:rPr>
            </w:pPr>
            <w:bookmarkStart w:id="0" w:name="_Hlk141424802"/>
            <w:r>
              <w:rPr>
                <w:rFonts w:cs="Times New Roman"/>
                <w:color w:val="auto"/>
                <w:szCs w:val="17"/>
              </w:rPr>
              <w:t xml:space="preserve">cross border activity should be non-significant. </w:t>
            </w:r>
          </w:p>
          <w:p w14:paraId="734A70A3" w14:textId="77777777" w:rsidR="00B52823" w:rsidRDefault="00B52823" w:rsidP="00B52823">
            <w:pPr>
              <w:pStyle w:val="CEABullet-Level1"/>
              <w:spacing w:line="30" w:lineRule="atLeast"/>
              <w:ind w:left="344"/>
              <w:jc w:val="left"/>
              <w:rPr>
                <w:rFonts w:cs="Times New Roman"/>
                <w:color w:val="auto"/>
                <w:szCs w:val="17"/>
              </w:rPr>
            </w:pPr>
            <w:bookmarkStart w:id="1" w:name="_Hlk141425250"/>
            <w:r>
              <w:rPr>
                <w:rFonts w:cs="Times New Roman"/>
                <w:color w:val="auto"/>
                <w:szCs w:val="17"/>
              </w:rPr>
              <w:t>20% traditional investments criterion is replaced with gross market risk module (Art 105(5)) &lt;20%</w:t>
            </w:r>
            <w:bookmarkEnd w:id="0"/>
            <w:bookmarkEnd w:id="1"/>
          </w:p>
          <w:p w14:paraId="09D00226" w14:textId="77777777" w:rsidR="00B52823" w:rsidRDefault="00B52823" w:rsidP="00B52823">
            <w:pPr>
              <w:pStyle w:val="CEABullet-Level1"/>
              <w:spacing w:line="30" w:lineRule="atLeast"/>
              <w:ind w:left="344"/>
              <w:jc w:val="left"/>
              <w:rPr>
                <w:rFonts w:cs="Times New Roman"/>
                <w:color w:val="auto"/>
                <w:szCs w:val="17"/>
              </w:rPr>
            </w:pPr>
            <w:r>
              <w:rPr>
                <w:rFonts w:cs="Times New Roman"/>
                <w:color w:val="auto"/>
                <w:szCs w:val="17"/>
              </w:rPr>
              <w:t>No capital add on has been set</w:t>
            </w:r>
          </w:p>
          <w:p w14:paraId="0BEF12B2" w14:textId="77777777" w:rsidR="00B52823" w:rsidRDefault="00B52823" w:rsidP="00B52823">
            <w:pPr>
              <w:pStyle w:val="CEABullet-Level1"/>
              <w:numPr>
                <w:ilvl w:val="0"/>
                <w:numId w:val="0"/>
              </w:numPr>
              <w:spacing w:line="30" w:lineRule="atLeast"/>
              <w:jc w:val="left"/>
              <w:rPr>
                <w:rFonts w:cs="Times New Roman"/>
                <w:color w:val="auto"/>
                <w:szCs w:val="17"/>
              </w:rPr>
            </w:pPr>
          </w:p>
          <w:p w14:paraId="6DACF48D" w14:textId="77777777" w:rsidR="00B52823" w:rsidRDefault="00B52823" w:rsidP="00B52823">
            <w:pPr>
              <w:pStyle w:val="CEABullet-Level1"/>
              <w:numPr>
                <w:ilvl w:val="0"/>
                <w:numId w:val="0"/>
              </w:numPr>
              <w:spacing w:line="30" w:lineRule="atLeast"/>
              <w:jc w:val="left"/>
              <w:rPr>
                <w:rFonts w:cs="Times New Roman"/>
                <w:color w:val="auto"/>
                <w:szCs w:val="17"/>
              </w:rPr>
            </w:pPr>
            <w:r>
              <w:rPr>
                <w:b/>
                <w:bCs/>
                <w:color w:val="00B050"/>
                <w:szCs w:val="17"/>
              </w:rPr>
              <w:t xml:space="preserve">[Positive] </w:t>
            </w:r>
          </w:p>
          <w:p w14:paraId="1F2EC6C7" w14:textId="77777777" w:rsidR="00B52823" w:rsidRDefault="00B52823" w:rsidP="00B52823">
            <w:pPr>
              <w:pStyle w:val="CEABullet-Level1"/>
              <w:spacing w:line="30" w:lineRule="atLeast"/>
              <w:ind w:left="344"/>
              <w:jc w:val="left"/>
              <w:rPr>
                <w:rFonts w:cs="Times New Roman"/>
                <w:color w:val="auto"/>
                <w:szCs w:val="17"/>
              </w:rPr>
            </w:pPr>
            <w:r>
              <w:rPr>
                <w:rFonts w:cs="Times New Roman"/>
                <w:color w:val="auto"/>
                <w:szCs w:val="17"/>
              </w:rPr>
              <w:t xml:space="preserve">Specification that non LRPU should also benefit from proportionality. </w:t>
            </w:r>
          </w:p>
          <w:p w14:paraId="608C7604" w14:textId="77777777" w:rsidR="00B52823" w:rsidRDefault="00B52823" w:rsidP="00B52823">
            <w:pPr>
              <w:pStyle w:val="CEABullet-Level1"/>
              <w:spacing w:line="30" w:lineRule="atLeast"/>
              <w:ind w:left="344"/>
              <w:jc w:val="left"/>
              <w:rPr>
                <w:rFonts w:cs="Times New Roman"/>
                <w:color w:val="auto"/>
                <w:szCs w:val="17"/>
              </w:rPr>
            </w:pPr>
            <w:r>
              <w:rPr>
                <w:rFonts w:cs="Times New Roman"/>
                <w:color w:val="auto"/>
                <w:szCs w:val="17"/>
              </w:rPr>
              <w:t xml:space="preserve">NSA may oppose the LRPU classification if the undertaking represents more than 5% of the (non) life insurance market of the home MS and in case of serious concerns, NSAs may ask, when justifying it in writing, in exceptional circumstances, u/takings not to use proportionality measure(s). </w:t>
            </w:r>
          </w:p>
          <w:p w14:paraId="07985A5D" w14:textId="3D908AAF" w:rsidR="00B52823" w:rsidRDefault="00B52823" w:rsidP="00B52823">
            <w:pPr>
              <w:pStyle w:val="CEABullet-Level1"/>
              <w:spacing w:line="30" w:lineRule="atLeast"/>
              <w:ind w:left="344"/>
              <w:jc w:val="left"/>
              <w:rPr>
                <w:rFonts w:cs="Times New Roman"/>
                <w:color w:val="auto"/>
                <w:szCs w:val="17"/>
              </w:rPr>
            </w:pPr>
            <w:r>
              <w:rPr>
                <w:rFonts w:cs="Times New Roman"/>
                <w:color w:val="auto"/>
                <w:szCs w:val="17"/>
              </w:rPr>
              <w:t>Removal of requirement to have declaration that the u/taking does not plan any strategic change that would have an impact on the risk profile of the undertaking within the next 3 yrs.</w:t>
            </w:r>
          </w:p>
          <w:p w14:paraId="02623453" w14:textId="35DB6A7A" w:rsidR="0032470E" w:rsidRDefault="0032470E" w:rsidP="00B52823">
            <w:pPr>
              <w:pStyle w:val="CEABullet-Level1"/>
              <w:spacing w:line="30" w:lineRule="atLeast"/>
              <w:ind w:left="344"/>
              <w:jc w:val="left"/>
              <w:rPr>
                <w:rFonts w:cs="Times New Roman"/>
                <w:color w:val="auto"/>
                <w:szCs w:val="17"/>
              </w:rPr>
            </w:pPr>
            <w:r>
              <w:rPr>
                <w:rFonts w:cs="Times New Roman"/>
                <w:color w:val="auto"/>
                <w:szCs w:val="17"/>
              </w:rPr>
              <w:t xml:space="preserve">LRPU </w:t>
            </w:r>
            <w:r w:rsidR="00E42661">
              <w:rPr>
                <w:rFonts w:cs="Times New Roman"/>
                <w:color w:val="auto"/>
                <w:szCs w:val="17"/>
              </w:rPr>
              <w:t>to update written policies only every 5yrs.</w:t>
            </w:r>
          </w:p>
          <w:p w14:paraId="7ACF4C44" w14:textId="77777777" w:rsidR="00B52823" w:rsidRDefault="00B52823" w:rsidP="00B52823">
            <w:pPr>
              <w:pStyle w:val="CEABullet-Level1"/>
              <w:numPr>
                <w:ilvl w:val="0"/>
                <w:numId w:val="0"/>
              </w:numPr>
              <w:spacing w:line="30" w:lineRule="atLeast"/>
              <w:ind w:left="344"/>
              <w:jc w:val="left"/>
              <w:rPr>
                <w:rFonts w:cs="Times New Roman"/>
                <w:color w:val="auto"/>
                <w:szCs w:val="17"/>
              </w:rPr>
            </w:pPr>
          </w:p>
          <w:p w14:paraId="7DADCC87" w14:textId="77777777" w:rsidR="00B52823" w:rsidRDefault="00B52823" w:rsidP="00B52823">
            <w:pPr>
              <w:tabs>
                <w:tab w:val="left" w:pos="3815"/>
              </w:tabs>
              <w:jc w:val="left"/>
              <w:rPr>
                <w:b/>
                <w:color w:val="E36C0A" w:themeColor="accent6" w:themeShade="BF"/>
                <w:szCs w:val="17"/>
              </w:rPr>
            </w:pPr>
            <w:r>
              <w:rPr>
                <w:b/>
                <w:color w:val="595959" w:themeColor="text1" w:themeTint="A6"/>
                <w:szCs w:val="17"/>
              </w:rPr>
              <w:t>[Neutral]</w:t>
            </w:r>
            <w:r>
              <w:rPr>
                <w:b/>
                <w:color w:val="E36C0A" w:themeColor="accent6" w:themeShade="BF"/>
                <w:szCs w:val="17"/>
              </w:rPr>
              <w:t xml:space="preserve"> </w:t>
            </w:r>
          </w:p>
          <w:p w14:paraId="0F8C52C1" w14:textId="77777777" w:rsidR="00B52823" w:rsidRDefault="00B52823" w:rsidP="00B52823">
            <w:pPr>
              <w:pStyle w:val="Default"/>
              <w:rPr>
                <w:sz w:val="17"/>
                <w:szCs w:val="17"/>
              </w:rPr>
            </w:pPr>
            <w:r>
              <w:rPr>
                <w:sz w:val="17"/>
                <w:szCs w:val="17"/>
              </w:rPr>
              <w:t xml:space="preserve">EIOPA requested to develop RTS to specify methodology to be used when classifying (re)insurer as LRPU. </w:t>
            </w:r>
          </w:p>
          <w:p w14:paraId="154F6565" w14:textId="77777777" w:rsidR="00B52823" w:rsidRDefault="00B52823" w:rsidP="00B52823">
            <w:pPr>
              <w:pStyle w:val="Default"/>
              <w:rPr>
                <w:sz w:val="17"/>
                <w:szCs w:val="17"/>
              </w:rPr>
            </w:pPr>
          </w:p>
          <w:p w14:paraId="2DFBB832" w14:textId="77777777" w:rsidR="00B52823" w:rsidRDefault="00B52823" w:rsidP="00B52823">
            <w:pPr>
              <w:pStyle w:val="Default"/>
              <w:rPr>
                <w:rFonts w:eastAsia="Times New Roman" w:cs="Frutiger LT Std 45 Light"/>
                <w:b/>
                <w:bCs/>
                <w:color w:val="00B050"/>
                <w:sz w:val="17"/>
                <w:szCs w:val="17"/>
              </w:rPr>
            </w:pPr>
          </w:p>
          <w:p w14:paraId="36292F1D" w14:textId="77777777" w:rsidR="00B52823" w:rsidRDefault="00B52823" w:rsidP="00B52823">
            <w:pPr>
              <w:pStyle w:val="Default"/>
              <w:rPr>
                <w:rFonts w:eastAsia="Times New Roman" w:cs="Times New Roman"/>
                <w:color w:val="auto"/>
                <w:sz w:val="17"/>
                <w:szCs w:val="17"/>
              </w:rPr>
            </w:pPr>
            <w:r>
              <w:rPr>
                <w:rFonts w:eastAsia="Times New Roman" w:cs="Frutiger LT Std 45 Light"/>
                <w:b/>
                <w:bCs/>
                <w:color w:val="00B050"/>
                <w:sz w:val="17"/>
                <w:szCs w:val="17"/>
              </w:rPr>
              <w:t>[Positive]</w:t>
            </w:r>
            <w:r>
              <w:rPr>
                <w:b/>
                <w:bCs/>
                <w:color w:val="00B050"/>
                <w:szCs w:val="17"/>
              </w:rPr>
              <w:t xml:space="preserve"> </w:t>
            </w:r>
            <w:r>
              <w:rPr>
                <w:rFonts w:eastAsia="Times New Roman" w:cs="Times New Roman"/>
                <w:color w:val="auto"/>
                <w:sz w:val="17"/>
                <w:szCs w:val="17"/>
              </w:rPr>
              <w:t xml:space="preserve">Groups with </w:t>
            </w:r>
          </w:p>
          <w:p w14:paraId="65014F56" w14:textId="77777777" w:rsidR="00B52823" w:rsidRDefault="00B52823" w:rsidP="00B52823">
            <w:pPr>
              <w:pStyle w:val="Default"/>
              <w:rPr>
                <w:sz w:val="17"/>
                <w:szCs w:val="17"/>
              </w:rPr>
            </w:pPr>
            <w:r>
              <w:rPr>
                <w:rFonts w:eastAsia="Times New Roman" w:cs="Times New Roman"/>
                <w:color w:val="auto"/>
                <w:sz w:val="17"/>
                <w:szCs w:val="17"/>
              </w:rPr>
              <w:lastRenderedPageBreak/>
              <w:t xml:space="preserve">technical provisions (gross of reinsurance </w:t>
            </w:r>
            <w:proofErr w:type="spellStart"/>
            <w:r>
              <w:rPr>
                <w:rFonts w:eastAsia="Times New Roman" w:cs="Times New Roman"/>
                <w:color w:val="auto"/>
                <w:sz w:val="17"/>
                <w:szCs w:val="17"/>
              </w:rPr>
              <w:t>recoverables</w:t>
            </w:r>
            <w:proofErr w:type="spellEnd"/>
            <w:r>
              <w:rPr>
                <w:rFonts w:eastAsia="Times New Roman" w:cs="Times New Roman"/>
                <w:color w:val="auto"/>
                <w:sz w:val="17"/>
                <w:szCs w:val="17"/>
              </w:rPr>
              <w:t>) below 50mio are exempted from SII. (Art. 4)</w:t>
            </w:r>
          </w:p>
          <w:p w14:paraId="64CCC7BD" w14:textId="35C6CA19" w:rsidR="00940B0E" w:rsidRPr="00A51511" w:rsidRDefault="00940B0E" w:rsidP="00D33EC6">
            <w:pPr>
              <w:pStyle w:val="CEABullet-Level1"/>
              <w:numPr>
                <w:ilvl w:val="0"/>
                <w:numId w:val="0"/>
              </w:numPr>
              <w:spacing w:line="30" w:lineRule="atLeast"/>
              <w:jc w:val="left"/>
              <w:rPr>
                <w:rFonts w:cs="Times New Roman"/>
                <w:color w:val="auto"/>
                <w:szCs w:val="17"/>
              </w:rPr>
            </w:pPr>
          </w:p>
        </w:tc>
        <w:tc>
          <w:tcPr>
            <w:tcW w:w="3373" w:type="dxa"/>
          </w:tcPr>
          <w:p w14:paraId="49FB67B0" w14:textId="77777777" w:rsidR="00297396" w:rsidRDefault="000D3D19" w:rsidP="00297396">
            <w:pPr>
              <w:spacing w:after="200" w:line="276" w:lineRule="auto"/>
              <w:rPr>
                <w:color w:val="1F497D" w:themeColor="text2"/>
                <w:szCs w:val="17"/>
              </w:rPr>
            </w:pPr>
            <w:r>
              <w:rPr>
                <w:b/>
                <w:bCs/>
                <w:color w:val="1F497D" w:themeColor="text2"/>
                <w:szCs w:val="17"/>
              </w:rPr>
              <w:lastRenderedPageBreak/>
              <w:t xml:space="preserve">Way forward: </w:t>
            </w:r>
            <w:r w:rsidR="00297396">
              <w:rPr>
                <w:color w:val="1F497D" w:themeColor="text2"/>
                <w:szCs w:val="17"/>
              </w:rPr>
              <w:t xml:space="preserve">Strong support for EP proposal that allows undertakings qualifying for LRPU status under SII to be recognised as SME for the purpose of CSRD. </w:t>
            </w:r>
          </w:p>
          <w:p w14:paraId="29B43D3F" w14:textId="626B9172" w:rsidR="000D3D19" w:rsidRDefault="00216608" w:rsidP="000D3D19">
            <w:pPr>
              <w:tabs>
                <w:tab w:val="left" w:pos="3815"/>
              </w:tabs>
              <w:jc w:val="left"/>
              <w:rPr>
                <w:color w:val="1F497D" w:themeColor="text2"/>
                <w:szCs w:val="17"/>
              </w:rPr>
            </w:pPr>
            <w:r>
              <w:rPr>
                <w:color w:val="1F497D" w:themeColor="text2"/>
                <w:szCs w:val="17"/>
              </w:rPr>
              <w:t>S</w:t>
            </w:r>
            <w:r w:rsidR="000D3D19">
              <w:rPr>
                <w:color w:val="1F497D" w:themeColor="text2"/>
                <w:szCs w:val="17"/>
              </w:rPr>
              <w:t xml:space="preserve">upport </w:t>
            </w:r>
            <w:r w:rsidR="000D3D19" w:rsidRPr="00526E9B">
              <w:rPr>
                <w:color w:val="1F497D" w:themeColor="text2"/>
                <w:szCs w:val="17"/>
              </w:rPr>
              <w:t xml:space="preserve">the EC LRPU </w:t>
            </w:r>
            <w:proofErr w:type="gramStart"/>
            <w:r w:rsidR="000D3D19" w:rsidRPr="00526E9B">
              <w:rPr>
                <w:color w:val="1F497D" w:themeColor="text2"/>
                <w:szCs w:val="17"/>
              </w:rPr>
              <w:t>criteria</w:t>
            </w:r>
            <w:r w:rsidR="009661B3">
              <w:rPr>
                <w:color w:val="1F497D" w:themeColor="text2"/>
                <w:szCs w:val="17"/>
              </w:rPr>
              <w:t xml:space="preserve"> </w:t>
            </w:r>
            <w:r w:rsidR="000D3D19" w:rsidRPr="00526E9B">
              <w:rPr>
                <w:color w:val="1F497D" w:themeColor="text2"/>
                <w:szCs w:val="17"/>
              </w:rPr>
              <w:t>,</w:t>
            </w:r>
            <w:proofErr w:type="gramEnd"/>
            <w:r w:rsidR="000D3D19" w:rsidRPr="00526E9B">
              <w:rPr>
                <w:color w:val="1F497D" w:themeColor="text2"/>
                <w:szCs w:val="17"/>
              </w:rPr>
              <w:t xml:space="preserve"> while further refinements to the criteria – non-traditional and size</w:t>
            </w:r>
            <w:r w:rsidR="000D3D19">
              <w:rPr>
                <w:color w:val="1F497D" w:themeColor="text2"/>
                <w:szCs w:val="17"/>
              </w:rPr>
              <w:t xml:space="preserve"> criterion in particular </w:t>
            </w:r>
            <w:r w:rsidR="00193AB8">
              <w:rPr>
                <w:color w:val="1F497D" w:themeColor="text2"/>
                <w:szCs w:val="17"/>
              </w:rPr>
              <w:t>and non-life insurance class 3</w:t>
            </w:r>
            <w:r w:rsidR="00443E78">
              <w:rPr>
                <w:color w:val="1F497D" w:themeColor="text2"/>
                <w:szCs w:val="17"/>
              </w:rPr>
              <w:t xml:space="preserve"> </w:t>
            </w:r>
            <w:r w:rsidR="000D3D19">
              <w:rPr>
                <w:color w:val="1F497D" w:themeColor="text2"/>
                <w:szCs w:val="17"/>
              </w:rPr>
              <w:t xml:space="preserve">-would have been welcomed to make proportionality work for all markets. </w:t>
            </w:r>
          </w:p>
          <w:p w14:paraId="1E9FCE1A" w14:textId="1F802B25" w:rsidR="004E326D" w:rsidRDefault="00193897" w:rsidP="000D3D19">
            <w:pPr>
              <w:tabs>
                <w:tab w:val="left" w:pos="3815"/>
              </w:tabs>
              <w:jc w:val="left"/>
              <w:rPr>
                <w:color w:val="1F497D" w:themeColor="text2"/>
                <w:szCs w:val="17"/>
              </w:rPr>
            </w:pPr>
            <w:r>
              <w:rPr>
                <w:color w:val="1F497D" w:themeColor="text2"/>
                <w:szCs w:val="17"/>
              </w:rPr>
              <w:t>Support p</w:t>
            </w:r>
            <w:r w:rsidR="004E326D" w:rsidRPr="00797293">
              <w:rPr>
                <w:color w:val="1F497D" w:themeColor="text2"/>
                <w:szCs w:val="17"/>
              </w:rPr>
              <w:t>rop</w:t>
            </w:r>
            <w:r w:rsidR="00003E8F" w:rsidRPr="00797293">
              <w:rPr>
                <w:color w:val="1F497D" w:themeColor="text2"/>
                <w:szCs w:val="17"/>
              </w:rPr>
              <w:t>os</w:t>
            </w:r>
            <w:r w:rsidR="00003E8F">
              <w:rPr>
                <w:color w:val="1F497D" w:themeColor="text2"/>
                <w:szCs w:val="17"/>
              </w:rPr>
              <w:t xml:space="preserve">al to have a review </w:t>
            </w:r>
            <w:r w:rsidR="00797293">
              <w:rPr>
                <w:color w:val="1F497D" w:themeColor="text2"/>
                <w:szCs w:val="17"/>
              </w:rPr>
              <w:t xml:space="preserve">of the LRPU criteria in a few years. </w:t>
            </w:r>
          </w:p>
          <w:p w14:paraId="645BF3C1" w14:textId="77777777" w:rsidR="00940B0E" w:rsidRDefault="00940B0E" w:rsidP="00940B0E">
            <w:pPr>
              <w:tabs>
                <w:tab w:val="left" w:pos="3815"/>
              </w:tabs>
              <w:jc w:val="left"/>
              <w:rPr>
                <w:szCs w:val="17"/>
              </w:rPr>
            </w:pPr>
          </w:p>
          <w:p w14:paraId="1F179C4B" w14:textId="351D2CDA" w:rsidR="00940B0E" w:rsidRPr="005D7877" w:rsidRDefault="00940B0E" w:rsidP="00940B0E">
            <w:pPr>
              <w:spacing w:after="200" w:line="276" w:lineRule="auto"/>
              <w:rPr>
                <w:b/>
                <w:color w:val="595959" w:themeColor="text1" w:themeTint="A6"/>
                <w:szCs w:val="17"/>
              </w:rPr>
            </w:pPr>
          </w:p>
        </w:tc>
      </w:tr>
      <w:tr w:rsidR="007C0A0A" w14:paraId="74558FA4" w14:textId="77777777" w:rsidTr="00226E73">
        <w:trPr>
          <w:trHeight w:val="2571"/>
        </w:trPr>
        <w:tc>
          <w:tcPr>
            <w:tcW w:w="1447" w:type="dxa"/>
          </w:tcPr>
          <w:p w14:paraId="244BF9D0" w14:textId="05B6E95D" w:rsidR="007C0A0A" w:rsidRDefault="007C0A0A" w:rsidP="00940B0E">
            <w:pPr>
              <w:tabs>
                <w:tab w:val="left" w:pos="3815"/>
              </w:tabs>
              <w:jc w:val="left"/>
              <w:rPr>
                <w:b/>
                <w:szCs w:val="17"/>
              </w:rPr>
            </w:pPr>
            <w:r>
              <w:rPr>
                <w:b/>
                <w:szCs w:val="17"/>
              </w:rPr>
              <w:lastRenderedPageBreak/>
              <w:t>Reporting</w:t>
            </w:r>
          </w:p>
        </w:tc>
        <w:tc>
          <w:tcPr>
            <w:tcW w:w="3118" w:type="dxa"/>
          </w:tcPr>
          <w:p w14:paraId="28D5F7AD" w14:textId="5732C66D" w:rsidR="00DA4F25" w:rsidRPr="00DA4F25" w:rsidRDefault="00DA4F25" w:rsidP="00DA4F25">
            <w:pPr>
              <w:rPr>
                <w:rFonts w:cs="Frutiger LT Std 45 Light"/>
                <w:b/>
                <w:bCs/>
                <w:color w:val="00B050"/>
                <w:szCs w:val="17"/>
              </w:rPr>
            </w:pPr>
            <w:r w:rsidRPr="00DA4F25">
              <w:rPr>
                <w:rFonts w:cs="Frutiger LT Std 45 Light"/>
                <w:b/>
                <w:bCs/>
                <w:color w:val="00B050"/>
                <w:szCs w:val="17"/>
              </w:rPr>
              <w:t xml:space="preserve">[Positive] </w:t>
            </w:r>
            <w:r w:rsidRPr="00DA4F25">
              <w:rPr>
                <w:rFonts w:cs="Frutiger LT Std 45 Light"/>
                <w:szCs w:val="17"/>
              </w:rPr>
              <w:t>External audit requirement is limited to balance sheet disclosed as part of the SFCR, LRPU are exempted</w:t>
            </w:r>
          </w:p>
          <w:p w14:paraId="44C2AE3D" w14:textId="77777777" w:rsidR="007C0A0A" w:rsidRDefault="007C0A0A" w:rsidP="00940B0E">
            <w:pPr>
              <w:pStyle w:val="CEABullet-Level1"/>
              <w:numPr>
                <w:ilvl w:val="0"/>
                <w:numId w:val="0"/>
              </w:numPr>
              <w:spacing w:line="30" w:lineRule="atLeast"/>
              <w:jc w:val="left"/>
              <w:rPr>
                <w:szCs w:val="17"/>
              </w:rPr>
            </w:pPr>
          </w:p>
          <w:p w14:paraId="3F2E5440" w14:textId="77777777" w:rsidR="007C0A0A" w:rsidRDefault="007C0A0A" w:rsidP="00940B0E">
            <w:pPr>
              <w:pStyle w:val="CEABullet-Level1"/>
              <w:numPr>
                <w:ilvl w:val="0"/>
                <w:numId w:val="0"/>
              </w:numPr>
              <w:spacing w:line="30" w:lineRule="atLeast"/>
              <w:jc w:val="left"/>
              <w:rPr>
                <w:szCs w:val="17"/>
              </w:rPr>
            </w:pPr>
          </w:p>
          <w:p w14:paraId="157F52B1" w14:textId="77777777" w:rsidR="007C0A0A" w:rsidRDefault="007C0A0A" w:rsidP="00940B0E">
            <w:pPr>
              <w:pStyle w:val="CEABullet-Level1"/>
              <w:numPr>
                <w:ilvl w:val="0"/>
                <w:numId w:val="0"/>
              </w:numPr>
              <w:spacing w:line="30" w:lineRule="atLeast"/>
              <w:jc w:val="left"/>
              <w:rPr>
                <w:szCs w:val="17"/>
              </w:rPr>
            </w:pPr>
          </w:p>
          <w:p w14:paraId="643C5443" w14:textId="77777777" w:rsidR="007C0A0A" w:rsidRDefault="007C0A0A" w:rsidP="00940B0E">
            <w:pPr>
              <w:pStyle w:val="CEABullet-Level1"/>
              <w:numPr>
                <w:ilvl w:val="0"/>
                <w:numId w:val="0"/>
              </w:numPr>
              <w:spacing w:line="30" w:lineRule="atLeast"/>
              <w:jc w:val="left"/>
              <w:rPr>
                <w:szCs w:val="17"/>
              </w:rPr>
            </w:pPr>
          </w:p>
          <w:p w14:paraId="584247E5" w14:textId="77777777" w:rsidR="007C0A0A" w:rsidRDefault="007C0A0A" w:rsidP="00940B0E">
            <w:pPr>
              <w:pStyle w:val="CEABullet-Level1"/>
              <w:numPr>
                <w:ilvl w:val="0"/>
                <w:numId w:val="0"/>
              </w:numPr>
              <w:spacing w:line="30" w:lineRule="atLeast"/>
              <w:jc w:val="left"/>
              <w:rPr>
                <w:szCs w:val="17"/>
              </w:rPr>
            </w:pPr>
          </w:p>
          <w:p w14:paraId="57BA770B" w14:textId="51F324A1" w:rsidR="007C0A0A" w:rsidRDefault="00147F4E" w:rsidP="00940B0E">
            <w:pPr>
              <w:pStyle w:val="CEABullet-Level1"/>
              <w:numPr>
                <w:ilvl w:val="0"/>
                <w:numId w:val="0"/>
              </w:numPr>
              <w:spacing w:line="30" w:lineRule="atLeast"/>
              <w:jc w:val="left"/>
              <w:rPr>
                <w:szCs w:val="17"/>
              </w:rPr>
            </w:pPr>
            <w:r w:rsidRPr="00BD5AF9">
              <w:rPr>
                <w:b/>
                <w:bCs/>
                <w:color w:val="FF0000"/>
                <w:szCs w:val="17"/>
              </w:rPr>
              <w:t xml:space="preserve"> [</w:t>
            </w:r>
            <w:proofErr w:type="gramStart"/>
            <w:r w:rsidRPr="00BD5AF9">
              <w:rPr>
                <w:b/>
                <w:bCs/>
                <w:color w:val="FF0000"/>
                <w:szCs w:val="17"/>
              </w:rPr>
              <w:t>Negative]</w:t>
            </w:r>
            <w:r>
              <w:rPr>
                <w:b/>
                <w:bCs/>
                <w:color w:val="FF0000"/>
                <w:szCs w:val="17"/>
              </w:rPr>
              <w:t xml:space="preserve"> </w:t>
            </w:r>
            <w:r w:rsidR="007C0A0A">
              <w:rPr>
                <w:b/>
                <w:color w:val="595959" w:themeColor="text1" w:themeTint="A6"/>
                <w:szCs w:val="17"/>
              </w:rPr>
              <w:t xml:space="preserve"> </w:t>
            </w:r>
            <w:r w:rsidR="007C0A0A" w:rsidRPr="005957CB">
              <w:rPr>
                <w:szCs w:val="17"/>
              </w:rPr>
              <w:t>SFCR</w:t>
            </w:r>
            <w:proofErr w:type="gramEnd"/>
            <w:r w:rsidR="007C0A0A" w:rsidRPr="005957CB">
              <w:rPr>
                <w:szCs w:val="17"/>
              </w:rPr>
              <w:t xml:space="preserve"> split in two parts, with proposals for streamlining, however narrative is still required.</w:t>
            </w:r>
          </w:p>
          <w:p w14:paraId="3CCE33CF" w14:textId="77777777" w:rsidR="007C0A0A" w:rsidRDefault="007C0A0A" w:rsidP="00940B0E">
            <w:pPr>
              <w:pStyle w:val="CEABullet-Level1"/>
              <w:numPr>
                <w:ilvl w:val="0"/>
                <w:numId w:val="0"/>
              </w:numPr>
              <w:spacing w:line="30" w:lineRule="atLeast"/>
              <w:jc w:val="left"/>
              <w:rPr>
                <w:szCs w:val="17"/>
              </w:rPr>
            </w:pPr>
          </w:p>
          <w:p w14:paraId="2775BB96" w14:textId="77777777" w:rsidR="007C0A0A" w:rsidRDefault="007C0A0A" w:rsidP="007C0A0A">
            <w:pPr>
              <w:pStyle w:val="Odsekzoznamu"/>
              <w:spacing w:line="240" w:lineRule="auto"/>
              <w:ind w:left="0"/>
              <w:jc w:val="left"/>
              <w:rPr>
                <w:szCs w:val="17"/>
              </w:rPr>
            </w:pPr>
            <w:r w:rsidRPr="00BD5AF9">
              <w:rPr>
                <w:b/>
                <w:bCs/>
                <w:color w:val="FF0000"/>
                <w:szCs w:val="17"/>
              </w:rPr>
              <w:t>[Negative]</w:t>
            </w:r>
            <w:r>
              <w:rPr>
                <w:b/>
                <w:bCs/>
                <w:color w:val="FF0000"/>
                <w:szCs w:val="17"/>
              </w:rPr>
              <w:t xml:space="preserve"> </w:t>
            </w:r>
            <w:r w:rsidRPr="007E7DBD">
              <w:rPr>
                <w:szCs w:val="17"/>
              </w:rPr>
              <w:t xml:space="preserve">Limitations and exemptions </w:t>
            </w:r>
            <w:r>
              <w:rPr>
                <w:szCs w:val="17"/>
              </w:rPr>
              <w:t xml:space="preserve">remain </w:t>
            </w:r>
            <w:r w:rsidRPr="007E7DBD">
              <w:rPr>
                <w:szCs w:val="17"/>
              </w:rPr>
              <w:t>at the discretion of the supervisor</w:t>
            </w:r>
            <w:r>
              <w:rPr>
                <w:szCs w:val="17"/>
              </w:rPr>
              <w:t xml:space="preserve">, although LRPU are prioritised </w:t>
            </w:r>
          </w:p>
          <w:p w14:paraId="045F97C5" w14:textId="77777777" w:rsidR="007C0A0A" w:rsidRDefault="007C0A0A" w:rsidP="007C0A0A">
            <w:pPr>
              <w:pStyle w:val="Odsekzoznamu"/>
              <w:spacing w:line="240" w:lineRule="auto"/>
              <w:ind w:left="0"/>
              <w:jc w:val="left"/>
              <w:rPr>
                <w:szCs w:val="17"/>
              </w:rPr>
            </w:pPr>
          </w:p>
          <w:p w14:paraId="6A71C400" w14:textId="77777777" w:rsidR="007C0A0A" w:rsidRDefault="007C0A0A" w:rsidP="007C0A0A">
            <w:pPr>
              <w:pStyle w:val="Odsekzoznamu"/>
              <w:spacing w:line="240" w:lineRule="auto"/>
              <w:ind w:left="0"/>
              <w:jc w:val="left"/>
              <w:rPr>
                <w:szCs w:val="17"/>
              </w:rPr>
            </w:pPr>
          </w:p>
          <w:p w14:paraId="25FA8CEC" w14:textId="77777777" w:rsidR="007C0A0A" w:rsidRDefault="007C0A0A" w:rsidP="007C0A0A">
            <w:pPr>
              <w:pStyle w:val="Odsekzoznamu"/>
              <w:spacing w:line="240" w:lineRule="auto"/>
              <w:ind w:left="0"/>
              <w:jc w:val="left"/>
              <w:rPr>
                <w:szCs w:val="17"/>
              </w:rPr>
            </w:pPr>
          </w:p>
          <w:p w14:paraId="61F06B11" w14:textId="77777777" w:rsidR="007C0A0A" w:rsidRDefault="007C0A0A" w:rsidP="007C0A0A">
            <w:pPr>
              <w:pStyle w:val="Odsekzoznamu"/>
              <w:spacing w:line="240" w:lineRule="auto"/>
              <w:ind w:left="0"/>
              <w:jc w:val="left"/>
              <w:rPr>
                <w:szCs w:val="17"/>
              </w:rPr>
            </w:pPr>
          </w:p>
          <w:p w14:paraId="733BD43C" w14:textId="77777777" w:rsidR="007C0A0A" w:rsidRDefault="007C0A0A" w:rsidP="007C0A0A">
            <w:pPr>
              <w:pStyle w:val="Odsekzoznamu"/>
              <w:spacing w:line="240" w:lineRule="auto"/>
              <w:ind w:left="0"/>
              <w:jc w:val="left"/>
              <w:rPr>
                <w:szCs w:val="17"/>
              </w:rPr>
            </w:pPr>
          </w:p>
          <w:p w14:paraId="287D1571" w14:textId="77777777" w:rsidR="007C0A0A" w:rsidRDefault="007C0A0A" w:rsidP="007C0A0A">
            <w:pPr>
              <w:pStyle w:val="Odsekzoznamu"/>
              <w:spacing w:line="240" w:lineRule="auto"/>
              <w:ind w:left="0"/>
              <w:jc w:val="left"/>
              <w:rPr>
                <w:szCs w:val="17"/>
              </w:rPr>
            </w:pPr>
          </w:p>
          <w:p w14:paraId="14F25437" w14:textId="77777777" w:rsidR="007C0A0A" w:rsidRPr="0018094B" w:rsidRDefault="007C0A0A" w:rsidP="007C0A0A">
            <w:pPr>
              <w:tabs>
                <w:tab w:val="left" w:pos="3815"/>
              </w:tabs>
              <w:spacing w:line="240" w:lineRule="auto"/>
              <w:jc w:val="left"/>
              <w:rPr>
                <w:szCs w:val="17"/>
              </w:rPr>
            </w:pPr>
            <w:r w:rsidRPr="00BD5AF9">
              <w:rPr>
                <w:b/>
                <w:bCs/>
                <w:color w:val="FF0000"/>
                <w:szCs w:val="17"/>
              </w:rPr>
              <w:t>[Negative]</w:t>
            </w:r>
            <w:r>
              <w:rPr>
                <w:b/>
                <w:bCs/>
                <w:color w:val="FF0000"/>
                <w:szCs w:val="17"/>
              </w:rPr>
              <w:t xml:space="preserve"> </w:t>
            </w:r>
            <w:r w:rsidRPr="007E7DBD">
              <w:rPr>
                <w:szCs w:val="17"/>
              </w:rPr>
              <w:t xml:space="preserve">Disclosure </w:t>
            </w:r>
            <w:r>
              <w:rPr>
                <w:szCs w:val="17"/>
              </w:rPr>
              <w:t xml:space="preserve">in </w:t>
            </w:r>
            <w:r w:rsidRPr="0018094B">
              <w:rPr>
                <w:szCs w:val="17"/>
              </w:rPr>
              <w:t xml:space="preserve">SFCR </w:t>
            </w:r>
            <w:r w:rsidRPr="007E7DBD">
              <w:rPr>
                <w:szCs w:val="17"/>
              </w:rPr>
              <w:t>of</w:t>
            </w:r>
            <w:r w:rsidRPr="0018094B">
              <w:rPr>
                <w:szCs w:val="17"/>
              </w:rPr>
              <w:t xml:space="preserve"> information:</w:t>
            </w:r>
            <w:r w:rsidRPr="007E7DBD">
              <w:rPr>
                <w:szCs w:val="17"/>
              </w:rPr>
              <w:t xml:space="preserve"> </w:t>
            </w:r>
          </w:p>
          <w:p w14:paraId="2F958EC9" w14:textId="77777777" w:rsidR="007C0A0A" w:rsidRPr="00515845" w:rsidRDefault="007C0A0A" w:rsidP="007C0A0A">
            <w:pPr>
              <w:pStyle w:val="Odsekzoznamu"/>
              <w:numPr>
                <w:ilvl w:val="0"/>
                <w:numId w:val="9"/>
              </w:numPr>
              <w:tabs>
                <w:tab w:val="left" w:pos="3815"/>
              </w:tabs>
              <w:spacing w:line="240" w:lineRule="auto"/>
              <w:jc w:val="left"/>
              <w:rPr>
                <w:szCs w:val="17"/>
              </w:rPr>
            </w:pPr>
            <w:r w:rsidRPr="00515845">
              <w:rPr>
                <w:szCs w:val="17"/>
              </w:rPr>
              <w:t>with and without VA/MA (in professional section of SFCR)</w:t>
            </w:r>
          </w:p>
          <w:p w14:paraId="17936F77" w14:textId="77777777" w:rsidR="007C0A0A" w:rsidRPr="00515845" w:rsidRDefault="007C0A0A" w:rsidP="007C0A0A">
            <w:pPr>
              <w:pStyle w:val="Odsekzoznamu"/>
              <w:numPr>
                <w:ilvl w:val="0"/>
                <w:numId w:val="9"/>
              </w:numPr>
              <w:tabs>
                <w:tab w:val="left" w:pos="3815"/>
              </w:tabs>
              <w:spacing w:line="240" w:lineRule="auto"/>
              <w:jc w:val="left"/>
              <w:rPr>
                <w:rStyle w:val="normaltextrun"/>
                <w:szCs w:val="17"/>
              </w:rPr>
            </w:pPr>
            <w:r w:rsidRPr="00515845">
              <w:rPr>
                <w:rStyle w:val="normaltextrun"/>
                <w:szCs w:val="17"/>
                <w:shd w:val="clear" w:color="auto" w:fill="FFFFFF"/>
              </w:rPr>
              <w:t xml:space="preserve">use of </w:t>
            </w:r>
            <w:proofErr w:type="spellStart"/>
            <w:r w:rsidRPr="00515845">
              <w:rPr>
                <w:rStyle w:val="normaltextrun"/>
                <w:szCs w:val="17"/>
                <w:shd w:val="clear" w:color="auto" w:fill="FFFFFF"/>
              </w:rPr>
              <w:t>transitionals</w:t>
            </w:r>
            <w:proofErr w:type="spellEnd"/>
            <w:r w:rsidRPr="00515845">
              <w:rPr>
                <w:rStyle w:val="normaltextrun"/>
                <w:szCs w:val="17"/>
                <w:shd w:val="clear" w:color="auto" w:fill="FFFFFF"/>
              </w:rPr>
              <w:t xml:space="preserve"> for interest rates and technical provisions</w:t>
            </w:r>
          </w:p>
          <w:p w14:paraId="0E27F5C9" w14:textId="77777777" w:rsidR="007C0A0A" w:rsidRPr="00F41439" w:rsidRDefault="007C0A0A" w:rsidP="007C0A0A">
            <w:pPr>
              <w:pStyle w:val="Odsekzoznamu"/>
              <w:numPr>
                <w:ilvl w:val="0"/>
                <w:numId w:val="9"/>
              </w:numPr>
              <w:tabs>
                <w:tab w:val="left" w:pos="3815"/>
              </w:tabs>
              <w:spacing w:line="240" w:lineRule="auto"/>
              <w:jc w:val="left"/>
              <w:rPr>
                <w:rStyle w:val="normaltextrun"/>
                <w:szCs w:val="17"/>
              </w:rPr>
            </w:pPr>
            <w:r w:rsidRPr="00515845">
              <w:rPr>
                <w:rStyle w:val="normaltextrun"/>
                <w:szCs w:val="17"/>
                <w:shd w:val="clear" w:color="auto" w:fill="FFFFFF"/>
              </w:rPr>
              <w:t>standardisation of the sensitivity of SCR.</w:t>
            </w:r>
          </w:p>
          <w:p w14:paraId="03FCD133" w14:textId="2E0CD36C" w:rsidR="007C0A0A" w:rsidRDefault="007C0A0A" w:rsidP="007C0A0A">
            <w:pPr>
              <w:pStyle w:val="Odsekzoznamu"/>
              <w:spacing w:line="240" w:lineRule="auto"/>
              <w:ind w:left="0"/>
              <w:jc w:val="left"/>
              <w:rPr>
                <w:b/>
                <w:bCs/>
                <w:color w:val="FF0000"/>
                <w:szCs w:val="20"/>
              </w:rPr>
            </w:pPr>
            <w:r>
              <w:rPr>
                <w:szCs w:val="17"/>
                <w:shd w:val="clear" w:color="auto" w:fill="FFFFFF"/>
              </w:rPr>
              <w:t>I</w:t>
            </w:r>
            <w:r w:rsidRPr="00F41439">
              <w:rPr>
                <w:szCs w:val="17"/>
                <w:shd w:val="clear" w:color="auto" w:fill="FFFFFF"/>
              </w:rPr>
              <w:t>mpact of changes to the convergence parameter of the alternative extrapolation method on financial position</w:t>
            </w:r>
          </w:p>
          <w:p w14:paraId="6DC1FE8F" w14:textId="77777777" w:rsidR="007C0A0A" w:rsidRDefault="007C0A0A" w:rsidP="00940B0E">
            <w:pPr>
              <w:pStyle w:val="CEABullet-Level1"/>
              <w:numPr>
                <w:ilvl w:val="0"/>
                <w:numId w:val="0"/>
              </w:numPr>
              <w:spacing w:line="30" w:lineRule="atLeast"/>
              <w:jc w:val="left"/>
              <w:rPr>
                <w:b/>
                <w:bCs/>
                <w:color w:val="00B050"/>
                <w:szCs w:val="17"/>
              </w:rPr>
            </w:pPr>
          </w:p>
          <w:p w14:paraId="7B7CC560" w14:textId="77777777" w:rsidR="007C0A0A" w:rsidRDefault="007C0A0A" w:rsidP="00940B0E">
            <w:pPr>
              <w:pStyle w:val="CEABullet-Level1"/>
              <w:numPr>
                <w:ilvl w:val="0"/>
                <w:numId w:val="0"/>
              </w:numPr>
              <w:spacing w:line="30" w:lineRule="atLeast"/>
              <w:jc w:val="left"/>
              <w:rPr>
                <w:b/>
                <w:bCs/>
                <w:color w:val="00B050"/>
                <w:szCs w:val="17"/>
              </w:rPr>
            </w:pPr>
          </w:p>
          <w:p w14:paraId="1FB9B3B6" w14:textId="77777777" w:rsidR="008F5583" w:rsidRPr="008F5583" w:rsidRDefault="008F5583" w:rsidP="008F5583">
            <w:pPr>
              <w:pStyle w:val="CEABullet-Level1"/>
              <w:numPr>
                <w:ilvl w:val="0"/>
                <w:numId w:val="0"/>
              </w:numPr>
              <w:spacing w:line="30" w:lineRule="atLeast"/>
              <w:jc w:val="left"/>
              <w:rPr>
                <w:color w:val="auto"/>
                <w:szCs w:val="17"/>
              </w:rPr>
            </w:pPr>
            <w:r w:rsidRPr="008F5583">
              <w:rPr>
                <w:b/>
                <w:bCs/>
                <w:color w:val="A6A6A6" w:themeColor="background1" w:themeShade="A6"/>
                <w:szCs w:val="17"/>
              </w:rPr>
              <w:t>[Neutral]</w:t>
            </w:r>
            <w:r w:rsidRPr="008F5583">
              <w:rPr>
                <w:color w:val="A6A6A6" w:themeColor="background1" w:themeShade="A6"/>
                <w:szCs w:val="17"/>
              </w:rPr>
              <w:t xml:space="preserve"> </w:t>
            </w:r>
            <w:r w:rsidRPr="008F5583">
              <w:rPr>
                <w:color w:val="auto"/>
                <w:szCs w:val="17"/>
              </w:rPr>
              <w:t>Even though the EC extends the Reporting deadlines for annual QRTs (16 weeks), RSR and SFCR (18 weeks), the timelines for the Quarterly QRTs are kept (5weeks), and additional time will be needed for external audit.</w:t>
            </w:r>
          </w:p>
          <w:p w14:paraId="322FFF9F" w14:textId="77777777" w:rsidR="008F5583" w:rsidRPr="008F5583" w:rsidRDefault="008F5583" w:rsidP="008F5583">
            <w:pPr>
              <w:pStyle w:val="CEABullet-Level1"/>
              <w:numPr>
                <w:ilvl w:val="0"/>
                <w:numId w:val="0"/>
              </w:numPr>
              <w:spacing w:line="30" w:lineRule="atLeast"/>
              <w:ind w:left="360"/>
              <w:jc w:val="left"/>
              <w:rPr>
                <w:color w:val="auto"/>
                <w:szCs w:val="17"/>
              </w:rPr>
            </w:pPr>
          </w:p>
          <w:p w14:paraId="05248876" w14:textId="77777777" w:rsidR="007C0A0A" w:rsidRDefault="008F5583" w:rsidP="008F5583">
            <w:pPr>
              <w:pStyle w:val="CEABullet-Level1"/>
              <w:numPr>
                <w:ilvl w:val="0"/>
                <w:numId w:val="0"/>
              </w:numPr>
              <w:spacing w:line="30" w:lineRule="atLeast"/>
              <w:jc w:val="left"/>
              <w:rPr>
                <w:color w:val="auto"/>
                <w:szCs w:val="17"/>
              </w:rPr>
            </w:pPr>
            <w:r w:rsidRPr="008F5583">
              <w:rPr>
                <w:b/>
                <w:bCs/>
                <w:color w:val="FF0000"/>
                <w:szCs w:val="17"/>
              </w:rPr>
              <w:t>[Negative]</w:t>
            </w:r>
            <w:r w:rsidRPr="008F5583">
              <w:rPr>
                <w:color w:val="FF0000"/>
                <w:szCs w:val="17"/>
              </w:rPr>
              <w:t xml:space="preserve"> </w:t>
            </w:r>
            <w:r w:rsidRPr="008F5583">
              <w:rPr>
                <w:color w:val="auto"/>
                <w:szCs w:val="17"/>
              </w:rPr>
              <w:t xml:space="preserve">In addition, the 6-week extension for group reporting compared to solo reporting was removed, and the current proposal requires annual group reporting within 20 weeks. Because, extending the annual deadline for solo submissions while preserving the original group reporting deadlines will not benefit solo companies which are part of a group. In order to accommodate group reporting requirements (re)insurance </w:t>
            </w:r>
            <w:r w:rsidRPr="008F5583">
              <w:rPr>
                <w:color w:val="auto"/>
                <w:szCs w:val="17"/>
              </w:rPr>
              <w:lastRenderedPageBreak/>
              <w:t>companies within the group will have to provide final data within the original and not extended deadlines.</w:t>
            </w:r>
          </w:p>
          <w:p w14:paraId="72D7775A" w14:textId="77777777" w:rsidR="008F5583" w:rsidRDefault="008F5583" w:rsidP="008F5583">
            <w:pPr>
              <w:pStyle w:val="CEABullet-Level1"/>
              <w:numPr>
                <w:ilvl w:val="0"/>
                <w:numId w:val="0"/>
              </w:numPr>
              <w:spacing w:line="30" w:lineRule="atLeast"/>
              <w:jc w:val="left"/>
              <w:rPr>
                <w:color w:val="auto"/>
                <w:szCs w:val="17"/>
              </w:rPr>
            </w:pPr>
          </w:p>
          <w:p w14:paraId="11BB59E3" w14:textId="3115D499" w:rsidR="008F5583" w:rsidRPr="00BD5AF9" w:rsidRDefault="008F5583" w:rsidP="008F5583">
            <w:pPr>
              <w:pStyle w:val="CEABullet-Level1"/>
              <w:numPr>
                <w:ilvl w:val="0"/>
                <w:numId w:val="0"/>
              </w:numPr>
              <w:spacing w:line="30" w:lineRule="atLeast"/>
              <w:jc w:val="left"/>
              <w:rPr>
                <w:b/>
                <w:bCs/>
                <w:color w:val="00B050"/>
                <w:szCs w:val="17"/>
              </w:rPr>
            </w:pPr>
            <w:r w:rsidRPr="00F41439">
              <w:rPr>
                <w:b/>
                <w:bCs/>
                <w:color w:val="00B050"/>
                <w:szCs w:val="17"/>
              </w:rPr>
              <w:t xml:space="preserve">[Positive] </w:t>
            </w:r>
            <w:r w:rsidRPr="00F41439">
              <w:rPr>
                <w:szCs w:val="17"/>
              </w:rPr>
              <w:t>Option to have a single group RSR subject to criteria</w:t>
            </w:r>
          </w:p>
        </w:tc>
        <w:tc>
          <w:tcPr>
            <w:tcW w:w="3260" w:type="dxa"/>
          </w:tcPr>
          <w:p w14:paraId="161DA8B1" w14:textId="77D116F1" w:rsidR="007C0A0A" w:rsidRDefault="007C0A0A" w:rsidP="00940B0E">
            <w:pPr>
              <w:tabs>
                <w:tab w:val="left" w:pos="3815"/>
              </w:tabs>
              <w:jc w:val="left"/>
              <w:rPr>
                <w:szCs w:val="17"/>
              </w:rPr>
            </w:pPr>
            <w:r w:rsidRPr="00BD5AF9">
              <w:rPr>
                <w:b/>
                <w:bCs/>
                <w:color w:val="FF0000"/>
                <w:szCs w:val="17"/>
              </w:rPr>
              <w:lastRenderedPageBreak/>
              <w:t>[Negative]</w:t>
            </w:r>
            <w:r>
              <w:rPr>
                <w:b/>
                <w:bCs/>
                <w:color w:val="FF0000"/>
                <w:szCs w:val="17"/>
              </w:rPr>
              <w:t xml:space="preserve"> </w:t>
            </w:r>
            <w:r w:rsidR="00362F5D">
              <w:rPr>
                <w:szCs w:val="17"/>
              </w:rPr>
              <w:t>E</w:t>
            </w:r>
            <w:r w:rsidRPr="007E7DBD">
              <w:rPr>
                <w:szCs w:val="17"/>
              </w:rPr>
              <w:t>xternal audit requirement</w:t>
            </w:r>
            <w:r>
              <w:rPr>
                <w:szCs w:val="17"/>
              </w:rPr>
              <w:t xml:space="preserve"> can be extended at discretion of NSA, and small and non-complex undertakings are no longer exempted by default. (Art. 51a), although recital 31 specifically mentions that an exemption is appropriate, but MS already having an audit requirement in place should have the possibility to apply audit to all undertakings and other parts of the SFCR.</w:t>
            </w:r>
            <w:r>
              <w:rPr>
                <w:szCs w:val="17"/>
              </w:rPr>
              <w:br/>
              <w:t>Exception added for Portugal, where audit requirement can be fulfilled by ‘</w:t>
            </w:r>
            <w:proofErr w:type="spellStart"/>
            <w:r>
              <w:rPr>
                <w:szCs w:val="17"/>
              </w:rPr>
              <w:t>Atuario</w:t>
            </w:r>
            <w:proofErr w:type="spellEnd"/>
            <w:r>
              <w:rPr>
                <w:szCs w:val="17"/>
              </w:rPr>
              <w:t xml:space="preserve"> </w:t>
            </w:r>
            <w:proofErr w:type="spellStart"/>
            <w:r>
              <w:rPr>
                <w:szCs w:val="17"/>
              </w:rPr>
              <w:t>Responsavel</w:t>
            </w:r>
            <w:proofErr w:type="spellEnd"/>
            <w:r>
              <w:rPr>
                <w:szCs w:val="17"/>
              </w:rPr>
              <w:t xml:space="preserve">’  </w:t>
            </w:r>
          </w:p>
          <w:p w14:paraId="66C0E5FD" w14:textId="77777777" w:rsidR="007C0A0A" w:rsidRDefault="007C0A0A" w:rsidP="00940B0E">
            <w:pPr>
              <w:tabs>
                <w:tab w:val="left" w:pos="3815"/>
              </w:tabs>
              <w:jc w:val="left"/>
              <w:rPr>
                <w:szCs w:val="17"/>
              </w:rPr>
            </w:pPr>
          </w:p>
          <w:p w14:paraId="7BC8851A" w14:textId="77777777" w:rsidR="007C0A0A" w:rsidRDefault="007C0A0A" w:rsidP="00940B0E">
            <w:pPr>
              <w:tabs>
                <w:tab w:val="left" w:pos="3815"/>
              </w:tabs>
              <w:jc w:val="left"/>
              <w:rPr>
                <w:szCs w:val="17"/>
              </w:rPr>
            </w:pPr>
          </w:p>
          <w:p w14:paraId="672A9896" w14:textId="77777777" w:rsidR="007C0A0A" w:rsidRDefault="007C0A0A" w:rsidP="00940B0E">
            <w:pPr>
              <w:tabs>
                <w:tab w:val="left" w:pos="3815"/>
              </w:tabs>
              <w:jc w:val="left"/>
              <w:rPr>
                <w:szCs w:val="17"/>
              </w:rPr>
            </w:pPr>
          </w:p>
          <w:p w14:paraId="118EB95B" w14:textId="77777777" w:rsidR="007C0A0A" w:rsidRDefault="007C0A0A" w:rsidP="00940B0E">
            <w:pPr>
              <w:tabs>
                <w:tab w:val="left" w:pos="3815"/>
              </w:tabs>
              <w:jc w:val="left"/>
              <w:rPr>
                <w:szCs w:val="17"/>
              </w:rPr>
            </w:pPr>
          </w:p>
          <w:p w14:paraId="09630C3B" w14:textId="77777777" w:rsidR="007C0A0A" w:rsidRDefault="007C0A0A" w:rsidP="00940B0E">
            <w:pPr>
              <w:tabs>
                <w:tab w:val="left" w:pos="3815"/>
              </w:tabs>
              <w:jc w:val="left"/>
              <w:rPr>
                <w:szCs w:val="17"/>
              </w:rPr>
            </w:pPr>
          </w:p>
          <w:p w14:paraId="6B8AC226" w14:textId="77777777" w:rsidR="007C0A0A" w:rsidRDefault="007C0A0A" w:rsidP="00940B0E">
            <w:pPr>
              <w:tabs>
                <w:tab w:val="left" w:pos="3815"/>
              </w:tabs>
              <w:jc w:val="left"/>
              <w:rPr>
                <w:szCs w:val="17"/>
              </w:rPr>
            </w:pPr>
          </w:p>
          <w:p w14:paraId="414F5AD9" w14:textId="77777777" w:rsidR="00D4758F" w:rsidRDefault="00D4758F" w:rsidP="00940B0E">
            <w:pPr>
              <w:tabs>
                <w:tab w:val="left" w:pos="3815"/>
              </w:tabs>
              <w:jc w:val="left"/>
              <w:rPr>
                <w:b/>
                <w:bCs/>
                <w:color w:val="00B050"/>
                <w:szCs w:val="17"/>
              </w:rPr>
            </w:pPr>
          </w:p>
          <w:p w14:paraId="3FD5646F" w14:textId="77777777" w:rsidR="00D4758F" w:rsidRDefault="00D4758F" w:rsidP="00940B0E">
            <w:pPr>
              <w:tabs>
                <w:tab w:val="left" w:pos="3815"/>
              </w:tabs>
              <w:jc w:val="left"/>
              <w:rPr>
                <w:b/>
                <w:bCs/>
                <w:color w:val="00B050"/>
                <w:szCs w:val="17"/>
              </w:rPr>
            </w:pPr>
          </w:p>
          <w:p w14:paraId="3261BC50" w14:textId="77777777" w:rsidR="00D4758F" w:rsidRDefault="00D4758F" w:rsidP="00940B0E">
            <w:pPr>
              <w:tabs>
                <w:tab w:val="left" w:pos="3815"/>
              </w:tabs>
              <w:jc w:val="left"/>
              <w:rPr>
                <w:b/>
                <w:bCs/>
                <w:color w:val="00B050"/>
                <w:szCs w:val="17"/>
              </w:rPr>
            </w:pPr>
          </w:p>
          <w:p w14:paraId="637CD6AE" w14:textId="77777777" w:rsidR="00D4758F" w:rsidRDefault="00D4758F" w:rsidP="00940B0E">
            <w:pPr>
              <w:tabs>
                <w:tab w:val="left" w:pos="3815"/>
              </w:tabs>
              <w:jc w:val="left"/>
              <w:rPr>
                <w:b/>
                <w:bCs/>
                <w:color w:val="00B050"/>
                <w:szCs w:val="17"/>
              </w:rPr>
            </w:pPr>
          </w:p>
          <w:p w14:paraId="1F1B0BF7" w14:textId="77777777" w:rsidR="00D4758F" w:rsidRDefault="00D4758F" w:rsidP="00940B0E">
            <w:pPr>
              <w:tabs>
                <w:tab w:val="left" w:pos="3815"/>
              </w:tabs>
              <w:jc w:val="left"/>
              <w:rPr>
                <w:b/>
                <w:bCs/>
                <w:color w:val="00B050"/>
                <w:szCs w:val="17"/>
              </w:rPr>
            </w:pPr>
          </w:p>
          <w:p w14:paraId="475F2988" w14:textId="77777777" w:rsidR="00D4758F" w:rsidRDefault="00D4758F" w:rsidP="00940B0E">
            <w:pPr>
              <w:tabs>
                <w:tab w:val="left" w:pos="3815"/>
              </w:tabs>
              <w:jc w:val="left"/>
              <w:rPr>
                <w:b/>
                <w:bCs/>
                <w:color w:val="00B050"/>
                <w:szCs w:val="17"/>
              </w:rPr>
            </w:pPr>
          </w:p>
          <w:p w14:paraId="6C5F6F85" w14:textId="77777777" w:rsidR="00D4758F" w:rsidRDefault="00D4758F" w:rsidP="00940B0E">
            <w:pPr>
              <w:tabs>
                <w:tab w:val="left" w:pos="3815"/>
              </w:tabs>
              <w:jc w:val="left"/>
              <w:rPr>
                <w:b/>
                <w:bCs/>
                <w:color w:val="00B050"/>
                <w:szCs w:val="17"/>
              </w:rPr>
            </w:pPr>
          </w:p>
          <w:p w14:paraId="74E5639C" w14:textId="77777777" w:rsidR="00D4758F" w:rsidRDefault="00D4758F" w:rsidP="00940B0E">
            <w:pPr>
              <w:tabs>
                <w:tab w:val="left" w:pos="3815"/>
              </w:tabs>
              <w:jc w:val="left"/>
              <w:rPr>
                <w:b/>
                <w:bCs/>
                <w:color w:val="00B050"/>
                <w:szCs w:val="17"/>
              </w:rPr>
            </w:pPr>
          </w:p>
          <w:p w14:paraId="018F873D" w14:textId="77777777" w:rsidR="00D4758F" w:rsidRDefault="00D4758F" w:rsidP="00940B0E">
            <w:pPr>
              <w:tabs>
                <w:tab w:val="left" w:pos="3815"/>
              </w:tabs>
              <w:jc w:val="left"/>
              <w:rPr>
                <w:b/>
                <w:bCs/>
                <w:color w:val="00B050"/>
                <w:szCs w:val="17"/>
              </w:rPr>
            </w:pPr>
          </w:p>
          <w:p w14:paraId="5B737024" w14:textId="509D94E3" w:rsidR="007C0A0A" w:rsidRDefault="007C0A0A" w:rsidP="00940B0E">
            <w:pPr>
              <w:tabs>
                <w:tab w:val="left" w:pos="3815"/>
              </w:tabs>
              <w:jc w:val="left"/>
              <w:rPr>
                <w:szCs w:val="17"/>
              </w:rPr>
            </w:pPr>
            <w:r w:rsidRPr="00BD5AF9">
              <w:rPr>
                <w:b/>
                <w:bCs/>
                <w:color w:val="00B050"/>
                <w:szCs w:val="17"/>
              </w:rPr>
              <w:t>[Positive]</w:t>
            </w:r>
            <w:r>
              <w:rPr>
                <w:b/>
                <w:bCs/>
                <w:color w:val="00B050"/>
                <w:szCs w:val="17"/>
              </w:rPr>
              <w:t xml:space="preserve"> </w:t>
            </w:r>
            <w:r w:rsidRPr="00597F39">
              <w:rPr>
                <w:szCs w:val="17"/>
              </w:rPr>
              <w:t xml:space="preserve">NSAs </w:t>
            </w:r>
            <w:r w:rsidR="00D4758F">
              <w:rPr>
                <w:szCs w:val="17"/>
              </w:rPr>
              <w:t>can</w:t>
            </w:r>
            <w:r w:rsidRPr="00597F39">
              <w:rPr>
                <w:szCs w:val="17"/>
              </w:rPr>
              <w:t xml:space="preserve"> exempt insurers that are part of a group from reporting on an item-by-item basis. These insurers no longer have to demonstrate to the satisfaction of the NSA that reporting on an item-by-item basis is inappropriate</w:t>
            </w:r>
            <w:r>
              <w:rPr>
                <w:szCs w:val="17"/>
              </w:rPr>
              <w:t>. (Art. 35a)</w:t>
            </w:r>
          </w:p>
          <w:p w14:paraId="4100ABE3" w14:textId="77777777" w:rsidR="007C0A0A" w:rsidRDefault="007C0A0A" w:rsidP="00940B0E">
            <w:pPr>
              <w:tabs>
                <w:tab w:val="left" w:pos="3815"/>
              </w:tabs>
              <w:jc w:val="left"/>
              <w:rPr>
                <w:szCs w:val="17"/>
              </w:rPr>
            </w:pPr>
          </w:p>
          <w:p w14:paraId="51CEF31D" w14:textId="77777777" w:rsidR="007C0A0A" w:rsidRDefault="007C0A0A" w:rsidP="007C0A0A">
            <w:pPr>
              <w:spacing w:after="200" w:line="276" w:lineRule="auto"/>
              <w:jc w:val="left"/>
              <w:rPr>
                <w:b/>
                <w:bCs/>
                <w:color w:val="FF0000"/>
                <w:szCs w:val="17"/>
              </w:rPr>
            </w:pPr>
            <w:r w:rsidRPr="00BD5AF9">
              <w:rPr>
                <w:b/>
                <w:bCs/>
                <w:color w:val="FF0000"/>
                <w:szCs w:val="17"/>
              </w:rPr>
              <w:t>[Negative]</w:t>
            </w:r>
          </w:p>
          <w:p w14:paraId="0B517C9A" w14:textId="77777777" w:rsidR="007C0A0A" w:rsidRDefault="007C0A0A" w:rsidP="007C0A0A">
            <w:pPr>
              <w:spacing w:after="200" w:line="276" w:lineRule="auto"/>
              <w:jc w:val="left"/>
              <w:rPr>
                <w:szCs w:val="17"/>
              </w:rPr>
            </w:pPr>
            <w:r w:rsidRPr="00717DEA">
              <w:rPr>
                <w:szCs w:val="17"/>
              </w:rPr>
              <w:t>•</w:t>
            </w:r>
            <w:r>
              <w:rPr>
                <w:szCs w:val="17"/>
              </w:rPr>
              <w:t>R</w:t>
            </w:r>
            <w:r w:rsidRPr="00717DEA">
              <w:rPr>
                <w:szCs w:val="17"/>
              </w:rPr>
              <w:t xml:space="preserve">equirement for (re)insurers to disclose in SFCR with and without the interest rate risk </w:t>
            </w:r>
            <w:proofErr w:type="spellStart"/>
            <w:r w:rsidRPr="00717DEA">
              <w:rPr>
                <w:szCs w:val="17"/>
              </w:rPr>
              <w:t>transitionals</w:t>
            </w:r>
            <w:proofErr w:type="spellEnd"/>
            <w:r w:rsidRPr="00717DEA">
              <w:rPr>
                <w:szCs w:val="17"/>
              </w:rPr>
              <w:t xml:space="preserve"> </w:t>
            </w:r>
          </w:p>
          <w:p w14:paraId="5025C3FC" w14:textId="77777777" w:rsidR="007C0A0A" w:rsidRPr="00D4536A" w:rsidRDefault="007C0A0A" w:rsidP="007C0A0A">
            <w:pPr>
              <w:spacing w:after="200" w:line="276" w:lineRule="auto"/>
              <w:jc w:val="left"/>
              <w:rPr>
                <w:szCs w:val="17"/>
              </w:rPr>
            </w:pPr>
            <w:r w:rsidRPr="00D4536A">
              <w:rPr>
                <w:szCs w:val="17"/>
              </w:rPr>
              <w:t>•Should include description of business and performance of the undertaking</w:t>
            </w:r>
          </w:p>
          <w:p w14:paraId="677ED1A6" w14:textId="77777777" w:rsidR="007C0A0A" w:rsidRDefault="007C0A0A" w:rsidP="007C0A0A">
            <w:pPr>
              <w:tabs>
                <w:tab w:val="left" w:pos="3815"/>
              </w:tabs>
              <w:jc w:val="left"/>
              <w:rPr>
                <w:szCs w:val="17"/>
              </w:rPr>
            </w:pPr>
            <w:r w:rsidRPr="00717DEA">
              <w:rPr>
                <w:szCs w:val="17"/>
              </w:rPr>
              <w:t>•</w:t>
            </w:r>
            <w:r>
              <w:rPr>
                <w:szCs w:val="17"/>
              </w:rPr>
              <w:t>R</w:t>
            </w:r>
            <w:r w:rsidRPr="00717DEA">
              <w:rPr>
                <w:szCs w:val="17"/>
              </w:rPr>
              <w:t xml:space="preserve">equirement (re)insurers to disclose in SFCR with and without </w:t>
            </w:r>
            <w:r w:rsidRPr="00717DEA">
              <w:rPr>
                <w:szCs w:val="17"/>
              </w:rPr>
              <w:lastRenderedPageBreak/>
              <w:t xml:space="preserve">the combined impact of the </w:t>
            </w:r>
            <w:proofErr w:type="spellStart"/>
            <w:r w:rsidRPr="00717DEA">
              <w:rPr>
                <w:szCs w:val="17"/>
              </w:rPr>
              <w:t>transitionals</w:t>
            </w:r>
            <w:proofErr w:type="spellEnd"/>
          </w:p>
          <w:p w14:paraId="68C5689D" w14:textId="77777777" w:rsidR="008F5583" w:rsidRDefault="008F5583" w:rsidP="007C0A0A">
            <w:pPr>
              <w:tabs>
                <w:tab w:val="left" w:pos="3815"/>
              </w:tabs>
              <w:jc w:val="left"/>
              <w:rPr>
                <w:szCs w:val="17"/>
              </w:rPr>
            </w:pPr>
          </w:p>
          <w:p w14:paraId="77D33AE1" w14:textId="77777777" w:rsidR="008F5583" w:rsidRDefault="008F5583" w:rsidP="007C0A0A">
            <w:pPr>
              <w:tabs>
                <w:tab w:val="left" w:pos="3815"/>
              </w:tabs>
              <w:jc w:val="left"/>
              <w:rPr>
                <w:szCs w:val="17"/>
              </w:rPr>
            </w:pPr>
          </w:p>
          <w:p w14:paraId="5B740B37" w14:textId="49F54089" w:rsidR="008F5583" w:rsidRPr="005D7877" w:rsidRDefault="008F5583" w:rsidP="007C0A0A">
            <w:pPr>
              <w:tabs>
                <w:tab w:val="left" w:pos="3815"/>
              </w:tabs>
              <w:jc w:val="left"/>
              <w:rPr>
                <w:b/>
                <w:color w:val="595959" w:themeColor="text1" w:themeTint="A6"/>
                <w:szCs w:val="17"/>
              </w:rPr>
            </w:pPr>
            <w:r w:rsidRPr="00BD5AF9">
              <w:rPr>
                <w:b/>
                <w:bCs/>
                <w:color w:val="00B050"/>
                <w:szCs w:val="17"/>
              </w:rPr>
              <w:t>[Positive]</w:t>
            </w:r>
            <w:r>
              <w:rPr>
                <w:rFonts w:eastAsiaTheme="minorHAnsi"/>
                <w:b/>
                <w:color w:val="00B050"/>
                <w:szCs w:val="17"/>
              </w:rPr>
              <w:t xml:space="preserve"> </w:t>
            </w:r>
            <w:r>
              <w:rPr>
                <w:rFonts w:eastAsiaTheme="minorHAnsi" w:cs="Verdana"/>
                <w:szCs w:val="17"/>
              </w:rPr>
              <w:t>Annual group submission extended to 22 weeks after the undertaking’s financial year end under Article 254 (3).</w:t>
            </w:r>
          </w:p>
        </w:tc>
        <w:tc>
          <w:tcPr>
            <w:tcW w:w="3828" w:type="dxa"/>
          </w:tcPr>
          <w:p w14:paraId="1D295720" w14:textId="77777777" w:rsidR="00686DEA" w:rsidRDefault="00686DEA" w:rsidP="00686DEA">
            <w:pPr>
              <w:pStyle w:val="CEABullet-Level1"/>
              <w:numPr>
                <w:ilvl w:val="0"/>
                <w:numId w:val="0"/>
              </w:numPr>
              <w:spacing w:line="30" w:lineRule="atLeast"/>
              <w:jc w:val="left"/>
              <w:rPr>
                <w:b/>
                <w:bCs/>
                <w:color w:val="FF0000"/>
                <w:szCs w:val="17"/>
              </w:rPr>
            </w:pPr>
            <w:r>
              <w:rPr>
                <w:b/>
                <w:bCs/>
                <w:color w:val="FF0000"/>
                <w:szCs w:val="17"/>
              </w:rPr>
              <w:lastRenderedPageBreak/>
              <w:t>[Negative]</w:t>
            </w:r>
            <w:r>
              <w:rPr>
                <w:b/>
                <w:bCs/>
                <w:color w:val="00B050"/>
                <w:szCs w:val="17"/>
              </w:rPr>
              <w:t xml:space="preserve"> </w:t>
            </w:r>
            <w:r w:rsidRPr="00110DC7">
              <w:rPr>
                <w:b/>
                <w:bCs/>
                <w:color w:val="auto"/>
                <w:szCs w:val="17"/>
              </w:rPr>
              <w:t xml:space="preserve">External </w:t>
            </w:r>
            <w:r w:rsidRPr="00110DC7">
              <w:rPr>
                <w:b/>
                <w:bCs/>
                <w:szCs w:val="17"/>
              </w:rPr>
              <w:t>audit requirement</w:t>
            </w:r>
            <w:r>
              <w:rPr>
                <w:szCs w:val="17"/>
              </w:rPr>
              <w:t xml:space="preserve"> can be extended to other parts in addition to the balance sheet disclosed as part of the SFCR,</w:t>
            </w:r>
            <w:r>
              <w:rPr>
                <w:b/>
                <w:bCs/>
                <w:color w:val="FF0000"/>
                <w:szCs w:val="17"/>
              </w:rPr>
              <w:t xml:space="preserve"> </w:t>
            </w:r>
          </w:p>
          <w:p w14:paraId="1AB245E9" w14:textId="77777777" w:rsidR="00AD16F5" w:rsidRDefault="00AD16F5" w:rsidP="00686DEA">
            <w:pPr>
              <w:pStyle w:val="CEABullet-Level1"/>
              <w:numPr>
                <w:ilvl w:val="0"/>
                <w:numId w:val="0"/>
              </w:numPr>
              <w:spacing w:line="30" w:lineRule="atLeast"/>
              <w:jc w:val="left"/>
              <w:rPr>
                <w:b/>
                <w:color w:val="00B050"/>
                <w:szCs w:val="17"/>
              </w:rPr>
            </w:pPr>
          </w:p>
          <w:p w14:paraId="5600367F" w14:textId="54909DB9" w:rsidR="00686DEA" w:rsidRDefault="00686DEA" w:rsidP="00686DEA">
            <w:pPr>
              <w:pStyle w:val="CEABullet-Level1"/>
              <w:numPr>
                <w:ilvl w:val="0"/>
                <w:numId w:val="0"/>
              </w:numPr>
              <w:spacing w:line="30" w:lineRule="atLeast"/>
              <w:jc w:val="left"/>
              <w:rPr>
                <w:szCs w:val="17"/>
              </w:rPr>
            </w:pPr>
            <w:r>
              <w:rPr>
                <w:b/>
                <w:color w:val="00B050"/>
                <w:szCs w:val="17"/>
              </w:rPr>
              <w:t>[</w:t>
            </w:r>
            <w:r>
              <w:rPr>
                <w:b/>
                <w:bCs/>
                <w:color w:val="00B050"/>
                <w:szCs w:val="17"/>
              </w:rPr>
              <w:t xml:space="preserve">Positive] </w:t>
            </w:r>
            <w:r>
              <w:rPr>
                <w:szCs w:val="17"/>
              </w:rPr>
              <w:t xml:space="preserve">LRPU/captives are exempted according to Art 51a, </w:t>
            </w:r>
            <w:r w:rsidR="00C4748F">
              <w:rPr>
                <w:szCs w:val="17"/>
              </w:rPr>
              <w:t>(</w:t>
            </w:r>
            <w:r w:rsidR="00C4748F" w:rsidRPr="00C4748F">
              <w:rPr>
                <w:i/>
                <w:iCs/>
                <w:szCs w:val="17"/>
              </w:rPr>
              <w:t xml:space="preserve">note that </w:t>
            </w:r>
            <w:r w:rsidRPr="00C4748F">
              <w:rPr>
                <w:i/>
                <w:iCs/>
                <w:szCs w:val="17"/>
              </w:rPr>
              <w:t>recital 31, specifying LRPU should be exempted from this requirement is deleted</w:t>
            </w:r>
            <w:r w:rsidR="00C4748F">
              <w:rPr>
                <w:szCs w:val="17"/>
              </w:rPr>
              <w:t>)</w:t>
            </w:r>
          </w:p>
          <w:p w14:paraId="565B5A30" w14:textId="77777777" w:rsidR="00813745" w:rsidRDefault="00813745" w:rsidP="00686DEA">
            <w:pPr>
              <w:pStyle w:val="CEABullet-Level1"/>
              <w:numPr>
                <w:ilvl w:val="0"/>
                <w:numId w:val="0"/>
              </w:numPr>
              <w:spacing w:line="30" w:lineRule="atLeast"/>
              <w:jc w:val="left"/>
              <w:rPr>
                <w:b/>
                <w:bCs/>
                <w:color w:val="00B050"/>
                <w:szCs w:val="17"/>
              </w:rPr>
            </w:pPr>
          </w:p>
          <w:p w14:paraId="6137981A" w14:textId="17D4B61E" w:rsidR="00686DEA" w:rsidRDefault="00686DEA" w:rsidP="00686DEA">
            <w:pPr>
              <w:pStyle w:val="CEABullet-Level1"/>
              <w:numPr>
                <w:ilvl w:val="0"/>
                <w:numId w:val="0"/>
              </w:numPr>
              <w:spacing w:line="30" w:lineRule="atLeast"/>
              <w:jc w:val="left"/>
              <w:rPr>
                <w:szCs w:val="17"/>
              </w:rPr>
            </w:pPr>
            <w:r>
              <w:rPr>
                <w:b/>
                <w:bCs/>
                <w:color w:val="00B050"/>
                <w:szCs w:val="17"/>
              </w:rPr>
              <w:t xml:space="preserve">[Positive] </w:t>
            </w:r>
            <w:r>
              <w:rPr>
                <w:color w:val="auto"/>
                <w:szCs w:val="17"/>
              </w:rPr>
              <w:t>removed from recital 30 that a ‘substantial’ part of the SFCR should be audited.</w:t>
            </w:r>
          </w:p>
          <w:p w14:paraId="2CD301DA" w14:textId="77777777" w:rsidR="00686DEA" w:rsidRDefault="00686DEA" w:rsidP="00686DEA">
            <w:pPr>
              <w:tabs>
                <w:tab w:val="left" w:pos="3815"/>
              </w:tabs>
              <w:jc w:val="left"/>
              <w:rPr>
                <w:b/>
                <w:bCs/>
                <w:szCs w:val="17"/>
                <w:highlight w:val="yellow"/>
              </w:rPr>
            </w:pPr>
          </w:p>
          <w:p w14:paraId="7148ECC5" w14:textId="6C801A9F" w:rsidR="00686DEA" w:rsidRDefault="00686DEA" w:rsidP="00686DEA">
            <w:pPr>
              <w:tabs>
                <w:tab w:val="left" w:pos="3815"/>
              </w:tabs>
              <w:jc w:val="left"/>
              <w:rPr>
                <w:szCs w:val="17"/>
              </w:rPr>
            </w:pPr>
            <w:r>
              <w:rPr>
                <w:b/>
                <w:bCs/>
                <w:color w:val="FF0000"/>
                <w:szCs w:val="17"/>
              </w:rPr>
              <w:t xml:space="preserve">[Negative] </w:t>
            </w:r>
            <w:r w:rsidRPr="00110DC7">
              <w:rPr>
                <w:b/>
                <w:bCs/>
                <w:szCs w:val="17"/>
              </w:rPr>
              <w:t>No reduction in SFCR burden.</w:t>
            </w:r>
            <w:r>
              <w:rPr>
                <w:szCs w:val="17"/>
              </w:rPr>
              <w:t xml:space="preserve"> SFCR shall consist of two parts, but removed ‘separate’. Second part addressed to ‘general public’</w:t>
            </w:r>
          </w:p>
          <w:p w14:paraId="15B0449E" w14:textId="3C6278F5" w:rsidR="00686DEA" w:rsidRDefault="00686DEA" w:rsidP="00686DEA">
            <w:pPr>
              <w:tabs>
                <w:tab w:val="left" w:pos="3815"/>
              </w:tabs>
              <w:jc w:val="left"/>
              <w:rPr>
                <w:szCs w:val="17"/>
              </w:rPr>
            </w:pPr>
            <w:r>
              <w:rPr>
                <w:b/>
                <w:color w:val="595959" w:themeColor="text1" w:themeTint="A6"/>
                <w:szCs w:val="17"/>
              </w:rPr>
              <w:t xml:space="preserve">[Neutral] </w:t>
            </w:r>
            <w:r>
              <w:rPr>
                <w:szCs w:val="17"/>
              </w:rPr>
              <w:t xml:space="preserve">SFCR addressed to policyholders to include a description of risk </w:t>
            </w:r>
            <w:proofErr w:type="gramStart"/>
            <w:r>
              <w:rPr>
                <w:szCs w:val="17"/>
              </w:rPr>
              <w:t>profile,  including</w:t>
            </w:r>
            <w:proofErr w:type="gramEnd"/>
            <w:r>
              <w:rPr>
                <w:szCs w:val="17"/>
              </w:rPr>
              <w:t xml:space="preserve"> in relation to sustainability risks and the principal </w:t>
            </w:r>
            <w:r>
              <w:rPr>
                <w:szCs w:val="17"/>
              </w:rPr>
              <w:lastRenderedPageBreak/>
              <w:t>adverse impacts of the u</w:t>
            </w:r>
            <w:r w:rsidR="002253E1">
              <w:rPr>
                <w:szCs w:val="17"/>
              </w:rPr>
              <w:t>/</w:t>
            </w:r>
            <w:r>
              <w:rPr>
                <w:szCs w:val="17"/>
              </w:rPr>
              <w:t>taking on sustainability factors</w:t>
            </w:r>
            <w:r>
              <w:rPr>
                <w:szCs w:val="17"/>
              </w:rPr>
              <w:tab/>
            </w:r>
          </w:p>
          <w:p w14:paraId="08447718" w14:textId="77777777" w:rsidR="004940AC" w:rsidRDefault="00686DEA" w:rsidP="00686DEA">
            <w:pPr>
              <w:tabs>
                <w:tab w:val="left" w:pos="3815"/>
              </w:tabs>
              <w:jc w:val="left"/>
              <w:rPr>
                <w:b/>
                <w:bCs/>
                <w:color w:val="00B050"/>
                <w:szCs w:val="17"/>
              </w:rPr>
            </w:pPr>
            <w:r>
              <w:rPr>
                <w:b/>
                <w:bCs/>
                <w:color w:val="00B050"/>
                <w:szCs w:val="17"/>
              </w:rPr>
              <w:t xml:space="preserve">[Positive] </w:t>
            </w:r>
          </w:p>
          <w:p w14:paraId="47383944" w14:textId="5AFB3355" w:rsidR="00686DEA" w:rsidRPr="004940AC" w:rsidRDefault="00686DEA" w:rsidP="004713C0">
            <w:pPr>
              <w:pStyle w:val="CEABullet-Level1"/>
              <w:tabs>
                <w:tab w:val="left" w:pos="3815"/>
              </w:tabs>
              <w:ind w:left="355"/>
              <w:jc w:val="left"/>
              <w:rPr>
                <w:b/>
                <w:bCs/>
                <w:color w:val="00B050"/>
                <w:szCs w:val="17"/>
              </w:rPr>
            </w:pPr>
            <w:r>
              <w:t xml:space="preserve">NSAs </w:t>
            </w:r>
            <w:r w:rsidR="00D4758F">
              <w:t>can</w:t>
            </w:r>
            <w:r>
              <w:t xml:space="preserve"> exempt insurers that are part of a group from reporting on an item-by-item basis. These insurers no longer have to demonstrate to the satisfaction of the NSA that reporting on an item-by-item basis is inappropriate. (Art. 35a)</w:t>
            </w:r>
          </w:p>
          <w:p w14:paraId="51FC8BC1" w14:textId="6B3FF0F0" w:rsidR="00686DEA" w:rsidRPr="004940AC" w:rsidRDefault="00077DF2" w:rsidP="004713C0">
            <w:pPr>
              <w:pStyle w:val="CEABullet-Level1"/>
              <w:tabs>
                <w:tab w:val="left" w:pos="3815"/>
              </w:tabs>
              <w:ind w:left="355"/>
              <w:jc w:val="left"/>
              <w:rPr>
                <w:szCs w:val="17"/>
              </w:rPr>
            </w:pPr>
            <w:r>
              <w:t>Proportionality principle is</w:t>
            </w:r>
            <w:r w:rsidR="00686DEA">
              <w:t xml:space="preserve"> to be considered when determining the information (re)insurers have to submit for the purposes of supervision (Art 35(1)) </w:t>
            </w:r>
          </w:p>
          <w:p w14:paraId="344D4D43" w14:textId="4ADCC9F9" w:rsidR="00686DEA" w:rsidRPr="004940AC" w:rsidRDefault="00686DEA" w:rsidP="004713C0">
            <w:pPr>
              <w:pStyle w:val="CEABullet-Level1"/>
              <w:tabs>
                <w:tab w:val="left" w:pos="3815"/>
              </w:tabs>
              <w:ind w:left="355"/>
              <w:jc w:val="left"/>
              <w:rPr>
                <w:szCs w:val="17"/>
              </w:rPr>
            </w:pPr>
            <w:r>
              <w:t>limitations and exemptions</w:t>
            </w:r>
            <w:r w:rsidR="0030485A">
              <w:t xml:space="preserve"> from RSR </w:t>
            </w:r>
            <w:r>
              <w:t>shall not apply to u</w:t>
            </w:r>
            <w:r w:rsidR="0030485A">
              <w:t>/</w:t>
            </w:r>
            <w:r>
              <w:t>takings to which a capital add-on has been set. (Art 35a(3a))</w:t>
            </w:r>
          </w:p>
          <w:p w14:paraId="1499C8CD" w14:textId="0FDEC137" w:rsidR="00686DEA" w:rsidRDefault="00686DEA" w:rsidP="004713C0">
            <w:pPr>
              <w:pStyle w:val="CEABullet-Level1"/>
              <w:ind w:left="355"/>
            </w:pPr>
            <w:r>
              <w:t>RSR requested every three years, and for LRPU every 5 years. If deemed necessary NSA can request to report more frequently.</w:t>
            </w:r>
          </w:p>
          <w:p w14:paraId="6AB9228F" w14:textId="5D81557D" w:rsidR="00686DEA" w:rsidRDefault="00C00E36" w:rsidP="00C00E36">
            <w:pPr>
              <w:pStyle w:val="CEABullet-Level1"/>
              <w:ind w:left="355"/>
            </w:pPr>
            <w:r>
              <w:t>EIOPA report on potential measures to develop an integrated data collection shall also have as a goal ‘to reduce compliance costs, in particular for LRPU.’</w:t>
            </w:r>
          </w:p>
          <w:p w14:paraId="5B6FA9BB" w14:textId="524B948A" w:rsidR="00686DEA" w:rsidRDefault="00686DEA" w:rsidP="00686DEA">
            <w:pPr>
              <w:tabs>
                <w:tab w:val="left" w:pos="3815"/>
              </w:tabs>
              <w:jc w:val="left"/>
              <w:rPr>
                <w:b/>
                <w:color w:val="595959" w:themeColor="text1" w:themeTint="A6"/>
                <w:szCs w:val="17"/>
              </w:rPr>
            </w:pPr>
            <w:r>
              <w:rPr>
                <w:b/>
                <w:color w:val="595959" w:themeColor="text1" w:themeTint="A6"/>
                <w:szCs w:val="17"/>
              </w:rPr>
              <w:t xml:space="preserve">[Neutral] </w:t>
            </w:r>
            <w:r>
              <w:rPr>
                <w:szCs w:val="17"/>
              </w:rPr>
              <w:t xml:space="preserve">EC to consult EIOPA when deciding to change </w:t>
            </w:r>
            <w:r>
              <w:rPr>
                <w:bCs/>
                <w:szCs w:val="17"/>
              </w:rPr>
              <w:t xml:space="preserve">group/solo </w:t>
            </w:r>
            <w:r>
              <w:rPr>
                <w:szCs w:val="17"/>
              </w:rPr>
              <w:t xml:space="preserve">reporting deadlines </w:t>
            </w:r>
            <w:r>
              <w:rPr>
                <w:bCs/>
                <w:szCs w:val="17"/>
              </w:rPr>
              <w:t xml:space="preserve">in emergency circumstances. </w:t>
            </w:r>
          </w:p>
          <w:p w14:paraId="65CF4658" w14:textId="77777777" w:rsidR="00686DEA" w:rsidRDefault="00686DEA" w:rsidP="00686DEA">
            <w:pPr>
              <w:tabs>
                <w:tab w:val="left" w:pos="3815"/>
              </w:tabs>
              <w:jc w:val="left"/>
              <w:rPr>
                <w:b/>
                <w:bCs/>
                <w:color w:val="00B050"/>
                <w:szCs w:val="17"/>
              </w:rPr>
            </w:pPr>
          </w:p>
          <w:p w14:paraId="0DDF2E33" w14:textId="0DBECA76" w:rsidR="007C0A0A" w:rsidRPr="003E29AD" w:rsidRDefault="007C0A0A" w:rsidP="00C00E36">
            <w:pPr>
              <w:tabs>
                <w:tab w:val="left" w:pos="3815"/>
              </w:tabs>
              <w:jc w:val="left"/>
              <w:rPr>
                <w:szCs w:val="17"/>
              </w:rPr>
            </w:pPr>
          </w:p>
        </w:tc>
        <w:tc>
          <w:tcPr>
            <w:tcW w:w="3373" w:type="dxa"/>
          </w:tcPr>
          <w:p w14:paraId="4454A95E" w14:textId="77777777" w:rsidR="00B52823" w:rsidRDefault="00B52823" w:rsidP="00B52823">
            <w:pPr>
              <w:tabs>
                <w:tab w:val="left" w:pos="3815"/>
              </w:tabs>
              <w:jc w:val="left"/>
              <w:rPr>
                <w:color w:val="1F497D" w:themeColor="text2"/>
                <w:szCs w:val="17"/>
              </w:rPr>
            </w:pPr>
            <w:r>
              <w:rPr>
                <w:b/>
                <w:bCs/>
                <w:color w:val="1F497D" w:themeColor="text2"/>
                <w:szCs w:val="17"/>
              </w:rPr>
              <w:lastRenderedPageBreak/>
              <w:t xml:space="preserve">Way forward: </w:t>
            </w:r>
            <w:r>
              <w:rPr>
                <w:color w:val="1F497D" w:themeColor="text2"/>
                <w:szCs w:val="17"/>
              </w:rPr>
              <w:t xml:space="preserve">Support EC proposals limiting </w:t>
            </w:r>
            <w:r>
              <w:rPr>
                <w:b/>
                <w:color w:val="1F497D" w:themeColor="text2"/>
                <w:szCs w:val="17"/>
              </w:rPr>
              <w:t>external audit requirement</w:t>
            </w:r>
            <w:r>
              <w:rPr>
                <w:color w:val="1F497D" w:themeColor="text2"/>
                <w:szCs w:val="17"/>
              </w:rPr>
              <w:t xml:space="preserve"> to balance sheet disclosed as part of the SFCR and exempting LRPU. </w:t>
            </w:r>
          </w:p>
          <w:p w14:paraId="7EF25489" w14:textId="77777777" w:rsidR="00B52823" w:rsidRDefault="00B52823" w:rsidP="00B52823">
            <w:pPr>
              <w:tabs>
                <w:tab w:val="left" w:pos="3815"/>
              </w:tabs>
              <w:jc w:val="left"/>
              <w:rPr>
                <w:color w:val="1F497D" w:themeColor="text2"/>
                <w:szCs w:val="17"/>
              </w:rPr>
            </w:pPr>
          </w:p>
          <w:p w14:paraId="2EF4952D" w14:textId="77777777" w:rsidR="00B52823" w:rsidRDefault="00B52823" w:rsidP="00B52823">
            <w:pPr>
              <w:tabs>
                <w:tab w:val="left" w:pos="3815"/>
              </w:tabs>
              <w:jc w:val="left"/>
              <w:rPr>
                <w:color w:val="1F497D" w:themeColor="text2"/>
                <w:szCs w:val="17"/>
              </w:rPr>
            </w:pPr>
          </w:p>
          <w:p w14:paraId="780BAB52" w14:textId="77777777" w:rsidR="00B52823" w:rsidRDefault="00B52823" w:rsidP="00B52823">
            <w:pPr>
              <w:tabs>
                <w:tab w:val="left" w:pos="3815"/>
              </w:tabs>
              <w:jc w:val="left"/>
              <w:rPr>
                <w:color w:val="1F497D" w:themeColor="text2"/>
                <w:szCs w:val="17"/>
              </w:rPr>
            </w:pPr>
            <w:r>
              <w:rPr>
                <w:color w:val="1F497D" w:themeColor="text2"/>
                <w:szCs w:val="17"/>
              </w:rPr>
              <w:t xml:space="preserve">Support </w:t>
            </w:r>
            <w:r>
              <w:rPr>
                <w:b/>
                <w:color w:val="1F497D" w:themeColor="text2"/>
                <w:szCs w:val="17"/>
              </w:rPr>
              <w:t>extension of reporting deadlines</w:t>
            </w:r>
            <w:r>
              <w:rPr>
                <w:color w:val="1F497D" w:themeColor="text2"/>
                <w:szCs w:val="17"/>
              </w:rPr>
              <w:t xml:space="preserve"> proposed by EC as well as the extension of group deadlines proposed by council. </w:t>
            </w:r>
            <w:proofErr w:type="gramStart"/>
            <w:r>
              <w:rPr>
                <w:color w:val="1F497D" w:themeColor="text2"/>
                <w:szCs w:val="17"/>
              </w:rPr>
              <w:t>Unfortunately</w:t>
            </w:r>
            <w:proofErr w:type="gramEnd"/>
            <w:r>
              <w:rPr>
                <w:color w:val="1F497D" w:themeColor="text2"/>
                <w:szCs w:val="17"/>
              </w:rPr>
              <w:t xml:space="preserve"> there is no proposal to extend the 5-week reporting deadline for the quarterly QRTs.</w:t>
            </w:r>
          </w:p>
          <w:p w14:paraId="2A8567BE" w14:textId="77777777" w:rsidR="007C0A0A" w:rsidRDefault="007C0A0A" w:rsidP="00940B0E">
            <w:pPr>
              <w:tabs>
                <w:tab w:val="left" w:pos="3815"/>
              </w:tabs>
              <w:jc w:val="left"/>
              <w:rPr>
                <w:b/>
                <w:color w:val="595959" w:themeColor="text1" w:themeTint="A6"/>
                <w:szCs w:val="17"/>
              </w:rPr>
            </w:pPr>
          </w:p>
          <w:p w14:paraId="3926B31E" w14:textId="77777777" w:rsidR="008B1A82" w:rsidRDefault="008B1A82" w:rsidP="008B1A82">
            <w:pPr>
              <w:tabs>
                <w:tab w:val="left" w:pos="3815"/>
              </w:tabs>
              <w:jc w:val="left"/>
              <w:rPr>
                <w:color w:val="1F497D" w:themeColor="text2"/>
                <w:szCs w:val="17"/>
              </w:rPr>
            </w:pPr>
            <w:r>
              <w:rPr>
                <w:color w:val="1F497D" w:themeColor="text2"/>
                <w:szCs w:val="17"/>
              </w:rPr>
              <w:t xml:space="preserve">It is unfortunate that the </w:t>
            </w:r>
            <w:r>
              <w:rPr>
                <w:b/>
                <w:bCs/>
                <w:color w:val="1F497D" w:themeColor="text2"/>
                <w:szCs w:val="17"/>
              </w:rPr>
              <w:t>SFCR</w:t>
            </w:r>
            <w:r>
              <w:rPr>
                <w:color w:val="1F497D" w:themeColor="text2"/>
                <w:szCs w:val="17"/>
              </w:rPr>
              <w:t xml:space="preserve"> is not proposed to be streamlined, the part for other market participants is still very extensive and unnecessarily burdensome.</w:t>
            </w:r>
          </w:p>
          <w:p w14:paraId="45FC1F9C" w14:textId="31A5F752" w:rsidR="007C0A0A" w:rsidRPr="001B1313" w:rsidRDefault="007C0A0A" w:rsidP="00940B0E">
            <w:pPr>
              <w:tabs>
                <w:tab w:val="left" w:pos="3815"/>
              </w:tabs>
              <w:jc w:val="left"/>
              <w:rPr>
                <w:color w:val="595959" w:themeColor="text1" w:themeTint="A6"/>
                <w:szCs w:val="17"/>
              </w:rPr>
            </w:pPr>
          </w:p>
        </w:tc>
      </w:tr>
      <w:tr w:rsidR="00F3722D" w14:paraId="3FC7F689" w14:textId="77777777" w:rsidTr="00226E73">
        <w:trPr>
          <w:trHeight w:val="538"/>
        </w:trPr>
        <w:tc>
          <w:tcPr>
            <w:tcW w:w="1447" w:type="dxa"/>
          </w:tcPr>
          <w:p w14:paraId="00BBA87E" w14:textId="4BE4FC2A" w:rsidR="00F3722D" w:rsidRDefault="00F3722D" w:rsidP="00940B0E">
            <w:pPr>
              <w:tabs>
                <w:tab w:val="left" w:pos="3815"/>
              </w:tabs>
              <w:jc w:val="left"/>
              <w:rPr>
                <w:b/>
                <w:szCs w:val="17"/>
              </w:rPr>
            </w:pPr>
            <w:r>
              <w:rPr>
                <w:b/>
                <w:szCs w:val="17"/>
              </w:rPr>
              <w:lastRenderedPageBreak/>
              <w:t>IRRD</w:t>
            </w:r>
            <w:r w:rsidR="00841FEC">
              <w:rPr>
                <w:b/>
                <w:szCs w:val="17"/>
              </w:rPr>
              <w:t xml:space="preserve"> (part of sus compr</w:t>
            </w:r>
            <w:r w:rsidR="005F09F0">
              <w:rPr>
                <w:b/>
                <w:szCs w:val="17"/>
              </w:rPr>
              <w:t>o</w:t>
            </w:r>
            <w:r w:rsidR="00841FEC">
              <w:rPr>
                <w:b/>
                <w:szCs w:val="17"/>
              </w:rPr>
              <w:t>mise)</w:t>
            </w:r>
          </w:p>
        </w:tc>
        <w:tc>
          <w:tcPr>
            <w:tcW w:w="3118" w:type="dxa"/>
          </w:tcPr>
          <w:p w14:paraId="3A3BA438" w14:textId="77777777" w:rsidR="00F3722D" w:rsidRPr="00BD5AF9" w:rsidRDefault="00F3722D" w:rsidP="00940B0E">
            <w:pPr>
              <w:pStyle w:val="CEABullet-Level1"/>
              <w:numPr>
                <w:ilvl w:val="0"/>
                <w:numId w:val="0"/>
              </w:numPr>
              <w:spacing w:line="30" w:lineRule="atLeast"/>
              <w:jc w:val="left"/>
              <w:rPr>
                <w:b/>
                <w:bCs/>
                <w:color w:val="00B050"/>
                <w:szCs w:val="17"/>
              </w:rPr>
            </w:pPr>
          </w:p>
        </w:tc>
        <w:tc>
          <w:tcPr>
            <w:tcW w:w="3260" w:type="dxa"/>
          </w:tcPr>
          <w:p w14:paraId="1D17C5E6" w14:textId="77777777" w:rsidR="00F3722D" w:rsidRPr="00BD5AF9" w:rsidRDefault="00F3722D" w:rsidP="00940B0E">
            <w:pPr>
              <w:tabs>
                <w:tab w:val="left" w:pos="3815"/>
              </w:tabs>
              <w:jc w:val="left"/>
              <w:rPr>
                <w:b/>
                <w:bCs/>
                <w:color w:val="FF0000"/>
                <w:szCs w:val="17"/>
              </w:rPr>
            </w:pPr>
          </w:p>
        </w:tc>
        <w:tc>
          <w:tcPr>
            <w:tcW w:w="3828" w:type="dxa"/>
          </w:tcPr>
          <w:p w14:paraId="340FC76C" w14:textId="1DB3B2A3" w:rsidR="00F3722D" w:rsidRPr="00945A02" w:rsidRDefault="00945A02" w:rsidP="003B4666">
            <w:pPr>
              <w:pStyle w:val="CEABullet-Level1"/>
              <w:numPr>
                <w:ilvl w:val="0"/>
                <w:numId w:val="0"/>
              </w:numPr>
              <w:rPr>
                <w:color w:val="auto"/>
                <w:szCs w:val="17"/>
              </w:rPr>
            </w:pPr>
            <w:r w:rsidRPr="00B63871">
              <w:rPr>
                <w:b/>
                <w:color w:val="FF0000"/>
                <w:szCs w:val="17"/>
              </w:rPr>
              <w:t>[Ne</w:t>
            </w:r>
            <w:r w:rsidR="00C86489" w:rsidRPr="00B63871">
              <w:rPr>
                <w:b/>
                <w:color w:val="FF0000"/>
                <w:szCs w:val="17"/>
              </w:rPr>
              <w:t>gative</w:t>
            </w:r>
            <w:r w:rsidRPr="00B63871">
              <w:rPr>
                <w:b/>
                <w:color w:val="FF0000"/>
                <w:szCs w:val="17"/>
              </w:rPr>
              <w:t>]</w:t>
            </w:r>
            <w:r w:rsidR="00D173EF">
              <w:rPr>
                <w:b/>
                <w:color w:val="595959" w:themeColor="text1" w:themeTint="A6"/>
                <w:szCs w:val="17"/>
              </w:rPr>
              <w:t xml:space="preserve"> </w:t>
            </w:r>
            <w:r w:rsidRPr="00945A02">
              <w:rPr>
                <w:color w:val="auto"/>
                <w:szCs w:val="17"/>
              </w:rPr>
              <w:t>In line with IRRD compromise, the provisions in the IRRD Directive amending the Solvency II Directive (Article 83 IRRD amending Articles 141, 267(3)(4) and 268(1) Solvency II are moved from the IRRD Directive to this Solvency II amending Directive.</w:t>
            </w:r>
          </w:p>
        </w:tc>
        <w:tc>
          <w:tcPr>
            <w:tcW w:w="3373" w:type="dxa"/>
          </w:tcPr>
          <w:p w14:paraId="5C623CEB" w14:textId="2B6A0F51" w:rsidR="00F3722D" w:rsidRPr="007D2B02" w:rsidRDefault="000D4F05" w:rsidP="00A10D9F">
            <w:pPr>
              <w:tabs>
                <w:tab w:val="left" w:pos="3815"/>
              </w:tabs>
              <w:jc w:val="left"/>
              <w:rPr>
                <w:b/>
                <w:bCs/>
                <w:color w:val="1F497D" w:themeColor="text2"/>
                <w:szCs w:val="17"/>
              </w:rPr>
            </w:pPr>
            <w:r w:rsidRPr="007D2B02">
              <w:rPr>
                <w:b/>
                <w:bCs/>
                <w:color w:val="1F497D" w:themeColor="text2"/>
                <w:szCs w:val="17"/>
              </w:rPr>
              <w:t>Way forward:</w:t>
            </w:r>
            <w:r>
              <w:rPr>
                <w:b/>
                <w:bCs/>
                <w:color w:val="1F497D" w:themeColor="text2"/>
                <w:szCs w:val="17"/>
              </w:rPr>
              <w:t xml:space="preserve"> </w:t>
            </w:r>
            <w:r w:rsidR="009527CF">
              <w:rPr>
                <w:color w:val="1F497D" w:themeColor="text2"/>
                <w:szCs w:val="17"/>
              </w:rPr>
              <w:t xml:space="preserve">Neither </w:t>
            </w:r>
            <w:proofErr w:type="gramStart"/>
            <w:r w:rsidR="009527CF">
              <w:rPr>
                <w:color w:val="1F497D" w:themeColor="text2"/>
                <w:szCs w:val="17"/>
              </w:rPr>
              <w:t xml:space="preserve">Parliament </w:t>
            </w:r>
            <w:r w:rsidR="000D3D17">
              <w:rPr>
                <w:color w:val="1F497D" w:themeColor="text2"/>
                <w:szCs w:val="17"/>
              </w:rPr>
              <w:t xml:space="preserve"> (</w:t>
            </w:r>
            <w:proofErr w:type="gramEnd"/>
            <w:r w:rsidR="000D3D17">
              <w:rPr>
                <w:color w:val="1F497D" w:themeColor="text2"/>
                <w:szCs w:val="17"/>
              </w:rPr>
              <w:t>in S2</w:t>
            </w:r>
            <w:r w:rsidR="009527CF">
              <w:rPr>
                <w:color w:val="1F497D" w:themeColor="text2"/>
                <w:szCs w:val="17"/>
              </w:rPr>
              <w:t xml:space="preserve"> nor</w:t>
            </w:r>
            <w:r w:rsidR="002E03B0">
              <w:rPr>
                <w:color w:val="1F497D" w:themeColor="text2"/>
                <w:szCs w:val="17"/>
              </w:rPr>
              <w:t xml:space="preserve"> Council </w:t>
            </w:r>
            <w:r w:rsidR="009527CF">
              <w:rPr>
                <w:color w:val="1F497D" w:themeColor="text2"/>
                <w:szCs w:val="17"/>
              </w:rPr>
              <w:t xml:space="preserve">position </w:t>
            </w:r>
            <w:r w:rsidR="000D3D17">
              <w:rPr>
                <w:color w:val="1F497D" w:themeColor="text2"/>
                <w:szCs w:val="17"/>
              </w:rPr>
              <w:t xml:space="preserve">(in IRRD) </w:t>
            </w:r>
            <w:r w:rsidR="009527CF">
              <w:rPr>
                <w:color w:val="1F497D" w:themeColor="text2"/>
                <w:szCs w:val="17"/>
              </w:rPr>
              <w:t>is satisfactory</w:t>
            </w:r>
            <w:r w:rsidR="000D3D17">
              <w:rPr>
                <w:color w:val="1F497D" w:themeColor="text2"/>
                <w:szCs w:val="17"/>
              </w:rPr>
              <w:t>.</w:t>
            </w:r>
          </w:p>
        </w:tc>
      </w:tr>
      <w:tr w:rsidR="001A753C" w14:paraId="124E501A" w14:textId="77777777" w:rsidTr="00226E73">
        <w:trPr>
          <w:trHeight w:val="2571"/>
        </w:trPr>
        <w:tc>
          <w:tcPr>
            <w:tcW w:w="1447" w:type="dxa"/>
          </w:tcPr>
          <w:p w14:paraId="0C44E051" w14:textId="329ABC95" w:rsidR="001A753C" w:rsidRDefault="001A753C" w:rsidP="00940B0E">
            <w:pPr>
              <w:tabs>
                <w:tab w:val="left" w:pos="3815"/>
              </w:tabs>
              <w:jc w:val="left"/>
              <w:rPr>
                <w:b/>
                <w:szCs w:val="17"/>
              </w:rPr>
            </w:pPr>
            <w:r>
              <w:rPr>
                <w:b/>
                <w:szCs w:val="17"/>
              </w:rPr>
              <w:t xml:space="preserve">Additional </w:t>
            </w:r>
            <w:r w:rsidR="00591BFA">
              <w:rPr>
                <w:b/>
                <w:szCs w:val="17"/>
              </w:rPr>
              <w:t>Amendments proposed by EP</w:t>
            </w:r>
          </w:p>
        </w:tc>
        <w:tc>
          <w:tcPr>
            <w:tcW w:w="3118" w:type="dxa"/>
          </w:tcPr>
          <w:p w14:paraId="495E4750" w14:textId="77777777" w:rsidR="001A753C" w:rsidRPr="00BD5AF9" w:rsidRDefault="001A753C" w:rsidP="00940B0E">
            <w:pPr>
              <w:pStyle w:val="CEABullet-Level1"/>
              <w:numPr>
                <w:ilvl w:val="0"/>
                <w:numId w:val="0"/>
              </w:numPr>
              <w:spacing w:line="30" w:lineRule="atLeast"/>
              <w:jc w:val="left"/>
              <w:rPr>
                <w:b/>
                <w:bCs/>
                <w:color w:val="00B050"/>
                <w:szCs w:val="17"/>
              </w:rPr>
            </w:pPr>
          </w:p>
        </w:tc>
        <w:tc>
          <w:tcPr>
            <w:tcW w:w="3260" w:type="dxa"/>
          </w:tcPr>
          <w:p w14:paraId="6F18795E" w14:textId="77777777" w:rsidR="00801D51" w:rsidRDefault="00801D51" w:rsidP="00801D51">
            <w:pPr>
              <w:pStyle w:val="CEABullet-Level1"/>
              <w:numPr>
                <w:ilvl w:val="0"/>
                <w:numId w:val="0"/>
              </w:numPr>
              <w:rPr>
                <w:b/>
                <w:color w:val="595959" w:themeColor="text1" w:themeTint="A6"/>
                <w:szCs w:val="17"/>
              </w:rPr>
            </w:pPr>
            <w:r>
              <w:rPr>
                <w:b/>
                <w:color w:val="595959" w:themeColor="text1" w:themeTint="A6"/>
                <w:szCs w:val="17"/>
              </w:rPr>
              <w:t xml:space="preserve">[Neutral] </w:t>
            </w:r>
          </w:p>
          <w:p w14:paraId="637C9742" w14:textId="18F5086E" w:rsidR="00801D51" w:rsidRPr="00F24746" w:rsidRDefault="00801D51" w:rsidP="00F24746">
            <w:pPr>
              <w:pStyle w:val="CEABullet-Level1"/>
              <w:numPr>
                <w:ilvl w:val="0"/>
                <w:numId w:val="0"/>
              </w:numPr>
            </w:pPr>
          </w:p>
          <w:p w14:paraId="11258112" w14:textId="22AA8560" w:rsidR="00801D51" w:rsidRPr="00495BBD" w:rsidRDefault="00801D51" w:rsidP="00801D51">
            <w:pPr>
              <w:pStyle w:val="CEABullet-Level1"/>
              <w:numPr>
                <w:ilvl w:val="0"/>
                <w:numId w:val="32"/>
              </w:numPr>
            </w:pPr>
            <w:r w:rsidRPr="00495BBD">
              <w:rPr>
                <w:bCs/>
                <w:color w:val="595959" w:themeColor="text1" w:themeTint="A6"/>
                <w:szCs w:val="17"/>
              </w:rPr>
              <w:t>E</w:t>
            </w:r>
            <w:r w:rsidRPr="00495BBD">
              <w:rPr>
                <w:bCs/>
                <w:szCs w:val="17"/>
              </w:rPr>
              <w:t>I</w:t>
            </w:r>
            <w:r>
              <w:rPr>
                <w:bCs/>
                <w:szCs w:val="17"/>
              </w:rPr>
              <w:t>OPA mandate to review whether the requirement on the separation of life/non-life insurance business is justified (</w:t>
            </w:r>
            <w:r>
              <w:rPr>
                <w:b/>
                <w:szCs w:val="17"/>
              </w:rPr>
              <w:t>composites</w:t>
            </w:r>
            <w:r>
              <w:rPr>
                <w:bCs/>
                <w:szCs w:val="17"/>
              </w:rPr>
              <w:t>).</w:t>
            </w:r>
          </w:p>
          <w:p w14:paraId="40E29145" w14:textId="727F1A6B" w:rsidR="001A753C" w:rsidRPr="00BD5AF9" w:rsidRDefault="001A753C" w:rsidP="00940B0E">
            <w:pPr>
              <w:tabs>
                <w:tab w:val="left" w:pos="3815"/>
              </w:tabs>
              <w:jc w:val="left"/>
              <w:rPr>
                <w:b/>
                <w:bCs/>
                <w:color w:val="FF0000"/>
                <w:szCs w:val="17"/>
              </w:rPr>
            </w:pPr>
          </w:p>
        </w:tc>
        <w:tc>
          <w:tcPr>
            <w:tcW w:w="3828" w:type="dxa"/>
          </w:tcPr>
          <w:p w14:paraId="46C9C63B" w14:textId="77777777" w:rsidR="007A1835" w:rsidRDefault="007A1835" w:rsidP="007A1835">
            <w:pPr>
              <w:pStyle w:val="CEABullet-Level1"/>
              <w:numPr>
                <w:ilvl w:val="0"/>
                <w:numId w:val="0"/>
              </w:numPr>
            </w:pPr>
            <w:r>
              <w:rPr>
                <w:b/>
                <w:bCs/>
                <w:color w:val="FF0000"/>
                <w:szCs w:val="17"/>
              </w:rPr>
              <w:t>[Negative]</w:t>
            </w:r>
            <w:r>
              <w:rPr>
                <w:color w:val="FF0000"/>
                <w:szCs w:val="17"/>
              </w:rPr>
              <w:t xml:space="preserve"> </w:t>
            </w:r>
            <w:r w:rsidRPr="00E120F6">
              <w:rPr>
                <w:b/>
                <w:bCs/>
                <w:color w:val="auto"/>
                <w:szCs w:val="17"/>
              </w:rPr>
              <w:t>Stress test results</w:t>
            </w:r>
            <w:r w:rsidRPr="00E120F6">
              <w:rPr>
                <w:color w:val="auto"/>
                <w:szCs w:val="17"/>
              </w:rPr>
              <w:t xml:space="preserve"> - NSAs/</w:t>
            </w:r>
            <w:r w:rsidRPr="00E120F6">
              <w:rPr>
                <w:color w:val="auto"/>
              </w:rPr>
              <w:t>EI</w:t>
            </w:r>
            <w:r>
              <w:rPr>
                <w:color w:val="auto"/>
              </w:rPr>
              <w:t xml:space="preserve">OPA </w:t>
            </w:r>
            <w:r>
              <w:t xml:space="preserve">cannot be prevented to disclose stress test results. </w:t>
            </w:r>
          </w:p>
          <w:p w14:paraId="20F0FECA" w14:textId="77777777" w:rsidR="00E86232" w:rsidRDefault="00E86232" w:rsidP="00E86232">
            <w:pPr>
              <w:pStyle w:val="CEABullet-Level1"/>
              <w:numPr>
                <w:ilvl w:val="0"/>
                <w:numId w:val="0"/>
              </w:numPr>
              <w:rPr>
                <w:b/>
                <w:bCs/>
                <w:color w:val="00B050"/>
                <w:szCs w:val="17"/>
              </w:rPr>
            </w:pPr>
          </w:p>
          <w:p w14:paraId="7C181E9C" w14:textId="77777777" w:rsidR="00DB289E" w:rsidRDefault="00E86232" w:rsidP="00E86232">
            <w:pPr>
              <w:pStyle w:val="CEABullet-Level1"/>
              <w:numPr>
                <w:ilvl w:val="0"/>
                <w:numId w:val="0"/>
              </w:numPr>
              <w:rPr>
                <w:b/>
                <w:bCs/>
                <w:color w:val="00B050"/>
                <w:szCs w:val="17"/>
              </w:rPr>
            </w:pPr>
            <w:r>
              <w:rPr>
                <w:b/>
                <w:bCs/>
                <w:color w:val="00B050"/>
                <w:szCs w:val="17"/>
              </w:rPr>
              <w:t xml:space="preserve">[Positive] </w:t>
            </w:r>
          </w:p>
          <w:p w14:paraId="260E8D15" w14:textId="77777777" w:rsidR="00F37567" w:rsidRPr="00F37567" w:rsidRDefault="00F37567" w:rsidP="00F37567">
            <w:pPr>
              <w:pStyle w:val="Odsekzoznamu"/>
              <w:numPr>
                <w:ilvl w:val="0"/>
                <w:numId w:val="32"/>
              </w:numPr>
              <w:spacing w:after="200" w:line="276" w:lineRule="auto"/>
              <w:jc w:val="left"/>
              <w:rPr>
                <w:rStyle w:val="normaltextrun"/>
                <w:rFonts w:eastAsiaTheme="majorEastAsia" w:cs="Calibri"/>
                <w:szCs w:val="17"/>
              </w:rPr>
            </w:pPr>
            <w:r w:rsidRPr="00F37567">
              <w:rPr>
                <w:rStyle w:val="normaltextrun"/>
                <w:rFonts w:eastAsiaTheme="majorEastAsia" w:cs="Calibri"/>
                <w:b/>
                <w:bCs/>
                <w:szCs w:val="17"/>
              </w:rPr>
              <w:t xml:space="preserve">Directive transposition timeline </w:t>
            </w:r>
            <w:r w:rsidRPr="00F37567">
              <w:rPr>
                <w:rStyle w:val="normaltextrun"/>
                <w:rFonts w:eastAsiaTheme="majorEastAsia" w:cs="Calibri"/>
                <w:szCs w:val="17"/>
              </w:rPr>
              <w:t xml:space="preserve"> </w:t>
            </w:r>
          </w:p>
          <w:p w14:paraId="17471568" w14:textId="77777777" w:rsidR="00F37567" w:rsidRPr="00F37567" w:rsidRDefault="00F37567" w:rsidP="00F37567">
            <w:pPr>
              <w:pStyle w:val="Odsekzoznamu"/>
              <w:numPr>
                <w:ilvl w:val="1"/>
                <w:numId w:val="32"/>
              </w:numPr>
              <w:spacing w:after="200" w:line="276" w:lineRule="auto"/>
              <w:jc w:val="left"/>
              <w:rPr>
                <w:rStyle w:val="normaltextrun"/>
                <w:rFonts w:eastAsiaTheme="majorEastAsia" w:cs="Calibri"/>
                <w:szCs w:val="17"/>
              </w:rPr>
            </w:pPr>
            <w:r w:rsidRPr="00F37567">
              <w:rPr>
                <w:rStyle w:val="normaltextrun"/>
                <w:rFonts w:eastAsiaTheme="majorEastAsia" w:cs="Calibri"/>
                <w:szCs w:val="17"/>
              </w:rPr>
              <w:t>Jan 25 – transposition</w:t>
            </w:r>
          </w:p>
          <w:p w14:paraId="1D0CE1CB" w14:textId="77777777" w:rsidR="00F37567" w:rsidRPr="00F37567" w:rsidRDefault="00F37567" w:rsidP="00F37567">
            <w:pPr>
              <w:pStyle w:val="Odsekzoznamu"/>
              <w:numPr>
                <w:ilvl w:val="1"/>
                <w:numId w:val="32"/>
              </w:numPr>
              <w:spacing w:after="200" w:line="276" w:lineRule="auto"/>
              <w:jc w:val="left"/>
              <w:rPr>
                <w:rStyle w:val="normaltextrun"/>
                <w:rFonts w:eastAsiaTheme="majorEastAsia" w:cs="Calibri"/>
                <w:szCs w:val="17"/>
              </w:rPr>
            </w:pPr>
            <w:r w:rsidRPr="00F37567">
              <w:rPr>
                <w:rStyle w:val="normaltextrun"/>
                <w:rFonts w:eastAsiaTheme="majorEastAsia" w:cs="Calibri"/>
                <w:szCs w:val="17"/>
              </w:rPr>
              <w:t>Jan 26 – application</w:t>
            </w:r>
            <w:r w:rsidRPr="00F37567">
              <w:rPr>
                <w:rStyle w:val="normaltextrun"/>
                <w:rFonts w:eastAsiaTheme="majorEastAsia" w:cs="Calibri"/>
              </w:rPr>
              <w:t xml:space="preserve"> </w:t>
            </w:r>
          </w:p>
          <w:p w14:paraId="1A82DBEB" w14:textId="123EE644" w:rsidR="00E86232" w:rsidRDefault="00E86232" w:rsidP="00F37567">
            <w:pPr>
              <w:pStyle w:val="CEABullet-Level1"/>
              <w:numPr>
                <w:ilvl w:val="0"/>
                <w:numId w:val="32"/>
              </w:numPr>
            </w:pPr>
            <w:r w:rsidRPr="00F37567">
              <w:rPr>
                <w:b/>
                <w:bCs/>
                <w:szCs w:val="17"/>
              </w:rPr>
              <w:t>Co-legislators</w:t>
            </w:r>
            <w:r w:rsidRPr="00F37567">
              <w:rPr>
                <w:szCs w:val="17"/>
              </w:rPr>
              <w:t xml:space="preserve"> to be </w:t>
            </w:r>
            <w:r w:rsidRPr="00F37567">
              <w:rPr>
                <w:b/>
                <w:bCs/>
                <w:szCs w:val="17"/>
              </w:rPr>
              <w:t xml:space="preserve">consulted </w:t>
            </w:r>
            <w:r w:rsidRPr="00F37567">
              <w:rPr>
                <w:szCs w:val="17"/>
              </w:rPr>
              <w:t>beforehand on any proposal amending the Delegated Acts.</w:t>
            </w:r>
            <w:r>
              <w:t xml:space="preserve"> </w:t>
            </w:r>
          </w:p>
          <w:p w14:paraId="45C69DA0" w14:textId="41A3671B" w:rsidR="007A1835" w:rsidRDefault="00DB289E" w:rsidP="00F37567">
            <w:pPr>
              <w:pStyle w:val="CEABullet-Level1"/>
              <w:numPr>
                <w:ilvl w:val="0"/>
                <w:numId w:val="32"/>
              </w:numPr>
            </w:pPr>
            <w:r w:rsidRPr="00D21B1F">
              <w:rPr>
                <w:b/>
                <w:bCs/>
              </w:rPr>
              <w:lastRenderedPageBreak/>
              <w:t>UK data</w:t>
            </w:r>
            <w:r>
              <w:t xml:space="preserve"> to be </w:t>
            </w:r>
            <w:r w:rsidRPr="00D21B1F">
              <w:rPr>
                <w:b/>
                <w:bCs/>
              </w:rPr>
              <w:t>removed</w:t>
            </w:r>
            <w:r>
              <w:t xml:space="preserve"> from the calibration of the SCR/MCR parameters, subject to sufficient amount of data from other countries.</w:t>
            </w:r>
          </w:p>
          <w:p w14:paraId="23B2B273" w14:textId="77777777" w:rsidR="00DB289E" w:rsidRDefault="00DB289E" w:rsidP="007A1835">
            <w:pPr>
              <w:pStyle w:val="CEABullet-Level1"/>
              <w:numPr>
                <w:ilvl w:val="0"/>
                <w:numId w:val="0"/>
              </w:numPr>
            </w:pPr>
          </w:p>
          <w:p w14:paraId="0D825131" w14:textId="77777777" w:rsidR="00DB289E" w:rsidRDefault="007A1835" w:rsidP="007A1835">
            <w:pPr>
              <w:pStyle w:val="CEABullet-Level1"/>
              <w:numPr>
                <w:ilvl w:val="0"/>
                <w:numId w:val="0"/>
              </w:numPr>
              <w:rPr>
                <w:b/>
                <w:color w:val="595959" w:themeColor="text1" w:themeTint="A6"/>
                <w:szCs w:val="17"/>
              </w:rPr>
            </w:pPr>
            <w:r>
              <w:rPr>
                <w:b/>
                <w:color w:val="595959" w:themeColor="text1" w:themeTint="A6"/>
                <w:szCs w:val="17"/>
              </w:rPr>
              <w:t xml:space="preserve">[Neutral] </w:t>
            </w:r>
          </w:p>
          <w:p w14:paraId="67E18F65" w14:textId="77777777" w:rsidR="00495BBD" w:rsidRPr="00495BBD" w:rsidRDefault="00495BBD" w:rsidP="00F37567">
            <w:pPr>
              <w:pStyle w:val="CEABullet-Level1"/>
              <w:numPr>
                <w:ilvl w:val="0"/>
                <w:numId w:val="32"/>
              </w:numPr>
            </w:pPr>
            <w:r w:rsidRPr="00495BBD">
              <w:rPr>
                <w:bCs/>
                <w:color w:val="595959" w:themeColor="text1" w:themeTint="A6"/>
                <w:szCs w:val="17"/>
              </w:rPr>
              <w:t>E</w:t>
            </w:r>
            <w:r w:rsidRPr="00495BBD">
              <w:rPr>
                <w:bCs/>
                <w:szCs w:val="17"/>
              </w:rPr>
              <w:t>I</w:t>
            </w:r>
            <w:r>
              <w:rPr>
                <w:bCs/>
                <w:szCs w:val="17"/>
              </w:rPr>
              <w:t>OPA mandate to review whether the requirement on the separation of life/non-life insurance business is justified, by 28 June 2024 (</w:t>
            </w:r>
            <w:r>
              <w:rPr>
                <w:b/>
                <w:szCs w:val="17"/>
              </w:rPr>
              <w:t>composites</w:t>
            </w:r>
            <w:r>
              <w:rPr>
                <w:bCs/>
                <w:szCs w:val="17"/>
              </w:rPr>
              <w:t>).</w:t>
            </w:r>
          </w:p>
          <w:p w14:paraId="7B8B2F3D" w14:textId="24EB09BE" w:rsidR="007A1835" w:rsidRPr="00DB289E" w:rsidRDefault="007A1835" w:rsidP="00F37567">
            <w:pPr>
              <w:pStyle w:val="CEABullet-Level1"/>
              <w:numPr>
                <w:ilvl w:val="0"/>
                <w:numId w:val="32"/>
              </w:numPr>
            </w:pPr>
            <w:r w:rsidRPr="00DB289E">
              <w:rPr>
                <w:b/>
                <w:bCs/>
              </w:rPr>
              <w:t xml:space="preserve">Crypto - </w:t>
            </w:r>
            <w:r w:rsidRPr="00DB289E">
              <w:t>Added definition of ‘crypto-asses’ and EC should adopt DA to reflect risk linked to crypto-assets in the market risk sub module</w:t>
            </w:r>
          </w:p>
          <w:p w14:paraId="25A02395" w14:textId="0D82F9A4" w:rsidR="007A1835" w:rsidRDefault="007A1835" w:rsidP="00F37567">
            <w:pPr>
              <w:pStyle w:val="CEABullet-Level1"/>
              <w:numPr>
                <w:ilvl w:val="0"/>
                <w:numId w:val="32"/>
              </w:numPr>
            </w:pPr>
            <w:r w:rsidRPr="00DB289E">
              <w:rPr>
                <w:b/>
                <w:bCs/>
              </w:rPr>
              <w:t>Gender</w:t>
            </w:r>
            <w:r>
              <w:rPr>
                <w:b/>
                <w:bCs/>
              </w:rPr>
              <w:t xml:space="preserve"> balance</w:t>
            </w:r>
            <w:r>
              <w:t xml:space="preserve"> - Undertakings shall set individual quantitative objectives in view of improving gender balanced representation of both sexes within their governance structures.</w:t>
            </w:r>
          </w:p>
          <w:p w14:paraId="10485AA2" w14:textId="41B567B8" w:rsidR="007A1835" w:rsidRDefault="00D21B1F" w:rsidP="00F37567">
            <w:pPr>
              <w:pStyle w:val="CEABullet-Level1"/>
              <w:numPr>
                <w:ilvl w:val="0"/>
                <w:numId w:val="32"/>
              </w:numPr>
            </w:pPr>
            <w:r w:rsidRPr="00DB289E">
              <w:rPr>
                <w:b/>
                <w:bCs/>
              </w:rPr>
              <w:t>EIOPA</w:t>
            </w:r>
            <w:r w:rsidRPr="00DB289E">
              <w:rPr>
                <w:b/>
                <w:bCs/>
                <w:color w:val="595959" w:themeColor="text1" w:themeTint="A6"/>
                <w:szCs w:val="17"/>
              </w:rPr>
              <w:t xml:space="preserve"> </w:t>
            </w:r>
            <w:r w:rsidR="007A1835" w:rsidRPr="00D21B1F">
              <w:rPr>
                <w:b/>
              </w:rPr>
              <w:t>Mandate</w:t>
            </w:r>
            <w:r w:rsidR="007A1835" w:rsidRPr="00D21B1F">
              <w:t xml:space="preserve"> to review all standard formula parameters</w:t>
            </w:r>
            <w:r w:rsidR="007A1835">
              <w:t xml:space="preserve"> by 2025 and every 5 years.</w:t>
            </w:r>
          </w:p>
          <w:p w14:paraId="3FC51A75" w14:textId="236B6675" w:rsidR="007A1835" w:rsidRDefault="007A1835" w:rsidP="00F37567">
            <w:pPr>
              <w:pStyle w:val="CEABullet-Level1"/>
              <w:numPr>
                <w:ilvl w:val="0"/>
                <w:numId w:val="32"/>
              </w:numPr>
            </w:pPr>
            <w:r>
              <w:t>Recital directing freed-up capital to productive investments and not to shareholder distributions and bonuses. (</w:t>
            </w:r>
            <w:proofErr w:type="gramStart"/>
            <w:r>
              <w:t>recital</w:t>
            </w:r>
            <w:proofErr w:type="gramEnd"/>
            <w:r>
              <w:t xml:space="preserve"> 3a)</w:t>
            </w:r>
          </w:p>
          <w:p w14:paraId="44367128" w14:textId="5C6D836E" w:rsidR="007A1835" w:rsidRPr="00495BBD" w:rsidRDefault="007A1835" w:rsidP="00F37567">
            <w:pPr>
              <w:pStyle w:val="CEABullet-Level1"/>
              <w:numPr>
                <w:ilvl w:val="0"/>
                <w:numId w:val="32"/>
              </w:numPr>
            </w:pPr>
            <w:r w:rsidRPr="00495BBD">
              <w:t xml:space="preserve">Investment policy should reflect objectives of revised EU list on </w:t>
            </w:r>
            <w:r w:rsidRPr="00495BBD">
              <w:lastRenderedPageBreak/>
              <w:t xml:space="preserve">non-cooperative jurisdictions for tax purposes and Dir 2015/849 re ‘high-risk third </w:t>
            </w:r>
            <w:proofErr w:type="gramStart"/>
            <w:r w:rsidRPr="00495BBD">
              <w:t>countries’</w:t>
            </w:r>
            <w:proofErr w:type="gramEnd"/>
            <w:r w:rsidRPr="00495BBD">
              <w:t>. (</w:t>
            </w:r>
            <w:proofErr w:type="gramStart"/>
            <w:r w:rsidRPr="00495BBD">
              <w:t>recital</w:t>
            </w:r>
            <w:proofErr w:type="gramEnd"/>
            <w:r w:rsidRPr="00495BBD">
              <w:t xml:space="preserve"> 3b)</w:t>
            </w:r>
          </w:p>
          <w:p w14:paraId="4EEBC94D" w14:textId="7A313DE5" w:rsidR="00CA6A45" w:rsidRPr="0016511A" w:rsidRDefault="00CA6A45" w:rsidP="007A1835">
            <w:pPr>
              <w:tabs>
                <w:tab w:val="left" w:pos="3815"/>
              </w:tabs>
              <w:jc w:val="left"/>
              <w:rPr>
                <w:highlight w:val="yellow"/>
              </w:rPr>
            </w:pPr>
          </w:p>
        </w:tc>
        <w:tc>
          <w:tcPr>
            <w:tcW w:w="3373" w:type="dxa"/>
          </w:tcPr>
          <w:p w14:paraId="112B119D" w14:textId="5C332577" w:rsidR="00A10D9F" w:rsidRDefault="00A10D9F" w:rsidP="00A10D9F">
            <w:pPr>
              <w:tabs>
                <w:tab w:val="left" w:pos="3815"/>
              </w:tabs>
              <w:jc w:val="left"/>
              <w:rPr>
                <w:szCs w:val="17"/>
              </w:rPr>
            </w:pPr>
            <w:r w:rsidRPr="007D2B02">
              <w:rPr>
                <w:b/>
                <w:bCs/>
                <w:color w:val="1F497D" w:themeColor="text2"/>
                <w:szCs w:val="17"/>
              </w:rPr>
              <w:lastRenderedPageBreak/>
              <w:t xml:space="preserve">Way forward: </w:t>
            </w:r>
            <w:r w:rsidRPr="009301EE">
              <w:rPr>
                <w:color w:val="002060"/>
                <w:szCs w:val="17"/>
              </w:rPr>
              <w:t xml:space="preserve">Strongly </w:t>
            </w:r>
            <w:r w:rsidR="002F340C">
              <w:rPr>
                <w:color w:val="002060"/>
                <w:szCs w:val="17"/>
              </w:rPr>
              <w:t>oppose</w:t>
            </w:r>
            <w:r w:rsidRPr="009301EE">
              <w:rPr>
                <w:color w:val="002060"/>
                <w:szCs w:val="17"/>
              </w:rPr>
              <w:t xml:space="preserve"> EP’s proposal </w:t>
            </w:r>
            <w:r w:rsidR="000A1324" w:rsidRPr="009301EE">
              <w:rPr>
                <w:color w:val="002060"/>
                <w:szCs w:val="17"/>
              </w:rPr>
              <w:t xml:space="preserve">to allow EIOPA to disclose stress test results. </w:t>
            </w:r>
            <w:r w:rsidRPr="009301EE">
              <w:rPr>
                <w:color w:val="002060"/>
                <w:szCs w:val="17"/>
              </w:rPr>
              <w:t xml:space="preserve"> </w:t>
            </w:r>
          </w:p>
          <w:p w14:paraId="588AE2BB" w14:textId="77777777" w:rsidR="008B1A82" w:rsidRDefault="008B1A82" w:rsidP="00A10D9F">
            <w:pPr>
              <w:tabs>
                <w:tab w:val="left" w:pos="3815"/>
              </w:tabs>
              <w:jc w:val="left"/>
              <w:rPr>
                <w:color w:val="1F497D" w:themeColor="text2"/>
                <w:szCs w:val="17"/>
              </w:rPr>
            </w:pPr>
          </w:p>
          <w:p w14:paraId="5C6290DF" w14:textId="129D70DF" w:rsidR="00D21B1F" w:rsidRDefault="00D21B1F" w:rsidP="00A10D9F">
            <w:pPr>
              <w:tabs>
                <w:tab w:val="left" w:pos="3815"/>
              </w:tabs>
              <w:jc w:val="left"/>
              <w:rPr>
                <w:color w:val="1F497D" w:themeColor="text2"/>
                <w:szCs w:val="17"/>
              </w:rPr>
            </w:pPr>
            <w:r>
              <w:rPr>
                <w:color w:val="1F497D" w:themeColor="text2"/>
                <w:szCs w:val="17"/>
              </w:rPr>
              <w:t xml:space="preserve">Support EP </w:t>
            </w:r>
            <w:r w:rsidR="009301EE">
              <w:rPr>
                <w:color w:val="1F497D" w:themeColor="text2"/>
                <w:szCs w:val="17"/>
              </w:rPr>
              <w:t>proposed:</w:t>
            </w:r>
          </w:p>
          <w:p w14:paraId="144B182A" w14:textId="461A1D80" w:rsidR="00D21B1F" w:rsidRDefault="00D21B1F" w:rsidP="00D21B1F">
            <w:pPr>
              <w:pStyle w:val="Odsekzoznamu"/>
              <w:numPr>
                <w:ilvl w:val="0"/>
                <w:numId w:val="27"/>
              </w:numPr>
              <w:tabs>
                <w:tab w:val="left" w:pos="3815"/>
              </w:tabs>
              <w:jc w:val="left"/>
              <w:rPr>
                <w:color w:val="1F497D" w:themeColor="text2"/>
                <w:szCs w:val="17"/>
              </w:rPr>
            </w:pPr>
            <w:r w:rsidRPr="00D21B1F">
              <w:rPr>
                <w:color w:val="1F497D" w:themeColor="text2"/>
                <w:szCs w:val="17"/>
              </w:rPr>
              <w:t xml:space="preserve">timeline for SII implementation. </w:t>
            </w:r>
          </w:p>
          <w:p w14:paraId="2E09EEEE" w14:textId="07E700A5" w:rsidR="00D21B1F" w:rsidRDefault="00D21B1F" w:rsidP="00D21B1F">
            <w:pPr>
              <w:pStyle w:val="Odsekzoznamu"/>
              <w:numPr>
                <w:ilvl w:val="0"/>
                <w:numId w:val="27"/>
              </w:numPr>
              <w:tabs>
                <w:tab w:val="left" w:pos="3815"/>
              </w:tabs>
              <w:jc w:val="left"/>
              <w:rPr>
                <w:color w:val="1F497D" w:themeColor="text2"/>
                <w:szCs w:val="17"/>
              </w:rPr>
            </w:pPr>
            <w:r>
              <w:rPr>
                <w:color w:val="1F497D" w:themeColor="text2"/>
                <w:szCs w:val="17"/>
              </w:rPr>
              <w:t>Removal of UK data from calibration of SCR/MCR parameters</w:t>
            </w:r>
          </w:p>
          <w:p w14:paraId="519A879E" w14:textId="2D1A260D" w:rsidR="00E86232" w:rsidRPr="00D21B1F" w:rsidRDefault="00E86232" w:rsidP="00D21B1F">
            <w:pPr>
              <w:pStyle w:val="Odsekzoznamu"/>
              <w:numPr>
                <w:ilvl w:val="0"/>
                <w:numId w:val="27"/>
              </w:numPr>
              <w:tabs>
                <w:tab w:val="left" w:pos="3815"/>
              </w:tabs>
              <w:jc w:val="left"/>
              <w:rPr>
                <w:color w:val="1F497D" w:themeColor="text2"/>
                <w:szCs w:val="17"/>
              </w:rPr>
            </w:pPr>
            <w:r w:rsidRPr="00E86232">
              <w:rPr>
                <w:color w:val="1F497D" w:themeColor="text2"/>
                <w:szCs w:val="17"/>
              </w:rPr>
              <w:t>Co-legislators to be consulted beforehand on any proposal amending the Delegated Acts.</w:t>
            </w:r>
          </w:p>
          <w:p w14:paraId="46966285" w14:textId="77777777" w:rsidR="001A753C" w:rsidRPr="004D64C6" w:rsidRDefault="001A753C" w:rsidP="008F5583">
            <w:pPr>
              <w:tabs>
                <w:tab w:val="left" w:pos="3815"/>
              </w:tabs>
              <w:jc w:val="left"/>
              <w:rPr>
                <w:b/>
                <w:color w:val="FF0000"/>
                <w:szCs w:val="17"/>
              </w:rPr>
            </w:pPr>
          </w:p>
        </w:tc>
      </w:tr>
    </w:tbl>
    <w:p w14:paraId="4428D361" w14:textId="77777777" w:rsidR="003B6150" w:rsidRDefault="003B6150" w:rsidP="0097615F">
      <w:pPr>
        <w:rPr>
          <w:b/>
          <w:bCs/>
        </w:rPr>
      </w:pPr>
    </w:p>
    <w:p w14:paraId="2F4E8B9D" w14:textId="63075183" w:rsidR="008215E0" w:rsidRPr="00EE6C05" w:rsidRDefault="008215E0" w:rsidP="00EE6C05">
      <w:pPr>
        <w:spacing w:after="200" w:line="276" w:lineRule="auto"/>
        <w:ind w:left="-567"/>
        <w:rPr>
          <w:rFonts w:cs="Frutiger LT Std 45 Light"/>
          <w:b/>
          <w:bCs/>
          <w:color w:val="000000"/>
          <w:sz w:val="18"/>
          <w:szCs w:val="22"/>
          <w:u w:val="single"/>
        </w:rPr>
      </w:pPr>
    </w:p>
    <w:p w14:paraId="6958A509" w14:textId="08C02875" w:rsidR="008215E0" w:rsidRDefault="008215E0" w:rsidP="008215E0">
      <w:pPr>
        <w:ind w:left="-567"/>
        <w:rPr>
          <w:b/>
          <w:bCs/>
        </w:rPr>
      </w:pPr>
    </w:p>
    <w:p w14:paraId="43A65D84" w14:textId="20BB2ADF" w:rsidR="004A73AC" w:rsidRDefault="004A73AC">
      <w:pPr>
        <w:spacing w:after="200" w:line="276" w:lineRule="auto"/>
        <w:jc w:val="left"/>
        <w:rPr>
          <w:b/>
          <w:bCs/>
        </w:rPr>
      </w:pPr>
    </w:p>
    <w:sectPr w:rsidR="004A73AC" w:rsidSect="009B2067">
      <w:headerReference w:type="even" r:id="rId11"/>
      <w:headerReference w:type="default" r:id="rId12"/>
      <w:footerReference w:type="even" r:id="rId13"/>
      <w:footerReference w:type="default" r:id="rId14"/>
      <w:headerReference w:type="first" r:id="rId15"/>
      <w:footerReference w:type="first" r:id="rId16"/>
      <w:pgSz w:w="16839" w:h="11907" w:orient="landscape" w:code="9"/>
      <w:pgMar w:top="1418" w:right="2410" w:bottom="902" w:left="1418" w:header="127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577BA" w14:textId="77777777" w:rsidR="00DA5080" w:rsidRDefault="00DA5080">
      <w:pPr>
        <w:spacing w:line="240" w:lineRule="auto"/>
      </w:pPr>
      <w:r>
        <w:separator/>
      </w:r>
    </w:p>
  </w:endnote>
  <w:endnote w:type="continuationSeparator" w:id="0">
    <w:p w14:paraId="1711E20B" w14:textId="77777777" w:rsidR="00DA5080" w:rsidRDefault="00DA5080">
      <w:pPr>
        <w:spacing w:line="240" w:lineRule="auto"/>
      </w:pPr>
      <w:r>
        <w:continuationSeparator/>
      </w:r>
    </w:p>
  </w:endnote>
  <w:endnote w:type="continuationNotice" w:id="1">
    <w:p w14:paraId="7EC35963" w14:textId="77777777" w:rsidR="00DA5080" w:rsidRDefault="00DA50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9ACA" w14:textId="77777777" w:rsidR="00AD1D5F" w:rsidRDefault="00AD1D5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031529"/>
      <w:docPartObj>
        <w:docPartGallery w:val="Page Numbers (Bottom of Page)"/>
        <w:docPartUnique/>
      </w:docPartObj>
    </w:sdtPr>
    <w:sdtEndPr>
      <w:rPr>
        <w:noProof/>
      </w:rPr>
    </w:sdtEndPr>
    <w:sdtContent>
      <w:p w14:paraId="18E16AA2" w14:textId="02748B11" w:rsidR="00A51C1C" w:rsidRDefault="00A51C1C">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2EF89107" w14:textId="77777777" w:rsidR="00CE0F3D" w:rsidRPr="00CD51F6" w:rsidRDefault="00CE0F3D" w:rsidP="00CE0F3D">
    <w:pPr>
      <w:pStyle w:val="Pta"/>
      <w:ind w:left="546"/>
      <w:rPr>
        <w:rFonts w:cs="Arial"/>
        <w:b/>
        <w:color w:val="0032FF"/>
        <w:sz w:val="16"/>
        <w:szCs w:val="16"/>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9817" w14:textId="77777777" w:rsidR="00AD1D5F" w:rsidRDefault="00AD1D5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5D99F" w14:textId="77777777" w:rsidR="00DA5080" w:rsidRDefault="00DA5080">
      <w:pPr>
        <w:spacing w:line="240" w:lineRule="auto"/>
      </w:pPr>
      <w:r>
        <w:separator/>
      </w:r>
    </w:p>
  </w:footnote>
  <w:footnote w:type="continuationSeparator" w:id="0">
    <w:p w14:paraId="1BA91157" w14:textId="77777777" w:rsidR="00DA5080" w:rsidRDefault="00DA5080">
      <w:pPr>
        <w:spacing w:line="240" w:lineRule="auto"/>
      </w:pPr>
      <w:r>
        <w:continuationSeparator/>
      </w:r>
    </w:p>
  </w:footnote>
  <w:footnote w:type="continuationNotice" w:id="1">
    <w:p w14:paraId="02496530" w14:textId="77777777" w:rsidR="00DA5080" w:rsidRDefault="00DA50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6B92" w14:textId="77777777" w:rsidR="00AD1D5F" w:rsidRDefault="00AD1D5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9104" w14:textId="06C1E80A" w:rsidR="00CE0F3D" w:rsidRPr="00AD1D5F" w:rsidRDefault="005B4545" w:rsidP="00AD1D5F">
    <w:pPr>
      <w:pStyle w:val="Noparagraphstyle"/>
      <w:ind w:left="1416"/>
      <w:jc w:val="right"/>
      <w:rPr>
        <w:rFonts w:ascii="Verdana" w:hAnsi="Verdana"/>
        <w:b/>
        <w:bCs/>
        <w:color w:val="FF0000"/>
        <w:sz w:val="18"/>
        <w:szCs w:val="18"/>
      </w:rPr>
    </w:pPr>
    <w:r w:rsidRPr="00AD1D5F">
      <w:rPr>
        <w:rFonts w:ascii="Verdana" w:hAnsi="Verdana"/>
        <w:b/>
        <w:bCs/>
        <w:color w:val="FF0000"/>
        <w:sz w:val="18"/>
        <w:szCs w:val="18"/>
      </w:rPr>
      <w:t xml:space="preserve">For member feedback by </w:t>
    </w:r>
    <w:r w:rsidR="00AD1D5F" w:rsidRPr="00AD1D5F">
      <w:rPr>
        <w:rFonts w:ascii="Verdana" w:hAnsi="Verdana"/>
        <w:b/>
        <w:bCs/>
        <w:color w:val="FF0000"/>
        <w:sz w:val="18"/>
        <w:szCs w:val="18"/>
      </w:rPr>
      <w:t xml:space="preserve">Wednesday </w:t>
    </w:r>
    <w:r w:rsidRPr="00AD1D5F">
      <w:rPr>
        <w:rFonts w:ascii="Verdana" w:hAnsi="Verdana"/>
        <w:b/>
        <w:bCs/>
        <w:color w:val="FF0000"/>
        <w:sz w:val="18"/>
        <w:szCs w:val="18"/>
      </w:rPr>
      <w:t>30 August CoB</w:t>
    </w:r>
  </w:p>
  <w:p w14:paraId="2EF89105" w14:textId="77777777" w:rsidR="00CE0F3D" w:rsidRPr="00CD51F6" w:rsidRDefault="009176FF" w:rsidP="00CE0F3D">
    <w:pPr>
      <w:pStyle w:val="Noparagraphstyle"/>
      <w:jc w:val="right"/>
      <w:rPr>
        <w:rFonts w:ascii="Arial" w:hAnsi="Arial" w:cs="Arial"/>
        <w:i/>
        <w:iCs/>
        <w:color w:val="034EA2"/>
      </w:rPr>
    </w:pPr>
    <w:r>
      <w:tab/>
    </w:r>
  </w:p>
  <w:p w14:paraId="2EF89106" w14:textId="77777777" w:rsidR="00CE0F3D" w:rsidRPr="007349E1" w:rsidRDefault="009176FF" w:rsidP="00CE0F3D">
    <w:pPr>
      <w:pStyle w:val="Hlavika"/>
      <w:tabs>
        <w:tab w:val="clear" w:pos="4320"/>
        <w:tab w:val="clear" w:pos="8640"/>
        <w:tab w:val="center" w:pos="0"/>
        <w:tab w:val="right" w:pos="10440"/>
      </w:tabs>
      <w:rPr>
        <w:b/>
        <w:sz w:val="40"/>
        <w:szCs w:val="40"/>
      </w:rPr>
    </w:pPr>
    <w:r w:rsidRPr="00164309">
      <w:rPr>
        <w:b/>
        <w:noProof/>
        <w:sz w:val="40"/>
        <w:szCs w:val="40"/>
        <w:lang w:eastAsia="en-GB"/>
      </w:rPr>
      <w:drawing>
        <wp:anchor distT="0" distB="0" distL="114300" distR="114300" simplePos="0" relativeHeight="251658240" behindDoc="0" locked="0" layoutInCell="1" allowOverlap="1" wp14:anchorId="2EF89108" wp14:editId="2EF89109">
          <wp:simplePos x="0" y="0"/>
          <wp:positionH relativeFrom="page">
            <wp:posOffset>524888</wp:posOffset>
          </wp:positionH>
          <wp:positionV relativeFrom="page">
            <wp:posOffset>525294</wp:posOffset>
          </wp:positionV>
          <wp:extent cx="1459555" cy="894944"/>
          <wp:effectExtent l="19050" t="0" r="0" b="0"/>
          <wp:wrapSquare wrapText="bothSides"/>
          <wp:docPr id="1" name="Picture 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8A6A" w14:textId="77777777" w:rsidR="00AD1D5F" w:rsidRDefault="00AD1D5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C31"/>
    <w:multiLevelType w:val="hybridMultilevel"/>
    <w:tmpl w:val="130AB164"/>
    <w:lvl w:ilvl="0" w:tplc="2FF64AF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377849"/>
    <w:multiLevelType w:val="hybridMultilevel"/>
    <w:tmpl w:val="B080C95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BF14DA2"/>
    <w:multiLevelType w:val="hybridMultilevel"/>
    <w:tmpl w:val="E662E92E"/>
    <w:lvl w:ilvl="0" w:tplc="0C000001">
      <w:start w:val="1"/>
      <w:numFmt w:val="bullet"/>
      <w:lvlText w:val=""/>
      <w:lvlJc w:val="left"/>
      <w:pPr>
        <w:ind w:left="360" w:hanging="360"/>
      </w:pPr>
      <w:rPr>
        <w:rFonts w:ascii="Symbol" w:hAnsi="Symbol" w:hint="default"/>
      </w:rPr>
    </w:lvl>
    <w:lvl w:ilvl="1" w:tplc="0C000003">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3" w15:restartNumberingAfterBreak="0">
    <w:nsid w:val="0DFE0E8A"/>
    <w:multiLevelType w:val="hybridMultilevel"/>
    <w:tmpl w:val="1FF42EFA"/>
    <w:lvl w:ilvl="0" w:tplc="69CEA324">
      <w:start w:val="4"/>
      <w:numFmt w:val="bullet"/>
      <w:lvlText w:val="-"/>
      <w:lvlJc w:val="left"/>
      <w:pPr>
        <w:ind w:left="360" w:hanging="360"/>
      </w:pPr>
      <w:rPr>
        <w:rFonts w:ascii="Verdana" w:eastAsia="Times New Roman" w:hAnsi="Verdana" w:cs="Times New Roman"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B951F2"/>
    <w:multiLevelType w:val="hybridMultilevel"/>
    <w:tmpl w:val="3420FFEC"/>
    <w:lvl w:ilvl="0" w:tplc="2FF64AF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54071E"/>
    <w:multiLevelType w:val="hybridMultilevel"/>
    <w:tmpl w:val="EBE65710"/>
    <w:lvl w:ilvl="0" w:tplc="A0240652">
      <w:start w:val="165"/>
      <w:numFmt w:val="bullet"/>
      <w:pStyle w:val="CEABullet-Level2"/>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6" w15:restartNumberingAfterBreak="0">
    <w:nsid w:val="14843A58"/>
    <w:multiLevelType w:val="hybridMultilevel"/>
    <w:tmpl w:val="6966C3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7AE2C18"/>
    <w:multiLevelType w:val="hybridMultilevel"/>
    <w:tmpl w:val="BE8EF9B2"/>
    <w:lvl w:ilvl="0" w:tplc="37F28FDA">
      <w:start w:val="1"/>
      <w:numFmt w:val="decimal"/>
      <w:lvlText w:val="%1)"/>
      <w:lvlJc w:val="left"/>
      <w:pPr>
        <w:ind w:left="720" w:hanging="360"/>
      </w:pPr>
      <w:rPr>
        <w:rFonts w:hint="default"/>
        <w:color w:val="1F497D" w:themeColor="text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8413555"/>
    <w:multiLevelType w:val="multilevel"/>
    <w:tmpl w:val="5FEA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B32F7D"/>
    <w:multiLevelType w:val="hybridMultilevel"/>
    <w:tmpl w:val="F324486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1F496E99"/>
    <w:multiLevelType w:val="hybridMultilevel"/>
    <w:tmpl w:val="42AEA27E"/>
    <w:lvl w:ilvl="0" w:tplc="2FF64AF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0E246D"/>
    <w:multiLevelType w:val="hybridMultilevel"/>
    <w:tmpl w:val="4EE2915E"/>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2" w15:restartNumberingAfterBreak="0">
    <w:nsid w:val="2A72088E"/>
    <w:multiLevelType w:val="hybridMultilevel"/>
    <w:tmpl w:val="E8442476"/>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3" w15:restartNumberingAfterBreak="0">
    <w:nsid w:val="2E040AEC"/>
    <w:multiLevelType w:val="hybridMultilevel"/>
    <w:tmpl w:val="9A181E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88A551B"/>
    <w:multiLevelType w:val="hybridMultilevel"/>
    <w:tmpl w:val="4FAAB8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A394E43"/>
    <w:multiLevelType w:val="hybridMultilevel"/>
    <w:tmpl w:val="42D0B7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E64A6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47E4D85"/>
    <w:multiLevelType w:val="hybridMultilevel"/>
    <w:tmpl w:val="36024468"/>
    <w:lvl w:ilvl="0" w:tplc="37180294">
      <w:start w:val="165"/>
      <w:numFmt w:val="bullet"/>
      <w:pStyle w:val="CEABullet-Level3"/>
      <w:lvlText w:val=""/>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18" w15:restartNumberingAfterBreak="0">
    <w:nsid w:val="4B617BC1"/>
    <w:multiLevelType w:val="hybridMultilevel"/>
    <w:tmpl w:val="2452A8F6"/>
    <w:lvl w:ilvl="0" w:tplc="CEDC6B1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9" w15:restartNumberingAfterBreak="0">
    <w:nsid w:val="4C1B7EF8"/>
    <w:multiLevelType w:val="hybridMultilevel"/>
    <w:tmpl w:val="96F845EE"/>
    <w:lvl w:ilvl="0" w:tplc="2FF64AF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C41D89"/>
    <w:multiLevelType w:val="hybridMultilevel"/>
    <w:tmpl w:val="C6A2DF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8795D7C"/>
    <w:multiLevelType w:val="hybridMultilevel"/>
    <w:tmpl w:val="64E6297A"/>
    <w:lvl w:ilvl="0" w:tplc="2FF64AF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436CA1"/>
    <w:multiLevelType w:val="hybridMultilevel"/>
    <w:tmpl w:val="7C5EC62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699E2B88"/>
    <w:multiLevelType w:val="hybridMultilevel"/>
    <w:tmpl w:val="636CBA02"/>
    <w:lvl w:ilvl="0" w:tplc="2CF65F2A">
      <w:start w:val="165"/>
      <w:numFmt w:val="bullet"/>
      <w:pStyle w:val="CEABullet-Level1"/>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A8E6D98"/>
    <w:multiLevelType w:val="hybridMultilevel"/>
    <w:tmpl w:val="6E1EDF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EB64EE4"/>
    <w:multiLevelType w:val="hybridMultilevel"/>
    <w:tmpl w:val="45E26ECA"/>
    <w:lvl w:ilvl="0" w:tplc="2FF64AF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F936CFB"/>
    <w:multiLevelType w:val="hybridMultilevel"/>
    <w:tmpl w:val="63D677B6"/>
    <w:lvl w:ilvl="0" w:tplc="2FF64AF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687433">
    <w:abstractNumId w:val="23"/>
  </w:num>
  <w:num w:numId="2" w16cid:durableId="773937711">
    <w:abstractNumId w:val="5"/>
  </w:num>
  <w:num w:numId="3" w16cid:durableId="2034839470">
    <w:abstractNumId w:val="17"/>
  </w:num>
  <w:num w:numId="4" w16cid:durableId="1173764381">
    <w:abstractNumId w:val="3"/>
  </w:num>
  <w:num w:numId="5" w16cid:durableId="493451800">
    <w:abstractNumId w:val="18"/>
  </w:num>
  <w:num w:numId="6" w16cid:durableId="1182235673">
    <w:abstractNumId w:val="22"/>
  </w:num>
  <w:num w:numId="7" w16cid:durableId="1506481932">
    <w:abstractNumId w:val="23"/>
  </w:num>
  <w:num w:numId="8" w16cid:durableId="945383448">
    <w:abstractNumId w:val="23"/>
  </w:num>
  <w:num w:numId="9" w16cid:durableId="1214807344">
    <w:abstractNumId w:val="9"/>
  </w:num>
  <w:num w:numId="10" w16cid:durableId="1462647587">
    <w:abstractNumId w:val="7"/>
  </w:num>
  <w:num w:numId="11" w16cid:durableId="644896581">
    <w:abstractNumId w:val="25"/>
  </w:num>
  <w:num w:numId="12" w16cid:durableId="1460609606">
    <w:abstractNumId w:val="26"/>
  </w:num>
  <w:num w:numId="13" w16cid:durableId="1910505800">
    <w:abstractNumId w:val="0"/>
  </w:num>
  <w:num w:numId="14" w16cid:durableId="1949266316">
    <w:abstractNumId w:val="10"/>
  </w:num>
  <w:num w:numId="15" w16cid:durableId="1060519812">
    <w:abstractNumId w:val="4"/>
  </w:num>
  <w:num w:numId="16" w16cid:durableId="1044213690">
    <w:abstractNumId w:val="19"/>
  </w:num>
  <w:num w:numId="17" w16cid:durableId="1426534256">
    <w:abstractNumId w:val="21"/>
  </w:num>
  <w:num w:numId="18" w16cid:durableId="926961095">
    <w:abstractNumId w:val="23"/>
  </w:num>
  <w:num w:numId="19" w16cid:durableId="1319577735">
    <w:abstractNumId w:val="23"/>
  </w:num>
  <w:num w:numId="20" w16cid:durableId="897403069">
    <w:abstractNumId w:val="7"/>
  </w:num>
  <w:num w:numId="21" w16cid:durableId="1461849487">
    <w:abstractNumId w:val="13"/>
  </w:num>
  <w:num w:numId="22" w16cid:durableId="785269957">
    <w:abstractNumId w:val="24"/>
  </w:num>
  <w:num w:numId="23" w16cid:durableId="1427113558">
    <w:abstractNumId w:val="12"/>
  </w:num>
  <w:num w:numId="24" w16cid:durableId="1563907706">
    <w:abstractNumId w:val="11"/>
  </w:num>
  <w:num w:numId="25" w16cid:durableId="830296766">
    <w:abstractNumId w:val="16"/>
  </w:num>
  <w:num w:numId="26" w16cid:durableId="218058832">
    <w:abstractNumId w:val="23"/>
  </w:num>
  <w:num w:numId="27" w16cid:durableId="417291691">
    <w:abstractNumId w:val="14"/>
  </w:num>
  <w:num w:numId="28" w16cid:durableId="293633464">
    <w:abstractNumId w:val="23"/>
  </w:num>
  <w:num w:numId="29" w16cid:durableId="185485077">
    <w:abstractNumId w:val="15"/>
  </w:num>
  <w:num w:numId="30" w16cid:durableId="1750275250">
    <w:abstractNumId w:val="6"/>
  </w:num>
  <w:num w:numId="31" w16cid:durableId="814683380">
    <w:abstractNumId w:val="20"/>
  </w:num>
  <w:num w:numId="32" w16cid:durableId="938806">
    <w:abstractNumId w:val="1"/>
  </w:num>
  <w:num w:numId="33" w16cid:durableId="763384193">
    <w:abstractNumId w:val="8"/>
  </w:num>
  <w:num w:numId="34" w16cid:durableId="2050688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zsDA1MzMzNDQ0NzdT0lEKTi0uzszPAykwrwUAyDIcNiwAAAA="/>
  </w:docVars>
  <w:rsids>
    <w:rsidRoot w:val="009176FF"/>
    <w:rsid w:val="000000FB"/>
    <w:rsid w:val="00000556"/>
    <w:rsid w:val="00000AD3"/>
    <w:rsid w:val="00001094"/>
    <w:rsid w:val="00001611"/>
    <w:rsid w:val="00001871"/>
    <w:rsid w:val="000019A7"/>
    <w:rsid w:val="00001C47"/>
    <w:rsid w:val="0000220F"/>
    <w:rsid w:val="000024EC"/>
    <w:rsid w:val="00002813"/>
    <w:rsid w:val="00002BE9"/>
    <w:rsid w:val="00003529"/>
    <w:rsid w:val="00003892"/>
    <w:rsid w:val="00003AA5"/>
    <w:rsid w:val="00003DC4"/>
    <w:rsid w:val="00003E8F"/>
    <w:rsid w:val="00004966"/>
    <w:rsid w:val="00004D95"/>
    <w:rsid w:val="00004E44"/>
    <w:rsid w:val="00005139"/>
    <w:rsid w:val="00005BFA"/>
    <w:rsid w:val="0000627E"/>
    <w:rsid w:val="00006643"/>
    <w:rsid w:val="0000681A"/>
    <w:rsid w:val="00006A23"/>
    <w:rsid w:val="00006CA0"/>
    <w:rsid w:val="00006F5F"/>
    <w:rsid w:val="0001008C"/>
    <w:rsid w:val="0001033B"/>
    <w:rsid w:val="00010D06"/>
    <w:rsid w:val="000112F6"/>
    <w:rsid w:val="00011665"/>
    <w:rsid w:val="0001177B"/>
    <w:rsid w:val="00011821"/>
    <w:rsid w:val="00011D51"/>
    <w:rsid w:val="00012424"/>
    <w:rsid w:val="0001282F"/>
    <w:rsid w:val="00012F66"/>
    <w:rsid w:val="000139C6"/>
    <w:rsid w:val="00013E79"/>
    <w:rsid w:val="00013EAE"/>
    <w:rsid w:val="00013F17"/>
    <w:rsid w:val="00014147"/>
    <w:rsid w:val="000143D2"/>
    <w:rsid w:val="00014644"/>
    <w:rsid w:val="0001475A"/>
    <w:rsid w:val="00015828"/>
    <w:rsid w:val="00015925"/>
    <w:rsid w:val="0001631C"/>
    <w:rsid w:val="0001746A"/>
    <w:rsid w:val="00017696"/>
    <w:rsid w:val="000176FA"/>
    <w:rsid w:val="000178A6"/>
    <w:rsid w:val="000179BA"/>
    <w:rsid w:val="00017BCC"/>
    <w:rsid w:val="00017CB0"/>
    <w:rsid w:val="00021891"/>
    <w:rsid w:val="00021C08"/>
    <w:rsid w:val="00022CA3"/>
    <w:rsid w:val="000232E4"/>
    <w:rsid w:val="0002395D"/>
    <w:rsid w:val="00023CAB"/>
    <w:rsid w:val="00023D9C"/>
    <w:rsid w:val="0002415D"/>
    <w:rsid w:val="00024447"/>
    <w:rsid w:val="000245F5"/>
    <w:rsid w:val="00025021"/>
    <w:rsid w:val="000251A6"/>
    <w:rsid w:val="000251A8"/>
    <w:rsid w:val="0002593A"/>
    <w:rsid w:val="00025F40"/>
    <w:rsid w:val="00025F4A"/>
    <w:rsid w:val="0002614B"/>
    <w:rsid w:val="0002661E"/>
    <w:rsid w:val="00026A12"/>
    <w:rsid w:val="00026B77"/>
    <w:rsid w:val="00027575"/>
    <w:rsid w:val="000277AF"/>
    <w:rsid w:val="0002784E"/>
    <w:rsid w:val="000278A5"/>
    <w:rsid w:val="000278CD"/>
    <w:rsid w:val="00027F82"/>
    <w:rsid w:val="000301FC"/>
    <w:rsid w:val="000308FC"/>
    <w:rsid w:val="00031039"/>
    <w:rsid w:val="00031D7A"/>
    <w:rsid w:val="00031D8B"/>
    <w:rsid w:val="00032382"/>
    <w:rsid w:val="000324C6"/>
    <w:rsid w:val="00032699"/>
    <w:rsid w:val="00032B9F"/>
    <w:rsid w:val="00033B68"/>
    <w:rsid w:val="00033F0A"/>
    <w:rsid w:val="0003566D"/>
    <w:rsid w:val="00035A00"/>
    <w:rsid w:val="00035A36"/>
    <w:rsid w:val="00036549"/>
    <w:rsid w:val="00036A10"/>
    <w:rsid w:val="00036C03"/>
    <w:rsid w:val="00036C12"/>
    <w:rsid w:val="00037709"/>
    <w:rsid w:val="0004029C"/>
    <w:rsid w:val="00040361"/>
    <w:rsid w:val="00040796"/>
    <w:rsid w:val="0004085C"/>
    <w:rsid w:val="000416BF"/>
    <w:rsid w:val="00041C45"/>
    <w:rsid w:val="000426C1"/>
    <w:rsid w:val="0004306A"/>
    <w:rsid w:val="00043076"/>
    <w:rsid w:val="000435FF"/>
    <w:rsid w:val="000437C4"/>
    <w:rsid w:val="00043FB9"/>
    <w:rsid w:val="000441D2"/>
    <w:rsid w:val="0004470B"/>
    <w:rsid w:val="00044952"/>
    <w:rsid w:val="00044B23"/>
    <w:rsid w:val="00044C5F"/>
    <w:rsid w:val="000455F4"/>
    <w:rsid w:val="00045F47"/>
    <w:rsid w:val="00046490"/>
    <w:rsid w:val="000464DA"/>
    <w:rsid w:val="00046937"/>
    <w:rsid w:val="0004752A"/>
    <w:rsid w:val="0004788C"/>
    <w:rsid w:val="00047C8B"/>
    <w:rsid w:val="00047DCA"/>
    <w:rsid w:val="000509F8"/>
    <w:rsid w:val="00050B7A"/>
    <w:rsid w:val="00050D52"/>
    <w:rsid w:val="00050D9F"/>
    <w:rsid w:val="00051811"/>
    <w:rsid w:val="00052991"/>
    <w:rsid w:val="000536E1"/>
    <w:rsid w:val="000541F5"/>
    <w:rsid w:val="000549A5"/>
    <w:rsid w:val="000555A5"/>
    <w:rsid w:val="0005560A"/>
    <w:rsid w:val="0005784B"/>
    <w:rsid w:val="00057FAB"/>
    <w:rsid w:val="00061696"/>
    <w:rsid w:val="00062147"/>
    <w:rsid w:val="000623FF"/>
    <w:rsid w:val="000628EF"/>
    <w:rsid w:val="00062A26"/>
    <w:rsid w:val="0006334F"/>
    <w:rsid w:val="0006375E"/>
    <w:rsid w:val="00063C6A"/>
    <w:rsid w:val="000648DA"/>
    <w:rsid w:val="000649F0"/>
    <w:rsid w:val="00064D46"/>
    <w:rsid w:val="00065319"/>
    <w:rsid w:val="00065BE5"/>
    <w:rsid w:val="00066E1F"/>
    <w:rsid w:val="00066E41"/>
    <w:rsid w:val="00067D52"/>
    <w:rsid w:val="000713B7"/>
    <w:rsid w:val="00071505"/>
    <w:rsid w:val="00071B5C"/>
    <w:rsid w:val="00071FAE"/>
    <w:rsid w:val="000720EE"/>
    <w:rsid w:val="00072359"/>
    <w:rsid w:val="000725C9"/>
    <w:rsid w:val="000726B5"/>
    <w:rsid w:val="000727DF"/>
    <w:rsid w:val="00072EB9"/>
    <w:rsid w:val="00073C15"/>
    <w:rsid w:val="00073CD0"/>
    <w:rsid w:val="00073EC2"/>
    <w:rsid w:val="00073F70"/>
    <w:rsid w:val="000741EA"/>
    <w:rsid w:val="000746E3"/>
    <w:rsid w:val="000746F9"/>
    <w:rsid w:val="00074A5F"/>
    <w:rsid w:val="00074AD7"/>
    <w:rsid w:val="00074C7E"/>
    <w:rsid w:val="00075466"/>
    <w:rsid w:val="00075E2F"/>
    <w:rsid w:val="000761C3"/>
    <w:rsid w:val="00076913"/>
    <w:rsid w:val="00077066"/>
    <w:rsid w:val="00077DF2"/>
    <w:rsid w:val="000802DB"/>
    <w:rsid w:val="00081017"/>
    <w:rsid w:val="00081544"/>
    <w:rsid w:val="000819DD"/>
    <w:rsid w:val="00082006"/>
    <w:rsid w:val="00082496"/>
    <w:rsid w:val="000829A1"/>
    <w:rsid w:val="00083373"/>
    <w:rsid w:val="00083849"/>
    <w:rsid w:val="00083FE4"/>
    <w:rsid w:val="0008425F"/>
    <w:rsid w:val="00084274"/>
    <w:rsid w:val="00084716"/>
    <w:rsid w:val="00084AA3"/>
    <w:rsid w:val="00085452"/>
    <w:rsid w:val="0008585D"/>
    <w:rsid w:val="00086257"/>
    <w:rsid w:val="000865AF"/>
    <w:rsid w:val="00090872"/>
    <w:rsid w:val="0009100D"/>
    <w:rsid w:val="00091522"/>
    <w:rsid w:val="00091712"/>
    <w:rsid w:val="00091A68"/>
    <w:rsid w:val="000925BB"/>
    <w:rsid w:val="00092BCB"/>
    <w:rsid w:val="00092D60"/>
    <w:rsid w:val="00092EF7"/>
    <w:rsid w:val="0009460E"/>
    <w:rsid w:val="00094A31"/>
    <w:rsid w:val="00094DB3"/>
    <w:rsid w:val="00095191"/>
    <w:rsid w:val="000957C5"/>
    <w:rsid w:val="000960FB"/>
    <w:rsid w:val="00096904"/>
    <w:rsid w:val="00096A7B"/>
    <w:rsid w:val="00096B64"/>
    <w:rsid w:val="0009731E"/>
    <w:rsid w:val="00097370"/>
    <w:rsid w:val="00097564"/>
    <w:rsid w:val="000A0433"/>
    <w:rsid w:val="000A045A"/>
    <w:rsid w:val="000A0658"/>
    <w:rsid w:val="000A0A6D"/>
    <w:rsid w:val="000A0F56"/>
    <w:rsid w:val="000A0FE0"/>
    <w:rsid w:val="000A1324"/>
    <w:rsid w:val="000A1E6A"/>
    <w:rsid w:val="000A281C"/>
    <w:rsid w:val="000A2848"/>
    <w:rsid w:val="000A28C9"/>
    <w:rsid w:val="000A2AFA"/>
    <w:rsid w:val="000A2D6D"/>
    <w:rsid w:val="000A3AFF"/>
    <w:rsid w:val="000A3F77"/>
    <w:rsid w:val="000A424D"/>
    <w:rsid w:val="000A476E"/>
    <w:rsid w:val="000A4C2C"/>
    <w:rsid w:val="000A4E1D"/>
    <w:rsid w:val="000A518A"/>
    <w:rsid w:val="000A5324"/>
    <w:rsid w:val="000A5644"/>
    <w:rsid w:val="000A5DBD"/>
    <w:rsid w:val="000A69E4"/>
    <w:rsid w:val="000A6D7F"/>
    <w:rsid w:val="000A7477"/>
    <w:rsid w:val="000A763E"/>
    <w:rsid w:val="000A765D"/>
    <w:rsid w:val="000A78D2"/>
    <w:rsid w:val="000A7939"/>
    <w:rsid w:val="000B10A9"/>
    <w:rsid w:val="000B2832"/>
    <w:rsid w:val="000B2844"/>
    <w:rsid w:val="000B2A20"/>
    <w:rsid w:val="000B2B5C"/>
    <w:rsid w:val="000B2BA7"/>
    <w:rsid w:val="000B2D59"/>
    <w:rsid w:val="000B3032"/>
    <w:rsid w:val="000B3F8E"/>
    <w:rsid w:val="000B4266"/>
    <w:rsid w:val="000B481B"/>
    <w:rsid w:val="000B54FB"/>
    <w:rsid w:val="000B5CB2"/>
    <w:rsid w:val="000B644B"/>
    <w:rsid w:val="000B6B02"/>
    <w:rsid w:val="000B7D41"/>
    <w:rsid w:val="000B7FDC"/>
    <w:rsid w:val="000C010A"/>
    <w:rsid w:val="000C0995"/>
    <w:rsid w:val="000C0EC3"/>
    <w:rsid w:val="000C101F"/>
    <w:rsid w:val="000C16A9"/>
    <w:rsid w:val="000C2239"/>
    <w:rsid w:val="000C2F4E"/>
    <w:rsid w:val="000C32B4"/>
    <w:rsid w:val="000C36AF"/>
    <w:rsid w:val="000C4697"/>
    <w:rsid w:val="000C4709"/>
    <w:rsid w:val="000C4912"/>
    <w:rsid w:val="000C4929"/>
    <w:rsid w:val="000C4A47"/>
    <w:rsid w:val="000C4BCB"/>
    <w:rsid w:val="000C4DBC"/>
    <w:rsid w:val="000C5A19"/>
    <w:rsid w:val="000C5D8A"/>
    <w:rsid w:val="000C5DB7"/>
    <w:rsid w:val="000C5F3D"/>
    <w:rsid w:val="000C6A18"/>
    <w:rsid w:val="000D0162"/>
    <w:rsid w:val="000D1D4D"/>
    <w:rsid w:val="000D1F17"/>
    <w:rsid w:val="000D2DFF"/>
    <w:rsid w:val="000D38A8"/>
    <w:rsid w:val="000D3D17"/>
    <w:rsid w:val="000D3D19"/>
    <w:rsid w:val="000D4451"/>
    <w:rsid w:val="000D4740"/>
    <w:rsid w:val="000D4A69"/>
    <w:rsid w:val="000D4C97"/>
    <w:rsid w:val="000D4F05"/>
    <w:rsid w:val="000D5271"/>
    <w:rsid w:val="000D60A1"/>
    <w:rsid w:val="000D63E4"/>
    <w:rsid w:val="000D664D"/>
    <w:rsid w:val="000D69B5"/>
    <w:rsid w:val="000D6CAE"/>
    <w:rsid w:val="000D705F"/>
    <w:rsid w:val="000D71EA"/>
    <w:rsid w:val="000D75DC"/>
    <w:rsid w:val="000E008C"/>
    <w:rsid w:val="000E0779"/>
    <w:rsid w:val="000E1679"/>
    <w:rsid w:val="000E25D7"/>
    <w:rsid w:val="000E25F3"/>
    <w:rsid w:val="000E2B14"/>
    <w:rsid w:val="000E30CA"/>
    <w:rsid w:val="000E3181"/>
    <w:rsid w:val="000E3674"/>
    <w:rsid w:val="000E37E4"/>
    <w:rsid w:val="000E390C"/>
    <w:rsid w:val="000E3EE9"/>
    <w:rsid w:val="000E3FCD"/>
    <w:rsid w:val="000E433C"/>
    <w:rsid w:val="000E49B6"/>
    <w:rsid w:val="000E55D0"/>
    <w:rsid w:val="000E67F9"/>
    <w:rsid w:val="000F0587"/>
    <w:rsid w:val="000F0832"/>
    <w:rsid w:val="000F12DA"/>
    <w:rsid w:val="000F193E"/>
    <w:rsid w:val="000F203A"/>
    <w:rsid w:val="000F207A"/>
    <w:rsid w:val="000F226A"/>
    <w:rsid w:val="000F2442"/>
    <w:rsid w:val="000F2902"/>
    <w:rsid w:val="000F2ED6"/>
    <w:rsid w:val="000F3AB3"/>
    <w:rsid w:val="000F410C"/>
    <w:rsid w:val="000F48BF"/>
    <w:rsid w:val="000F490F"/>
    <w:rsid w:val="000F49DD"/>
    <w:rsid w:val="000F4E99"/>
    <w:rsid w:val="000F52D7"/>
    <w:rsid w:val="000F5D7B"/>
    <w:rsid w:val="000F7673"/>
    <w:rsid w:val="00100657"/>
    <w:rsid w:val="001009B9"/>
    <w:rsid w:val="00100DD3"/>
    <w:rsid w:val="0010119A"/>
    <w:rsid w:val="00101341"/>
    <w:rsid w:val="00101365"/>
    <w:rsid w:val="0010186C"/>
    <w:rsid w:val="001028CB"/>
    <w:rsid w:val="00102B7A"/>
    <w:rsid w:val="00103770"/>
    <w:rsid w:val="00103BF9"/>
    <w:rsid w:val="00103ECE"/>
    <w:rsid w:val="0010484F"/>
    <w:rsid w:val="00104D35"/>
    <w:rsid w:val="0010502E"/>
    <w:rsid w:val="00106AC4"/>
    <w:rsid w:val="00107F9E"/>
    <w:rsid w:val="00110171"/>
    <w:rsid w:val="001101A0"/>
    <w:rsid w:val="00110290"/>
    <w:rsid w:val="0011050F"/>
    <w:rsid w:val="001108AC"/>
    <w:rsid w:val="00110DC7"/>
    <w:rsid w:val="00111338"/>
    <w:rsid w:val="00111C13"/>
    <w:rsid w:val="0011231F"/>
    <w:rsid w:val="00112498"/>
    <w:rsid w:val="001126A0"/>
    <w:rsid w:val="00112975"/>
    <w:rsid w:val="0011369B"/>
    <w:rsid w:val="00113882"/>
    <w:rsid w:val="00113B32"/>
    <w:rsid w:val="00114609"/>
    <w:rsid w:val="001146E8"/>
    <w:rsid w:val="00114CE2"/>
    <w:rsid w:val="0011526C"/>
    <w:rsid w:val="001157C0"/>
    <w:rsid w:val="001158C6"/>
    <w:rsid w:val="00115A5A"/>
    <w:rsid w:val="001163E9"/>
    <w:rsid w:val="001169A7"/>
    <w:rsid w:val="00116FAA"/>
    <w:rsid w:val="001171A5"/>
    <w:rsid w:val="00117370"/>
    <w:rsid w:val="00117F4F"/>
    <w:rsid w:val="0012014E"/>
    <w:rsid w:val="00120A8C"/>
    <w:rsid w:val="00120CBF"/>
    <w:rsid w:val="00120FFC"/>
    <w:rsid w:val="001227F4"/>
    <w:rsid w:val="00122A4C"/>
    <w:rsid w:val="00122E08"/>
    <w:rsid w:val="001231CF"/>
    <w:rsid w:val="00123295"/>
    <w:rsid w:val="00124263"/>
    <w:rsid w:val="00124B04"/>
    <w:rsid w:val="00124D72"/>
    <w:rsid w:val="001256C0"/>
    <w:rsid w:val="0012580C"/>
    <w:rsid w:val="00125ABB"/>
    <w:rsid w:val="00125FA9"/>
    <w:rsid w:val="00126202"/>
    <w:rsid w:val="0012627F"/>
    <w:rsid w:val="00127095"/>
    <w:rsid w:val="00127263"/>
    <w:rsid w:val="00127383"/>
    <w:rsid w:val="00127720"/>
    <w:rsid w:val="0012789A"/>
    <w:rsid w:val="00130BCE"/>
    <w:rsid w:val="0013103A"/>
    <w:rsid w:val="0013258C"/>
    <w:rsid w:val="00132B80"/>
    <w:rsid w:val="00133844"/>
    <w:rsid w:val="001345B5"/>
    <w:rsid w:val="00134EF5"/>
    <w:rsid w:val="00135538"/>
    <w:rsid w:val="00136560"/>
    <w:rsid w:val="001365BD"/>
    <w:rsid w:val="001366D2"/>
    <w:rsid w:val="0013729B"/>
    <w:rsid w:val="001379FB"/>
    <w:rsid w:val="001407D0"/>
    <w:rsid w:val="00141CEF"/>
    <w:rsid w:val="00142888"/>
    <w:rsid w:val="001440AC"/>
    <w:rsid w:val="00144518"/>
    <w:rsid w:val="001446FB"/>
    <w:rsid w:val="0014536F"/>
    <w:rsid w:val="00145775"/>
    <w:rsid w:val="001459AA"/>
    <w:rsid w:val="00146C3A"/>
    <w:rsid w:val="0014721F"/>
    <w:rsid w:val="00147238"/>
    <w:rsid w:val="001473EA"/>
    <w:rsid w:val="001476BC"/>
    <w:rsid w:val="001479D1"/>
    <w:rsid w:val="00147A25"/>
    <w:rsid w:val="00147C9E"/>
    <w:rsid w:val="00147C9F"/>
    <w:rsid w:val="00147F4E"/>
    <w:rsid w:val="00150932"/>
    <w:rsid w:val="00151F9D"/>
    <w:rsid w:val="00151FD9"/>
    <w:rsid w:val="00152494"/>
    <w:rsid w:val="001524A1"/>
    <w:rsid w:val="00153440"/>
    <w:rsid w:val="00153650"/>
    <w:rsid w:val="0015369A"/>
    <w:rsid w:val="00154297"/>
    <w:rsid w:val="00154ED7"/>
    <w:rsid w:val="00155151"/>
    <w:rsid w:val="001551E7"/>
    <w:rsid w:val="00155436"/>
    <w:rsid w:val="0015553F"/>
    <w:rsid w:val="00156004"/>
    <w:rsid w:val="0015635A"/>
    <w:rsid w:val="00156424"/>
    <w:rsid w:val="001567B5"/>
    <w:rsid w:val="00156E4F"/>
    <w:rsid w:val="00156E8E"/>
    <w:rsid w:val="00157061"/>
    <w:rsid w:val="0015728B"/>
    <w:rsid w:val="001573DE"/>
    <w:rsid w:val="00157488"/>
    <w:rsid w:val="00157E90"/>
    <w:rsid w:val="001600E3"/>
    <w:rsid w:val="00160436"/>
    <w:rsid w:val="00160CC2"/>
    <w:rsid w:val="00160DCC"/>
    <w:rsid w:val="00161FD3"/>
    <w:rsid w:val="00162084"/>
    <w:rsid w:val="00162A00"/>
    <w:rsid w:val="00162DE0"/>
    <w:rsid w:val="0016387B"/>
    <w:rsid w:val="00163B54"/>
    <w:rsid w:val="00163F73"/>
    <w:rsid w:val="00163F89"/>
    <w:rsid w:val="00164C19"/>
    <w:rsid w:val="00164EA6"/>
    <w:rsid w:val="0016511A"/>
    <w:rsid w:val="00165E66"/>
    <w:rsid w:val="0016621A"/>
    <w:rsid w:val="001668E1"/>
    <w:rsid w:val="00167379"/>
    <w:rsid w:val="00167898"/>
    <w:rsid w:val="00167B7B"/>
    <w:rsid w:val="001704FB"/>
    <w:rsid w:val="00170F0B"/>
    <w:rsid w:val="0017126C"/>
    <w:rsid w:val="00171466"/>
    <w:rsid w:val="0017194F"/>
    <w:rsid w:val="00171A55"/>
    <w:rsid w:val="00171E2D"/>
    <w:rsid w:val="00171F81"/>
    <w:rsid w:val="001726A1"/>
    <w:rsid w:val="00172708"/>
    <w:rsid w:val="001727B9"/>
    <w:rsid w:val="0017294A"/>
    <w:rsid w:val="00172ED1"/>
    <w:rsid w:val="00173211"/>
    <w:rsid w:val="00173432"/>
    <w:rsid w:val="00173614"/>
    <w:rsid w:val="00174A2A"/>
    <w:rsid w:val="00174C51"/>
    <w:rsid w:val="00174D43"/>
    <w:rsid w:val="00174EEB"/>
    <w:rsid w:val="00175BE4"/>
    <w:rsid w:val="00175D7E"/>
    <w:rsid w:val="00175EDA"/>
    <w:rsid w:val="00176953"/>
    <w:rsid w:val="001778DF"/>
    <w:rsid w:val="001808F1"/>
    <w:rsid w:val="00180EDE"/>
    <w:rsid w:val="00180F13"/>
    <w:rsid w:val="001822B7"/>
    <w:rsid w:val="00182419"/>
    <w:rsid w:val="00182514"/>
    <w:rsid w:val="00184C0E"/>
    <w:rsid w:val="001857CD"/>
    <w:rsid w:val="00186037"/>
    <w:rsid w:val="001866F5"/>
    <w:rsid w:val="0018675B"/>
    <w:rsid w:val="001868D5"/>
    <w:rsid w:val="00186FB2"/>
    <w:rsid w:val="001873BE"/>
    <w:rsid w:val="0018747B"/>
    <w:rsid w:val="001877E8"/>
    <w:rsid w:val="00187AE1"/>
    <w:rsid w:val="00190E7F"/>
    <w:rsid w:val="00191C6E"/>
    <w:rsid w:val="00191E86"/>
    <w:rsid w:val="00192183"/>
    <w:rsid w:val="00192502"/>
    <w:rsid w:val="00192CD9"/>
    <w:rsid w:val="00192D25"/>
    <w:rsid w:val="00193897"/>
    <w:rsid w:val="00193AB8"/>
    <w:rsid w:val="00193C59"/>
    <w:rsid w:val="00194C73"/>
    <w:rsid w:val="0019580D"/>
    <w:rsid w:val="0019588D"/>
    <w:rsid w:val="00195CCD"/>
    <w:rsid w:val="0019660A"/>
    <w:rsid w:val="00196F5F"/>
    <w:rsid w:val="001A00AB"/>
    <w:rsid w:val="001A1343"/>
    <w:rsid w:val="001A1610"/>
    <w:rsid w:val="001A1625"/>
    <w:rsid w:val="001A1657"/>
    <w:rsid w:val="001A1D18"/>
    <w:rsid w:val="001A2364"/>
    <w:rsid w:val="001A2EA1"/>
    <w:rsid w:val="001A3300"/>
    <w:rsid w:val="001A33DE"/>
    <w:rsid w:val="001A36E0"/>
    <w:rsid w:val="001A47A0"/>
    <w:rsid w:val="001A48E4"/>
    <w:rsid w:val="001A56B7"/>
    <w:rsid w:val="001A58C9"/>
    <w:rsid w:val="001A5AE2"/>
    <w:rsid w:val="001A5BC7"/>
    <w:rsid w:val="001A6531"/>
    <w:rsid w:val="001A65C0"/>
    <w:rsid w:val="001A695A"/>
    <w:rsid w:val="001A6F4E"/>
    <w:rsid w:val="001A73ED"/>
    <w:rsid w:val="001A753C"/>
    <w:rsid w:val="001A770F"/>
    <w:rsid w:val="001B0FB2"/>
    <w:rsid w:val="001B1313"/>
    <w:rsid w:val="001B1365"/>
    <w:rsid w:val="001B180A"/>
    <w:rsid w:val="001B22BF"/>
    <w:rsid w:val="001B24BA"/>
    <w:rsid w:val="001B2DE3"/>
    <w:rsid w:val="001B30D4"/>
    <w:rsid w:val="001B354A"/>
    <w:rsid w:val="001B3927"/>
    <w:rsid w:val="001B39FA"/>
    <w:rsid w:val="001B3A51"/>
    <w:rsid w:val="001B4934"/>
    <w:rsid w:val="001B544D"/>
    <w:rsid w:val="001B547B"/>
    <w:rsid w:val="001B5A11"/>
    <w:rsid w:val="001B5D26"/>
    <w:rsid w:val="001B5F9C"/>
    <w:rsid w:val="001B5FFD"/>
    <w:rsid w:val="001B6BCD"/>
    <w:rsid w:val="001B7089"/>
    <w:rsid w:val="001B724E"/>
    <w:rsid w:val="001B772B"/>
    <w:rsid w:val="001C02C7"/>
    <w:rsid w:val="001C051F"/>
    <w:rsid w:val="001C060D"/>
    <w:rsid w:val="001C062E"/>
    <w:rsid w:val="001C0CFE"/>
    <w:rsid w:val="001C0DB3"/>
    <w:rsid w:val="001C0DF6"/>
    <w:rsid w:val="001C1049"/>
    <w:rsid w:val="001C140E"/>
    <w:rsid w:val="001C165C"/>
    <w:rsid w:val="001C20EA"/>
    <w:rsid w:val="001C2B02"/>
    <w:rsid w:val="001C36D7"/>
    <w:rsid w:val="001C3761"/>
    <w:rsid w:val="001C3888"/>
    <w:rsid w:val="001C4252"/>
    <w:rsid w:val="001C4345"/>
    <w:rsid w:val="001C4CDA"/>
    <w:rsid w:val="001C51CB"/>
    <w:rsid w:val="001C53B7"/>
    <w:rsid w:val="001C5873"/>
    <w:rsid w:val="001C60F6"/>
    <w:rsid w:val="001C76EA"/>
    <w:rsid w:val="001C7A1E"/>
    <w:rsid w:val="001C7FB7"/>
    <w:rsid w:val="001D05E6"/>
    <w:rsid w:val="001D09CB"/>
    <w:rsid w:val="001D0E17"/>
    <w:rsid w:val="001D15C4"/>
    <w:rsid w:val="001D1FA6"/>
    <w:rsid w:val="001D2935"/>
    <w:rsid w:val="001D4070"/>
    <w:rsid w:val="001D4102"/>
    <w:rsid w:val="001D478D"/>
    <w:rsid w:val="001D5822"/>
    <w:rsid w:val="001D5A32"/>
    <w:rsid w:val="001D5C98"/>
    <w:rsid w:val="001D602B"/>
    <w:rsid w:val="001D6178"/>
    <w:rsid w:val="001D630A"/>
    <w:rsid w:val="001D6407"/>
    <w:rsid w:val="001D69F9"/>
    <w:rsid w:val="001D6D2F"/>
    <w:rsid w:val="001D7434"/>
    <w:rsid w:val="001E0E7E"/>
    <w:rsid w:val="001E1671"/>
    <w:rsid w:val="001E1821"/>
    <w:rsid w:val="001E1AC9"/>
    <w:rsid w:val="001E1C4C"/>
    <w:rsid w:val="001E2E58"/>
    <w:rsid w:val="001E30A3"/>
    <w:rsid w:val="001E3251"/>
    <w:rsid w:val="001E3404"/>
    <w:rsid w:val="001E3E1A"/>
    <w:rsid w:val="001E43AA"/>
    <w:rsid w:val="001E4930"/>
    <w:rsid w:val="001E5510"/>
    <w:rsid w:val="001E5A46"/>
    <w:rsid w:val="001E5B9B"/>
    <w:rsid w:val="001E5F71"/>
    <w:rsid w:val="001E69C9"/>
    <w:rsid w:val="001E6F9C"/>
    <w:rsid w:val="001E7075"/>
    <w:rsid w:val="001E78CE"/>
    <w:rsid w:val="001E7EAB"/>
    <w:rsid w:val="001F037E"/>
    <w:rsid w:val="001F0B77"/>
    <w:rsid w:val="001F130D"/>
    <w:rsid w:val="001F1DD7"/>
    <w:rsid w:val="001F21D2"/>
    <w:rsid w:val="001F248B"/>
    <w:rsid w:val="001F365B"/>
    <w:rsid w:val="001F381D"/>
    <w:rsid w:val="001F3DEA"/>
    <w:rsid w:val="001F4C59"/>
    <w:rsid w:val="001F5FE1"/>
    <w:rsid w:val="001F6478"/>
    <w:rsid w:val="001F6501"/>
    <w:rsid w:val="001F672B"/>
    <w:rsid w:val="001F67C0"/>
    <w:rsid w:val="001F6A62"/>
    <w:rsid w:val="001F7523"/>
    <w:rsid w:val="001F77B8"/>
    <w:rsid w:val="0020024B"/>
    <w:rsid w:val="002009EE"/>
    <w:rsid w:val="00200BC3"/>
    <w:rsid w:val="00200D51"/>
    <w:rsid w:val="00201264"/>
    <w:rsid w:val="00201359"/>
    <w:rsid w:val="00201571"/>
    <w:rsid w:val="0020179D"/>
    <w:rsid w:val="0020221B"/>
    <w:rsid w:val="00202B50"/>
    <w:rsid w:val="002034F4"/>
    <w:rsid w:val="00204003"/>
    <w:rsid w:val="002047F5"/>
    <w:rsid w:val="00204FA9"/>
    <w:rsid w:val="00206288"/>
    <w:rsid w:val="0020673E"/>
    <w:rsid w:val="0020686D"/>
    <w:rsid w:val="002071C2"/>
    <w:rsid w:val="002072AB"/>
    <w:rsid w:val="00207320"/>
    <w:rsid w:val="00207859"/>
    <w:rsid w:val="0020786C"/>
    <w:rsid w:val="00207E4B"/>
    <w:rsid w:val="00210544"/>
    <w:rsid w:val="00210629"/>
    <w:rsid w:val="00210CAF"/>
    <w:rsid w:val="00211125"/>
    <w:rsid w:val="00212922"/>
    <w:rsid w:val="00213160"/>
    <w:rsid w:val="002137EE"/>
    <w:rsid w:val="00213DB5"/>
    <w:rsid w:val="00213DFE"/>
    <w:rsid w:val="00213F79"/>
    <w:rsid w:val="002140F2"/>
    <w:rsid w:val="00214238"/>
    <w:rsid w:val="00214EA3"/>
    <w:rsid w:val="0021590C"/>
    <w:rsid w:val="00215F60"/>
    <w:rsid w:val="0021614C"/>
    <w:rsid w:val="00216171"/>
    <w:rsid w:val="002164F9"/>
    <w:rsid w:val="00216608"/>
    <w:rsid w:val="00216E48"/>
    <w:rsid w:val="00216FCE"/>
    <w:rsid w:val="00217929"/>
    <w:rsid w:val="00217D3E"/>
    <w:rsid w:val="00217F7E"/>
    <w:rsid w:val="0022010C"/>
    <w:rsid w:val="00220911"/>
    <w:rsid w:val="00220A52"/>
    <w:rsid w:val="00220E95"/>
    <w:rsid w:val="00221221"/>
    <w:rsid w:val="002215AE"/>
    <w:rsid w:val="00222468"/>
    <w:rsid w:val="00222891"/>
    <w:rsid w:val="00222D75"/>
    <w:rsid w:val="0022312F"/>
    <w:rsid w:val="002231EE"/>
    <w:rsid w:val="002234DC"/>
    <w:rsid w:val="00223936"/>
    <w:rsid w:val="00223963"/>
    <w:rsid w:val="00223E07"/>
    <w:rsid w:val="0022403F"/>
    <w:rsid w:val="00224888"/>
    <w:rsid w:val="002253E1"/>
    <w:rsid w:val="00226AD4"/>
    <w:rsid w:val="00226DD3"/>
    <w:rsid w:val="00226E73"/>
    <w:rsid w:val="00227EB4"/>
    <w:rsid w:val="0023028B"/>
    <w:rsid w:val="00230A11"/>
    <w:rsid w:val="00231CF6"/>
    <w:rsid w:val="00231E9D"/>
    <w:rsid w:val="00231F18"/>
    <w:rsid w:val="00232267"/>
    <w:rsid w:val="00232456"/>
    <w:rsid w:val="00232978"/>
    <w:rsid w:val="00232EA9"/>
    <w:rsid w:val="00233560"/>
    <w:rsid w:val="00233C2D"/>
    <w:rsid w:val="002340B0"/>
    <w:rsid w:val="00234934"/>
    <w:rsid w:val="00234AAD"/>
    <w:rsid w:val="00235741"/>
    <w:rsid w:val="00235DF2"/>
    <w:rsid w:val="00236164"/>
    <w:rsid w:val="002362D0"/>
    <w:rsid w:val="00236B53"/>
    <w:rsid w:val="0023772B"/>
    <w:rsid w:val="0023774B"/>
    <w:rsid w:val="00237A4E"/>
    <w:rsid w:val="00237BB9"/>
    <w:rsid w:val="00237C66"/>
    <w:rsid w:val="00237EAB"/>
    <w:rsid w:val="00240384"/>
    <w:rsid w:val="00240489"/>
    <w:rsid w:val="002406BA"/>
    <w:rsid w:val="00240EBE"/>
    <w:rsid w:val="00240F1D"/>
    <w:rsid w:val="0024167A"/>
    <w:rsid w:val="002417D0"/>
    <w:rsid w:val="00241894"/>
    <w:rsid w:val="00242103"/>
    <w:rsid w:val="00242421"/>
    <w:rsid w:val="002430C9"/>
    <w:rsid w:val="0024325D"/>
    <w:rsid w:val="002437FA"/>
    <w:rsid w:val="00244155"/>
    <w:rsid w:val="0024447A"/>
    <w:rsid w:val="002444A0"/>
    <w:rsid w:val="00244B60"/>
    <w:rsid w:val="00244D94"/>
    <w:rsid w:val="00245561"/>
    <w:rsid w:val="0024617F"/>
    <w:rsid w:val="00246535"/>
    <w:rsid w:val="00247929"/>
    <w:rsid w:val="0024797B"/>
    <w:rsid w:val="00247D88"/>
    <w:rsid w:val="00247F12"/>
    <w:rsid w:val="00247FDC"/>
    <w:rsid w:val="00250039"/>
    <w:rsid w:val="00250802"/>
    <w:rsid w:val="002511A1"/>
    <w:rsid w:val="00251A6B"/>
    <w:rsid w:val="00251BA9"/>
    <w:rsid w:val="00251D5B"/>
    <w:rsid w:val="00251DC4"/>
    <w:rsid w:val="0025212B"/>
    <w:rsid w:val="002522A8"/>
    <w:rsid w:val="00252E54"/>
    <w:rsid w:val="00253876"/>
    <w:rsid w:val="00253CF5"/>
    <w:rsid w:val="0025435D"/>
    <w:rsid w:val="002544FB"/>
    <w:rsid w:val="002547BF"/>
    <w:rsid w:val="00254B04"/>
    <w:rsid w:val="00255349"/>
    <w:rsid w:val="0025559A"/>
    <w:rsid w:val="00255A19"/>
    <w:rsid w:val="00256A46"/>
    <w:rsid w:val="00256DC9"/>
    <w:rsid w:val="00257221"/>
    <w:rsid w:val="00257F9A"/>
    <w:rsid w:val="00260475"/>
    <w:rsid w:val="002604FC"/>
    <w:rsid w:val="00261067"/>
    <w:rsid w:val="002614C9"/>
    <w:rsid w:val="002620FD"/>
    <w:rsid w:val="00262522"/>
    <w:rsid w:val="00262FC3"/>
    <w:rsid w:val="0026383E"/>
    <w:rsid w:val="00264874"/>
    <w:rsid w:val="00264E02"/>
    <w:rsid w:val="002656BC"/>
    <w:rsid w:val="0026620D"/>
    <w:rsid w:val="0026640D"/>
    <w:rsid w:val="00266771"/>
    <w:rsid w:val="0026693A"/>
    <w:rsid w:val="00266AA3"/>
    <w:rsid w:val="00266FD7"/>
    <w:rsid w:val="002672BE"/>
    <w:rsid w:val="00267FB5"/>
    <w:rsid w:val="00270436"/>
    <w:rsid w:val="002705B3"/>
    <w:rsid w:val="00270B69"/>
    <w:rsid w:val="00272DFD"/>
    <w:rsid w:val="002739A0"/>
    <w:rsid w:val="00273A50"/>
    <w:rsid w:val="00273E98"/>
    <w:rsid w:val="00273F86"/>
    <w:rsid w:val="002744B8"/>
    <w:rsid w:val="002748D3"/>
    <w:rsid w:val="00274BC5"/>
    <w:rsid w:val="00274EE5"/>
    <w:rsid w:val="00274FEE"/>
    <w:rsid w:val="002752F4"/>
    <w:rsid w:val="00275599"/>
    <w:rsid w:val="0027595C"/>
    <w:rsid w:val="00275CA3"/>
    <w:rsid w:val="00276749"/>
    <w:rsid w:val="00276A03"/>
    <w:rsid w:val="00276ABA"/>
    <w:rsid w:val="00276CC7"/>
    <w:rsid w:val="00276E5D"/>
    <w:rsid w:val="002773FB"/>
    <w:rsid w:val="002778DB"/>
    <w:rsid w:val="0028076A"/>
    <w:rsid w:val="00281134"/>
    <w:rsid w:val="002821BA"/>
    <w:rsid w:val="002826EC"/>
    <w:rsid w:val="00282701"/>
    <w:rsid w:val="0028270F"/>
    <w:rsid w:val="00282889"/>
    <w:rsid w:val="002829D6"/>
    <w:rsid w:val="00282C0F"/>
    <w:rsid w:val="00282E88"/>
    <w:rsid w:val="002836E1"/>
    <w:rsid w:val="00283BC0"/>
    <w:rsid w:val="00284AAB"/>
    <w:rsid w:val="00284C7D"/>
    <w:rsid w:val="002852FD"/>
    <w:rsid w:val="00285A48"/>
    <w:rsid w:val="00285B47"/>
    <w:rsid w:val="0028667D"/>
    <w:rsid w:val="00286A9F"/>
    <w:rsid w:val="00286C3A"/>
    <w:rsid w:val="00286EAF"/>
    <w:rsid w:val="00286FCC"/>
    <w:rsid w:val="00290500"/>
    <w:rsid w:val="002906E6"/>
    <w:rsid w:val="00290F03"/>
    <w:rsid w:val="00291667"/>
    <w:rsid w:val="00291BD7"/>
    <w:rsid w:val="00292495"/>
    <w:rsid w:val="00292D25"/>
    <w:rsid w:val="00293B01"/>
    <w:rsid w:val="002948A5"/>
    <w:rsid w:val="00295246"/>
    <w:rsid w:val="00295339"/>
    <w:rsid w:val="0029533D"/>
    <w:rsid w:val="00296146"/>
    <w:rsid w:val="0029690D"/>
    <w:rsid w:val="0029718F"/>
    <w:rsid w:val="00297290"/>
    <w:rsid w:val="00297396"/>
    <w:rsid w:val="002A197D"/>
    <w:rsid w:val="002A198D"/>
    <w:rsid w:val="002A1C9F"/>
    <w:rsid w:val="002A22C8"/>
    <w:rsid w:val="002A2336"/>
    <w:rsid w:val="002A2346"/>
    <w:rsid w:val="002A2701"/>
    <w:rsid w:val="002A347E"/>
    <w:rsid w:val="002A357A"/>
    <w:rsid w:val="002A3731"/>
    <w:rsid w:val="002A3C28"/>
    <w:rsid w:val="002A46E5"/>
    <w:rsid w:val="002A472E"/>
    <w:rsid w:val="002A555C"/>
    <w:rsid w:val="002A5968"/>
    <w:rsid w:val="002A59FF"/>
    <w:rsid w:val="002A5B9C"/>
    <w:rsid w:val="002A6E82"/>
    <w:rsid w:val="002A7025"/>
    <w:rsid w:val="002A71B6"/>
    <w:rsid w:val="002A745F"/>
    <w:rsid w:val="002A7568"/>
    <w:rsid w:val="002A7A85"/>
    <w:rsid w:val="002B02D6"/>
    <w:rsid w:val="002B03E5"/>
    <w:rsid w:val="002B03EB"/>
    <w:rsid w:val="002B13B2"/>
    <w:rsid w:val="002B194A"/>
    <w:rsid w:val="002B29A2"/>
    <w:rsid w:val="002B29EC"/>
    <w:rsid w:val="002B2C35"/>
    <w:rsid w:val="002B2E5C"/>
    <w:rsid w:val="002B3545"/>
    <w:rsid w:val="002B418C"/>
    <w:rsid w:val="002B4A87"/>
    <w:rsid w:val="002B4B0A"/>
    <w:rsid w:val="002B4C2E"/>
    <w:rsid w:val="002B4FFE"/>
    <w:rsid w:val="002B557F"/>
    <w:rsid w:val="002B5D10"/>
    <w:rsid w:val="002B62EC"/>
    <w:rsid w:val="002B670E"/>
    <w:rsid w:val="002B6BEE"/>
    <w:rsid w:val="002B705B"/>
    <w:rsid w:val="002B7B8E"/>
    <w:rsid w:val="002B7EFB"/>
    <w:rsid w:val="002C0899"/>
    <w:rsid w:val="002C146B"/>
    <w:rsid w:val="002C1E4B"/>
    <w:rsid w:val="002C2538"/>
    <w:rsid w:val="002C27B5"/>
    <w:rsid w:val="002C28C9"/>
    <w:rsid w:val="002C3AD2"/>
    <w:rsid w:val="002C3D57"/>
    <w:rsid w:val="002C40C9"/>
    <w:rsid w:val="002C4822"/>
    <w:rsid w:val="002C4A2B"/>
    <w:rsid w:val="002C4E76"/>
    <w:rsid w:val="002C53BF"/>
    <w:rsid w:val="002C582F"/>
    <w:rsid w:val="002C5A13"/>
    <w:rsid w:val="002C5AA4"/>
    <w:rsid w:val="002C5D4D"/>
    <w:rsid w:val="002C5EC1"/>
    <w:rsid w:val="002C642A"/>
    <w:rsid w:val="002C6521"/>
    <w:rsid w:val="002C6973"/>
    <w:rsid w:val="002C744A"/>
    <w:rsid w:val="002C7B0C"/>
    <w:rsid w:val="002C7E59"/>
    <w:rsid w:val="002D0042"/>
    <w:rsid w:val="002D02B7"/>
    <w:rsid w:val="002D031A"/>
    <w:rsid w:val="002D146B"/>
    <w:rsid w:val="002D199A"/>
    <w:rsid w:val="002D1B6D"/>
    <w:rsid w:val="002D1D89"/>
    <w:rsid w:val="002D3405"/>
    <w:rsid w:val="002D3615"/>
    <w:rsid w:val="002D3830"/>
    <w:rsid w:val="002D39E4"/>
    <w:rsid w:val="002D3C6D"/>
    <w:rsid w:val="002D5364"/>
    <w:rsid w:val="002D5455"/>
    <w:rsid w:val="002D54B4"/>
    <w:rsid w:val="002D5D7B"/>
    <w:rsid w:val="002D63D1"/>
    <w:rsid w:val="002D6B1A"/>
    <w:rsid w:val="002D6DE0"/>
    <w:rsid w:val="002E03B0"/>
    <w:rsid w:val="002E0459"/>
    <w:rsid w:val="002E062E"/>
    <w:rsid w:val="002E0704"/>
    <w:rsid w:val="002E0761"/>
    <w:rsid w:val="002E092D"/>
    <w:rsid w:val="002E0F72"/>
    <w:rsid w:val="002E110C"/>
    <w:rsid w:val="002E1401"/>
    <w:rsid w:val="002E19C1"/>
    <w:rsid w:val="002E2281"/>
    <w:rsid w:val="002E253E"/>
    <w:rsid w:val="002E2CB7"/>
    <w:rsid w:val="002E322D"/>
    <w:rsid w:val="002E3FCB"/>
    <w:rsid w:val="002E408C"/>
    <w:rsid w:val="002E41A1"/>
    <w:rsid w:val="002E5514"/>
    <w:rsid w:val="002E55D4"/>
    <w:rsid w:val="002E5808"/>
    <w:rsid w:val="002E607D"/>
    <w:rsid w:val="002E6273"/>
    <w:rsid w:val="002E6EA6"/>
    <w:rsid w:val="002E7F5D"/>
    <w:rsid w:val="002E7FDF"/>
    <w:rsid w:val="002F0110"/>
    <w:rsid w:val="002F09C0"/>
    <w:rsid w:val="002F109E"/>
    <w:rsid w:val="002F12A5"/>
    <w:rsid w:val="002F144A"/>
    <w:rsid w:val="002F1583"/>
    <w:rsid w:val="002F176C"/>
    <w:rsid w:val="002F1EAB"/>
    <w:rsid w:val="002F23BE"/>
    <w:rsid w:val="002F2660"/>
    <w:rsid w:val="002F29E2"/>
    <w:rsid w:val="002F2F62"/>
    <w:rsid w:val="002F2F78"/>
    <w:rsid w:val="002F3023"/>
    <w:rsid w:val="002F340C"/>
    <w:rsid w:val="002F34D9"/>
    <w:rsid w:val="002F3632"/>
    <w:rsid w:val="002F3C26"/>
    <w:rsid w:val="002F3D7D"/>
    <w:rsid w:val="002F493E"/>
    <w:rsid w:val="002F4B60"/>
    <w:rsid w:val="002F50C6"/>
    <w:rsid w:val="002F51A5"/>
    <w:rsid w:val="002F5F2C"/>
    <w:rsid w:val="002F5F79"/>
    <w:rsid w:val="002F648D"/>
    <w:rsid w:val="002F64FA"/>
    <w:rsid w:val="002F6538"/>
    <w:rsid w:val="002F7564"/>
    <w:rsid w:val="002F7676"/>
    <w:rsid w:val="00300340"/>
    <w:rsid w:val="00300FBF"/>
    <w:rsid w:val="003010F1"/>
    <w:rsid w:val="003012F7"/>
    <w:rsid w:val="00301386"/>
    <w:rsid w:val="003014BD"/>
    <w:rsid w:val="00301BD5"/>
    <w:rsid w:val="00301CFE"/>
    <w:rsid w:val="00301DF8"/>
    <w:rsid w:val="00301F30"/>
    <w:rsid w:val="0030225B"/>
    <w:rsid w:val="00302325"/>
    <w:rsid w:val="003028A2"/>
    <w:rsid w:val="00302B95"/>
    <w:rsid w:val="00302FD0"/>
    <w:rsid w:val="00303122"/>
    <w:rsid w:val="003037BB"/>
    <w:rsid w:val="003039D7"/>
    <w:rsid w:val="00304021"/>
    <w:rsid w:val="0030485A"/>
    <w:rsid w:val="00304C62"/>
    <w:rsid w:val="00305226"/>
    <w:rsid w:val="003059F9"/>
    <w:rsid w:val="00306A45"/>
    <w:rsid w:val="00306A50"/>
    <w:rsid w:val="00306CA4"/>
    <w:rsid w:val="00306CAC"/>
    <w:rsid w:val="00307391"/>
    <w:rsid w:val="003074C8"/>
    <w:rsid w:val="00310160"/>
    <w:rsid w:val="003102D7"/>
    <w:rsid w:val="00310309"/>
    <w:rsid w:val="003103E3"/>
    <w:rsid w:val="003107CF"/>
    <w:rsid w:val="00310C61"/>
    <w:rsid w:val="00311048"/>
    <w:rsid w:val="0031189F"/>
    <w:rsid w:val="0031207C"/>
    <w:rsid w:val="00312131"/>
    <w:rsid w:val="00312D0D"/>
    <w:rsid w:val="00313935"/>
    <w:rsid w:val="0031578D"/>
    <w:rsid w:val="00316158"/>
    <w:rsid w:val="00316C9F"/>
    <w:rsid w:val="00316FC2"/>
    <w:rsid w:val="003172FC"/>
    <w:rsid w:val="003175AD"/>
    <w:rsid w:val="00317C71"/>
    <w:rsid w:val="00317CE9"/>
    <w:rsid w:val="00317D37"/>
    <w:rsid w:val="00320667"/>
    <w:rsid w:val="00321232"/>
    <w:rsid w:val="0032245C"/>
    <w:rsid w:val="00322A60"/>
    <w:rsid w:val="00322AA8"/>
    <w:rsid w:val="0032455C"/>
    <w:rsid w:val="0032470E"/>
    <w:rsid w:val="00324D69"/>
    <w:rsid w:val="00324E94"/>
    <w:rsid w:val="00325301"/>
    <w:rsid w:val="00325DEB"/>
    <w:rsid w:val="003261D8"/>
    <w:rsid w:val="003262FF"/>
    <w:rsid w:val="00326810"/>
    <w:rsid w:val="00327D5C"/>
    <w:rsid w:val="00330A57"/>
    <w:rsid w:val="003311A4"/>
    <w:rsid w:val="003311A7"/>
    <w:rsid w:val="0033140A"/>
    <w:rsid w:val="0033180A"/>
    <w:rsid w:val="00331E8F"/>
    <w:rsid w:val="003321D9"/>
    <w:rsid w:val="00332634"/>
    <w:rsid w:val="0033286F"/>
    <w:rsid w:val="003329E0"/>
    <w:rsid w:val="003333FF"/>
    <w:rsid w:val="003341AE"/>
    <w:rsid w:val="003353CC"/>
    <w:rsid w:val="0033627E"/>
    <w:rsid w:val="00336AF2"/>
    <w:rsid w:val="003370AA"/>
    <w:rsid w:val="0033735B"/>
    <w:rsid w:val="00337EA9"/>
    <w:rsid w:val="00337ED6"/>
    <w:rsid w:val="00337F67"/>
    <w:rsid w:val="00340139"/>
    <w:rsid w:val="00340362"/>
    <w:rsid w:val="00340D31"/>
    <w:rsid w:val="00340E91"/>
    <w:rsid w:val="0034120E"/>
    <w:rsid w:val="00341988"/>
    <w:rsid w:val="00341BA8"/>
    <w:rsid w:val="00341BEB"/>
    <w:rsid w:val="00341E8D"/>
    <w:rsid w:val="00341EBB"/>
    <w:rsid w:val="003420B9"/>
    <w:rsid w:val="003426A8"/>
    <w:rsid w:val="00342750"/>
    <w:rsid w:val="00343B07"/>
    <w:rsid w:val="00344025"/>
    <w:rsid w:val="00344DE6"/>
    <w:rsid w:val="0034536C"/>
    <w:rsid w:val="00345CA4"/>
    <w:rsid w:val="00346021"/>
    <w:rsid w:val="003461E1"/>
    <w:rsid w:val="00346D4C"/>
    <w:rsid w:val="00346E78"/>
    <w:rsid w:val="00347710"/>
    <w:rsid w:val="003478B0"/>
    <w:rsid w:val="00350830"/>
    <w:rsid w:val="00351383"/>
    <w:rsid w:val="003523CB"/>
    <w:rsid w:val="003524B7"/>
    <w:rsid w:val="00352588"/>
    <w:rsid w:val="00353B96"/>
    <w:rsid w:val="00353D8B"/>
    <w:rsid w:val="003544B1"/>
    <w:rsid w:val="0035460D"/>
    <w:rsid w:val="003547B2"/>
    <w:rsid w:val="003547D0"/>
    <w:rsid w:val="00354EC7"/>
    <w:rsid w:val="00355320"/>
    <w:rsid w:val="00355DD0"/>
    <w:rsid w:val="0035602D"/>
    <w:rsid w:val="003561A4"/>
    <w:rsid w:val="00356491"/>
    <w:rsid w:val="00356768"/>
    <w:rsid w:val="003569F7"/>
    <w:rsid w:val="0035708A"/>
    <w:rsid w:val="00357179"/>
    <w:rsid w:val="00357273"/>
    <w:rsid w:val="00357359"/>
    <w:rsid w:val="00357DD8"/>
    <w:rsid w:val="00357E03"/>
    <w:rsid w:val="003600C8"/>
    <w:rsid w:val="00361222"/>
    <w:rsid w:val="003613BD"/>
    <w:rsid w:val="0036157D"/>
    <w:rsid w:val="003615B4"/>
    <w:rsid w:val="003615D0"/>
    <w:rsid w:val="003619EE"/>
    <w:rsid w:val="00362804"/>
    <w:rsid w:val="00362F5D"/>
    <w:rsid w:val="00362F82"/>
    <w:rsid w:val="00362FF6"/>
    <w:rsid w:val="0036304D"/>
    <w:rsid w:val="00363999"/>
    <w:rsid w:val="003639EE"/>
    <w:rsid w:val="00363D16"/>
    <w:rsid w:val="00363F18"/>
    <w:rsid w:val="003643B9"/>
    <w:rsid w:val="003643F3"/>
    <w:rsid w:val="00364E54"/>
    <w:rsid w:val="00365354"/>
    <w:rsid w:val="00365C92"/>
    <w:rsid w:val="00365FA5"/>
    <w:rsid w:val="00366229"/>
    <w:rsid w:val="003664A3"/>
    <w:rsid w:val="0036676A"/>
    <w:rsid w:val="003667FD"/>
    <w:rsid w:val="00366F3B"/>
    <w:rsid w:val="00367485"/>
    <w:rsid w:val="003674EF"/>
    <w:rsid w:val="00367748"/>
    <w:rsid w:val="003677BB"/>
    <w:rsid w:val="003679C0"/>
    <w:rsid w:val="003701F5"/>
    <w:rsid w:val="00370A93"/>
    <w:rsid w:val="00370B73"/>
    <w:rsid w:val="00370FBB"/>
    <w:rsid w:val="0037162E"/>
    <w:rsid w:val="0037171B"/>
    <w:rsid w:val="003717E0"/>
    <w:rsid w:val="00373A02"/>
    <w:rsid w:val="00375010"/>
    <w:rsid w:val="003752F3"/>
    <w:rsid w:val="003755BC"/>
    <w:rsid w:val="003755ED"/>
    <w:rsid w:val="00375F0D"/>
    <w:rsid w:val="00375F91"/>
    <w:rsid w:val="00376257"/>
    <w:rsid w:val="0037663A"/>
    <w:rsid w:val="00376C49"/>
    <w:rsid w:val="00376DB5"/>
    <w:rsid w:val="00376E97"/>
    <w:rsid w:val="0038035E"/>
    <w:rsid w:val="0038036A"/>
    <w:rsid w:val="0038083B"/>
    <w:rsid w:val="00380C98"/>
    <w:rsid w:val="00381AF4"/>
    <w:rsid w:val="00382D1D"/>
    <w:rsid w:val="00382DE8"/>
    <w:rsid w:val="003838EC"/>
    <w:rsid w:val="003840B0"/>
    <w:rsid w:val="00384906"/>
    <w:rsid w:val="003849AC"/>
    <w:rsid w:val="00384E99"/>
    <w:rsid w:val="00384F4D"/>
    <w:rsid w:val="003856AB"/>
    <w:rsid w:val="00385A2D"/>
    <w:rsid w:val="00385E31"/>
    <w:rsid w:val="003867D7"/>
    <w:rsid w:val="00386BCC"/>
    <w:rsid w:val="00386D2C"/>
    <w:rsid w:val="003873E2"/>
    <w:rsid w:val="0038790A"/>
    <w:rsid w:val="00390A4D"/>
    <w:rsid w:val="00390FCC"/>
    <w:rsid w:val="003916C5"/>
    <w:rsid w:val="00391D6B"/>
    <w:rsid w:val="00391EA3"/>
    <w:rsid w:val="00391F4F"/>
    <w:rsid w:val="003920EF"/>
    <w:rsid w:val="00392182"/>
    <w:rsid w:val="0039230E"/>
    <w:rsid w:val="00392C53"/>
    <w:rsid w:val="00392EAD"/>
    <w:rsid w:val="00393249"/>
    <w:rsid w:val="0039369B"/>
    <w:rsid w:val="0039391E"/>
    <w:rsid w:val="00393FB4"/>
    <w:rsid w:val="00394030"/>
    <w:rsid w:val="0039440E"/>
    <w:rsid w:val="00395216"/>
    <w:rsid w:val="00395296"/>
    <w:rsid w:val="00395468"/>
    <w:rsid w:val="00396ABC"/>
    <w:rsid w:val="00396F40"/>
    <w:rsid w:val="00397BFA"/>
    <w:rsid w:val="003A1181"/>
    <w:rsid w:val="003A1736"/>
    <w:rsid w:val="003A1A23"/>
    <w:rsid w:val="003A1B25"/>
    <w:rsid w:val="003A1C58"/>
    <w:rsid w:val="003A2187"/>
    <w:rsid w:val="003A3175"/>
    <w:rsid w:val="003A3230"/>
    <w:rsid w:val="003A328C"/>
    <w:rsid w:val="003A3727"/>
    <w:rsid w:val="003A4313"/>
    <w:rsid w:val="003A5219"/>
    <w:rsid w:val="003A5B1C"/>
    <w:rsid w:val="003A5C1D"/>
    <w:rsid w:val="003A5EA9"/>
    <w:rsid w:val="003A72F2"/>
    <w:rsid w:val="003A7A16"/>
    <w:rsid w:val="003A7B0E"/>
    <w:rsid w:val="003A7C54"/>
    <w:rsid w:val="003B06FD"/>
    <w:rsid w:val="003B1E88"/>
    <w:rsid w:val="003B1F48"/>
    <w:rsid w:val="003B2606"/>
    <w:rsid w:val="003B27AC"/>
    <w:rsid w:val="003B3333"/>
    <w:rsid w:val="003B3665"/>
    <w:rsid w:val="003B3752"/>
    <w:rsid w:val="003B3D96"/>
    <w:rsid w:val="003B3DCE"/>
    <w:rsid w:val="003B3F61"/>
    <w:rsid w:val="003B3FF3"/>
    <w:rsid w:val="003B4666"/>
    <w:rsid w:val="003B4A94"/>
    <w:rsid w:val="003B5CA2"/>
    <w:rsid w:val="003B6150"/>
    <w:rsid w:val="003B61DB"/>
    <w:rsid w:val="003B6CD4"/>
    <w:rsid w:val="003B6D1A"/>
    <w:rsid w:val="003B6FE4"/>
    <w:rsid w:val="003B7461"/>
    <w:rsid w:val="003B7AC6"/>
    <w:rsid w:val="003C02AC"/>
    <w:rsid w:val="003C03B5"/>
    <w:rsid w:val="003C0FAD"/>
    <w:rsid w:val="003C1208"/>
    <w:rsid w:val="003C16C1"/>
    <w:rsid w:val="003C205C"/>
    <w:rsid w:val="003C2727"/>
    <w:rsid w:val="003C2925"/>
    <w:rsid w:val="003C2C96"/>
    <w:rsid w:val="003C374B"/>
    <w:rsid w:val="003C3BFB"/>
    <w:rsid w:val="003C48F4"/>
    <w:rsid w:val="003C4D9A"/>
    <w:rsid w:val="003C4F47"/>
    <w:rsid w:val="003C5635"/>
    <w:rsid w:val="003C57E3"/>
    <w:rsid w:val="003C5DE8"/>
    <w:rsid w:val="003C5DEC"/>
    <w:rsid w:val="003C66CD"/>
    <w:rsid w:val="003C6DAC"/>
    <w:rsid w:val="003C7571"/>
    <w:rsid w:val="003C7ABD"/>
    <w:rsid w:val="003D0447"/>
    <w:rsid w:val="003D08DC"/>
    <w:rsid w:val="003D173F"/>
    <w:rsid w:val="003D271F"/>
    <w:rsid w:val="003D33C2"/>
    <w:rsid w:val="003D34B6"/>
    <w:rsid w:val="003D39D3"/>
    <w:rsid w:val="003D3DDC"/>
    <w:rsid w:val="003D400E"/>
    <w:rsid w:val="003D404C"/>
    <w:rsid w:val="003D4E34"/>
    <w:rsid w:val="003D5071"/>
    <w:rsid w:val="003D5084"/>
    <w:rsid w:val="003D6372"/>
    <w:rsid w:val="003D68E9"/>
    <w:rsid w:val="003D6EDF"/>
    <w:rsid w:val="003D704A"/>
    <w:rsid w:val="003D7259"/>
    <w:rsid w:val="003D72B2"/>
    <w:rsid w:val="003D75CC"/>
    <w:rsid w:val="003D7B3C"/>
    <w:rsid w:val="003E0BD8"/>
    <w:rsid w:val="003E1498"/>
    <w:rsid w:val="003E1ABF"/>
    <w:rsid w:val="003E1FA0"/>
    <w:rsid w:val="003E29AD"/>
    <w:rsid w:val="003E3006"/>
    <w:rsid w:val="003E397A"/>
    <w:rsid w:val="003E3D11"/>
    <w:rsid w:val="003E4D84"/>
    <w:rsid w:val="003E59A1"/>
    <w:rsid w:val="003E638B"/>
    <w:rsid w:val="003E659F"/>
    <w:rsid w:val="003E6959"/>
    <w:rsid w:val="003E6A16"/>
    <w:rsid w:val="003E6C3D"/>
    <w:rsid w:val="003E6D50"/>
    <w:rsid w:val="003E703F"/>
    <w:rsid w:val="003E7097"/>
    <w:rsid w:val="003E7E5A"/>
    <w:rsid w:val="003E7E82"/>
    <w:rsid w:val="003E7F93"/>
    <w:rsid w:val="003F0232"/>
    <w:rsid w:val="003F1497"/>
    <w:rsid w:val="003F1629"/>
    <w:rsid w:val="003F1AA7"/>
    <w:rsid w:val="003F215E"/>
    <w:rsid w:val="003F2317"/>
    <w:rsid w:val="003F2BAF"/>
    <w:rsid w:val="003F32D2"/>
    <w:rsid w:val="003F3336"/>
    <w:rsid w:val="003F35E1"/>
    <w:rsid w:val="003F3ACB"/>
    <w:rsid w:val="003F3C21"/>
    <w:rsid w:val="003F422E"/>
    <w:rsid w:val="003F438F"/>
    <w:rsid w:val="003F4859"/>
    <w:rsid w:val="003F543C"/>
    <w:rsid w:val="003F57E4"/>
    <w:rsid w:val="003F58A2"/>
    <w:rsid w:val="003F5AAE"/>
    <w:rsid w:val="003F7082"/>
    <w:rsid w:val="003F76DE"/>
    <w:rsid w:val="004002E5"/>
    <w:rsid w:val="004003E7"/>
    <w:rsid w:val="0040058F"/>
    <w:rsid w:val="004006A1"/>
    <w:rsid w:val="00400CE1"/>
    <w:rsid w:val="00400F31"/>
    <w:rsid w:val="004013B6"/>
    <w:rsid w:val="00401C01"/>
    <w:rsid w:val="00401CF5"/>
    <w:rsid w:val="004025FA"/>
    <w:rsid w:val="00403210"/>
    <w:rsid w:val="004035A5"/>
    <w:rsid w:val="00403FB5"/>
    <w:rsid w:val="00404325"/>
    <w:rsid w:val="0040432C"/>
    <w:rsid w:val="004048FD"/>
    <w:rsid w:val="00404B75"/>
    <w:rsid w:val="00405214"/>
    <w:rsid w:val="004057D6"/>
    <w:rsid w:val="00405871"/>
    <w:rsid w:val="00405D09"/>
    <w:rsid w:val="0040660F"/>
    <w:rsid w:val="004068D9"/>
    <w:rsid w:val="00406A00"/>
    <w:rsid w:val="00406B73"/>
    <w:rsid w:val="00406BB3"/>
    <w:rsid w:val="00406E16"/>
    <w:rsid w:val="004070ED"/>
    <w:rsid w:val="0040725B"/>
    <w:rsid w:val="004073BA"/>
    <w:rsid w:val="0041083F"/>
    <w:rsid w:val="00410B28"/>
    <w:rsid w:val="004118B4"/>
    <w:rsid w:val="004119EE"/>
    <w:rsid w:val="00412391"/>
    <w:rsid w:val="004123FC"/>
    <w:rsid w:val="00412400"/>
    <w:rsid w:val="00412456"/>
    <w:rsid w:val="004124AB"/>
    <w:rsid w:val="0041261E"/>
    <w:rsid w:val="004142FE"/>
    <w:rsid w:val="0041447D"/>
    <w:rsid w:val="0041475E"/>
    <w:rsid w:val="004148EE"/>
    <w:rsid w:val="00415BB0"/>
    <w:rsid w:val="00416752"/>
    <w:rsid w:val="00416AD4"/>
    <w:rsid w:val="00416AE2"/>
    <w:rsid w:val="00417A83"/>
    <w:rsid w:val="00417CEF"/>
    <w:rsid w:val="00421447"/>
    <w:rsid w:val="0042172E"/>
    <w:rsid w:val="00422273"/>
    <w:rsid w:val="00423548"/>
    <w:rsid w:val="00423661"/>
    <w:rsid w:val="00423D0C"/>
    <w:rsid w:val="004258F9"/>
    <w:rsid w:val="00425AEC"/>
    <w:rsid w:val="00425D1A"/>
    <w:rsid w:val="00426E12"/>
    <w:rsid w:val="00427321"/>
    <w:rsid w:val="00431055"/>
    <w:rsid w:val="00431225"/>
    <w:rsid w:val="00431287"/>
    <w:rsid w:val="004321BF"/>
    <w:rsid w:val="00432748"/>
    <w:rsid w:val="00432875"/>
    <w:rsid w:val="0043295C"/>
    <w:rsid w:val="00432A84"/>
    <w:rsid w:val="00432AE3"/>
    <w:rsid w:val="00432C13"/>
    <w:rsid w:val="00432EEA"/>
    <w:rsid w:val="00434CA5"/>
    <w:rsid w:val="00435067"/>
    <w:rsid w:val="004358FE"/>
    <w:rsid w:val="00435A1F"/>
    <w:rsid w:val="00435CA5"/>
    <w:rsid w:val="00435DF0"/>
    <w:rsid w:val="0043605A"/>
    <w:rsid w:val="00436211"/>
    <w:rsid w:val="004368B2"/>
    <w:rsid w:val="0043698F"/>
    <w:rsid w:val="00436AFD"/>
    <w:rsid w:val="00436E88"/>
    <w:rsid w:val="00436E9F"/>
    <w:rsid w:val="00437905"/>
    <w:rsid w:val="00437987"/>
    <w:rsid w:val="0044039F"/>
    <w:rsid w:val="004406B5"/>
    <w:rsid w:val="004408BB"/>
    <w:rsid w:val="00440FEE"/>
    <w:rsid w:val="00441206"/>
    <w:rsid w:val="00441240"/>
    <w:rsid w:val="004416D0"/>
    <w:rsid w:val="00441740"/>
    <w:rsid w:val="004418AC"/>
    <w:rsid w:val="00441B6A"/>
    <w:rsid w:val="00442455"/>
    <w:rsid w:val="00443E78"/>
    <w:rsid w:val="004442A6"/>
    <w:rsid w:val="0044472D"/>
    <w:rsid w:val="00444CC5"/>
    <w:rsid w:val="00444D26"/>
    <w:rsid w:val="00444EDE"/>
    <w:rsid w:val="004450D0"/>
    <w:rsid w:val="004471DA"/>
    <w:rsid w:val="004476EE"/>
    <w:rsid w:val="0045069A"/>
    <w:rsid w:val="00450876"/>
    <w:rsid w:val="0045119B"/>
    <w:rsid w:val="0045275F"/>
    <w:rsid w:val="004527B2"/>
    <w:rsid w:val="00452957"/>
    <w:rsid w:val="00452AE1"/>
    <w:rsid w:val="00452B7F"/>
    <w:rsid w:val="00453C49"/>
    <w:rsid w:val="00453CD5"/>
    <w:rsid w:val="00453DD1"/>
    <w:rsid w:val="00454738"/>
    <w:rsid w:val="00454AB8"/>
    <w:rsid w:val="004551F6"/>
    <w:rsid w:val="00455685"/>
    <w:rsid w:val="00455E14"/>
    <w:rsid w:val="00456011"/>
    <w:rsid w:val="004568E4"/>
    <w:rsid w:val="00456C23"/>
    <w:rsid w:val="004570CC"/>
    <w:rsid w:val="004570E1"/>
    <w:rsid w:val="0045716E"/>
    <w:rsid w:val="00457633"/>
    <w:rsid w:val="00457944"/>
    <w:rsid w:val="00457BB8"/>
    <w:rsid w:val="004600D8"/>
    <w:rsid w:val="004606F7"/>
    <w:rsid w:val="00460E03"/>
    <w:rsid w:val="0046197A"/>
    <w:rsid w:val="00461DAC"/>
    <w:rsid w:val="004623A7"/>
    <w:rsid w:val="00463A9F"/>
    <w:rsid w:val="00463AC8"/>
    <w:rsid w:val="00463E41"/>
    <w:rsid w:val="00463E6B"/>
    <w:rsid w:val="00464AA5"/>
    <w:rsid w:val="00464ADA"/>
    <w:rsid w:val="00464F69"/>
    <w:rsid w:val="00464FB7"/>
    <w:rsid w:val="004652B4"/>
    <w:rsid w:val="0046572E"/>
    <w:rsid w:val="00465D5F"/>
    <w:rsid w:val="00466443"/>
    <w:rsid w:val="00470696"/>
    <w:rsid w:val="00470C23"/>
    <w:rsid w:val="004713C0"/>
    <w:rsid w:val="00472212"/>
    <w:rsid w:val="00472414"/>
    <w:rsid w:val="00472C79"/>
    <w:rsid w:val="00472F01"/>
    <w:rsid w:val="00473069"/>
    <w:rsid w:val="00473D06"/>
    <w:rsid w:val="00473F89"/>
    <w:rsid w:val="00474033"/>
    <w:rsid w:val="0047496C"/>
    <w:rsid w:val="00474AEC"/>
    <w:rsid w:val="00475FF0"/>
    <w:rsid w:val="00476D7E"/>
    <w:rsid w:val="00477318"/>
    <w:rsid w:val="00477373"/>
    <w:rsid w:val="00477669"/>
    <w:rsid w:val="00477A91"/>
    <w:rsid w:val="00477E6A"/>
    <w:rsid w:val="004813FE"/>
    <w:rsid w:val="00481653"/>
    <w:rsid w:val="004817A7"/>
    <w:rsid w:val="00481B48"/>
    <w:rsid w:val="00482019"/>
    <w:rsid w:val="00482055"/>
    <w:rsid w:val="004829B3"/>
    <w:rsid w:val="00483108"/>
    <w:rsid w:val="0048318A"/>
    <w:rsid w:val="00485945"/>
    <w:rsid w:val="00486075"/>
    <w:rsid w:val="0048691A"/>
    <w:rsid w:val="00486A34"/>
    <w:rsid w:val="0048796B"/>
    <w:rsid w:val="00487BAF"/>
    <w:rsid w:val="00490364"/>
    <w:rsid w:val="0049077B"/>
    <w:rsid w:val="004908A9"/>
    <w:rsid w:val="00490E8E"/>
    <w:rsid w:val="004915F0"/>
    <w:rsid w:val="0049177F"/>
    <w:rsid w:val="00491A39"/>
    <w:rsid w:val="004932FB"/>
    <w:rsid w:val="00493B58"/>
    <w:rsid w:val="00493C7F"/>
    <w:rsid w:val="00493F57"/>
    <w:rsid w:val="004940AC"/>
    <w:rsid w:val="00494328"/>
    <w:rsid w:val="00494404"/>
    <w:rsid w:val="00494B3D"/>
    <w:rsid w:val="00494CEA"/>
    <w:rsid w:val="00494F1F"/>
    <w:rsid w:val="00495BB9"/>
    <w:rsid w:val="00495BBD"/>
    <w:rsid w:val="004965A9"/>
    <w:rsid w:val="004966A2"/>
    <w:rsid w:val="0049690C"/>
    <w:rsid w:val="00496E54"/>
    <w:rsid w:val="0049724E"/>
    <w:rsid w:val="0049796A"/>
    <w:rsid w:val="004A0068"/>
    <w:rsid w:val="004A09D9"/>
    <w:rsid w:val="004A0CAC"/>
    <w:rsid w:val="004A17F1"/>
    <w:rsid w:val="004A1954"/>
    <w:rsid w:val="004A2A48"/>
    <w:rsid w:val="004A2E4B"/>
    <w:rsid w:val="004A338E"/>
    <w:rsid w:val="004A3EA2"/>
    <w:rsid w:val="004A42E3"/>
    <w:rsid w:val="004A4371"/>
    <w:rsid w:val="004A4C72"/>
    <w:rsid w:val="004A4DE7"/>
    <w:rsid w:val="004A513D"/>
    <w:rsid w:val="004A5F1E"/>
    <w:rsid w:val="004A6285"/>
    <w:rsid w:val="004A6A65"/>
    <w:rsid w:val="004A73AC"/>
    <w:rsid w:val="004A7EF4"/>
    <w:rsid w:val="004B054F"/>
    <w:rsid w:val="004B0995"/>
    <w:rsid w:val="004B0A3E"/>
    <w:rsid w:val="004B0ECB"/>
    <w:rsid w:val="004B16F9"/>
    <w:rsid w:val="004B1C91"/>
    <w:rsid w:val="004B2AF8"/>
    <w:rsid w:val="004B323A"/>
    <w:rsid w:val="004B4B26"/>
    <w:rsid w:val="004B4CD1"/>
    <w:rsid w:val="004B5A3D"/>
    <w:rsid w:val="004B5CF7"/>
    <w:rsid w:val="004B638C"/>
    <w:rsid w:val="004B68A5"/>
    <w:rsid w:val="004B68B1"/>
    <w:rsid w:val="004B6EF0"/>
    <w:rsid w:val="004B7030"/>
    <w:rsid w:val="004B7512"/>
    <w:rsid w:val="004B77E2"/>
    <w:rsid w:val="004B799E"/>
    <w:rsid w:val="004B7C57"/>
    <w:rsid w:val="004B7F1A"/>
    <w:rsid w:val="004C048B"/>
    <w:rsid w:val="004C04D6"/>
    <w:rsid w:val="004C096D"/>
    <w:rsid w:val="004C26D0"/>
    <w:rsid w:val="004C2800"/>
    <w:rsid w:val="004C2DC2"/>
    <w:rsid w:val="004C2DE8"/>
    <w:rsid w:val="004C2E54"/>
    <w:rsid w:val="004C313E"/>
    <w:rsid w:val="004C32D3"/>
    <w:rsid w:val="004C3346"/>
    <w:rsid w:val="004C3D9B"/>
    <w:rsid w:val="004C4523"/>
    <w:rsid w:val="004C5436"/>
    <w:rsid w:val="004C5595"/>
    <w:rsid w:val="004C55FE"/>
    <w:rsid w:val="004C61CA"/>
    <w:rsid w:val="004C7AEC"/>
    <w:rsid w:val="004D038F"/>
    <w:rsid w:val="004D0593"/>
    <w:rsid w:val="004D0B8B"/>
    <w:rsid w:val="004D152A"/>
    <w:rsid w:val="004D1757"/>
    <w:rsid w:val="004D2A4C"/>
    <w:rsid w:val="004D2B67"/>
    <w:rsid w:val="004D305D"/>
    <w:rsid w:val="004D32D4"/>
    <w:rsid w:val="004D41C0"/>
    <w:rsid w:val="004D42DF"/>
    <w:rsid w:val="004D4F89"/>
    <w:rsid w:val="004D5D12"/>
    <w:rsid w:val="004D64C6"/>
    <w:rsid w:val="004D6916"/>
    <w:rsid w:val="004D6A88"/>
    <w:rsid w:val="004D6BEE"/>
    <w:rsid w:val="004D6EE9"/>
    <w:rsid w:val="004D79C4"/>
    <w:rsid w:val="004D7BC9"/>
    <w:rsid w:val="004E07C7"/>
    <w:rsid w:val="004E1425"/>
    <w:rsid w:val="004E18C9"/>
    <w:rsid w:val="004E1FC9"/>
    <w:rsid w:val="004E230F"/>
    <w:rsid w:val="004E2AD8"/>
    <w:rsid w:val="004E2C14"/>
    <w:rsid w:val="004E3063"/>
    <w:rsid w:val="004E326D"/>
    <w:rsid w:val="004E348A"/>
    <w:rsid w:val="004E38B4"/>
    <w:rsid w:val="004E48F7"/>
    <w:rsid w:val="004E51DD"/>
    <w:rsid w:val="004E5F5F"/>
    <w:rsid w:val="004E6B45"/>
    <w:rsid w:val="004E778E"/>
    <w:rsid w:val="004F03E3"/>
    <w:rsid w:val="004F1A58"/>
    <w:rsid w:val="004F2A0C"/>
    <w:rsid w:val="004F4217"/>
    <w:rsid w:val="004F4D3C"/>
    <w:rsid w:val="004F51B9"/>
    <w:rsid w:val="004F5CFA"/>
    <w:rsid w:val="004F5D29"/>
    <w:rsid w:val="004F66BA"/>
    <w:rsid w:val="004F6C20"/>
    <w:rsid w:val="004F6FD9"/>
    <w:rsid w:val="005000C2"/>
    <w:rsid w:val="0050023D"/>
    <w:rsid w:val="00500F1E"/>
    <w:rsid w:val="0050137C"/>
    <w:rsid w:val="00501505"/>
    <w:rsid w:val="005015AE"/>
    <w:rsid w:val="005015EA"/>
    <w:rsid w:val="00501AD4"/>
    <w:rsid w:val="00501B32"/>
    <w:rsid w:val="00501ED7"/>
    <w:rsid w:val="00502067"/>
    <w:rsid w:val="00502255"/>
    <w:rsid w:val="0050281C"/>
    <w:rsid w:val="00502ADD"/>
    <w:rsid w:val="005032FA"/>
    <w:rsid w:val="00503540"/>
    <w:rsid w:val="00504994"/>
    <w:rsid w:val="00504D23"/>
    <w:rsid w:val="00505236"/>
    <w:rsid w:val="005053DE"/>
    <w:rsid w:val="00506098"/>
    <w:rsid w:val="005079D7"/>
    <w:rsid w:val="00507E8E"/>
    <w:rsid w:val="0051025B"/>
    <w:rsid w:val="00510414"/>
    <w:rsid w:val="00510A53"/>
    <w:rsid w:val="00510F61"/>
    <w:rsid w:val="005126FE"/>
    <w:rsid w:val="00512D66"/>
    <w:rsid w:val="005133E8"/>
    <w:rsid w:val="00513EA2"/>
    <w:rsid w:val="00513EFB"/>
    <w:rsid w:val="00514656"/>
    <w:rsid w:val="005149BF"/>
    <w:rsid w:val="00514B2D"/>
    <w:rsid w:val="00514CFC"/>
    <w:rsid w:val="0051552E"/>
    <w:rsid w:val="00515891"/>
    <w:rsid w:val="00515B66"/>
    <w:rsid w:val="00515F47"/>
    <w:rsid w:val="00516081"/>
    <w:rsid w:val="00516197"/>
    <w:rsid w:val="00516FF4"/>
    <w:rsid w:val="00517372"/>
    <w:rsid w:val="0051745C"/>
    <w:rsid w:val="00517473"/>
    <w:rsid w:val="00517E97"/>
    <w:rsid w:val="00520A18"/>
    <w:rsid w:val="00520D98"/>
    <w:rsid w:val="00521654"/>
    <w:rsid w:val="00521EDE"/>
    <w:rsid w:val="00522A91"/>
    <w:rsid w:val="00522C50"/>
    <w:rsid w:val="00523EBB"/>
    <w:rsid w:val="005245C7"/>
    <w:rsid w:val="005247AC"/>
    <w:rsid w:val="0052494A"/>
    <w:rsid w:val="005259DB"/>
    <w:rsid w:val="00525E4C"/>
    <w:rsid w:val="00526E9B"/>
    <w:rsid w:val="0052711D"/>
    <w:rsid w:val="00527344"/>
    <w:rsid w:val="00527415"/>
    <w:rsid w:val="0052759C"/>
    <w:rsid w:val="00530D6A"/>
    <w:rsid w:val="00530FE4"/>
    <w:rsid w:val="0053161E"/>
    <w:rsid w:val="00531DA2"/>
    <w:rsid w:val="00531F08"/>
    <w:rsid w:val="00531FED"/>
    <w:rsid w:val="00532762"/>
    <w:rsid w:val="0053320D"/>
    <w:rsid w:val="005332FD"/>
    <w:rsid w:val="00533585"/>
    <w:rsid w:val="0053369F"/>
    <w:rsid w:val="00533751"/>
    <w:rsid w:val="00533CB1"/>
    <w:rsid w:val="00533CFB"/>
    <w:rsid w:val="00533FC8"/>
    <w:rsid w:val="0053409E"/>
    <w:rsid w:val="0053446C"/>
    <w:rsid w:val="005344FD"/>
    <w:rsid w:val="005345FE"/>
    <w:rsid w:val="0053473F"/>
    <w:rsid w:val="0053479E"/>
    <w:rsid w:val="005348E0"/>
    <w:rsid w:val="00534CBE"/>
    <w:rsid w:val="0053512E"/>
    <w:rsid w:val="005354AF"/>
    <w:rsid w:val="005358FE"/>
    <w:rsid w:val="00535922"/>
    <w:rsid w:val="00535B2C"/>
    <w:rsid w:val="00535DA7"/>
    <w:rsid w:val="00535E7A"/>
    <w:rsid w:val="00536666"/>
    <w:rsid w:val="00536D91"/>
    <w:rsid w:val="005371A6"/>
    <w:rsid w:val="00537894"/>
    <w:rsid w:val="00537E18"/>
    <w:rsid w:val="00537E24"/>
    <w:rsid w:val="00540448"/>
    <w:rsid w:val="00540BB1"/>
    <w:rsid w:val="00540D0A"/>
    <w:rsid w:val="0054129F"/>
    <w:rsid w:val="005419D0"/>
    <w:rsid w:val="00541ED9"/>
    <w:rsid w:val="00541F3B"/>
    <w:rsid w:val="00542792"/>
    <w:rsid w:val="00542B9E"/>
    <w:rsid w:val="00542BDA"/>
    <w:rsid w:val="00543A50"/>
    <w:rsid w:val="00543C28"/>
    <w:rsid w:val="00544309"/>
    <w:rsid w:val="00544ED3"/>
    <w:rsid w:val="0054568A"/>
    <w:rsid w:val="00545A97"/>
    <w:rsid w:val="00545DD5"/>
    <w:rsid w:val="00546625"/>
    <w:rsid w:val="0055056C"/>
    <w:rsid w:val="0055084C"/>
    <w:rsid w:val="00550A5F"/>
    <w:rsid w:val="00550DAA"/>
    <w:rsid w:val="00551317"/>
    <w:rsid w:val="0055158F"/>
    <w:rsid w:val="00551EBB"/>
    <w:rsid w:val="005520E2"/>
    <w:rsid w:val="00552B44"/>
    <w:rsid w:val="00553397"/>
    <w:rsid w:val="00553C82"/>
    <w:rsid w:val="00554B5B"/>
    <w:rsid w:val="00555573"/>
    <w:rsid w:val="005556A7"/>
    <w:rsid w:val="00555D06"/>
    <w:rsid w:val="00556BB5"/>
    <w:rsid w:val="00556D69"/>
    <w:rsid w:val="00557422"/>
    <w:rsid w:val="005605FB"/>
    <w:rsid w:val="00560A14"/>
    <w:rsid w:val="00561141"/>
    <w:rsid w:val="00561572"/>
    <w:rsid w:val="00561762"/>
    <w:rsid w:val="005617A7"/>
    <w:rsid w:val="005617F2"/>
    <w:rsid w:val="00561AAC"/>
    <w:rsid w:val="00561B7F"/>
    <w:rsid w:val="00561E62"/>
    <w:rsid w:val="00561E90"/>
    <w:rsid w:val="0056204D"/>
    <w:rsid w:val="005628E6"/>
    <w:rsid w:val="00563099"/>
    <w:rsid w:val="00563A4C"/>
    <w:rsid w:val="00564B17"/>
    <w:rsid w:val="00564F9F"/>
    <w:rsid w:val="005650CE"/>
    <w:rsid w:val="005651DD"/>
    <w:rsid w:val="005666A5"/>
    <w:rsid w:val="005679A9"/>
    <w:rsid w:val="00567FC2"/>
    <w:rsid w:val="005703A0"/>
    <w:rsid w:val="0057045A"/>
    <w:rsid w:val="0057096D"/>
    <w:rsid w:val="005715D9"/>
    <w:rsid w:val="00571AEF"/>
    <w:rsid w:val="00572523"/>
    <w:rsid w:val="00572B67"/>
    <w:rsid w:val="00572F69"/>
    <w:rsid w:val="00574A80"/>
    <w:rsid w:val="00574E12"/>
    <w:rsid w:val="005757B6"/>
    <w:rsid w:val="0057590F"/>
    <w:rsid w:val="005761C1"/>
    <w:rsid w:val="005762F9"/>
    <w:rsid w:val="00576E62"/>
    <w:rsid w:val="00576E6C"/>
    <w:rsid w:val="00577981"/>
    <w:rsid w:val="0058016A"/>
    <w:rsid w:val="005802E4"/>
    <w:rsid w:val="005807DD"/>
    <w:rsid w:val="00580C08"/>
    <w:rsid w:val="00580C9D"/>
    <w:rsid w:val="0058149A"/>
    <w:rsid w:val="00581C5B"/>
    <w:rsid w:val="00581D18"/>
    <w:rsid w:val="0058241B"/>
    <w:rsid w:val="00582C69"/>
    <w:rsid w:val="005830E1"/>
    <w:rsid w:val="005835FD"/>
    <w:rsid w:val="00583AF0"/>
    <w:rsid w:val="00583B47"/>
    <w:rsid w:val="00585818"/>
    <w:rsid w:val="00585929"/>
    <w:rsid w:val="00585946"/>
    <w:rsid w:val="00586270"/>
    <w:rsid w:val="005863F2"/>
    <w:rsid w:val="005864D6"/>
    <w:rsid w:val="00586682"/>
    <w:rsid w:val="0058732C"/>
    <w:rsid w:val="005874A9"/>
    <w:rsid w:val="005901E5"/>
    <w:rsid w:val="00590643"/>
    <w:rsid w:val="00590A34"/>
    <w:rsid w:val="00590F0C"/>
    <w:rsid w:val="005911D9"/>
    <w:rsid w:val="00591371"/>
    <w:rsid w:val="00591BFA"/>
    <w:rsid w:val="00591FEE"/>
    <w:rsid w:val="005927BA"/>
    <w:rsid w:val="0059317D"/>
    <w:rsid w:val="00593D94"/>
    <w:rsid w:val="00593DF1"/>
    <w:rsid w:val="00593F81"/>
    <w:rsid w:val="0059423B"/>
    <w:rsid w:val="005943CA"/>
    <w:rsid w:val="00594657"/>
    <w:rsid w:val="00594DB0"/>
    <w:rsid w:val="00595631"/>
    <w:rsid w:val="0059587F"/>
    <w:rsid w:val="00595967"/>
    <w:rsid w:val="00595CE8"/>
    <w:rsid w:val="00595E2F"/>
    <w:rsid w:val="005970CC"/>
    <w:rsid w:val="005975F4"/>
    <w:rsid w:val="0059780E"/>
    <w:rsid w:val="00597A54"/>
    <w:rsid w:val="005A023A"/>
    <w:rsid w:val="005A05DC"/>
    <w:rsid w:val="005A078E"/>
    <w:rsid w:val="005A07FC"/>
    <w:rsid w:val="005A0CFA"/>
    <w:rsid w:val="005A0E6A"/>
    <w:rsid w:val="005A0F76"/>
    <w:rsid w:val="005A18B9"/>
    <w:rsid w:val="005A1D29"/>
    <w:rsid w:val="005A264D"/>
    <w:rsid w:val="005A2797"/>
    <w:rsid w:val="005A2C4C"/>
    <w:rsid w:val="005A324B"/>
    <w:rsid w:val="005A3A2E"/>
    <w:rsid w:val="005A3B64"/>
    <w:rsid w:val="005A3BBB"/>
    <w:rsid w:val="005A4238"/>
    <w:rsid w:val="005A436D"/>
    <w:rsid w:val="005A44F9"/>
    <w:rsid w:val="005A45C2"/>
    <w:rsid w:val="005A4F57"/>
    <w:rsid w:val="005A568A"/>
    <w:rsid w:val="005A5754"/>
    <w:rsid w:val="005A5C16"/>
    <w:rsid w:val="005A6169"/>
    <w:rsid w:val="005A667E"/>
    <w:rsid w:val="005A68B6"/>
    <w:rsid w:val="005A70E7"/>
    <w:rsid w:val="005A71DB"/>
    <w:rsid w:val="005A7D06"/>
    <w:rsid w:val="005B05C2"/>
    <w:rsid w:val="005B14DB"/>
    <w:rsid w:val="005B1E5C"/>
    <w:rsid w:val="005B223E"/>
    <w:rsid w:val="005B2874"/>
    <w:rsid w:val="005B446B"/>
    <w:rsid w:val="005B4545"/>
    <w:rsid w:val="005B4B73"/>
    <w:rsid w:val="005B515D"/>
    <w:rsid w:val="005B5EB6"/>
    <w:rsid w:val="005B5FA4"/>
    <w:rsid w:val="005B6956"/>
    <w:rsid w:val="005B6AC0"/>
    <w:rsid w:val="005B7162"/>
    <w:rsid w:val="005B7F35"/>
    <w:rsid w:val="005C0547"/>
    <w:rsid w:val="005C1515"/>
    <w:rsid w:val="005C26DC"/>
    <w:rsid w:val="005C29DE"/>
    <w:rsid w:val="005C2BB1"/>
    <w:rsid w:val="005C2FAF"/>
    <w:rsid w:val="005C4396"/>
    <w:rsid w:val="005C4678"/>
    <w:rsid w:val="005C505F"/>
    <w:rsid w:val="005C5C8B"/>
    <w:rsid w:val="005C5EB8"/>
    <w:rsid w:val="005C6A9B"/>
    <w:rsid w:val="005C6F0F"/>
    <w:rsid w:val="005C72F1"/>
    <w:rsid w:val="005C7629"/>
    <w:rsid w:val="005C7B44"/>
    <w:rsid w:val="005C7CEB"/>
    <w:rsid w:val="005D0460"/>
    <w:rsid w:val="005D061B"/>
    <w:rsid w:val="005D0967"/>
    <w:rsid w:val="005D0988"/>
    <w:rsid w:val="005D0AEC"/>
    <w:rsid w:val="005D0D01"/>
    <w:rsid w:val="005D0D09"/>
    <w:rsid w:val="005D188F"/>
    <w:rsid w:val="005D1B52"/>
    <w:rsid w:val="005D20EE"/>
    <w:rsid w:val="005D3559"/>
    <w:rsid w:val="005D38A5"/>
    <w:rsid w:val="005D3992"/>
    <w:rsid w:val="005D4436"/>
    <w:rsid w:val="005D4974"/>
    <w:rsid w:val="005D55A4"/>
    <w:rsid w:val="005D595A"/>
    <w:rsid w:val="005D5982"/>
    <w:rsid w:val="005D5EFA"/>
    <w:rsid w:val="005D60CE"/>
    <w:rsid w:val="005D6957"/>
    <w:rsid w:val="005D6AA5"/>
    <w:rsid w:val="005D6B9B"/>
    <w:rsid w:val="005D6FDF"/>
    <w:rsid w:val="005D741D"/>
    <w:rsid w:val="005D770A"/>
    <w:rsid w:val="005D7877"/>
    <w:rsid w:val="005D7953"/>
    <w:rsid w:val="005E07B2"/>
    <w:rsid w:val="005E0D04"/>
    <w:rsid w:val="005E17C2"/>
    <w:rsid w:val="005E1BDC"/>
    <w:rsid w:val="005E1D14"/>
    <w:rsid w:val="005E20BB"/>
    <w:rsid w:val="005E313A"/>
    <w:rsid w:val="005E3951"/>
    <w:rsid w:val="005E43D2"/>
    <w:rsid w:val="005E47B4"/>
    <w:rsid w:val="005E4E7E"/>
    <w:rsid w:val="005E50C1"/>
    <w:rsid w:val="005E5D08"/>
    <w:rsid w:val="005E622A"/>
    <w:rsid w:val="005E6429"/>
    <w:rsid w:val="005E6594"/>
    <w:rsid w:val="005E6923"/>
    <w:rsid w:val="005E6EDF"/>
    <w:rsid w:val="005E72A5"/>
    <w:rsid w:val="005E794D"/>
    <w:rsid w:val="005E7AFD"/>
    <w:rsid w:val="005F02F0"/>
    <w:rsid w:val="005F066F"/>
    <w:rsid w:val="005F0852"/>
    <w:rsid w:val="005F09F0"/>
    <w:rsid w:val="005F0CE0"/>
    <w:rsid w:val="005F18B9"/>
    <w:rsid w:val="005F2703"/>
    <w:rsid w:val="005F3180"/>
    <w:rsid w:val="005F3365"/>
    <w:rsid w:val="005F455F"/>
    <w:rsid w:val="005F4A8A"/>
    <w:rsid w:val="005F4E26"/>
    <w:rsid w:val="005F6645"/>
    <w:rsid w:val="005F6EA9"/>
    <w:rsid w:val="005F724A"/>
    <w:rsid w:val="005F773C"/>
    <w:rsid w:val="005F776B"/>
    <w:rsid w:val="005F778F"/>
    <w:rsid w:val="005F7933"/>
    <w:rsid w:val="006000B9"/>
    <w:rsid w:val="0060021A"/>
    <w:rsid w:val="006004D3"/>
    <w:rsid w:val="006004FA"/>
    <w:rsid w:val="0060052D"/>
    <w:rsid w:val="006009D8"/>
    <w:rsid w:val="00601017"/>
    <w:rsid w:val="00601921"/>
    <w:rsid w:val="00602560"/>
    <w:rsid w:val="0060275A"/>
    <w:rsid w:val="00603762"/>
    <w:rsid w:val="0060390A"/>
    <w:rsid w:val="00603971"/>
    <w:rsid w:val="00603D53"/>
    <w:rsid w:val="00603DED"/>
    <w:rsid w:val="00603E67"/>
    <w:rsid w:val="006040B8"/>
    <w:rsid w:val="00604566"/>
    <w:rsid w:val="00604F74"/>
    <w:rsid w:val="0060555F"/>
    <w:rsid w:val="00605F26"/>
    <w:rsid w:val="00605F4E"/>
    <w:rsid w:val="006060AC"/>
    <w:rsid w:val="006069EB"/>
    <w:rsid w:val="00606C66"/>
    <w:rsid w:val="00607003"/>
    <w:rsid w:val="0060755D"/>
    <w:rsid w:val="00607747"/>
    <w:rsid w:val="00607A88"/>
    <w:rsid w:val="00607EEE"/>
    <w:rsid w:val="00610D15"/>
    <w:rsid w:val="00611094"/>
    <w:rsid w:val="006112AE"/>
    <w:rsid w:val="00611C1A"/>
    <w:rsid w:val="00611E11"/>
    <w:rsid w:val="00611F30"/>
    <w:rsid w:val="00611FD1"/>
    <w:rsid w:val="00613D92"/>
    <w:rsid w:val="0061434C"/>
    <w:rsid w:val="006143E1"/>
    <w:rsid w:val="0061446C"/>
    <w:rsid w:val="00614CC1"/>
    <w:rsid w:val="00615187"/>
    <w:rsid w:val="00615A37"/>
    <w:rsid w:val="00615D29"/>
    <w:rsid w:val="00617674"/>
    <w:rsid w:val="00617AC8"/>
    <w:rsid w:val="0062030C"/>
    <w:rsid w:val="00621524"/>
    <w:rsid w:val="00622917"/>
    <w:rsid w:val="006229A4"/>
    <w:rsid w:val="006229EC"/>
    <w:rsid w:val="00622C54"/>
    <w:rsid w:val="0062343A"/>
    <w:rsid w:val="006249B1"/>
    <w:rsid w:val="0062545C"/>
    <w:rsid w:val="00626197"/>
    <w:rsid w:val="0062768D"/>
    <w:rsid w:val="00627953"/>
    <w:rsid w:val="00627957"/>
    <w:rsid w:val="0063040B"/>
    <w:rsid w:val="0063087E"/>
    <w:rsid w:val="00630C2A"/>
    <w:rsid w:val="00630EC0"/>
    <w:rsid w:val="00631024"/>
    <w:rsid w:val="00631305"/>
    <w:rsid w:val="0063273A"/>
    <w:rsid w:val="00632A4E"/>
    <w:rsid w:val="00632D42"/>
    <w:rsid w:val="00633298"/>
    <w:rsid w:val="006338AA"/>
    <w:rsid w:val="00633DA3"/>
    <w:rsid w:val="00633EBF"/>
    <w:rsid w:val="006342E7"/>
    <w:rsid w:val="00634BF5"/>
    <w:rsid w:val="0063627D"/>
    <w:rsid w:val="00636D5F"/>
    <w:rsid w:val="00636ECE"/>
    <w:rsid w:val="00637429"/>
    <w:rsid w:val="0063759E"/>
    <w:rsid w:val="00637BE7"/>
    <w:rsid w:val="00637D28"/>
    <w:rsid w:val="00637FCD"/>
    <w:rsid w:val="0064027E"/>
    <w:rsid w:val="006408C6"/>
    <w:rsid w:val="00640BB4"/>
    <w:rsid w:val="00640F9D"/>
    <w:rsid w:val="0064166E"/>
    <w:rsid w:val="006418FA"/>
    <w:rsid w:val="00641901"/>
    <w:rsid w:val="00642D1C"/>
    <w:rsid w:val="00642F81"/>
    <w:rsid w:val="006434E3"/>
    <w:rsid w:val="00643A76"/>
    <w:rsid w:val="006447F0"/>
    <w:rsid w:val="006449F9"/>
    <w:rsid w:val="00644B2E"/>
    <w:rsid w:val="00644C3D"/>
    <w:rsid w:val="00645E35"/>
    <w:rsid w:val="00646A07"/>
    <w:rsid w:val="006473F2"/>
    <w:rsid w:val="00647A85"/>
    <w:rsid w:val="00650236"/>
    <w:rsid w:val="0065061A"/>
    <w:rsid w:val="0065072F"/>
    <w:rsid w:val="00650DFE"/>
    <w:rsid w:val="006517F0"/>
    <w:rsid w:val="00651AB1"/>
    <w:rsid w:val="00651EC9"/>
    <w:rsid w:val="00651F19"/>
    <w:rsid w:val="006528ED"/>
    <w:rsid w:val="00652D1D"/>
    <w:rsid w:val="00653017"/>
    <w:rsid w:val="0065382E"/>
    <w:rsid w:val="00653BA8"/>
    <w:rsid w:val="00653E4E"/>
    <w:rsid w:val="00654482"/>
    <w:rsid w:val="0065497A"/>
    <w:rsid w:val="00654E41"/>
    <w:rsid w:val="00655024"/>
    <w:rsid w:val="006555E6"/>
    <w:rsid w:val="00655759"/>
    <w:rsid w:val="006561B3"/>
    <w:rsid w:val="00656260"/>
    <w:rsid w:val="0065703B"/>
    <w:rsid w:val="00657D32"/>
    <w:rsid w:val="00657EB8"/>
    <w:rsid w:val="00660D4B"/>
    <w:rsid w:val="00660E51"/>
    <w:rsid w:val="00660ED3"/>
    <w:rsid w:val="0066103C"/>
    <w:rsid w:val="00661BA8"/>
    <w:rsid w:val="006622F0"/>
    <w:rsid w:val="0066244C"/>
    <w:rsid w:val="0066253D"/>
    <w:rsid w:val="00662976"/>
    <w:rsid w:val="00662B0C"/>
    <w:rsid w:val="00663AF3"/>
    <w:rsid w:val="00663B5D"/>
    <w:rsid w:val="0066480D"/>
    <w:rsid w:val="00664B3E"/>
    <w:rsid w:val="00664D36"/>
    <w:rsid w:val="00665557"/>
    <w:rsid w:val="00670035"/>
    <w:rsid w:val="0067025C"/>
    <w:rsid w:val="00670632"/>
    <w:rsid w:val="00671591"/>
    <w:rsid w:val="00672219"/>
    <w:rsid w:val="00672984"/>
    <w:rsid w:val="00672A53"/>
    <w:rsid w:val="00672B78"/>
    <w:rsid w:val="00673681"/>
    <w:rsid w:val="00673D1C"/>
    <w:rsid w:val="00673DF0"/>
    <w:rsid w:val="00673E1F"/>
    <w:rsid w:val="00674419"/>
    <w:rsid w:val="00674DD5"/>
    <w:rsid w:val="00675B94"/>
    <w:rsid w:val="006760E0"/>
    <w:rsid w:val="006766D0"/>
    <w:rsid w:val="00676D34"/>
    <w:rsid w:val="006800ED"/>
    <w:rsid w:val="0068071C"/>
    <w:rsid w:val="00680A7F"/>
    <w:rsid w:val="0068173E"/>
    <w:rsid w:val="00681DB3"/>
    <w:rsid w:val="00681DCE"/>
    <w:rsid w:val="00682AF9"/>
    <w:rsid w:val="00684619"/>
    <w:rsid w:val="006849C1"/>
    <w:rsid w:val="00684CB1"/>
    <w:rsid w:val="00684E84"/>
    <w:rsid w:val="00684EC6"/>
    <w:rsid w:val="00684ED6"/>
    <w:rsid w:val="0068533E"/>
    <w:rsid w:val="00685708"/>
    <w:rsid w:val="00686DEA"/>
    <w:rsid w:val="00686DEC"/>
    <w:rsid w:val="0068752C"/>
    <w:rsid w:val="00687855"/>
    <w:rsid w:val="0068794C"/>
    <w:rsid w:val="00687B27"/>
    <w:rsid w:val="006905C0"/>
    <w:rsid w:val="00690924"/>
    <w:rsid w:val="00690FA2"/>
    <w:rsid w:val="00691B59"/>
    <w:rsid w:val="00691C65"/>
    <w:rsid w:val="00692094"/>
    <w:rsid w:val="006928AA"/>
    <w:rsid w:val="00692AB1"/>
    <w:rsid w:val="006930DC"/>
    <w:rsid w:val="0069319D"/>
    <w:rsid w:val="00693487"/>
    <w:rsid w:val="00693676"/>
    <w:rsid w:val="006937A2"/>
    <w:rsid w:val="00693C81"/>
    <w:rsid w:val="00694383"/>
    <w:rsid w:val="00694388"/>
    <w:rsid w:val="006943D5"/>
    <w:rsid w:val="00694547"/>
    <w:rsid w:val="00694CE0"/>
    <w:rsid w:val="006957AC"/>
    <w:rsid w:val="0069598D"/>
    <w:rsid w:val="00696076"/>
    <w:rsid w:val="00696534"/>
    <w:rsid w:val="006966B2"/>
    <w:rsid w:val="006974B2"/>
    <w:rsid w:val="00697FAD"/>
    <w:rsid w:val="006A050B"/>
    <w:rsid w:val="006A08C5"/>
    <w:rsid w:val="006A103D"/>
    <w:rsid w:val="006A11F5"/>
    <w:rsid w:val="006A1561"/>
    <w:rsid w:val="006A1F93"/>
    <w:rsid w:val="006A211B"/>
    <w:rsid w:val="006A2D31"/>
    <w:rsid w:val="006A31AB"/>
    <w:rsid w:val="006A3236"/>
    <w:rsid w:val="006A34A8"/>
    <w:rsid w:val="006A3D71"/>
    <w:rsid w:val="006A3DDC"/>
    <w:rsid w:val="006A46D0"/>
    <w:rsid w:val="006A47FB"/>
    <w:rsid w:val="006A4CD8"/>
    <w:rsid w:val="006A4FD6"/>
    <w:rsid w:val="006A5184"/>
    <w:rsid w:val="006A5545"/>
    <w:rsid w:val="006A5A2A"/>
    <w:rsid w:val="006A6071"/>
    <w:rsid w:val="006A64FB"/>
    <w:rsid w:val="006A729F"/>
    <w:rsid w:val="006A7834"/>
    <w:rsid w:val="006B02A7"/>
    <w:rsid w:val="006B07FA"/>
    <w:rsid w:val="006B15C0"/>
    <w:rsid w:val="006B17CC"/>
    <w:rsid w:val="006B18E7"/>
    <w:rsid w:val="006B1E0C"/>
    <w:rsid w:val="006B294C"/>
    <w:rsid w:val="006B3650"/>
    <w:rsid w:val="006B40FB"/>
    <w:rsid w:val="006B4197"/>
    <w:rsid w:val="006B420E"/>
    <w:rsid w:val="006B46D4"/>
    <w:rsid w:val="006B48EC"/>
    <w:rsid w:val="006B5052"/>
    <w:rsid w:val="006B57F3"/>
    <w:rsid w:val="006B583D"/>
    <w:rsid w:val="006B59BF"/>
    <w:rsid w:val="006B6061"/>
    <w:rsid w:val="006B63F9"/>
    <w:rsid w:val="006B668E"/>
    <w:rsid w:val="006B6DB0"/>
    <w:rsid w:val="006B6E84"/>
    <w:rsid w:val="006C04FD"/>
    <w:rsid w:val="006C060B"/>
    <w:rsid w:val="006C08E5"/>
    <w:rsid w:val="006C0CA0"/>
    <w:rsid w:val="006C1226"/>
    <w:rsid w:val="006C1313"/>
    <w:rsid w:val="006C1AAC"/>
    <w:rsid w:val="006C34C1"/>
    <w:rsid w:val="006C378C"/>
    <w:rsid w:val="006C38F3"/>
    <w:rsid w:val="006C397D"/>
    <w:rsid w:val="006C3E84"/>
    <w:rsid w:val="006C442C"/>
    <w:rsid w:val="006C46C0"/>
    <w:rsid w:val="006C47A6"/>
    <w:rsid w:val="006C4841"/>
    <w:rsid w:val="006C4968"/>
    <w:rsid w:val="006C4AC6"/>
    <w:rsid w:val="006C5A8E"/>
    <w:rsid w:val="006C5B77"/>
    <w:rsid w:val="006C5F67"/>
    <w:rsid w:val="006C615E"/>
    <w:rsid w:val="006C664F"/>
    <w:rsid w:val="006C6CB1"/>
    <w:rsid w:val="006C7207"/>
    <w:rsid w:val="006C7C5D"/>
    <w:rsid w:val="006D074C"/>
    <w:rsid w:val="006D099E"/>
    <w:rsid w:val="006D0A82"/>
    <w:rsid w:val="006D0E1C"/>
    <w:rsid w:val="006D1863"/>
    <w:rsid w:val="006D1C59"/>
    <w:rsid w:val="006D1CED"/>
    <w:rsid w:val="006D2274"/>
    <w:rsid w:val="006D376A"/>
    <w:rsid w:val="006D3B36"/>
    <w:rsid w:val="006D41F2"/>
    <w:rsid w:val="006D441D"/>
    <w:rsid w:val="006D4F0E"/>
    <w:rsid w:val="006D547B"/>
    <w:rsid w:val="006D5932"/>
    <w:rsid w:val="006D6469"/>
    <w:rsid w:val="006D6596"/>
    <w:rsid w:val="006D6617"/>
    <w:rsid w:val="006D6669"/>
    <w:rsid w:val="006D7777"/>
    <w:rsid w:val="006D7D5E"/>
    <w:rsid w:val="006D7ED8"/>
    <w:rsid w:val="006E00AA"/>
    <w:rsid w:val="006E06AD"/>
    <w:rsid w:val="006E06BD"/>
    <w:rsid w:val="006E0A41"/>
    <w:rsid w:val="006E0C61"/>
    <w:rsid w:val="006E0D56"/>
    <w:rsid w:val="006E0DEE"/>
    <w:rsid w:val="006E1A39"/>
    <w:rsid w:val="006E20C2"/>
    <w:rsid w:val="006E2103"/>
    <w:rsid w:val="006E27CF"/>
    <w:rsid w:val="006E30E4"/>
    <w:rsid w:val="006E3B49"/>
    <w:rsid w:val="006E590B"/>
    <w:rsid w:val="006E5D06"/>
    <w:rsid w:val="006E605B"/>
    <w:rsid w:val="006E6671"/>
    <w:rsid w:val="006E6784"/>
    <w:rsid w:val="006E67E0"/>
    <w:rsid w:val="006F04BC"/>
    <w:rsid w:val="006F0D32"/>
    <w:rsid w:val="006F0E12"/>
    <w:rsid w:val="006F2265"/>
    <w:rsid w:val="006F3044"/>
    <w:rsid w:val="006F3265"/>
    <w:rsid w:val="006F4D06"/>
    <w:rsid w:val="006F6741"/>
    <w:rsid w:val="006F68FA"/>
    <w:rsid w:val="006F6AA2"/>
    <w:rsid w:val="006F6AAB"/>
    <w:rsid w:val="00700939"/>
    <w:rsid w:val="007010D1"/>
    <w:rsid w:val="007014A0"/>
    <w:rsid w:val="00701514"/>
    <w:rsid w:val="00701549"/>
    <w:rsid w:val="007019F3"/>
    <w:rsid w:val="00701B9F"/>
    <w:rsid w:val="00702825"/>
    <w:rsid w:val="00702996"/>
    <w:rsid w:val="00702B05"/>
    <w:rsid w:val="00702BD3"/>
    <w:rsid w:val="00702C91"/>
    <w:rsid w:val="00703138"/>
    <w:rsid w:val="007037D7"/>
    <w:rsid w:val="00704766"/>
    <w:rsid w:val="00705221"/>
    <w:rsid w:val="0070641D"/>
    <w:rsid w:val="00706551"/>
    <w:rsid w:val="0070700B"/>
    <w:rsid w:val="00707521"/>
    <w:rsid w:val="00707C2A"/>
    <w:rsid w:val="00707F84"/>
    <w:rsid w:val="007104A5"/>
    <w:rsid w:val="00710BBD"/>
    <w:rsid w:val="00710D94"/>
    <w:rsid w:val="00710E52"/>
    <w:rsid w:val="0071127E"/>
    <w:rsid w:val="00711451"/>
    <w:rsid w:val="00711477"/>
    <w:rsid w:val="00711724"/>
    <w:rsid w:val="00711880"/>
    <w:rsid w:val="00711897"/>
    <w:rsid w:val="00711D80"/>
    <w:rsid w:val="00711D93"/>
    <w:rsid w:val="007120E4"/>
    <w:rsid w:val="007127D8"/>
    <w:rsid w:val="00712C9A"/>
    <w:rsid w:val="00712F5E"/>
    <w:rsid w:val="00714040"/>
    <w:rsid w:val="00714AD2"/>
    <w:rsid w:val="00715A92"/>
    <w:rsid w:val="00715AF5"/>
    <w:rsid w:val="00716323"/>
    <w:rsid w:val="00716F66"/>
    <w:rsid w:val="00717209"/>
    <w:rsid w:val="007177F5"/>
    <w:rsid w:val="00720132"/>
    <w:rsid w:val="00720473"/>
    <w:rsid w:val="00720D58"/>
    <w:rsid w:val="00720F00"/>
    <w:rsid w:val="007211BE"/>
    <w:rsid w:val="007212EC"/>
    <w:rsid w:val="00721536"/>
    <w:rsid w:val="0072175B"/>
    <w:rsid w:val="00721E7E"/>
    <w:rsid w:val="007221E1"/>
    <w:rsid w:val="00723131"/>
    <w:rsid w:val="007231A7"/>
    <w:rsid w:val="0072351F"/>
    <w:rsid w:val="007240D8"/>
    <w:rsid w:val="00724562"/>
    <w:rsid w:val="0072470B"/>
    <w:rsid w:val="007250D7"/>
    <w:rsid w:val="007250F3"/>
    <w:rsid w:val="007252EB"/>
    <w:rsid w:val="0072566C"/>
    <w:rsid w:val="007259D6"/>
    <w:rsid w:val="00726F3E"/>
    <w:rsid w:val="007272A0"/>
    <w:rsid w:val="00727453"/>
    <w:rsid w:val="0072798F"/>
    <w:rsid w:val="00730A3A"/>
    <w:rsid w:val="0073123F"/>
    <w:rsid w:val="0073226D"/>
    <w:rsid w:val="00732775"/>
    <w:rsid w:val="00732F12"/>
    <w:rsid w:val="00733CF4"/>
    <w:rsid w:val="00734611"/>
    <w:rsid w:val="007346D2"/>
    <w:rsid w:val="00734704"/>
    <w:rsid w:val="007347DB"/>
    <w:rsid w:val="00734B00"/>
    <w:rsid w:val="00734E27"/>
    <w:rsid w:val="00735016"/>
    <w:rsid w:val="0073591C"/>
    <w:rsid w:val="00735D29"/>
    <w:rsid w:val="00735D3A"/>
    <w:rsid w:val="0073670A"/>
    <w:rsid w:val="00736B3B"/>
    <w:rsid w:val="00736BF3"/>
    <w:rsid w:val="00737B7B"/>
    <w:rsid w:val="00737C65"/>
    <w:rsid w:val="00737D42"/>
    <w:rsid w:val="0074000A"/>
    <w:rsid w:val="007402D2"/>
    <w:rsid w:val="007410D5"/>
    <w:rsid w:val="00742188"/>
    <w:rsid w:val="007421B3"/>
    <w:rsid w:val="007421DB"/>
    <w:rsid w:val="00742252"/>
    <w:rsid w:val="007425D1"/>
    <w:rsid w:val="00742650"/>
    <w:rsid w:val="007426DD"/>
    <w:rsid w:val="0074298A"/>
    <w:rsid w:val="00742DFD"/>
    <w:rsid w:val="007431D5"/>
    <w:rsid w:val="00743341"/>
    <w:rsid w:val="007433BC"/>
    <w:rsid w:val="00743B2F"/>
    <w:rsid w:val="00744276"/>
    <w:rsid w:val="00744D63"/>
    <w:rsid w:val="00745CEC"/>
    <w:rsid w:val="00745D83"/>
    <w:rsid w:val="00745EDD"/>
    <w:rsid w:val="007463A3"/>
    <w:rsid w:val="007463F6"/>
    <w:rsid w:val="00746910"/>
    <w:rsid w:val="00747877"/>
    <w:rsid w:val="00747A4B"/>
    <w:rsid w:val="00747AF0"/>
    <w:rsid w:val="00750080"/>
    <w:rsid w:val="0075042E"/>
    <w:rsid w:val="0075047E"/>
    <w:rsid w:val="0075077A"/>
    <w:rsid w:val="00750C1E"/>
    <w:rsid w:val="00751014"/>
    <w:rsid w:val="0075176B"/>
    <w:rsid w:val="0075179D"/>
    <w:rsid w:val="00751B1B"/>
    <w:rsid w:val="00751D00"/>
    <w:rsid w:val="007522CC"/>
    <w:rsid w:val="007524EA"/>
    <w:rsid w:val="00752868"/>
    <w:rsid w:val="007539AD"/>
    <w:rsid w:val="00753B5E"/>
    <w:rsid w:val="007548EF"/>
    <w:rsid w:val="007551F8"/>
    <w:rsid w:val="007552F1"/>
    <w:rsid w:val="00755807"/>
    <w:rsid w:val="00755B48"/>
    <w:rsid w:val="007562C1"/>
    <w:rsid w:val="00757A64"/>
    <w:rsid w:val="007600F8"/>
    <w:rsid w:val="00761B81"/>
    <w:rsid w:val="00761FE9"/>
    <w:rsid w:val="00763099"/>
    <w:rsid w:val="00763B19"/>
    <w:rsid w:val="00763D58"/>
    <w:rsid w:val="00764504"/>
    <w:rsid w:val="0076457F"/>
    <w:rsid w:val="00764BDE"/>
    <w:rsid w:val="0076566B"/>
    <w:rsid w:val="00765B38"/>
    <w:rsid w:val="00766212"/>
    <w:rsid w:val="00767BF8"/>
    <w:rsid w:val="00767E20"/>
    <w:rsid w:val="0077010D"/>
    <w:rsid w:val="00770357"/>
    <w:rsid w:val="007706DB"/>
    <w:rsid w:val="00770B56"/>
    <w:rsid w:val="00770FE4"/>
    <w:rsid w:val="00771268"/>
    <w:rsid w:val="00771850"/>
    <w:rsid w:val="007719BC"/>
    <w:rsid w:val="00771A57"/>
    <w:rsid w:val="00771B79"/>
    <w:rsid w:val="00771C84"/>
    <w:rsid w:val="00771CED"/>
    <w:rsid w:val="00772E33"/>
    <w:rsid w:val="00772E51"/>
    <w:rsid w:val="00772FA6"/>
    <w:rsid w:val="0077385F"/>
    <w:rsid w:val="00773AB5"/>
    <w:rsid w:val="00773B40"/>
    <w:rsid w:val="00773EE1"/>
    <w:rsid w:val="00776219"/>
    <w:rsid w:val="00776B50"/>
    <w:rsid w:val="00776C52"/>
    <w:rsid w:val="00776D2F"/>
    <w:rsid w:val="00777F3C"/>
    <w:rsid w:val="00780589"/>
    <w:rsid w:val="007805B2"/>
    <w:rsid w:val="00780A7B"/>
    <w:rsid w:val="007812EE"/>
    <w:rsid w:val="0078248C"/>
    <w:rsid w:val="00782859"/>
    <w:rsid w:val="00782928"/>
    <w:rsid w:val="0078324C"/>
    <w:rsid w:val="007839AD"/>
    <w:rsid w:val="00783C8B"/>
    <w:rsid w:val="0078412D"/>
    <w:rsid w:val="0078432A"/>
    <w:rsid w:val="007845EE"/>
    <w:rsid w:val="007846B3"/>
    <w:rsid w:val="00784C64"/>
    <w:rsid w:val="00785380"/>
    <w:rsid w:val="00785DFD"/>
    <w:rsid w:val="00785F38"/>
    <w:rsid w:val="00787AFD"/>
    <w:rsid w:val="00790587"/>
    <w:rsid w:val="0079073B"/>
    <w:rsid w:val="00791CC0"/>
    <w:rsid w:val="00792189"/>
    <w:rsid w:val="00792F56"/>
    <w:rsid w:val="007941FB"/>
    <w:rsid w:val="0079481A"/>
    <w:rsid w:val="00794830"/>
    <w:rsid w:val="00794A74"/>
    <w:rsid w:val="007953D4"/>
    <w:rsid w:val="00795B32"/>
    <w:rsid w:val="00795F6F"/>
    <w:rsid w:val="007962F0"/>
    <w:rsid w:val="00796CFD"/>
    <w:rsid w:val="00797293"/>
    <w:rsid w:val="007972EB"/>
    <w:rsid w:val="0079798C"/>
    <w:rsid w:val="00797B7A"/>
    <w:rsid w:val="007A00B3"/>
    <w:rsid w:val="007A00CF"/>
    <w:rsid w:val="007A066A"/>
    <w:rsid w:val="007A0F6D"/>
    <w:rsid w:val="007A1204"/>
    <w:rsid w:val="007A1512"/>
    <w:rsid w:val="007A1683"/>
    <w:rsid w:val="007A1835"/>
    <w:rsid w:val="007A2076"/>
    <w:rsid w:val="007A2B16"/>
    <w:rsid w:val="007A2F57"/>
    <w:rsid w:val="007A3750"/>
    <w:rsid w:val="007A3E99"/>
    <w:rsid w:val="007A46CE"/>
    <w:rsid w:val="007A49FA"/>
    <w:rsid w:val="007A4B8C"/>
    <w:rsid w:val="007A5482"/>
    <w:rsid w:val="007A695D"/>
    <w:rsid w:val="007A706F"/>
    <w:rsid w:val="007A7097"/>
    <w:rsid w:val="007A7204"/>
    <w:rsid w:val="007A768C"/>
    <w:rsid w:val="007B00DC"/>
    <w:rsid w:val="007B04DD"/>
    <w:rsid w:val="007B0B7A"/>
    <w:rsid w:val="007B1A51"/>
    <w:rsid w:val="007B2A8E"/>
    <w:rsid w:val="007B3F48"/>
    <w:rsid w:val="007B484F"/>
    <w:rsid w:val="007B4ED8"/>
    <w:rsid w:val="007B5302"/>
    <w:rsid w:val="007B533E"/>
    <w:rsid w:val="007B5385"/>
    <w:rsid w:val="007B539B"/>
    <w:rsid w:val="007B5757"/>
    <w:rsid w:val="007B62D3"/>
    <w:rsid w:val="007B65DF"/>
    <w:rsid w:val="007B699B"/>
    <w:rsid w:val="007B7679"/>
    <w:rsid w:val="007B79B9"/>
    <w:rsid w:val="007B79D3"/>
    <w:rsid w:val="007C0A0A"/>
    <w:rsid w:val="007C0A96"/>
    <w:rsid w:val="007C1424"/>
    <w:rsid w:val="007C1649"/>
    <w:rsid w:val="007C23C7"/>
    <w:rsid w:val="007C2400"/>
    <w:rsid w:val="007C2674"/>
    <w:rsid w:val="007C287A"/>
    <w:rsid w:val="007C29C3"/>
    <w:rsid w:val="007C2D68"/>
    <w:rsid w:val="007C2D86"/>
    <w:rsid w:val="007C32A3"/>
    <w:rsid w:val="007C349B"/>
    <w:rsid w:val="007C4490"/>
    <w:rsid w:val="007C4F71"/>
    <w:rsid w:val="007C506B"/>
    <w:rsid w:val="007C6326"/>
    <w:rsid w:val="007C6CAB"/>
    <w:rsid w:val="007C726A"/>
    <w:rsid w:val="007C78AD"/>
    <w:rsid w:val="007D00C7"/>
    <w:rsid w:val="007D0695"/>
    <w:rsid w:val="007D0778"/>
    <w:rsid w:val="007D09FD"/>
    <w:rsid w:val="007D1A74"/>
    <w:rsid w:val="007D23EC"/>
    <w:rsid w:val="007D2B02"/>
    <w:rsid w:val="007D2E5F"/>
    <w:rsid w:val="007D41C9"/>
    <w:rsid w:val="007D43CE"/>
    <w:rsid w:val="007D495B"/>
    <w:rsid w:val="007D4AB9"/>
    <w:rsid w:val="007D4D62"/>
    <w:rsid w:val="007D54F7"/>
    <w:rsid w:val="007D5C2C"/>
    <w:rsid w:val="007D63CE"/>
    <w:rsid w:val="007D6856"/>
    <w:rsid w:val="007D68D6"/>
    <w:rsid w:val="007D6E7E"/>
    <w:rsid w:val="007D6FC5"/>
    <w:rsid w:val="007D7173"/>
    <w:rsid w:val="007D7AB7"/>
    <w:rsid w:val="007D7F6E"/>
    <w:rsid w:val="007D7F8B"/>
    <w:rsid w:val="007E0340"/>
    <w:rsid w:val="007E0CB2"/>
    <w:rsid w:val="007E0D48"/>
    <w:rsid w:val="007E11D1"/>
    <w:rsid w:val="007E14D0"/>
    <w:rsid w:val="007E14EB"/>
    <w:rsid w:val="007E1CBB"/>
    <w:rsid w:val="007E2057"/>
    <w:rsid w:val="007E2079"/>
    <w:rsid w:val="007E26B5"/>
    <w:rsid w:val="007E2C48"/>
    <w:rsid w:val="007E2EB6"/>
    <w:rsid w:val="007E3AA1"/>
    <w:rsid w:val="007E3D6E"/>
    <w:rsid w:val="007E51F1"/>
    <w:rsid w:val="007E5BAA"/>
    <w:rsid w:val="007E5D72"/>
    <w:rsid w:val="007E6827"/>
    <w:rsid w:val="007E68AF"/>
    <w:rsid w:val="007E6AF0"/>
    <w:rsid w:val="007E6C60"/>
    <w:rsid w:val="007E70D2"/>
    <w:rsid w:val="007E7226"/>
    <w:rsid w:val="007E7335"/>
    <w:rsid w:val="007E77BD"/>
    <w:rsid w:val="007E7BBC"/>
    <w:rsid w:val="007F0437"/>
    <w:rsid w:val="007F105F"/>
    <w:rsid w:val="007F17FE"/>
    <w:rsid w:val="007F2492"/>
    <w:rsid w:val="007F28E4"/>
    <w:rsid w:val="007F3622"/>
    <w:rsid w:val="007F409D"/>
    <w:rsid w:val="007F4F2D"/>
    <w:rsid w:val="007F5191"/>
    <w:rsid w:val="007F6953"/>
    <w:rsid w:val="007F6E6F"/>
    <w:rsid w:val="007F75E5"/>
    <w:rsid w:val="00800907"/>
    <w:rsid w:val="00801205"/>
    <w:rsid w:val="008013F7"/>
    <w:rsid w:val="00801CD4"/>
    <w:rsid w:val="00801D51"/>
    <w:rsid w:val="00801E7F"/>
    <w:rsid w:val="00802B31"/>
    <w:rsid w:val="00802EA4"/>
    <w:rsid w:val="008038E3"/>
    <w:rsid w:val="0080464A"/>
    <w:rsid w:val="0080481C"/>
    <w:rsid w:val="00805331"/>
    <w:rsid w:val="00805928"/>
    <w:rsid w:val="0080654A"/>
    <w:rsid w:val="00806C76"/>
    <w:rsid w:val="008073F4"/>
    <w:rsid w:val="00807B1A"/>
    <w:rsid w:val="00810277"/>
    <w:rsid w:val="00811E03"/>
    <w:rsid w:val="00812535"/>
    <w:rsid w:val="00812966"/>
    <w:rsid w:val="00812D58"/>
    <w:rsid w:val="00812E12"/>
    <w:rsid w:val="008134D4"/>
    <w:rsid w:val="00813745"/>
    <w:rsid w:val="0081465A"/>
    <w:rsid w:val="00815301"/>
    <w:rsid w:val="00815EC5"/>
    <w:rsid w:val="00815FA8"/>
    <w:rsid w:val="00816B1A"/>
    <w:rsid w:val="00816D91"/>
    <w:rsid w:val="00817A81"/>
    <w:rsid w:val="00820C9C"/>
    <w:rsid w:val="008215E0"/>
    <w:rsid w:val="00821AE8"/>
    <w:rsid w:val="00821DDC"/>
    <w:rsid w:val="00821FA8"/>
    <w:rsid w:val="00822190"/>
    <w:rsid w:val="00823AD5"/>
    <w:rsid w:val="00823DDF"/>
    <w:rsid w:val="00823F51"/>
    <w:rsid w:val="008244F2"/>
    <w:rsid w:val="0082468F"/>
    <w:rsid w:val="0082480F"/>
    <w:rsid w:val="00826DE8"/>
    <w:rsid w:val="00827640"/>
    <w:rsid w:val="00827DF9"/>
    <w:rsid w:val="008307A6"/>
    <w:rsid w:val="00830B91"/>
    <w:rsid w:val="00830DAB"/>
    <w:rsid w:val="00831035"/>
    <w:rsid w:val="00831E7C"/>
    <w:rsid w:val="0083200F"/>
    <w:rsid w:val="0083274E"/>
    <w:rsid w:val="008330E2"/>
    <w:rsid w:val="00833154"/>
    <w:rsid w:val="00833176"/>
    <w:rsid w:val="00833261"/>
    <w:rsid w:val="008333C2"/>
    <w:rsid w:val="00833B6E"/>
    <w:rsid w:val="00833D38"/>
    <w:rsid w:val="00834059"/>
    <w:rsid w:val="008341E9"/>
    <w:rsid w:val="00834E16"/>
    <w:rsid w:val="0083513C"/>
    <w:rsid w:val="00835EB2"/>
    <w:rsid w:val="008360DE"/>
    <w:rsid w:val="00836124"/>
    <w:rsid w:val="008362C7"/>
    <w:rsid w:val="00836E63"/>
    <w:rsid w:val="008373C0"/>
    <w:rsid w:val="00837F05"/>
    <w:rsid w:val="008403BA"/>
    <w:rsid w:val="00840C5F"/>
    <w:rsid w:val="0084104C"/>
    <w:rsid w:val="008410A6"/>
    <w:rsid w:val="0084146C"/>
    <w:rsid w:val="00841DBC"/>
    <w:rsid w:val="00841FEC"/>
    <w:rsid w:val="0084218E"/>
    <w:rsid w:val="008423EB"/>
    <w:rsid w:val="00842418"/>
    <w:rsid w:val="0084256A"/>
    <w:rsid w:val="00842CD2"/>
    <w:rsid w:val="0084351C"/>
    <w:rsid w:val="00843609"/>
    <w:rsid w:val="0084388E"/>
    <w:rsid w:val="00843F8B"/>
    <w:rsid w:val="00844A97"/>
    <w:rsid w:val="00844DC6"/>
    <w:rsid w:val="00845037"/>
    <w:rsid w:val="00845A8E"/>
    <w:rsid w:val="00845ABD"/>
    <w:rsid w:val="00845B19"/>
    <w:rsid w:val="00846259"/>
    <w:rsid w:val="008464C4"/>
    <w:rsid w:val="00846788"/>
    <w:rsid w:val="008467FD"/>
    <w:rsid w:val="008468C1"/>
    <w:rsid w:val="00847096"/>
    <w:rsid w:val="00847459"/>
    <w:rsid w:val="008506E2"/>
    <w:rsid w:val="0085070C"/>
    <w:rsid w:val="00850784"/>
    <w:rsid w:val="00850A1D"/>
    <w:rsid w:val="00850C51"/>
    <w:rsid w:val="00850D24"/>
    <w:rsid w:val="008518B8"/>
    <w:rsid w:val="00851F96"/>
    <w:rsid w:val="008520B2"/>
    <w:rsid w:val="00852700"/>
    <w:rsid w:val="00852AEA"/>
    <w:rsid w:val="00852B62"/>
    <w:rsid w:val="00852CDC"/>
    <w:rsid w:val="00853320"/>
    <w:rsid w:val="0085345E"/>
    <w:rsid w:val="008536CB"/>
    <w:rsid w:val="0085386A"/>
    <w:rsid w:val="00854012"/>
    <w:rsid w:val="00854198"/>
    <w:rsid w:val="0085443F"/>
    <w:rsid w:val="008545F0"/>
    <w:rsid w:val="008546E1"/>
    <w:rsid w:val="00854A25"/>
    <w:rsid w:val="0085525B"/>
    <w:rsid w:val="00855D61"/>
    <w:rsid w:val="00855D64"/>
    <w:rsid w:val="0085620A"/>
    <w:rsid w:val="008579C7"/>
    <w:rsid w:val="00857BDB"/>
    <w:rsid w:val="00857EDF"/>
    <w:rsid w:val="0086058B"/>
    <w:rsid w:val="008605E6"/>
    <w:rsid w:val="00860A17"/>
    <w:rsid w:val="0086100D"/>
    <w:rsid w:val="00862070"/>
    <w:rsid w:val="0086230C"/>
    <w:rsid w:val="0086243E"/>
    <w:rsid w:val="00862CA7"/>
    <w:rsid w:val="008631F9"/>
    <w:rsid w:val="008634B3"/>
    <w:rsid w:val="008638A0"/>
    <w:rsid w:val="00863E06"/>
    <w:rsid w:val="00864137"/>
    <w:rsid w:val="00864325"/>
    <w:rsid w:val="00864B62"/>
    <w:rsid w:val="00864EEB"/>
    <w:rsid w:val="00864EF3"/>
    <w:rsid w:val="0086580A"/>
    <w:rsid w:val="00867601"/>
    <w:rsid w:val="00867D35"/>
    <w:rsid w:val="00870241"/>
    <w:rsid w:val="00870730"/>
    <w:rsid w:val="00870851"/>
    <w:rsid w:val="0087096C"/>
    <w:rsid w:val="00871443"/>
    <w:rsid w:val="008714FE"/>
    <w:rsid w:val="0087165B"/>
    <w:rsid w:val="008722BF"/>
    <w:rsid w:val="00872A3B"/>
    <w:rsid w:val="00872E09"/>
    <w:rsid w:val="00872F00"/>
    <w:rsid w:val="0087301E"/>
    <w:rsid w:val="0087322A"/>
    <w:rsid w:val="0087349F"/>
    <w:rsid w:val="00873821"/>
    <w:rsid w:val="00873930"/>
    <w:rsid w:val="0087495F"/>
    <w:rsid w:val="00874EB4"/>
    <w:rsid w:val="00874FBB"/>
    <w:rsid w:val="008750A7"/>
    <w:rsid w:val="00876D61"/>
    <w:rsid w:val="00876EB1"/>
    <w:rsid w:val="008770C5"/>
    <w:rsid w:val="00877AC4"/>
    <w:rsid w:val="00881720"/>
    <w:rsid w:val="00881A34"/>
    <w:rsid w:val="00881C5F"/>
    <w:rsid w:val="00882CD6"/>
    <w:rsid w:val="008831E5"/>
    <w:rsid w:val="008837BA"/>
    <w:rsid w:val="008839A9"/>
    <w:rsid w:val="00883A74"/>
    <w:rsid w:val="0088435C"/>
    <w:rsid w:val="0088497D"/>
    <w:rsid w:val="00884B0E"/>
    <w:rsid w:val="00884B7A"/>
    <w:rsid w:val="008856B1"/>
    <w:rsid w:val="00885A72"/>
    <w:rsid w:val="00885DEB"/>
    <w:rsid w:val="0088613F"/>
    <w:rsid w:val="00886283"/>
    <w:rsid w:val="00886533"/>
    <w:rsid w:val="00886627"/>
    <w:rsid w:val="00886CED"/>
    <w:rsid w:val="00886D41"/>
    <w:rsid w:val="00887CAD"/>
    <w:rsid w:val="00887CF5"/>
    <w:rsid w:val="00887D2F"/>
    <w:rsid w:val="00890917"/>
    <w:rsid w:val="008912D8"/>
    <w:rsid w:val="0089179A"/>
    <w:rsid w:val="00891871"/>
    <w:rsid w:val="0089196E"/>
    <w:rsid w:val="00891A58"/>
    <w:rsid w:val="00892FAE"/>
    <w:rsid w:val="00893133"/>
    <w:rsid w:val="00893DF8"/>
    <w:rsid w:val="00894041"/>
    <w:rsid w:val="008944C5"/>
    <w:rsid w:val="00894787"/>
    <w:rsid w:val="008947A1"/>
    <w:rsid w:val="008948CD"/>
    <w:rsid w:val="0089589D"/>
    <w:rsid w:val="00895E52"/>
    <w:rsid w:val="00896005"/>
    <w:rsid w:val="0089616B"/>
    <w:rsid w:val="00896726"/>
    <w:rsid w:val="008970D7"/>
    <w:rsid w:val="00897663"/>
    <w:rsid w:val="008A00EA"/>
    <w:rsid w:val="008A0593"/>
    <w:rsid w:val="008A0688"/>
    <w:rsid w:val="008A0C47"/>
    <w:rsid w:val="008A0ED6"/>
    <w:rsid w:val="008A1C7A"/>
    <w:rsid w:val="008A2043"/>
    <w:rsid w:val="008A20DF"/>
    <w:rsid w:val="008A20E3"/>
    <w:rsid w:val="008A30DF"/>
    <w:rsid w:val="008A3C7E"/>
    <w:rsid w:val="008A415B"/>
    <w:rsid w:val="008A4340"/>
    <w:rsid w:val="008A4367"/>
    <w:rsid w:val="008A469A"/>
    <w:rsid w:val="008A4942"/>
    <w:rsid w:val="008A58E5"/>
    <w:rsid w:val="008A5C7F"/>
    <w:rsid w:val="008A6125"/>
    <w:rsid w:val="008A63F4"/>
    <w:rsid w:val="008A660F"/>
    <w:rsid w:val="008A75CD"/>
    <w:rsid w:val="008A7B73"/>
    <w:rsid w:val="008A7D24"/>
    <w:rsid w:val="008B0300"/>
    <w:rsid w:val="008B0690"/>
    <w:rsid w:val="008B06B0"/>
    <w:rsid w:val="008B08FD"/>
    <w:rsid w:val="008B0B3F"/>
    <w:rsid w:val="008B146B"/>
    <w:rsid w:val="008B17FC"/>
    <w:rsid w:val="008B1A82"/>
    <w:rsid w:val="008B1AE5"/>
    <w:rsid w:val="008B1AF5"/>
    <w:rsid w:val="008B1D70"/>
    <w:rsid w:val="008B2413"/>
    <w:rsid w:val="008B2DD8"/>
    <w:rsid w:val="008B308F"/>
    <w:rsid w:val="008B3822"/>
    <w:rsid w:val="008B3F17"/>
    <w:rsid w:val="008B409D"/>
    <w:rsid w:val="008B443B"/>
    <w:rsid w:val="008B44D0"/>
    <w:rsid w:val="008B48B0"/>
    <w:rsid w:val="008B4CA6"/>
    <w:rsid w:val="008B5729"/>
    <w:rsid w:val="008B5998"/>
    <w:rsid w:val="008B5B12"/>
    <w:rsid w:val="008B5E9B"/>
    <w:rsid w:val="008B67A1"/>
    <w:rsid w:val="008B6A4F"/>
    <w:rsid w:val="008B79B8"/>
    <w:rsid w:val="008C1CCD"/>
    <w:rsid w:val="008C2081"/>
    <w:rsid w:val="008C2090"/>
    <w:rsid w:val="008C2189"/>
    <w:rsid w:val="008C3667"/>
    <w:rsid w:val="008C3BEE"/>
    <w:rsid w:val="008C3C59"/>
    <w:rsid w:val="008C3C81"/>
    <w:rsid w:val="008C3F35"/>
    <w:rsid w:val="008C4332"/>
    <w:rsid w:val="008C4AC4"/>
    <w:rsid w:val="008C50BD"/>
    <w:rsid w:val="008C57FC"/>
    <w:rsid w:val="008C602C"/>
    <w:rsid w:val="008C6598"/>
    <w:rsid w:val="008C69B0"/>
    <w:rsid w:val="008C6F1F"/>
    <w:rsid w:val="008C7368"/>
    <w:rsid w:val="008C755B"/>
    <w:rsid w:val="008C7626"/>
    <w:rsid w:val="008C7FF2"/>
    <w:rsid w:val="008D0682"/>
    <w:rsid w:val="008D09BF"/>
    <w:rsid w:val="008D09C0"/>
    <w:rsid w:val="008D163D"/>
    <w:rsid w:val="008D18F1"/>
    <w:rsid w:val="008D220B"/>
    <w:rsid w:val="008D242B"/>
    <w:rsid w:val="008D2B97"/>
    <w:rsid w:val="008D3992"/>
    <w:rsid w:val="008D3BB1"/>
    <w:rsid w:val="008D3F63"/>
    <w:rsid w:val="008D4066"/>
    <w:rsid w:val="008D5457"/>
    <w:rsid w:val="008D55D8"/>
    <w:rsid w:val="008D5BBE"/>
    <w:rsid w:val="008D5CE6"/>
    <w:rsid w:val="008D6412"/>
    <w:rsid w:val="008D6605"/>
    <w:rsid w:val="008D7903"/>
    <w:rsid w:val="008E029F"/>
    <w:rsid w:val="008E0322"/>
    <w:rsid w:val="008E0383"/>
    <w:rsid w:val="008E0651"/>
    <w:rsid w:val="008E066B"/>
    <w:rsid w:val="008E09A1"/>
    <w:rsid w:val="008E0A74"/>
    <w:rsid w:val="008E135B"/>
    <w:rsid w:val="008E1D70"/>
    <w:rsid w:val="008E20E5"/>
    <w:rsid w:val="008E244E"/>
    <w:rsid w:val="008E2A64"/>
    <w:rsid w:val="008E2FBF"/>
    <w:rsid w:val="008E30A4"/>
    <w:rsid w:val="008E3B54"/>
    <w:rsid w:val="008E3BB7"/>
    <w:rsid w:val="008E3F29"/>
    <w:rsid w:val="008E49C2"/>
    <w:rsid w:val="008E4DC4"/>
    <w:rsid w:val="008E550C"/>
    <w:rsid w:val="008E5A3E"/>
    <w:rsid w:val="008E5B29"/>
    <w:rsid w:val="008E5ED3"/>
    <w:rsid w:val="008E60ED"/>
    <w:rsid w:val="008E6326"/>
    <w:rsid w:val="008E7085"/>
    <w:rsid w:val="008E7821"/>
    <w:rsid w:val="008F044D"/>
    <w:rsid w:val="008F11F9"/>
    <w:rsid w:val="008F1238"/>
    <w:rsid w:val="008F1921"/>
    <w:rsid w:val="008F1B41"/>
    <w:rsid w:val="008F1C2F"/>
    <w:rsid w:val="008F1CEC"/>
    <w:rsid w:val="008F1EB8"/>
    <w:rsid w:val="008F2633"/>
    <w:rsid w:val="008F279C"/>
    <w:rsid w:val="008F28E0"/>
    <w:rsid w:val="008F2D5B"/>
    <w:rsid w:val="008F30A7"/>
    <w:rsid w:val="008F364F"/>
    <w:rsid w:val="008F4883"/>
    <w:rsid w:val="008F48BD"/>
    <w:rsid w:val="008F4A27"/>
    <w:rsid w:val="008F4E50"/>
    <w:rsid w:val="008F5042"/>
    <w:rsid w:val="008F5583"/>
    <w:rsid w:val="008F6293"/>
    <w:rsid w:val="008F637C"/>
    <w:rsid w:val="008F6780"/>
    <w:rsid w:val="008F691F"/>
    <w:rsid w:val="008F6B8D"/>
    <w:rsid w:val="008F6C06"/>
    <w:rsid w:val="008F718A"/>
    <w:rsid w:val="008F74DF"/>
    <w:rsid w:val="0090010D"/>
    <w:rsid w:val="00900324"/>
    <w:rsid w:val="0090032A"/>
    <w:rsid w:val="009008E2"/>
    <w:rsid w:val="0090099D"/>
    <w:rsid w:val="00900F54"/>
    <w:rsid w:val="00900F73"/>
    <w:rsid w:val="0090108A"/>
    <w:rsid w:val="0090115E"/>
    <w:rsid w:val="00901527"/>
    <w:rsid w:val="0090169A"/>
    <w:rsid w:val="0090196E"/>
    <w:rsid w:val="00901F50"/>
    <w:rsid w:val="00901FFC"/>
    <w:rsid w:val="00902AB9"/>
    <w:rsid w:val="00902BAE"/>
    <w:rsid w:val="00903088"/>
    <w:rsid w:val="0090310B"/>
    <w:rsid w:val="0090329A"/>
    <w:rsid w:val="00903546"/>
    <w:rsid w:val="009036B4"/>
    <w:rsid w:val="00903D24"/>
    <w:rsid w:val="00903E1C"/>
    <w:rsid w:val="00903E9B"/>
    <w:rsid w:val="009046E0"/>
    <w:rsid w:val="00904C1D"/>
    <w:rsid w:val="00905293"/>
    <w:rsid w:val="00905C89"/>
    <w:rsid w:val="00905F64"/>
    <w:rsid w:val="00906433"/>
    <w:rsid w:val="00906E22"/>
    <w:rsid w:val="00907617"/>
    <w:rsid w:val="009102E3"/>
    <w:rsid w:val="00910468"/>
    <w:rsid w:val="009108F4"/>
    <w:rsid w:val="00910E71"/>
    <w:rsid w:val="0091119B"/>
    <w:rsid w:val="00911634"/>
    <w:rsid w:val="00911E0B"/>
    <w:rsid w:val="009120A5"/>
    <w:rsid w:val="0091237D"/>
    <w:rsid w:val="00912836"/>
    <w:rsid w:val="00912980"/>
    <w:rsid w:val="0091328F"/>
    <w:rsid w:val="00913A94"/>
    <w:rsid w:val="009153C2"/>
    <w:rsid w:val="00915610"/>
    <w:rsid w:val="00915F4B"/>
    <w:rsid w:val="009165AA"/>
    <w:rsid w:val="00916993"/>
    <w:rsid w:val="009173A3"/>
    <w:rsid w:val="009176FF"/>
    <w:rsid w:val="009201E8"/>
    <w:rsid w:val="009209B8"/>
    <w:rsid w:val="009212EA"/>
    <w:rsid w:val="00921526"/>
    <w:rsid w:val="00921AF3"/>
    <w:rsid w:val="00922621"/>
    <w:rsid w:val="00922E09"/>
    <w:rsid w:val="00923001"/>
    <w:rsid w:val="00923C42"/>
    <w:rsid w:val="009245FF"/>
    <w:rsid w:val="00924888"/>
    <w:rsid w:val="00924B70"/>
    <w:rsid w:val="00924EAE"/>
    <w:rsid w:val="0092570F"/>
    <w:rsid w:val="009257B9"/>
    <w:rsid w:val="00925805"/>
    <w:rsid w:val="00925E81"/>
    <w:rsid w:val="00926D34"/>
    <w:rsid w:val="00927056"/>
    <w:rsid w:val="009301EE"/>
    <w:rsid w:val="009302AC"/>
    <w:rsid w:val="00930476"/>
    <w:rsid w:val="00930C49"/>
    <w:rsid w:val="00931571"/>
    <w:rsid w:val="009322BC"/>
    <w:rsid w:val="009327DF"/>
    <w:rsid w:val="00932B63"/>
    <w:rsid w:val="00933183"/>
    <w:rsid w:val="00933553"/>
    <w:rsid w:val="00933FFB"/>
    <w:rsid w:val="00934269"/>
    <w:rsid w:val="009344D1"/>
    <w:rsid w:val="00934B30"/>
    <w:rsid w:val="00934FA2"/>
    <w:rsid w:val="009351BD"/>
    <w:rsid w:val="009352C4"/>
    <w:rsid w:val="0093565C"/>
    <w:rsid w:val="0093582A"/>
    <w:rsid w:val="00935912"/>
    <w:rsid w:val="00935A77"/>
    <w:rsid w:val="00935A7B"/>
    <w:rsid w:val="00936183"/>
    <w:rsid w:val="00936346"/>
    <w:rsid w:val="00936B29"/>
    <w:rsid w:val="00936C5A"/>
    <w:rsid w:val="00936CCB"/>
    <w:rsid w:val="0093775B"/>
    <w:rsid w:val="00940B0E"/>
    <w:rsid w:val="00941582"/>
    <w:rsid w:val="009422A7"/>
    <w:rsid w:val="00942737"/>
    <w:rsid w:val="00942D90"/>
    <w:rsid w:val="0094365A"/>
    <w:rsid w:val="009440BD"/>
    <w:rsid w:val="009447AE"/>
    <w:rsid w:val="009449F8"/>
    <w:rsid w:val="009450EB"/>
    <w:rsid w:val="009451CF"/>
    <w:rsid w:val="00945A02"/>
    <w:rsid w:val="00945FA3"/>
    <w:rsid w:val="00946228"/>
    <w:rsid w:val="00946423"/>
    <w:rsid w:val="00946D7D"/>
    <w:rsid w:val="00947ACE"/>
    <w:rsid w:val="00947B54"/>
    <w:rsid w:val="0095016E"/>
    <w:rsid w:val="009502AB"/>
    <w:rsid w:val="0095044A"/>
    <w:rsid w:val="00951DA4"/>
    <w:rsid w:val="00951F04"/>
    <w:rsid w:val="009525DA"/>
    <w:rsid w:val="009527CF"/>
    <w:rsid w:val="00952F82"/>
    <w:rsid w:val="00953047"/>
    <w:rsid w:val="0095332F"/>
    <w:rsid w:val="009538B1"/>
    <w:rsid w:val="00954CC5"/>
    <w:rsid w:val="009556F4"/>
    <w:rsid w:val="00955AC8"/>
    <w:rsid w:val="009568BC"/>
    <w:rsid w:val="00956FCB"/>
    <w:rsid w:val="009570B9"/>
    <w:rsid w:val="00957B7D"/>
    <w:rsid w:val="00957CAB"/>
    <w:rsid w:val="00957E74"/>
    <w:rsid w:val="0096081C"/>
    <w:rsid w:val="00960D3C"/>
    <w:rsid w:val="00960F50"/>
    <w:rsid w:val="00961802"/>
    <w:rsid w:val="009628CD"/>
    <w:rsid w:val="00962C0C"/>
    <w:rsid w:val="009634B8"/>
    <w:rsid w:val="00963D75"/>
    <w:rsid w:val="00963E6F"/>
    <w:rsid w:val="0096441E"/>
    <w:rsid w:val="00964483"/>
    <w:rsid w:val="00964D7D"/>
    <w:rsid w:val="00964E80"/>
    <w:rsid w:val="00965218"/>
    <w:rsid w:val="0096592F"/>
    <w:rsid w:val="009661B3"/>
    <w:rsid w:val="00966276"/>
    <w:rsid w:val="00966861"/>
    <w:rsid w:val="00966902"/>
    <w:rsid w:val="0096718A"/>
    <w:rsid w:val="0096740D"/>
    <w:rsid w:val="00967811"/>
    <w:rsid w:val="00967A48"/>
    <w:rsid w:val="00967CF7"/>
    <w:rsid w:val="00970588"/>
    <w:rsid w:val="0097075E"/>
    <w:rsid w:val="009707C7"/>
    <w:rsid w:val="00970B9D"/>
    <w:rsid w:val="009710C7"/>
    <w:rsid w:val="009714F3"/>
    <w:rsid w:val="00971BC0"/>
    <w:rsid w:val="00972125"/>
    <w:rsid w:val="0097246D"/>
    <w:rsid w:val="00972B3F"/>
    <w:rsid w:val="00972FFE"/>
    <w:rsid w:val="009733EB"/>
    <w:rsid w:val="009740CC"/>
    <w:rsid w:val="009749A1"/>
    <w:rsid w:val="00974AD7"/>
    <w:rsid w:val="00975441"/>
    <w:rsid w:val="009758DE"/>
    <w:rsid w:val="00975F8E"/>
    <w:rsid w:val="0097615F"/>
    <w:rsid w:val="009762C9"/>
    <w:rsid w:val="00976AAE"/>
    <w:rsid w:val="00976C9F"/>
    <w:rsid w:val="0097792E"/>
    <w:rsid w:val="00977A6D"/>
    <w:rsid w:val="00977CB4"/>
    <w:rsid w:val="00980327"/>
    <w:rsid w:val="0098048E"/>
    <w:rsid w:val="00980FC3"/>
    <w:rsid w:val="009814AA"/>
    <w:rsid w:val="0098163C"/>
    <w:rsid w:val="00981738"/>
    <w:rsid w:val="0098185D"/>
    <w:rsid w:val="009818D1"/>
    <w:rsid w:val="00981D57"/>
    <w:rsid w:val="00982431"/>
    <w:rsid w:val="009828CE"/>
    <w:rsid w:val="00982CDE"/>
    <w:rsid w:val="00982FC2"/>
    <w:rsid w:val="00983D45"/>
    <w:rsid w:val="00984126"/>
    <w:rsid w:val="00985BBF"/>
    <w:rsid w:val="00985EF0"/>
    <w:rsid w:val="009866BB"/>
    <w:rsid w:val="00986BA6"/>
    <w:rsid w:val="00987407"/>
    <w:rsid w:val="00990153"/>
    <w:rsid w:val="00990388"/>
    <w:rsid w:val="00990644"/>
    <w:rsid w:val="009909C6"/>
    <w:rsid w:val="00991745"/>
    <w:rsid w:val="00991931"/>
    <w:rsid w:val="00991A7C"/>
    <w:rsid w:val="00991BCC"/>
    <w:rsid w:val="00991F5B"/>
    <w:rsid w:val="009922B6"/>
    <w:rsid w:val="00992862"/>
    <w:rsid w:val="00992D95"/>
    <w:rsid w:val="00993353"/>
    <w:rsid w:val="00993474"/>
    <w:rsid w:val="009938E1"/>
    <w:rsid w:val="009940B1"/>
    <w:rsid w:val="0099468B"/>
    <w:rsid w:val="00994825"/>
    <w:rsid w:val="00994E4C"/>
    <w:rsid w:val="00995766"/>
    <w:rsid w:val="00995801"/>
    <w:rsid w:val="009962D8"/>
    <w:rsid w:val="009965C6"/>
    <w:rsid w:val="0099675D"/>
    <w:rsid w:val="00997765"/>
    <w:rsid w:val="009978A1"/>
    <w:rsid w:val="009A0E7F"/>
    <w:rsid w:val="009A1DE0"/>
    <w:rsid w:val="009A26B5"/>
    <w:rsid w:val="009A296B"/>
    <w:rsid w:val="009A297C"/>
    <w:rsid w:val="009A2A21"/>
    <w:rsid w:val="009A2AB6"/>
    <w:rsid w:val="009A2E10"/>
    <w:rsid w:val="009A2F91"/>
    <w:rsid w:val="009A30D6"/>
    <w:rsid w:val="009A31F8"/>
    <w:rsid w:val="009A3624"/>
    <w:rsid w:val="009A3EE3"/>
    <w:rsid w:val="009A4092"/>
    <w:rsid w:val="009A4A4E"/>
    <w:rsid w:val="009A4A52"/>
    <w:rsid w:val="009A4B8D"/>
    <w:rsid w:val="009A5641"/>
    <w:rsid w:val="009A5881"/>
    <w:rsid w:val="009A661F"/>
    <w:rsid w:val="009A6C75"/>
    <w:rsid w:val="009A6CD5"/>
    <w:rsid w:val="009A6EC4"/>
    <w:rsid w:val="009A739C"/>
    <w:rsid w:val="009B01F6"/>
    <w:rsid w:val="009B1A0B"/>
    <w:rsid w:val="009B1EEC"/>
    <w:rsid w:val="009B203F"/>
    <w:rsid w:val="009B2067"/>
    <w:rsid w:val="009B206E"/>
    <w:rsid w:val="009B2336"/>
    <w:rsid w:val="009B244F"/>
    <w:rsid w:val="009B26E9"/>
    <w:rsid w:val="009B2B0F"/>
    <w:rsid w:val="009B2CAC"/>
    <w:rsid w:val="009B2FFB"/>
    <w:rsid w:val="009B3475"/>
    <w:rsid w:val="009B348A"/>
    <w:rsid w:val="009B386B"/>
    <w:rsid w:val="009B3CFF"/>
    <w:rsid w:val="009B3F62"/>
    <w:rsid w:val="009B4155"/>
    <w:rsid w:val="009B427D"/>
    <w:rsid w:val="009B44AF"/>
    <w:rsid w:val="009B4BCB"/>
    <w:rsid w:val="009B60D7"/>
    <w:rsid w:val="009B6428"/>
    <w:rsid w:val="009B6D54"/>
    <w:rsid w:val="009B6D70"/>
    <w:rsid w:val="009B74E4"/>
    <w:rsid w:val="009B78AD"/>
    <w:rsid w:val="009B7E29"/>
    <w:rsid w:val="009C0236"/>
    <w:rsid w:val="009C03B5"/>
    <w:rsid w:val="009C05E4"/>
    <w:rsid w:val="009C0CA0"/>
    <w:rsid w:val="009C15E2"/>
    <w:rsid w:val="009C2072"/>
    <w:rsid w:val="009C26E2"/>
    <w:rsid w:val="009C29A4"/>
    <w:rsid w:val="009C2A11"/>
    <w:rsid w:val="009C2FC7"/>
    <w:rsid w:val="009C305F"/>
    <w:rsid w:val="009C4C3E"/>
    <w:rsid w:val="009C4E9E"/>
    <w:rsid w:val="009C5653"/>
    <w:rsid w:val="009C595E"/>
    <w:rsid w:val="009C5AC7"/>
    <w:rsid w:val="009C66B4"/>
    <w:rsid w:val="009C6E7D"/>
    <w:rsid w:val="009C70B3"/>
    <w:rsid w:val="009C7A1F"/>
    <w:rsid w:val="009C7D7B"/>
    <w:rsid w:val="009C7EE4"/>
    <w:rsid w:val="009D05CF"/>
    <w:rsid w:val="009D07A0"/>
    <w:rsid w:val="009D0A12"/>
    <w:rsid w:val="009D1212"/>
    <w:rsid w:val="009D1932"/>
    <w:rsid w:val="009D335C"/>
    <w:rsid w:val="009D3C12"/>
    <w:rsid w:val="009D496B"/>
    <w:rsid w:val="009D4AE1"/>
    <w:rsid w:val="009D51C3"/>
    <w:rsid w:val="009D59DC"/>
    <w:rsid w:val="009D6589"/>
    <w:rsid w:val="009D68D7"/>
    <w:rsid w:val="009D6FF6"/>
    <w:rsid w:val="009E0B72"/>
    <w:rsid w:val="009E0DEC"/>
    <w:rsid w:val="009E1109"/>
    <w:rsid w:val="009E1CED"/>
    <w:rsid w:val="009E1FBD"/>
    <w:rsid w:val="009E240E"/>
    <w:rsid w:val="009E2450"/>
    <w:rsid w:val="009E24D4"/>
    <w:rsid w:val="009E32AC"/>
    <w:rsid w:val="009E342D"/>
    <w:rsid w:val="009E3571"/>
    <w:rsid w:val="009E3671"/>
    <w:rsid w:val="009E4041"/>
    <w:rsid w:val="009E440B"/>
    <w:rsid w:val="009E55AE"/>
    <w:rsid w:val="009E5CEB"/>
    <w:rsid w:val="009E5D6B"/>
    <w:rsid w:val="009E613E"/>
    <w:rsid w:val="009E631B"/>
    <w:rsid w:val="009E6556"/>
    <w:rsid w:val="009E6972"/>
    <w:rsid w:val="009E7A90"/>
    <w:rsid w:val="009E7F26"/>
    <w:rsid w:val="009F0DB8"/>
    <w:rsid w:val="009F0DE0"/>
    <w:rsid w:val="009F267F"/>
    <w:rsid w:val="009F3A0F"/>
    <w:rsid w:val="009F3F00"/>
    <w:rsid w:val="009F4204"/>
    <w:rsid w:val="009F45FE"/>
    <w:rsid w:val="009F56D1"/>
    <w:rsid w:val="009F598B"/>
    <w:rsid w:val="009F5B35"/>
    <w:rsid w:val="009F5F15"/>
    <w:rsid w:val="009F6707"/>
    <w:rsid w:val="009F6957"/>
    <w:rsid w:val="009F69BC"/>
    <w:rsid w:val="009F6B6E"/>
    <w:rsid w:val="009F6DEB"/>
    <w:rsid w:val="009F7C59"/>
    <w:rsid w:val="00A0009B"/>
    <w:rsid w:val="00A00655"/>
    <w:rsid w:val="00A0068E"/>
    <w:rsid w:val="00A00D3A"/>
    <w:rsid w:val="00A020E8"/>
    <w:rsid w:val="00A036F4"/>
    <w:rsid w:val="00A03DE0"/>
    <w:rsid w:val="00A046C3"/>
    <w:rsid w:val="00A051A4"/>
    <w:rsid w:val="00A052C4"/>
    <w:rsid w:val="00A0536A"/>
    <w:rsid w:val="00A054C2"/>
    <w:rsid w:val="00A05BF2"/>
    <w:rsid w:val="00A071CC"/>
    <w:rsid w:val="00A071F7"/>
    <w:rsid w:val="00A07573"/>
    <w:rsid w:val="00A075D0"/>
    <w:rsid w:val="00A07B09"/>
    <w:rsid w:val="00A07C4F"/>
    <w:rsid w:val="00A07C59"/>
    <w:rsid w:val="00A10D9F"/>
    <w:rsid w:val="00A12AE9"/>
    <w:rsid w:val="00A12B98"/>
    <w:rsid w:val="00A12C06"/>
    <w:rsid w:val="00A12F58"/>
    <w:rsid w:val="00A13817"/>
    <w:rsid w:val="00A139B4"/>
    <w:rsid w:val="00A139F7"/>
    <w:rsid w:val="00A13CB0"/>
    <w:rsid w:val="00A147C1"/>
    <w:rsid w:val="00A14F78"/>
    <w:rsid w:val="00A15223"/>
    <w:rsid w:val="00A1548A"/>
    <w:rsid w:val="00A15C13"/>
    <w:rsid w:val="00A15D40"/>
    <w:rsid w:val="00A161B6"/>
    <w:rsid w:val="00A16896"/>
    <w:rsid w:val="00A171E1"/>
    <w:rsid w:val="00A1731F"/>
    <w:rsid w:val="00A2022C"/>
    <w:rsid w:val="00A2045E"/>
    <w:rsid w:val="00A20E11"/>
    <w:rsid w:val="00A20ED4"/>
    <w:rsid w:val="00A21D15"/>
    <w:rsid w:val="00A21E99"/>
    <w:rsid w:val="00A21EF8"/>
    <w:rsid w:val="00A225AD"/>
    <w:rsid w:val="00A228BB"/>
    <w:rsid w:val="00A22A41"/>
    <w:rsid w:val="00A22C1A"/>
    <w:rsid w:val="00A22E6F"/>
    <w:rsid w:val="00A231B8"/>
    <w:rsid w:val="00A23778"/>
    <w:rsid w:val="00A238D2"/>
    <w:rsid w:val="00A23A65"/>
    <w:rsid w:val="00A23C90"/>
    <w:rsid w:val="00A2444C"/>
    <w:rsid w:val="00A246A0"/>
    <w:rsid w:val="00A2472C"/>
    <w:rsid w:val="00A24EDA"/>
    <w:rsid w:val="00A251BE"/>
    <w:rsid w:val="00A252F8"/>
    <w:rsid w:val="00A26F1E"/>
    <w:rsid w:val="00A272FA"/>
    <w:rsid w:val="00A275F2"/>
    <w:rsid w:val="00A304EE"/>
    <w:rsid w:val="00A307A5"/>
    <w:rsid w:val="00A309F9"/>
    <w:rsid w:val="00A30A66"/>
    <w:rsid w:val="00A30E85"/>
    <w:rsid w:val="00A31030"/>
    <w:rsid w:val="00A31CFA"/>
    <w:rsid w:val="00A3243E"/>
    <w:rsid w:val="00A32819"/>
    <w:rsid w:val="00A32B6C"/>
    <w:rsid w:val="00A3303C"/>
    <w:rsid w:val="00A338E6"/>
    <w:rsid w:val="00A342D5"/>
    <w:rsid w:val="00A3439E"/>
    <w:rsid w:val="00A34B0D"/>
    <w:rsid w:val="00A3517F"/>
    <w:rsid w:val="00A352B5"/>
    <w:rsid w:val="00A35601"/>
    <w:rsid w:val="00A356AE"/>
    <w:rsid w:val="00A364B9"/>
    <w:rsid w:val="00A366D2"/>
    <w:rsid w:val="00A368AA"/>
    <w:rsid w:val="00A36923"/>
    <w:rsid w:val="00A36DB7"/>
    <w:rsid w:val="00A36FD7"/>
    <w:rsid w:val="00A37887"/>
    <w:rsid w:val="00A37B2E"/>
    <w:rsid w:val="00A37D06"/>
    <w:rsid w:val="00A40930"/>
    <w:rsid w:val="00A409BA"/>
    <w:rsid w:val="00A40A80"/>
    <w:rsid w:val="00A40DA6"/>
    <w:rsid w:val="00A412DD"/>
    <w:rsid w:val="00A41E46"/>
    <w:rsid w:val="00A41ED6"/>
    <w:rsid w:val="00A422EE"/>
    <w:rsid w:val="00A427D4"/>
    <w:rsid w:val="00A42A24"/>
    <w:rsid w:val="00A42E68"/>
    <w:rsid w:val="00A43590"/>
    <w:rsid w:val="00A443CF"/>
    <w:rsid w:val="00A44427"/>
    <w:rsid w:val="00A44683"/>
    <w:rsid w:val="00A44E9D"/>
    <w:rsid w:val="00A45459"/>
    <w:rsid w:val="00A455FE"/>
    <w:rsid w:val="00A4613A"/>
    <w:rsid w:val="00A46716"/>
    <w:rsid w:val="00A46BBA"/>
    <w:rsid w:val="00A46E22"/>
    <w:rsid w:val="00A471B3"/>
    <w:rsid w:val="00A47200"/>
    <w:rsid w:val="00A47290"/>
    <w:rsid w:val="00A5037B"/>
    <w:rsid w:val="00A506F2"/>
    <w:rsid w:val="00A50DE1"/>
    <w:rsid w:val="00A50E8F"/>
    <w:rsid w:val="00A51313"/>
    <w:rsid w:val="00A51511"/>
    <w:rsid w:val="00A51672"/>
    <w:rsid w:val="00A51C1C"/>
    <w:rsid w:val="00A5221D"/>
    <w:rsid w:val="00A52A1A"/>
    <w:rsid w:val="00A52F47"/>
    <w:rsid w:val="00A53491"/>
    <w:rsid w:val="00A53591"/>
    <w:rsid w:val="00A55F8C"/>
    <w:rsid w:val="00A56128"/>
    <w:rsid w:val="00A57B15"/>
    <w:rsid w:val="00A57DED"/>
    <w:rsid w:val="00A57E74"/>
    <w:rsid w:val="00A6101F"/>
    <w:rsid w:val="00A62437"/>
    <w:rsid w:val="00A6252C"/>
    <w:rsid w:val="00A6273E"/>
    <w:rsid w:val="00A63FF3"/>
    <w:rsid w:val="00A64497"/>
    <w:rsid w:val="00A6497A"/>
    <w:rsid w:val="00A64CAA"/>
    <w:rsid w:val="00A64D9D"/>
    <w:rsid w:val="00A6602D"/>
    <w:rsid w:val="00A6698B"/>
    <w:rsid w:val="00A673C7"/>
    <w:rsid w:val="00A67608"/>
    <w:rsid w:val="00A70507"/>
    <w:rsid w:val="00A708CC"/>
    <w:rsid w:val="00A70C33"/>
    <w:rsid w:val="00A71660"/>
    <w:rsid w:val="00A718CF"/>
    <w:rsid w:val="00A71AAC"/>
    <w:rsid w:val="00A7235C"/>
    <w:rsid w:val="00A72BDD"/>
    <w:rsid w:val="00A72D75"/>
    <w:rsid w:val="00A73F66"/>
    <w:rsid w:val="00A74302"/>
    <w:rsid w:val="00A74811"/>
    <w:rsid w:val="00A74C50"/>
    <w:rsid w:val="00A7569D"/>
    <w:rsid w:val="00A76026"/>
    <w:rsid w:val="00A76BA8"/>
    <w:rsid w:val="00A776BA"/>
    <w:rsid w:val="00A7787C"/>
    <w:rsid w:val="00A77AAA"/>
    <w:rsid w:val="00A77B47"/>
    <w:rsid w:val="00A77BEC"/>
    <w:rsid w:val="00A801C5"/>
    <w:rsid w:val="00A804FD"/>
    <w:rsid w:val="00A80509"/>
    <w:rsid w:val="00A80A78"/>
    <w:rsid w:val="00A80E4A"/>
    <w:rsid w:val="00A8113D"/>
    <w:rsid w:val="00A8117E"/>
    <w:rsid w:val="00A81874"/>
    <w:rsid w:val="00A8290B"/>
    <w:rsid w:val="00A82CAB"/>
    <w:rsid w:val="00A83195"/>
    <w:rsid w:val="00A8320B"/>
    <w:rsid w:val="00A83D2E"/>
    <w:rsid w:val="00A8466A"/>
    <w:rsid w:val="00A8493E"/>
    <w:rsid w:val="00A84F73"/>
    <w:rsid w:val="00A85127"/>
    <w:rsid w:val="00A852D3"/>
    <w:rsid w:val="00A860AB"/>
    <w:rsid w:val="00A86285"/>
    <w:rsid w:val="00A86C10"/>
    <w:rsid w:val="00A90909"/>
    <w:rsid w:val="00A90DA2"/>
    <w:rsid w:val="00A91FB3"/>
    <w:rsid w:val="00A92ADD"/>
    <w:rsid w:val="00A9342D"/>
    <w:rsid w:val="00A93448"/>
    <w:rsid w:val="00A9361E"/>
    <w:rsid w:val="00A93E32"/>
    <w:rsid w:val="00A93FAD"/>
    <w:rsid w:val="00A941C9"/>
    <w:rsid w:val="00A94439"/>
    <w:rsid w:val="00A9456D"/>
    <w:rsid w:val="00A945CE"/>
    <w:rsid w:val="00A94927"/>
    <w:rsid w:val="00A95F4E"/>
    <w:rsid w:val="00A95F91"/>
    <w:rsid w:val="00A960E9"/>
    <w:rsid w:val="00A9617E"/>
    <w:rsid w:val="00A966EE"/>
    <w:rsid w:val="00A967A4"/>
    <w:rsid w:val="00A96900"/>
    <w:rsid w:val="00A96DE7"/>
    <w:rsid w:val="00A96FE3"/>
    <w:rsid w:val="00A974ED"/>
    <w:rsid w:val="00A97503"/>
    <w:rsid w:val="00A97BD8"/>
    <w:rsid w:val="00AA00C9"/>
    <w:rsid w:val="00AA02D1"/>
    <w:rsid w:val="00AA0833"/>
    <w:rsid w:val="00AA08D0"/>
    <w:rsid w:val="00AA0E0D"/>
    <w:rsid w:val="00AA0E21"/>
    <w:rsid w:val="00AA1264"/>
    <w:rsid w:val="00AA1715"/>
    <w:rsid w:val="00AA2C90"/>
    <w:rsid w:val="00AA3287"/>
    <w:rsid w:val="00AA35C1"/>
    <w:rsid w:val="00AA3EE6"/>
    <w:rsid w:val="00AA41FA"/>
    <w:rsid w:val="00AA50A6"/>
    <w:rsid w:val="00AA515A"/>
    <w:rsid w:val="00AA570A"/>
    <w:rsid w:val="00AA5EF9"/>
    <w:rsid w:val="00AA6F1A"/>
    <w:rsid w:val="00AA7F2E"/>
    <w:rsid w:val="00AB0273"/>
    <w:rsid w:val="00AB058A"/>
    <w:rsid w:val="00AB0B28"/>
    <w:rsid w:val="00AB0EA4"/>
    <w:rsid w:val="00AB1470"/>
    <w:rsid w:val="00AB177F"/>
    <w:rsid w:val="00AB178B"/>
    <w:rsid w:val="00AB27CB"/>
    <w:rsid w:val="00AB2F6D"/>
    <w:rsid w:val="00AB316A"/>
    <w:rsid w:val="00AB3533"/>
    <w:rsid w:val="00AB3659"/>
    <w:rsid w:val="00AB3D9F"/>
    <w:rsid w:val="00AB3E88"/>
    <w:rsid w:val="00AB3FAE"/>
    <w:rsid w:val="00AB42E5"/>
    <w:rsid w:val="00AB4CC2"/>
    <w:rsid w:val="00AB521E"/>
    <w:rsid w:val="00AB53E7"/>
    <w:rsid w:val="00AB5954"/>
    <w:rsid w:val="00AB5FB4"/>
    <w:rsid w:val="00AB6128"/>
    <w:rsid w:val="00AB6587"/>
    <w:rsid w:val="00AB65B3"/>
    <w:rsid w:val="00AB6694"/>
    <w:rsid w:val="00AB6FE3"/>
    <w:rsid w:val="00AB737B"/>
    <w:rsid w:val="00AB75F3"/>
    <w:rsid w:val="00AC134A"/>
    <w:rsid w:val="00AC1D75"/>
    <w:rsid w:val="00AC27C3"/>
    <w:rsid w:val="00AC293E"/>
    <w:rsid w:val="00AC2941"/>
    <w:rsid w:val="00AC30AC"/>
    <w:rsid w:val="00AC334E"/>
    <w:rsid w:val="00AC3903"/>
    <w:rsid w:val="00AC3B02"/>
    <w:rsid w:val="00AC401E"/>
    <w:rsid w:val="00AC4181"/>
    <w:rsid w:val="00AC42D6"/>
    <w:rsid w:val="00AC43E2"/>
    <w:rsid w:val="00AC497A"/>
    <w:rsid w:val="00AC4CBE"/>
    <w:rsid w:val="00AC4F96"/>
    <w:rsid w:val="00AC5F30"/>
    <w:rsid w:val="00AC6C28"/>
    <w:rsid w:val="00AC78D2"/>
    <w:rsid w:val="00AD0226"/>
    <w:rsid w:val="00AD0449"/>
    <w:rsid w:val="00AD1076"/>
    <w:rsid w:val="00AD16F5"/>
    <w:rsid w:val="00AD1D5F"/>
    <w:rsid w:val="00AD294C"/>
    <w:rsid w:val="00AD3819"/>
    <w:rsid w:val="00AD43A0"/>
    <w:rsid w:val="00AD455A"/>
    <w:rsid w:val="00AD45F7"/>
    <w:rsid w:val="00AD47B4"/>
    <w:rsid w:val="00AD4823"/>
    <w:rsid w:val="00AD4A1C"/>
    <w:rsid w:val="00AD5441"/>
    <w:rsid w:val="00AD5443"/>
    <w:rsid w:val="00AD5681"/>
    <w:rsid w:val="00AD5775"/>
    <w:rsid w:val="00AD588C"/>
    <w:rsid w:val="00AD6AF7"/>
    <w:rsid w:val="00AD7330"/>
    <w:rsid w:val="00AE006C"/>
    <w:rsid w:val="00AE09D6"/>
    <w:rsid w:val="00AE0F44"/>
    <w:rsid w:val="00AE191D"/>
    <w:rsid w:val="00AE2560"/>
    <w:rsid w:val="00AE2ABA"/>
    <w:rsid w:val="00AE2DDF"/>
    <w:rsid w:val="00AE3394"/>
    <w:rsid w:val="00AE3417"/>
    <w:rsid w:val="00AE397D"/>
    <w:rsid w:val="00AE3C84"/>
    <w:rsid w:val="00AE43B1"/>
    <w:rsid w:val="00AE462F"/>
    <w:rsid w:val="00AE5C01"/>
    <w:rsid w:val="00AE68FE"/>
    <w:rsid w:val="00AE70A1"/>
    <w:rsid w:val="00AE71D6"/>
    <w:rsid w:val="00AE75E3"/>
    <w:rsid w:val="00AE76AA"/>
    <w:rsid w:val="00AE7CDE"/>
    <w:rsid w:val="00AE7F56"/>
    <w:rsid w:val="00AF05D5"/>
    <w:rsid w:val="00AF061A"/>
    <w:rsid w:val="00AF07DB"/>
    <w:rsid w:val="00AF12C7"/>
    <w:rsid w:val="00AF13E2"/>
    <w:rsid w:val="00AF13F4"/>
    <w:rsid w:val="00AF214F"/>
    <w:rsid w:val="00AF32FA"/>
    <w:rsid w:val="00AF3BE6"/>
    <w:rsid w:val="00AF45F8"/>
    <w:rsid w:val="00AF4A5C"/>
    <w:rsid w:val="00AF4D06"/>
    <w:rsid w:val="00AF4E2F"/>
    <w:rsid w:val="00AF5287"/>
    <w:rsid w:val="00AF535F"/>
    <w:rsid w:val="00AF5DB4"/>
    <w:rsid w:val="00AF5FFF"/>
    <w:rsid w:val="00AF6A22"/>
    <w:rsid w:val="00AF7096"/>
    <w:rsid w:val="00AF7480"/>
    <w:rsid w:val="00AF7E3A"/>
    <w:rsid w:val="00AF7EA6"/>
    <w:rsid w:val="00B0084A"/>
    <w:rsid w:val="00B0144C"/>
    <w:rsid w:val="00B01649"/>
    <w:rsid w:val="00B01969"/>
    <w:rsid w:val="00B0202A"/>
    <w:rsid w:val="00B020D5"/>
    <w:rsid w:val="00B02D88"/>
    <w:rsid w:val="00B02E33"/>
    <w:rsid w:val="00B0323D"/>
    <w:rsid w:val="00B03D51"/>
    <w:rsid w:val="00B0407A"/>
    <w:rsid w:val="00B04BDF"/>
    <w:rsid w:val="00B04C77"/>
    <w:rsid w:val="00B04CBC"/>
    <w:rsid w:val="00B04CEA"/>
    <w:rsid w:val="00B04D31"/>
    <w:rsid w:val="00B05BEA"/>
    <w:rsid w:val="00B05BF7"/>
    <w:rsid w:val="00B06653"/>
    <w:rsid w:val="00B068CB"/>
    <w:rsid w:val="00B06A2B"/>
    <w:rsid w:val="00B075EA"/>
    <w:rsid w:val="00B07B00"/>
    <w:rsid w:val="00B07B57"/>
    <w:rsid w:val="00B07E20"/>
    <w:rsid w:val="00B10163"/>
    <w:rsid w:val="00B10501"/>
    <w:rsid w:val="00B111BB"/>
    <w:rsid w:val="00B114F5"/>
    <w:rsid w:val="00B116BD"/>
    <w:rsid w:val="00B11AEF"/>
    <w:rsid w:val="00B11DD7"/>
    <w:rsid w:val="00B11E13"/>
    <w:rsid w:val="00B11FFC"/>
    <w:rsid w:val="00B1270F"/>
    <w:rsid w:val="00B127B7"/>
    <w:rsid w:val="00B13F2C"/>
    <w:rsid w:val="00B14EF3"/>
    <w:rsid w:val="00B15105"/>
    <w:rsid w:val="00B1566F"/>
    <w:rsid w:val="00B15DA6"/>
    <w:rsid w:val="00B16370"/>
    <w:rsid w:val="00B16755"/>
    <w:rsid w:val="00B1681E"/>
    <w:rsid w:val="00B16EDD"/>
    <w:rsid w:val="00B1736D"/>
    <w:rsid w:val="00B20D22"/>
    <w:rsid w:val="00B20E8D"/>
    <w:rsid w:val="00B212B0"/>
    <w:rsid w:val="00B215DD"/>
    <w:rsid w:val="00B21D8A"/>
    <w:rsid w:val="00B2284C"/>
    <w:rsid w:val="00B2317A"/>
    <w:rsid w:val="00B23582"/>
    <w:rsid w:val="00B23653"/>
    <w:rsid w:val="00B23C3B"/>
    <w:rsid w:val="00B24A75"/>
    <w:rsid w:val="00B24D84"/>
    <w:rsid w:val="00B251E7"/>
    <w:rsid w:val="00B25C8B"/>
    <w:rsid w:val="00B25E3B"/>
    <w:rsid w:val="00B273AE"/>
    <w:rsid w:val="00B278CF"/>
    <w:rsid w:val="00B27B35"/>
    <w:rsid w:val="00B30758"/>
    <w:rsid w:val="00B307D9"/>
    <w:rsid w:val="00B30AF2"/>
    <w:rsid w:val="00B311FA"/>
    <w:rsid w:val="00B313A6"/>
    <w:rsid w:val="00B313AC"/>
    <w:rsid w:val="00B315B4"/>
    <w:rsid w:val="00B31E04"/>
    <w:rsid w:val="00B32054"/>
    <w:rsid w:val="00B32468"/>
    <w:rsid w:val="00B3339C"/>
    <w:rsid w:val="00B338D9"/>
    <w:rsid w:val="00B3434E"/>
    <w:rsid w:val="00B34741"/>
    <w:rsid w:val="00B3492D"/>
    <w:rsid w:val="00B350A1"/>
    <w:rsid w:val="00B35352"/>
    <w:rsid w:val="00B35B22"/>
    <w:rsid w:val="00B363F3"/>
    <w:rsid w:val="00B371C1"/>
    <w:rsid w:val="00B37538"/>
    <w:rsid w:val="00B37945"/>
    <w:rsid w:val="00B40118"/>
    <w:rsid w:val="00B40221"/>
    <w:rsid w:val="00B403A2"/>
    <w:rsid w:val="00B40797"/>
    <w:rsid w:val="00B41171"/>
    <w:rsid w:val="00B41617"/>
    <w:rsid w:val="00B41A8C"/>
    <w:rsid w:val="00B424F5"/>
    <w:rsid w:val="00B4266C"/>
    <w:rsid w:val="00B4282C"/>
    <w:rsid w:val="00B4295F"/>
    <w:rsid w:val="00B42D5E"/>
    <w:rsid w:val="00B42E65"/>
    <w:rsid w:val="00B430D6"/>
    <w:rsid w:val="00B432D8"/>
    <w:rsid w:val="00B43506"/>
    <w:rsid w:val="00B43ADB"/>
    <w:rsid w:val="00B43D38"/>
    <w:rsid w:val="00B442B8"/>
    <w:rsid w:val="00B4460B"/>
    <w:rsid w:val="00B448C7"/>
    <w:rsid w:val="00B44C46"/>
    <w:rsid w:val="00B4520F"/>
    <w:rsid w:val="00B4542A"/>
    <w:rsid w:val="00B4546E"/>
    <w:rsid w:val="00B45935"/>
    <w:rsid w:val="00B45A76"/>
    <w:rsid w:val="00B45F67"/>
    <w:rsid w:val="00B4603E"/>
    <w:rsid w:val="00B46C15"/>
    <w:rsid w:val="00B476C7"/>
    <w:rsid w:val="00B503FB"/>
    <w:rsid w:val="00B50B3E"/>
    <w:rsid w:val="00B512A2"/>
    <w:rsid w:val="00B51793"/>
    <w:rsid w:val="00B5195E"/>
    <w:rsid w:val="00B51AE1"/>
    <w:rsid w:val="00B51CD2"/>
    <w:rsid w:val="00B5204A"/>
    <w:rsid w:val="00B52823"/>
    <w:rsid w:val="00B53440"/>
    <w:rsid w:val="00B53B48"/>
    <w:rsid w:val="00B54044"/>
    <w:rsid w:val="00B5572E"/>
    <w:rsid w:val="00B5578A"/>
    <w:rsid w:val="00B55A16"/>
    <w:rsid w:val="00B56107"/>
    <w:rsid w:val="00B5654B"/>
    <w:rsid w:val="00B56729"/>
    <w:rsid w:val="00B569C7"/>
    <w:rsid w:val="00B57BD7"/>
    <w:rsid w:val="00B57C8A"/>
    <w:rsid w:val="00B606E3"/>
    <w:rsid w:val="00B60AAC"/>
    <w:rsid w:val="00B60B6F"/>
    <w:rsid w:val="00B60EDA"/>
    <w:rsid w:val="00B60FC7"/>
    <w:rsid w:val="00B61359"/>
    <w:rsid w:val="00B616E3"/>
    <w:rsid w:val="00B62610"/>
    <w:rsid w:val="00B63226"/>
    <w:rsid w:val="00B63871"/>
    <w:rsid w:val="00B63C1E"/>
    <w:rsid w:val="00B6434B"/>
    <w:rsid w:val="00B64464"/>
    <w:rsid w:val="00B64C74"/>
    <w:rsid w:val="00B65251"/>
    <w:rsid w:val="00B66619"/>
    <w:rsid w:val="00B66A3D"/>
    <w:rsid w:val="00B67244"/>
    <w:rsid w:val="00B67279"/>
    <w:rsid w:val="00B67782"/>
    <w:rsid w:val="00B677A6"/>
    <w:rsid w:val="00B67891"/>
    <w:rsid w:val="00B67D27"/>
    <w:rsid w:val="00B70186"/>
    <w:rsid w:val="00B70C0E"/>
    <w:rsid w:val="00B70DB0"/>
    <w:rsid w:val="00B70EC8"/>
    <w:rsid w:val="00B713C1"/>
    <w:rsid w:val="00B718A5"/>
    <w:rsid w:val="00B71984"/>
    <w:rsid w:val="00B71E5C"/>
    <w:rsid w:val="00B72743"/>
    <w:rsid w:val="00B72E14"/>
    <w:rsid w:val="00B72E86"/>
    <w:rsid w:val="00B732C3"/>
    <w:rsid w:val="00B736FF"/>
    <w:rsid w:val="00B73EFD"/>
    <w:rsid w:val="00B73FB1"/>
    <w:rsid w:val="00B7465C"/>
    <w:rsid w:val="00B74C4B"/>
    <w:rsid w:val="00B74CE6"/>
    <w:rsid w:val="00B74FE7"/>
    <w:rsid w:val="00B75927"/>
    <w:rsid w:val="00B75944"/>
    <w:rsid w:val="00B759E8"/>
    <w:rsid w:val="00B75B77"/>
    <w:rsid w:val="00B75C6A"/>
    <w:rsid w:val="00B7678B"/>
    <w:rsid w:val="00B76F12"/>
    <w:rsid w:val="00B80A66"/>
    <w:rsid w:val="00B81EED"/>
    <w:rsid w:val="00B82F3C"/>
    <w:rsid w:val="00B8350C"/>
    <w:rsid w:val="00B83BBB"/>
    <w:rsid w:val="00B84521"/>
    <w:rsid w:val="00B85135"/>
    <w:rsid w:val="00B8539F"/>
    <w:rsid w:val="00B85D11"/>
    <w:rsid w:val="00B86161"/>
    <w:rsid w:val="00B866EF"/>
    <w:rsid w:val="00B867BA"/>
    <w:rsid w:val="00B86C49"/>
    <w:rsid w:val="00B87601"/>
    <w:rsid w:val="00B87C4B"/>
    <w:rsid w:val="00B90383"/>
    <w:rsid w:val="00B905A4"/>
    <w:rsid w:val="00B908D3"/>
    <w:rsid w:val="00B90DFE"/>
    <w:rsid w:val="00B9127E"/>
    <w:rsid w:val="00B9133D"/>
    <w:rsid w:val="00B915EE"/>
    <w:rsid w:val="00B9177B"/>
    <w:rsid w:val="00B91DCB"/>
    <w:rsid w:val="00B91E55"/>
    <w:rsid w:val="00B91F1C"/>
    <w:rsid w:val="00B92142"/>
    <w:rsid w:val="00B9262E"/>
    <w:rsid w:val="00B92C53"/>
    <w:rsid w:val="00B92CFC"/>
    <w:rsid w:val="00B92EEC"/>
    <w:rsid w:val="00B93B15"/>
    <w:rsid w:val="00B93D35"/>
    <w:rsid w:val="00B94154"/>
    <w:rsid w:val="00B9447B"/>
    <w:rsid w:val="00B94615"/>
    <w:rsid w:val="00B949CC"/>
    <w:rsid w:val="00B94E98"/>
    <w:rsid w:val="00B94F9E"/>
    <w:rsid w:val="00B95BEF"/>
    <w:rsid w:val="00B95CD4"/>
    <w:rsid w:val="00B9638B"/>
    <w:rsid w:val="00B96F75"/>
    <w:rsid w:val="00B971B5"/>
    <w:rsid w:val="00B971D1"/>
    <w:rsid w:val="00B9727E"/>
    <w:rsid w:val="00B97B91"/>
    <w:rsid w:val="00BA0190"/>
    <w:rsid w:val="00BA07BC"/>
    <w:rsid w:val="00BA1369"/>
    <w:rsid w:val="00BA13C9"/>
    <w:rsid w:val="00BA21CB"/>
    <w:rsid w:val="00BA2A5A"/>
    <w:rsid w:val="00BA36FB"/>
    <w:rsid w:val="00BA4799"/>
    <w:rsid w:val="00BA4AB0"/>
    <w:rsid w:val="00BA54F8"/>
    <w:rsid w:val="00BA5AA7"/>
    <w:rsid w:val="00BA5C18"/>
    <w:rsid w:val="00BA5EAE"/>
    <w:rsid w:val="00BA6137"/>
    <w:rsid w:val="00BA62A6"/>
    <w:rsid w:val="00BA6686"/>
    <w:rsid w:val="00BA6E6C"/>
    <w:rsid w:val="00BA6EB0"/>
    <w:rsid w:val="00BA791B"/>
    <w:rsid w:val="00BB085B"/>
    <w:rsid w:val="00BB0E56"/>
    <w:rsid w:val="00BB3699"/>
    <w:rsid w:val="00BB3984"/>
    <w:rsid w:val="00BB3EB5"/>
    <w:rsid w:val="00BB4265"/>
    <w:rsid w:val="00BB4CBA"/>
    <w:rsid w:val="00BB501C"/>
    <w:rsid w:val="00BB50DE"/>
    <w:rsid w:val="00BB5BFF"/>
    <w:rsid w:val="00BB6971"/>
    <w:rsid w:val="00BB7196"/>
    <w:rsid w:val="00BB76DC"/>
    <w:rsid w:val="00BB7ADF"/>
    <w:rsid w:val="00BB7BEB"/>
    <w:rsid w:val="00BC03F5"/>
    <w:rsid w:val="00BC0D94"/>
    <w:rsid w:val="00BC0DFF"/>
    <w:rsid w:val="00BC0EAD"/>
    <w:rsid w:val="00BC12C9"/>
    <w:rsid w:val="00BC18FF"/>
    <w:rsid w:val="00BC1D19"/>
    <w:rsid w:val="00BC20F5"/>
    <w:rsid w:val="00BC3E0D"/>
    <w:rsid w:val="00BC4210"/>
    <w:rsid w:val="00BC4D90"/>
    <w:rsid w:val="00BC527D"/>
    <w:rsid w:val="00BC552C"/>
    <w:rsid w:val="00BC5791"/>
    <w:rsid w:val="00BC5B76"/>
    <w:rsid w:val="00BC5BF6"/>
    <w:rsid w:val="00BC6027"/>
    <w:rsid w:val="00BC68CC"/>
    <w:rsid w:val="00BC70FE"/>
    <w:rsid w:val="00BC76BB"/>
    <w:rsid w:val="00BC7CA2"/>
    <w:rsid w:val="00BC7CC1"/>
    <w:rsid w:val="00BC7D78"/>
    <w:rsid w:val="00BC7FB4"/>
    <w:rsid w:val="00BD0296"/>
    <w:rsid w:val="00BD0BD5"/>
    <w:rsid w:val="00BD0EBB"/>
    <w:rsid w:val="00BD131A"/>
    <w:rsid w:val="00BD1E37"/>
    <w:rsid w:val="00BD2419"/>
    <w:rsid w:val="00BD24E7"/>
    <w:rsid w:val="00BD2794"/>
    <w:rsid w:val="00BD38B9"/>
    <w:rsid w:val="00BD4241"/>
    <w:rsid w:val="00BD4B5C"/>
    <w:rsid w:val="00BD52F9"/>
    <w:rsid w:val="00BD57EC"/>
    <w:rsid w:val="00BD5848"/>
    <w:rsid w:val="00BD5FA5"/>
    <w:rsid w:val="00BD698D"/>
    <w:rsid w:val="00BD6CFB"/>
    <w:rsid w:val="00BE0A2B"/>
    <w:rsid w:val="00BE0ACC"/>
    <w:rsid w:val="00BE183F"/>
    <w:rsid w:val="00BE1DD9"/>
    <w:rsid w:val="00BE3068"/>
    <w:rsid w:val="00BE3765"/>
    <w:rsid w:val="00BE3A4A"/>
    <w:rsid w:val="00BE3A8E"/>
    <w:rsid w:val="00BE3AFB"/>
    <w:rsid w:val="00BE464B"/>
    <w:rsid w:val="00BE491C"/>
    <w:rsid w:val="00BE4AB8"/>
    <w:rsid w:val="00BE500D"/>
    <w:rsid w:val="00BE57AA"/>
    <w:rsid w:val="00BE57B4"/>
    <w:rsid w:val="00BE5865"/>
    <w:rsid w:val="00BE5997"/>
    <w:rsid w:val="00BE59CE"/>
    <w:rsid w:val="00BE6415"/>
    <w:rsid w:val="00BE70FC"/>
    <w:rsid w:val="00BE799B"/>
    <w:rsid w:val="00BE7E6F"/>
    <w:rsid w:val="00BF0A6F"/>
    <w:rsid w:val="00BF10E6"/>
    <w:rsid w:val="00BF1299"/>
    <w:rsid w:val="00BF19B5"/>
    <w:rsid w:val="00BF1C1B"/>
    <w:rsid w:val="00BF1CC4"/>
    <w:rsid w:val="00BF26E2"/>
    <w:rsid w:val="00BF49C2"/>
    <w:rsid w:val="00BF4AD0"/>
    <w:rsid w:val="00BF587E"/>
    <w:rsid w:val="00BF5C1D"/>
    <w:rsid w:val="00BF5C50"/>
    <w:rsid w:val="00BF6155"/>
    <w:rsid w:val="00BF65C4"/>
    <w:rsid w:val="00BF6B78"/>
    <w:rsid w:val="00BF6D9C"/>
    <w:rsid w:val="00BF6FEB"/>
    <w:rsid w:val="00BF704F"/>
    <w:rsid w:val="00BF75FD"/>
    <w:rsid w:val="00BF7B35"/>
    <w:rsid w:val="00C005B4"/>
    <w:rsid w:val="00C0088B"/>
    <w:rsid w:val="00C00B44"/>
    <w:rsid w:val="00C00E0F"/>
    <w:rsid w:val="00C00E36"/>
    <w:rsid w:val="00C0108A"/>
    <w:rsid w:val="00C018ED"/>
    <w:rsid w:val="00C0208B"/>
    <w:rsid w:val="00C026F4"/>
    <w:rsid w:val="00C02ADF"/>
    <w:rsid w:val="00C03212"/>
    <w:rsid w:val="00C03476"/>
    <w:rsid w:val="00C03F2D"/>
    <w:rsid w:val="00C042AC"/>
    <w:rsid w:val="00C04C4E"/>
    <w:rsid w:val="00C04FC7"/>
    <w:rsid w:val="00C05EA4"/>
    <w:rsid w:val="00C068CE"/>
    <w:rsid w:val="00C0739C"/>
    <w:rsid w:val="00C1014B"/>
    <w:rsid w:val="00C10BF6"/>
    <w:rsid w:val="00C10C32"/>
    <w:rsid w:val="00C10F9C"/>
    <w:rsid w:val="00C10FA2"/>
    <w:rsid w:val="00C11A90"/>
    <w:rsid w:val="00C13057"/>
    <w:rsid w:val="00C132AA"/>
    <w:rsid w:val="00C134CB"/>
    <w:rsid w:val="00C1390D"/>
    <w:rsid w:val="00C13D80"/>
    <w:rsid w:val="00C14385"/>
    <w:rsid w:val="00C14813"/>
    <w:rsid w:val="00C14825"/>
    <w:rsid w:val="00C14B8C"/>
    <w:rsid w:val="00C1528A"/>
    <w:rsid w:val="00C153DC"/>
    <w:rsid w:val="00C15CC5"/>
    <w:rsid w:val="00C161C2"/>
    <w:rsid w:val="00C16F61"/>
    <w:rsid w:val="00C17504"/>
    <w:rsid w:val="00C17AD2"/>
    <w:rsid w:val="00C17C84"/>
    <w:rsid w:val="00C17DED"/>
    <w:rsid w:val="00C20903"/>
    <w:rsid w:val="00C20E9D"/>
    <w:rsid w:val="00C21020"/>
    <w:rsid w:val="00C213F7"/>
    <w:rsid w:val="00C21C22"/>
    <w:rsid w:val="00C223E9"/>
    <w:rsid w:val="00C22443"/>
    <w:rsid w:val="00C23028"/>
    <w:rsid w:val="00C232E6"/>
    <w:rsid w:val="00C23A9D"/>
    <w:rsid w:val="00C242CC"/>
    <w:rsid w:val="00C24CAD"/>
    <w:rsid w:val="00C24DED"/>
    <w:rsid w:val="00C25229"/>
    <w:rsid w:val="00C2533E"/>
    <w:rsid w:val="00C253E5"/>
    <w:rsid w:val="00C255DB"/>
    <w:rsid w:val="00C25832"/>
    <w:rsid w:val="00C25930"/>
    <w:rsid w:val="00C263F0"/>
    <w:rsid w:val="00C267D0"/>
    <w:rsid w:val="00C279B1"/>
    <w:rsid w:val="00C27C93"/>
    <w:rsid w:val="00C27DF0"/>
    <w:rsid w:val="00C27E9B"/>
    <w:rsid w:val="00C303D4"/>
    <w:rsid w:val="00C30ED6"/>
    <w:rsid w:val="00C31559"/>
    <w:rsid w:val="00C3198C"/>
    <w:rsid w:val="00C328F9"/>
    <w:rsid w:val="00C3345B"/>
    <w:rsid w:val="00C3377C"/>
    <w:rsid w:val="00C34173"/>
    <w:rsid w:val="00C34647"/>
    <w:rsid w:val="00C347AE"/>
    <w:rsid w:val="00C3538C"/>
    <w:rsid w:val="00C35F24"/>
    <w:rsid w:val="00C35F8B"/>
    <w:rsid w:val="00C36A60"/>
    <w:rsid w:val="00C3727A"/>
    <w:rsid w:val="00C37DE7"/>
    <w:rsid w:val="00C40197"/>
    <w:rsid w:val="00C415E8"/>
    <w:rsid w:val="00C417A7"/>
    <w:rsid w:val="00C426F0"/>
    <w:rsid w:val="00C42852"/>
    <w:rsid w:val="00C43471"/>
    <w:rsid w:val="00C43664"/>
    <w:rsid w:val="00C43695"/>
    <w:rsid w:val="00C4436C"/>
    <w:rsid w:val="00C44E3D"/>
    <w:rsid w:val="00C44FD1"/>
    <w:rsid w:val="00C4528D"/>
    <w:rsid w:val="00C452AD"/>
    <w:rsid w:val="00C457AC"/>
    <w:rsid w:val="00C457B4"/>
    <w:rsid w:val="00C45996"/>
    <w:rsid w:val="00C461DF"/>
    <w:rsid w:val="00C46205"/>
    <w:rsid w:val="00C466D6"/>
    <w:rsid w:val="00C4676D"/>
    <w:rsid w:val="00C472D3"/>
    <w:rsid w:val="00C473C7"/>
    <w:rsid w:val="00C4748F"/>
    <w:rsid w:val="00C5048F"/>
    <w:rsid w:val="00C5103F"/>
    <w:rsid w:val="00C51805"/>
    <w:rsid w:val="00C52E88"/>
    <w:rsid w:val="00C530B2"/>
    <w:rsid w:val="00C530F7"/>
    <w:rsid w:val="00C532B7"/>
    <w:rsid w:val="00C5373B"/>
    <w:rsid w:val="00C53768"/>
    <w:rsid w:val="00C53D93"/>
    <w:rsid w:val="00C543D3"/>
    <w:rsid w:val="00C544C7"/>
    <w:rsid w:val="00C54A7F"/>
    <w:rsid w:val="00C54B29"/>
    <w:rsid w:val="00C55855"/>
    <w:rsid w:val="00C55B7B"/>
    <w:rsid w:val="00C56AD2"/>
    <w:rsid w:val="00C56D4D"/>
    <w:rsid w:val="00C5727C"/>
    <w:rsid w:val="00C57653"/>
    <w:rsid w:val="00C57905"/>
    <w:rsid w:val="00C5798D"/>
    <w:rsid w:val="00C61744"/>
    <w:rsid w:val="00C62170"/>
    <w:rsid w:val="00C6247E"/>
    <w:rsid w:val="00C625BE"/>
    <w:rsid w:val="00C62680"/>
    <w:rsid w:val="00C628A3"/>
    <w:rsid w:val="00C62C40"/>
    <w:rsid w:val="00C62C5B"/>
    <w:rsid w:val="00C63826"/>
    <w:rsid w:val="00C63E70"/>
    <w:rsid w:val="00C63ED0"/>
    <w:rsid w:val="00C6411B"/>
    <w:rsid w:val="00C64B10"/>
    <w:rsid w:val="00C64F16"/>
    <w:rsid w:val="00C65ECF"/>
    <w:rsid w:val="00C663C9"/>
    <w:rsid w:val="00C66E79"/>
    <w:rsid w:val="00C67C8E"/>
    <w:rsid w:val="00C67D6C"/>
    <w:rsid w:val="00C67FBA"/>
    <w:rsid w:val="00C67FEA"/>
    <w:rsid w:val="00C70762"/>
    <w:rsid w:val="00C70D7D"/>
    <w:rsid w:val="00C71086"/>
    <w:rsid w:val="00C716EE"/>
    <w:rsid w:val="00C717FD"/>
    <w:rsid w:val="00C719B1"/>
    <w:rsid w:val="00C71C8C"/>
    <w:rsid w:val="00C71EFE"/>
    <w:rsid w:val="00C7213F"/>
    <w:rsid w:val="00C72467"/>
    <w:rsid w:val="00C725E4"/>
    <w:rsid w:val="00C72C57"/>
    <w:rsid w:val="00C730CA"/>
    <w:rsid w:val="00C73A14"/>
    <w:rsid w:val="00C74710"/>
    <w:rsid w:val="00C74E27"/>
    <w:rsid w:val="00C752C0"/>
    <w:rsid w:val="00C7562A"/>
    <w:rsid w:val="00C757B5"/>
    <w:rsid w:val="00C763C9"/>
    <w:rsid w:val="00C765AE"/>
    <w:rsid w:val="00C76847"/>
    <w:rsid w:val="00C76EEF"/>
    <w:rsid w:val="00C77623"/>
    <w:rsid w:val="00C77645"/>
    <w:rsid w:val="00C77A3C"/>
    <w:rsid w:val="00C77C53"/>
    <w:rsid w:val="00C80098"/>
    <w:rsid w:val="00C8066E"/>
    <w:rsid w:val="00C80B78"/>
    <w:rsid w:val="00C81912"/>
    <w:rsid w:val="00C8251A"/>
    <w:rsid w:val="00C82C5E"/>
    <w:rsid w:val="00C8356B"/>
    <w:rsid w:val="00C84331"/>
    <w:rsid w:val="00C848B6"/>
    <w:rsid w:val="00C855C5"/>
    <w:rsid w:val="00C85B8C"/>
    <w:rsid w:val="00C8623C"/>
    <w:rsid w:val="00C863BF"/>
    <w:rsid w:val="00C86489"/>
    <w:rsid w:val="00C864B0"/>
    <w:rsid w:val="00C865F7"/>
    <w:rsid w:val="00C86B29"/>
    <w:rsid w:val="00C86D1D"/>
    <w:rsid w:val="00C87479"/>
    <w:rsid w:val="00C8759A"/>
    <w:rsid w:val="00C875C4"/>
    <w:rsid w:val="00C879CA"/>
    <w:rsid w:val="00C87A6F"/>
    <w:rsid w:val="00C87DA4"/>
    <w:rsid w:val="00C87DCD"/>
    <w:rsid w:val="00C87ECB"/>
    <w:rsid w:val="00C91385"/>
    <w:rsid w:val="00C914F3"/>
    <w:rsid w:val="00C9184E"/>
    <w:rsid w:val="00C920F9"/>
    <w:rsid w:val="00C926F5"/>
    <w:rsid w:val="00C92B11"/>
    <w:rsid w:val="00C92BBB"/>
    <w:rsid w:val="00C933F8"/>
    <w:rsid w:val="00C937E2"/>
    <w:rsid w:val="00C93D61"/>
    <w:rsid w:val="00C94509"/>
    <w:rsid w:val="00C95581"/>
    <w:rsid w:val="00C95761"/>
    <w:rsid w:val="00C958C9"/>
    <w:rsid w:val="00C95DFD"/>
    <w:rsid w:val="00C95EDC"/>
    <w:rsid w:val="00C96CA3"/>
    <w:rsid w:val="00C9704E"/>
    <w:rsid w:val="00C9723D"/>
    <w:rsid w:val="00C977D0"/>
    <w:rsid w:val="00C97E11"/>
    <w:rsid w:val="00CA142A"/>
    <w:rsid w:val="00CA1596"/>
    <w:rsid w:val="00CA1BF2"/>
    <w:rsid w:val="00CA28A8"/>
    <w:rsid w:val="00CA30A5"/>
    <w:rsid w:val="00CA3874"/>
    <w:rsid w:val="00CA39DF"/>
    <w:rsid w:val="00CA3AB7"/>
    <w:rsid w:val="00CA43B4"/>
    <w:rsid w:val="00CA4B5E"/>
    <w:rsid w:val="00CA4E05"/>
    <w:rsid w:val="00CA4F3F"/>
    <w:rsid w:val="00CA589D"/>
    <w:rsid w:val="00CA5953"/>
    <w:rsid w:val="00CA5AD1"/>
    <w:rsid w:val="00CA5AFC"/>
    <w:rsid w:val="00CA5DDE"/>
    <w:rsid w:val="00CA5F8F"/>
    <w:rsid w:val="00CA661C"/>
    <w:rsid w:val="00CA667A"/>
    <w:rsid w:val="00CA675C"/>
    <w:rsid w:val="00CA679D"/>
    <w:rsid w:val="00CA6A45"/>
    <w:rsid w:val="00CA70B8"/>
    <w:rsid w:val="00CA7245"/>
    <w:rsid w:val="00CA74BB"/>
    <w:rsid w:val="00CB032C"/>
    <w:rsid w:val="00CB0981"/>
    <w:rsid w:val="00CB1EB7"/>
    <w:rsid w:val="00CB1EED"/>
    <w:rsid w:val="00CB20B3"/>
    <w:rsid w:val="00CB26A2"/>
    <w:rsid w:val="00CB2838"/>
    <w:rsid w:val="00CB2917"/>
    <w:rsid w:val="00CB29E2"/>
    <w:rsid w:val="00CB2A70"/>
    <w:rsid w:val="00CB2BCF"/>
    <w:rsid w:val="00CB2D68"/>
    <w:rsid w:val="00CB3C4B"/>
    <w:rsid w:val="00CB3C9E"/>
    <w:rsid w:val="00CB3E79"/>
    <w:rsid w:val="00CB3E8D"/>
    <w:rsid w:val="00CB4CE9"/>
    <w:rsid w:val="00CB5049"/>
    <w:rsid w:val="00CB5189"/>
    <w:rsid w:val="00CB5214"/>
    <w:rsid w:val="00CB54E9"/>
    <w:rsid w:val="00CB58AF"/>
    <w:rsid w:val="00CB58E4"/>
    <w:rsid w:val="00CB5AAB"/>
    <w:rsid w:val="00CB607B"/>
    <w:rsid w:val="00CB6277"/>
    <w:rsid w:val="00CB62B5"/>
    <w:rsid w:val="00CB6848"/>
    <w:rsid w:val="00CB7306"/>
    <w:rsid w:val="00CB7E8F"/>
    <w:rsid w:val="00CC019E"/>
    <w:rsid w:val="00CC0679"/>
    <w:rsid w:val="00CC06F4"/>
    <w:rsid w:val="00CC117F"/>
    <w:rsid w:val="00CC1DEA"/>
    <w:rsid w:val="00CC27E2"/>
    <w:rsid w:val="00CC33C6"/>
    <w:rsid w:val="00CC3461"/>
    <w:rsid w:val="00CC36B0"/>
    <w:rsid w:val="00CC3AE1"/>
    <w:rsid w:val="00CC40A0"/>
    <w:rsid w:val="00CC4781"/>
    <w:rsid w:val="00CC4CC1"/>
    <w:rsid w:val="00CC4EE4"/>
    <w:rsid w:val="00CC4F68"/>
    <w:rsid w:val="00CC5429"/>
    <w:rsid w:val="00CC6198"/>
    <w:rsid w:val="00CC7C01"/>
    <w:rsid w:val="00CC7DD0"/>
    <w:rsid w:val="00CC7F00"/>
    <w:rsid w:val="00CD0578"/>
    <w:rsid w:val="00CD073E"/>
    <w:rsid w:val="00CD08A3"/>
    <w:rsid w:val="00CD0A3C"/>
    <w:rsid w:val="00CD1214"/>
    <w:rsid w:val="00CD17F4"/>
    <w:rsid w:val="00CD1E11"/>
    <w:rsid w:val="00CD295F"/>
    <w:rsid w:val="00CD3276"/>
    <w:rsid w:val="00CD3506"/>
    <w:rsid w:val="00CD40CF"/>
    <w:rsid w:val="00CD428B"/>
    <w:rsid w:val="00CD48CB"/>
    <w:rsid w:val="00CD48E2"/>
    <w:rsid w:val="00CD4B57"/>
    <w:rsid w:val="00CD4DB4"/>
    <w:rsid w:val="00CD4DD0"/>
    <w:rsid w:val="00CD50CB"/>
    <w:rsid w:val="00CD55FE"/>
    <w:rsid w:val="00CD5B8E"/>
    <w:rsid w:val="00CD65DD"/>
    <w:rsid w:val="00CD6C8C"/>
    <w:rsid w:val="00CD7199"/>
    <w:rsid w:val="00CD72E5"/>
    <w:rsid w:val="00CD758D"/>
    <w:rsid w:val="00CD7B9D"/>
    <w:rsid w:val="00CD7C18"/>
    <w:rsid w:val="00CD7C83"/>
    <w:rsid w:val="00CD7C98"/>
    <w:rsid w:val="00CD7EE7"/>
    <w:rsid w:val="00CE0266"/>
    <w:rsid w:val="00CE056C"/>
    <w:rsid w:val="00CE08C9"/>
    <w:rsid w:val="00CE0A72"/>
    <w:rsid w:val="00CE0F3D"/>
    <w:rsid w:val="00CE12AA"/>
    <w:rsid w:val="00CE133E"/>
    <w:rsid w:val="00CE220A"/>
    <w:rsid w:val="00CE24BE"/>
    <w:rsid w:val="00CE2D35"/>
    <w:rsid w:val="00CE3D01"/>
    <w:rsid w:val="00CE502F"/>
    <w:rsid w:val="00CE5C5C"/>
    <w:rsid w:val="00CE6239"/>
    <w:rsid w:val="00CE66D6"/>
    <w:rsid w:val="00CE6713"/>
    <w:rsid w:val="00CE694A"/>
    <w:rsid w:val="00CE7015"/>
    <w:rsid w:val="00CE7202"/>
    <w:rsid w:val="00CE76FD"/>
    <w:rsid w:val="00CE797A"/>
    <w:rsid w:val="00CE7A9A"/>
    <w:rsid w:val="00CF02E9"/>
    <w:rsid w:val="00CF05A8"/>
    <w:rsid w:val="00CF0A01"/>
    <w:rsid w:val="00CF1072"/>
    <w:rsid w:val="00CF1384"/>
    <w:rsid w:val="00CF154C"/>
    <w:rsid w:val="00CF276C"/>
    <w:rsid w:val="00CF29B1"/>
    <w:rsid w:val="00CF2D4F"/>
    <w:rsid w:val="00CF2F45"/>
    <w:rsid w:val="00CF3225"/>
    <w:rsid w:val="00CF36D5"/>
    <w:rsid w:val="00CF568C"/>
    <w:rsid w:val="00CF58E2"/>
    <w:rsid w:val="00CF5B3C"/>
    <w:rsid w:val="00CF7F26"/>
    <w:rsid w:val="00D003B4"/>
    <w:rsid w:val="00D00530"/>
    <w:rsid w:val="00D0189E"/>
    <w:rsid w:val="00D01C53"/>
    <w:rsid w:val="00D02012"/>
    <w:rsid w:val="00D0210B"/>
    <w:rsid w:val="00D0294D"/>
    <w:rsid w:val="00D02C2F"/>
    <w:rsid w:val="00D03699"/>
    <w:rsid w:val="00D03B6A"/>
    <w:rsid w:val="00D041B8"/>
    <w:rsid w:val="00D04316"/>
    <w:rsid w:val="00D0456F"/>
    <w:rsid w:val="00D04628"/>
    <w:rsid w:val="00D046AF"/>
    <w:rsid w:val="00D05BC9"/>
    <w:rsid w:val="00D06027"/>
    <w:rsid w:val="00D0648D"/>
    <w:rsid w:val="00D06D05"/>
    <w:rsid w:val="00D06F87"/>
    <w:rsid w:val="00D0775D"/>
    <w:rsid w:val="00D07781"/>
    <w:rsid w:val="00D107A0"/>
    <w:rsid w:val="00D10C15"/>
    <w:rsid w:val="00D11B2B"/>
    <w:rsid w:val="00D12521"/>
    <w:rsid w:val="00D1321B"/>
    <w:rsid w:val="00D13338"/>
    <w:rsid w:val="00D137FA"/>
    <w:rsid w:val="00D1448F"/>
    <w:rsid w:val="00D15840"/>
    <w:rsid w:val="00D15861"/>
    <w:rsid w:val="00D1590E"/>
    <w:rsid w:val="00D15D81"/>
    <w:rsid w:val="00D15E7F"/>
    <w:rsid w:val="00D170AF"/>
    <w:rsid w:val="00D173EF"/>
    <w:rsid w:val="00D17944"/>
    <w:rsid w:val="00D17948"/>
    <w:rsid w:val="00D17E42"/>
    <w:rsid w:val="00D20619"/>
    <w:rsid w:val="00D20BEB"/>
    <w:rsid w:val="00D20FC5"/>
    <w:rsid w:val="00D21145"/>
    <w:rsid w:val="00D211F9"/>
    <w:rsid w:val="00D21B1F"/>
    <w:rsid w:val="00D21B81"/>
    <w:rsid w:val="00D21D6B"/>
    <w:rsid w:val="00D227BD"/>
    <w:rsid w:val="00D22B89"/>
    <w:rsid w:val="00D23339"/>
    <w:rsid w:val="00D2374A"/>
    <w:rsid w:val="00D23807"/>
    <w:rsid w:val="00D23F3B"/>
    <w:rsid w:val="00D24235"/>
    <w:rsid w:val="00D24942"/>
    <w:rsid w:val="00D24D06"/>
    <w:rsid w:val="00D24D18"/>
    <w:rsid w:val="00D25C9A"/>
    <w:rsid w:val="00D26012"/>
    <w:rsid w:val="00D26154"/>
    <w:rsid w:val="00D2732C"/>
    <w:rsid w:val="00D276C9"/>
    <w:rsid w:val="00D27A29"/>
    <w:rsid w:val="00D30168"/>
    <w:rsid w:val="00D303FD"/>
    <w:rsid w:val="00D3134B"/>
    <w:rsid w:val="00D31A44"/>
    <w:rsid w:val="00D32620"/>
    <w:rsid w:val="00D33179"/>
    <w:rsid w:val="00D33375"/>
    <w:rsid w:val="00D33EC6"/>
    <w:rsid w:val="00D33ECE"/>
    <w:rsid w:val="00D33F0E"/>
    <w:rsid w:val="00D34E7C"/>
    <w:rsid w:val="00D35215"/>
    <w:rsid w:val="00D35AAD"/>
    <w:rsid w:val="00D35DDC"/>
    <w:rsid w:val="00D35DF3"/>
    <w:rsid w:val="00D36541"/>
    <w:rsid w:val="00D37009"/>
    <w:rsid w:val="00D3738C"/>
    <w:rsid w:val="00D378ED"/>
    <w:rsid w:val="00D401D6"/>
    <w:rsid w:val="00D404EF"/>
    <w:rsid w:val="00D40A91"/>
    <w:rsid w:val="00D40E25"/>
    <w:rsid w:val="00D4107E"/>
    <w:rsid w:val="00D423C0"/>
    <w:rsid w:val="00D4277B"/>
    <w:rsid w:val="00D4288E"/>
    <w:rsid w:val="00D43DD7"/>
    <w:rsid w:val="00D43FF4"/>
    <w:rsid w:val="00D448FB"/>
    <w:rsid w:val="00D44A0D"/>
    <w:rsid w:val="00D4529C"/>
    <w:rsid w:val="00D46F4A"/>
    <w:rsid w:val="00D46FF3"/>
    <w:rsid w:val="00D47433"/>
    <w:rsid w:val="00D4758F"/>
    <w:rsid w:val="00D47CE9"/>
    <w:rsid w:val="00D47F54"/>
    <w:rsid w:val="00D50BDC"/>
    <w:rsid w:val="00D50CCC"/>
    <w:rsid w:val="00D50F86"/>
    <w:rsid w:val="00D51079"/>
    <w:rsid w:val="00D51205"/>
    <w:rsid w:val="00D5175D"/>
    <w:rsid w:val="00D5175E"/>
    <w:rsid w:val="00D51988"/>
    <w:rsid w:val="00D51D5E"/>
    <w:rsid w:val="00D52E14"/>
    <w:rsid w:val="00D536DF"/>
    <w:rsid w:val="00D53B64"/>
    <w:rsid w:val="00D53D0F"/>
    <w:rsid w:val="00D53EEF"/>
    <w:rsid w:val="00D54C08"/>
    <w:rsid w:val="00D55079"/>
    <w:rsid w:val="00D555B2"/>
    <w:rsid w:val="00D55B97"/>
    <w:rsid w:val="00D56031"/>
    <w:rsid w:val="00D5623B"/>
    <w:rsid w:val="00D56575"/>
    <w:rsid w:val="00D56585"/>
    <w:rsid w:val="00D568A7"/>
    <w:rsid w:val="00D56A0B"/>
    <w:rsid w:val="00D56E30"/>
    <w:rsid w:val="00D57843"/>
    <w:rsid w:val="00D60204"/>
    <w:rsid w:val="00D60AC9"/>
    <w:rsid w:val="00D6156D"/>
    <w:rsid w:val="00D61F02"/>
    <w:rsid w:val="00D62207"/>
    <w:rsid w:val="00D6239A"/>
    <w:rsid w:val="00D626F6"/>
    <w:rsid w:val="00D6292D"/>
    <w:rsid w:val="00D62F0F"/>
    <w:rsid w:val="00D63005"/>
    <w:rsid w:val="00D639E1"/>
    <w:rsid w:val="00D6418A"/>
    <w:rsid w:val="00D643D5"/>
    <w:rsid w:val="00D645B1"/>
    <w:rsid w:val="00D64C05"/>
    <w:rsid w:val="00D6504A"/>
    <w:rsid w:val="00D6518C"/>
    <w:rsid w:val="00D65855"/>
    <w:rsid w:val="00D65910"/>
    <w:rsid w:val="00D66304"/>
    <w:rsid w:val="00D667A7"/>
    <w:rsid w:val="00D66AB2"/>
    <w:rsid w:val="00D6715B"/>
    <w:rsid w:val="00D673C3"/>
    <w:rsid w:val="00D67775"/>
    <w:rsid w:val="00D70238"/>
    <w:rsid w:val="00D703D7"/>
    <w:rsid w:val="00D709D2"/>
    <w:rsid w:val="00D70A45"/>
    <w:rsid w:val="00D70B15"/>
    <w:rsid w:val="00D70C10"/>
    <w:rsid w:val="00D70C3E"/>
    <w:rsid w:val="00D725A2"/>
    <w:rsid w:val="00D73A52"/>
    <w:rsid w:val="00D73B09"/>
    <w:rsid w:val="00D74125"/>
    <w:rsid w:val="00D743A4"/>
    <w:rsid w:val="00D74B7F"/>
    <w:rsid w:val="00D74FF6"/>
    <w:rsid w:val="00D7586F"/>
    <w:rsid w:val="00D75DB4"/>
    <w:rsid w:val="00D76ACD"/>
    <w:rsid w:val="00D77BC3"/>
    <w:rsid w:val="00D806D7"/>
    <w:rsid w:val="00D80E44"/>
    <w:rsid w:val="00D80EB6"/>
    <w:rsid w:val="00D815C8"/>
    <w:rsid w:val="00D82189"/>
    <w:rsid w:val="00D827F9"/>
    <w:rsid w:val="00D82841"/>
    <w:rsid w:val="00D82C8A"/>
    <w:rsid w:val="00D83001"/>
    <w:rsid w:val="00D8319C"/>
    <w:rsid w:val="00D83685"/>
    <w:rsid w:val="00D83726"/>
    <w:rsid w:val="00D845A2"/>
    <w:rsid w:val="00D84B60"/>
    <w:rsid w:val="00D85132"/>
    <w:rsid w:val="00D8593D"/>
    <w:rsid w:val="00D85BF7"/>
    <w:rsid w:val="00D8702E"/>
    <w:rsid w:val="00D871AD"/>
    <w:rsid w:val="00D8728C"/>
    <w:rsid w:val="00D87BD4"/>
    <w:rsid w:val="00D87CCD"/>
    <w:rsid w:val="00D9037C"/>
    <w:rsid w:val="00D908FA"/>
    <w:rsid w:val="00D90CA0"/>
    <w:rsid w:val="00D91157"/>
    <w:rsid w:val="00D9140C"/>
    <w:rsid w:val="00D91435"/>
    <w:rsid w:val="00D91565"/>
    <w:rsid w:val="00D91AAF"/>
    <w:rsid w:val="00D91E09"/>
    <w:rsid w:val="00D92031"/>
    <w:rsid w:val="00D92D89"/>
    <w:rsid w:val="00D93A23"/>
    <w:rsid w:val="00D93DD8"/>
    <w:rsid w:val="00D9429B"/>
    <w:rsid w:val="00D94D38"/>
    <w:rsid w:val="00D94DD8"/>
    <w:rsid w:val="00D9574E"/>
    <w:rsid w:val="00D967E9"/>
    <w:rsid w:val="00D96B84"/>
    <w:rsid w:val="00D97408"/>
    <w:rsid w:val="00D974C2"/>
    <w:rsid w:val="00D9778A"/>
    <w:rsid w:val="00D97AD0"/>
    <w:rsid w:val="00D97B19"/>
    <w:rsid w:val="00DA092F"/>
    <w:rsid w:val="00DA1083"/>
    <w:rsid w:val="00DA17E9"/>
    <w:rsid w:val="00DA2BF0"/>
    <w:rsid w:val="00DA35C2"/>
    <w:rsid w:val="00DA36D4"/>
    <w:rsid w:val="00DA3C2E"/>
    <w:rsid w:val="00DA3DB7"/>
    <w:rsid w:val="00DA3F28"/>
    <w:rsid w:val="00DA4173"/>
    <w:rsid w:val="00DA46FE"/>
    <w:rsid w:val="00DA4F25"/>
    <w:rsid w:val="00DA5080"/>
    <w:rsid w:val="00DA6E71"/>
    <w:rsid w:val="00DA6EA8"/>
    <w:rsid w:val="00DA726B"/>
    <w:rsid w:val="00DA7469"/>
    <w:rsid w:val="00DA7654"/>
    <w:rsid w:val="00DA7AA7"/>
    <w:rsid w:val="00DA7F36"/>
    <w:rsid w:val="00DB0A7E"/>
    <w:rsid w:val="00DB0C5C"/>
    <w:rsid w:val="00DB159B"/>
    <w:rsid w:val="00DB1BD6"/>
    <w:rsid w:val="00DB289E"/>
    <w:rsid w:val="00DB40A7"/>
    <w:rsid w:val="00DB4979"/>
    <w:rsid w:val="00DB4CEF"/>
    <w:rsid w:val="00DB538B"/>
    <w:rsid w:val="00DB5559"/>
    <w:rsid w:val="00DB5760"/>
    <w:rsid w:val="00DB592F"/>
    <w:rsid w:val="00DB633E"/>
    <w:rsid w:val="00DB6951"/>
    <w:rsid w:val="00DB6E64"/>
    <w:rsid w:val="00DB70E9"/>
    <w:rsid w:val="00DB7115"/>
    <w:rsid w:val="00DB71A8"/>
    <w:rsid w:val="00DB728B"/>
    <w:rsid w:val="00DB7D1F"/>
    <w:rsid w:val="00DC0073"/>
    <w:rsid w:val="00DC0AD3"/>
    <w:rsid w:val="00DC11D6"/>
    <w:rsid w:val="00DC1C62"/>
    <w:rsid w:val="00DC2204"/>
    <w:rsid w:val="00DC2553"/>
    <w:rsid w:val="00DC2ADC"/>
    <w:rsid w:val="00DC2AF7"/>
    <w:rsid w:val="00DC30F5"/>
    <w:rsid w:val="00DC3A5A"/>
    <w:rsid w:val="00DC3ECA"/>
    <w:rsid w:val="00DC44EC"/>
    <w:rsid w:val="00DC465A"/>
    <w:rsid w:val="00DC479A"/>
    <w:rsid w:val="00DC5000"/>
    <w:rsid w:val="00DC519C"/>
    <w:rsid w:val="00DC5383"/>
    <w:rsid w:val="00DC5864"/>
    <w:rsid w:val="00DC5B21"/>
    <w:rsid w:val="00DC6154"/>
    <w:rsid w:val="00DC6C4E"/>
    <w:rsid w:val="00DC7A24"/>
    <w:rsid w:val="00DD00DF"/>
    <w:rsid w:val="00DD049C"/>
    <w:rsid w:val="00DD0BBB"/>
    <w:rsid w:val="00DD115D"/>
    <w:rsid w:val="00DD1420"/>
    <w:rsid w:val="00DD1DF8"/>
    <w:rsid w:val="00DD1E68"/>
    <w:rsid w:val="00DD2156"/>
    <w:rsid w:val="00DD29C1"/>
    <w:rsid w:val="00DD2FAD"/>
    <w:rsid w:val="00DD380E"/>
    <w:rsid w:val="00DD3F62"/>
    <w:rsid w:val="00DD47B1"/>
    <w:rsid w:val="00DD4ADE"/>
    <w:rsid w:val="00DD4BF9"/>
    <w:rsid w:val="00DD4D6E"/>
    <w:rsid w:val="00DD588D"/>
    <w:rsid w:val="00DD5DF7"/>
    <w:rsid w:val="00DD605E"/>
    <w:rsid w:val="00DD6295"/>
    <w:rsid w:val="00DD6A9E"/>
    <w:rsid w:val="00DD6E1A"/>
    <w:rsid w:val="00DE0621"/>
    <w:rsid w:val="00DE0A8D"/>
    <w:rsid w:val="00DE0C23"/>
    <w:rsid w:val="00DE1653"/>
    <w:rsid w:val="00DE2BDE"/>
    <w:rsid w:val="00DE2C2C"/>
    <w:rsid w:val="00DE2DF5"/>
    <w:rsid w:val="00DE3157"/>
    <w:rsid w:val="00DE33D4"/>
    <w:rsid w:val="00DE43B6"/>
    <w:rsid w:val="00DE49DE"/>
    <w:rsid w:val="00DE4B8D"/>
    <w:rsid w:val="00DE4F55"/>
    <w:rsid w:val="00DE4FDB"/>
    <w:rsid w:val="00DE549C"/>
    <w:rsid w:val="00DE552F"/>
    <w:rsid w:val="00DE55A6"/>
    <w:rsid w:val="00DE5A26"/>
    <w:rsid w:val="00DE5D0D"/>
    <w:rsid w:val="00DE5DB9"/>
    <w:rsid w:val="00DE636C"/>
    <w:rsid w:val="00DE64E1"/>
    <w:rsid w:val="00DE67BA"/>
    <w:rsid w:val="00DE7242"/>
    <w:rsid w:val="00DE7352"/>
    <w:rsid w:val="00DE7552"/>
    <w:rsid w:val="00DF0462"/>
    <w:rsid w:val="00DF09A0"/>
    <w:rsid w:val="00DF1590"/>
    <w:rsid w:val="00DF2FD5"/>
    <w:rsid w:val="00DF3678"/>
    <w:rsid w:val="00DF3AB3"/>
    <w:rsid w:val="00DF3B75"/>
    <w:rsid w:val="00DF3E78"/>
    <w:rsid w:val="00DF4661"/>
    <w:rsid w:val="00DF4AA4"/>
    <w:rsid w:val="00DF5283"/>
    <w:rsid w:val="00DF56E5"/>
    <w:rsid w:val="00DF58A1"/>
    <w:rsid w:val="00DF5CE0"/>
    <w:rsid w:val="00DF5FB3"/>
    <w:rsid w:val="00DF6545"/>
    <w:rsid w:val="00DF694E"/>
    <w:rsid w:val="00DF6AC1"/>
    <w:rsid w:val="00DF7ED2"/>
    <w:rsid w:val="00E0020C"/>
    <w:rsid w:val="00E009C6"/>
    <w:rsid w:val="00E00C97"/>
    <w:rsid w:val="00E01186"/>
    <w:rsid w:val="00E014F3"/>
    <w:rsid w:val="00E01C28"/>
    <w:rsid w:val="00E01EF5"/>
    <w:rsid w:val="00E01F9B"/>
    <w:rsid w:val="00E02110"/>
    <w:rsid w:val="00E02781"/>
    <w:rsid w:val="00E036A8"/>
    <w:rsid w:val="00E04F4E"/>
    <w:rsid w:val="00E04F9C"/>
    <w:rsid w:val="00E05A2A"/>
    <w:rsid w:val="00E068DE"/>
    <w:rsid w:val="00E06E9E"/>
    <w:rsid w:val="00E07034"/>
    <w:rsid w:val="00E0735D"/>
    <w:rsid w:val="00E073D7"/>
    <w:rsid w:val="00E07A26"/>
    <w:rsid w:val="00E07F9C"/>
    <w:rsid w:val="00E10429"/>
    <w:rsid w:val="00E10D53"/>
    <w:rsid w:val="00E10D9D"/>
    <w:rsid w:val="00E10EAA"/>
    <w:rsid w:val="00E10F5F"/>
    <w:rsid w:val="00E120F6"/>
    <w:rsid w:val="00E12A20"/>
    <w:rsid w:val="00E12B6C"/>
    <w:rsid w:val="00E12E24"/>
    <w:rsid w:val="00E13A1A"/>
    <w:rsid w:val="00E13BF4"/>
    <w:rsid w:val="00E14E7A"/>
    <w:rsid w:val="00E1566C"/>
    <w:rsid w:val="00E15F2E"/>
    <w:rsid w:val="00E16261"/>
    <w:rsid w:val="00E1659A"/>
    <w:rsid w:val="00E1763B"/>
    <w:rsid w:val="00E179D2"/>
    <w:rsid w:val="00E20258"/>
    <w:rsid w:val="00E210A7"/>
    <w:rsid w:val="00E21222"/>
    <w:rsid w:val="00E21755"/>
    <w:rsid w:val="00E21908"/>
    <w:rsid w:val="00E21F5C"/>
    <w:rsid w:val="00E2275B"/>
    <w:rsid w:val="00E2377E"/>
    <w:rsid w:val="00E23C3E"/>
    <w:rsid w:val="00E26271"/>
    <w:rsid w:val="00E263CE"/>
    <w:rsid w:val="00E26DC2"/>
    <w:rsid w:val="00E26DF0"/>
    <w:rsid w:val="00E270BF"/>
    <w:rsid w:val="00E27156"/>
    <w:rsid w:val="00E271F9"/>
    <w:rsid w:val="00E2741D"/>
    <w:rsid w:val="00E2785C"/>
    <w:rsid w:val="00E27E5B"/>
    <w:rsid w:val="00E307A5"/>
    <w:rsid w:val="00E3087A"/>
    <w:rsid w:val="00E313EF"/>
    <w:rsid w:val="00E317C7"/>
    <w:rsid w:val="00E318FA"/>
    <w:rsid w:val="00E31F18"/>
    <w:rsid w:val="00E3210E"/>
    <w:rsid w:val="00E32410"/>
    <w:rsid w:val="00E32BD7"/>
    <w:rsid w:val="00E32CB7"/>
    <w:rsid w:val="00E32D45"/>
    <w:rsid w:val="00E32E4A"/>
    <w:rsid w:val="00E32FBC"/>
    <w:rsid w:val="00E333C0"/>
    <w:rsid w:val="00E33681"/>
    <w:rsid w:val="00E3395C"/>
    <w:rsid w:val="00E349C9"/>
    <w:rsid w:val="00E34BED"/>
    <w:rsid w:val="00E3509C"/>
    <w:rsid w:val="00E35A95"/>
    <w:rsid w:val="00E35CCF"/>
    <w:rsid w:val="00E3665F"/>
    <w:rsid w:val="00E36B70"/>
    <w:rsid w:val="00E36F83"/>
    <w:rsid w:val="00E377CF"/>
    <w:rsid w:val="00E40717"/>
    <w:rsid w:val="00E411D6"/>
    <w:rsid w:val="00E414D3"/>
    <w:rsid w:val="00E41636"/>
    <w:rsid w:val="00E41711"/>
    <w:rsid w:val="00E41787"/>
    <w:rsid w:val="00E41ECF"/>
    <w:rsid w:val="00E4255B"/>
    <w:rsid w:val="00E42661"/>
    <w:rsid w:val="00E432DD"/>
    <w:rsid w:val="00E4344A"/>
    <w:rsid w:val="00E44C1F"/>
    <w:rsid w:val="00E450FB"/>
    <w:rsid w:val="00E45613"/>
    <w:rsid w:val="00E45ADC"/>
    <w:rsid w:val="00E45EBB"/>
    <w:rsid w:val="00E46119"/>
    <w:rsid w:val="00E46C7A"/>
    <w:rsid w:val="00E47596"/>
    <w:rsid w:val="00E5003C"/>
    <w:rsid w:val="00E50A40"/>
    <w:rsid w:val="00E50BAD"/>
    <w:rsid w:val="00E50E7F"/>
    <w:rsid w:val="00E51169"/>
    <w:rsid w:val="00E51333"/>
    <w:rsid w:val="00E515FB"/>
    <w:rsid w:val="00E516E1"/>
    <w:rsid w:val="00E527C1"/>
    <w:rsid w:val="00E529F1"/>
    <w:rsid w:val="00E52E92"/>
    <w:rsid w:val="00E52F73"/>
    <w:rsid w:val="00E52F8C"/>
    <w:rsid w:val="00E53914"/>
    <w:rsid w:val="00E53976"/>
    <w:rsid w:val="00E53EE8"/>
    <w:rsid w:val="00E54BBF"/>
    <w:rsid w:val="00E54E55"/>
    <w:rsid w:val="00E5511B"/>
    <w:rsid w:val="00E552FC"/>
    <w:rsid w:val="00E55436"/>
    <w:rsid w:val="00E5578E"/>
    <w:rsid w:val="00E562B0"/>
    <w:rsid w:val="00E574B3"/>
    <w:rsid w:val="00E57D1D"/>
    <w:rsid w:val="00E57D2B"/>
    <w:rsid w:val="00E60C39"/>
    <w:rsid w:val="00E610AF"/>
    <w:rsid w:val="00E62DBC"/>
    <w:rsid w:val="00E62F32"/>
    <w:rsid w:val="00E637B6"/>
    <w:rsid w:val="00E638C7"/>
    <w:rsid w:val="00E63A5A"/>
    <w:rsid w:val="00E63FA6"/>
    <w:rsid w:val="00E6423A"/>
    <w:rsid w:val="00E642F1"/>
    <w:rsid w:val="00E64537"/>
    <w:rsid w:val="00E645CF"/>
    <w:rsid w:val="00E656B1"/>
    <w:rsid w:val="00E65CB4"/>
    <w:rsid w:val="00E664F7"/>
    <w:rsid w:val="00E66E7F"/>
    <w:rsid w:val="00E676CC"/>
    <w:rsid w:val="00E679AC"/>
    <w:rsid w:val="00E67A28"/>
    <w:rsid w:val="00E70554"/>
    <w:rsid w:val="00E70B21"/>
    <w:rsid w:val="00E710A0"/>
    <w:rsid w:val="00E71F43"/>
    <w:rsid w:val="00E72164"/>
    <w:rsid w:val="00E72680"/>
    <w:rsid w:val="00E732A1"/>
    <w:rsid w:val="00E74E3E"/>
    <w:rsid w:val="00E74E4E"/>
    <w:rsid w:val="00E75229"/>
    <w:rsid w:val="00E7569A"/>
    <w:rsid w:val="00E77486"/>
    <w:rsid w:val="00E779E6"/>
    <w:rsid w:val="00E77B6F"/>
    <w:rsid w:val="00E77F85"/>
    <w:rsid w:val="00E8037F"/>
    <w:rsid w:val="00E813E8"/>
    <w:rsid w:val="00E81858"/>
    <w:rsid w:val="00E81B16"/>
    <w:rsid w:val="00E82293"/>
    <w:rsid w:val="00E8254C"/>
    <w:rsid w:val="00E82F83"/>
    <w:rsid w:val="00E83016"/>
    <w:rsid w:val="00E833A9"/>
    <w:rsid w:val="00E84785"/>
    <w:rsid w:val="00E849DA"/>
    <w:rsid w:val="00E84BEA"/>
    <w:rsid w:val="00E84EDA"/>
    <w:rsid w:val="00E85472"/>
    <w:rsid w:val="00E8569A"/>
    <w:rsid w:val="00E85A04"/>
    <w:rsid w:val="00E861E1"/>
    <w:rsid w:val="00E86232"/>
    <w:rsid w:val="00E863D9"/>
    <w:rsid w:val="00E87606"/>
    <w:rsid w:val="00E87677"/>
    <w:rsid w:val="00E87966"/>
    <w:rsid w:val="00E91281"/>
    <w:rsid w:val="00E925C5"/>
    <w:rsid w:val="00E92C36"/>
    <w:rsid w:val="00E92CFE"/>
    <w:rsid w:val="00E933A5"/>
    <w:rsid w:val="00E934F9"/>
    <w:rsid w:val="00E93591"/>
    <w:rsid w:val="00E93C7C"/>
    <w:rsid w:val="00E943E2"/>
    <w:rsid w:val="00E947A5"/>
    <w:rsid w:val="00E94DDB"/>
    <w:rsid w:val="00E95E4C"/>
    <w:rsid w:val="00E96BFE"/>
    <w:rsid w:val="00E96CC7"/>
    <w:rsid w:val="00E97704"/>
    <w:rsid w:val="00EA0358"/>
    <w:rsid w:val="00EA0814"/>
    <w:rsid w:val="00EA0B27"/>
    <w:rsid w:val="00EA10FD"/>
    <w:rsid w:val="00EA1B9A"/>
    <w:rsid w:val="00EA20DA"/>
    <w:rsid w:val="00EA22EC"/>
    <w:rsid w:val="00EA233E"/>
    <w:rsid w:val="00EA23A3"/>
    <w:rsid w:val="00EA23B6"/>
    <w:rsid w:val="00EA2A38"/>
    <w:rsid w:val="00EA2B09"/>
    <w:rsid w:val="00EA3277"/>
    <w:rsid w:val="00EA39A5"/>
    <w:rsid w:val="00EA3BC8"/>
    <w:rsid w:val="00EA3BEA"/>
    <w:rsid w:val="00EA455A"/>
    <w:rsid w:val="00EA54BC"/>
    <w:rsid w:val="00EA54E7"/>
    <w:rsid w:val="00EA5B6C"/>
    <w:rsid w:val="00EA670E"/>
    <w:rsid w:val="00EA7252"/>
    <w:rsid w:val="00EA7811"/>
    <w:rsid w:val="00EA7963"/>
    <w:rsid w:val="00EA7E83"/>
    <w:rsid w:val="00EB0155"/>
    <w:rsid w:val="00EB055E"/>
    <w:rsid w:val="00EB0930"/>
    <w:rsid w:val="00EB0B5E"/>
    <w:rsid w:val="00EB1661"/>
    <w:rsid w:val="00EB20AB"/>
    <w:rsid w:val="00EB257E"/>
    <w:rsid w:val="00EB31D8"/>
    <w:rsid w:val="00EB3B55"/>
    <w:rsid w:val="00EB3BF5"/>
    <w:rsid w:val="00EB447C"/>
    <w:rsid w:val="00EB4567"/>
    <w:rsid w:val="00EB45E7"/>
    <w:rsid w:val="00EB4957"/>
    <w:rsid w:val="00EB4D5A"/>
    <w:rsid w:val="00EB5305"/>
    <w:rsid w:val="00EB5532"/>
    <w:rsid w:val="00EB6030"/>
    <w:rsid w:val="00EB626F"/>
    <w:rsid w:val="00EB656A"/>
    <w:rsid w:val="00EB67D4"/>
    <w:rsid w:val="00EB6909"/>
    <w:rsid w:val="00EB6E5B"/>
    <w:rsid w:val="00EC06F0"/>
    <w:rsid w:val="00EC08B2"/>
    <w:rsid w:val="00EC0993"/>
    <w:rsid w:val="00EC0F1E"/>
    <w:rsid w:val="00EC160E"/>
    <w:rsid w:val="00EC196A"/>
    <w:rsid w:val="00EC1A8D"/>
    <w:rsid w:val="00EC1C0C"/>
    <w:rsid w:val="00EC2736"/>
    <w:rsid w:val="00EC28F1"/>
    <w:rsid w:val="00EC37B2"/>
    <w:rsid w:val="00EC4122"/>
    <w:rsid w:val="00EC4290"/>
    <w:rsid w:val="00EC49A1"/>
    <w:rsid w:val="00EC53EA"/>
    <w:rsid w:val="00EC55D6"/>
    <w:rsid w:val="00EC5BAC"/>
    <w:rsid w:val="00EC67E2"/>
    <w:rsid w:val="00EC6B9A"/>
    <w:rsid w:val="00EC727B"/>
    <w:rsid w:val="00EC7316"/>
    <w:rsid w:val="00ED002C"/>
    <w:rsid w:val="00ED0B36"/>
    <w:rsid w:val="00ED0F17"/>
    <w:rsid w:val="00ED1028"/>
    <w:rsid w:val="00ED10CA"/>
    <w:rsid w:val="00ED10F4"/>
    <w:rsid w:val="00ED1350"/>
    <w:rsid w:val="00ED1452"/>
    <w:rsid w:val="00ED14A6"/>
    <w:rsid w:val="00ED1673"/>
    <w:rsid w:val="00ED3594"/>
    <w:rsid w:val="00ED3953"/>
    <w:rsid w:val="00ED3D68"/>
    <w:rsid w:val="00ED40C6"/>
    <w:rsid w:val="00ED5132"/>
    <w:rsid w:val="00ED526C"/>
    <w:rsid w:val="00ED5553"/>
    <w:rsid w:val="00ED570B"/>
    <w:rsid w:val="00ED60EE"/>
    <w:rsid w:val="00ED616B"/>
    <w:rsid w:val="00ED63FE"/>
    <w:rsid w:val="00ED66DE"/>
    <w:rsid w:val="00ED677A"/>
    <w:rsid w:val="00ED689C"/>
    <w:rsid w:val="00ED6CE1"/>
    <w:rsid w:val="00ED776A"/>
    <w:rsid w:val="00ED78A8"/>
    <w:rsid w:val="00ED7A76"/>
    <w:rsid w:val="00ED7A91"/>
    <w:rsid w:val="00EE055A"/>
    <w:rsid w:val="00EE0D33"/>
    <w:rsid w:val="00EE0E1F"/>
    <w:rsid w:val="00EE26DB"/>
    <w:rsid w:val="00EE27F7"/>
    <w:rsid w:val="00EE28FD"/>
    <w:rsid w:val="00EE2DFC"/>
    <w:rsid w:val="00EE317E"/>
    <w:rsid w:val="00EE3779"/>
    <w:rsid w:val="00EE3B71"/>
    <w:rsid w:val="00EE3EF4"/>
    <w:rsid w:val="00EE4856"/>
    <w:rsid w:val="00EE4C13"/>
    <w:rsid w:val="00EE5341"/>
    <w:rsid w:val="00EE540A"/>
    <w:rsid w:val="00EE64BC"/>
    <w:rsid w:val="00EE6927"/>
    <w:rsid w:val="00EE697D"/>
    <w:rsid w:val="00EE6C05"/>
    <w:rsid w:val="00EE6D03"/>
    <w:rsid w:val="00EE7E06"/>
    <w:rsid w:val="00EE7FFC"/>
    <w:rsid w:val="00EF02FA"/>
    <w:rsid w:val="00EF02FD"/>
    <w:rsid w:val="00EF03AA"/>
    <w:rsid w:val="00EF202F"/>
    <w:rsid w:val="00EF237F"/>
    <w:rsid w:val="00EF2AEC"/>
    <w:rsid w:val="00EF2B71"/>
    <w:rsid w:val="00EF351D"/>
    <w:rsid w:val="00EF38B1"/>
    <w:rsid w:val="00EF4325"/>
    <w:rsid w:val="00EF47FC"/>
    <w:rsid w:val="00EF50C2"/>
    <w:rsid w:val="00EF5A99"/>
    <w:rsid w:val="00EF5EE1"/>
    <w:rsid w:val="00EF603F"/>
    <w:rsid w:val="00EF60ED"/>
    <w:rsid w:val="00EF71A0"/>
    <w:rsid w:val="00EF7317"/>
    <w:rsid w:val="00EF759A"/>
    <w:rsid w:val="00F00209"/>
    <w:rsid w:val="00F00440"/>
    <w:rsid w:val="00F00576"/>
    <w:rsid w:val="00F006E9"/>
    <w:rsid w:val="00F01546"/>
    <w:rsid w:val="00F016C1"/>
    <w:rsid w:val="00F01A03"/>
    <w:rsid w:val="00F034DD"/>
    <w:rsid w:val="00F03610"/>
    <w:rsid w:val="00F03F09"/>
    <w:rsid w:val="00F040DE"/>
    <w:rsid w:val="00F047CC"/>
    <w:rsid w:val="00F0581F"/>
    <w:rsid w:val="00F05C60"/>
    <w:rsid w:val="00F064CD"/>
    <w:rsid w:val="00F06C2E"/>
    <w:rsid w:val="00F06C37"/>
    <w:rsid w:val="00F1004E"/>
    <w:rsid w:val="00F10956"/>
    <w:rsid w:val="00F10FDB"/>
    <w:rsid w:val="00F11888"/>
    <w:rsid w:val="00F1203C"/>
    <w:rsid w:val="00F12229"/>
    <w:rsid w:val="00F122B6"/>
    <w:rsid w:val="00F12347"/>
    <w:rsid w:val="00F127C5"/>
    <w:rsid w:val="00F12ADE"/>
    <w:rsid w:val="00F12B0C"/>
    <w:rsid w:val="00F12D1D"/>
    <w:rsid w:val="00F13317"/>
    <w:rsid w:val="00F13598"/>
    <w:rsid w:val="00F1360B"/>
    <w:rsid w:val="00F13679"/>
    <w:rsid w:val="00F13703"/>
    <w:rsid w:val="00F137DD"/>
    <w:rsid w:val="00F1382D"/>
    <w:rsid w:val="00F13926"/>
    <w:rsid w:val="00F13AF2"/>
    <w:rsid w:val="00F140B1"/>
    <w:rsid w:val="00F14676"/>
    <w:rsid w:val="00F14F36"/>
    <w:rsid w:val="00F14F3E"/>
    <w:rsid w:val="00F15468"/>
    <w:rsid w:val="00F15572"/>
    <w:rsid w:val="00F16C84"/>
    <w:rsid w:val="00F16E90"/>
    <w:rsid w:val="00F1745D"/>
    <w:rsid w:val="00F179A7"/>
    <w:rsid w:val="00F179E7"/>
    <w:rsid w:val="00F204CA"/>
    <w:rsid w:val="00F20637"/>
    <w:rsid w:val="00F21020"/>
    <w:rsid w:val="00F21D7F"/>
    <w:rsid w:val="00F22413"/>
    <w:rsid w:val="00F22701"/>
    <w:rsid w:val="00F2282F"/>
    <w:rsid w:val="00F22E67"/>
    <w:rsid w:val="00F22F7C"/>
    <w:rsid w:val="00F233BB"/>
    <w:rsid w:val="00F2396D"/>
    <w:rsid w:val="00F24024"/>
    <w:rsid w:val="00F24728"/>
    <w:rsid w:val="00F24746"/>
    <w:rsid w:val="00F25835"/>
    <w:rsid w:val="00F25958"/>
    <w:rsid w:val="00F26082"/>
    <w:rsid w:val="00F26633"/>
    <w:rsid w:val="00F26CE6"/>
    <w:rsid w:val="00F273A2"/>
    <w:rsid w:val="00F2778D"/>
    <w:rsid w:val="00F279FE"/>
    <w:rsid w:val="00F27A22"/>
    <w:rsid w:val="00F3014B"/>
    <w:rsid w:val="00F3149F"/>
    <w:rsid w:val="00F31559"/>
    <w:rsid w:val="00F31580"/>
    <w:rsid w:val="00F316C7"/>
    <w:rsid w:val="00F31EC4"/>
    <w:rsid w:val="00F322C6"/>
    <w:rsid w:val="00F345D3"/>
    <w:rsid w:val="00F34974"/>
    <w:rsid w:val="00F3498E"/>
    <w:rsid w:val="00F35180"/>
    <w:rsid w:val="00F35D6E"/>
    <w:rsid w:val="00F36FA1"/>
    <w:rsid w:val="00F3722D"/>
    <w:rsid w:val="00F3737B"/>
    <w:rsid w:val="00F37567"/>
    <w:rsid w:val="00F37E39"/>
    <w:rsid w:val="00F37F31"/>
    <w:rsid w:val="00F4024D"/>
    <w:rsid w:val="00F41024"/>
    <w:rsid w:val="00F417E0"/>
    <w:rsid w:val="00F41A5B"/>
    <w:rsid w:val="00F41B01"/>
    <w:rsid w:val="00F41F91"/>
    <w:rsid w:val="00F42216"/>
    <w:rsid w:val="00F42696"/>
    <w:rsid w:val="00F4282C"/>
    <w:rsid w:val="00F42FD2"/>
    <w:rsid w:val="00F435D2"/>
    <w:rsid w:val="00F435FC"/>
    <w:rsid w:val="00F43AF0"/>
    <w:rsid w:val="00F43DCB"/>
    <w:rsid w:val="00F4408E"/>
    <w:rsid w:val="00F45610"/>
    <w:rsid w:val="00F4590C"/>
    <w:rsid w:val="00F46388"/>
    <w:rsid w:val="00F463F5"/>
    <w:rsid w:val="00F46D95"/>
    <w:rsid w:val="00F46DAB"/>
    <w:rsid w:val="00F470A7"/>
    <w:rsid w:val="00F47340"/>
    <w:rsid w:val="00F47B37"/>
    <w:rsid w:val="00F47B54"/>
    <w:rsid w:val="00F47D21"/>
    <w:rsid w:val="00F50436"/>
    <w:rsid w:val="00F51A56"/>
    <w:rsid w:val="00F52143"/>
    <w:rsid w:val="00F536C0"/>
    <w:rsid w:val="00F53935"/>
    <w:rsid w:val="00F53987"/>
    <w:rsid w:val="00F53BC2"/>
    <w:rsid w:val="00F53CE7"/>
    <w:rsid w:val="00F54705"/>
    <w:rsid w:val="00F54F1E"/>
    <w:rsid w:val="00F5517E"/>
    <w:rsid w:val="00F551B7"/>
    <w:rsid w:val="00F5558F"/>
    <w:rsid w:val="00F55745"/>
    <w:rsid w:val="00F56085"/>
    <w:rsid w:val="00F560AD"/>
    <w:rsid w:val="00F563D5"/>
    <w:rsid w:val="00F56D54"/>
    <w:rsid w:val="00F57721"/>
    <w:rsid w:val="00F579FE"/>
    <w:rsid w:val="00F57E7F"/>
    <w:rsid w:val="00F57F40"/>
    <w:rsid w:val="00F60187"/>
    <w:rsid w:val="00F6093F"/>
    <w:rsid w:val="00F60A9E"/>
    <w:rsid w:val="00F60B92"/>
    <w:rsid w:val="00F616CB"/>
    <w:rsid w:val="00F62C41"/>
    <w:rsid w:val="00F6372D"/>
    <w:rsid w:val="00F63EA8"/>
    <w:rsid w:val="00F661B9"/>
    <w:rsid w:val="00F6727A"/>
    <w:rsid w:val="00F672EE"/>
    <w:rsid w:val="00F67ADF"/>
    <w:rsid w:val="00F67F09"/>
    <w:rsid w:val="00F70219"/>
    <w:rsid w:val="00F708F4"/>
    <w:rsid w:val="00F70965"/>
    <w:rsid w:val="00F70BE6"/>
    <w:rsid w:val="00F70D2D"/>
    <w:rsid w:val="00F712BC"/>
    <w:rsid w:val="00F715B3"/>
    <w:rsid w:val="00F717D0"/>
    <w:rsid w:val="00F72396"/>
    <w:rsid w:val="00F728BA"/>
    <w:rsid w:val="00F730BD"/>
    <w:rsid w:val="00F73BD1"/>
    <w:rsid w:val="00F73E48"/>
    <w:rsid w:val="00F7486C"/>
    <w:rsid w:val="00F74CB5"/>
    <w:rsid w:val="00F757E4"/>
    <w:rsid w:val="00F75A5D"/>
    <w:rsid w:val="00F75D25"/>
    <w:rsid w:val="00F75E1F"/>
    <w:rsid w:val="00F761A3"/>
    <w:rsid w:val="00F763B9"/>
    <w:rsid w:val="00F765B9"/>
    <w:rsid w:val="00F766BA"/>
    <w:rsid w:val="00F76855"/>
    <w:rsid w:val="00F76C4D"/>
    <w:rsid w:val="00F77068"/>
    <w:rsid w:val="00F770B9"/>
    <w:rsid w:val="00F77485"/>
    <w:rsid w:val="00F775C4"/>
    <w:rsid w:val="00F77988"/>
    <w:rsid w:val="00F779E9"/>
    <w:rsid w:val="00F80A4A"/>
    <w:rsid w:val="00F80F0D"/>
    <w:rsid w:val="00F814F3"/>
    <w:rsid w:val="00F81741"/>
    <w:rsid w:val="00F81D22"/>
    <w:rsid w:val="00F81E1F"/>
    <w:rsid w:val="00F822F6"/>
    <w:rsid w:val="00F8336E"/>
    <w:rsid w:val="00F8338C"/>
    <w:rsid w:val="00F83726"/>
    <w:rsid w:val="00F83BC3"/>
    <w:rsid w:val="00F83C70"/>
    <w:rsid w:val="00F83D57"/>
    <w:rsid w:val="00F8418B"/>
    <w:rsid w:val="00F851EC"/>
    <w:rsid w:val="00F85843"/>
    <w:rsid w:val="00F86446"/>
    <w:rsid w:val="00F86AC8"/>
    <w:rsid w:val="00F86C4D"/>
    <w:rsid w:val="00F86E3E"/>
    <w:rsid w:val="00F8705B"/>
    <w:rsid w:val="00F874F5"/>
    <w:rsid w:val="00F87822"/>
    <w:rsid w:val="00F87A1B"/>
    <w:rsid w:val="00F87CD2"/>
    <w:rsid w:val="00F87D34"/>
    <w:rsid w:val="00F87ECA"/>
    <w:rsid w:val="00F905E3"/>
    <w:rsid w:val="00F90ACA"/>
    <w:rsid w:val="00F90C6D"/>
    <w:rsid w:val="00F90EA8"/>
    <w:rsid w:val="00F912EF"/>
    <w:rsid w:val="00F913A4"/>
    <w:rsid w:val="00F91F1F"/>
    <w:rsid w:val="00F91FD6"/>
    <w:rsid w:val="00F93793"/>
    <w:rsid w:val="00F9388F"/>
    <w:rsid w:val="00F93995"/>
    <w:rsid w:val="00F94771"/>
    <w:rsid w:val="00F94948"/>
    <w:rsid w:val="00F9503E"/>
    <w:rsid w:val="00F950DA"/>
    <w:rsid w:val="00F9519D"/>
    <w:rsid w:val="00F95573"/>
    <w:rsid w:val="00F95DB1"/>
    <w:rsid w:val="00F95E32"/>
    <w:rsid w:val="00F96032"/>
    <w:rsid w:val="00F963C3"/>
    <w:rsid w:val="00F96882"/>
    <w:rsid w:val="00F96A13"/>
    <w:rsid w:val="00F96AB5"/>
    <w:rsid w:val="00F97103"/>
    <w:rsid w:val="00F9714C"/>
    <w:rsid w:val="00F97273"/>
    <w:rsid w:val="00FA072C"/>
    <w:rsid w:val="00FA0827"/>
    <w:rsid w:val="00FA09BA"/>
    <w:rsid w:val="00FA0CA7"/>
    <w:rsid w:val="00FA1065"/>
    <w:rsid w:val="00FA235D"/>
    <w:rsid w:val="00FA267C"/>
    <w:rsid w:val="00FA2D56"/>
    <w:rsid w:val="00FA2F00"/>
    <w:rsid w:val="00FA3047"/>
    <w:rsid w:val="00FA31DE"/>
    <w:rsid w:val="00FA3921"/>
    <w:rsid w:val="00FA3B23"/>
    <w:rsid w:val="00FA4540"/>
    <w:rsid w:val="00FA4DAB"/>
    <w:rsid w:val="00FA4EEA"/>
    <w:rsid w:val="00FA51B4"/>
    <w:rsid w:val="00FA555A"/>
    <w:rsid w:val="00FA5578"/>
    <w:rsid w:val="00FA55B4"/>
    <w:rsid w:val="00FA58EA"/>
    <w:rsid w:val="00FA5A24"/>
    <w:rsid w:val="00FA5A55"/>
    <w:rsid w:val="00FA6117"/>
    <w:rsid w:val="00FA6148"/>
    <w:rsid w:val="00FA61F6"/>
    <w:rsid w:val="00FA62DD"/>
    <w:rsid w:val="00FA6361"/>
    <w:rsid w:val="00FA6401"/>
    <w:rsid w:val="00FA6E49"/>
    <w:rsid w:val="00FA7453"/>
    <w:rsid w:val="00FA7717"/>
    <w:rsid w:val="00FA7F4A"/>
    <w:rsid w:val="00FB10D8"/>
    <w:rsid w:val="00FB1142"/>
    <w:rsid w:val="00FB1355"/>
    <w:rsid w:val="00FB1C90"/>
    <w:rsid w:val="00FB263E"/>
    <w:rsid w:val="00FB2720"/>
    <w:rsid w:val="00FB2BC4"/>
    <w:rsid w:val="00FB3493"/>
    <w:rsid w:val="00FB3A7D"/>
    <w:rsid w:val="00FB431B"/>
    <w:rsid w:val="00FB51D7"/>
    <w:rsid w:val="00FB57A7"/>
    <w:rsid w:val="00FB5C0D"/>
    <w:rsid w:val="00FB5FC2"/>
    <w:rsid w:val="00FB65B6"/>
    <w:rsid w:val="00FB6B56"/>
    <w:rsid w:val="00FB7468"/>
    <w:rsid w:val="00FB76CB"/>
    <w:rsid w:val="00FB7784"/>
    <w:rsid w:val="00FC024F"/>
    <w:rsid w:val="00FC0991"/>
    <w:rsid w:val="00FC1124"/>
    <w:rsid w:val="00FC179B"/>
    <w:rsid w:val="00FC1850"/>
    <w:rsid w:val="00FC238F"/>
    <w:rsid w:val="00FC2B52"/>
    <w:rsid w:val="00FC2D13"/>
    <w:rsid w:val="00FC2FF5"/>
    <w:rsid w:val="00FC35A5"/>
    <w:rsid w:val="00FC3EEE"/>
    <w:rsid w:val="00FC4C83"/>
    <w:rsid w:val="00FC4E88"/>
    <w:rsid w:val="00FC531F"/>
    <w:rsid w:val="00FC55B7"/>
    <w:rsid w:val="00FC5946"/>
    <w:rsid w:val="00FC5C96"/>
    <w:rsid w:val="00FC5D2B"/>
    <w:rsid w:val="00FC6568"/>
    <w:rsid w:val="00FC670A"/>
    <w:rsid w:val="00FC6B21"/>
    <w:rsid w:val="00FD0333"/>
    <w:rsid w:val="00FD0569"/>
    <w:rsid w:val="00FD1926"/>
    <w:rsid w:val="00FD214F"/>
    <w:rsid w:val="00FD2153"/>
    <w:rsid w:val="00FD2164"/>
    <w:rsid w:val="00FD24BF"/>
    <w:rsid w:val="00FD26A5"/>
    <w:rsid w:val="00FD2C1F"/>
    <w:rsid w:val="00FD37EC"/>
    <w:rsid w:val="00FD49CA"/>
    <w:rsid w:val="00FD4DE3"/>
    <w:rsid w:val="00FD5075"/>
    <w:rsid w:val="00FD51CB"/>
    <w:rsid w:val="00FD63EA"/>
    <w:rsid w:val="00FD6687"/>
    <w:rsid w:val="00FD6933"/>
    <w:rsid w:val="00FD73A9"/>
    <w:rsid w:val="00FD78C4"/>
    <w:rsid w:val="00FE0472"/>
    <w:rsid w:val="00FE04A9"/>
    <w:rsid w:val="00FE04BE"/>
    <w:rsid w:val="00FE0BE8"/>
    <w:rsid w:val="00FE0CD6"/>
    <w:rsid w:val="00FE11FB"/>
    <w:rsid w:val="00FE141D"/>
    <w:rsid w:val="00FE160B"/>
    <w:rsid w:val="00FE1BE6"/>
    <w:rsid w:val="00FE2542"/>
    <w:rsid w:val="00FE28FE"/>
    <w:rsid w:val="00FE348A"/>
    <w:rsid w:val="00FE3701"/>
    <w:rsid w:val="00FE37AF"/>
    <w:rsid w:val="00FE3AB7"/>
    <w:rsid w:val="00FE4598"/>
    <w:rsid w:val="00FE48CF"/>
    <w:rsid w:val="00FE4E5D"/>
    <w:rsid w:val="00FE5348"/>
    <w:rsid w:val="00FE65EC"/>
    <w:rsid w:val="00FE6ADD"/>
    <w:rsid w:val="00FE6BEF"/>
    <w:rsid w:val="00FE7176"/>
    <w:rsid w:val="00FE7740"/>
    <w:rsid w:val="00FF079A"/>
    <w:rsid w:val="00FF0E5A"/>
    <w:rsid w:val="00FF138F"/>
    <w:rsid w:val="00FF13D9"/>
    <w:rsid w:val="00FF1449"/>
    <w:rsid w:val="00FF14FE"/>
    <w:rsid w:val="00FF2799"/>
    <w:rsid w:val="00FF2A47"/>
    <w:rsid w:val="00FF3E21"/>
    <w:rsid w:val="00FF4086"/>
    <w:rsid w:val="00FF4B05"/>
    <w:rsid w:val="00FF556D"/>
    <w:rsid w:val="00FF5DA5"/>
    <w:rsid w:val="00FF6FD9"/>
    <w:rsid w:val="00FF7071"/>
    <w:rsid w:val="00FF7E54"/>
    <w:rsid w:val="1317ADD2"/>
    <w:rsid w:val="3DDDBC9F"/>
    <w:rsid w:val="47D341ED"/>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90FE"/>
  <w15:docId w15:val="{6461796F-59C4-4BA2-8823-D725B6D2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76FF"/>
    <w:pPr>
      <w:spacing w:after="0" w:line="288" w:lineRule="auto"/>
      <w:jc w:val="both"/>
    </w:pPr>
    <w:rPr>
      <w:rFonts w:ascii="Verdana" w:eastAsia="Times New Roman" w:hAnsi="Verdana" w:cs="Times New Roman"/>
      <w:sz w:val="17"/>
      <w:szCs w:val="24"/>
      <w:lang w:val="en-GB"/>
    </w:rPr>
  </w:style>
  <w:style w:type="paragraph" w:styleId="Nadpis2">
    <w:name w:val="heading 2"/>
    <w:basedOn w:val="Normlny"/>
    <w:next w:val="Normlny"/>
    <w:link w:val="Nadpis2Char"/>
    <w:uiPriority w:val="9"/>
    <w:unhideWhenUsed/>
    <w:qFormat/>
    <w:rsid w:val="0003238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9176FF"/>
    <w:pPr>
      <w:tabs>
        <w:tab w:val="center" w:pos="4320"/>
        <w:tab w:val="right" w:pos="8640"/>
      </w:tabs>
    </w:pPr>
  </w:style>
  <w:style w:type="character" w:customStyle="1" w:styleId="HlavikaChar">
    <w:name w:val="Hlavička Char"/>
    <w:basedOn w:val="Predvolenpsmoodseku"/>
    <w:link w:val="Hlavika"/>
    <w:semiHidden/>
    <w:rsid w:val="009176FF"/>
    <w:rPr>
      <w:rFonts w:ascii="Verdana" w:eastAsia="Times New Roman" w:hAnsi="Verdana" w:cs="Times New Roman"/>
      <w:sz w:val="17"/>
      <w:szCs w:val="24"/>
      <w:lang w:val="en-GB"/>
    </w:rPr>
  </w:style>
  <w:style w:type="paragraph" w:styleId="Pta">
    <w:name w:val="footer"/>
    <w:basedOn w:val="Normlny"/>
    <w:link w:val="PtaChar"/>
    <w:uiPriority w:val="99"/>
    <w:rsid w:val="009176FF"/>
    <w:pPr>
      <w:tabs>
        <w:tab w:val="center" w:pos="4320"/>
        <w:tab w:val="right" w:pos="8640"/>
      </w:tabs>
    </w:pPr>
  </w:style>
  <w:style w:type="character" w:customStyle="1" w:styleId="PtaChar">
    <w:name w:val="Päta Char"/>
    <w:basedOn w:val="Predvolenpsmoodseku"/>
    <w:link w:val="Pta"/>
    <w:uiPriority w:val="99"/>
    <w:rsid w:val="009176FF"/>
    <w:rPr>
      <w:rFonts w:ascii="Verdana" w:eastAsia="Times New Roman" w:hAnsi="Verdana" w:cs="Times New Roman"/>
      <w:sz w:val="17"/>
      <w:szCs w:val="24"/>
      <w:lang w:val="en-GB"/>
    </w:rPr>
  </w:style>
  <w:style w:type="paragraph" w:customStyle="1" w:styleId="Noparagraphstyle">
    <w:name w:val="[No paragraph style]"/>
    <w:semiHidden/>
    <w:rsid w:val="009176F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customStyle="1" w:styleId="CEAGraphTitle">
    <w:name w:val="CEA Graph Title"/>
    <w:basedOn w:val="Predvolenpsmoodseku"/>
    <w:uiPriority w:val="1"/>
    <w:qFormat/>
    <w:rsid w:val="009176FF"/>
    <w:rPr>
      <w:rFonts w:ascii="Verdana" w:hAnsi="Verdana"/>
      <w:smallCaps w:val="0"/>
      <w:sz w:val="17"/>
      <w:lang w:val="en-GB"/>
    </w:rPr>
  </w:style>
  <w:style w:type="paragraph" w:customStyle="1" w:styleId="CEABullet-Level1">
    <w:name w:val="CEA Bullet - Level 1"/>
    <w:basedOn w:val="Normlny"/>
    <w:link w:val="CEABullet-Level1Char"/>
    <w:qFormat/>
    <w:rsid w:val="001126A0"/>
    <w:pPr>
      <w:numPr>
        <w:numId w:val="1"/>
      </w:numPr>
      <w:autoSpaceDE w:val="0"/>
      <w:autoSpaceDN w:val="0"/>
      <w:adjustRightInd w:val="0"/>
    </w:pPr>
    <w:rPr>
      <w:rFonts w:cs="Frutiger LT Std 45 Light"/>
      <w:color w:val="000000"/>
      <w:szCs w:val="20"/>
    </w:rPr>
  </w:style>
  <w:style w:type="paragraph" w:customStyle="1" w:styleId="CEABullet-Level2">
    <w:name w:val="CEA Bullet - Level 2"/>
    <w:basedOn w:val="CEABullet-Level1"/>
    <w:next w:val="Normlny"/>
    <w:qFormat/>
    <w:rsid w:val="001126A0"/>
    <w:pPr>
      <w:numPr>
        <w:numId w:val="2"/>
      </w:numPr>
    </w:pPr>
  </w:style>
  <w:style w:type="paragraph" w:customStyle="1" w:styleId="CEABullet-Level3">
    <w:name w:val="CEA Bullet - Level 3"/>
    <w:basedOn w:val="Normlny"/>
    <w:qFormat/>
    <w:rsid w:val="001126A0"/>
    <w:pPr>
      <w:numPr>
        <w:numId w:val="3"/>
      </w:numPr>
      <w:autoSpaceDE w:val="0"/>
      <w:autoSpaceDN w:val="0"/>
      <w:adjustRightInd w:val="0"/>
    </w:pPr>
    <w:rPr>
      <w:rFonts w:cs="Frutiger LT Std 45 Light"/>
      <w:color w:val="000000"/>
      <w:szCs w:val="20"/>
    </w:rPr>
  </w:style>
  <w:style w:type="paragraph" w:customStyle="1" w:styleId="CEADirectorGeneral">
    <w:name w:val="CEA Director General"/>
    <w:basedOn w:val="Normlny"/>
    <w:semiHidden/>
    <w:qFormat/>
    <w:rsid w:val="001126A0"/>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1126A0"/>
    <w:pPr>
      <w:jc w:val="right"/>
    </w:pPr>
    <w:rPr>
      <w:rFonts w:cs="Frutiger LT Std 55 Roman"/>
      <w:b/>
      <w:color w:val="0032FF"/>
      <w:sz w:val="40"/>
      <w:szCs w:val="40"/>
    </w:rPr>
  </w:style>
  <w:style w:type="paragraph" w:customStyle="1" w:styleId="CEADraft">
    <w:name w:val="CEA Draft"/>
    <w:basedOn w:val="Normlny"/>
    <w:semiHidden/>
    <w:qFormat/>
    <w:rsid w:val="001126A0"/>
    <w:pPr>
      <w:jc w:val="right"/>
    </w:pPr>
    <w:rPr>
      <w:rFonts w:cs="Arial"/>
      <w:b/>
      <w:i/>
      <w:color w:val="034EA2"/>
      <w:sz w:val="32"/>
      <w:szCs w:val="40"/>
    </w:rPr>
  </w:style>
  <w:style w:type="paragraph" w:customStyle="1" w:styleId="CEAFooterauthorinfo">
    <w:name w:val="CEA Footer (author info)"/>
    <w:basedOn w:val="Normlny"/>
    <w:semiHidden/>
    <w:qFormat/>
    <w:rsid w:val="001126A0"/>
    <w:pPr>
      <w:autoSpaceDE w:val="0"/>
      <w:autoSpaceDN w:val="0"/>
      <w:adjustRightInd w:val="0"/>
      <w:textAlignment w:val="center"/>
    </w:pPr>
    <w:rPr>
      <w:rFonts w:cs="Arial"/>
      <w:b/>
      <w:color w:val="034EA2"/>
      <w:sz w:val="16"/>
      <w:szCs w:val="16"/>
    </w:rPr>
  </w:style>
  <w:style w:type="paragraph" w:customStyle="1" w:styleId="CEAFootnote">
    <w:name w:val="CEA Footnote"/>
    <w:basedOn w:val="Normlny"/>
    <w:semiHidden/>
    <w:qFormat/>
    <w:rsid w:val="001126A0"/>
    <w:pPr>
      <w:spacing w:line="240" w:lineRule="auto"/>
    </w:pPr>
    <w:rPr>
      <w:sz w:val="16"/>
    </w:rPr>
  </w:style>
  <w:style w:type="character" w:customStyle="1" w:styleId="CEAGraphX">
    <w:name w:val="CEA Graph X"/>
    <w:uiPriority w:val="1"/>
    <w:qFormat/>
    <w:rsid w:val="001126A0"/>
    <w:rPr>
      <w:rFonts w:ascii="Verdana" w:hAnsi="Verdana"/>
      <w:smallCaps/>
      <w:sz w:val="19"/>
      <w:lang w:val="en-GB"/>
    </w:rPr>
  </w:style>
  <w:style w:type="paragraph" w:customStyle="1" w:styleId="CEALabel">
    <w:name w:val="CEA Label"/>
    <w:basedOn w:val="Normlny"/>
    <w:semiHidden/>
    <w:qFormat/>
    <w:rsid w:val="001126A0"/>
    <w:rPr>
      <w:rFonts w:cs="Arial"/>
      <w:b/>
      <w:color w:val="034EA2"/>
      <w:sz w:val="18"/>
      <w:szCs w:val="18"/>
    </w:rPr>
  </w:style>
  <w:style w:type="paragraph" w:customStyle="1" w:styleId="CEAPositionPaperTitle">
    <w:name w:val="CEA Position Paper Title"/>
    <w:basedOn w:val="Normlny"/>
    <w:semiHidden/>
    <w:qFormat/>
    <w:rsid w:val="001126A0"/>
    <w:pPr>
      <w:ind w:left="-27"/>
    </w:pPr>
    <w:rPr>
      <w:b/>
      <w:color w:val="034EA2"/>
      <w:sz w:val="32"/>
      <w:szCs w:val="32"/>
    </w:rPr>
  </w:style>
  <w:style w:type="paragraph" w:customStyle="1" w:styleId="CEAPressReleaseSubtitle">
    <w:name w:val="CEA Press Release Subtitle"/>
    <w:basedOn w:val="Normlny"/>
    <w:semiHidden/>
    <w:qFormat/>
    <w:rsid w:val="001126A0"/>
    <w:rPr>
      <w:sz w:val="22"/>
      <w:szCs w:val="22"/>
    </w:rPr>
  </w:style>
  <w:style w:type="paragraph" w:customStyle="1" w:styleId="CEAPressReleaseTitle">
    <w:name w:val="CEA Press Release Title"/>
    <w:basedOn w:val="Normlny"/>
    <w:semiHidden/>
    <w:qFormat/>
    <w:rsid w:val="001126A0"/>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1126A0"/>
    <w:rPr>
      <w:rFonts w:cs="Frutiger LT Std 55 Roman"/>
      <w:b/>
      <w:szCs w:val="20"/>
    </w:rPr>
  </w:style>
  <w:style w:type="paragraph" w:customStyle="1" w:styleId="Default">
    <w:name w:val="Default"/>
    <w:rsid w:val="001163E9"/>
    <w:pPr>
      <w:autoSpaceDE w:val="0"/>
      <w:autoSpaceDN w:val="0"/>
      <w:adjustRightInd w:val="0"/>
      <w:spacing w:after="0" w:line="240" w:lineRule="auto"/>
    </w:pPr>
    <w:rPr>
      <w:rFonts w:ascii="Verdana" w:hAnsi="Verdana" w:cs="Verdana"/>
      <w:color w:val="000000"/>
      <w:sz w:val="24"/>
      <w:szCs w:val="24"/>
      <w:lang w:val="en-GB"/>
    </w:rPr>
  </w:style>
  <w:style w:type="table" w:styleId="Mriekatabuky">
    <w:name w:val="Table Grid"/>
    <w:basedOn w:val="Normlnatabuka"/>
    <w:uiPriority w:val="59"/>
    <w:rsid w:val="001163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122E08"/>
    <w:rPr>
      <w:color w:val="0000FF" w:themeColor="hyperlink"/>
      <w:u w:val="single"/>
    </w:rPr>
  </w:style>
  <w:style w:type="character" w:styleId="Odkaznakomentr">
    <w:name w:val="annotation reference"/>
    <w:basedOn w:val="Predvolenpsmoodseku"/>
    <w:uiPriority w:val="99"/>
    <w:semiHidden/>
    <w:unhideWhenUsed/>
    <w:rsid w:val="00342750"/>
    <w:rPr>
      <w:sz w:val="16"/>
      <w:szCs w:val="16"/>
    </w:rPr>
  </w:style>
  <w:style w:type="paragraph" w:styleId="Textkomentra">
    <w:name w:val="annotation text"/>
    <w:basedOn w:val="Normlny"/>
    <w:link w:val="TextkomentraChar"/>
    <w:uiPriority w:val="99"/>
    <w:unhideWhenUsed/>
    <w:rsid w:val="00342750"/>
    <w:pPr>
      <w:spacing w:line="240" w:lineRule="auto"/>
      <w:jc w:val="left"/>
    </w:pPr>
    <w:rPr>
      <w:sz w:val="20"/>
      <w:szCs w:val="20"/>
    </w:rPr>
  </w:style>
  <w:style w:type="character" w:customStyle="1" w:styleId="TextkomentraChar">
    <w:name w:val="Text komentára Char"/>
    <w:basedOn w:val="Predvolenpsmoodseku"/>
    <w:link w:val="Textkomentra"/>
    <w:uiPriority w:val="99"/>
    <w:rsid w:val="00342750"/>
    <w:rPr>
      <w:rFonts w:ascii="Verdana" w:eastAsia="Times New Roman" w:hAnsi="Verdana" w:cs="Times New Roman"/>
      <w:sz w:val="20"/>
      <w:szCs w:val="20"/>
      <w:lang w:val="en-GB"/>
    </w:rPr>
  </w:style>
  <w:style w:type="paragraph" w:styleId="Odsekzoznamu">
    <w:name w:val="List Paragraph"/>
    <w:basedOn w:val="Normlny"/>
    <w:uiPriority w:val="1"/>
    <w:qFormat/>
    <w:rsid w:val="00E7569A"/>
    <w:pPr>
      <w:ind w:left="720"/>
      <w:contextualSpacing/>
    </w:pPr>
  </w:style>
  <w:style w:type="paragraph" w:styleId="Predmetkomentra">
    <w:name w:val="annotation subject"/>
    <w:basedOn w:val="Textkomentra"/>
    <w:next w:val="Textkomentra"/>
    <w:link w:val="PredmetkomentraChar"/>
    <w:uiPriority w:val="99"/>
    <w:semiHidden/>
    <w:unhideWhenUsed/>
    <w:rsid w:val="009A296B"/>
    <w:pPr>
      <w:jc w:val="both"/>
    </w:pPr>
    <w:rPr>
      <w:b/>
      <w:bCs/>
    </w:rPr>
  </w:style>
  <w:style w:type="character" w:customStyle="1" w:styleId="PredmetkomentraChar">
    <w:name w:val="Predmet komentára Char"/>
    <w:basedOn w:val="TextkomentraChar"/>
    <w:link w:val="Predmetkomentra"/>
    <w:uiPriority w:val="99"/>
    <w:semiHidden/>
    <w:rsid w:val="009A296B"/>
    <w:rPr>
      <w:rFonts w:ascii="Verdana" w:eastAsia="Times New Roman" w:hAnsi="Verdana" w:cs="Times New Roman"/>
      <w:b/>
      <w:bCs/>
      <w:sz w:val="20"/>
      <w:szCs w:val="20"/>
      <w:lang w:val="en-GB"/>
    </w:rPr>
  </w:style>
  <w:style w:type="character" w:customStyle="1" w:styleId="CEABullet-Level1Char">
    <w:name w:val="CEA Bullet - Level 1 Char"/>
    <w:link w:val="CEABullet-Level1"/>
    <w:rsid w:val="00A15C13"/>
    <w:rPr>
      <w:rFonts w:ascii="Verdana" w:eastAsia="Times New Roman" w:hAnsi="Verdana" w:cs="Frutiger LT Std 45 Light"/>
      <w:color w:val="000000"/>
      <w:sz w:val="17"/>
      <w:szCs w:val="20"/>
      <w:lang w:val="en-GB"/>
    </w:rPr>
  </w:style>
  <w:style w:type="paragraph" w:customStyle="1" w:styleId="BodyText-CEA">
    <w:name w:val="Body Text - CEA"/>
    <w:basedOn w:val="Normlny"/>
    <w:semiHidden/>
    <w:rsid w:val="00DD1420"/>
    <w:pPr>
      <w:autoSpaceDE w:val="0"/>
      <w:autoSpaceDN w:val="0"/>
      <w:adjustRightInd w:val="0"/>
      <w:spacing w:line="24" w:lineRule="atLeast"/>
      <w:jc w:val="right"/>
      <w:textAlignment w:val="center"/>
    </w:pPr>
    <w:rPr>
      <w:rFonts w:cs="Arial"/>
      <w:b/>
      <w:color w:val="034EA2"/>
      <w:w w:val="90"/>
      <w:sz w:val="16"/>
      <w:szCs w:val="16"/>
    </w:rPr>
  </w:style>
  <w:style w:type="character" w:customStyle="1" w:styleId="normaltextrun">
    <w:name w:val="normaltextrun"/>
    <w:basedOn w:val="Predvolenpsmoodseku"/>
    <w:rsid w:val="0073226D"/>
  </w:style>
  <w:style w:type="character" w:styleId="Nevyrieenzmienka">
    <w:name w:val="Unresolved Mention"/>
    <w:basedOn w:val="Predvolenpsmoodseku"/>
    <w:uiPriority w:val="99"/>
    <w:unhideWhenUsed/>
    <w:rsid w:val="003039D7"/>
    <w:rPr>
      <w:color w:val="605E5C"/>
      <w:shd w:val="clear" w:color="auto" w:fill="E1DFDD"/>
    </w:rPr>
  </w:style>
  <w:style w:type="character" w:styleId="Zmienka">
    <w:name w:val="Mention"/>
    <w:basedOn w:val="Predvolenpsmoodseku"/>
    <w:uiPriority w:val="99"/>
    <w:unhideWhenUsed/>
    <w:rsid w:val="003039D7"/>
    <w:rPr>
      <w:color w:val="2B579A"/>
      <w:shd w:val="clear" w:color="auto" w:fill="E1DFDD"/>
    </w:rPr>
  </w:style>
  <w:style w:type="paragraph" w:styleId="Revzia">
    <w:name w:val="Revision"/>
    <w:hidden/>
    <w:uiPriority w:val="99"/>
    <w:semiHidden/>
    <w:rsid w:val="008D6605"/>
    <w:pPr>
      <w:spacing w:after="0" w:line="240" w:lineRule="auto"/>
    </w:pPr>
    <w:rPr>
      <w:rFonts w:ascii="Verdana" w:eastAsia="Times New Roman" w:hAnsi="Verdana" w:cs="Times New Roman"/>
      <w:sz w:val="17"/>
      <w:szCs w:val="24"/>
      <w:lang w:val="en-GB"/>
    </w:rPr>
  </w:style>
  <w:style w:type="character" w:customStyle="1" w:styleId="Nadpis2Char">
    <w:name w:val="Nadpis 2 Char"/>
    <w:basedOn w:val="Predvolenpsmoodseku"/>
    <w:link w:val="Nadpis2"/>
    <w:uiPriority w:val="9"/>
    <w:rsid w:val="00032382"/>
    <w:rPr>
      <w:rFonts w:asciiTheme="majorHAnsi" w:eastAsiaTheme="majorEastAsia" w:hAnsiTheme="majorHAnsi" w:cstheme="majorBidi"/>
      <w:color w:val="365F91" w:themeColor="accent1" w:themeShade="BF"/>
      <w:sz w:val="26"/>
      <w:szCs w:val="26"/>
      <w:lang w:val="en-GB"/>
    </w:rPr>
  </w:style>
  <w:style w:type="character" w:customStyle="1" w:styleId="eop">
    <w:name w:val="eop"/>
    <w:basedOn w:val="Predvolenpsmoodseku"/>
    <w:rsid w:val="008F30A7"/>
  </w:style>
  <w:style w:type="paragraph" w:customStyle="1" w:styleId="paragraph">
    <w:name w:val="paragraph"/>
    <w:basedOn w:val="Normlny"/>
    <w:rsid w:val="00493C7F"/>
    <w:pPr>
      <w:spacing w:before="100" w:beforeAutospacing="1" w:after="100" w:afterAutospacing="1" w:line="240" w:lineRule="auto"/>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0507">
      <w:bodyDiv w:val="1"/>
      <w:marLeft w:val="0"/>
      <w:marRight w:val="0"/>
      <w:marTop w:val="0"/>
      <w:marBottom w:val="0"/>
      <w:divBdr>
        <w:top w:val="none" w:sz="0" w:space="0" w:color="auto"/>
        <w:left w:val="none" w:sz="0" w:space="0" w:color="auto"/>
        <w:bottom w:val="none" w:sz="0" w:space="0" w:color="auto"/>
        <w:right w:val="none" w:sz="0" w:space="0" w:color="auto"/>
      </w:divBdr>
    </w:div>
    <w:div w:id="17705495">
      <w:bodyDiv w:val="1"/>
      <w:marLeft w:val="0"/>
      <w:marRight w:val="0"/>
      <w:marTop w:val="0"/>
      <w:marBottom w:val="0"/>
      <w:divBdr>
        <w:top w:val="none" w:sz="0" w:space="0" w:color="auto"/>
        <w:left w:val="none" w:sz="0" w:space="0" w:color="auto"/>
        <w:bottom w:val="none" w:sz="0" w:space="0" w:color="auto"/>
        <w:right w:val="none" w:sz="0" w:space="0" w:color="auto"/>
      </w:divBdr>
    </w:div>
    <w:div w:id="171917947">
      <w:bodyDiv w:val="1"/>
      <w:marLeft w:val="0"/>
      <w:marRight w:val="0"/>
      <w:marTop w:val="0"/>
      <w:marBottom w:val="0"/>
      <w:divBdr>
        <w:top w:val="none" w:sz="0" w:space="0" w:color="auto"/>
        <w:left w:val="none" w:sz="0" w:space="0" w:color="auto"/>
        <w:bottom w:val="none" w:sz="0" w:space="0" w:color="auto"/>
        <w:right w:val="none" w:sz="0" w:space="0" w:color="auto"/>
      </w:divBdr>
    </w:div>
    <w:div w:id="186530309">
      <w:bodyDiv w:val="1"/>
      <w:marLeft w:val="0"/>
      <w:marRight w:val="0"/>
      <w:marTop w:val="0"/>
      <w:marBottom w:val="0"/>
      <w:divBdr>
        <w:top w:val="none" w:sz="0" w:space="0" w:color="auto"/>
        <w:left w:val="none" w:sz="0" w:space="0" w:color="auto"/>
        <w:bottom w:val="none" w:sz="0" w:space="0" w:color="auto"/>
        <w:right w:val="none" w:sz="0" w:space="0" w:color="auto"/>
      </w:divBdr>
    </w:div>
    <w:div w:id="416827489">
      <w:bodyDiv w:val="1"/>
      <w:marLeft w:val="0"/>
      <w:marRight w:val="0"/>
      <w:marTop w:val="0"/>
      <w:marBottom w:val="0"/>
      <w:divBdr>
        <w:top w:val="none" w:sz="0" w:space="0" w:color="auto"/>
        <w:left w:val="none" w:sz="0" w:space="0" w:color="auto"/>
        <w:bottom w:val="none" w:sz="0" w:space="0" w:color="auto"/>
        <w:right w:val="none" w:sz="0" w:space="0" w:color="auto"/>
      </w:divBdr>
    </w:div>
    <w:div w:id="424351979">
      <w:bodyDiv w:val="1"/>
      <w:marLeft w:val="0"/>
      <w:marRight w:val="0"/>
      <w:marTop w:val="0"/>
      <w:marBottom w:val="0"/>
      <w:divBdr>
        <w:top w:val="none" w:sz="0" w:space="0" w:color="auto"/>
        <w:left w:val="none" w:sz="0" w:space="0" w:color="auto"/>
        <w:bottom w:val="none" w:sz="0" w:space="0" w:color="auto"/>
        <w:right w:val="none" w:sz="0" w:space="0" w:color="auto"/>
      </w:divBdr>
    </w:div>
    <w:div w:id="611278485">
      <w:bodyDiv w:val="1"/>
      <w:marLeft w:val="0"/>
      <w:marRight w:val="0"/>
      <w:marTop w:val="0"/>
      <w:marBottom w:val="0"/>
      <w:divBdr>
        <w:top w:val="none" w:sz="0" w:space="0" w:color="auto"/>
        <w:left w:val="none" w:sz="0" w:space="0" w:color="auto"/>
        <w:bottom w:val="none" w:sz="0" w:space="0" w:color="auto"/>
        <w:right w:val="none" w:sz="0" w:space="0" w:color="auto"/>
      </w:divBdr>
    </w:div>
    <w:div w:id="753671784">
      <w:bodyDiv w:val="1"/>
      <w:marLeft w:val="0"/>
      <w:marRight w:val="0"/>
      <w:marTop w:val="0"/>
      <w:marBottom w:val="0"/>
      <w:divBdr>
        <w:top w:val="none" w:sz="0" w:space="0" w:color="auto"/>
        <w:left w:val="none" w:sz="0" w:space="0" w:color="auto"/>
        <w:bottom w:val="none" w:sz="0" w:space="0" w:color="auto"/>
        <w:right w:val="none" w:sz="0" w:space="0" w:color="auto"/>
      </w:divBdr>
    </w:div>
    <w:div w:id="797182773">
      <w:bodyDiv w:val="1"/>
      <w:marLeft w:val="0"/>
      <w:marRight w:val="0"/>
      <w:marTop w:val="0"/>
      <w:marBottom w:val="0"/>
      <w:divBdr>
        <w:top w:val="none" w:sz="0" w:space="0" w:color="auto"/>
        <w:left w:val="none" w:sz="0" w:space="0" w:color="auto"/>
        <w:bottom w:val="none" w:sz="0" w:space="0" w:color="auto"/>
        <w:right w:val="none" w:sz="0" w:space="0" w:color="auto"/>
      </w:divBdr>
    </w:div>
    <w:div w:id="938102072">
      <w:bodyDiv w:val="1"/>
      <w:marLeft w:val="0"/>
      <w:marRight w:val="0"/>
      <w:marTop w:val="0"/>
      <w:marBottom w:val="0"/>
      <w:divBdr>
        <w:top w:val="none" w:sz="0" w:space="0" w:color="auto"/>
        <w:left w:val="none" w:sz="0" w:space="0" w:color="auto"/>
        <w:bottom w:val="none" w:sz="0" w:space="0" w:color="auto"/>
        <w:right w:val="none" w:sz="0" w:space="0" w:color="auto"/>
      </w:divBdr>
    </w:div>
    <w:div w:id="1028986238">
      <w:bodyDiv w:val="1"/>
      <w:marLeft w:val="0"/>
      <w:marRight w:val="0"/>
      <w:marTop w:val="0"/>
      <w:marBottom w:val="0"/>
      <w:divBdr>
        <w:top w:val="none" w:sz="0" w:space="0" w:color="auto"/>
        <w:left w:val="none" w:sz="0" w:space="0" w:color="auto"/>
        <w:bottom w:val="none" w:sz="0" w:space="0" w:color="auto"/>
        <w:right w:val="none" w:sz="0" w:space="0" w:color="auto"/>
      </w:divBdr>
    </w:div>
    <w:div w:id="1127620951">
      <w:bodyDiv w:val="1"/>
      <w:marLeft w:val="0"/>
      <w:marRight w:val="0"/>
      <w:marTop w:val="0"/>
      <w:marBottom w:val="0"/>
      <w:divBdr>
        <w:top w:val="none" w:sz="0" w:space="0" w:color="auto"/>
        <w:left w:val="none" w:sz="0" w:space="0" w:color="auto"/>
        <w:bottom w:val="none" w:sz="0" w:space="0" w:color="auto"/>
        <w:right w:val="none" w:sz="0" w:space="0" w:color="auto"/>
      </w:divBdr>
    </w:div>
    <w:div w:id="1200505772">
      <w:bodyDiv w:val="1"/>
      <w:marLeft w:val="0"/>
      <w:marRight w:val="0"/>
      <w:marTop w:val="0"/>
      <w:marBottom w:val="0"/>
      <w:divBdr>
        <w:top w:val="none" w:sz="0" w:space="0" w:color="auto"/>
        <w:left w:val="none" w:sz="0" w:space="0" w:color="auto"/>
        <w:bottom w:val="none" w:sz="0" w:space="0" w:color="auto"/>
        <w:right w:val="none" w:sz="0" w:space="0" w:color="auto"/>
      </w:divBdr>
    </w:div>
    <w:div w:id="1385835483">
      <w:bodyDiv w:val="1"/>
      <w:marLeft w:val="0"/>
      <w:marRight w:val="0"/>
      <w:marTop w:val="0"/>
      <w:marBottom w:val="0"/>
      <w:divBdr>
        <w:top w:val="none" w:sz="0" w:space="0" w:color="auto"/>
        <w:left w:val="none" w:sz="0" w:space="0" w:color="auto"/>
        <w:bottom w:val="none" w:sz="0" w:space="0" w:color="auto"/>
        <w:right w:val="none" w:sz="0" w:space="0" w:color="auto"/>
      </w:divBdr>
      <w:divsChild>
        <w:div w:id="1646618977">
          <w:marLeft w:val="0"/>
          <w:marRight w:val="0"/>
          <w:marTop w:val="0"/>
          <w:marBottom w:val="0"/>
          <w:divBdr>
            <w:top w:val="none" w:sz="0" w:space="0" w:color="auto"/>
            <w:left w:val="none" w:sz="0" w:space="0" w:color="auto"/>
            <w:bottom w:val="none" w:sz="0" w:space="0" w:color="auto"/>
            <w:right w:val="none" w:sz="0" w:space="0" w:color="auto"/>
          </w:divBdr>
        </w:div>
        <w:div w:id="1799370278">
          <w:marLeft w:val="0"/>
          <w:marRight w:val="0"/>
          <w:marTop w:val="0"/>
          <w:marBottom w:val="0"/>
          <w:divBdr>
            <w:top w:val="none" w:sz="0" w:space="0" w:color="auto"/>
            <w:left w:val="none" w:sz="0" w:space="0" w:color="auto"/>
            <w:bottom w:val="none" w:sz="0" w:space="0" w:color="auto"/>
            <w:right w:val="none" w:sz="0" w:space="0" w:color="auto"/>
          </w:divBdr>
        </w:div>
      </w:divsChild>
    </w:div>
    <w:div w:id="1456825063">
      <w:bodyDiv w:val="1"/>
      <w:marLeft w:val="0"/>
      <w:marRight w:val="0"/>
      <w:marTop w:val="0"/>
      <w:marBottom w:val="0"/>
      <w:divBdr>
        <w:top w:val="none" w:sz="0" w:space="0" w:color="auto"/>
        <w:left w:val="none" w:sz="0" w:space="0" w:color="auto"/>
        <w:bottom w:val="none" w:sz="0" w:space="0" w:color="auto"/>
        <w:right w:val="none" w:sz="0" w:space="0" w:color="auto"/>
      </w:divBdr>
    </w:div>
    <w:div w:id="1688408940">
      <w:bodyDiv w:val="1"/>
      <w:marLeft w:val="0"/>
      <w:marRight w:val="0"/>
      <w:marTop w:val="0"/>
      <w:marBottom w:val="0"/>
      <w:divBdr>
        <w:top w:val="none" w:sz="0" w:space="0" w:color="auto"/>
        <w:left w:val="none" w:sz="0" w:space="0" w:color="auto"/>
        <w:bottom w:val="none" w:sz="0" w:space="0" w:color="auto"/>
        <w:right w:val="none" w:sz="0" w:space="0" w:color="auto"/>
      </w:divBdr>
    </w:div>
    <w:div w:id="1700471002">
      <w:bodyDiv w:val="1"/>
      <w:marLeft w:val="0"/>
      <w:marRight w:val="0"/>
      <w:marTop w:val="0"/>
      <w:marBottom w:val="0"/>
      <w:divBdr>
        <w:top w:val="none" w:sz="0" w:space="0" w:color="auto"/>
        <w:left w:val="none" w:sz="0" w:space="0" w:color="auto"/>
        <w:bottom w:val="none" w:sz="0" w:space="0" w:color="auto"/>
        <w:right w:val="none" w:sz="0" w:space="0" w:color="auto"/>
      </w:divBdr>
    </w:div>
    <w:div w:id="1798793298">
      <w:bodyDiv w:val="1"/>
      <w:marLeft w:val="0"/>
      <w:marRight w:val="0"/>
      <w:marTop w:val="0"/>
      <w:marBottom w:val="0"/>
      <w:divBdr>
        <w:top w:val="none" w:sz="0" w:space="0" w:color="auto"/>
        <w:left w:val="none" w:sz="0" w:space="0" w:color="auto"/>
        <w:bottom w:val="none" w:sz="0" w:space="0" w:color="auto"/>
        <w:right w:val="none" w:sz="0" w:space="0" w:color="auto"/>
      </w:divBdr>
    </w:div>
    <w:div w:id="1869560648">
      <w:bodyDiv w:val="1"/>
      <w:marLeft w:val="0"/>
      <w:marRight w:val="0"/>
      <w:marTop w:val="0"/>
      <w:marBottom w:val="0"/>
      <w:divBdr>
        <w:top w:val="none" w:sz="0" w:space="0" w:color="auto"/>
        <w:left w:val="none" w:sz="0" w:space="0" w:color="auto"/>
        <w:bottom w:val="none" w:sz="0" w:space="0" w:color="auto"/>
        <w:right w:val="none" w:sz="0" w:space="0" w:color="auto"/>
      </w:divBdr>
    </w:div>
    <w:div w:id="1874462328">
      <w:bodyDiv w:val="1"/>
      <w:marLeft w:val="0"/>
      <w:marRight w:val="0"/>
      <w:marTop w:val="0"/>
      <w:marBottom w:val="0"/>
      <w:divBdr>
        <w:top w:val="none" w:sz="0" w:space="0" w:color="auto"/>
        <w:left w:val="none" w:sz="0" w:space="0" w:color="auto"/>
        <w:bottom w:val="none" w:sz="0" w:space="0" w:color="auto"/>
        <w:right w:val="none" w:sz="0" w:space="0" w:color="auto"/>
      </w:divBdr>
    </w:div>
    <w:div w:id="1889486532">
      <w:bodyDiv w:val="1"/>
      <w:marLeft w:val="0"/>
      <w:marRight w:val="0"/>
      <w:marTop w:val="0"/>
      <w:marBottom w:val="0"/>
      <w:divBdr>
        <w:top w:val="none" w:sz="0" w:space="0" w:color="auto"/>
        <w:left w:val="none" w:sz="0" w:space="0" w:color="auto"/>
        <w:bottom w:val="none" w:sz="0" w:space="0" w:color="auto"/>
        <w:right w:val="none" w:sz="0" w:space="0" w:color="auto"/>
      </w:divBdr>
    </w:div>
    <w:div w:id="2022315430">
      <w:bodyDiv w:val="1"/>
      <w:marLeft w:val="0"/>
      <w:marRight w:val="0"/>
      <w:marTop w:val="0"/>
      <w:marBottom w:val="0"/>
      <w:divBdr>
        <w:top w:val="none" w:sz="0" w:space="0" w:color="auto"/>
        <w:left w:val="none" w:sz="0" w:space="0" w:color="auto"/>
        <w:bottom w:val="none" w:sz="0" w:space="0" w:color="auto"/>
        <w:right w:val="none" w:sz="0" w:space="0" w:color="auto"/>
      </w:divBdr>
    </w:div>
    <w:div w:id="206571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ublished Documents" ma:contentTypeID="0x0101007A2A1B97D27D6A4C90B6022E1624614C" ma:contentTypeVersion="24" ma:contentTypeDescription="Published Documents Content types for Insurance Europe" ma:contentTypeScope="" ma:versionID="652afb5e1015fe1cb13a1ca22f723e33">
  <xsd:schema xmlns:xsd="http://www.w3.org/2001/XMLSchema" xmlns:xs="http://www.w3.org/2001/XMLSchema" xmlns:p="http://schemas.microsoft.com/office/2006/metadata/properties" xmlns:ns2="d352728d-c7aa-455d-bd83-40fe44122be8" targetNamespace="http://schemas.microsoft.com/office/2006/metadata/properties" ma:root="true" ma:fieldsID="c9b024efbce0d2d6b2802d7e96c45f2f" ns2:_="">
    <xsd:import namespace="d352728d-c7aa-455d-bd83-40fe44122be8"/>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728d-c7aa-455d-bd83-40fe44122be8"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ype_x0020_of_x0020_memo xmlns="d352728d-c7aa-455d-bd83-40fe44122be8" xsi:nil="true"/>
    <Deadline xmlns="d352728d-c7aa-455d-bd83-40fe44122be8" xsi:nil="true"/>
    <Type_x0020_of_x0020_document xmlns="d352728d-c7aa-455d-bd83-40fe44122be8" xsi:nil="true"/>
    <Uploads xmlns="d352728d-c7aa-455d-bd83-40fe44122be8" xsi:nil="true"/>
    <Leading_x0020_document xmlns="d352728d-c7aa-455d-bd83-40fe44122be8" xsi:nil="true"/>
    <Can_x0020_be_x0020_edited xmlns="d352728d-c7aa-455d-bd83-40fe44122be8">false</Can_x0020_be_x0020_edited>
    <AllowComments xmlns="d352728d-c7aa-455d-bd83-40fe44122be8">true</AllowComments>
    <Allow_x0020_uploads xmlns="d352728d-c7aa-455d-bd83-40fe44122be8" xsi:nil="true"/>
    <Display_x0020_validated_x0020_documents_x0020_library_x0020_button xmlns="d352728d-c7aa-455d-bd83-40fe44122be8">false</Display_x0020_validated_x0020_documents_x0020_library_x0020_button>
    <Validated xmlns="d352728d-c7aa-455d-bd83-40fe44122be8">false</Validated>
    <Feedback_x0020_type xmlns="d352728d-c7aa-455d-bd83-40fe44122be8" xsi:nil="true"/>
    <isAnnex xmlns="d352728d-c7aa-455d-bd83-40fe44122be8" xsi:nil="true"/>
    <ValidationComment xmlns="d352728d-c7aa-455d-bd83-40fe44122be8" xsi:nil="true"/>
    <Allow_x0020_comments xmlns="d352728d-c7aa-455d-bd83-40fe44122b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F1F7C-12C6-470B-9361-79DFCA6A6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728d-c7aa-455d-bd83-40fe4412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722579-92E9-4721-A52C-A2573A8FE95F}">
  <ds:schemaRefs>
    <ds:schemaRef ds:uri="http://schemas.openxmlformats.org/officeDocument/2006/bibliography"/>
  </ds:schemaRefs>
</ds:datastoreItem>
</file>

<file path=customXml/itemProps3.xml><?xml version="1.0" encoding="utf-8"?>
<ds:datastoreItem xmlns:ds="http://schemas.openxmlformats.org/officeDocument/2006/customXml" ds:itemID="{71D7A0EA-14CF-4487-AFCD-561CDD8E319F}">
  <ds:schemaRefs>
    <ds:schemaRef ds:uri="http://purl.org/dc/term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d352728d-c7aa-455d-bd83-40fe44122be8"/>
  </ds:schemaRefs>
</ds:datastoreItem>
</file>

<file path=customXml/itemProps4.xml><?xml version="1.0" encoding="utf-8"?>
<ds:datastoreItem xmlns:ds="http://schemas.openxmlformats.org/officeDocument/2006/customXml" ds:itemID="{1AFE8496-0FDC-4718-A413-EA00469A52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4456</Words>
  <Characters>25401</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Status update on areas of the Solvency II review across industry, EC, Council and EP</vt:lpstr>
    </vt:vector>
  </TitlesOfParts>
  <Company>Insurance Europe</Company>
  <LinksUpToDate>false</LinksUpToDate>
  <CharactersWithSpaces>29798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 Status update on areas of the Solvency II review across industry, EC, Council and EP (TC)</dc:title>
  <dc:subject/>
  <dc:creator>Insurance Europe</dc:creator>
  <cp:keywords/>
  <cp:lastModifiedBy>jozef.bachnicek</cp:lastModifiedBy>
  <cp:revision>2</cp:revision>
  <cp:lastPrinted>2023-08-21T17:09:00Z</cp:lastPrinted>
  <dcterms:created xsi:type="dcterms:W3CDTF">2023-09-05T06:14:00Z</dcterms:created>
  <dcterms:modified xsi:type="dcterms:W3CDTF">2023-09-05T06:14:00Z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0x0101007A2A1B97D27D6A4C90B6022E1624614C</vt:lpwstr>
  </property>
  <property fmtid="{D5CDD505-2E9C-101B-9397-08002B2CF9AE}" pid="3" name="GrammarlyDocumentId">
    <vt:lpwstr>55c32b46932a1275f2f86df464724a33b08dcf1212257ef5c9a26215101324ab</vt:lpwstr>
  </property>
</Properties>
</file>