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6B" w:rsidRPr="00BF31C6" w:rsidRDefault="00D43556" w:rsidP="00BF31C6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BF31C6">
        <w:rPr>
          <w:rFonts w:asciiTheme="majorHAnsi" w:hAnsiTheme="majorHAnsi" w:cs="Arial"/>
          <w:b/>
          <w:bCs/>
          <w:sz w:val="28"/>
          <w:szCs w:val="28"/>
        </w:rPr>
        <w:t>Stretnutie pracovnej skupiny k transpozícii smernice Solventnosť II</w:t>
      </w:r>
    </w:p>
    <w:p w:rsidR="00D43556" w:rsidRPr="00BF31C6" w:rsidRDefault="00D43556" w:rsidP="00BF31C6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022C20">
        <w:rPr>
          <w:rFonts w:asciiTheme="majorHAnsi" w:hAnsiTheme="majorHAnsi" w:cs="Arial"/>
          <w:b/>
          <w:bCs/>
          <w:color w:val="808080" w:themeColor="background1" w:themeShade="80"/>
          <w:sz w:val="28"/>
          <w:szCs w:val="28"/>
        </w:rPr>
        <w:t>(15. apríl 2011)</w:t>
      </w:r>
    </w:p>
    <w:p w:rsidR="00D43556" w:rsidRDefault="00D43556" w:rsidP="00BF31C6">
      <w:pPr>
        <w:spacing w:after="0"/>
        <w:rPr>
          <w:rFonts w:asciiTheme="majorHAnsi" w:hAnsiTheme="majorHAnsi"/>
        </w:rPr>
      </w:pPr>
    </w:p>
    <w:p w:rsidR="00BF31C6" w:rsidRDefault="00BF31C6" w:rsidP="00BF31C6">
      <w:pPr>
        <w:spacing w:after="0"/>
        <w:rPr>
          <w:rFonts w:asciiTheme="majorHAnsi" w:hAnsiTheme="majorHAnsi"/>
        </w:rPr>
      </w:pPr>
    </w:p>
    <w:p w:rsidR="00722C66" w:rsidRPr="00BF31C6" w:rsidRDefault="00722C66" w:rsidP="00BF31C6">
      <w:pPr>
        <w:spacing w:after="0"/>
        <w:rPr>
          <w:rFonts w:asciiTheme="majorHAnsi" w:hAnsiTheme="majorHAnsi"/>
        </w:rPr>
      </w:pPr>
    </w:p>
    <w:p w:rsidR="00D43556" w:rsidRPr="00BF31C6" w:rsidRDefault="00D43556" w:rsidP="00BF31C6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BF31C6">
        <w:rPr>
          <w:rFonts w:asciiTheme="majorHAnsi" w:hAnsiTheme="majorHAnsi"/>
          <w:b/>
          <w:bCs/>
          <w:sz w:val="24"/>
          <w:szCs w:val="24"/>
        </w:rPr>
        <w:t>Program stretnutia:</w:t>
      </w:r>
    </w:p>
    <w:p w:rsidR="00D43556" w:rsidRDefault="00D43556" w:rsidP="00BF31C6">
      <w:pPr>
        <w:pStyle w:val="Odsekzoznamu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F31C6">
        <w:rPr>
          <w:rFonts w:asciiTheme="majorHAnsi" w:hAnsiTheme="majorHAnsi"/>
          <w:sz w:val="24"/>
          <w:szCs w:val="24"/>
        </w:rPr>
        <w:t>Úvod</w:t>
      </w:r>
    </w:p>
    <w:p w:rsidR="00016F2C" w:rsidRPr="00BF31C6" w:rsidRDefault="00016F2C" w:rsidP="00BF31C6">
      <w:pPr>
        <w:pStyle w:val="Odsekzoznamu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Časový harmonogram prípravy </w:t>
      </w:r>
      <w:r w:rsidR="004413CD">
        <w:rPr>
          <w:rFonts w:asciiTheme="majorHAnsi" w:hAnsiTheme="majorHAnsi"/>
          <w:sz w:val="24"/>
          <w:szCs w:val="24"/>
        </w:rPr>
        <w:t xml:space="preserve">nového </w:t>
      </w:r>
      <w:r>
        <w:rPr>
          <w:rFonts w:asciiTheme="majorHAnsi" w:hAnsiTheme="majorHAnsi"/>
          <w:sz w:val="24"/>
          <w:szCs w:val="24"/>
        </w:rPr>
        <w:t>zákona</w:t>
      </w:r>
    </w:p>
    <w:p w:rsidR="00D43556" w:rsidRPr="00BF31C6" w:rsidRDefault="00D43556" w:rsidP="00BF31C6">
      <w:pPr>
        <w:pStyle w:val="Odsekzoznamu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F31C6">
        <w:rPr>
          <w:rFonts w:asciiTheme="majorHAnsi" w:hAnsiTheme="majorHAnsi"/>
          <w:sz w:val="24"/>
          <w:szCs w:val="24"/>
        </w:rPr>
        <w:t>Štruktúra nového zákona</w:t>
      </w:r>
    </w:p>
    <w:p w:rsidR="00D43556" w:rsidRPr="00BF31C6" w:rsidRDefault="00D43556" w:rsidP="00BF31C6">
      <w:pPr>
        <w:pStyle w:val="Odsekzoznamu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F31C6">
        <w:rPr>
          <w:rFonts w:asciiTheme="majorHAnsi" w:hAnsiTheme="majorHAnsi"/>
          <w:sz w:val="24"/>
          <w:szCs w:val="24"/>
        </w:rPr>
        <w:t>Vymedzenie oblastí, ktoré považujú zainteresované strany za kľúčové</w:t>
      </w:r>
    </w:p>
    <w:p w:rsidR="004413CD" w:rsidRDefault="00D43556" w:rsidP="00BF31C6">
      <w:pPr>
        <w:pStyle w:val="Odsekzoznamu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F31C6">
        <w:rPr>
          <w:rFonts w:asciiTheme="majorHAnsi" w:hAnsiTheme="majorHAnsi"/>
          <w:sz w:val="24"/>
          <w:szCs w:val="24"/>
        </w:rPr>
        <w:t>Hlava I – Kapito</w:t>
      </w:r>
      <w:r w:rsidR="004413CD">
        <w:rPr>
          <w:rFonts w:asciiTheme="majorHAnsi" w:hAnsiTheme="majorHAnsi"/>
          <w:sz w:val="24"/>
          <w:szCs w:val="24"/>
        </w:rPr>
        <w:t>la 1 smernice Solventnosť II</w:t>
      </w:r>
      <w:r w:rsidRPr="00BF31C6">
        <w:rPr>
          <w:rFonts w:asciiTheme="majorHAnsi" w:hAnsiTheme="majorHAnsi"/>
          <w:sz w:val="24"/>
          <w:szCs w:val="24"/>
        </w:rPr>
        <w:t xml:space="preserve"> </w:t>
      </w:r>
    </w:p>
    <w:p w:rsidR="00D43556" w:rsidRPr="004413CD" w:rsidRDefault="00D43556" w:rsidP="004413CD">
      <w:pPr>
        <w:pStyle w:val="Odsekzoznamu"/>
        <w:rPr>
          <w:rFonts w:asciiTheme="majorHAnsi" w:hAnsiTheme="majorHAnsi"/>
          <w:i/>
          <w:iCs/>
          <w:sz w:val="24"/>
          <w:szCs w:val="24"/>
        </w:rPr>
      </w:pPr>
      <w:r w:rsidRPr="004413CD">
        <w:rPr>
          <w:rFonts w:asciiTheme="majorHAnsi" w:hAnsiTheme="majorHAnsi"/>
          <w:i/>
          <w:iCs/>
          <w:sz w:val="24"/>
          <w:szCs w:val="24"/>
        </w:rPr>
        <w:t>(Predmet úpravy, rozsah pôsobnosti a vymedzenie pojmov)</w:t>
      </w:r>
    </w:p>
    <w:p w:rsidR="00D43556" w:rsidRPr="00BF31C6" w:rsidRDefault="00D43556" w:rsidP="00BF31C6">
      <w:pPr>
        <w:pStyle w:val="Odsekzoznamu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F31C6">
        <w:rPr>
          <w:rFonts w:asciiTheme="majorHAnsi" w:hAnsiTheme="majorHAnsi"/>
          <w:sz w:val="24"/>
          <w:szCs w:val="24"/>
        </w:rPr>
        <w:t>Rôzne</w:t>
      </w:r>
    </w:p>
    <w:p w:rsidR="00D43556" w:rsidRPr="00BF31C6" w:rsidRDefault="00D43556" w:rsidP="00BF31C6">
      <w:pPr>
        <w:pStyle w:val="Odsekzoznamu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F31C6">
        <w:rPr>
          <w:rFonts w:asciiTheme="majorHAnsi" w:hAnsiTheme="majorHAnsi"/>
          <w:sz w:val="24"/>
          <w:szCs w:val="24"/>
        </w:rPr>
        <w:t>Záver</w:t>
      </w:r>
    </w:p>
    <w:p w:rsidR="00722C66" w:rsidRDefault="00722C66" w:rsidP="00BF31C6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4D737D" w:rsidRDefault="004D737D" w:rsidP="00BF31C6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BF31C6" w:rsidRPr="00BF31C6" w:rsidRDefault="00BF31C6" w:rsidP="00BF31C6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D43556" w:rsidRPr="00722C66" w:rsidRDefault="00967243" w:rsidP="00722C66">
      <w:pPr>
        <w:pStyle w:val="Odsekzoznamu"/>
        <w:numPr>
          <w:ilvl w:val="0"/>
          <w:numId w:val="5"/>
        </w:numPr>
        <w:rPr>
          <w:rFonts w:asciiTheme="majorHAnsi" w:hAnsiTheme="majorHAnsi" w:cs="Arial"/>
          <w:b/>
          <w:bCs/>
          <w:sz w:val="24"/>
          <w:szCs w:val="24"/>
        </w:rPr>
      </w:pPr>
      <w:r w:rsidRPr="00722C66">
        <w:rPr>
          <w:rFonts w:asciiTheme="majorHAnsi" w:hAnsiTheme="majorHAnsi" w:cs="Arial"/>
          <w:b/>
          <w:bCs/>
          <w:sz w:val="24"/>
          <w:szCs w:val="24"/>
        </w:rPr>
        <w:t>Štruktúra nového zákona</w:t>
      </w:r>
    </w:p>
    <w:p w:rsidR="00722C66" w:rsidRDefault="00722C66" w:rsidP="00D9665D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967243" w:rsidRPr="00722C66" w:rsidRDefault="00016F2C" w:rsidP="00D9665D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Z dôvodu praktickosti nevidíme dôvod zásadne meniť štruktúru nového zákona, pričom potreba zásadnej zmeny štruktúry nevyplýva ani zo smernice Solventnosť II. </w:t>
      </w:r>
      <w:r w:rsidR="00D72645">
        <w:rPr>
          <w:rFonts w:asciiTheme="majorHAnsi" w:hAnsiTheme="majorHAnsi" w:cs="Arial"/>
        </w:rPr>
        <w:t>Podľa nášho názoru prichádzajú do úvahy</w:t>
      </w:r>
      <w:r w:rsidR="00BF31C6" w:rsidRPr="00722C66">
        <w:rPr>
          <w:rFonts w:asciiTheme="majorHAnsi" w:hAnsiTheme="majorHAnsi" w:cs="Arial"/>
        </w:rPr>
        <w:t xml:space="preserve"> dve možnosti </w:t>
      </w:r>
      <w:proofErr w:type="spellStart"/>
      <w:r w:rsidR="00BF31C6" w:rsidRPr="00722C66">
        <w:rPr>
          <w:rFonts w:asciiTheme="majorHAnsi" w:hAnsiTheme="majorHAnsi" w:cs="Arial"/>
        </w:rPr>
        <w:t>štruktúrovania</w:t>
      </w:r>
      <w:proofErr w:type="spellEnd"/>
      <w:r w:rsidR="00BF31C6" w:rsidRPr="00722C66">
        <w:rPr>
          <w:rFonts w:asciiTheme="majorHAnsi" w:hAnsiTheme="majorHAnsi" w:cs="Arial"/>
        </w:rPr>
        <w:t xml:space="preserve"> nového zákona. Prvou je ponechanie súčasnej </w:t>
      </w:r>
      <w:r w:rsidR="00D9665D" w:rsidRPr="00722C66">
        <w:rPr>
          <w:rFonts w:asciiTheme="majorHAnsi" w:hAnsiTheme="majorHAnsi" w:cs="Arial"/>
        </w:rPr>
        <w:t>štruktúry (ustanovenia upravujúce povolenie + cezhraničné poskytovanie, pilier 1, pilier 2, pilier 3, dohľad) a druhou je presunutie ustanovení upravujúcich pilier 2 pred pilier 1. Táto druhá možnosť</w:t>
      </w:r>
      <w:r w:rsidR="00370153">
        <w:rPr>
          <w:rFonts w:asciiTheme="majorHAnsi" w:hAnsiTheme="majorHAnsi" w:cs="Arial"/>
        </w:rPr>
        <w:t xml:space="preserve"> zodpovedá aj štruktúre smernice</w:t>
      </w:r>
      <w:r w:rsidR="00D9665D" w:rsidRPr="00722C66">
        <w:rPr>
          <w:rFonts w:asciiTheme="majorHAnsi" w:hAnsiTheme="majorHAnsi" w:cs="Arial"/>
        </w:rPr>
        <w:t>.</w:t>
      </w:r>
      <w:r w:rsidR="00722C66">
        <w:rPr>
          <w:rFonts w:asciiTheme="majorHAnsi" w:hAnsiTheme="majorHAnsi" w:cs="Arial"/>
        </w:rPr>
        <w:t xml:space="preserve"> Naproti tomu text vykonávacích opatrení je štruktúrovaný podobne ako platné znenie zákona. </w:t>
      </w:r>
      <w:r w:rsidR="00D9665D" w:rsidRPr="00722C66">
        <w:rPr>
          <w:rFonts w:asciiTheme="majorHAnsi" w:hAnsiTheme="majorHAnsi" w:cs="Arial"/>
        </w:rPr>
        <w:t xml:space="preserve">      </w:t>
      </w:r>
      <w:r w:rsidR="00BF31C6" w:rsidRPr="00722C66">
        <w:rPr>
          <w:rFonts w:asciiTheme="majorHAnsi" w:hAnsiTheme="majorHAnsi" w:cs="Arial"/>
        </w:rPr>
        <w:t xml:space="preserve"> </w:t>
      </w:r>
    </w:p>
    <w:p w:rsidR="00016F2C" w:rsidRPr="00016F2C" w:rsidRDefault="00016F2C" w:rsidP="00016F2C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Implementácia smernice bude vyžad</w:t>
      </w:r>
      <w:r w:rsidR="000D0C15">
        <w:rPr>
          <w:rFonts w:asciiTheme="majorHAnsi" w:hAnsiTheme="majorHAnsi" w:cs="Arial"/>
        </w:rPr>
        <w:t>ovať aj novely platných zákonov -</w:t>
      </w:r>
      <w:r>
        <w:rPr>
          <w:rFonts w:asciiTheme="majorHAnsi" w:hAnsiTheme="majorHAnsi" w:cs="Arial"/>
        </w:rPr>
        <w:t xml:space="preserve"> napr. zákon</w:t>
      </w:r>
      <w:r w:rsidR="000D0C15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 xml:space="preserve"> č. 747/2004 Z. </w:t>
      </w:r>
      <w:r w:rsidRPr="00016F2C">
        <w:rPr>
          <w:rFonts w:asciiTheme="majorHAnsi" w:hAnsiTheme="majorHAnsi" w:cs="Arial"/>
        </w:rPr>
        <w:t xml:space="preserve">z. </w:t>
      </w:r>
      <w:r w:rsidRPr="00016F2C">
        <w:rPr>
          <w:rFonts w:asciiTheme="majorHAnsi" w:hAnsiTheme="majorHAnsi" w:cs="ITCBookmanEE-Bold"/>
          <w:lang w:bidi="si-LK"/>
        </w:rPr>
        <w:t>o dohľade nad finančným trhom</w:t>
      </w:r>
      <w:r w:rsidR="000D0C15">
        <w:rPr>
          <w:rFonts w:asciiTheme="majorHAnsi" w:hAnsiTheme="majorHAnsi" w:cs="Arial"/>
        </w:rPr>
        <w:t>, Občianskeho</w:t>
      </w:r>
      <w:r w:rsidRPr="00016F2C">
        <w:rPr>
          <w:rFonts w:asciiTheme="majorHAnsi" w:hAnsiTheme="majorHAnsi" w:cs="Arial"/>
        </w:rPr>
        <w:t xml:space="preserve"> zákonník</w:t>
      </w:r>
      <w:r w:rsidR="000D0C15">
        <w:rPr>
          <w:rFonts w:asciiTheme="majorHAnsi" w:hAnsiTheme="majorHAnsi" w:cs="Arial"/>
        </w:rPr>
        <w:t>a</w:t>
      </w:r>
      <w:r w:rsidRPr="00016F2C">
        <w:rPr>
          <w:rFonts w:asciiTheme="majorHAnsi" w:hAnsiTheme="majorHAnsi" w:cs="Arial"/>
        </w:rPr>
        <w:t xml:space="preserve"> a</w:t>
      </w:r>
      <w:r w:rsidR="000D0C15">
        <w:rPr>
          <w:rFonts w:asciiTheme="majorHAnsi" w:hAnsiTheme="majorHAnsi" w:cs="Arial"/>
        </w:rPr>
        <w:t>tď</w:t>
      </w:r>
      <w:r w:rsidRPr="00016F2C">
        <w:rPr>
          <w:rFonts w:asciiTheme="majorHAnsi" w:hAnsiTheme="majorHAnsi" w:cs="Arial"/>
        </w:rPr>
        <w:t xml:space="preserve">. </w:t>
      </w:r>
      <w:r>
        <w:rPr>
          <w:rFonts w:asciiTheme="majorHAnsi" w:hAnsiTheme="majorHAnsi" w:cs="Arial"/>
        </w:rPr>
        <w:t>V tejto súvislosti prichádza do úvahy aj návrh na vyčlenenie Piatej časti</w:t>
      </w:r>
      <w:r w:rsidR="000D0C15">
        <w:rPr>
          <w:rFonts w:asciiTheme="majorHAnsi" w:hAnsiTheme="majorHAnsi" w:cs="Arial"/>
        </w:rPr>
        <w:t xml:space="preserve"> zákona</w:t>
      </w:r>
      <w:r>
        <w:rPr>
          <w:rFonts w:asciiTheme="majorHAnsi" w:hAnsiTheme="majorHAnsi" w:cs="Arial"/>
        </w:rPr>
        <w:t xml:space="preserve"> – Osobitné ustanovenia do Občianskeho zákonníka. </w:t>
      </w:r>
    </w:p>
    <w:p w:rsidR="00967243" w:rsidRDefault="00967243" w:rsidP="00BF31C6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9D2095" w:rsidRPr="00BF31C6" w:rsidRDefault="009D2095" w:rsidP="00BF31C6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4310DD" w:rsidRDefault="00967243" w:rsidP="00722C66">
      <w:pPr>
        <w:pStyle w:val="Odsekzoznamu"/>
        <w:numPr>
          <w:ilvl w:val="0"/>
          <w:numId w:val="5"/>
        </w:numPr>
        <w:jc w:val="both"/>
        <w:rPr>
          <w:rFonts w:asciiTheme="majorHAnsi" w:hAnsiTheme="majorHAnsi"/>
          <w:b/>
          <w:bCs/>
          <w:sz w:val="24"/>
          <w:szCs w:val="24"/>
        </w:rPr>
      </w:pPr>
      <w:r w:rsidRPr="00722C66">
        <w:rPr>
          <w:rFonts w:asciiTheme="majorHAnsi" w:hAnsiTheme="majorHAnsi"/>
          <w:b/>
          <w:bCs/>
          <w:sz w:val="24"/>
          <w:szCs w:val="24"/>
        </w:rPr>
        <w:t>Hlava I – K</w:t>
      </w:r>
      <w:r w:rsidR="00D63917">
        <w:rPr>
          <w:rFonts w:asciiTheme="majorHAnsi" w:hAnsiTheme="majorHAnsi"/>
          <w:b/>
          <w:bCs/>
          <w:sz w:val="24"/>
          <w:szCs w:val="24"/>
        </w:rPr>
        <w:t>apitola 1 smernice Solventnosť II</w:t>
      </w:r>
      <w:r w:rsidRPr="00722C66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967243" w:rsidRPr="00722C66" w:rsidRDefault="00967243" w:rsidP="004310DD">
      <w:pPr>
        <w:pStyle w:val="Odsekzoznamu"/>
        <w:jc w:val="both"/>
        <w:rPr>
          <w:rFonts w:asciiTheme="majorHAnsi" w:hAnsiTheme="majorHAnsi"/>
          <w:b/>
          <w:bCs/>
          <w:sz w:val="24"/>
          <w:szCs w:val="24"/>
        </w:rPr>
      </w:pPr>
      <w:r w:rsidRPr="00722C66">
        <w:rPr>
          <w:rFonts w:asciiTheme="majorHAnsi" w:hAnsiTheme="majorHAnsi"/>
          <w:b/>
          <w:bCs/>
          <w:sz w:val="24"/>
          <w:szCs w:val="24"/>
        </w:rPr>
        <w:t>(Predmet úpravy, rozsah pôsobnosti a vymedzenie pojmov)</w:t>
      </w:r>
    </w:p>
    <w:p w:rsidR="00967243" w:rsidRPr="00BF31C6" w:rsidRDefault="00967243" w:rsidP="00BF31C6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116C4F" w:rsidRPr="00722C66" w:rsidRDefault="00D63917" w:rsidP="00BF31C6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Rozsah a vymedzenie pojmov je dané smernicou Solventnosť II. </w:t>
      </w:r>
      <w:r w:rsidR="00116C4F" w:rsidRPr="00722C66">
        <w:rPr>
          <w:rFonts w:asciiTheme="majorHAnsi" w:hAnsiTheme="majorHAnsi" w:cs="Arial"/>
        </w:rPr>
        <w:t xml:space="preserve">Podľa stanoviska, ktoré sme </w:t>
      </w:r>
      <w:r w:rsidR="00F84A8D">
        <w:rPr>
          <w:rFonts w:asciiTheme="majorHAnsi" w:hAnsiTheme="majorHAnsi" w:cs="Arial"/>
        </w:rPr>
        <w:t>dostali</w:t>
      </w:r>
      <w:r w:rsidR="00116C4F" w:rsidRPr="00722C66">
        <w:rPr>
          <w:rFonts w:asciiTheme="majorHAnsi" w:hAnsiTheme="majorHAnsi" w:cs="Arial"/>
        </w:rPr>
        <w:t xml:space="preserve"> </w:t>
      </w:r>
      <w:r w:rsidR="00F84A8D">
        <w:rPr>
          <w:rFonts w:asciiTheme="majorHAnsi" w:hAnsiTheme="majorHAnsi" w:cs="Arial"/>
        </w:rPr>
        <w:t>z</w:t>
      </w:r>
      <w:r w:rsidR="00116C4F" w:rsidRPr="00722C66">
        <w:rPr>
          <w:rFonts w:asciiTheme="majorHAnsi" w:hAnsiTheme="majorHAnsi" w:cs="Arial"/>
        </w:rPr>
        <w:t xml:space="preserve"> Európskej komisie, nemôže nový zákon z titulu maximálnej harmonizácie stanovenej smernicou Solventnosť II obsahovať definície iných pojmov ako definovaných v smernici. Z uvedeného dôvodu vypúšťame definície pojmov ako</w:t>
      </w:r>
      <w:r>
        <w:rPr>
          <w:rFonts w:asciiTheme="majorHAnsi" w:hAnsiTheme="majorHAnsi" w:cs="Arial"/>
        </w:rPr>
        <w:t xml:space="preserve"> poisťovacia činnosť, zaisťovacia činnosť,</w:t>
      </w:r>
      <w:r w:rsidR="00116C4F" w:rsidRPr="00722C66">
        <w:rPr>
          <w:rFonts w:asciiTheme="majorHAnsi" w:hAnsiTheme="majorHAnsi" w:cs="Arial"/>
        </w:rPr>
        <w:t xml:space="preserve"> </w:t>
      </w:r>
      <w:r w:rsidR="00F84A8D">
        <w:rPr>
          <w:rFonts w:asciiTheme="majorHAnsi" w:hAnsiTheme="majorHAnsi" w:cs="Arial"/>
        </w:rPr>
        <w:t xml:space="preserve"> správa poistných zmlúv, správa zaistných zmlúv, poistné riziko, poistný kmeň, likvidácia poistnej udalosti</w:t>
      </w:r>
      <w:r w:rsidR="00D72645">
        <w:rPr>
          <w:rFonts w:asciiTheme="majorHAnsi" w:hAnsiTheme="majorHAnsi" w:cs="Arial"/>
        </w:rPr>
        <w:t xml:space="preserve"> a pod.</w:t>
      </w:r>
      <w:r>
        <w:rPr>
          <w:rFonts w:asciiTheme="majorHAnsi" w:hAnsiTheme="majorHAnsi" w:cs="Arial"/>
        </w:rPr>
        <w:t xml:space="preserve"> Máme za to, že smernica definuje “poistenie“ ako činnosti</w:t>
      </w:r>
      <w:r w:rsidR="00CA29BA">
        <w:rPr>
          <w:rFonts w:asciiTheme="majorHAnsi" w:hAnsiTheme="majorHAnsi" w:cs="Arial"/>
        </w:rPr>
        <w:t>, resp. operácie</w:t>
      </w:r>
      <w:r>
        <w:rPr>
          <w:rFonts w:asciiTheme="majorHAnsi" w:hAnsiTheme="majorHAnsi" w:cs="Arial"/>
        </w:rPr>
        <w:t xml:space="preserve"> uvedené v článku 2 resp. v Prílohe I. Uvedenú skutočnosť reflektujeme v</w:t>
      </w:r>
      <w:r w:rsidR="00CA29BA">
        <w:rPr>
          <w:rFonts w:asciiTheme="majorHAnsi" w:hAnsiTheme="majorHAnsi" w:cs="Arial"/>
        </w:rPr>
        <w:t> novo navrhnutom znení</w:t>
      </w:r>
      <w:r>
        <w:rPr>
          <w:rFonts w:asciiTheme="majorHAnsi" w:hAnsiTheme="majorHAnsi" w:cs="Arial"/>
        </w:rPr>
        <w:t xml:space="preserve"> § 2. Podobne je problematika vymedzenia činnosti vymedzená </w:t>
      </w:r>
      <w:r w:rsidR="00CA29BA">
        <w:rPr>
          <w:rFonts w:asciiTheme="majorHAnsi" w:hAnsiTheme="majorHAnsi" w:cs="Arial"/>
        </w:rPr>
        <w:t xml:space="preserve">napr. </w:t>
      </w:r>
      <w:r>
        <w:rPr>
          <w:rFonts w:asciiTheme="majorHAnsi" w:hAnsiTheme="majorHAnsi" w:cs="Arial"/>
        </w:rPr>
        <w:t xml:space="preserve">aj v bankovom sektore. </w:t>
      </w:r>
      <w:r w:rsidR="00D72645">
        <w:rPr>
          <w:rFonts w:asciiTheme="majorHAnsi" w:hAnsiTheme="majorHAnsi" w:cs="Arial"/>
        </w:rPr>
        <w:t xml:space="preserve"> </w:t>
      </w:r>
    </w:p>
    <w:p w:rsidR="00967243" w:rsidRDefault="00967243" w:rsidP="00BF31C6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BB56DA" w:rsidRDefault="00BB56DA" w:rsidP="00BF31C6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7F2C27" w:rsidRDefault="007F2C27" w:rsidP="00BF31C6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BB56DA" w:rsidRDefault="00BB56DA" w:rsidP="00BB56DA">
      <w:pPr>
        <w:pStyle w:val="Odsekzoznamu"/>
        <w:numPr>
          <w:ilvl w:val="0"/>
          <w:numId w:val="5"/>
        </w:numPr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lastRenderedPageBreak/>
        <w:t>Vylúčené subjekty</w:t>
      </w:r>
    </w:p>
    <w:p w:rsidR="00BB56DA" w:rsidRDefault="00BB56DA" w:rsidP="00516EBF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</w:p>
    <w:p w:rsidR="00D93019" w:rsidRDefault="00BB56DA" w:rsidP="00D93019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zmysle čl. 4 smernice sú</w:t>
      </w:r>
      <w:r w:rsidR="00D72645">
        <w:rPr>
          <w:rFonts w:asciiTheme="majorHAnsi" w:hAnsiTheme="majorHAnsi" w:cs="Arial"/>
        </w:rPr>
        <w:t xml:space="preserve"> na základe stanovených kritérií</w:t>
      </w:r>
      <w:r>
        <w:rPr>
          <w:rFonts w:asciiTheme="majorHAnsi" w:hAnsiTheme="majorHAnsi" w:cs="Arial"/>
        </w:rPr>
        <w:t xml:space="preserve"> niektoré subjekty</w:t>
      </w:r>
      <w:r w:rsidR="00D63917">
        <w:rPr>
          <w:rFonts w:asciiTheme="majorHAnsi" w:hAnsiTheme="majorHAnsi" w:cs="Arial"/>
        </w:rPr>
        <w:t xml:space="preserve"> (smernica hovorí priamo o poisťovniach)</w:t>
      </w:r>
      <w:r>
        <w:rPr>
          <w:rFonts w:asciiTheme="majorHAnsi" w:hAnsiTheme="majorHAnsi" w:cs="Arial"/>
        </w:rPr>
        <w:t xml:space="preserve"> vylúčené z</w:t>
      </w:r>
      <w:r w:rsidR="006434EA">
        <w:rPr>
          <w:rFonts w:asciiTheme="majorHAnsi" w:hAnsiTheme="majorHAnsi" w:cs="Arial"/>
        </w:rPr>
        <w:t xml:space="preserve"> pôsobnosti smernice a je tak v kompetencii členského štátu, aký režim na tieto </w:t>
      </w:r>
      <w:r w:rsidR="006E3FAD">
        <w:rPr>
          <w:rFonts w:asciiTheme="majorHAnsi" w:hAnsiTheme="majorHAnsi" w:cs="Arial"/>
        </w:rPr>
        <w:t>subjekty</w:t>
      </w:r>
      <w:r>
        <w:rPr>
          <w:rFonts w:asciiTheme="majorHAnsi" w:hAnsiTheme="majorHAnsi" w:cs="Arial"/>
        </w:rPr>
        <w:t xml:space="preserve"> uplatní. Sekcia finančného trhu navrhuje, aby regulácia týchto</w:t>
      </w:r>
      <w:r w:rsidR="00D72645">
        <w:rPr>
          <w:rFonts w:asciiTheme="majorHAnsi" w:hAnsiTheme="majorHAnsi" w:cs="Arial"/>
        </w:rPr>
        <w:t xml:space="preserve"> vylúčených</w:t>
      </w:r>
      <w:r w:rsidR="00D63917">
        <w:rPr>
          <w:rFonts w:asciiTheme="majorHAnsi" w:hAnsiTheme="majorHAnsi" w:cs="Arial"/>
        </w:rPr>
        <w:t xml:space="preserve"> subjektov</w:t>
      </w:r>
      <w:r>
        <w:rPr>
          <w:rFonts w:asciiTheme="majorHAnsi" w:hAnsiTheme="majorHAnsi" w:cs="Arial"/>
        </w:rPr>
        <w:t xml:space="preserve"> zodpovedala súčasnej</w:t>
      </w:r>
      <w:r w:rsidR="006434EA">
        <w:rPr>
          <w:rFonts w:asciiTheme="majorHAnsi" w:hAnsiTheme="majorHAnsi" w:cs="Arial"/>
        </w:rPr>
        <w:t xml:space="preserve"> regulácii</w:t>
      </w:r>
      <w:r>
        <w:rPr>
          <w:rFonts w:asciiTheme="majorHAnsi" w:hAnsiTheme="majorHAnsi" w:cs="Arial"/>
        </w:rPr>
        <w:t xml:space="preserve">. Zákon by tak obsahoval </w:t>
      </w:r>
      <w:r w:rsidR="006434EA">
        <w:rPr>
          <w:rFonts w:asciiTheme="majorHAnsi" w:hAnsiTheme="majorHAnsi" w:cs="Arial"/>
        </w:rPr>
        <w:t xml:space="preserve">osobitnú </w:t>
      </w:r>
      <w:r>
        <w:rPr>
          <w:rFonts w:asciiTheme="majorHAnsi" w:hAnsiTheme="majorHAnsi" w:cs="Arial"/>
        </w:rPr>
        <w:t>časť upravujúcu vylúčené spoločnosti, pričom by šlo prevažne o tieto ustanovenia</w:t>
      </w:r>
      <w:r w:rsidR="006D099D">
        <w:rPr>
          <w:rFonts w:asciiTheme="majorHAnsi" w:hAnsiTheme="majorHAnsi" w:cs="Arial"/>
        </w:rPr>
        <w:t xml:space="preserve"> súčasného zákona</w:t>
      </w:r>
      <w:r>
        <w:rPr>
          <w:rFonts w:asciiTheme="majorHAnsi" w:hAnsiTheme="majorHAnsi" w:cs="Arial"/>
        </w:rPr>
        <w:t>: §4, 5, 10, 12, 13, 23 - 48 (okrem § 28, 31, 33), 67 a následne.</w:t>
      </w:r>
      <w:r w:rsidR="00C97CCD">
        <w:rPr>
          <w:rFonts w:asciiTheme="majorHAnsi" w:hAnsiTheme="majorHAnsi" w:cs="Arial"/>
        </w:rPr>
        <w:t xml:space="preserve"> </w:t>
      </w:r>
    </w:p>
    <w:p w:rsidR="00BB56DA" w:rsidRPr="00BB56DA" w:rsidRDefault="00C97CCD" w:rsidP="00BB56DA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 vylúčenými subjektmi súvisia ďalšie otázky ako napr. ich názov. V tejto súvislosti navrhujeme nazývať tieto subjekty poisťovňami</w:t>
      </w:r>
      <w:r w:rsidR="00D93019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jednak z dôvodu súladu s</w:t>
      </w:r>
      <w:r w:rsidR="00D93019">
        <w:rPr>
          <w:rFonts w:asciiTheme="majorHAnsi" w:hAnsiTheme="majorHAnsi" w:cs="Arial"/>
        </w:rPr>
        <w:t>o</w:t>
      </w:r>
      <w:r>
        <w:rPr>
          <w:rFonts w:asciiTheme="majorHAnsi" w:hAnsiTheme="majorHAnsi" w:cs="Arial"/>
        </w:rPr>
        <w:t> </w:t>
      </w:r>
      <w:r w:rsidR="00D93019">
        <w:rPr>
          <w:rFonts w:asciiTheme="majorHAnsi" w:hAnsiTheme="majorHAnsi" w:cs="Arial"/>
        </w:rPr>
        <w:t xml:space="preserve"> smernicou</w:t>
      </w:r>
      <w:r>
        <w:rPr>
          <w:rFonts w:asciiTheme="majorHAnsi" w:hAnsiTheme="majorHAnsi" w:cs="Arial"/>
        </w:rPr>
        <w:t xml:space="preserve"> ako aj skutočnosťou, že</w:t>
      </w:r>
      <w:r w:rsidR="00D93019">
        <w:rPr>
          <w:rFonts w:asciiTheme="majorHAnsi" w:hAnsiTheme="majorHAnsi" w:cs="Arial"/>
        </w:rPr>
        <w:t xml:space="preserve"> pre ne</w:t>
      </w:r>
      <w:r>
        <w:rPr>
          <w:rFonts w:asciiTheme="majorHAnsi" w:hAnsiTheme="majorHAnsi" w:cs="Arial"/>
        </w:rPr>
        <w:t xml:space="preserve"> navrhovaný režim bude rovnaký ako súčasný, t.j. nedôjde k zníženiu požiadaviek na ich činnosť.</w:t>
      </w:r>
      <w:r w:rsidR="006E3FAD">
        <w:rPr>
          <w:rFonts w:asciiTheme="majorHAnsi" w:hAnsiTheme="majorHAnsi" w:cs="Arial"/>
        </w:rPr>
        <w:t xml:space="preserve"> (Rovnaké pomenovanie prináša aj ďalšie výhody napr. z prepojenia na iné právne predpisy). </w:t>
      </w:r>
      <w:bookmarkStart w:id="0" w:name="_GoBack"/>
      <w:bookmarkEnd w:id="0"/>
      <w:r w:rsidR="006E3FA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</w:t>
      </w:r>
      <w:r w:rsidR="00BB56DA">
        <w:rPr>
          <w:rFonts w:asciiTheme="majorHAnsi" w:hAnsiTheme="majorHAnsi" w:cs="Arial"/>
        </w:rPr>
        <w:t xml:space="preserve">  </w:t>
      </w:r>
    </w:p>
    <w:p w:rsidR="00967243" w:rsidRPr="00BF31C6" w:rsidRDefault="00967243" w:rsidP="00BF31C6">
      <w:pPr>
        <w:spacing w:after="0"/>
        <w:rPr>
          <w:rFonts w:asciiTheme="majorHAnsi" w:hAnsiTheme="majorHAnsi" w:cs="Arial"/>
          <w:sz w:val="24"/>
          <w:szCs w:val="24"/>
        </w:rPr>
      </w:pPr>
    </w:p>
    <w:sectPr w:rsidR="00967243" w:rsidRPr="00BF3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TCBookmanE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2E12"/>
    <w:multiLevelType w:val="hybridMultilevel"/>
    <w:tmpl w:val="8042E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750EF"/>
    <w:multiLevelType w:val="hybridMultilevel"/>
    <w:tmpl w:val="F9F00F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72A02"/>
    <w:multiLevelType w:val="hybridMultilevel"/>
    <w:tmpl w:val="5FD4D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C4E"/>
    <w:multiLevelType w:val="hybridMultilevel"/>
    <w:tmpl w:val="F9F00F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25D8B"/>
    <w:multiLevelType w:val="hybridMultilevel"/>
    <w:tmpl w:val="5FD4D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56"/>
    <w:rsid w:val="00016F2C"/>
    <w:rsid w:val="00022C20"/>
    <w:rsid w:val="000D0C15"/>
    <w:rsid w:val="00116C4F"/>
    <w:rsid w:val="00326731"/>
    <w:rsid w:val="00370153"/>
    <w:rsid w:val="004310DD"/>
    <w:rsid w:val="004413CD"/>
    <w:rsid w:val="004D556B"/>
    <w:rsid w:val="004D737D"/>
    <w:rsid w:val="00516EBF"/>
    <w:rsid w:val="006434EA"/>
    <w:rsid w:val="006D099D"/>
    <w:rsid w:val="006E3FAD"/>
    <w:rsid w:val="00722C66"/>
    <w:rsid w:val="00777435"/>
    <w:rsid w:val="00792375"/>
    <w:rsid w:val="007F2C27"/>
    <w:rsid w:val="00965FDD"/>
    <w:rsid w:val="00967243"/>
    <w:rsid w:val="009D2095"/>
    <w:rsid w:val="00BB56DA"/>
    <w:rsid w:val="00BF31C6"/>
    <w:rsid w:val="00C97CCD"/>
    <w:rsid w:val="00CA29BA"/>
    <w:rsid w:val="00D43556"/>
    <w:rsid w:val="00D63917"/>
    <w:rsid w:val="00D72645"/>
    <w:rsid w:val="00D93019"/>
    <w:rsid w:val="00D9665D"/>
    <w:rsid w:val="00F8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3556"/>
    <w:pPr>
      <w:spacing w:after="0" w:line="240" w:lineRule="auto"/>
      <w:ind w:left="720"/>
    </w:pPr>
    <w:rPr>
      <w:rFonts w:ascii="Calibri" w:hAnsi="Calibri" w:cs="Calibri"/>
      <w:lang w:bidi="si-L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3556"/>
    <w:pPr>
      <w:spacing w:after="0" w:line="240" w:lineRule="auto"/>
      <w:ind w:left="720"/>
    </w:pPr>
    <w:rPr>
      <w:rFonts w:ascii="Calibri" w:hAnsi="Calibri" w:cs="Calibri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2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Matko Emil</dc:creator>
  <cp:lastModifiedBy>Matko Emil</cp:lastModifiedBy>
  <cp:revision>30</cp:revision>
  <dcterms:created xsi:type="dcterms:W3CDTF">2011-04-04T09:55:00Z</dcterms:created>
  <dcterms:modified xsi:type="dcterms:W3CDTF">2011-04-07T12:09:00Z</dcterms:modified>
</cp:coreProperties>
</file>