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0E9C" w14:textId="508617A4" w:rsidR="009A2F1E" w:rsidRPr="009A2F1E" w:rsidRDefault="009A2F1E" w:rsidP="006A4FB6">
      <w:pPr>
        <w:rPr>
          <w:b/>
          <w:bCs/>
        </w:rPr>
      </w:pPr>
      <w:r w:rsidRPr="009A2F1E">
        <w:rPr>
          <w:b/>
          <w:bCs/>
        </w:rPr>
        <w:t>Secretariat assessment of the Final Solvency II Delegated Act (adopted 29 October 2025)</w:t>
      </w:r>
      <w:r w:rsidR="00D173C2">
        <w:rPr>
          <w:b/>
          <w:bCs/>
        </w:rPr>
        <w:t xml:space="preserve"> </w:t>
      </w:r>
    </w:p>
    <w:p w14:paraId="55803277" w14:textId="7F7C06A0" w:rsidR="009A2F1E" w:rsidRPr="009A2F1E" w:rsidRDefault="009A2F1E" w:rsidP="003C414C">
      <w:r w:rsidRPr="009A2F1E">
        <w:t>The European Commission adopted the final Solvency II Delegated Regulation on 29 October 2025, completing the Level 2 phase of the Solvency II review.</w:t>
      </w:r>
      <w:r w:rsidRPr="009A2F1E">
        <w:br/>
        <w:t xml:space="preserve">The secretariat has assessed the main changes </w:t>
      </w:r>
      <w:r w:rsidR="003C414C">
        <w:t>in comparison to</w:t>
      </w:r>
      <w:r w:rsidRPr="009A2F1E">
        <w:t xml:space="preserve"> the summer draft and the industry proposals.</w:t>
      </w:r>
    </w:p>
    <w:p w14:paraId="321CD71F" w14:textId="3D75A7D0" w:rsidR="009A2F1E" w:rsidRPr="009A2F1E" w:rsidRDefault="009A2F1E" w:rsidP="009A2F1E">
      <w:r w:rsidRPr="009A2F1E">
        <w:t xml:space="preserve">Overall, the outcome is </w:t>
      </w:r>
      <w:r w:rsidRPr="009A2F1E">
        <w:rPr>
          <w:b/>
          <w:bCs/>
        </w:rPr>
        <w:t>broadly positive for the industry</w:t>
      </w:r>
      <w:r w:rsidRPr="009A2F1E">
        <w:t xml:space="preserve">, as several key technical improvements and clarifications have been taken on board, particularly on the </w:t>
      </w:r>
      <w:r w:rsidR="00192204">
        <w:t xml:space="preserve">residual volume criterion, </w:t>
      </w:r>
      <w:r w:rsidR="00557439">
        <w:t xml:space="preserve">the availability assessment for the EPIFP at group level, </w:t>
      </w:r>
      <w:r w:rsidR="00C52CB1">
        <w:t xml:space="preserve">the </w:t>
      </w:r>
      <w:r w:rsidR="00192204">
        <w:t xml:space="preserve">corporate part of the </w:t>
      </w:r>
      <w:r w:rsidRPr="009A2F1E">
        <w:t>risk correction, the CSSR, long-term equity, and the removal of SFCR sensitivities.</w:t>
      </w:r>
      <w:r w:rsidRPr="009A2F1E">
        <w:br/>
      </w:r>
    </w:p>
    <w:p w14:paraId="0D0999CF" w14:textId="3E0DEE86" w:rsidR="00B13A70" w:rsidRDefault="00B13A70"/>
    <w:tbl>
      <w:tblPr>
        <w:tblStyle w:val="Mriekatabuky"/>
        <w:tblpPr w:leftFromText="181" w:rightFromText="181" w:horzAnchor="page" w:tblpXSpec="center" w:tblpY="1"/>
        <w:tblW w:w="13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11"/>
        <w:gridCol w:w="3773"/>
        <w:gridCol w:w="2785"/>
      </w:tblGrid>
      <w:tr w:rsidR="00371986" w:rsidRPr="00244B2F" w14:paraId="58E9602E" w14:textId="77777777" w:rsidTr="007A2CB0">
        <w:trPr>
          <w:tblHeader/>
        </w:trPr>
        <w:tc>
          <w:tcPr>
            <w:tcW w:w="2547" w:type="dxa"/>
          </w:tcPr>
          <w:p w14:paraId="3DE93C9E" w14:textId="77777777" w:rsidR="00371986" w:rsidRPr="00244B2F" w:rsidRDefault="00371986" w:rsidP="002F349F">
            <w:pPr>
              <w:rPr>
                <w:b/>
                <w:bCs/>
              </w:rPr>
            </w:pPr>
            <w:r w:rsidRPr="00244B2F">
              <w:rPr>
                <w:b/>
                <w:bCs/>
              </w:rPr>
              <w:lastRenderedPageBreak/>
              <w:t>Topic</w:t>
            </w:r>
          </w:p>
        </w:tc>
        <w:tc>
          <w:tcPr>
            <w:tcW w:w="4111" w:type="dxa"/>
          </w:tcPr>
          <w:p w14:paraId="37C7460D" w14:textId="251EF11A" w:rsidR="00371986" w:rsidRPr="00244B2F" w:rsidRDefault="00816DBE" w:rsidP="002F349F">
            <w:pPr>
              <w:rPr>
                <w:b/>
                <w:bCs/>
              </w:rPr>
            </w:pPr>
            <w:r>
              <w:rPr>
                <w:b/>
                <w:bCs/>
              </w:rPr>
              <w:t>Amendment</w:t>
            </w:r>
            <w:r w:rsidR="00AD3B57">
              <w:rPr>
                <w:b/>
                <w:bCs/>
              </w:rPr>
              <w:t xml:space="preserve"> in final DA</w:t>
            </w:r>
          </w:p>
        </w:tc>
        <w:tc>
          <w:tcPr>
            <w:tcW w:w="3773" w:type="dxa"/>
          </w:tcPr>
          <w:p w14:paraId="72D73397" w14:textId="4E490498" w:rsidR="00371986" w:rsidRPr="00244B2F" w:rsidRDefault="00816DBE" w:rsidP="002F349F">
            <w:pPr>
              <w:rPr>
                <w:b/>
                <w:bCs/>
              </w:rPr>
            </w:pPr>
            <w:r>
              <w:rPr>
                <w:b/>
                <w:bCs/>
              </w:rPr>
              <w:t>IE proposal</w:t>
            </w:r>
          </w:p>
        </w:tc>
        <w:tc>
          <w:tcPr>
            <w:tcW w:w="2785" w:type="dxa"/>
          </w:tcPr>
          <w:p w14:paraId="44E32403" w14:textId="1E8A35E1" w:rsidR="00371986" w:rsidRPr="00244B2F" w:rsidRDefault="00816DBE" w:rsidP="002F349F">
            <w:pPr>
              <w:rPr>
                <w:b/>
                <w:bCs/>
              </w:rPr>
            </w:pPr>
            <w:r>
              <w:rPr>
                <w:b/>
                <w:bCs/>
              </w:rPr>
              <w:t>Assessment</w:t>
            </w:r>
          </w:p>
        </w:tc>
      </w:tr>
      <w:tr w:rsidR="00371986" w:rsidRPr="006339B7" w14:paraId="2171CF07" w14:textId="77777777" w:rsidTr="007A2CB0">
        <w:tc>
          <w:tcPr>
            <w:tcW w:w="2547" w:type="dxa"/>
          </w:tcPr>
          <w:p w14:paraId="0C1B9D6E" w14:textId="502E8CAB" w:rsidR="00371986" w:rsidRPr="0025764C" w:rsidRDefault="00A46DDE" w:rsidP="002F349F">
            <w:pPr>
              <w:rPr>
                <w:b/>
                <w:bCs/>
              </w:rPr>
            </w:pPr>
            <w:r w:rsidRPr="0025764C">
              <w:rPr>
                <w:b/>
                <w:bCs/>
              </w:rPr>
              <w:t>Risk correction</w:t>
            </w:r>
          </w:p>
        </w:tc>
        <w:tc>
          <w:tcPr>
            <w:tcW w:w="4111" w:type="dxa"/>
          </w:tcPr>
          <w:p w14:paraId="2388BB0F" w14:textId="77777777" w:rsidR="006C2918" w:rsidRDefault="006C2918" w:rsidP="006C2918">
            <w:r w:rsidRPr="006C2918">
              <w:rPr>
                <w:b/>
                <w:bCs/>
              </w:rPr>
              <w:t>Corporate bonds:</w:t>
            </w:r>
            <w:r w:rsidRPr="006C2918">
              <w:t xml:space="preserve"> cap = </w:t>
            </w:r>
            <w:r w:rsidRPr="006C2918">
              <w:rPr>
                <w:b/>
                <w:bCs/>
              </w:rPr>
              <w:t>125%</w:t>
            </w:r>
            <w:r w:rsidRPr="006C2918">
              <w:t xml:space="preserve"> of LTAS; tranche shares </w:t>
            </w:r>
            <w:r w:rsidRPr="006C2918">
              <w:rPr>
                <w:b/>
                <w:bCs/>
              </w:rPr>
              <w:t>50% / 40% / 30%</w:t>
            </w:r>
            <w:r w:rsidRPr="006C2918">
              <w:t xml:space="preserve">. </w:t>
            </w:r>
          </w:p>
          <w:p w14:paraId="09E4D9DF" w14:textId="77777777" w:rsidR="006C2918" w:rsidRDefault="006C2918" w:rsidP="006C2918">
            <w:pPr>
              <w:rPr>
                <w:b/>
                <w:bCs/>
              </w:rPr>
            </w:pPr>
          </w:p>
          <w:p w14:paraId="53B69020" w14:textId="4F7D02E5" w:rsidR="00371986" w:rsidRDefault="006C2918" w:rsidP="006C2918">
            <w:r w:rsidRPr="006C2918">
              <w:rPr>
                <w:b/>
                <w:bCs/>
              </w:rPr>
              <w:t>Government bonds:</w:t>
            </w:r>
            <w:r w:rsidRPr="006C2918">
              <w:t xml:space="preserve"> cap = </w:t>
            </w:r>
            <w:r w:rsidRPr="006C2918">
              <w:rPr>
                <w:b/>
                <w:bCs/>
              </w:rPr>
              <w:t>65%</w:t>
            </w:r>
            <w:r w:rsidRPr="006C2918">
              <w:t xml:space="preserve"> of LTAS; allocated spread </w:t>
            </w:r>
            <w:r w:rsidRPr="006C2918">
              <w:rPr>
                <w:b/>
                <w:bCs/>
              </w:rPr>
              <w:t>30% / 20% / 15%</w:t>
            </w:r>
            <w:r w:rsidRPr="006C2918">
              <w:t>.</w:t>
            </w:r>
          </w:p>
          <w:p w14:paraId="27F1B68E" w14:textId="77777777" w:rsidR="00371986" w:rsidRPr="00244B2F" w:rsidRDefault="00371986" w:rsidP="006C2740"/>
        </w:tc>
        <w:tc>
          <w:tcPr>
            <w:tcW w:w="3773" w:type="dxa"/>
          </w:tcPr>
          <w:p w14:paraId="63852F12" w14:textId="77777777" w:rsidR="002F1282" w:rsidRDefault="002F1282" w:rsidP="002F1282">
            <w:r w:rsidRPr="002F1282">
              <w:rPr>
                <w:b/>
                <w:bCs/>
              </w:rPr>
              <w:t>Corporate:</w:t>
            </w:r>
            <w:r w:rsidRPr="002F1282">
              <w:t xml:space="preserve"> cap </w:t>
            </w:r>
            <w:r w:rsidRPr="002F1282">
              <w:rPr>
                <w:b/>
                <w:bCs/>
              </w:rPr>
              <w:t>110%</w:t>
            </w:r>
            <w:r w:rsidRPr="002F1282">
              <w:t xml:space="preserve">; tranches </w:t>
            </w:r>
            <w:r w:rsidRPr="002F1282">
              <w:rPr>
                <w:b/>
                <w:bCs/>
              </w:rPr>
              <w:t>40% / 30% / 20%</w:t>
            </w:r>
            <w:r w:rsidRPr="002F1282">
              <w:t xml:space="preserve">. </w:t>
            </w:r>
          </w:p>
          <w:p w14:paraId="4A9C9211" w14:textId="77777777" w:rsidR="002F1282" w:rsidRDefault="002F1282" w:rsidP="002F1282">
            <w:pPr>
              <w:rPr>
                <w:b/>
                <w:bCs/>
              </w:rPr>
            </w:pPr>
          </w:p>
          <w:p w14:paraId="56CC553B" w14:textId="77777777" w:rsidR="002F1282" w:rsidRDefault="002F1282" w:rsidP="002F1282">
            <w:pPr>
              <w:rPr>
                <w:b/>
                <w:bCs/>
              </w:rPr>
            </w:pPr>
          </w:p>
          <w:p w14:paraId="3BEC502E" w14:textId="739C85F7" w:rsidR="00A46DDE" w:rsidRPr="00244B2F" w:rsidRDefault="002F1282" w:rsidP="002F1282">
            <w:r w:rsidRPr="002F1282">
              <w:rPr>
                <w:b/>
                <w:bCs/>
              </w:rPr>
              <w:t>Government:</w:t>
            </w:r>
            <w:r w:rsidRPr="002F1282">
              <w:t xml:space="preserve"> cap </w:t>
            </w:r>
            <w:r w:rsidRPr="002F1282">
              <w:rPr>
                <w:b/>
                <w:bCs/>
              </w:rPr>
              <w:t>55%</w:t>
            </w:r>
            <w:r w:rsidRPr="002F1282">
              <w:t xml:space="preserve">; allocated spread </w:t>
            </w:r>
            <w:r w:rsidRPr="002F1282">
              <w:rPr>
                <w:b/>
                <w:bCs/>
              </w:rPr>
              <w:t>20% / 15% / 10%</w:t>
            </w:r>
            <w:r w:rsidRPr="002F1282">
              <w:t>.</w:t>
            </w:r>
          </w:p>
          <w:p w14:paraId="25F87D13" w14:textId="7E9E5C89" w:rsidR="00371986" w:rsidRPr="00244B2F" w:rsidRDefault="00371986" w:rsidP="002F349F">
            <w:r w:rsidRPr="00244B2F">
              <w:t xml:space="preserve"> </w:t>
            </w:r>
          </w:p>
        </w:tc>
        <w:tc>
          <w:tcPr>
            <w:tcW w:w="2785" w:type="dxa"/>
          </w:tcPr>
          <w:p w14:paraId="40F135BB" w14:textId="77777777" w:rsidR="00816DBE" w:rsidRPr="008908A9" w:rsidRDefault="00816DBE" w:rsidP="002F349F">
            <w:pPr>
              <w:rPr>
                <w:b/>
                <w:bCs/>
              </w:rPr>
            </w:pPr>
            <w:r w:rsidRPr="008908A9">
              <w:rPr>
                <w:b/>
                <w:bCs/>
                <w:color w:val="FFC000"/>
              </w:rPr>
              <w:t>Mildly positive</w:t>
            </w:r>
          </w:p>
          <w:p w14:paraId="478A4949" w14:textId="46C8E7EE" w:rsidR="00371986" w:rsidRDefault="009134F0" w:rsidP="009134F0">
            <w:r w:rsidRPr="009134F0">
              <w:t xml:space="preserve">Third corporate tranche lowered to </w:t>
            </w:r>
            <w:r w:rsidRPr="009134F0">
              <w:rPr>
                <w:b/>
                <w:bCs/>
              </w:rPr>
              <w:t>30%</w:t>
            </w:r>
            <w:r w:rsidRPr="009134F0">
              <w:t xml:space="preserve"> vs 35% in earlier drafts.</w:t>
            </w:r>
          </w:p>
          <w:p w14:paraId="1F2A634B" w14:textId="77777777" w:rsidR="00371986" w:rsidRDefault="00371986" w:rsidP="002F349F"/>
          <w:p w14:paraId="382FEBB2" w14:textId="641E6F3D" w:rsidR="00371986" w:rsidRPr="006339B7" w:rsidRDefault="00371986" w:rsidP="002F349F">
            <w:pPr>
              <w:rPr>
                <w:b/>
                <w:bCs/>
              </w:rPr>
            </w:pPr>
          </w:p>
        </w:tc>
      </w:tr>
      <w:tr w:rsidR="00371986" w14:paraId="7CA98CC2" w14:textId="77777777" w:rsidTr="007A2CB0">
        <w:tc>
          <w:tcPr>
            <w:tcW w:w="2547" w:type="dxa"/>
          </w:tcPr>
          <w:p w14:paraId="261FFE56" w14:textId="24B66D98" w:rsidR="00371986" w:rsidRPr="00816DBE" w:rsidRDefault="006C2740" w:rsidP="002F349F">
            <w:pPr>
              <w:rPr>
                <w:b/>
                <w:bCs/>
              </w:rPr>
            </w:pPr>
            <w:r w:rsidRPr="00816DBE">
              <w:rPr>
                <w:b/>
                <w:bCs/>
              </w:rPr>
              <w:t>CSSR</w:t>
            </w:r>
          </w:p>
        </w:tc>
        <w:tc>
          <w:tcPr>
            <w:tcW w:w="4111" w:type="dxa"/>
          </w:tcPr>
          <w:p w14:paraId="2C0C9078" w14:textId="41CAB3B6" w:rsidR="002D353F" w:rsidRDefault="002D353F" w:rsidP="002D353F">
            <w:r w:rsidRPr="002D353F">
              <w:rPr>
                <w:b/>
                <w:bCs/>
              </w:rPr>
              <w:t>Annual calculation</w:t>
            </w:r>
            <w:r w:rsidRPr="002D353F">
              <w:t xml:space="preserve"> allowed to be reused if last calc</w:t>
            </w:r>
            <w:r>
              <w:t>ulation</w:t>
            </w:r>
            <w:r w:rsidRPr="002D353F">
              <w:t xml:space="preserve"> &lt; 1 year </w:t>
            </w:r>
            <w:r w:rsidRPr="002D353F">
              <w:rPr>
                <w:b/>
                <w:bCs/>
              </w:rPr>
              <w:t>and</w:t>
            </w:r>
            <w:r w:rsidRPr="002D353F">
              <w:t xml:space="preserve"> undertaking can demonstrate </w:t>
            </w:r>
            <w:r w:rsidRPr="002D353F">
              <w:rPr>
                <w:b/>
                <w:bCs/>
              </w:rPr>
              <w:t>no material change</w:t>
            </w:r>
            <w:r w:rsidRPr="002D353F">
              <w:t xml:space="preserve">; </w:t>
            </w:r>
          </w:p>
          <w:p w14:paraId="48253CC1" w14:textId="77777777" w:rsidR="002D353F" w:rsidRDefault="002D353F" w:rsidP="002D353F"/>
          <w:p w14:paraId="135AACDC" w14:textId="77777777" w:rsidR="002D353F" w:rsidRDefault="002D353F" w:rsidP="002D353F"/>
          <w:p w14:paraId="71F9C096" w14:textId="77777777" w:rsidR="007A2CB0" w:rsidRPr="002D353F" w:rsidRDefault="007A2CB0" w:rsidP="002D353F"/>
          <w:p w14:paraId="05CB3152" w14:textId="4E3D9867" w:rsidR="006C2740" w:rsidRPr="00244B2F" w:rsidRDefault="002D353F" w:rsidP="002D353F">
            <w:r w:rsidRPr="002D353F">
              <w:rPr>
                <w:b/>
                <w:bCs/>
              </w:rPr>
              <w:t>CSSR = 1</w:t>
            </w:r>
            <w:r w:rsidRPr="002D353F">
              <w:t xml:space="preserve"> where </w:t>
            </w:r>
            <w:r w:rsidRPr="002D353F">
              <w:rPr>
                <w:b/>
                <w:bCs/>
              </w:rPr>
              <w:t>PVBP(BEL) ≤ 0</w:t>
            </w:r>
            <w:r w:rsidRPr="002D353F">
              <w:t>.</w:t>
            </w:r>
          </w:p>
        </w:tc>
        <w:tc>
          <w:tcPr>
            <w:tcW w:w="3773" w:type="dxa"/>
          </w:tcPr>
          <w:p w14:paraId="69F2A686" w14:textId="69A93772" w:rsidR="00F01963" w:rsidRPr="00F01963" w:rsidRDefault="00F01963" w:rsidP="00F01963">
            <w:pPr>
              <w:rPr>
                <w:b/>
                <w:bCs/>
                <w:color w:val="8DD873" w:themeColor="accent6" w:themeTint="99"/>
              </w:rPr>
            </w:pPr>
            <w:r>
              <w:t xml:space="preserve">For </w:t>
            </w:r>
            <w:r w:rsidR="00484FEC">
              <w:t>t</w:t>
            </w:r>
            <w:r w:rsidRPr="00F01963">
              <w:t>he CSSR</w:t>
            </w:r>
            <w:r>
              <w:t xml:space="preserve"> to</w:t>
            </w:r>
            <w:r w:rsidRPr="00F01963">
              <w:t xml:space="preserve"> be calculated </w:t>
            </w:r>
            <w:r w:rsidRPr="00F01963">
              <w:rPr>
                <w:b/>
                <w:bCs/>
              </w:rPr>
              <w:t>annually</w:t>
            </w:r>
            <w:r w:rsidRPr="00F01963">
              <w:t xml:space="preserve"> unless there are material changes</w:t>
            </w:r>
            <w:r>
              <w:t>.</w:t>
            </w:r>
          </w:p>
          <w:p w14:paraId="0A91288E" w14:textId="77777777" w:rsidR="00F01963" w:rsidRDefault="00F01963" w:rsidP="002F349F"/>
          <w:p w14:paraId="53AD1D83" w14:textId="77777777" w:rsidR="00F01963" w:rsidRDefault="00F01963" w:rsidP="002F349F"/>
          <w:p w14:paraId="25F4FEAF" w14:textId="77777777" w:rsidR="007A2CB0" w:rsidRDefault="007A2CB0" w:rsidP="002F349F"/>
          <w:p w14:paraId="57BA15F8" w14:textId="77777777" w:rsidR="007A2CB0" w:rsidRDefault="007A2CB0" w:rsidP="002F349F"/>
          <w:p w14:paraId="313C2B0F" w14:textId="5E05F781" w:rsidR="00371986" w:rsidRDefault="00AE69A1" w:rsidP="002F349F">
            <w:r>
              <w:t>A</w:t>
            </w:r>
            <w:r w:rsidR="006C2740" w:rsidRPr="006C2740">
              <w:t xml:space="preserve"> practical fix would be to set CSSR to 1 when PVBP(BEL) is negative</w:t>
            </w:r>
          </w:p>
          <w:p w14:paraId="3C9F920E" w14:textId="7E22697A" w:rsidR="00371986" w:rsidRPr="00244B2F" w:rsidRDefault="00371986" w:rsidP="002F349F"/>
        </w:tc>
        <w:tc>
          <w:tcPr>
            <w:tcW w:w="2785" w:type="dxa"/>
          </w:tcPr>
          <w:p w14:paraId="4CD4589A" w14:textId="4C222AAE" w:rsidR="00F01963" w:rsidRPr="00F01963" w:rsidRDefault="003866BB" w:rsidP="00F01963">
            <w:pPr>
              <w:rPr>
                <w:b/>
                <w:bCs/>
                <w:color w:val="8DD873" w:themeColor="accent6" w:themeTint="99"/>
              </w:rPr>
            </w:pPr>
            <w:r>
              <w:rPr>
                <w:b/>
                <w:bCs/>
                <w:color w:val="8DD873" w:themeColor="accent6" w:themeTint="99"/>
              </w:rPr>
              <w:t>Positive</w:t>
            </w:r>
          </w:p>
          <w:p w14:paraId="3B1ED8EF" w14:textId="0FA2F3B8" w:rsidR="00F01963" w:rsidRDefault="00F01963" w:rsidP="00F01963">
            <w:r>
              <w:t>Yearly calculation implemented, but the absence of material changes needs to be demonstrated.</w:t>
            </w:r>
          </w:p>
          <w:p w14:paraId="41561B91" w14:textId="77777777" w:rsidR="00F01963" w:rsidRDefault="00F01963" w:rsidP="00F01963">
            <w:pPr>
              <w:rPr>
                <w:b/>
                <w:bCs/>
              </w:rPr>
            </w:pPr>
          </w:p>
          <w:p w14:paraId="0B7FE089" w14:textId="22D8A5F0" w:rsidR="00371986" w:rsidRPr="00F01963" w:rsidRDefault="00F01963" w:rsidP="00F01963">
            <w:pPr>
              <w:rPr>
                <w:b/>
                <w:bCs/>
                <w:color w:val="8DD873" w:themeColor="accent6" w:themeTint="99"/>
              </w:rPr>
            </w:pPr>
            <w:r w:rsidRPr="006C2740">
              <w:rPr>
                <w:b/>
                <w:bCs/>
                <w:color w:val="8DD873" w:themeColor="accent6" w:themeTint="99"/>
              </w:rPr>
              <w:t>Positive</w:t>
            </w:r>
          </w:p>
          <w:p w14:paraId="50B2F68E" w14:textId="1D77750B" w:rsidR="006C2740" w:rsidRPr="006C2740" w:rsidRDefault="006C2740" w:rsidP="002F349F">
            <w:pPr>
              <w:rPr>
                <w:color w:val="FFC000"/>
              </w:rPr>
            </w:pPr>
            <w:r w:rsidRPr="006C2740">
              <w:t>The practical fix was implemented</w:t>
            </w:r>
            <w:r w:rsidR="006A5E96">
              <w:t>.</w:t>
            </w:r>
          </w:p>
        </w:tc>
      </w:tr>
      <w:tr w:rsidR="00F01963" w14:paraId="6F6C8988" w14:textId="77777777" w:rsidTr="007A2CB0">
        <w:tc>
          <w:tcPr>
            <w:tcW w:w="2547" w:type="dxa"/>
          </w:tcPr>
          <w:p w14:paraId="1BCC1F9B" w14:textId="17E491EF" w:rsidR="00F01963" w:rsidRDefault="00F01963" w:rsidP="002F349F">
            <w:r w:rsidRPr="00556AA2">
              <w:rPr>
                <w:b/>
                <w:bCs/>
              </w:rPr>
              <w:t>Extrapolation</w:t>
            </w:r>
            <w:r w:rsidR="00AB2A3B">
              <w:t xml:space="preserve"> (First smoothing point)</w:t>
            </w:r>
          </w:p>
        </w:tc>
        <w:tc>
          <w:tcPr>
            <w:tcW w:w="4111" w:type="dxa"/>
          </w:tcPr>
          <w:p w14:paraId="0DA412A4" w14:textId="20A2262A" w:rsidR="00F01963" w:rsidRDefault="002E5C14" w:rsidP="002E5C14">
            <w:r w:rsidRPr="002E5C14">
              <w:t xml:space="preserve">Applicable % = </w:t>
            </w:r>
            <w:r w:rsidRPr="002E5C14">
              <w:rPr>
                <w:b/>
                <w:bCs/>
              </w:rPr>
              <w:t>1.5% + lowest %</w:t>
            </w:r>
            <w:r w:rsidRPr="002E5C14">
              <w:t xml:space="preserve"> </w:t>
            </w:r>
            <w:r>
              <w:t xml:space="preserve"> of outstanding bonds </w:t>
            </w:r>
            <w:r w:rsidRPr="002E5C14">
              <w:t xml:space="preserve">that gives </w:t>
            </w:r>
            <w:r w:rsidRPr="002E5C14">
              <w:rPr>
                <w:b/>
                <w:bCs/>
              </w:rPr>
              <w:t>FSP = 20y</w:t>
            </w:r>
            <w:r w:rsidRPr="002E5C14">
              <w:t xml:space="preserve"> on </w:t>
            </w:r>
            <w:r w:rsidRPr="002E5C14">
              <w:rPr>
                <w:b/>
                <w:bCs/>
              </w:rPr>
              <w:t>28 Jan 2025</w:t>
            </w:r>
            <w:r w:rsidRPr="002E5C14">
              <w:t>.</w:t>
            </w:r>
          </w:p>
          <w:p w14:paraId="4681C946" w14:textId="77777777" w:rsidR="00AB2A3B" w:rsidRDefault="00AB2A3B" w:rsidP="002F349F"/>
          <w:p w14:paraId="0D885796" w14:textId="77777777" w:rsidR="00AB2A3B" w:rsidRDefault="00AB2A3B" w:rsidP="002F349F"/>
          <w:p w14:paraId="065FD955" w14:textId="77777777" w:rsidR="007A2CB0" w:rsidRDefault="007A2CB0" w:rsidP="002F349F"/>
          <w:p w14:paraId="00E52D44" w14:textId="1E6108CF" w:rsidR="00AB2A3B" w:rsidRPr="00F01963" w:rsidRDefault="00333172" w:rsidP="00333172">
            <w:r w:rsidRPr="00333172">
              <w:t xml:space="preserve">Convergence parameter </w:t>
            </w:r>
            <w:r w:rsidRPr="00333172">
              <w:rPr>
                <w:b/>
                <w:bCs/>
              </w:rPr>
              <w:t>α = 40% (SEK)</w:t>
            </w:r>
            <w:r w:rsidRPr="00333172">
              <w:t xml:space="preserve"> and </w:t>
            </w:r>
            <w:r w:rsidRPr="00333172">
              <w:rPr>
                <w:b/>
                <w:bCs/>
              </w:rPr>
              <w:t>11% (others)</w:t>
            </w:r>
            <w:r w:rsidRPr="00333172">
              <w:t>.</w:t>
            </w:r>
          </w:p>
        </w:tc>
        <w:tc>
          <w:tcPr>
            <w:tcW w:w="3773" w:type="dxa"/>
          </w:tcPr>
          <w:p w14:paraId="3D272DD5" w14:textId="77777777" w:rsidR="00F01963" w:rsidRDefault="00AB2A3B" w:rsidP="00F01963">
            <w:r>
              <w:t>I</w:t>
            </w:r>
            <w:r w:rsidRPr="00AB2A3B">
              <w:t>mprovement to the proposed methodology by adding 2% to the lowest percentage that gives a FSP of 20 years</w:t>
            </w:r>
            <w:r>
              <w:t>.</w:t>
            </w:r>
          </w:p>
          <w:p w14:paraId="237531CD" w14:textId="77777777" w:rsidR="00AB2A3B" w:rsidRDefault="00AB2A3B" w:rsidP="00F01963"/>
          <w:p w14:paraId="59EC52B6" w14:textId="77777777" w:rsidR="00AB2A3B" w:rsidRDefault="00AB2A3B" w:rsidP="00F01963"/>
          <w:p w14:paraId="730646C4" w14:textId="0D318C34" w:rsidR="00AB2A3B" w:rsidRDefault="00AB2A3B" w:rsidP="002E5C14">
            <w:r w:rsidRPr="00AB2A3B">
              <w:t xml:space="preserve">The industry supports a calibration of the convergence parameter of </w:t>
            </w:r>
            <w:r w:rsidRPr="00F86292">
              <w:t>15% and 70% for the Swedish Krona (SEK).</w:t>
            </w:r>
          </w:p>
        </w:tc>
        <w:tc>
          <w:tcPr>
            <w:tcW w:w="2785" w:type="dxa"/>
          </w:tcPr>
          <w:p w14:paraId="6B024D9D" w14:textId="3F50D57D" w:rsidR="00AB2A3B" w:rsidRPr="00556AA2" w:rsidRDefault="00556AA2" w:rsidP="00AB2A3B">
            <w:pPr>
              <w:rPr>
                <w:b/>
                <w:bCs/>
                <w:color w:val="8DD873" w:themeColor="accent6" w:themeTint="99"/>
              </w:rPr>
            </w:pPr>
            <w:r w:rsidRPr="00556AA2">
              <w:rPr>
                <w:b/>
                <w:bCs/>
                <w:color w:val="8DD873" w:themeColor="accent6" w:themeTint="99"/>
              </w:rPr>
              <w:t>Positive</w:t>
            </w:r>
          </w:p>
          <w:p w14:paraId="52686F01" w14:textId="4D435241" w:rsidR="00AB2A3B" w:rsidRDefault="00AB2A3B" w:rsidP="00AB2A3B">
            <w:r>
              <w:t>Percentage is increased from 1 to 1.5%.</w:t>
            </w:r>
          </w:p>
          <w:p w14:paraId="68024DE7" w14:textId="77777777" w:rsidR="00AB2A3B" w:rsidRDefault="00AB2A3B" w:rsidP="00AB2A3B"/>
          <w:p w14:paraId="5893DECF" w14:textId="77777777" w:rsidR="00AB2A3B" w:rsidRDefault="00AB2A3B" w:rsidP="00AB2A3B"/>
          <w:p w14:paraId="4197142A" w14:textId="77777777" w:rsidR="002E5C14" w:rsidRDefault="002E5C14" w:rsidP="00AB2A3B">
            <w:pPr>
              <w:rPr>
                <w:b/>
                <w:bCs/>
                <w:color w:val="FF0000"/>
              </w:rPr>
            </w:pPr>
          </w:p>
          <w:p w14:paraId="25D2B23C" w14:textId="60DE0C9F" w:rsidR="00CA5F97" w:rsidRPr="008908A9" w:rsidRDefault="00AB2A3B" w:rsidP="00AB2A3B">
            <w:pPr>
              <w:rPr>
                <w:b/>
                <w:bCs/>
              </w:rPr>
            </w:pPr>
            <w:r w:rsidRPr="008908A9">
              <w:rPr>
                <w:b/>
                <w:bCs/>
                <w:color w:val="FF0000"/>
              </w:rPr>
              <w:t>Negative</w:t>
            </w:r>
          </w:p>
          <w:p w14:paraId="7E88A18E" w14:textId="26C4B889" w:rsidR="00AB2A3B" w:rsidRDefault="001606E4" w:rsidP="00AB2A3B">
            <w:r>
              <w:t>N</w:t>
            </w:r>
            <w:r w:rsidR="00AB2A3B">
              <w:t>o change</w:t>
            </w:r>
            <w:r w:rsidR="00122AFB">
              <w:t>s</w:t>
            </w:r>
            <w:r w:rsidR="00AB2A3B">
              <w:t xml:space="preserve"> </w:t>
            </w:r>
            <w:r w:rsidR="00FD6153">
              <w:t>on</w:t>
            </w:r>
            <w:r w:rsidR="00FD6153" w:rsidRPr="00333172">
              <w:rPr>
                <w:b/>
                <w:bCs/>
              </w:rPr>
              <w:t xml:space="preserve"> α</w:t>
            </w:r>
            <w:r w:rsidR="006A5E96">
              <w:t>.</w:t>
            </w:r>
          </w:p>
          <w:p w14:paraId="3C2566E2" w14:textId="77777777" w:rsidR="00F01963" w:rsidRDefault="00F01963" w:rsidP="00F01963">
            <w:pPr>
              <w:rPr>
                <w:b/>
                <w:bCs/>
              </w:rPr>
            </w:pPr>
          </w:p>
          <w:p w14:paraId="59C9D9CA" w14:textId="77777777" w:rsidR="00AB2A3B" w:rsidRDefault="00AB2A3B" w:rsidP="00F01963">
            <w:pPr>
              <w:rPr>
                <w:b/>
                <w:bCs/>
              </w:rPr>
            </w:pPr>
          </w:p>
          <w:p w14:paraId="52D5CED4" w14:textId="6A13C84E" w:rsidR="00AB2A3B" w:rsidRPr="006C2740" w:rsidRDefault="00AB2A3B" w:rsidP="00F01963">
            <w:pPr>
              <w:rPr>
                <w:b/>
                <w:bCs/>
              </w:rPr>
            </w:pPr>
          </w:p>
        </w:tc>
      </w:tr>
      <w:tr w:rsidR="00AB2A3B" w14:paraId="62585032" w14:textId="77777777" w:rsidTr="007A2CB0">
        <w:tc>
          <w:tcPr>
            <w:tcW w:w="2547" w:type="dxa"/>
          </w:tcPr>
          <w:p w14:paraId="1DBFD023" w14:textId="13DFA3FC" w:rsidR="00AB2A3B" w:rsidRPr="00CF408B" w:rsidRDefault="00963798" w:rsidP="00AB2A3B">
            <w:pPr>
              <w:rPr>
                <w:b/>
                <w:bCs/>
              </w:rPr>
            </w:pPr>
            <w:r w:rsidRPr="00CF408B">
              <w:rPr>
                <w:b/>
                <w:bCs/>
              </w:rPr>
              <w:lastRenderedPageBreak/>
              <w:t>Lon</w:t>
            </w:r>
            <w:r w:rsidR="008908A9" w:rsidRPr="00CF408B">
              <w:rPr>
                <w:b/>
                <w:bCs/>
              </w:rPr>
              <w:t>g</w:t>
            </w:r>
            <w:r w:rsidRPr="00CF408B">
              <w:rPr>
                <w:b/>
                <w:bCs/>
              </w:rPr>
              <w:t xml:space="preserve"> term equity investments</w:t>
            </w:r>
          </w:p>
        </w:tc>
        <w:tc>
          <w:tcPr>
            <w:tcW w:w="4111" w:type="dxa"/>
          </w:tcPr>
          <w:p w14:paraId="6B99C035" w14:textId="47106F0C" w:rsidR="00AB2A3B" w:rsidRDefault="00963798" w:rsidP="00AB2A3B">
            <w:r w:rsidRPr="00963798">
              <w:rPr>
                <w:b/>
                <w:bCs/>
              </w:rPr>
              <w:t xml:space="preserve">The liquidity buffer threshold </w:t>
            </w:r>
            <w:r>
              <w:t>is 100%</w:t>
            </w:r>
            <w:r w:rsidR="003358F6">
              <w:t xml:space="preserve"> (previously 105%)</w:t>
            </w:r>
          </w:p>
          <w:p w14:paraId="4C2E44DE" w14:textId="77777777" w:rsidR="00CE7399" w:rsidRDefault="00CE7399" w:rsidP="00AB2A3B"/>
          <w:p w14:paraId="09A4E286" w14:textId="77777777" w:rsidR="00CE7399" w:rsidRDefault="00CE7399" w:rsidP="00AB2A3B"/>
          <w:p w14:paraId="3103E72D" w14:textId="0EAB629E" w:rsidR="00CE7399" w:rsidRDefault="00CE7399" w:rsidP="000C5227">
            <w:r w:rsidRPr="00A70B59">
              <w:rPr>
                <w:b/>
              </w:rPr>
              <w:t>Time horizon</w:t>
            </w:r>
            <w:r>
              <w:t xml:space="preserve">: </w:t>
            </w:r>
            <w:r w:rsidR="000C5227" w:rsidRPr="000C5227">
              <w:rPr>
                <w:b/>
                <w:bCs/>
              </w:rPr>
              <w:t xml:space="preserve"> 9.5y Macaulay duration</w:t>
            </w:r>
            <w:r w:rsidR="000C5227" w:rsidRPr="000C5227">
              <w:t xml:space="preserve"> (from 10y; definition clarified). </w:t>
            </w:r>
          </w:p>
          <w:p w14:paraId="0E9D2E4A" w14:textId="77777777" w:rsidR="00CE7399" w:rsidRDefault="00CE7399" w:rsidP="00AB2A3B"/>
          <w:p w14:paraId="4FAA2BA6" w14:textId="77777777" w:rsidR="00CE7399" w:rsidRDefault="00CE7399" w:rsidP="00AB2A3B"/>
          <w:p w14:paraId="4639E772" w14:textId="77777777" w:rsidR="00B91DA0" w:rsidRDefault="00B91DA0" w:rsidP="00AB2A3B"/>
          <w:p w14:paraId="533C8371" w14:textId="77777777" w:rsidR="00CE7399" w:rsidRDefault="00CE7399" w:rsidP="00AB2A3B"/>
          <w:p w14:paraId="2A41DCC8" w14:textId="1CA7698D" w:rsidR="00725331" w:rsidRDefault="00725331" w:rsidP="007A2CB0">
            <w:pPr>
              <w:rPr>
                <w:b/>
                <w:bCs/>
              </w:rPr>
            </w:pPr>
            <w:r w:rsidRPr="00725331">
              <w:rPr>
                <w:b/>
                <w:bCs/>
              </w:rPr>
              <w:t xml:space="preserve">Non-life liquidity via funds: </w:t>
            </w:r>
            <w:r w:rsidRPr="00725331">
              <w:t>may count liquid assets held through CIUs/other funds up to EUR 500m</w:t>
            </w:r>
            <w:r w:rsidR="006D3008">
              <w:t xml:space="preserve"> </w:t>
            </w:r>
            <w:r w:rsidR="006D3008" w:rsidRPr="006D3008">
              <w:t>(</w:t>
            </w:r>
            <w:r w:rsidR="006D3008" w:rsidRPr="006D3008">
              <w:rPr>
                <w:b/>
                <w:bCs/>
              </w:rPr>
              <w:t>Art. 171b(4)</w:t>
            </w:r>
            <w:r w:rsidR="006D3008" w:rsidRPr="006D3008">
              <w:t xml:space="preserve">), with </w:t>
            </w:r>
            <w:r w:rsidR="006D3008" w:rsidRPr="00F56976">
              <w:rPr>
                <w:b/>
                <w:bCs/>
              </w:rPr>
              <w:t>specific haircuts for such fund-held liquid assets</w:t>
            </w:r>
            <w:r w:rsidR="006D3008" w:rsidRPr="006D3008">
              <w:t xml:space="preserve"> (0 % for cash; 5 % for Level 1 non-cash; 20 % for Level 2A; 30 % for Level 2B securitisations; 55 % for Level 2B other).</w:t>
            </w:r>
            <w:r w:rsidRPr="00725331">
              <w:t xml:space="preserve"> </w:t>
            </w:r>
          </w:p>
          <w:p w14:paraId="46589B20" w14:textId="77777777" w:rsidR="00FF38A3" w:rsidRDefault="00FF38A3" w:rsidP="00AB2A3B"/>
          <w:p w14:paraId="50C48DB1" w14:textId="6FEE265F" w:rsidR="00FF38A3" w:rsidRDefault="00FF38A3" w:rsidP="00AB2A3B">
            <w:r w:rsidRPr="00FF38A3">
              <w:rPr>
                <w:b/>
                <w:bCs/>
              </w:rPr>
              <w:t>Forced selling test</w:t>
            </w:r>
            <w:r>
              <w:t xml:space="preserve">: </w:t>
            </w:r>
          </w:p>
          <w:p w14:paraId="645AE56E" w14:textId="77777777" w:rsidR="00FF38A3" w:rsidRDefault="00EA49D4" w:rsidP="009031B2">
            <w:r w:rsidRPr="00EA49D4">
              <w:t xml:space="preserve">Article </w:t>
            </w:r>
            <w:r w:rsidR="0070329A">
              <w:t>171c (</w:t>
            </w:r>
            <w:r w:rsidRPr="00EA49D4">
              <w:t>3</w:t>
            </w:r>
            <w:r w:rsidR="004E62A9">
              <w:t>)(</w:t>
            </w:r>
            <w:r w:rsidRPr="00EA49D4">
              <w:t>a</w:t>
            </w:r>
            <w:r w:rsidR="004E62A9">
              <w:t>)</w:t>
            </w:r>
            <w:r w:rsidRPr="00EA49D4">
              <w:t xml:space="preserve"> keeps the asset-scope definition (edited but retained).</w:t>
            </w:r>
            <w:r w:rsidR="009031B2" w:rsidRPr="009031B2">
              <w:t xml:space="preserve"> </w:t>
            </w:r>
            <w:r w:rsidR="009031B2">
              <w:t>T</w:t>
            </w:r>
            <w:r w:rsidR="009031B2" w:rsidRPr="009031B2">
              <w:t xml:space="preserve">he final text introduces a </w:t>
            </w:r>
            <w:r w:rsidR="009031B2" w:rsidRPr="009031B2">
              <w:rPr>
                <w:b/>
                <w:bCs/>
              </w:rPr>
              <w:t>two-tier approach</w:t>
            </w:r>
            <w:r w:rsidR="009031B2" w:rsidRPr="009031B2">
              <w:t xml:space="preserve"> – assets in </w:t>
            </w:r>
            <w:r w:rsidR="009031B2" w:rsidRPr="009031B2">
              <w:rPr>
                <w:b/>
                <w:bCs/>
              </w:rPr>
              <w:t>controlled vehicles may be fully recognised</w:t>
            </w:r>
            <w:r w:rsidR="009031B2" w:rsidRPr="009031B2">
              <w:t xml:space="preserve">, while those held through CIUs/other </w:t>
            </w:r>
            <w:r w:rsidR="009031B2" w:rsidRPr="009031B2">
              <w:lastRenderedPageBreak/>
              <w:t xml:space="preserve">funds are recognised </w:t>
            </w:r>
            <w:r w:rsidR="009031B2" w:rsidRPr="009031B2">
              <w:rPr>
                <w:b/>
                <w:bCs/>
              </w:rPr>
              <w:t>up to EUR 500 million</w:t>
            </w:r>
            <w:r w:rsidR="009031B2" w:rsidRPr="009031B2">
              <w:t>.</w:t>
            </w:r>
          </w:p>
          <w:p w14:paraId="62A088B5" w14:textId="50EC92C1" w:rsidR="00FF38A3" w:rsidRDefault="00FF38A3" w:rsidP="009031B2"/>
        </w:tc>
        <w:tc>
          <w:tcPr>
            <w:tcW w:w="3773" w:type="dxa"/>
          </w:tcPr>
          <w:p w14:paraId="53BD7257" w14:textId="2641AD34" w:rsidR="00AB2A3B" w:rsidRDefault="00F050ED" w:rsidP="00AB2A3B">
            <w:r>
              <w:lastRenderedPageBreak/>
              <w:t>T</w:t>
            </w:r>
            <w:r w:rsidR="00963798" w:rsidRPr="00963798">
              <w:t xml:space="preserve">he buffer threshold </w:t>
            </w:r>
            <w:r w:rsidR="00963798">
              <w:t>should be brought back from 105% to 100%.</w:t>
            </w:r>
          </w:p>
          <w:p w14:paraId="74B5B061" w14:textId="77777777" w:rsidR="00CE7399" w:rsidRDefault="00CE7399" w:rsidP="00AB2A3B"/>
          <w:p w14:paraId="63D937F7" w14:textId="77777777" w:rsidR="007A2CB0" w:rsidRDefault="007A2CB0" w:rsidP="00AB2A3B"/>
          <w:p w14:paraId="0C452B44" w14:textId="26213ACB" w:rsidR="00CE7399" w:rsidRDefault="00A21383" w:rsidP="00AB2A3B">
            <w:r>
              <w:t>D</w:t>
            </w:r>
            <w:r w:rsidR="00CE7399">
              <w:t xml:space="preserve">uration </w:t>
            </w:r>
            <w:r>
              <w:t xml:space="preserve">criterion </w:t>
            </w:r>
            <w:r w:rsidR="00CE7399">
              <w:t>of 5 years</w:t>
            </w:r>
          </w:p>
          <w:p w14:paraId="1EAC6002" w14:textId="77777777" w:rsidR="00CE7399" w:rsidRDefault="00CE7399" w:rsidP="00AB2A3B"/>
          <w:p w14:paraId="57A59E4D" w14:textId="77777777" w:rsidR="00CE7399" w:rsidRDefault="00CE7399" w:rsidP="00AB2A3B"/>
          <w:p w14:paraId="098E8C11" w14:textId="77777777" w:rsidR="00CE7399" w:rsidRDefault="00CE7399" w:rsidP="00AB2A3B"/>
          <w:p w14:paraId="6631DD40" w14:textId="77777777" w:rsidR="00CE7399" w:rsidRDefault="00CE7399" w:rsidP="00AB2A3B"/>
          <w:p w14:paraId="21358F83" w14:textId="77777777" w:rsidR="00B91DA0" w:rsidRDefault="00B91DA0" w:rsidP="00AB2A3B"/>
          <w:p w14:paraId="3ACDADAE" w14:textId="77777777" w:rsidR="00CE7399" w:rsidRDefault="00CE7399" w:rsidP="00AB2A3B"/>
          <w:p w14:paraId="2EDF81CC" w14:textId="728C3A50" w:rsidR="004020BD" w:rsidRDefault="00CE7399" w:rsidP="00AB2A3B">
            <w:r w:rsidRPr="00CE7399">
              <w:t xml:space="preserve">Include investment vehicles - </w:t>
            </w:r>
            <w:r w:rsidR="00AE2979">
              <w:t>with</w:t>
            </w:r>
            <w:r w:rsidRPr="00CE7399">
              <w:t xml:space="preserve"> same liquidity characteristics as those of the directly held assets deemed eligible - in the list of liquid assets.</w:t>
            </w:r>
          </w:p>
          <w:p w14:paraId="23767F74" w14:textId="77777777" w:rsidR="00EA49D4" w:rsidRDefault="00EA49D4" w:rsidP="00AB2A3B"/>
          <w:p w14:paraId="04199552" w14:textId="77777777" w:rsidR="00963804" w:rsidRDefault="00963804" w:rsidP="00AB2A3B"/>
          <w:p w14:paraId="6C0FA80F" w14:textId="77777777" w:rsidR="00963804" w:rsidRDefault="00963804" w:rsidP="00AB2A3B"/>
          <w:p w14:paraId="0465E209" w14:textId="77777777" w:rsidR="00963804" w:rsidRDefault="00963804" w:rsidP="00AB2A3B"/>
          <w:p w14:paraId="66BECA58" w14:textId="77777777" w:rsidR="00963804" w:rsidRDefault="00963804" w:rsidP="00AB2A3B"/>
          <w:p w14:paraId="1DF9B6AE" w14:textId="77777777" w:rsidR="00CE7399" w:rsidRDefault="004020BD" w:rsidP="000C668F">
            <w:r>
              <w:t xml:space="preserve">Definition in Art 3a should be deleted not to exclude </w:t>
            </w:r>
            <w:r w:rsidRPr="00C67D08">
              <w:t>commonly used diversified investment structures</w:t>
            </w:r>
            <w:r>
              <w:t>.</w:t>
            </w:r>
          </w:p>
          <w:p w14:paraId="43A97839" w14:textId="6F312C8D" w:rsidR="002406B1" w:rsidRDefault="002406B1" w:rsidP="000C668F"/>
        </w:tc>
        <w:tc>
          <w:tcPr>
            <w:tcW w:w="2785" w:type="dxa"/>
          </w:tcPr>
          <w:p w14:paraId="23892833" w14:textId="6FAB51D2" w:rsidR="00AB2A3B" w:rsidRPr="004414FA" w:rsidRDefault="00963798" w:rsidP="00AB2A3B">
            <w:pPr>
              <w:rPr>
                <w:b/>
                <w:color w:val="8DD873" w:themeColor="accent6" w:themeTint="99"/>
              </w:rPr>
            </w:pPr>
            <w:r w:rsidRPr="004414FA">
              <w:rPr>
                <w:b/>
                <w:color w:val="8DD873" w:themeColor="accent6" w:themeTint="99"/>
              </w:rPr>
              <w:t>Positive</w:t>
            </w:r>
            <w:r w:rsidRPr="004414FA">
              <w:rPr>
                <w:color w:val="8DD873" w:themeColor="accent6" w:themeTint="99"/>
              </w:rPr>
              <w:t xml:space="preserve"> </w:t>
            </w:r>
          </w:p>
          <w:p w14:paraId="6994D953" w14:textId="065526C8" w:rsidR="00963798" w:rsidRDefault="00963798" w:rsidP="00AB2A3B">
            <w:r>
              <w:t>Proposal taken on board</w:t>
            </w:r>
            <w:r w:rsidR="006A5E96">
              <w:t>.</w:t>
            </w:r>
          </w:p>
          <w:p w14:paraId="64B5C7E7" w14:textId="77777777" w:rsidR="00CE7399" w:rsidRDefault="00CE7399" w:rsidP="00AB2A3B"/>
          <w:p w14:paraId="6E5295CE" w14:textId="7D4553D9" w:rsidR="006F27E1" w:rsidRPr="000300D9" w:rsidRDefault="00D624BA" w:rsidP="00AB2A3B">
            <w:pPr>
              <w:rPr>
                <w:b/>
                <w:color w:val="FF0000"/>
              </w:rPr>
            </w:pPr>
            <w:r w:rsidRPr="00D624BA">
              <w:rPr>
                <w:b/>
                <w:bCs/>
                <w:color w:val="FFC000"/>
              </w:rPr>
              <w:t>Mixed</w:t>
            </w:r>
          </w:p>
          <w:p w14:paraId="065F0639" w14:textId="6525D52B" w:rsidR="00CE7399" w:rsidRDefault="006F27E1" w:rsidP="00AB2A3B">
            <w:r>
              <w:t xml:space="preserve">Amended to </w:t>
            </w:r>
            <w:r w:rsidR="00CE7399">
              <w:t>Mac</w:t>
            </w:r>
            <w:r w:rsidR="008908A9">
              <w:t>a</w:t>
            </w:r>
            <w:r w:rsidR="00CE7399">
              <w:t>ulay duration</w:t>
            </w:r>
            <w:r w:rsidR="001C6511">
              <w:t xml:space="preserve"> (from modified duration)</w:t>
            </w:r>
            <w:r w:rsidR="004020BD">
              <w:t>,</w:t>
            </w:r>
            <w:r w:rsidR="00CE7399">
              <w:t xml:space="preserve"> </w:t>
            </w:r>
            <w:r w:rsidR="00AD6123">
              <w:t>and</w:t>
            </w:r>
            <w:r w:rsidR="00CE7399">
              <w:t xml:space="preserve"> horizon decreased only from 10 to 9.5 y</w:t>
            </w:r>
            <w:r>
              <w:t>ears</w:t>
            </w:r>
            <w:r w:rsidR="00CE7399">
              <w:t>.</w:t>
            </w:r>
          </w:p>
          <w:p w14:paraId="3B7C1393" w14:textId="77777777" w:rsidR="00CE7399" w:rsidRDefault="00CE7399" w:rsidP="00AB2A3B"/>
          <w:p w14:paraId="4136E1F1" w14:textId="5960688C" w:rsidR="008D4315" w:rsidRDefault="00CE7399" w:rsidP="00AB2A3B">
            <w:pPr>
              <w:rPr>
                <w:b/>
                <w:color w:val="8DD873" w:themeColor="accent6" w:themeTint="99"/>
              </w:rPr>
            </w:pPr>
            <w:r w:rsidRPr="008908A9">
              <w:rPr>
                <w:b/>
                <w:bCs/>
                <w:color w:val="8DD873" w:themeColor="accent6" w:themeTint="99"/>
              </w:rPr>
              <w:t>Positive</w:t>
            </w:r>
          </w:p>
          <w:p w14:paraId="69D6FD18" w14:textId="4045C510" w:rsidR="004020BD" w:rsidRDefault="00080702" w:rsidP="00080702">
            <w:pPr>
              <w:rPr>
                <w:bCs/>
                <w:color w:val="8DD873" w:themeColor="accent6" w:themeTint="99"/>
              </w:rPr>
            </w:pPr>
            <w:r w:rsidRPr="00080702">
              <w:rPr>
                <w:bCs/>
              </w:rPr>
              <w:t>The new text clarifies fund-level eligibility</w:t>
            </w:r>
          </w:p>
          <w:p w14:paraId="7AE19D79" w14:textId="77777777" w:rsidR="004020BD" w:rsidRDefault="004020BD" w:rsidP="00AB2A3B">
            <w:pPr>
              <w:rPr>
                <w:bCs/>
                <w:color w:val="8DD873" w:themeColor="accent6" w:themeTint="99"/>
              </w:rPr>
            </w:pPr>
          </w:p>
          <w:p w14:paraId="44788A43" w14:textId="77777777" w:rsidR="004020BD" w:rsidRDefault="004020BD" w:rsidP="00AB2A3B">
            <w:pPr>
              <w:rPr>
                <w:bCs/>
                <w:color w:val="8DD873" w:themeColor="accent6" w:themeTint="99"/>
              </w:rPr>
            </w:pPr>
          </w:p>
          <w:p w14:paraId="0E6FAFAB" w14:textId="77777777" w:rsidR="00963804" w:rsidRDefault="00963804" w:rsidP="00AB2A3B">
            <w:pPr>
              <w:rPr>
                <w:bCs/>
                <w:color w:val="8DD873" w:themeColor="accent6" w:themeTint="99"/>
              </w:rPr>
            </w:pPr>
          </w:p>
          <w:p w14:paraId="024E1861" w14:textId="77777777" w:rsidR="00963804" w:rsidRDefault="00963804" w:rsidP="00AB2A3B">
            <w:pPr>
              <w:rPr>
                <w:bCs/>
                <w:color w:val="8DD873" w:themeColor="accent6" w:themeTint="99"/>
              </w:rPr>
            </w:pPr>
          </w:p>
          <w:p w14:paraId="5F4B5327" w14:textId="77777777" w:rsidR="00963804" w:rsidRDefault="00963804" w:rsidP="00AB2A3B">
            <w:pPr>
              <w:rPr>
                <w:bCs/>
                <w:color w:val="8DD873" w:themeColor="accent6" w:themeTint="99"/>
              </w:rPr>
            </w:pPr>
          </w:p>
          <w:p w14:paraId="458CFC6A" w14:textId="77777777" w:rsidR="00080702" w:rsidRDefault="00080702" w:rsidP="00AB2A3B">
            <w:pPr>
              <w:rPr>
                <w:bCs/>
                <w:color w:val="8DD873" w:themeColor="accent6" w:themeTint="99"/>
              </w:rPr>
            </w:pPr>
          </w:p>
          <w:p w14:paraId="13696EFC" w14:textId="77777777" w:rsidR="00963804" w:rsidRDefault="00963804" w:rsidP="00AB2A3B">
            <w:pPr>
              <w:rPr>
                <w:bCs/>
                <w:color w:val="8DD873" w:themeColor="accent6" w:themeTint="99"/>
              </w:rPr>
            </w:pPr>
          </w:p>
          <w:p w14:paraId="6619E6C6" w14:textId="49865AD9" w:rsidR="004020BD" w:rsidRPr="00CE52F2" w:rsidRDefault="00CE52F2" w:rsidP="00AB2A3B">
            <w:pPr>
              <w:rPr>
                <w:b/>
                <w:color w:val="00B050"/>
              </w:rPr>
            </w:pPr>
            <w:r w:rsidRPr="00CE52F2">
              <w:rPr>
                <w:b/>
                <w:color w:val="00B050"/>
              </w:rPr>
              <w:t>Positive</w:t>
            </w:r>
          </w:p>
          <w:p w14:paraId="5775EED5" w14:textId="406B658C" w:rsidR="00CE7399" w:rsidRPr="004F5727" w:rsidRDefault="004E62A9" w:rsidP="00AB2A3B">
            <w:pPr>
              <w:rPr>
                <w:color w:val="8DD873" w:themeColor="accent6" w:themeTint="99"/>
              </w:rPr>
            </w:pPr>
            <w:r w:rsidRPr="00EA49D4">
              <w:t xml:space="preserve">Article </w:t>
            </w:r>
            <w:r>
              <w:t>171c (</w:t>
            </w:r>
            <w:r w:rsidRPr="00EA49D4">
              <w:t>3</w:t>
            </w:r>
            <w:r>
              <w:t>)(</w:t>
            </w:r>
            <w:r w:rsidRPr="00EA49D4">
              <w:t>a</w:t>
            </w:r>
            <w:r>
              <w:t>)</w:t>
            </w:r>
            <w:r w:rsidRPr="00EA49D4">
              <w:t xml:space="preserve"> </w:t>
            </w:r>
            <w:r w:rsidR="00004B78">
              <w:t>improved.</w:t>
            </w:r>
          </w:p>
        </w:tc>
      </w:tr>
      <w:tr w:rsidR="008F1EAE" w14:paraId="0985F0EE" w14:textId="77777777" w:rsidTr="007A2CB0">
        <w:tc>
          <w:tcPr>
            <w:tcW w:w="2547" w:type="dxa"/>
          </w:tcPr>
          <w:p w14:paraId="268C6383" w14:textId="33BDA97A" w:rsidR="008F1EAE" w:rsidRPr="00CF408B" w:rsidRDefault="008F1EAE" w:rsidP="00AB2A3B">
            <w:pPr>
              <w:rPr>
                <w:b/>
                <w:bCs/>
              </w:rPr>
            </w:pPr>
            <w:r>
              <w:rPr>
                <w:b/>
                <w:bCs/>
              </w:rPr>
              <w:t xml:space="preserve">Prudential treatment of </w:t>
            </w:r>
            <w:r w:rsidR="005B0D91">
              <w:rPr>
                <w:b/>
                <w:bCs/>
              </w:rPr>
              <w:t>investments under legislative programmes</w:t>
            </w:r>
          </w:p>
        </w:tc>
        <w:tc>
          <w:tcPr>
            <w:tcW w:w="4111" w:type="dxa"/>
          </w:tcPr>
          <w:p w14:paraId="23D4E4D6" w14:textId="40FE69D3" w:rsidR="0018516A" w:rsidRDefault="0018516A" w:rsidP="0018516A">
            <w:r w:rsidRPr="0018516A">
              <w:t xml:space="preserve">Article 173 entirely rewritten: detailed draft conditions deleted and replaced by a cross-reference to </w:t>
            </w:r>
            <w:r w:rsidRPr="0018516A">
              <w:rPr>
                <w:b/>
                <w:bCs/>
              </w:rPr>
              <w:t>CRR Art. 133(5)</w:t>
            </w:r>
            <w:r w:rsidRPr="0018516A">
              <w:t xml:space="preserve">. </w:t>
            </w:r>
          </w:p>
          <w:p w14:paraId="1E4855E1" w14:textId="77777777" w:rsidR="00415863" w:rsidRDefault="0018516A" w:rsidP="00415863">
            <w:pPr>
              <w:pStyle w:val="Odsekzoznamu"/>
              <w:numPr>
                <w:ilvl w:val="0"/>
                <w:numId w:val="2"/>
              </w:numPr>
            </w:pPr>
            <w:r w:rsidRPr="0018516A">
              <w:t xml:space="preserve">Retains </w:t>
            </w:r>
            <w:r w:rsidRPr="00415863">
              <w:rPr>
                <w:b/>
                <w:bCs/>
              </w:rPr>
              <w:t>10 % eligible-own-funds cap</w:t>
            </w:r>
            <w:r w:rsidRPr="0018516A">
              <w:t xml:space="preserve">, </w:t>
            </w:r>
          </w:p>
          <w:p w14:paraId="7BC958D3" w14:textId="77777777" w:rsidR="00415863" w:rsidRDefault="0018516A" w:rsidP="00415863">
            <w:pPr>
              <w:pStyle w:val="Odsekzoznamu"/>
              <w:numPr>
                <w:ilvl w:val="0"/>
                <w:numId w:val="2"/>
              </w:numPr>
            </w:pPr>
            <w:r w:rsidRPr="0018516A">
              <w:t xml:space="preserve">introduces </w:t>
            </w:r>
            <w:r w:rsidRPr="00415863">
              <w:rPr>
                <w:b/>
                <w:bCs/>
              </w:rPr>
              <w:t>supervisory approval</w:t>
            </w:r>
            <w:r w:rsidRPr="0018516A">
              <w:t xml:space="preserve">, and </w:t>
            </w:r>
          </w:p>
          <w:p w14:paraId="4310086F" w14:textId="77777777" w:rsidR="00415863" w:rsidRDefault="0018516A" w:rsidP="00415863">
            <w:pPr>
              <w:pStyle w:val="Odsekzoznamu"/>
              <w:numPr>
                <w:ilvl w:val="0"/>
                <w:numId w:val="2"/>
              </w:numPr>
            </w:pPr>
            <w:r w:rsidRPr="0018516A">
              <w:t xml:space="preserve">sets capital relief </w:t>
            </w:r>
            <w:r w:rsidRPr="00415863">
              <w:rPr>
                <w:b/>
                <w:bCs/>
              </w:rPr>
              <w:t>proportionate to the reduction in credit risk</w:t>
            </w:r>
            <w:r w:rsidRPr="0018516A">
              <w:t xml:space="preserve">. </w:t>
            </w:r>
          </w:p>
          <w:p w14:paraId="3E28DCA3" w14:textId="77777777" w:rsidR="00415863" w:rsidRDefault="0018516A" w:rsidP="00415863">
            <w:pPr>
              <w:pStyle w:val="Odsekzoznamu"/>
              <w:numPr>
                <w:ilvl w:val="0"/>
                <w:numId w:val="2"/>
              </w:numPr>
            </w:pPr>
            <w:r w:rsidRPr="0018516A">
              <w:t xml:space="preserve">Where the Commission maintains a </w:t>
            </w:r>
            <w:r w:rsidRPr="00415863">
              <w:rPr>
                <w:b/>
                <w:bCs/>
              </w:rPr>
              <w:t>public register</w:t>
            </w:r>
            <w:r w:rsidRPr="0018516A">
              <w:t xml:space="preserve">, inclusion implies at least 5 % risk reduction </w:t>
            </w:r>
          </w:p>
          <w:p w14:paraId="0DD559CC" w14:textId="77777777" w:rsidR="008F1EAE" w:rsidRDefault="0018516A" w:rsidP="00C8020A">
            <w:r w:rsidRPr="0018516A">
              <w:t xml:space="preserve">The </w:t>
            </w:r>
            <w:r w:rsidR="00C8020A" w:rsidRPr="00C8020A">
              <w:rPr>
                <w:b/>
                <w:bCs/>
              </w:rPr>
              <w:t>DA</w:t>
            </w:r>
            <w:r w:rsidR="00C8020A">
              <w:t xml:space="preserve"> </w:t>
            </w:r>
            <w:r w:rsidRPr="00C8020A">
              <w:rPr>
                <w:b/>
                <w:bCs/>
              </w:rPr>
              <w:t>explanatory memorandum</w:t>
            </w:r>
            <w:r w:rsidRPr="0018516A">
              <w:t xml:space="preserve"> adds the </w:t>
            </w:r>
            <w:r w:rsidRPr="00C8020A">
              <w:rPr>
                <w:b/>
                <w:bCs/>
              </w:rPr>
              <w:t>Commission Communication</w:t>
            </w:r>
            <w:r w:rsidRPr="0018516A">
              <w:t xml:space="preserve"> applying mutatis mutandis to insurers and the creation of a </w:t>
            </w:r>
            <w:r w:rsidRPr="00C8020A">
              <w:rPr>
                <w:b/>
                <w:bCs/>
              </w:rPr>
              <w:t>public register</w:t>
            </w:r>
            <w:r w:rsidRPr="0018516A">
              <w:t xml:space="preserve"> (EIB, EIF, EU instruments, national promotional banks)</w:t>
            </w:r>
          </w:p>
          <w:p w14:paraId="72D26FF4" w14:textId="04B2BE05" w:rsidR="008F1EAE" w:rsidRPr="0018516A" w:rsidRDefault="008F1EAE" w:rsidP="00C8020A"/>
        </w:tc>
        <w:tc>
          <w:tcPr>
            <w:tcW w:w="3773" w:type="dxa"/>
          </w:tcPr>
          <w:p w14:paraId="0E1DDBE7" w14:textId="65251C37" w:rsidR="008F1EAE" w:rsidRDefault="00A73500" w:rsidP="00A73500">
            <w:r w:rsidRPr="00A73500">
              <w:t>The cap should not be based on eligible own funds but on total assets to avoid procyclicality. Clarify the definition of “legislative programme” and how the reduction in equity shock is determined.</w:t>
            </w:r>
          </w:p>
        </w:tc>
        <w:tc>
          <w:tcPr>
            <w:tcW w:w="2785" w:type="dxa"/>
          </w:tcPr>
          <w:p w14:paraId="295EC1E4" w14:textId="77777777" w:rsidR="000E12C2" w:rsidRDefault="000E12C2" w:rsidP="000E12C2">
            <w:pPr>
              <w:rPr>
                <w:b/>
                <w:bCs/>
                <w:color w:val="8DD873" w:themeColor="accent6" w:themeTint="99"/>
              </w:rPr>
            </w:pPr>
            <w:r w:rsidRPr="000E12C2">
              <w:rPr>
                <w:b/>
                <w:bCs/>
                <w:color w:val="8DD873" w:themeColor="accent6" w:themeTint="99"/>
              </w:rPr>
              <w:t>Positive</w:t>
            </w:r>
          </w:p>
          <w:p w14:paraId="2A89F4ED" w14:textId="5647CDC0" w:rsidR="008F1EAE" w:rsidRPr="000E12C2" w:rsidRDefault="0042454F" w:rsidP="0042454F">
            <w:pPr>
              <w:rPr>
                <w:bCs/>
                <w:color w:val="8DD873" w:themeColor="accent6" w:themeTint="99"/>
              </w:rPr>
            </w:pPr>
            <w:r w:rsidRPr="0042454F">
              <w:rPr>
                <w:bCs/>
              </w:rPr>
              <w:t xml:space="preserve">Strong simplification and full CRR alignment provide clarity and consistency. The 10 % cap remains a limitation but overall approach </w:t>
            </w:r>
            <w:r>
              <w:rPr>
                <w:bCs/>
              </w:rPr>
              <w:t xml:space="preserve">appears to </w:t>
            </w:r>
            <w:r w:rsidRPr="0042454F">
              <w:rPr>
                <w:bCs/>
              </w:rPr>
              <w:t>support long-term investment and SIU objectives.</w:t>
            </w:r>
          </w:p>
        </w:tc>
      </w:tr>
      <w:tr w:rsidR="00321BBB" w14:paraId="02B3E76A" w14:textId="77777777" w:rsidTr="007A2CB0">
        <w:trPr>
          <w:trHeight w:val="1049"/>
        </w:trPr>
        <w:tc>
          <w:tcPr>
            <w:tcW w:w="2547" w:type="dxa"/>
          </w:tcPr>
          <w:p w14:paraId="37D12CD9" w14:textId="167DBB37" w:rsidR="00321BBB" w:rsidRPr="00CF408B" w:rsidRDefault="002D21F4" w:rsidP="002D21F4">
            <w:pPr>
              <w:rPr>
                <w:b/>
                <w:bCs/>
              </w:rPr>
            </w:pPr>
            <w:r w:rsidRPr="002D21F4">
              <w:rPr>
                <w:b/>
                <w:bCs/>
              </w:rPr>
              <w:lastRenderedPageBreak/>
              <w:t>Securitisation</w:t>
            </w:r>
          </w:p>
        </w:tc>
        <w:tc>
          <w:tcPr>
            <w:tcW w:w="4111" w:type="dxa"/>
          </w:tcPr>
          <w:p w14:paraId="5C923646" w14:textId="77777777" w:rsidR="00321BBB" w:rsidRDefault="008612B6" w:rsidP="002D21F4">
            <w:r>
              <w:t xml:space="preserve">DA </w:t>
            </w:r>
            <w:r w:rsidR="00AB1B6B">
              <w:t xml:space="preserve">Article 6 changed - </w:t>
            </w:r>
            <w:r w:rsidR="002D21F4" w:rsidRPr="002D21F4">
              <w:t xml:space="preserve">Final DA </w:t>
            </w:r>
            <w:r w:rsidR="002D21F4" w:rsidRPr="002D21F4">
              <w:rPr>
                <w:b/>
                <w:bCs/>
              </w:rPr>
              <w:t>deletes the double-credit-rating requirement</w:t>
            </w:r>
            <w:r w:rsidR="002D21F4" w:rsidRPr="002D21F4">
              <w:t xml:space="preserve"> for </w:t>
            </w:r>
            <w:r w:rsidR="002D21F4" w:rsidRPr="002D21F4">
              <w:rPr>
                <w:b/>
                <w:bCs/>
              </w:rPr>
              <w:t>STS securitisation positions</w:t>
            </w:r>
            <w:r w:rsidR="002D21F4" w:rsidRPr="002D21F4">
              <w:t>, aligning treatment with covered bonds. Calibrations for senior STS AAA and AA tranches are reduced and aligned with covered bonds; other non-STS calibrations remain unchanged.</w:t>
            </w:r>
          </w:p>
          <w:p w14:paraId="6EB2513A" w14:textId="64E54B16" w:rsidR="00321BBB" w:rsidRPr="002D21F4" w:rsidRDefault="00321BBB" w:rsidP="002D21F4"/>
        </w:tc>
        <w:tc>
          <w:tcPr>
            <w:tcW w:w="3773" w:type="dxa"/>
          </w:tcPr>
          <w:p w14:paraId="49E31A73" w14:textId="27DB36A9" w:rsidR="00321BBB" w:rsidRPr="002D21F4" w:rsidRDefault="002D21F4" w:rsidP="002D21F4">
            <w:r w:rsidRPr="002D21F4">
              <w:t>Delete Article 6 double-credit-rating requirement entirely, and ensure comparable treatment for securitisations with similar credit ratings regardless of STS label.</w:t>
            </w:r>
          </w:p>
        </w:tc>
        <w:tc>
          <w:tcPr>
            <w:tcW w:w="2785" w:type="dxa"/>
          </w:tcPr>
          <w:p w14:paraId="6B279FCB" w14:textId="18870127" w:rsidR="00733BDE" w:rsidRPr="00D725EF" w:rsidRDefault="00D725EF" w:rsidP="00733BDE">
            <w:pPr>
              <w:rPr>
                <w:b/>
                <w:bCs/>
                <w:color w:val="FFC000"/>
              </w:rPr>
            </w:pPr>
            <w:r w:rsidRPr="00D725EF">
              <w:rPr>
                <w:b/>
                <w:bCs/>
                <w:color w:val="FFC000"/>
              </w:rPr>
              <w:t>Mixed</w:t>
            </w:r>
          </w:p>
          <w:p w14:paraId="287A9BB3" w14:textId="5E629C5E" w:rsidR="00321BBB" w:rsidRPr="00EB7309" w:rsidRDefault="00733BDE" w:rsidP="00733BDE">
            <w:pPr>
              <w:rPr>
                <w:b/>
                <w:bCs/>
                <w:color w:val="EE0000"/>
              </w:rPr>
            </w:pPr>
            <w:r w:rsidRPr="00733BDE">
              <w:t>Key industry request implemented: deletion of double-rating</w:t>
            </w:r>
            <w:r w:rsidR="00D725EF">
              <w:t>, however only</w:t>
            </w:r>
            <w:r w:rsidRPr="00733BDE">
              <w:t xml:space="preserve"> for STS tranches. </w:t>
            </w:r>
          </w:p>
        </w:tc>
      </w:tr>
      <w:tr w:rsidR="00AB2A3B" w14:paraId="4AB77F8B" w14:textId="77777777" w:rsidTr="007A2CB0">
        <w:trPr>
          <w:trHeight w:val="1049"/>
        </w:trPr>
        <w:tc>
          <w:tcPr>
            <w:tcW w:w="2547" w:type="dxa"/>
          </w:tcPr>
          <w:p w14:paraId="710980CD" w14:textId="27DB4CF0" w:rsidR="00AB2A3B" w:rsidRPr="00CF408B" w:rsidRDefault="00FF38A3" w:rsidP="00AB2A3B">
            <w:pPr>
              <w:rPr>
                <w:b/>
                <w:bCs/>
              </w:rPr>
            </w:pPr>
            <w:r w:rsidRPr="00CF408B">
              <w:rPr>
                <w:b/>
                <w:bCs/>
              </w:rPr>
              <w:t>Risk Margin</w:t>
            </w:r>
          </w:p>
        </w:tc>
        <w:tc>
          <w:tcPr>
            <w:tcW w:w="4111" w:type="dxa"/>
          </w:tcPr>
          <w:p w14:paraId="149F353B" w14:textId="1BA06D5D" w:rsidR="00AB2A3B" w:rsidRDefault="002406B1" w:rsidP="002406B1">
            <w:r w:rsidRPr="002406B1">
              <w:rPr>
                <w:b/>
                <w:bCs/>
              </w:rPr>
              <w:t>λ = 96%</w:t>
            </w:r>
            <w:r w:rsidRPr="002406B1">
              <w:t xml:space="preserve"> retained; </w:t>
            </w:r>
            <w:r w:rsidRPr="002406B1">
              <w:rPr>
                <w:b/>
                <w:bCs/>
              </w:rPr>
              <w:t>50% floor</w:t>
            </w:r>
            <w:r w:rsidRPr="002406B1">
              <w:t xml:space="preserve"> retained.</w:t>
            </w:r>
          </w:p>
        </w:tc>
        <w:tc>
          <w:tcPr>
            <w:tcW w:w="3773" w:type="dxa"/>
          </w:tcPr>
          <w:p w14:paraId="3AC9DC8B" w14:textId="5CA8890D" w:rsidR="00AB2A3B" w:rsidRDefault="00A20BEA" w:rsidP="00A20BEA">
            <w:r w:rsidRPr="00A20BEA">
              <w:rPr>
                <w:b/>
                <w:bCs/>
              </w:rPr>
              <w:t>λ = 92.5%</w:t>
            </w:r>
            <w:r w:rsidRPr="00A20BEA">
              <w:t xml:space="preserve">, delete </w:t>
            </w:r>
            <w:r w:rsidRPr="00A20BEA">
              <w:rPr>
                <w:b/>
                <w:bCs/>
              </w:rPr>
              <w:t>50% floor</w:t>
            </w:r>
            <w:r w:rsidRPr="00A20BEA">
              <w:t>.</w:t>
            </w:r>
          </w:p>
        </w:tc>
        <w:tc>
          <w:tcPr>
            <w:tcW w:w="2785" w:type="dxa"/>
          </w:tcPr>
          <w:p w14:paraId="5CED684C" w14:textId="41FB00FF" w:rsidR="00AB2A3B" w:rsidRPr="00EB7309" w:rsidRDefault="6A364F56" w:rsidP="00AB2A3B">
            <w:pPr>
              <w:rPr>
                <w:b/>
                <w:bCs/>
                <w:color w:val="EE0000"/>
              </w:rPr>
            </w:pPr>
            <w:r w:rsidRPr="006A4FB6">
              <w:rPr>
                <w:b/>
                <w:bCs/>
                <w:color w:val="00B050"/>
              </w:rPr>
              <w:t>Already</w:t>
            </w:r>
            <w:r w:rsidR="00A2704D" w:rsidRPr="006A4FB6">
              <w:rPr>
                <w:b/>
                <w:bCs/>
                <w:color w:val="00B050"/>
              </w:rPr>
              <w:t xml:space="preserve"> positive</w:t>
            </w:r>
          </w:p>
          <w:p w14:paraId="6D1E9E9B" w14:textId="40EF7C51" w:rsidR="00AB2A3B" w:rsidRPr="007059C2" w:rsidRDefault="00EF0829" w:rsidP="00AB2A3B">
            <w:r>
              <w:t>No change</w:t>
            </w:r>
          </w:p>
        </w:tc>
      </w:tr>
      <w:tr w:rsidR="00AB2A3B" w14:paraId="32B06EC0" w14:textId="77777777" w:rsidTr="007A2CB0">
        <w:trPr>
          <w:trHeight w:val="1695"/>
        </w:trPr>
        <w:tc>
          <w:tcPr>
            <w:tcW w:w="2547" w:type="dxa"/>
          </w:tcPr>
          <w:p w14:paraId="7CA4CC3D" w14:textId="07F8F233" w:rsidR="00AB2A3B" w:rsidRPr="00CF408B" w:rsidRDefault="00FF38A3" w:rsidP="00AB2A3B">
            <w:pPr>
              <w:rPr>
                <w:b/>
                <w:bCs/>
              </w:rPr>
            </w:pPr>
            <w:r w:rsidRPr="00CF408B">
              <w:rPr>
                <w:b/>
                <w:bCs/>
              </w:rPr>
              <w:t>EPIFP</w:t>
            </w:r>
          </w:p>
        </w:tc>
        <w:tc>
          <w:tcPr>
            <w:tcW w:w="4111" w:type="dxa"/>
          </w:tcPr>
          <w:p w14:paraId="20E961FE" w14:textId="77777777" w:rsidR="00AB2A3B" w:rsidRDefault="001A7723" w:rsidP="001A7723">
            <w:r w:rsidRPr="001A7723">
              <w:t xml:space="preserve">Article 330 now refers generally to </w:t>
            </w:r>
            <w:r w:rsidRPr="001A7723">
              <w:rPr>
                <w:b/>
                <w:bCs/>
              </w:rPr>
              <w:t>Article 69</w:t>
            </w:r>
            <w:r w:rsidRPr="001A7723">
              <w:t xml:space="preserve"> (Tier 1 own funds, including the reconciliation reserve) instead of selectively to Article 70(2). The explicit 70(2) reference that had raised concern was </w:t>
            </w:r>
            <w:r w:rsidRPr="001A7723">
              <w:rPr>
                <w:b/>
                <w:bCs/>
              </w:rPr>
              <w:t>deleted</w:t>
            </w:r>
            <w:r w:rsidRPr="001A7723">
              <w:t xml:space="preserve">, confirming that the </w:t>
            </w:r>
            <w:r w:rsidRPr="001A7723">
              <w:rPr>
                <w:b/>
                <w:bCs/>
              </w:rPr>
              <w:t>availability test applies to the reconciliation reserve as a whole</w:t>
            </w:r>
            <w:r w:rsidRPr="001A7723">
              <w:t xml:space="preserve">, not to individual components such as EPIFP. The new Article 260(2a) introducing </w:t>
            </w:r>
            <w:r w:rsidRPr="001A7723">
              <w:rPr>
                <w:b/>
                <w:bCs/>
              </w:rPr>
              <w:t>EPIFF</w:t>
            </w:r>
            <w:r w:rsidRPr="001A7723">
              <w:t xml:space="preserve"> has no negative impact on own-fund eligibility.</w:t>
            </w:r>
          </w:p>
          <w:p w14:paraId="593C2AB5" w14:textId="48982F47" w:rsidR="00AB2A3B" w:rsidRDefault="00AB2A3B" w:rsidP="001A7723"/>
        </w:tc>
        <w:tc>
          <w:tcPr>
            <w:tcW w:w="3773" w:type="dxa"/>
          </w:tcPr>
          <w:p w14:paraId="743F46FB" w14:textId="064A8028" w:rsidR="00AB2A3B" w:rsidRDefault="00EB7309" w:rsidP="00EB7309">
            <w:r w:rsidRPr="00EB7309">
              <w:t>Exclude EPIFP from the list of own-fund items requiring justification under Article 330.</w:t>
            </w:r>
          </w:p>
        </w:tc>
        <w:tc>
          <w:tcPr>
            <w:tcW w:w="2785" w:type="dxa"/>
          </w:tcPr>
          <w:p w14:paraId="2CAB7ECE" w14:textId="060F5BDE" w:rsidR="003742B6" w:rsidRPr="00EB7309" w:rsidRDefault="001543E5" w:rsidP="00AB2A3B">
            <w:pPr>
              <w:rPr>
                <w:b/>
                <w:color w:val="00B050"/>
              </w:rPr>
            </w:pPr>
            <w:r w:rsidRPr="00EB7309">
              <w:rPr>
                <w:b/>
                <w:bCs/>
                <w:color w:val="00B050"/>
              </w:rPr>
              <w:t>Positive</w:t>
            </w:r>
          </w:p>
          <w:p w14:paraId="3A92F43C" w14:textId="6D016EEB" w:rsidR="00AB2A3B" w:rsidRPr="006450DE" w:rsidRDefault="00EB7309" w:rsidP="00EB7309">
            <w:r w:rsidRPr="00EB7309">
              <w:t xml:space="preserve">The outcome preserves the </w:t>
            </w:r>
            <w:r w:rsidRPr="00EB7309">
              <w:rPr>
                <w:b/>
                <w:bCs/>
              </w:rPr>
              <w:t>current treatment</w:t>
            </w:r>
            <w:r w:rsidRPr="00EB7309">
              <w:t xml:space="preserve">—EPIFP remains </w:t>
            </w:r>
            <w:r w:rsidRPr="00EB7309">
              <w:rPr>
                <w:b/>
                <w:bCs/>
              </w:rPr>
              <w:t>fully eligible as Tier 1 own funds</w:t>
            </w:r>
            <w:r w:rsidRPr="00EB7309">
              <w:t xml:space="preserve">. By removing the 70(2) reference, the final text prevents renewed supervisory debate on EPIFP availability. The broader Article 69 link is neutral. </w:t>
            </w:r>
            <w:r w:rsidRPr="00EB7309">
              <w:br/>
            </w:r>
            <w:r w:rsidR="003E5E90">
              <w:t>As such it appears that the</w:t>
            </w:r>
            <w:r w:rsidRPr="00EB7309">
              <w:t xml:space="preserve"> </w:t>
            </w:r>
            <w:r w:rsidRPr="00EB7309">
              <w:rPr>
                <w:b/>
                <w:bCs/>
              </w:rPr>
              <w:t>status quo maintained</w:t>
            </w:r>
            <w:r w:rsidR="003E5E90">
              <w:t>.</w:t>
            </w:r>
          </w:p>
        </w:tc>
      </w:tr>
      <w:tr w:rsidR="00AB2A3B" w14:paraId="2C9F2B00" w14:textId="77777777" w:rsidTr="007A2CB0">
        <w:trPr>
          <w:trHeight w:val="2066"/>
        </w:trPr>
        <w:tc>
          <w:tcPr>
            <w:tcW w:w="2547" w:type="dxa"/>
          </w:tcPr>
          <w:p w14:paraId="35958422" w14:textId="5A2A2C6E" w:rsidR="00AB2A3B" w:rsidRPr="00CF408B" w:rsidRDefault="006450DE" w:rsidP="00AB2A3B">
            <w:pPr>
              <w:rPr>
                <w:b/>
                <w:bCs/>
              </w:rPr>
            </w:pPr>
            <w:r w:rsidRPr="00CF408B">
              <w:rPr>
                <w:b/>
                <w:bCs/>
              </w:rPr>
              <w:lastRenderedPageBreak/>
              <w:t>Risk Mitigation Te</w:t>
            </w:r>
            <w:r w:rsidR="002A2D8D" w:rsidRPr="00CF408B">
              <w:rPr>
                <w:b/>
                <w:bCs/>
              </w:rPr>
              <w:t>ch</w:t>
            </w:r>
            <w:r w:rsidRPr="00CF408B">
              <w:rPr>
                <w:b/>
                <w:bCs/>
              </w:rPr>
              <w:t>niques</w:t>
            </w:r>
          </w:p>
        </w:tc>
        <w:tc>
          <w:tcPr>
            <w:tcW w:w="4111" w:type="dxa"/>
          </w:tcPr>
          <w:p w14:paraId="33F42F19" w14:textId="77777777" w:rsidR="00AB1EE1" w:rsidRDefault="00AB1EE1" w:rsidP="00AB1EE1">
            <w:r w:rsidRPr="00AB1EE1">
              <w:t xml:space="preserve">Amendments to </w:t>
            </w:r>
            <w:r w:rsidRPr="00AB1EE1">
              <w:rPr>
                <w:b/>
                <w:bCs/>
              </w:rPr>
              <w:t>Art 210, 211, 212a, 235</w:t>
            </w:r>
            <w:r w:rsidRPr="00AB1EE1">
              <w:t xml:space="preserve"> retained; </w:t>
            </w:r>
          </w:p>
          <w:p w14:paraId="087596F2" w14:textId="77777777" w:rsidR="00AB1EE1" w:rsidRDefault="00AB1EE1" w:rsidP="00AB1EE1">
            <w:pPr>
              <w:rPr>
                <w:b/>
                <w:bCs/>
              </w:rPr>
            </w:pPr>
          </w:p>
          <w:p w14:paraId="43FAD1A9" w14:textId="39BFA6FA" w:rsidR="00AB2A3B" w:rsidRDefault="00AB1EE1" w:rsidP="00AB1EE1">
            <w:r w:rsidRPr="00AB1EE1">
              <w:rPr>
                <w:b/>
                <w:bCs/>
              </w:rPr>
              <w:t>proposed change to Art 212</w:t>
            </w:r>
            <w:r w:rsidRPr="00AB1EE1">
              <w:t xml:space="preserve"> dropped.</w:t>
            </w:r>
          </w:p>
        </w:tc>
        <w:tc>
          <w:tcPr>
            <w:tcW w:w="3773" w:type="dxa"/>
          </w:tcPr>
          <w:p w14:paraId="084A1AE9" w14:textId="3DAB6AA6" w:rsidR="00AB2A3B" w:rsidRDefault="00453EA2" w:rsidP="00AB2A3B">
            <w:r>
              <w:t xml:space="preserve">Deletion of the </w:t>
            </w:r>
            <w:r w:rsidR="00584F1D">
              <w:t>a</w:t>
            </w:r>
            <w:r>
              <w:t xml:space="preserve">mendments to Articles </w:t>
            </w:r>
            <w:r w:rsidR="00576DF3">
              <w:t>210-212, and to Article 235.</w:t>
            </w:r>
          </w:p>
        </w:tc>
        <w:tc>
          <w:tcPr>
            <w:tcW w:w="2785" w:type="dxa"/>
          </w:tcPr>
          <w:p w14:paraId="785715B1" w14:textId="7677954A" w:rsidR="00631850" w:rsidRPr="007F61B4" w:rsidRDefault="007F61B4" w:rsidP="00AB2A3B">
            <w:pPr>
              <w:rPr>
                <w:b/>
                <w:color w:val="FFC000"/>
              </w:rPr>
            </w:pPr>
            <w:r w:rsidRPr="007F61B4">
              <w:rPr>
                <w:b/>
                <w:bCs/>
                <w:color w:val="FFC000"/>
              </w:rPr>
              <w:t>Mildly positive</w:t>
            </w:r>
          </w:p>
          <w:p w14:paraId="1DF7204F" w14:textId="5385A0AF" w:rsidR="00AB2A3B" w:rsidRPr="00856363" w:rsidRDefault="00B26F6D" w:rsidP="00B26F6D">
            <w:r w:rsidRPr="00B26F6D">
              <w:t xml:space="preserve">Art </w:t>
            </w:r>
            <w:r w:rsidRPr="00B26F6D">
              <w:rPr>
                <w:b/>
                <w:bCs/>
              </w:rPr>
              <w:t>212</w:t>
            </w:r>
            <w:r w:rsidRPr="00B26F6D">
              <w:t xml:space="preserve"> removed</w:t>
            </w:r>
            <w:r>
              <w:t xml:space="preserve"> (Positive)</w:t>
            </w:r>
            <w:r w:rsidRPr="00B26F6D">
              <w:t>; others retained</w:t>
            </w:r>
            <w:r>
              <w:t xml:space="preserve"> (negative)</w:t>
            </w:r>
            <w:r w:rsidRPr="00B26F6D">
              <w:t>.</w:t>
            </w:r>
          </w:p>
        </w:tc>
      </w:tr>
      <w:tr w:rsidR="00D732AE" w14:paraId="520750CB" w14:textId="77777777" w:rsidTr="007A2CB0">
        <w:trPr>
          <w:trHeight w:val="2066"/>
        </w:trPr>
        <w:tc>
          <w:tcPr>
            <w:tcW w:w="2547" w:type="dxa"/>
          </w:tcPr>
          <w:p w14:paraId="53E4778A" w14:textId="5D0306BA" w:rsidR="00D732AE" w:rsidRDefault="00B0159F" w:rsidP="00B0159F">
            <w:pPr>
              <w:rPr>
                <w:b/>
                <w:bCs/>
              </w:rPr>
            </w:pPr>
            <w:r w:rsidRPr="00B0159F">
              <w:rPr>
                <w:b/>
                <w:bCs/>
              </w:rPr>
              <w:t>Counterparty default risk – reverse repos</w:t>
            </w:r>
          </w:p>
          <w:p w14:paraId="2FB09349" w14:textId="77777777" w:rsidR="00B0159F" w:rsidRPr="00B0159F" w:rsidRDefault="00B0159F" w:rsidP="00B0159F">
            <w:pPr>
              <w:jc w:val="center"/>
            </w:pPr>
          </w:p>
        </w:tc>
        <w:tc>
          <w:tcPr>
            <w:tcW w:w="4111" w:type="dxa"/>
          </w:tcPr>
          <w:p w14:paraId="240F36AE" w14:textId="0007096D" w:rsidR="00D732AE" w:rsidRPr="00AB1EE1" w:rsidRDefault="00D45611" w:rsidP="00D45611">
            <w:r w:rsidRPr="00D45611">
              <w:rPr>
                <w:b/>
                <w:bCs/>
              </w:rPr>
              <w:t>Art. 189(2)(g)</w:t>
            </w:r>
            <w:r w:rsidRPr="00D45611">
              <w:t xml:space="preserve"> – Now explicitly adds </w:t>
            </w:r>
            <w:r w:rsidRPr="00D45611">
              <w:rPr>
                <w:b/>
                <w:bCs/>
              </w:rPr>
              <w:t>reverse repurchase transactions</w:t>
            </w:r>
            <w:r w:rsidRPr="00D45611">
              <w:t xml:space="preserve"> alongside repos and securities lending/borrowing.</w:t>
            </w:r>
          </w:p>
        </w:tc>
        <w:tc>
          <w:tcPr>
            <w:tcW w:w="3773" w:type="dxa"/>
          </w:tcPr>
          <w:p w14:paraId="76B17EE9" w14:textId="5917D661" w:rsidR="00D732AE" w:rsidRDefault="00D45611" w:rsidP="00D45611">
            <w:r w:rsidRPr="00D45611">
              <w:t>Clarify that repos also cover reverse repos.</w:t>
            </w:r>
          </w:p>
        </w:tc>
        <w:tc>
          <w:tcPr>
            <w:tcW w:w="2785" w:type="dxa"/>
          </w:tcPr>
          <w:p w14:paraId="125E9859" w14:textId="0776B7AF" w:rsidR="00D732AE" w:rsidRPr="00D45611" w:rsidRDefault="00D45611" w:rsidP="00D45611">
            <w:pPr>
              <w:rPr>
                <w:b/>
                <w:bCs/>
                <w:color w:val="00B050"/>
              </w:rPr>
            </w:pPr>
            <w:r w:rsidRPr="00D45611">
              <w:rPr>
                <w:b/>
                <w:bCs/>
                <w:color w:val="00B050"/>
              </w:rPr>
              <w:t>Positive</w:t>
            </w:r>
          </w:p>
        </w:tc>
      </w:tr>
      <w:tr w:rsidR="00AB2A3B" w14:paraId="735E1DE8" w14:textId="77777777" w:rsidTr="007A2CB0">
        <w:tc>
          <w:tcPr>
            <w:tcW w:w="2547" w:type="dxa"/>
          </w:tcPr>
          <w:p w14:paraId="7ADBA346" w14:textId="7A6E027A" w:rsidR="00AB2A3B" w:rsidRPr="00CF408B" w:rsidRDefault="008158DD" w:rsidP="002F349F">
            <w:pPr>
              <w:rPr>
                <w:b/>
                <w:bCs/>
              </w:rPr>
            </w:pPr>
            <w:r w:rsidRPr="00CF408B">
              <w:rPr>
                <w:b/>
                <w:bCs/>
              </w:rPr>
              <w:t>SFCR</w:t>
            </w:r>
          </w:p>
        </w:tc>
        <w:tc>
          <w:tcPr>
            <w:tcW w:w="4111" w:type="dxa"/>
          </w:tcPr>
          <w:p w14:paraId="69373852" w14:textId="77777777" w:rsidR="00AB2A3B" w:rsidRDefault="005546A8" w:rsidP="005546A8">
            <w:r w:rsidRPr="005546A8">
              <w:t xml:space="preserve">The draft </w:t>
            </w:r>
            <w:r w:rsidRPr="005546A8">
              <w:rPr>
                <w:b/>
                <w:bCs/>
              </w:rPr>
              <w:t>standardised mandatory sensitivity disclosure</w:t>
            </w:r>
            <w:r w:rsidRPr="005546A8">
              <w:t xml:space="preserve"> is </w:t>
            </w:r>
            <w:r w:rsidRPr="005546A8">
              <w:rPr>
                <w:b/>
                <w:bCs/>
              </w:rPr>
              <w:t>deleted</w:t>
            </w:r>
            <w:r w:rsidRPr="005546A8">
              <w:t xml:space="preserve"> </w:t>
            </w:r>
            <w:r>
              <w:t>from the</w:t>
            </w:r>
            <w:r w:rsidRPr="005546A8">
              <w:t xml:space="preserve"> SFCR.</w:t>
            </w:r>
          </w:p>
          <w:p w14:paraId="5713C0EB" w14:textId="734B0F5F" w:rsidR="00AB2A3B" w:rsidRDefault="00AB2A3B" w:rsidP="005546A8"/>
        </w:tc>
        <w:tc>
          <w:tcPr>
            <w:tcW w:w="3773" w:type="dxa"/>
          </w:tcPr>
          <w:p w14:paraId="2BDCE764" w14:textId="75F6EC99" w:rsidR="00AB2A3B" w:rsidRDefault="00453EA2" w:rsidP="006730AC">
            <w:r>
              <w:t>D</w:t>
            </w:r>
            <w:r w:rsidR="004020BD">
              <w:t>elet</w:t>
            </w:r>
            <w:r w:rsidR="005546A8">
              <w:t xml:space="preserve">e </w:t>
            </w:r>
            <w:r w:rsidR="002F7735">
              <w:t xml:space="preserve">the standardised </w:t>
            </w:r>
            <w:r w:rsidR="006730AC">
              <w:t>sensitivities from the SFCR</w:t>
            </w:r>
          </w:p>
        </w:tc>
        <w:tc>
          <w:tcPr>
            <w:tcW w:w="2785" w:type="dxa"/>
          </w:tcPr>
          <w:p w14:paraId="1629815A" w14:textId="3C52DFA8" w:rsidR="00AB2A3B" w:rsidRDefault="00DE2EE3" w:rsidP="00AB2A3B">
            <w:pPr>
              <w:rPr>
                <w:b/>
                <w:bCs/>
              </w:rPr>
            </w:pPr>
            <w:r w:rsidRPr="00F050ED">
              <w:rPr>
                <w:b/>
                <w:color w:val="8DD873" w:themeColor="accent6" w:themeTint="99"/>
              </w:rPr>
              <w:t>Positive</w:t>
            </w:r>
            <w:r>
              <w:rPr>
                <w:b/>
                <w:bCs/>
              </w:rPr>
              <w:t xml:space="preserve"> </w:t>
            </w:r>
          </w:p>
          <w:p w14:paraId="54A5B002" w14:textId="0931E637" w:rsidR="00DE2EE3" w:rsidRPr="00F050ED" w:rsidRDefault="00DE2EE3" w:rsidP="00AB2A3B">
            <w:r w:rsidRPr="00F050ED">
              <w:t xml:space="preserve">Paragraph on </w:t>
            </w:r>
            <w:r w:rsidR="0025764C" w:rsidRPr="00F050ED">
              <w:t>sensitivity analysis was deleted.</w:t>
            </w:r>
          </w:p>
        </w:tc>
      </w:tr>
      <w:tr w:rsidR="00393D8B" w:rsidRPr="006339B7" w14:paraId="592118F7" w14:textId="77777777" w:rsidTr="007A2CB0">
        <w:tc>
          <w:tcPr>
            <w:tcW w:w="2547" w:type="dxa"/>
          </w:tcPr>
          <w:p w14:paraId="0C3A225A" w14:textId="77777777" w:rsidR="00393D8B" w:rsidRPr="0025764C" w:rsidRDefault="00393D8B" w:rsidP="00393D8B">
            <w:pPr>
              <w:rPr>
                <w:b/>
                <w:bCs/>
              </w:rPr>
            </w:pPr>
            <w:r w:rsidRPr="00AD3B57">
              <w:rPr>
                <w:b/>
                <w:bCs/>
              </w:rPr>
              <w:t xml:space="preserve">New </w:t>
            </w:r>
            <w:r>
              <w:rPr>
                <w:b/>
                <w:bCs/>
              </w:rPr>
              <w:t>EIOPA reporting</w:t>
            </w:r>
            <w:r w:rsidRPr="00AD3B57">
              <w:rPr>
                <w:b/>
                <w:bCs/>
              </w:rPr>
              <w:t xml:space="preserve"> on monitoring of insurers’ use of excess capital</w:t>
            </w:r>
          </w:p>
        </w:tc>
        <w:tc>
          <w:tcPr>
            <w:tcW w:w="4111" w:type="dxa"/>
          </w:tcPr>
          <w:p w14:paraId="2D44823B" w14:textId="224F3826" w:rsidR="00393D8B" w:rsidRPr="00AD3B57" w:rsidRDefault="00393D8B" w:rsidP="00393D8B">
            <w:r w:rsidRPr="00AD3B57">
              <w:t>Introduces a new recital</w:t>
            </w:r>
            <w:r w:rsidR="00AC33F5">
              <w:t>/article 275b</w:t>
            </w:r>
            <w:r w:rsidR="00502AA8">
              <w:t>,</w:t>
            </w:r>
            <w:r w:rsidRPr="00AD3B57">
              <w:t xml:space="preserve"> requiring EIOPA to regularly report to </w:t>
            </w:r>
            <w:r>
              <w:t xml:space="preserve">EC/EP/Council </w:t>
            </w:r>
            <w:r w:rsidRPr="00AD3B57">
              <w:t xml:space="preserve">on how insurers use newly available capital released through the Solvency II review. The report (first due by 31 December 2028) should cover: (i) asset allocation by sector and geography; (ii) increases in shareholder distributions and variable remuneration; and (iii) the overall </w:t>
            </w:r>
            <w:r w:rsidRPr="00AD3B57">
              <w:lastRenderedPageBreak/>
              <w:t>impact on productive investments and capital positions over time.</w:t>
            </w:r>
          </w:p>
        </w:tc>
        <w:tc>
          <w:tcPr>
            <w:tcW w:w="3773" w:type="dxa"/>
          </w:tcPr>
          <w:p w14:paraId="3844D95E" w14:textId="77777777" w:rsidR="00393D8B" w:rsidRPr="006730AC" w:rsidRDefault="00393D8B" w:rsidP="00393D8B">
            <w:pPr>
              <w:rPr>
                <w:i/>
              </w:rPr>
            </w:pPr>
            <w:r w:rsidRPr="006730AC">
              <w:rPr>
                <w:i/>
              </w:rPr>
              <w:lastRenderedPageBreak/>
              <w:t>No position</w:t>
            </w:r>
          </w:p>
        </w:tc>
        <w:tc>
          <w:tcPr>
            <w:tcW w:w="2785" w:type="dxa"/>
          </w:tcPr>
          <w:p w14:paraId="2FD506C0" w14:textId="77777777" w:rsidR="003955FA" w:rsidRDefault="00393D8B" w:rsidP="00393D8B">
            <w:pPr>
              <w:rPr>
                <w:b/>
                <w:bCs/>
                <w:color w:val="FFC000"/>
              </w:rPr>
            </w:pPr>
            <w:r w:rsidRPr="003A4248">
              <w:rPr>
                <w:b/>
                <w:bCs/>
                <w:color w:val="808080" w:themeColor="background1" w:themeShade="80"/>
              </w:rPr>
              <w:t>Neutral</w:t>
            </w:r>
            <w:r w:rsidRPr="00440F04">
              <w:rPr>
                <w:b/>
                <w:bCs/>
                <w:color w:val="FFC000"/>
              </w:rPr>
              <w:t xml:space="preserve"> </w:t>
            </w:r>
          </w:p>
          <w:p w14:paraId="4453AD03" w14:textId="73F597FF" w:rsidR="00393D8B" w:rsidRPr="008908A9" w:rsidRDefault="00393D8B" w:rsidP="00393D8B">
            <w:pPr>
              <w:rPr>
                <w:b/>
                <w:bCs/>
                <w:color w:val="FFC000"/>
              </w:rPr>
            </w:pPr>
            <w:r w:rsidRPr="00440F04">
              <w:t>The recital does not introduce additional reporting obligations for undertakings but creates new monitoring expectations at EU level. Its implementation will depend on EIOPA’s interpretation and data collection practices.</w:t>
            </w:r>
          </w:p>
        </w:tc>
      </w:tr>
      <w:tr w:rsidR="00FF6B35" w14:paraId="5F551DB6" w14:textId="77777777" w:rsidTr="007A2CB0">
        <w:tc>
          <w:tcPr>
            <w:tcW w:w="2547" w:type="dxa"/>
          </w:tcPr>
          <w:p w14:paraId="401601E9" w14:textId="7F25E7B6" w:rsidR="00FF6B35" w:rsidRPr="00CF408B" w:rsidRDefault="00244B1A" w:rsidP="00244B1A">
            <w:pPr>
              <w:rPr>
                <w:b/>
                <w:bCs/>
              </w:rPr>
            </w:pPr>
            <w:r w:rsidRPr="00244B1A">
              <w:rPr>
                <w:b/>
                <w:bCs/>
              </w:rPr>
              <w:t>Proportionality framework and group application</w:t>
            </w:r>
          </w:p>
        </w:tc>
        <w:tc>
          <w:tcPr>
            <w:tcW w:w="4111" w:type="dxa"/>
          </w:tcPr>
          <w:p w14:paraId="40D51E6B" w14:textId="77777777" w:rsidR="00FF6B35" w:rsidRDefault="00D40AF1" w:rsidP="00D40AF1">
            <w:r w:rsidRPr="00D40AF1">
              <w:rPr>
                <w:b/>
                <w:bCs/>
              </w:rPr>
              <w:t>Article 35 (Directive 2009/138/EC) – explanatory text to the final DA</w:t>
            </w:r>
            <w:r w:rsidRPr="00D40AF1">
              <w:t xml:space="preserve">: The final Delegated Act itself does not modify Article 35, but the </w:t>
            </w:r>
            <w:r w:rsidRPr="00D40AF1">
              <w:rPr>
                <w:b/>
                <w:bCs/>
              </w:rPr>
              <w:t>Commission’s explanatory memorandum</w:t>
            </w:r>
            <w:r w:rsidRPr="00D40AF1">
              <w:t xml:space="preserve"> clarifies that the benefit of proportionality for solo undertakings may not be fully realised when they belong to a group that does not benefit from the same alleviation. It therefore invites supervisors to consider applying </w:t>
            </w:r>
            <w:r w:rsidRPr="00D40AF1">
              <w:rPr>
                <w:b/>
                <w:bCs/>
              </w:rPr>
              <w:t>proportionate approaches to the transmission of solo information to groups</w:t>
            </w:r>
            <w:r w:rsidRPr="00D40AF1">
              <w:t>, including reliance on proxies.</w:t>
            </w:r>
          </w:p>
          <w:p w14:paraId="275413B3" w14:textId="671B294C" w:rsidR="00FF6B35" w:rsidRPr="00D40AF1" w:rsidRDefault="00FF6B35" w:rsidP="00D40AF1"/>
        </w:tc>
        <w:tc>
          <w:tcPr>
            <w:tcW w:w="3773" w:type="dxa"/>
          </w:tcPr>
          <w:p w14:paraId="5F847B83" w14:textId="7A45EE40" w:rsidR="00FF6B35" w:rsidRDefault="00D40AF1" w:rsidP="00D40AF1">
            <w:r w:rsidRPr="00D40AF1">
              <w:t>Allow use of historical data for exempted entities or exclude them from consolidation in group reports or plans, so that SNCUs can effectively benefit from proportionality within groups.</w:t>
            </w:r>
          </w:p>
        </w:tc>
        <w:tc>
          <w:tcPr>
            <w:tcW w:w="2785" w:type="dxa"/>
          </w:tcPr>
          <w:p w14:paraId="15AFD20C" w14:textId="1C40C74F" w:rsidR="001F3B4D" w:rsidRDefault="001F3B4D" w:rsidP="001F3B4D">
            <w:pPr>
              <w:rPr>
                <w:b/>
                <w:color w:val="8DD873" w:themeColor="accent6" w:themeTint="99"/>
              </w:rPr>
            </w:pPr>
            <w:r w:rsidRPr="001F3B4D">
              <w:rPr>
                <w:b/>
                <w:bCs/>
                <w:color w:val="8DD873" w:themeColor="accent6" w:themeTint="99"/>
              </w:rPr>
              <w:t>Positive</w:t>
            </w:r>
          </w:p>
          <w:p w14:paraId="78834759" w14:textId="6C6910A1" w:rsidR="00FF6B35" w:rsidRPr="001F3B4D" w:rsidRDefault="001F3B4D" w:rsidP="001F3B4D">
            <w:pPr>
              <w:rPr>
                <w:bCs/>
                <w:color w:val="8DD873" w:themeColor="accent6" w:themeTint="99"/>
              </w:rPr>
            </w:pPr>
            <w:r w:rsidRPr="001F3B4D">
              <w:rPr>
                <w:bCs/>
              </w:rPr>
              <w:t>While not a legal change, the clarification recognises the operational challenges for SNCUs within larger groups and supports greater supervisory flexibility—in line with IE’s call for practical, group-level proportionality.</w:t>
            </w:r>
          </w:p>
        </w:tc>
      </w:tr>
      <w:tr w:rsidR="0031162B" w14:paraId="5661F2EE" w14:textId="77777777" w:rsidTr="007A2CB0">
        <w:tc>
          <w:tcPr>
            <w:tcW w:w="2547" w:type="dxa"/>
          </w:tcPr>
          <w:p w14:paraId="0DA0EEE1" w14:textId="3513A0AE" w:rsidR="0031162B" w:rsidRPr="00CF408B" w:rsidRDefault="00A73B5B" w:rsidP="00A73B5B">
            <w:pPr>
              <w:rPr>
                <w:b/>
                <w:bCs/>
              </w:rPr>
            </w:pPr>
            <w:r w:rsidRPr="00A73B5B">
              <w:rPr>
                <w:b/>
                <w:bCs/>
              </w:rPr>
              <w:t>Group solvency calculation (no changes)</w:t>
            </w:r>
          </w:p>
        </w:tc>
        <w:tc>
          <w:tcPr>
            <w:tcW w:w="4111" w:type="dxa"/>
          </w:tcPr>
          <w:p w14:paraId="4D877ABA" w14:textId="77777777" w:rsidR="0031162B" w:rsidRDefault="003561C2" w:rsidP="003561C2">
            <w:r w:rsidRPr="003561C2">
              <w:rPr>
                <w:b/>
                <w:bCs/>
              </w:rPr>
              <w:t>Directive Articles 230–236; DA Articles 330–336b</w:t>
            </w:r>
            <w:r w:rsidRPr="003561C2">
              <w:t xml:space="preserve"> – No substantive changes were made in the final DA. Provisions on the </w:t>
            </w:r>
            <w:r w:rsidRPr="003561C2">
              <w:rPr>
                <w:b/>
                <w:bCs/>
              </w:rPr>
              <w:t>group minimum SCR</w:t>
            </w:r>
            <w:r w:rsidRPr="003561C2">
              <w:t xml:space="preserve">, </w:t>
            </w:r>
            <w:r w:rsidRPr="003561C2">
              <w:rPr>
                <w:b/>
                <w:bCs/>
              </w:rPr>
              <w:t>minority interests</w:t>
            </w:r>
            <w:r w:rsidRPr="003561C2">
              <w:t xml:space="preserve">, </w:t>
            </w:r>
            <w:r w:rsidRPr="003561C2">
              <w:rPr>
                <w:b/>
                <w:bCs/>
              </w:rPr>
              <w:t>joint ventures</w:t>
            </w:r>
            <w:r w:rsidRPr="003561C2">
              <w:t xml:space="preserve">, </w:t>
            </w:r>
            <w:r w:rsidRPr="003561C2">
              <w:rPr>
                <w:b/>
                <w:bCs/>
              </w:rPr>
              <w:t>classification of own funds</w:t>
            </w:r>
            <w:r w:rsidRPr="003561C2">
              <w:t xml:space="preserve">, </w:t>
            </w:r>
            <w:r w:rsidRPr="003561C2">
              <w:rPr>
                <w:b/>
                <w:bCs/>
              </w:rPr>
              <w:t>determination of consolidated data</w:t>
            </w:r>
            <w:r w:rsidRPr="003561C2">
              <w:t xml:space="preserve">, </w:t>
            </w:r>
            <w:r w:rsidRPr="003561C2">
              <w:rPr>
                <w:b/>
                <w:bCs/>
              </w:rPr>
              <w:t>simplified calculation for participations</w:t>
            </w:r>
            <w:r w:rsidRPr="003561C2">
              <w:t xml:space="preserve">, and </w:t>
            </w:r>
            <w:r w:rsidRPr="003561C2">
              <w:rPr>
                <w:b/>
                <w:bCs/>
              </w:rPr>
              <w:t>treatment of participations in entities managing infrastructure</w:t>
            </w:r>
            <w:r w:rsidRPr="003561C2">
              <w:t xml:space="preserve"> all </w:t>
            </w:r>
            <w:r w:rsidRPr="003561C2">
              <w:lastRenderedPageBreak/>
              <w:t>remain as in the draft. No clarification was added on double counting, minority-interest treatment, or proportionality for third-country holdings.</w:t>
            </w:r>
          </w:p>
          <w:p w14:paraId="71F8F657" w14:textId="38B071D1" w:rsidR="0031162B" w:rsidRPr="005546A8" w:rsidRDefault="0031162B" w:rsidP="003561C2"/>
        </w:tc>
        <w:tc>
          <w:tcPr>
            <w:tcW w:w="3773" w:type="dxa"/>
          </w:tcPr>
          <w:p w14:paraId="770F682E" w14:textId="1447A3B5" w:rsidR="0031162B" w:rsidRDefault="0085080A" w:rsidP="0085080A">
            <w:r w:rsidRPr="0085080A">
              <w:lastRenderedPageBreak/>
              <w:t xml:space="preserve">Add clarification to avoid double counting in group MCR (Art. 230); align minority-interest treatment with existing Guidelines; allow JV consolidation via equity method (Art. 335); ensure Own Funds encumbrances are subject to transferability test (Arts. 331–333); remove reference to third-country holding companies (Art. 335); broaden simplified calculation </w:t>
            </w:r>
            <w:r w:rsidRPr="0085080A">
              <w:lastRenderedPageBreak/>
              <w:t>(Art. 336b); correct inconsistency on reference undertakings (Art. 336).</w:t>
            </w:r>
          </w:p>
        </w:tc>
        <w:tc>
          <w:tcPr>
            <w:tcW w:w="2785" w:type="dxa"/>
          </w:tcPr>
          <w:p w14:paraId="585AD109" w14:textId="2B568F63" w:rsidR="0085080A" w:rsidRPr="00A86899" w:rsidRDefault="00A86899" w:rsidP="0085080A">
            <w:pPr>
              <w:rPr>
                <w:b/>
                <w:color w:val="EE0000"/>
              </w:rPr>
            </w:pPr>
            <w:r>
              <w:rPr>
                <w:b/>
                <w:color w:val="EE0000"/>
              </w:rPr>
              <w:lastRenderedPageBreak/>
              <w:t>N</w:t>
            </w:r>
            <w:r w:rsidR="0085080A" w:rsidRPr="00A86899">
              <w:rPr>
                <w:b/>
                <w:color w:val="EE0000"/>
              </w:rPr>
              <w:t>egative</w:t>
            </w:r>
          </w:p>
          <w:p w14:paraId="251CA13A" w14:textId="3636334D" w:rsidR="0031162B" w:rsidRPr="002118C6" w:rsidRDefault="0085080A" w:rsidP="0085080A">
            <w:pPr>
              <w:rPr>
                <w:bCs/>
                <w:color w:val="8DD873" w:themeColor="accent6" w:themeTint="99"/>
              </w:rPr>
            </w:pPr>
            <w:r w:rsidRPr="0085080A">
              <w:t>No updates were introduced despite detailed industry input. Concerns on double counting, minority-interest treatment, and consistency with Level 1 text remain unresolved.</w:t>
            </w:r>
          </w:p>
        </w:tc>
      </w:tr>
      <w:tr w:rsidR="002F7735" w14:paraId="34E2D0CD" w14:textId="77777777" w:rsidTr="007A2CB0">
        <w:tc>
          <w:tcPr>
            <w:tcW w:w="2547" w:type="dxa"/>
          </w:tcPr>
          <w:p w14:paraId="7CB69D81" w14:textId="1A25056A" w:rsidR="002F7735" w:rsidRPr="00CF408B" w:rsidRDefault="003574C5" w:rsidP="002F349F">
            <w:pPr>
              <w:rPr>
                <w:b/>
                <w:bCs/>
              </w:rPr>
            </w:pPr>
            <w:r>
              <w:rPr>
                <w:b/>
                <w:bCs/>
              </w:rPr>
              <w:t>Stress test disclosures</w:t>
            </w:r>
          </w:p>
        </w:tc>
        <w:tc>
          <w:tcPr>
            <w:tcW w:w="4111" w:type="dxa"/>
          </w:tcPr>
          <w:p w14:paraId="04C562DD" w14:textId="3479004A" w:rsidR="002F7735" w:rsidRPr="005546A8" w:rsidRDefault="003574C5" w:rsidP="003574C5">
            <w:r w:rsidRPr="003574C5">
              <w:t>Final DA retains supervisory power to publish stress-test results and share with EIOPA; no full removal of requirements.</w:t>
            </w:r>
          </w:p>
        </w:tc>
        <w:tc>
          <w:tcPr>
            <w:tcW w:w="3773" w:type="dxa"/>
          </w:tcPr>
          <w:p w14:paraId="48D09EA0" w14:textId="77777777" w:rsidR="002F7735" w:rsidRDefault="00A24E24" w:rsidP="00A24E24">
            <w:r w:rsidRPr="00A24E24">
              <w:t>Introduce safeguards in Level 2 to ensure stress tests are not transformed into “pass/fail” tools with extra capital/disclosure burdens; and avoid making results public in a way that undermines financial stability.</w:t>
            </w:r>
          </w:p>
          <w:p w14:paraId="236E7BA6" w14:textId="2FD39F8F" w:rsidR="002F7735" w:rsidRDefault="002F7735" w:rsidP="00A24E24"/>
        </w:tc>
        <w:tc>
          <w:tcPr>
            <w:tcW w:w="2785" w:type="dxa"/>
          </w:tcPr>
          <w:p w14:paraId="39691D3C" w14:textId="6F3CDAB1" w:rsidR="00A24E24" w:rsidRDefault="00A24E24" w:rsidP="00A24E24">
            <w:pPr>
              <w:rPr>
                <w:b/>
                <w:color w:val="EE0000"/>
              </w:rPr>
            </w:pPr>
            <w:r w:rsidRPr="00A24E24">
              <w:rPr>
                <w:b/>
                <w:color w:val="EE0000"/>
              </w:rPr>
              <w:t>Negative</w:t>
            </w:r>
            <w:r>
              <w:rPr>
                <w:b/>
                <w:color w:val="EE0000"/>
              </w:rPr>
              <w:t xml:space="preserve"> </w:t>
            </w:r>
          </w:p>
          <w:p w14:paraId="608A4E18" w14:textId="100F6382" w:rsidR="002F7735" w:rsidRPr="00F050ED" w:rsidRDefault="00A24E24" w:rsidP="00A24E24">
            <w:pPr>
              <w:rPr>
                <w:b/>
                <w:color w:val="8DD873" w:themeColor="accent6" w:themeTint="99"/>
              </w:rPr>
            </w:pPr>
            <w:r>
              <w:t>No change</w:t>
            </w:r>
          </w:p>
        </w:tc>
      </w:tr>
      <w:tr w:rsidR="00F46F46" w14:paraId="7EE96AF2" w14:textId="77777777" w:rsidTr="007A2CB0">
        <w:tc>
          <w:tcPr>
            <w:tcW w:w="2547" w:type="dxa"/>
          </w:tcPr>
          <w:p w14:paraId="2220E360" w14:textId="05401873" w:rsidR="00F46F46" w:rsidRDefault="00F46F46" w:rsidP="00F46F46">
            <w:pPr>
              <w:rPr>
                <w:b/>
                <w:bCs/>
              </w:rPr>
            </w:pPr>
            <w:r w:rsidRPr="00F46F46">
              <w:rPr>
                <w:b/>
                <w:bCs/>
              </w:rPr>
              <w:t>Standard-formula reporting for internal-model users</w:t>
            </w:r>
          </w:p>
        </w:tc>
        <w:tc>
          <w:tcPr>
            <w:tcW w:w="4111" w:type="dxa"/>
          </w:tcPr>
          <w:p w14:paraId="62BFA999" w14:textId="71E1B66C" w:rsidR="00F46F46" w:rsidRPr="003574C5" w:rsidRDefault="008B7E47" w:rsidP="008B7E47">
            <w:r w:rsidRPr="008B7E47">
              <w:t>Final DA continues to require IM users to provide standard formula estimates (e.g., Article 311(2)(b) – standard formula estimate “where the supervisory authority requires” it).</w:t>
            </w:r>
          </w:p>
        </w:tc>
        <w:tc>
          <w:tcPr>
            <w:tcW w:w="3773" w:type="dxa"/>
          </w:tcPr>
          <w:p w14:paraId="297B8F29" w14:textId="6BB7B68D" w:rsidR="00F46F46" w:rsidRDefault="008B7E47" w:rsidP="008B7E47">
            <w:r w:rsidRPr="008B7E47">
              <w:t>For internal-model users, standard formula reporting should be flexible, agreed individually with supervisor, not automatic or duplicated.</w:t>
            </w:r>
          </w:p>
          <w:p w14:paraId="6DDA369C" w14:textId="77777777" w:rsidR="008B7E47" w:rsidRPr="008B7E47" w:rsidRDefault="008B7E47" w:rsidP="008B7E47"/>
        </w:tc>
        <w:tc>
          <w:tcPr>
            <w:tcW w:w="2785" w:type="dxa"/>
          </w:tcPr>
          <w:p w14:paraId="3D1F40F5" w14:textId="730BC9DF" w:rsidR="0031162B" w:rsidRDefault="0031162B" w:rsidP="0031162B">
            <w:pPr>
              <w:rPr>
                <w:b/>
                <w:color w:val="EE0000"/>
              </w:rPr>
            </w:pPr>
            <w:r w:rsidRPr="0031162B">
              <w:rPr>
                <w:b/>
                <w:bCs/>
                <w:color w:val="EE0000"/>
              </w:rPr>
              <w:t>Negative</w:t>
            </w:r>
            <w:r w:rsidRPr="0031162B">
              <w:rPr>
                <w:b/>
                <w:color w:val="EE0000"/>
              </w:rPr>
              <w:t xml:space="preserve"> </w:t>
            </w:r>
          </w:p>
          <w:p w14:paraId="676DEB51" w14:textId="0C9EA4A7" w:rsidR="00F46F46" w:rsidRPr="00A24E24" w:rsidRDefault="0031162B" w:rsidP="0031162B">
            <w:pPr>
              <w:rPr>
                <w:b/>
                <w:color w:val="EE0000"/>
              </w:rPr>
            </w:pPr>
            <w:r w:rsidRPr="0031162B">
              <w:rPr>
                <w:bCs/>
              </w:rPr>
              <w:t>No change</w:t>
            </w:r>
          </w:p>
        </w:tc>
      </w:tr>
    </w:tbl>
    <w:p w14:paraId="0099B357" w14:textId="77777777" w:rsidR="00D45336" w:rsidRDefault="00D45336"/>
    <w:p w14:paraId="0E2D3C1F" w14:textId="77777777" w:rsidR="00D45336" w:rsidRDefault="00D45336"/>
    <w:sectPr w:rsidR="00D45336" w:rsidSect="006A4FB6">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FDEC" w14:textId="77777777" w:rsidR="0082782B" w:rsidRDefault="0082782B" w:rsidP="001C287B">
      <w:pPr>
        <w:spacing w:after="0" w:line="240" w:lineRule="auto"/>
      </w:pPr>
      <w:r>
        <w:separator/>
      </w:r>
    </w:p>
  </w:endnote>
  <w:endnote w:type="continuationSeparator" w:id="0">
    <w:p w14:paraId="4F63CE23" w14:textId="77777777" w:rsidR="0082782B" w:rsidRDefault="0082782B" w:rsidP="001C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98748"/>
      <w:docPartObj>
        <w:docPartGallery w:val="Page Numbers (Bottom of Page)"/>
        <w:docPartUnique/>
      </w:docPartObj>
    </w:sdtPr>
    <w:sdtEndPr>
      <w:rPr>
        <w:noProof/>
      </w:rPr>
    </w:sdtEndPr>
    <w:sdtContent>
      <w:p w14:paraId="32AE3F20" w14:textId="247FDD13" w:rsidR="002B4D3A" w:rsidRDefault="002B4D3A">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38D904D7" w14:textId="77777777" w:rsidR="007773D9" w:rsidRDefault="007773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6C64" w14:textId="77777777" w:rsidR="0082782B" w:rsidRDefault="0082782B" w:rsidP="001C287B">
      <w:pPr>
        <w:spacing w:after="0" w:line="240" w:lineRule="auto"/>
      </w:pPr>
      <w:r>
        <w:separator/>
      </w:r>
    </w:p>
  </w:footnote>
  <w:footnote w:type="continuationSeparator" w:id="0">
    <w:p w14:paraId="1BCB9A9A" w14:textId="77777777" w:rsidR="0082782B" w:rsidRDefault="0082782B" w:rsidP="001C2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25DE" w14:textId="3CD65864" w:rsidR="006A4FB6" w:rsidRPr="006A4FB6" w:rsidRDefault="0021464B" w:rsidP="006A4FB6">
    <w:pPr>
      <w:jc w:val="right"/>
      <w:rPr>
        <w:b/>
        <w:bCs/>
        <w:color w:val="EE0000"/>
      </w:rPr>
    </w:pPr>
    <w:r w:rsidRPr="00CF35FD">
      <w:rPr>
        <w:b/>
        <w:noProof/>
        <w:color w:val="002957"/>
        <w:sz w:val="36"/>
        <w:szCs w:val="36"/>
        <w:lang w:val="en-US"/>
      </w:rPr>
      <w:drawing>
        <wp:anchor distT="0" distB="0" distL="114300" distR="114300" simplePos="0" relativeHeight="251657216" behindDoc="0" locked="0" layoutInCell="1" allowOverlap="1" wp14:anchorId="1D097A9D" wp14:editId="41DC9E6D">
          <wp:simplePos x="0" y="0"/>
          <wp:positionH relativeFrom="page">
            <wp:posOffset>352425</wp:posOffset>
          </wp:positionH>
          <wp:positionV relativeFrom="page">
            <wp:posOffset>190500</wp:posOffset>
          </wp:positionV>
          <wp:extent cx="1053417" cy="647700"/>
          <wp:effectExtent l="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061756" cy="652827"/>
                  </a:xfrm>
                  <a:prstGeom prst="rect">
                    <a:avLst/>
                  </a:prstGeom>
                  <a:noFill/>
                </pic:spPr>
              </pic:pic>
            </a:graphicData>
          </a:graphic>
          <wp14:sizeRelH relativeFrom="margin">
            <wp14:pctWidth>0</wp14:pctWidth>
          </wp14:sizeRelH>
          <wp14:sizeRelV relativeFrom="margin">
            <wp14:pctHeight>0</wp14:pctHeight>
          </wp14:sizeRelV>
        </wp:anchor>
      </w:drawing>
    </w:r>
    <w:customXmlInsRangeStart w:id="0" w:author="Insurance Europe" w:date="2025-11-05T17:30:00Z"/>
    <w:sdt>
      <w:sdtPr>
        <w:id w:val="-1441902603"/>
        <w:docPartObj>
          <w:docPartGallery w:val="Watermarks"/>
          <w:docPartUnique/>
        </w:docPartObj>
      </w:sdtPr>
      <w:sdtEndPr/>
      <w:sdtContent>
        <w:customXmlInsRangeEnd w:id="0"/>
        <w:r w:rsidR="0082782B">
          <w:rPr>
            <w:noProof/>
          </w:rPr>
          <w:pict w14:anchorId="7A925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customXmlInsRangeStart w:id="1" w:author="Insurance Europe" w:date="2025-11-05T17:30:00Z"/>
      </w:sdtContent>
    </w:sdt>
    <w:customXmlInsRangeEnd w:id="1"/>
    <w:r w:rsidR="006A4FB6" w:rsidRPr="006A4FB6">
      <w:rPr>
        <w:b/>
        <w:bCs/>
        <w:color w:val="EE0000"/>
      </w:rPr>
      <w:t>Draft for members’ feedback by 11 November COB</w:t>
    </w:r>
  </w:p>
  <w:p w14:paraId="45759503" w14:textId="00E0859A" w:rsidR="001C287B" w:rsidRDefault="001C287B" w:rsidP="006A4FB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D3D36"/>
    <w:multiLevelType w:val="hybridMultilevel"/>
    <w:tmpl w:val="E9F4B7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70C0E21"/>
    <w:multiLevelType w:val="hybridMultilevel"/>
    <w:tmpl w:val="76AAE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6ABC04B7"/>
    <w:multiLevelType w:val="hybridMultilevel"/>
    <w:tmpl w:val="454A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982317">
    <w:abstractNumId w:val="0"/>
  </w:num>
  <w:num w:numId="2" w16cid:durableId="1648781871">
    <w:abstractNumId w:val="2"/>
  </w:num>
  <w:num w:numId="3" w16cid:durableId="98096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6"/>
    <w:rsid w:val="00002C19"/>
    <w:rsid w:val="00003A77"/>
    <w:rsid w:val="00004B78"/>
    <w:rsid w:val="00005190"/>
    <w:rsid w:val="00025FE7"/>
    <w:rsid w:val="000300D9"/>
    <w:rsid w:val="00055F3C"/>
    <w:rsid w:val="00061C80"/>
    <w:rsid w:val="00074726"/>
    <w:rsid w:val="00080702"/>
    <w:rsid w:val="00084D4E"/>
    <w:rsid w:val="000973E1"/>
    <w:rsid w:val="000C3910"/>
    <w:rsid w:val="000C5227"/>
    <w:rsid w:val="000C668F"/>
    <w:rsid w:val="000E12C2"/>
    <w:rsid w:val="000E6DD9"/>
    <w:rsid w:val="00102F7A"/>
    <w:rsid w:val="00103F00"/>
    <w:rsid w:val="001115F5"/>
    <w:rsid w:val="0011267A"/>
    <w:rsid w:val="00116298"/>
    <w:rsid w:val="00122AFB"/>
    <w:rsid w:val="00127797"/>
    <w:rsid w:val="00141DA4"/>
    <w:rsid w:val="00142947"/>
    <w:rsid w:val="00142F08"/>
    <w:rsid w:val="0015382C"/>
    <w:rsid w:val="001543E5"/>
    <w:rsid w:val="00157CCE"/>
    <w:rsid w:val="001606E4"/>
    <w:rsid w:val="00177762"/>
    <w:rsid w:val="00177C98"/>
    <w:rsid w:val="0018516A"/>
    <w:rsid w:val="00192204"/>
    <w:rsid w:val="001A3565"/>
    <w:rsid w:val="001A7723"/>
    <w:rsid w:val="001B3651"/>
    <w:rsid w:val="001C287B"/>
    <w:rsid w:val="001C6511"/>
    <w:rsid w:val="001F3B4D"/>
    <w:rsid w:val="001F4040"/>
    <w:rsid w:val="002118C6"/>
    <w:rsid w:val="00213658"/>
    <w:rsid w:val="0021464B"/>
    <w:rsid w:val="00222B1F"/>
    <w:rsid w:val="002264D4"/>
    <w:rsid w:val="00226B66"/>
    <w:rsid w:val="002406B1"/>
    <w:rsid w:val="00244B1A"/>
    <w:rsid w:val="00255087"/>
    <w:rsid w:val="00255693"/>
    <w:rsid w:val="00256F29"/>
    <w:rsid w:val="0025764C"/>
    <w:rsid w:val="00260133"/>
    <w:rsid w:val="00263E28"/>
    <w:rsid w:val="00272A54"/>
    <w:rsid w:val="00276613"/>
    <w:rsid w:val="002A2D8D"/>
    <w:rsid w:val="002B06E5"/>
    <w:rsid w:val="002B2AE2"/>
    <w:rsid w:val="002B3EA4"/>
    <w:rsid w:val="002B4D3A"/>
    <w:rsid w:val="002C5FC0"/>
    <w:rsid w:val="002C7E3E"/>
    <w:rsid w:val="002D21F4"/>
    <w:rsid w:val="002D353F"/>
    <w:rsid w:val="002D466A"/>
    <w:rsid w:val="002D7703"/>
    <w:rsid w:val="002E5C14"/>
    <w:rsid w:val="002F1282"/>
    <w:rsid w:val="002F349F"/>
    <w:rsid w:val="002F4D97"/>
    <w:rsid w:val="002F7735"/>
    <w:rsid w:val="0030539A"/>
    <w:rsid w:val="003068EC"/>
    <w:rsid w:val="0031162B"/>
    <w:rsid w:val="00321610"/>
    <w:rsid w:val="00321BBB"/>
    <w:rsid w:val="00324646"/>
    <w:rsid w:val="00333172"/>
    <w:rsid w:val="00333E5B"/>
    <w:rsid w:val="003358F6"/>
    <w:rsid w:val="003561C2"/>
    <w:rsid w:val="003574C5"/>
    <w:rsid w:val="003617AD"/>
    <w:rsid w:val="00371986"/>
    <w:rsid w:val="003742B6"/>
    <w:rsid w:val="003866BB"/>
    <w:rsid w:val="00387B60"/>
    <w:rsid w:val="00392A73"/>
    <w:rsid w:val="00393D8B"/>
    <w:rsid w:val="003955FA"/>
    <w:rsid w:val="003A4248"/>
    <w:rsid w:val="003B14F5"/>
    <w:rsid w:val="003B756F"/>
    <w:rsid w:val="003C414C"/>
    <w:rsid w:val="003D3CE7"/>
    <w:rsid w:val="003D4272"/>
    <w:rsid w:val="003D6078"/>
    <w:rsid w:val="003E0212"/>
    <w:rsid w:val="003E548A"/>
    <w:rsid w:val="003E5E90"/>
    <w:rsid w:val="003E71D7"/>
    <w:rsid w:val="004002F8"/>
    <w:rsid w:val="004020BD"/>
    <w:rsid w:val="00406B10"/>
    <w:rsid w:val="00415863"/>
    <w:rsid w:val="00421C72"/>
    <w:rsid w:val="0042454F"/>
    <w:rsid w:val="00434A79"/>
    <w:rsid w:val="004402AA"/>
    <w:rsid w:val="0044038A"/>
    <w:rsid w:val="00440606"/>
    <w:rsid w:val="00440876"/>
    <w:rsid w:val="00440F04"/>
    <w:rsid w:val="004414FA"/>
    <w:rsid w:val="00444CE5"/>
    <w:rsid w:val="00450EF4"/>
    <w:rsid w:val="00453EA2"/>
    <w:rsid w:val="00457281"/>
    <w:rsid w:val="00460D0D"/>
    <w:rsid w:val="00464528"/>
    <w:rsid w:val="00484FEC"/>
    <w:rsid w:val="00485EA5"/>
    <w:rsid w:val="0049238E"/>
    <w:rsid w:val="00496103"/>
    <w:rsid w:val="004A0054"/>
    <w:rsid w:val="004A1E7F"/>
    <w:rsid w:val="004A4B23"/>
    <w:rsid w:val="004B1998"/>
    <w:rsid w:val="004B1BE7"/>
    <w:rsid w:val="004C55E4"/>
    <w:rsid w:val="004D2B5F"/>
    <w:rsid w:val="004D5ABA"/>
    <w:rsid w:val="004E62A9"/>
    <w:rsid w:val="004F2026"/>
    <w:rsid w:val="004F5727"/>
    <w:rsid w:val="00500952"/>
    <w:rsid w:val="00500F9B"/>
    <w:rsid w:val="00502AA8"/>
    <w:rsid w:val="00512926"/>
    <w:rsid w:val="0051494D"/>
    <w:rsid w:val="005258A1"/>
    <w:rsid w:val="00526975"/>
    <w:rsid w:val="005546A8"/>
    <w:rsid w:val="00556AA2"/>
    <w:rsid w:val="00557439"/>
    <w:rsid w:val="00560B7D"/>
    <w:rsid w:val="00575C24"/>
    <w:rsid w:val="00576DF3"/>
    <w:rsid w:val="00580D89"/>
    <w:rsid w:val="00584F1D"/>
    <w:rsid w:val="00595413"/>
    <w:rsid w:val="005A19F6"/>
    <w:rsid w:val="005A1A83"/>
    <w:rsid w:val="005B0D91"/>
    <w:rsid w:val="005B72B6"/>
    <w:rsid w:val="005E3993"/>
    <w:rsid w:val="005E3D40"/>
    <w:rsid w:val="00615237"/>
    <w:rsid w:val="00631850"/>
    <w:rsid w:val="006450DE"/>
    <w:rsid w:val="006648DB"/>
    <w:rsid w:val="00665458"/>
    <w:rsid w:val="006730AC"/>
    <w:rsid w:val="006A49D4"/>
    <w:rsid w:val="006A4FB6"/>
    <w:rsid w:val="006A5E96"/>
    <w:rsid w:val="006A6911"/>
    <w:rsid w:val="006B665F"/>
    <w:rsid w:val="006C2740"/>
    <w:rsid w:val="006C274E"/>
    <w:rsid w:val="006C2918"/>
    <w:rsid w:val="006D02A6"/>
    <w:rsid w:val="006D3008"/>
    <w:rsid w:val="006D5CA1"/>
    <w:rsid w:val="006E5AD8"/>
    <w:rsid w:val="006E7B5A"/>
    <w:rsid w:val="006F27E1"/>
    <w:rsid w:val="0070329A"/>
    <w:rsid w:val="007059C2"/>
    <w:rsid w:val="0071302E"/>
    <w:rsid w:val="00717F3F"/>
    <w:rsid w:val="0072095C"/>
    <w:rsid w:val="00725331"/>
    <w:rsid w:val="00732D17"/>
    <w:rsid w:val="00733BDE"/>
    <w:rsid w:val="00742463"/>
    <w:rsid w:val="00754C9C"/>
    <w:rsid w:val="007750DE"/>
    <w:rsid w:val="007773D9"/>
    <w:rsid w:val="00781C4A"/>
    <w:rsid w:val="00790C69"/>
    <w:rsid w:val="00796CAF"/>
    <w:rsid w:val="007A2CB0"/>
    <w:rsid w:val="007B47B5"/>
    <w:rsid w:val="007C584E"/>
    <w:rsid w:val="007E1564"/>
    <w:rsid w:val="007F61B4"/>
    <w:rsid w:val="008009F0"/>
    <w:rsid w:val="008017F2"/>
    <w:rsid w:val="00803DEE"/>
    <w:rsid w:val="00807CE5"/>
    <w:rsid w:val="00812D4B"/>
    <w:rsid w:val="008158DD"/>
    <w:rsid w:val="00816DBE"/>
    <w:rsid w:val="0082782B"/>
    <w:rsid w:val="00835E97"/>
    <w:rsid w:val="0085080A"/>
    <w:rsid w:val="008543F9"/>
    <w:rsid w:val="00856363"/>
    <w:rsid w:val="008612B6"/>
    <w:rsid w:val="0086796B"/>
    <w:rsid w:val="008760FA"/>
    <w:rsid w:val="008765BD"/>
    <w:rsid w:val="008803C1"/>
    <w:rsid w:val="00886E54"/>
    <w:rsid w:val="008908A9"/>
    <w:rsid w:val="008944A8"/>
    <w:rsid w:val="00896C5F"/>
    <w:rsid w:val="008A7282"/>
    <w:rsid w:val="008B74BD"/>
    <w:rsid w:val="008B7D2B"/>
    <w:rsid w:val="008B7E47"/>
    <w:rsid w:val="008C0834"/>
    <w:rsid w:val="008D4315"/>
    <w:rsid w:val="008F1EAE"/>
    <w:rsid w:val="008F5BAF"/>
    <w:rsid w:val="00902CBC"/>
    <w:rsid w:val="009031B2"/>
    <w:rsid w:val="0090472E"/>
    <w:rsid w:val="009134F0"/>
    <w:rsid w:val="009164C7"/>
    <w:rsid w:val="009206FD"/>
    <w:rsid w:val="009236E9"/>
    <w:rsid w:val="00925F0A"/>
    <w:rsid w:val="00930D65"/>
    <w:rsid w:val="00962C30"/>
    <w:rsid w:val="00963798"/>
    <w:rsid w:val="00963804"/>
    <w:rsid w:val="0096647B"/>
    <w:rsid w:val="00985A49"/>
    <w:rsid w:val="00992333"/>
    <w:rsid w:val="00994DAC"/>
    <w:rsid w:val="009A2F1E"/>
    <w:rsid w:val="009B79A5"/>
    <w:rsid w:val="009C3405"/>
    <w:rsid w:val="009D131C"/>
    <w:rsid w:val="009D5CCD"/>
    <w:rsid w:val="009E3B96"/>
    <w:rsid w:val="009F4114"/>
    <w:rsid w:val="00A068A0"/>
    <w:rsid w:val="00A1439A"/>
    <w:rsid w:val="00A17F4A"/>
    <w:rsid w:val="00A20387"/>
    <w:rsid w:val="00A20BEA"/>
    <w:rsid w:val="00A21383"/>
    <w:rsid w:val="00A24E24"/>
    <w:rsid w:val="00A2704D"/>
    <w:rsid w:val="00A36E3B"/>
    <w:rsid w:val="00A46DDE"/>
    <w:rsid w:val="00A61398"/>
    <w:rsid w:val="00A61996"/>
    <w:rsid w:val="00A70B59"/>
    <w:rsid w:val="00A71541"/>
    <w:rsid w:val="00A73500"/>
    <w:rsid w:val="00A73B5B"/>
    <w:rsid w:val="00A76D9C"/>
    <w:rsid w:val="00A852FC"/>
    <w:rsid w:val="00A86899"/>
    <w:rsid w:val="00A97910"/>
    <w:rsid w:val="00AA16CF"/>
    <w:rsid w:val="00AB1B6B"/>
    <w:rsid w:val="00AB1EE1"/>
    <w:rsid w:val="00AB2A3B"/>
    <w:rsid w:val="00AC33F5"/>
    <w:rsid w:val="00AD3B57"/>
    <w:rsid w:val="00AD6123"/>
    <w:rsid w:val="00AE2979"/>
    <w:rsid w:val="00AE38AE"/>
    <w:rsid w:val="00AE50C9"/>
    <w:rsid w:val="00AE69A1"/>
    <w:rsid w:val="00AF4136"/>
    <w:rsid w:val="00B0159F"/>
    <w:rsid w:val="00B0271B"/>
    <w:rsid w:val="00B13A70"/>
    <w:rsid w:val="00B13CAD"/>
    <w:rsid w:val="00B163B2"/>
    <w:rsid w:val="00B26F6D"/>
    <w:rsid w:val="00B333F8"/>
    <w:rsid w:val="00B35721"/>
    <w:rsid w:val="00B43B12"/>
    <w:rsid w:val="00B61413"/>
    <w:rsid w:val="00B66FFD"/>
    <w:rsid w:val="00B67C42"/>
    <w:rsid w:val="00B7048C"/>
    <w:rsid w:val="00B7355D"/>
    <w:rsid w:val="00B74793"/>
    <w:rsid w:val="00B916AA"/>
    <w:rsid w:val="00B91DA0"/>
    <w:rsid w:val="00B94920"/>
    <w:rsid w:val="00B94E6C"/>
    <w:rsid w:val="00BA2712"/>
    <w:rsid w:val="00BB65B3"/>
    <w:rsid w:val="00BB7215"/>
    <w:rsid w:val="00BE4233"/>
    <w:rsid w:val="00C07912"/>
    <w:rsid w:val="00C17EE6"/>
    <w:rsid w:val="00C25F02"/>
    <w:rsid w:val="00C50A65"/>
    <w:rsid w:val="00C52CB1"/>
    <w:rsid w:val="00C67D08"/>
    <w:rsid w:val="00C8020A"/>
    <w:rsid w:val="00C866B5"/>
    <w:rsid w:val="00C9509E"/>
    <w:rsid w:val="00C96DDB"/>
    <w:rsid w:val="00CA4B66"/>
    <w:rsid w:val="00CA5F97"/>
    <w:rsid w:val="00CB4EB2"/>
    <w:rsid w:val="00CC43F1"/>
    <w:rsid w:val="00CD176D"/>
    <w:rsid w:val="00CD4257"/>
    <w:rsid w:val="00CE52F2"/>
    <w:rsid w:val="00CE7399"/>
    <w:rsid w:val="00CF408B"/>
    <w:rsid w:val="00D006AB"/>
    <w:rsid w:val="00D12BC9"/>
    <w:rsid w:val="00D173C2"/>
    <w:rsid w:val="00D3759B"/>
    <w:rsid w:val="00D40AF1"/>
    <w:rsid w:val="00D4483C"/>
    <w:rsid w:val="00D45171"/>
    <w:rsid w:val="00D45336"/>
    <w:rsid w:val="00D45611"/>
    <w:rsid w:val="00D4777A"/>
    <w:rsid w:val="00D545AA"/>
    <w:rsid w:val="00D624BA"/>
    <w:rsid w:val="00D63A39"/>
    <w:rsid w:val="00D65623"/>
    <w:rsid w:val="00D664F0"/>
    <w:rsid w:val="00D725EF"/>
    <w:rsid w:val="00D732AE"/>
    <w:rsid w:val="00D84FEF"/>
    <w:rsid w:val="00DC453E"/>
    <w:rsid w:val="00DD09EA"/>
    <w:rsid w:val="00DD3EDC"/>
    <w:rsid w:val="00DE10F3"/>
    <w:rsid w:val="00DE2EE3"/>
    <w:rsid w:val="00DE35BA"/>
    <w:rsid w:val="00DF5A5F"/>
    <w:rsid w:val="00E144D6"/>
    <w:rsid w:val="00E25FF5"/>
    <w:rsid w:val="00E429F5"/>
    <w:rsid w:val="00E42CB8"/>
    <w:rsid w:val="00E45ECE"/>
    <w:rsid w:val="00E90C85"/>
    <w:rsid w:val="00EA49D4"/>
    <w:rsid w:val="00EA5A5F"/>
    <w:rsid w:val="00EA5ABC"/>
    <w:rsid w:val="00EB3A50"/>
    <w:rsid w:val="00EB7309"/>
    <w:rsid w:val="00ED1A38"/>
    <w:rsid w:val="00EE6BC2"/>
    <w:rsid w:val="00EF0829"/>
    <w:rsid w:val="00EF1F32"/>
    <w:rsid w:val="00F01963"/>
    <w:rsid w:val="00F01E6D"/>
    <w:rsid w:val="00F042B1"/>
    <w:rsid w:val="00F050ED"/>
    <w:rsid w:val="00F062A8"/>
    <w:rsid w:val="00F1484C"/>
    <w:rsid w:val="00F4431A"/>
    <w:rsid w:val="00F46F46"/>
    <w:rsid w:val="00F56976"/>
    <w:rsid w:val="00F86292"/>
    <w:rsid w:val="00F96B12"/>
    <w:rsid w:val="00FA7126"/>
    <w:rsid w:val="00FB4554"/>
    <w:rsid w:val="00FB6077"/>
    <w:rsid w:val="00FD6153"/>
    <w:rsid w:val="00FE484B"/>
    <w:rsid w:val="00FE6E75"/>
    <w:rsid w:val="00FF38A3"/>
    <w:rsid w:val="00FF6B35"/>
    <w:rsid w:val="0E9E6021"/>
    <w:rsid w:val="1CD5CCEB"/>
    <w:rsid w:val="1E8FC887"/>
    <w:rsid w:val="2EE15E63"/>
    <w:rsid w:val="69716DE5"/>
    <w:rsid w:val="6A364F56"/>
    <w:rsid w:val="77D5E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2173"/>
  <w15:chartTrackingRefBased/>
  <w15:docId w15:val="{9883EA3A-445D-459E-8A6E-D8E32D2F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1986"/>
  </w:style>
  <w:style w:type="paragraph" w:styleId="Nadpis1">
    <w:name w:val="heading 1"/>
    <w:basedOn w:val="Normlny"/>
    <w:next w:val="Normlny"/>
    <w:link w:val="Nadpis1Char"/>
    <w:uiPriority w:val="9"/>
    <w:qFormat/>
    <w:rsid w:val="00371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71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719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719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7198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7198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7198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7198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7198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19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719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7198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7198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7198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7198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7198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7198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71986"/>
    <w:rPr>
      <w:rFonts w:eastAsiaTheme="majorEastAsia" w:cstheme="majorBidi"/>
      <w:color w:val="272727" w:themeColor="text1" w:themeTint="D8"/>
    </w:rPr>
  </w:style>
  <w:style w:type="paragraph" w:styleId="Nzov">
    <w:name w:val="Title"/>
    <w:basedOn w:val="Normlny"/>
    <w:next w:val="Normlny"/>
    <w:link w:val="NzovChar"/>
    <w:uiPriority w:val="10"/>
    <w:qFormat/>
    <w:rsid w:val="0037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198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7198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7198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7198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1986"/>
    <w:rPr>
      <w:i/>
      <w:iCs/>
      <w:color w:val="404040" w:themeColor="text1" w:themeTint="BF"/>
    </w:rPr>
  </w:style>
  <w:style w:type="paragraph" w:styleId="Odsekzoznamu">
    <w:name w:val="List Paragraph"/>
    <w:basedOn w:val="Normlny"/>
    <w:uiPriority w:val="34"/>
    <w:qFormat/>
    <w:rsid w:val="00371986"/>
    <w:pPr>
      <w:ind w:left="720"/>
      <w:contextualSpacing/>
    </w:pPr>
  </w:style>
  <w:style w:type="character" w:styleId="Intenzvnezvraznenie">
    <w:name w:val="Intense Emphasis"/>
    <w:basedOn w:val="Predvolenpsmoodseku"/>
    <w:uiPriority w:val="21"/>
    <w:qFormat/>
    <w:rsid w:val="00371986"/>
    <w:rPr>
      <w:i/>
      <w:iCs/>
      <w:color w:val="0F4761" w:themeColor="accent1" w:themeShade="BF"/>
    </w:rPr>
  </w:style>
  <w:style w:type="paragraph" w:styleId="Zvraznencitcia">
    <w:name w:val="Intense Quote"/>
    <w:basedOn w:val="Normlny"/>
    <w:next w:val="Normlny"/>
    <w:link w:val="ZvraznencitciaChar"/>
    <w:uiPriority w:val="30"/>
    <w:qFormat/>
    <w:rsid w:val="00371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71986"/>
    <w:rPr>
      <w:i/>
      <w:iCs/>
      <w:color w:val="0F4761" w:themeColor="accent1" w:themeShade="BF"/>
    </w:rPr>
  </w:style>
  <w:style w:type="character" w:styleId="Zvraznenodkaz">
    <w:name w:val="Intense Reference"/>
    <w:basedOn w:val="Predvolenpsmoodseku"/>
    <w:uiPriority w:val="32"/>
    <w:qFormat/>
    <w:rsid w:val="00371986"/>
    <w:rPr>
      <w:b/>
      <w:bCs/>
      <w:smallCaps/>
      <w:color w:val="0F4761" w:themeColor="accent1" w:themeShade="BF"/>
      <w:spacing w:val="5"/>
    </w:rPr>
  </w:style>
  <w:style w:type="table" w:styleId="Mriekatabuky">
    <w:name w:val="Table Grid"/>
    <w:basedOn w:val="Normlnatabuka"/>
    <w:uiPriority w:val="39"/>
    <w:rsid w:val="00371986"/>
    <w:pPr>
      <w:spacing w:after="0" w:line="240" w:lineRule="auto"/>
    </w:pPr>
    <w:tblPr/>
  </w:style>
  <w:style w:type="character" w:styleId="Hypertextovprepojenie">
    <w:name w:val="Hyperlink"/>
    <w:basedOn w:val="Predvolenpsmoodseku"/>
    <w:uiPriority w:val="99"/>
    <w:unhideWhenUsed/>
    <w:rsid w:val="003D6078"/>
    <w:rPr>
      <w:color w:val="467886" w:themeColor="hyperlink"/>
      <w:u w:val="single"/>
    </w:rPr>
  </w:style>
  <w:style w:type="character" w:styleId="Nevyrieenzmienka">
    <w:name w:val="Unresolved Mention"/>
    <w:basedOn w:val="Predvolenpsmoodseku"/>
    <w:uiPriority w:val="99"/>
    <w:semiHidden/>
    <w:unhideWhenUsed/>
    <w:rsid w:val="003D6078"/>
    <w:rPr>
      <w:color w:val="605E5C"/>
      <w:shd w:val="clear" w:color="auto" w:fill="E1DFDD"/>
    </w:rPr>
  </w:style>
  <w:style w:type="character" w:styleId="Vrazn">
    <w:name w:val="Strong"/>
    <w:basedOn w:val="Predvolenpsmoodseku"/>
    <w:uiPriority w:val="22"/>
    <w:qFormat/>
    <w:rsid w:val="00B0159F"/>
    <w:rPr>
      <w:b/>
      <w:bCs/>
    </w:rPr>
  </w:style>
  <w:style w:type="paragraph" w:styleId="Revzia">
    <w:name w:val="Revision"/>
    <w:hidden/>
    <w:uiPriority w:val="99"/>
    <w:semiHidden/>
    <w:rsid w:val="00962C30"/>
    <w:pPr>
      <w:spacing w:after="0" w:line="240" w:lineRule="auto"/>
    </w:pPr>
  </w:style>
  <w:style w:type="paragraph" w:styleId="Hlavika">
    <w:name w:val="header"/>
    <w:basedOn w:val="Normlny"/>
    <w:link w:val="HlavikaChar"/>
    <w:uiPriority w:val="99"/>
    <w:unhideWhenUsed/>
    <w:rsid w:val="001C287B"/>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C287B"/>
  </w:style>
  <w:style w:type="paragraph" w:styleId="Pta">
    <w:name w:val="footer"/>
    <w:basedOn w:val="Normlny"/>
    <w:link w:val="PtaChar"/>
    <w:uiPriority w:val="99"/>
    <w:unhideWhenUsed/>
    <w:rsid w:val="001C287B"/>
    <w:pPr>
      <w:tabs>
        <w:tab w:val="center" w:pos="4513"/>
        <w:tab w:val="right" w:pos="9026"/>
      </w:tabs>
      <w:spacing w:after="0" w:line="240" w:lineRule="auto"/>
    </w:pPr>
  </w:style>
  <w:style w:type="character" w:customStyle="1" w:styleId="PtaChar">
    <w:name w:val="Päta Char"/>
    <w:basedOn w:val="Predvolenpsmoodseku"/>
    <w:link w:val="Pta"/>
    <w:uiPriority w:val="99"/>
    <w:rsid w:val="001C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89e7f9f-465d-4b0e-8a4e-a5735fe6921d" xsi:nil="true"/>
    <Feedback_x0020_type xmlns="d89e7f9f-465d-4b0e-8a4e-a5735fe6921d" xsi:nil="true"/>
    <Allow_x0020_uploads xmlns="d89e7f9f-465d-4b0e-8a4e-a5735fe6921d" xsi:nil="true"/>
    <Allow_x0020_comments xmlns="d89e7f9f-465d-4b0e-8a4e-a5735fe6921d" xsi:nil="true"/>
    <Leading_x0020_document xmlns="d89e7f9f-465d-4b0e-8a4e-a5735fe69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30D00C9159A40A142F60EA7E19883" ma:contentTypeVersion="8" ma:contentTypeDescription="Create a new document." ma:contentTypeScope="" ma:versionID="dd0631dce38475ba6e59038c1c0bcdc3">
  <xsd:schema xmlns:xsd="http://www.w3.org/2001/XMLSchema" xmlns:xs="http://www.w3.org/2001/XMLSchema" xmlns:p="http://schemas.microsoft.com/office/2006/metadata/properties" xmlns:ns2="d89e7f9f-465d-4b0e-8a4e-a5735fe6921d" targetNamespace="http://schemas.microsoft.com/office/2006/metadata/properties" ma:root="true" ma:fieldsID="1421ad9c53eaa033e6ee2f7f73eca9d6" ns2:_="">
    <xsd:import namespace="d89e7f9f-465d-4b0e-8a4e-a5735fe6921d"/>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7f9f-465d-4b0e-8a4e-a5735fe6921d"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2F24-8760-46AA-8EB0-438DD3178065}">
  <ds:schemaRefs>
    <ds:schemaRef ds:uri="http://schemas.microsoft.com/office/2006/metadata/properties"/>
    <ds:schemaRef ds:uri="http://schemas.microsoft.com/office/infopath/2007/PartnerControls"/>
    <ds:schemaRef ds:uri="d89e7f9f-465d-4b0e-8a4e-a5735fe6921d"/>
  </ds:schemaRefs>
</ds:datastoreItem>
</file>

<file path=customXml/itemProps2.xml><?xml version="1.0" encoding="utf-8"?>
<ds:datastoreItem xmlns:ds="http://schemas.openxmlformats.org/officeDocument/2006/customXml" ds:itemID="{8A15C151-A91E-49EA-96ED-D83700FAFC14}">
  <ds:schemaRefs>
    <ds:schemaRef ds:uri="http://schemas.microsoft.com/sharepoint/v3/contenttype/forms"/>
  </ds:schemaRefs>
</ds:datastoreItem>
</file>

<file path=customXml/itemProps3.xml><?xml version="1.0" encoding="utf-8"?>
<ds:datastoreItem xmlns:ds="http://schemas.openxmlformats.org/officeDocument/2006/customXml" ds:itemID="{5D3B234F-58A1-42DE-8FF7-B3D288AF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7f9f-465d-4b0e-8a4e-a5735fe69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8731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assessment of the final Solvency II DA</dc:title>
  <dc:subject/>
  <dc:creator>Insurance Europe</dc:creator>
  <cp:keywords/>
  <dc:description/>
  <cp:lastModifiedBy>Jozef Bachnicek</cp:lastModifiedBy>
  <cp:revision>2</cp:revision>
  <dcterms:created xsi:type="dcterms:W3CDTF">2025-11-07T10:26:00Z</dcterms:created>
  <dcterms:modified xsi:type="dcterms:W3CDTF">2025-11-07T10:26:00Z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0x01010046230D00C9159A40A142F60EA7E19883</vt:lpwstr>
  </property>
  <property fmtid="{D5CDD505-2E9C-101B-9397-08002B2CF9AE}" pid="3" name="docLang">
    <vt:lpwstr>en</vt:lpwstr>
  </property>
  <property fmtid="{D5CDD505-2E9C-101B-9397-08002B2CF9AE}" pid="4" name="MSIP_Label_ce5f591a-3248-43e9-9b70-1ad50135772d_Enabled">
    <vt:lpwstr>true</vt:lpwstr>
  </property>
  <property fmtid="{D5CDD505-2E9C-101B-9397-08002B2CF9AE}" pid="5" name="MSIP_Label_ce5f591a-3248-43e9-9b70-1ad50135772d_SetDate">
    <vt:lpwstr>2025-11-06T08:23:21Z</vt:lpwstr>
  </property>
  <property fmtid="{D5CDD505-2E9C-101B-9397-08002B2CF9AE}" pid="6" name="MSIP_Label_ce5f591a-3248-43e9-9b70-1ad50135772d_Method">
    <vt:lpwstr>Privileged</vt:lpwstr>
  </property>
  <property fmtid="{D5CDD505-2E9C-101B-9397-08002B2CF9AE}" pid="7" name="MSIP_Label_ce5f591a-3248-43e9-9b70-1ad50135772d_Name">
    <vt:lpwstr>ce5f591a-3248-43e9-9b70-1ad50135772d</vt:lpwstr>
  </property>
  <property fmtid="{D5CDD505-2E9C-101B-9397-08002B2CF9AE}" pid="8" name="MSIP_Label_ce5f591a-3248-43e9-9b70-1ad50135772d_SiteId">
    <vt:lpwstr>6e06e42d-6925-47c6-b9e7-9581c7ca302a</vt:lpwstr>
  </property>
  <property fmtid="{D5CDD505-2E9C-101B-9397-08002B2CF9AE}" pid="9" name="MSIP_Label_ce5f591a-3248-43e9-9b70-1ad50135772d_ActionId">
    <vt:lpwstr>4bf7a57c-6554-4bb9-afaa-6e0f4531dd69</vt:lpwstr>
  </property>
  <property fmtid="{D5CDD505-2E9C-101B-9397-08002B2CF9AE}" pid="10" name="MSIP_Label_ce5f591a-3248-43e9-9b70-1ad50135772d_ContentBits">
    <vt:lpwstr>0</vt:lpwstr>
  </property>
  <property fmtid="{D5CDD505-2E9C-101B-9397-08002B2CF9AE}" pid="11" name="MSIP_Label_ce5f591a-3248-43e9-9b70-1ad50135772d_Tag">
    <vt:lpwstr>10, 0, 1, 1</vt:lpwstr>
  </property>
</Properties>
</file>