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7BA" w:rsidRPr="004027BA" w:rsidRDefault="004027BA" w:rsidP="004027BA">
      <w:pPr>
        <w:jc w:val="right"/>
        <w:rPr>
          <w:b/>
          <w:sz w:val="6"/>
        </w:rPr>
      </w:pPr>
      <w:bookmarkStart w:id="0" w:name="_GoBack"/>
      <w:bookmarkEnd w:id="0"/>
    </w:p>
    <w:p w:rsidR="00257A41" w:rsidRPr="00A37B9B" w:rsidRDefault="00257A41" w:rsidP="00F52181">
      <w:pPr>
        <w:spacing w:line="240" w:lineRule="auto"/>
        <w:jc w:val="center"/>
        <w:rPr>
          <w:rStyle w:val="CEAGraphTitle"/>
          <w:b/>
          <w:sz w:val="20"/>
          <w:szCs w:val="17"/>
        </w:rPr>
      </w:pPr>
      <w:r w:rsidRPr="00A37B9B">
        <w:rPr>
          <w:rStyle w:val="CEAGraphTitle"/>
          <w:b/>
          <w:sz w:val="20"/>
          <w:szCs w:val="17"/>
        </w:rPr>
        <w:t>Preliminary issues/concerns on the proposed PRIPs Regulation</w:t>
      </w:r>
      <w:r w:rsidR="00A37B9B" w:rsidRPr="00A37B9B">
        <w:rPr>
          <w:rStyle w:val="CEAGraphTitle"/>
          <w:b/>
          <w:sz w:val="20"/>
          <w:szCs w:val="17"/>
        </w:rPr>
        <w:t>*</w:t>
      </w:r>
    </w:p>
    <w:p w:rsidR="00257A41" w:rsidRDefault="00257A41" w:rsidP="007D6781">
      <w:pPr>
        <w:spacing w:line="240" w:lineRule="auto"/>
        <w:rPr>
          <w:rStyle w:val="CEAGraphTitle"/>
          <w:szCs w:val="17"/>
        </w:rPr>
      </w:pPr>
    </w:p>
    <w:p w:rsidR="00253AD9" w:rsidRPr="00A37B9B" w:rsidRDefault="00A37B9B" w:rsidP="007D6781">
      <w:pPr>
        <w:spacing w:line="240" w:lineRule="auto"/>
        <w:rPr>
          <w:rStyle w:val="CEAGraphTitle"/>
          <w:i/>
          <w:szCs w:val="17"/>
        </w:rPr>
      </w:pPr>
      <w:r w:rsidRPr="00A37B9B">
        <w:rPr>
          <w:rStyle w:val="CEAGraphTitle"/>
          <w:i/>
          <w:szCs w:val="17"/>
        </w:rPr>
        <w:t>*</w:t>
      </w:r>
      <w:r w:rsidR="00F52181">
        <w:rPr>
          <w:rStyle w:val="CEAGraphTitle"/>
          <w:i/>
          <w:szCs w:val="17"/>
        </w:rPr>
        <w:t xml:space="preserve"> </w:t>
      </w:r>
      <w:r w:rsidR="00257A41" w:rsidRPr="00A37B9B">
        <w:rPr>
          <w:rStyle w:val="CEAGraphTitle"/>
          <w:i/>
          <w:szCs w:val="17"/>
        </w:rPr>
        <w:t xml:space="preserve">Points 1 </w:t>
      </w:r>
      <w:r w:rsidR="008E32B8">
        <w:rPr>
          <w:rStyle w:val="CEAGraphTitle"/>
          <w:i/>
          <w:szCs w:val="17"/>
        </w:rPr>
        <w:t>to 3</w:t>
      </w:r>
      <w:r w:rsidR="00257A41" w:rsidRPr="00A37B9B">
        <w:rPr>
          <w:rStyle w:val="CEAGraphTitle"/>
          <w:i/>
          <w:szCs w:val="17"/>
        </w:rPr>
        <w:t xml:space="preserve"> below have been identified as issues that need to be discussed further during meetings of the Expert Group on Disclosures. The remaining points </w:t>
      </w:r>
      <w:r w:rsidR="00EC03E8">
        <w:rPr>
          <w:rStyle w:val="CEAGraphTitle"/>
          <w:i/>
          <w:szCs w:val="17"/>
        </w:rPr>
        <w:t xml:space="preserve">3-8 </w:t>
      </w:r>
      <w:r w:rsidR="00257A41" w:rsidRPr="00A37B9B">
        <w:rPr>
          <w:rStyle w:val="CEAGraphTitle"/>
          <w:i/>
          <w:szCs w:val="17"/>
        </w:rPr>
        <w:t>are issues to be agreed upon by written process.</w:t>
      </w:r>
      <w:r w:rsidR="007D6781">
        <w:rPr>
          <w:rStyle w:val="CEAGraphTitle"/>
          <w:i/>
          <w:szCs w:val="17"/>
        </w:rPr>
        <w:t xml:space="preserve"> The text is based on the t</w:t>
      </w:r>
      <w:r w:rsidR="007D6781" w:rsidRPr="007D6781">
        <w:rPr>
          <w:rStyle w:val="CEAGraphTitle"/>
          <w:i/>
          <w:szCs w:val="17"/>
        </w:rPr>
        <w:t xml:space="preserve">hird </w:t>
      </w:r>
      <w:r w:rsidR="007D6781">
        <w:rPr>
          <w:rStyle w:val="CEAGraphTitle"/>
          <w:i/>
          <w:szCs w:val="17"/>
        </w:rPr>
        <w:t>draft</w:t>
      </w:r>
      <w:r w:rsidR="007D6781" w:rsidRPr="007D6781">
        <w:rPr>
          <w:rStyle w:val="CEAGraphTitle"/>
          <w:i/>
          <w:szCs w:val="17"/>
        </w:rPr>
        <w:t xml:space="preserve"> summary of members’ feedback on their key messages and concerns</w:t>
      </w:r>
      <w:r w:rsidR="007D6781">
        <w:rPr>
          <w:rStyle w:val="CEAGraphTitle"/>
          <w:i/>
          <w:szCs w:val="17"/>
        </w:rPr>
        <w:t xml:space="preserve"> o</w:t>
      </w:r>
      <w:r w:rsidR="007D6781" w:rsidRPr="007D6781">
        <w:rPr>
          <w:rStyle w:val="CEAGraphTitle"/>
          <w:i/>
          <w:szCs w:val="17"/>
        </w:rPr>
        <w:t xml:space="preserve">n the draft PRIPs </w:t>
      </w:r>
      <w:r w:rsidR="00F52181">
        <w:rPr>
          <w:rStyle w:val="CEAGraphTitle"/>
          <w:i/>
          <w:szCs w:val="17"/>
        </w:rPr>
        <w:t>R</w:t>
      </w:r>
      <w:r w:rsidR="007D6781" w:rsidRPr="007D6781">
        <w:rPr>
          <w:rStyle w:val="CEAGraphTitle"/>
          <w:i/>
          <w:szCs w:val="17"/>
        </w:rPr>
        <w:t>egulation</w:t>
      </w:r>
      <w:r w:rsidR="007D6781">
        <w:rPr>
          <w:rStyle w:val="CEAGraphTitle"/>
          <w:i/>
          <w:szCs w:val="17"/>
        </w:rPr>
        <w:t xml:space="preserve"> (SMC-PRIP-12-007)</w:t>
      </w:r>
      <w:r w:rsidR="00F52181">
        <w:rPr>
          <w:rStyle w:val="CEAGraphTitle"/>
          <w:i/>
          <w:szCs w:val="17"/>
        </w:rPr>
        <w:t xml:space="preserve">, the Insurance Europe position paper on PRIPs (SMC-PRIP-11-010) and recent feedback received from members on the proposed Regulation, including </w:t>
      </w:r>
      <w:r w:rsidR="009D55A4">
        <w:rPr>
          <w:rStyle w:val="CEAGraphTitle"/>
          <w:i/>
          <w:szCs w:val="17"/>
        </w:rPr>
        <w:t xml:space="preserve">feedback </w:t>
      </w:r>
      <w:r w:rsidR="00F52181">
        <w:rPr>
          <w:rStyle w:val="CEAGraphTitle"/>
          <w:i/>
          <w:szCs w:val="17"/>
        </w:rPr>
        <w:t>during the 24 July distribution taskforce meeting</w:t>
      </w:r>
      <w:r w:rsidR="006548F7">
        <w:rPr>
          <w:rStyle w:val="CEAGraphTitle"/>
          <w:i/>
          <w:szCs w:val="17"/>
        </w:rPr>
        <w:t xml:space="preserve"> and 29 August Expert Group on Disclosures</w:t>
      </w:r>
      <w:r w:rsidR="00F52181">
        <w:rPr>
          <w:rStyle w:val="CEAGraphTitle"/>
          <w:i/>
          <w:szCs w:val="17"/>
        </w:rPr>
        <w:t>.</w:t>
      </w:r>
    </w:p>
    <w:p w:rsidR="009C1F07" w:rsidRDefault="009C1F07" w:rsidP="007D6781">
      <w:pPr>
        <w:spacing w:line="240" w:lineRule="auto"/>
        <w:rPr>
          <w:rStyle w:val="CEAGraphTitle"/>
          <w:szCs w:val="17"/>
        </w:rPr>
      </w:pPr>
    </w:p>
    <w:p w:rsidR="00A37B9B" w:rsidRPr="00F32517" w:rsidRDefault="00A37B9B" w:rsidP="007D6781">
      <w:pPr>
        <w:spacing w:line="240" w:lineRule="auto"/>
        <w:rPr>
          <w:rStyle w:val="CEAGraphTitle"/>
          <w:szCs w:val="17"/>
        </w:rPr>
      </w:pPr>
    </w:p>
    <w:p w:rsidR="00315AE7" w:rsidRDefault="00315AE7" w:rsidP="00E91BF8">
      <w:pPr>
        <w:pStyle w:val="ListParagraph"/>
        <w:numPr>
          <w:ilvl w:val="0"/>
          <w:numId w:val="18"/>
        </w:numPr>
        <w:tabs>
          <w:tab w:val="left" w:pos="284"/>
        </w:tabs>
        <w:suppressAutoHyphens/>
        <w:spacing w:before="120" w:line="264" w:lineRule="auto"/>
        <w:ind w:left="0" w:firstLine="0"/>
        <w:jc w:val="both"/>
        <w:rPr>
          <w:rFonts w:eastAsia="Calibri" w:cs="Calibri"/>
          <w:b/>
          <w:szCs w:val="17"/>
        </w:rPr>
      </w:pPr>
      <w:r>
        <w:rPr>
          <w:rFonts w:eastAsia="Calibri" w:cs="Calibri"/>
          <w:b/>
          <w:szCs w:val="17"/>
        </w:rPr>
        <w:t xml:space="preserve">Proposed KID can only be applied to underlying </w:t>
      </w:r>
      <w:commentRangeStart w:id="1"/>
      <w:r>
        <w:rPr>
          <w:rFonts w:eastAsia="Calibri" w:cs="Calibri"/>
          <w:b/>
          <w:szCs w:val="17"/>
        </w:rPr>
        <w:t>products</w:t>
      </w:r>
      <w:commentRangeEnd w:id="1"/>
      <w:r>
        <w:rPr>
          <w:rStyle w:val="CommentReference"/>
          <w:rFonts w:eastAsia="Times New Roman" w:cs="Times New Roman"/>
        </w:rPr>
        <w:commentReference w:id="1"/>
      </w:r>
    </w:p>
    <w:p w:rsidR="00211AD9" w:rsidRDefault="00ED1CF9" w:rsidP="00E91BF8">
      <w:pPr>
        <w:pStyle w:val="CEABullet-Level1"/>
        <w:numPr>
          <w:ilvl w:val="0"/>
          <w:numId w:val="0"/>
        </w:numPr>
        <w:rPr>
          <w:rFonts w:eastAsia="Calibri"/>
          <w:lang w:val="en-GB"/>
        </w:rPr>
      </w:pPr>
      <w:r w:rsidRPr="00D60055">
        <w:rPr>
          <w:rFonts w:eastAsia="Calibri"/>
          <w:lang w:val="en-GB"/>
        </w:rPr>
        <w:t>Insurance Europe believes information about insurance coverage is under-represented in the proposed PRIPs KID (</w:t>
      </w:r>
      <w:r w:rsidR="00C016BB">
        <w:rPr>
          <w:rFonts w:eastAsia="Calibri"/>
          <w:lang w:val="en-GB"/>
        </w:rPr>
        <w:t>a single</w:t>
      </w:r>
      <w:r w:rsidRPr="00D60055">
        <w:rPr>
          <w:rFonts w:eastAsia="Calibri"/>
          <w:lang w:val="en-GB"/>
        </w:rPr>
        <w:t xml:space="preserve"> reference to insurance is contained in Art. 8(2</w:t>
      </w:r>
      <w:proofErr w:type="gramStart"/>
      <w:r w:rsidRPr="00D60055">
        <w:rPr>
          <w:rFonts w:eastAsia="Calibri"/>
          <w:lang w:val="en-GB"/>
        </w:rPr>
        <w:t>)(</w:t>
      </w:r>
      <w:proofErr w:type="gramEnd"/>
      <w:r w:rsidRPr="00D60055">
        <w:rPr>
          <w:rFonts w:eastAsia="Calibri"/>
          <w:lang w:val="en-GB"/>
        </w:rPr>
        <w:t>b)(iv))</w:t>
      </w:r>
      <w:r w:rsidR="00A8436A">
        <w:rPr>
          <w:rFonts w:eastAsia="Calibri"/>
          <w:lang w:val="en-GB"/>
        </w:rPr>
        <w:t xml:space="preserve"> and can </w:t>
      </w:r>
      <w:r w:rsidR="00BC7FCD">
        <w:rPr>
          <w:rFonts w:eastAsia="Calibri"/>
          <w:lang w:val="en-GB"/>
        </w:rPr>
        <w:t>thus</w:t>
      </w:r>
      <w:r w:rsidR="00A8436A">
        <w:rPr>
          <w:rFonts w:eastAsia="Calibri"/>
          <w:lang w:val="en-GB"/>
        </w:rPr>
        <w:t xml:space="preserve"> </w:t>
      </w:r>
      <w:r w:rsidR="00BC7FCD">
        <w:rPr>
          <w:rFonts w:eastAsia="Calibri"/>
          <w:lang w:val="en-GB"/>
        </w:rPr>
        <w:t>only be provided</w:t>
      </w:r>
      <w:r w:rsidR="00211AD9">
        <w:rPr>
          <w:rFonts w:eastAsia="Calibri"/>
          <w:lang w:val="en-GB"/>
        </w:rPr>
        <w:t xml:space="preserve"> at </w:t>
      </w:r>
      <w:r w:rsidR="00BC7FCD">
        <w:rPr>
          <w:rFonts w:eastAsia="Calibri"/>
          <w:lang w:val="en-GB"/>
        </w:rPr>
        <w:t>fund level</w:t>
      </w:r>
      <w:r w:rsidR="00211AD9">
        <w:rPr>
          <w:rFonts w:eastAsia="Calibri"/>
          <w:lang w:val="en-GB"/>
        </w:rPr>
        <w:t xml:space="preserve">, </w:t>
      </w:r>
      <w:r w:rsidR="00BC7FCD">
        <w:rPr>
          <w:rFonts w:eastAsia="Calibri"/>
          <w:lang w:val="en-GB"/>
        </w:rPr>
        <w:t>not for insurance products</w:t>
      </w:r>
      <w:r w:rsidRPr="00D60055">
        <w:rPr>
          <w:rFonts w:eastAsia="Calibri"/>
          <w:lang w:val="en-GB"/>
        </w:rPr>
        <w:t xml:space="preserve">. </w:t>
      </w:r>
      <w:r w:rsidR="00A8436A">
        <w:rPr>
          <w:rFonts w:eastAsia="Calibri"/>
          <w:lang w:val="en-GB"/>
        </w:rPr>
        <w:t xml:space="preserve">Insurance Europe </w:t>
      </w:r>
      <w:r>
        <w:rPr>
          <w:rFonts w:eastAsia="Calibri"/>
          <w:lang w:val="en-GB"/>
        </w:rPr>
        <w:t>therefore requests the exclusion of insurance products from the scope</w:t>
      </w:r>
      <w:r w:rsidR="00211AD9">
        <w:rPr>
          <w:rFonts w:eastAsia="Calibri"/>
          <w:lang w:val="en-GB"/>
        </w:rPr>
        <w:t xml:space="preserve"> of the proposed </w:t>
      </w:r>
      <w:r w:rsidR="00673764">
        <w:rPr>
          <w:rFonts w:eastAsia="Calibri"/>
          <w:lang w:val="en-GB"/>
        </w:rPr>
        <w:t>KID</w:t>
      </w:r>
      <w:r>
        <w:rPr>
          <w:rFonts w:eastAsia="Calibri"/>
          <w:lang w:val="en-GB"/>
        </w:rPr>
        <w:t xml:space="preserve">. </w:t>
      </w:r>
    </w:p>
    <w:p w:rsidR="00211AD9" w:rsidRDefault="00211AD9" w:rsidP="00E91BF8">
      <w:pPr>
        <w:pStyle w:val="CEABullet-Level1"/>
        <w:numPr>
          <w:ilvl w:val="0"/>
          <w:numId w:val="0"/>
        </w:numPr>
        <w:rPr>
          <w:rFonts w:eastAsia="Calibri"/>
          <w:lang w:val="en-GB"/>
        </w:rPr>
      </w:pPr>
    </w:p>
    <w:p w:rsidR="00315AE7" w:rsidRPr="00D60055" w:rsidRDefault="00211AD9" w:rsidP="00E91BF8">
      <w:pPr>
        <w:pStyle w:val="CEABullet-Level1"/>
        <w:numPr>
          <w:ilvl w:val="0"/>
          <w:numId w:val="0"/>
        </w:numPr>
        <w:rPr>
          <w:rFonts w:eastAsia="Calibri" w:cs="Calibri"/>
          <w:b/>
          <w:szCs w:val="17"/>
          <w:lang w:val="en-GB"/>
        </w:rPr>
      </w:pPr>
      <w:r>
        <w:rPr>
          <w:rFonts w:eastAsia="Calibri"/>
          <w:lang w:val="en-GB"/>
        </w:rPr>
        <w:t xml:space="preserve">The exclusion of insurance products from PRIPs scope will not negatively affect consumers </w:t>
      </w:r>
      <w:r w:rsidR="00C016BB">
        <w:rPr>
          <w:rFonts w:eastAsia="Calibri"/>
          <w:lang w:val="en-GB"/>
        </w:rPr>
        <w:t>given</w:t>
      </w:r>
      <w:r>
        <w:rPr>
          <w:rFonts w:eastAsia="Calibri"/>
          <w:lang w:val="en-GB"/>
        </w:rPr>
        <w:t xml:space="preserve"> </w:t>
      </w:r>
      <w:r w:rsidR="00BC7FCD">
        <w:rPr>
          <w:rFonts w:eastAsia="Calibri"/>
          <w:lang w:val="en-GB"/>
        </w:rPr>
        <w:t xml:space="preserve">pre-contractual </w:t>
      </w:r>
      <w:r w:rsidR="00ED1CF9">
        <w:rPr>
          <w:rFonts w:eastAsia="Calibri"/>
          <w:lang w:val="en-GB"/>
        </w:rPr>
        <w:t>information at insurance product level</w:t>
      </w:r>
      <w:r w:rsidR="00BC7FCD">
        <w:rPr>
          <w:rFonts w:eastAsia="Calibri"/>
          <w:lang w:val="en-GB"/>
        </w:rPr>
        <w:t>,</w:t>
      </w:r>
      <w:r w:rsidR="00ED1CF9">
        <w:rPr>
          <w:rFonts w:eastAsia="Calibri"/>
          <w:lang w:val="en-GB"/>
        </w:rPr>
        <w:t xml:space="preserve"> </w:t>
      </w:r>
      <w:r w:rsidR="00C016BB">
        <w:rPr>
          <w:rFonts w:eastAsia="Calibri"/>
          <w:lang w:val="en-GB"/>
        </w:rPr>
        <w:t>has to be disclosed</w:t>
      </w:r>
      <w:r>
        <w:rPr>
          <w:rFonts w:eastAsia="Calibri"/>
          <w:lang w:val="en-GB"/>
        </w:rPr>
        <w:t xml:space="preserve"> </w:t>
      </w:r>
      <w:r w:rsidR="00BC7FCD">
        <w:rPr>
          <w:rFonts w:eastAsia="Calibri"/>
          <w:lang w:val="en-GB"/>
        </w:rPr>
        <w:t>on the basis of Solvency II requirements</w:t>
      </w:r>
      <w:r w:rsidR="00ED1CF9">
        <w:rPr>
          <w:rFonts w:eastAsia="Calibri"/>
          <w:lang w:val="en-GB"/>
        </w:rPr>
        <w:t>.</w:t>
      </w:r>
      <w:r>
        <w:rPr>
          <w:rFonts w:eastAsia="Calibri"/>
          <w:lang w:val="en-GB"/>
        </w:rPr>
        <w:t xml:space="preserve"> </w:t>
      </w:r>
      <w:r w:rsidR="00C016BB">
        <w:rPr>
          <w:rFonts w:eastAsia="Calibri"/>
          <w:lang w:val="en-GB"/>
        </w:rPr>
        <w:t xml:space="preserve">A significant number of Solvency II </w:t>
      </w:r>
      <w:r w:rsidR="00BC7FCD">
        <w:rPr>
          <w:rFonts w:eastAsia="Calibri"/>
          <w:lang w:val="en-GB"/>
        </w:rPr>
        <w:t>pre-contractual disclosures</w:t>
      </w:r>
      <w:r w:rsidR="00C016BB">
        <w:rPr>
          <w:rFonts w:eastAsia="Calibri"/>
          <w:lang w:val="en-GB"/>
        </w:rPr>
        <w:t xml:space="preserve"> are similar to the PRIPs KID </w:t>
      </w:r>
      <w:r w:rsidR="006548F7">
        <w:rPr>
          <w:rFonts w:eastAsia="Calibri"/>
          <w:lang w:val="en-GB"/>
        </w:rPr>
        <w:t>requirements, as further explained in section 2.</w:t>
      </w:r>
      <w:r w:rsidR="00673764">
        <w:rPr>
          <w:rFonts w:eastAsia="Calibri"/>
          <w:lang w:val="en-GB"/>
        </w:rPr>
        <w:t xml:space="preserve"> Moreover, similar KID formats exist at national level tailored to insurance products.</w:t>
      </w:r>
      <w:r w:rsidR="006548F7">
        <w:rPr>
          <w:rFonts w:eastAsia="Calibri"/>
          <w:lang w:val="en-GB"/>
        </w:rPr>
        <w:t xml:space="preserve"> Excluding insurance products from </w:t>
      </w:r>
      <w:r w:rsidR="00673764">
        <w:rPr>
          <w:rFonts w:eastAsia="Calibri"/>
          <w:lang w:val="en-GB"/>
        </w:rPr>
        <w:t>the KID’s</w:t>
      </w:r>
      <w:r w:rsidR="006548F7">
        <w:rPr>
          <w:rFonts w:eastAsia="Calibri"/>
          <w:lang w:val="en-GB"/>
        </w:rPr>
        <w:t xml:space="preserve"> scope does therefore not deprive consumers from insurance product information. On the contrary, it prevents consumer confusion caused by information overload.</w:t>
      </w:r>
      <w:r w:rsidR="00ED1CF9">
        <w:rPr>
          <w:rFonts w:eastAsia="Calibri"/>
          <w:lang w:val="en-GB"/>
        </w:rPr>
        <w:t xml:space="preserve"> </w:t>
      </w:r>
    </w:p>
    <w:p w:rsidR="00D60055" w:rsidRPr="00D60055" w:rsidRDefault="00D60055" w:rsidP="00D60055">
      <w:pPr>
        <w:pStyle w:val="CEABullet-Level1"/>
        <w:numPr>
          <w:ilvl w:val="0"/>
          <w:numId w:val="0"/>
        </w:numPr>
        <w:ind w:left="720"/>
        <w:rPr>
          <w:rFonts w:eastAsia="Calibri" w:cs="Calibri"/>
          <w:b/>
          <w:szCs w:val="17"/>
          <w:lang w:val="en-GB"/>
        </w:rPr>
      </w:pPr>
    </w:p>
    <w:p w:rsidR="00D60055" w:rsidRDefault="00D60055" w:rsidP="00E91BF8">
      <w:pPr>
        <w:pStyle w:val="CEABullet-Level1"/>
        <w:numPr>
          <w:ilvl w:val="0"/>
          <w:numId w:val="0"/>
        </w:numPr>
        <w:tabs>
          <w:tab w:val="left" w:pos="0"/>
        </w:tabs>
        <w:rPr>
          <w:rFonts w:eastAsia="Calibri" w:cs="Calibri"/>
          <w:b/>
          <w:szCs w:val="17"/>
          <w:lang w:val="en-GB"/>
        </w:rPr>
      </w:pPr>
      <w:r w:rsidRPr="00467A0D">
        <w:rPr>
          <w:rFonts w:eastAsia="Calibri" w:cs="Calibri"/>
          <w:b/>
          <w:szCs w:val="17"/>
          <w:lang w:val="en-GB"/>
        </w:rPr>
        <w:t xml:space="preserve">If insurance products are not excluded from the </w:t>
      </w:r>
      <w:r w:rsidR="006548F7" w:rsidRPr="00467A0D">
        <w:rPr>
          <w:rFonts w:eastAsia="Calibri" w:cs="Calibri"/>
          <w:b/>
          <w:szCs w:val="17"/>
          <w:lang w:val="en-GB"/>
        </w:rPr>
        <w:t xml:space="preserve">proposed </w:t>
      </w:r>
      <w:r w:rsidR="00673764">
        <w:rPr>
          <w:rFonts w:eastAsia="Calibri" w:cs="Calibri"/>
          <w:b/>
          <w:szCs w:val="17"/>
          <w:lang w:val="en-GB"/>
        </w:rPr>
        <w:t>KID’s</w:t>
      </w:r>
      <w:r w:rsidR="006548F7" w:rsidRPr="00467A0D">
        <w:rPr>
          <w:rFonts w:eastAsia="Calibri" w:cs="Calibri"/>
          <w:b/>
          <w:szCs w:val="17"/>
          <w:lang w:val="en-GB"/>
        </w:rPr>
        <w:t xml:space="preserve"> </w:t>
      </w:r>
      <w:r w:rsidRPr="00467A0D">
        <w:rPr>
          <w:rFonts w:eastAsia="Calibri" w:cs="Calibri"/>
          <w:b/>
          <w:szCs w:val="17"/>
          <w:lang w:val="en-GB"/>
        </w:rPr>
        <w:t>scope, Insurance Europe maintains the following concerns:</w:t>
      </w:r>
    </w:p>
    <w:p w:rsidR="00675239" w:rsidRDefault="00675239" w:rsidP="00E91BF8">
      <w:pPr>
        <w:pStyle w:val="CEABullet-Level1"/>
        <w:numPr>
          <w:ilvl w:val="0"/>
          <w:numId w:val="0"/>
        </w:numPr>
        <w:tabs>
          <w:tab w:val="left" w:pos="0"/>
        </w:tabs>
        <w:rPr>
          <w:rFonts w:eastAsia="Calibri" w:cs="Calibri"/>
          <w:b/>
          <w:szCs w:val="17"/>
          <w:lang w:val="en-GB"/>
        </w:rPr>
      </w:pPr>
    </w:p>
    <w:p w:rsidR="009D55A4" w:rsidRPr="00F32517" w:rsidRDefault="009D55A4" w:rsidP="00E91BF8">
      <w:pPr>
        <w:pStyle w:val="ListParagraph"/>
        <w:numPr>
          <w:ilvl w:val="0"/>
          <w:numId w:val="18"/>
        </w:numPr>
        <w:suppressAutoHyphens/>
        <w:spacing w:before="120" w:line="264" w:lineRule="auto"/>
        <w:ind w:left="284" w:hanging="284"/>
        <w:jc w:val="both"/>
        <w:rPr>
          <w:rFonts w:eastAsia="Calibri" w:cs="Calibri"/>
          <w:b/>
          <w:szCs w:val="17"/>
        </w:rPr>
      </w:pPr>
      <w:r w:rsidRPr="00F32517">
        <w:rPr>
          <w:rFonts w:eastAsia="Calibri" w:cs="Calibri"/>
          <w:b/>
          <w:szCs w:val="17"/>
        </w:rPr>
        <w:t>Interaction with other legislation</w:t>
      </w:r>
      <w:r w:rsidR="00D60055">
        <w:rPr>
          <w:rFonts w:eastAsia="Calibri" w:cs="Calibri"/>
          <w:b/>
          <w:szCs w:val="17"/>
        </w:rPr>
        <w:t>: risk of duplication and information overload</w:t>
      </w:r>
    </w:p>
    <w:p w:rsidR="006548F7" w:rsidRDefault="00673764" w:rsidP="00436C07">
      <w:pPr>
        <w:pStyle w:val="CEABullet-Level1"/>
        <w:numPr>
          <w:ilvl w:val="0"/>
          <w:numId w:val="0"/>
        </w:numPr>
        <w:rPr>
          <w:rFonts w:eastAsia="Calibri"/>
          <w:lang w:val="en-GB"/>
        </w:rPr>
      </w:pPr>
      <w:r>
        <w:rPr>
          <w:rFonts w:eastAsia="Calibri"/>
          <w:lang w:val="en-GB"/>
        </w:rPr>
        <w:t xml:space="preserve">The PRIPs regulation provides </w:t>
      </w:r>
      <w:r w:rsidR="00436C07">
        <w:rPr>
          <w:rFonts w:eastAsia="Calibri"/>
          <w:lang w:val="en-GB"/>
        </w:rPr>
        <w:t>product manufacturers shall draw up a KID in accordance with the requirements of the PRIPs regulation (Article 5). In addition, the Solvency II directive continues to apply (Article 3.2 and recital 8). The parallel application of KID and other disclosure requirements raises the following concerns:</w:t>
      </w:r>
    </w:p>
    <w:p w:rsidR="00436C07" w:rsidRPr="00D51C5A" w:rsidRDefault="00436C07" w:rsidP="00436C07">
      <w:pPr>
        <w:pStyle w:val="CEABullet-Level1"/>
        <w:numPr>
          <w:ilvl w:val="0"/>
          <w:numId w:val="0"/>
        </w:numPr>
        <w:rPr>
          <w:rFonts w:eastAsia="Calibri"/>
          <w:lang w:val="en-GB"/>
        </w:rPr>
      </w:pPr>
    </w:p>
    <w:p w:rsidR="009E3F18" w:rsidRDefault="00D60055" w:rsidP="00D51C5A">
      <w:pPr>
        <w:pStyle w:val="CEABullet-Level1"/>
        <w:rPr>
          <w:rFonts w:eastAsia="Calibri"/>
          <w:lang w:val="en-GB"/>
        </w:rPr>
      </w:pPr>
      <w:r>
        <w:rPr>
          <w:rFonts w:eastAsia="Calibri"/>
          <w:b/>
          <w:lang w:val="en-GB"/>
        </w:rPr>
        <w:t xml:space="preserve">Solvency II pre-contractual disclosure requirements. </w:t>
      </w:r>
      <w:r w:rsidR="00D51C5A" w:rsidRPr="00F32517">
        <w:rPr>
          <w:rFonts w:eastAsia="Calibri"/>
          <w:lang w:val="en-GB"/>
        </w:rPr>
        <w:t xml:space="preserve">Insurance Europe is concerned the proposed KID </w:t>
      </w:r>
      <w:r w:rsidR="009E3F18">
        <w:rPr>
          <w:rFonts w:eastAsia="Calibri"/>
          <w:lang w:val="en-GB"/>
        </w:rPr>
        <w:t xml:space="preserve">has to be provided </w:t>
      </w:r>
      <w:r w:rsidR="009E3F18" w:rsidRPr="00E91BF8">
        <w:rPr>
          <w:rFonts w:eastAsia="Calibri"/>
          <w:lang w:val="en-GB"/>
        </w:rPr>
        <w:t>in</w:t>
      </w:r>
      <w:r w:rsidR="00D51C5A" w:rsidRPr="00E91BF8">
        <w:rPr>
          <w:rFonts w:eastAsia="Calibri"/>
          <w:lang w:val="en-GB"/>
        </w:rPr>
        <w:t xml:space="preserve"> addition</w:t>
      </w:r>
      <w:r w:rsidR="00D51C5A" w:rsidRPr="00F32517">
        <w:rPr>
          <w:rFonts w:eastAsia="Calibri"/>
          <w:lang w:val="en-GB"/>
        </w:rPr>
        <w:t xml:space="preserve"> to the pre-contractual information required by Article 185 of Solvency II, even where the information to be disclosed is equivalent and would therefore overlap</w:t>
      </w:r>
      <w:r w:rsidR="00007E37">
        <w:rPr>
          <w:rFonts w:eastAsia="Calibri"/>
          <w:lang w:val="en-GB"/>
        </w:rPr>
        <w:t>. F</w:t>
      </w:r>
      <w:r w:rsidR="009E3F18">
        <w:rPr>
          <w:rFonts w:eastAsia="Calibri"/>
          <w:lang w:val="en-GB"/>
        </w:rPr>
        <w:t>or example</w:t>
      </w:r>
      <w:r w:rsidR="00E91BF8">
        <w:rPr>
          <w:rFonts w:eastAsia="Calibri"/>
          <w:lang w:val="en-GB"/>
        </w:rPr>
        <w:t xml:space="preserve"> the following information categories </w:t>
      </w:r>
      <w:r w:rsidR="00007E37">
        <w:rPr>
          <w:rFonts w:eastAsia="Calibri"/>
          <w:lang w:val="en-GB"/>
        </w:rPr>
        <w:t>seem to be identical:</w:t>
      </w:r>
      <w:r w:rsidR="009E3F18">
        <w:rPr>
          <w:rFonts w:eastAsia="Calibri"/>
          <w:lang w:val="en-GB"/>
        </w:rPr>
        <w:t xml:space="preserve"> </w:t>
      </w:r>
    </w:p>
    <w:p w:rsidR="009E3F18" w:rsidRDefault="009E3F18" w:rsidP="00E91BF8">
      <w:pPr>
        <w:pStyle w:val="CEABullet-Level1"/>
        <w:numPr>
          <w:ilvl w:val="0"/>
          <w:numId w:val="0"/>
        </w:numPr>
        <w:ind w:left="720"/>
        <w:rPr>
          <w:rFonts w:eastAsia="Calibri"/>
          <w:lang w:val="en-GB"/>
        </w:rPr>
      </w:pPr>
    </w:p>
    <w:p w:rsidR="009E3F18" w:rsidRDefault="009E3F18" w:rsidP="00E91BF8">
      <w:pPr>
        <w:pStyle w:val="CEABullet-Level2"/>
        <w:rPr>
          <w:rFonts w:eastAsia="Calibri"/>
          <w:lang w:val="en-GB"/>
        </w:rPr>
      </w:pPr>
      <w:r w:rsidRPr="00E91BF8">
        <w:rPr>
          <w:rFonts w:eastAsia="Calibri"/>
          <w:lang w:val="en-GB"/>
        </w:rPr>
        <w:t xml:space="preserve">Article 185 (2) Solvency II </w:t>
      </w:r>
      <w:r w:rsidR="00E91BF8" w:rsidRPr="00E91BF8">
        <w:rPr>
          <w:rFonts w:eastAsia="Calibri"/>
          <w:lang w:val="en-GB"/>
        </w:rPr>
        <w:t xml:space="preserve">regarding </w:t>
      </w:r>
      <w:r w:rsidR="00007E37">
        <w:rPr>
          <w:rFonts w:eastAsia="Calibri"/>
          <w:lang w:val="en-GB"/>
        </w:rPr>
        <w:t xml:space="preserve">the </w:t>
      </w:r>
      <w:r w:rsidR="00E91BF8" w:rsidRPr="00E91BF8">
        <w:rPr>
          <w:rFonts w:eastAsia="Calibri"/>
          <w:lang w:val="en-GB"/>
        </w:rPr>
        <w:t xml:space="preserve">undertaking’s information </w:t>
      </w:r>
      <w:r w:rsidR="00075B55">
        <w:rPr>
          <w:rFonts w:eastAsia="Calibri"/>
          <w:lang w:val="en-GB"/>
        </w:rPr>
        <w:t>and Article 8.2</w:t>
      </w:r>
      <w:r w:rsidRPr="00E91BF8">
        <w:rPr>
          <w:rFonts w:eastAsia="Calibri"/>
          <w:lang w:val="en-GB"/>
        </w:rPr>
        <w:t xml:space="preserve">(a) PRIPs proposal </w:t>
      </w:r>
      <w:r w:rsidR="00007E37">
        <w:rPr>
          <w:rFonts w:eastAsia="Calibri"/>
          <w:lang w:val="en-GB"/>
        </w:rPr>
        <w:t>regarding, among others, the identity of the investment product manufacturer</w:t>
      </w:r>
    </w:p>
    <w:p w:rsidR="009E3F18" w:rsidRPr="00E91BF8" w:rsidRDefault="009E3F18" w:rsidP="00E91BF8">
      <w:pPr>
        <w:pStyle w:val="CEABullet-Level3"/>
        <w:numPr>
          <w:ilvl w:val="0"/>
          <w:numId w:val="0"/>
        </w:numPr>
        <w:ind w:left="2673"/>
        <w:rPr>
          <w:rFonts w:eastAsia="Calibri"/>
          <w:lang w:val="en-GB"/>
        </w:rPr>
      </w:pPr>
    </w:p>
    <w:p w:rsidR="009E3F18" w:rsidRDefault="009E3F18" w:rsidP="00E91BF8">
      <w:pPr>
        <w:pStyle w:val="CEABullet-Level2"/>
        <w:rPr>
          <w:rFonts w:eastAsia="Calibri"/>
          <w:lang w:val="en-GB"/>
        </w:rPr>
      </w:pPr>
      <w:r w:rsidRPr="00E91BF8">
        <w:rPr>
          <w:rFonts w:eastAsia="Calibri"/>
          <w:lang w:val="en-GB"/>
        </w:rPr>
        <w:t xml:space="preserve">Article 185 (3)(b) Solvency II </w:t>
      </w:r>
      <w:r w:rsidR="00E91BF8" w:rsidRPr="00E91BF8">
        <w:rPr>
          <w:rFonts w:eastAsia="Calibri"/>
          <w:lang w:val="en-GB"/>
        </w:rPr>
        <w:t xml:space="preserve">regarding the contract’s term </w:t>
      </w:r>
      <w:r w:rsidR="00075B55">
        <w:rPr>
          <w:rFonts w:eastAsia="Calibri"/>
          <w:lang w:val="en-GB"/>
        </w:rPr>
        <w:t>and Article 8.2</w:t>
      </w:r>
      <w:r w:rsidRPr="00E91BF8">
        <w:rPr>
          <w:rFonts w:eastAsia="Calibri"/>
          <w:lang w:val="en-GB"/>
        </w:rPr>
        <w:t>(b)(v) </w:t>
      </w:r>
      <w:r>
        <w:rPr>
          <w:rFonts w:eastAsia="Calibri"/>
          <w:lang w:val="en-GB"/>
        </w:rPr>
        <w:t>PRIPs</w:t>
      </w:r>
      <w:r w:rsidR="00007E37">
        <w:rPr>
          <w:rFonts w:eastAsia="Calibri"/>
          <w:lang w:val="en-GB"/>
        </w:rPr>
        <w:t xml:space="preserve"> proposal regarding the term of the investment product</w:t>
      </w:r>
      <w:r w:rsidRPr="00E91BF8">
        <w:rPr>
          <w:rFonts w:eastAsia="Calibri"/>
          <w:lang w:val="en-GB"/>
        </w:rPr>
        <w:t xml:space="preserve"> </w:t>
      </w:r>
    </w:p>
    <w:p w:rsidR="009E3F18" w:rsidRPr="00E91BF8" w:rsidRDefault="009E3F18" w:rsidP="00E91BF8">
      <w:pPr>
        <w:pStyle w:val="CEABullet-Level3"/>
        <w:numPr>
          <w:ilvl w:val="0"/>
          <w:numId w:val="0"/>
        </w:numPr>
        <w:ind w:left="2673"/>
        <w:rPr>
          <w:rFonts w:eastAsia="Calibri"/>
          <w:lang w:val="en-GB"/>
        </w:rPr>
      </w:pPr>
    </w:p>
    <w:p w:rsidR="009E3F18" w:rsidRDefault="009E3F18" w:rsidP="00E91BF8">
      <w:pPr>
        <w:pStyle w:val="CEABullet-Level2"/>
        <w:rPr>
          <w:rFonts w:eastAsia="Calibri"/>
          <w:lang w:val="en-GB"/>
        </w:rPr>
      </w:pPr>
      <w:r>
        <w:rPr>
          <w:rFonts w:eastAsia="Calibri"/>
          <w:lang w:val="en-GB"/>
        </w:rPr>
        <w:t xml:space="preserve">Article 185 (3)(c) Solvency II </w:t>
      </w:r>
      <w:r w:rsidR="00E91BF8">
        <w:rPr>
          <w:rFonts w:eastAsia="Calibri"/>
          <w:lang w:val="en-GB"/>
        </w:rPr>
        <w:t xml:space="preserve">regarding the means of terminating the contract </w:t>
      </w:r>
      <w:r w:rsidR="00075B55">
        <w:rPr>
          <w:rFonts w:eastAsia="Calibri"/>
          <w:lang w:val="en-GB"/>
        </w:rPr>
        <w:t>and Article 8.2</w:t>
      </w:r>
      <w:r>
        <w:rPr>
          <w:rFonts w:eastAsia="Calibri"/>
          <w:lang w:val="en-GB"/>
        </w:rPr>
        <w:t xml:space="preserve">(d) PRIPs proposal </w:t>
      </w:r>
      <w:r w:rsidR="00007E37">
        <w:rPr>
          <w:rFonts w:eastAsia="Calibri"/>
          <w:lang w:val="en-GB"/>
        </w:rPr>
        <w:t xml:space="preserve">regarding, among others, the possibility and conditions for any disinvestment before maturity </w:t>
      </w:r>
    </w:p>
    <w:p w:rsidR="007B20D8" w:rsidRPr="00E91BF8" w:rsidRDefault="007B20D8" w:rsidP="00E91BF8">
      <w:pPr>
        <w:pStyle w:val="CEABullet-Level3"/>
        <w:numPr>
          <w:ilvl w:val="0"/>
          <w:numId w:val="0"/>
        </w:numPr>
        <w:ind w:left="2673"/>
        <w:rPr>
          <w:rFonts w:eastAsia="Calibri"/>
          <w:lang w:val="en-GB"/>
        </w:rPr>
      </w:pPr>
    </w:p>
    <w:p w:rsidR="009E3F18" w:rsidRDefault="007B20D8" w:rsidP="00E91BF8">
      <w:pPr>
        <w:pStyle w:val="CEABullet-Level2"/>
        <w:rPr>
          <w:rFonts w:eastAsia="Calibri"/>
          <w:lang w:val="en-GB"/>
        </w:rPr>
      </w:pPr>
      <w:r w:rsidRPr="00E91BF8">
        <w:rPr>
          <w:rFonts w:eastAsia="Calibri"/>
          <w:lang w:val="en-GB"/>
        </w:rPr>
        <w:lastRenderedPageBreak/>
        <w:t xml:space="preserve">Article 185 (3)(d) </w:t>
      </w:r>
      <w:r>
        <w:rPr>
          <w:rFonts w:eastAsia="Calibri"/>
          <w:lang w:val="en-GB"/>
        </w:rPr>
        <w:t xml:space="preserve">Solvency II </w:t>
      </w:r>
      <w:r w:rsidR="00E91BF8" w:rsidRPr="00E91BF8">
        <w:rPr>
          <w:rFonts w:eastAsia="Calibri"/>
          <w:lang w:val="en-GB"/>
        </w:rPr>
        <w:t xml:space="preserve">regarding the means of payment of premiums and duration of premiums </w:t>
      </w:r>
      <w:r w:rsidR="00075B55">
        <w:rPr>
          <w:rFonts w:eastAsia="Calibri"/>
          <w:lang w:val="en-GB"/>
        </w:rPr>
        <w:t>and Article 8.2</w:t>
      </w:r>
      <w:r w:rsidRPr="00E91BF8">
        <w:rPr>
          <w:rFonts w:eastAsia="Calibri"/>
          <w:lang w:val="en-GB"/>
        </w:rPr>
        <w:t xml:space="preserve">(f) PRIPs proposal </w:t>
      </w:r>
      <w:r w:rsidR="00007E37">
        <w:rPr>
          <w:rFonts w:eastAsia="Calibri"/>
          <w:lang w:val="en-GB"/>
        </w:rPr>
        <w:t>regarding the costs associated with an investment</w:t>
      </w:r>
    </w:p>
    <w:p w:rsidR="007B20D8" w:rsidRPr="00E91BF8" w:rsidRDefault="007B20D8" w:rsidP="00E91BF8">
      <w:pPr>
        <w:pStyle w:val="CEABullet-Level3"/>
        <w:numPr>
          <w:ilvl w:val="0"/>
          <w:numId w:val="0"/>
        </w:numPr>
        <w:ind w:left="2673"/>
        <w:rPr>
          <w:rFonts w:eastAsia="Calibri"/>
          <w:lang w:val="en-GB"/>
        </w:rPr>
      </w:pPr>
    </w:p>
    <w:p w:rsidR="007B20D8" w:rsidRPr="00E91BF8" w:rsidRDefault="007B20D8" w:rsidP="00E91BF8">
      <w:pPr>
        <w:pStyle w:val="CEABullet-Level2"/>
        <w:rPr>
          <w:rFonts w:eastAsia="Calibri"/>
          <w:lang w:val="en-GB"/>
        </w:rPr>
      </w:pPr>
      <w:r w:rsidRPr="00E91BF8">
        <w:rPr>
          <w:rFonts w:eastAsia="Calibri"/>
          <w:lang w:val="en-GB"/>
        </w:rPr>
        <w:t xml:space="preserve">Article 185 (4) Solvency II </w:t>
      </w:r>
      <w:r w:rsidR="00E91BF8" w:rsidRPr="00E91BF8">
        <w:rPr>
          <w:rFonts w:eastAsia="Calibri"/>
          <w:lang w:val="en-GB"/>
        </w:rPr>
        <w:t xml:space="preserve">regarding risks </w:t>
      </w:r>
      <w:r w:rsidR="00075B55">
        <w:rPr>
          <w:rFonts w:eastAsia="Calibri"/>
          <w:lang w:val="en-GB"/>
        </w:rPr>
        <w:t>and Article 8.2</w:t>
      </w:r>
      <w:r w:rsidRPr="00E91BF8">
        <w:rPr>
          <w:rFonts w:eastAsia="Calibri"/>
          <w:lang w:val="en-GB"/>
        </w:rPr>
        <w:t xml:space="preserve">(e) PRIPs proposal </w:t>
      </w:r>
      <w:r w:rsidR="00007E37">
        <w:rPr>
          <w:rFonts w:eastAsia="Calibri"/>
          <w:lang w:val="en-GB"/>
        </w:rPr>
        <w:t>regarding the risk and reward profile of the investment product</w:t>
      </w:r>
    </w:p>
    <w:p w:rsidR="009E3F18" w:rsidRDefault="009E3F18" w:rsidP="00E91BF8">
      <w:pPr>
        <w:pStyle w:val="CEABullet-Level1"/>
        <w:numPr>
          <w:ilvl w:val="0"/>
          <w:numId w:val="0"/>
        </w:numPr>
        <w:ind w:left="720"/>
        <w:rPr>
          <w:rFonts w:eastAsia="Calibri"/>
          <w:lang w:val="en-GB"/>
        </w:rPr>
      </w:pPr>
    </w:p>
    <w:p w:rsidR="00436C07" w:rsidRDefault="007B20D8" w:rsidP="00E91BF8">
      <w:pPr>
        <w:pStyle w:val="CEABullet-Level1"/>
        <w:numPr>
          <w:ilvl w:val="0"/>
          <w:numId w:val="0"/>
        </w:numPr>
        <w:ind w:left="720"/>
        <w:rPr>
          <w:rFonts w:eastAsia="Calibri"/>
          <w:lang w:val="en-GB"/>
        </w:rPr>
      </w:pPr>
      <w:r>
        <w:rPr>
          <w:rFonts w:eastAsia="Calibri"/>
          <w:lang w:val="en-GB"/>
        </w:rPr>
        <w:t xml:space="preserve">The parallel application of KID and Solvency II disclosure requirements </w:t>
      </w:r>
      <w:r w:rsidR="00D51C5A" w:rsidRPr="00F32517">
        <w:rPr>
          <w:rFonts w:eastAsia="Calibri"/>
          <w:lang w:val="en-GB"/>
        </w:rPr>
        <w:t>will not help to improve consumer information, nor consumer understanding of PRIPs.</w:t>
      </w:r>
      <w:r w:rsidR="00436C07" w:rsidRPr="00F32517" w:rsidDel="00436C07">
        <w:rPr>
          <w:rFonts w:eastAsia="Calibri"/>
          <w:lang w:val="en-GB"/>
        </w:rPr>
        <w:t xml:space="preserve"> </w:t>
      </w:r>
    </w:p>
    <w:p w:rsidR="00007E37" w:rsidRDefault="00007E37" w:rsidP="00E91BF8">
      <w:pPr>
        <w:pStyle w:val="CEABullet-Level1"/>
        <w:numPr>
          <w:ilvl w:val="0"/>
          <w:numId w:val="0"/>
        </w:numPr>
        <w:ind w:left="720"/>
        <w:rPr>
          <w:rFonts w:eastAsia="Calibri"/>
          <w:lang w:val="en-GB"/>
        </w:rPr>
      </w:pPr>
    </w:p>
    <w:p w:rsidR="00D51C5A" w:rsidRDefault="007B20D8" w:rsidP="00E91BF8">
      <w:pPr>
        <w:pStyle w:val="CEABullet-Level1"/>
        <w:numPr>
          <w:ilvl w:val="0"/>
          <w:numId w:val="0"/>
        </w:numPr>
        <w:ind w:left="720"/>
        <w:rPr>
          <w:rFonts w:eastAsia="Calibri"/>
          <w:lang w:val="en-GB"/>
        </w:rPr>
      </w:pPr>
      <w:r>
        <w:rPr>
          <w:rFonts w:eastAsia="Calibri"/>
          <w:lang w:val="en-GB"/>
        </w:rPr>
        <w:t>In addition, the</w:t>
      </w:r>
      <w:r w:rsidR="00D51C5A" w:rsidRPr="00F32517">
        <w:rPr>
          <w:rFonts w:eastAsia="Calibri"/>
          <w:lang w:val="en-GB"/>
        </w:rPr>
        <w:t xml:space="preserve"> relationship and interaction with other pieces of EU legislation needs to be concretely addressed in this Regulation to avoid legal uncertainty</w:t>
      </w:r>
      <w:r>
        <w:rPr>
          <w:rFonts w:eastAsia="Calibri"/>
          <w:lang w:val="en-GB"/>
        </w:rPr>
        <w:t xml:space="preserve"> for insurance undertakings</w:t>
      </w:r>
      <w:r w:rsidR="00D51C5A" w:rsidRPr="00F32517">
        <w:rPr>
          <w:rFonts w:eastAsia="Calibri"/>
          <w:lang w:val="en-GB"/>
        </w:rPr>
        <w:t>.</w:t>
      </w:r>
      <w:r>
        <w:rPr>
          <w:rFonts w:eastAsia="Calibri"/>
          <w:lang w:val="en-GB"/>
        </w:rPr>
        <w:t xml:space="preserve"> </w:t>
      </w:r>
      <w:r w:rsidR="00D51C5A" w:rsidRPr="00F32517">
        <w:rPr>
          <w:rFonts w:eastAsia="Calibri"/>
          <w:lang w:val="en-GB"/>
        </w:rPr>
        <w:t xml:space="preserve"> </w:t>
      </w:r>
      <w:r w:rsidR="00A50C3A">
        <w:rPr>
          <w:rFonts w:eastAsia="Calibri"/>
          <w:lang w:val="en-GB"/>
        </w:rPr>
        <w:t xml:space="preserve"> It is indeed unclear whether information covered by Solvency II and the KID has to be provided twice or via the KID. </w:t>
      </w:r>
    </w:p>
    <w:p w:rsidR="007B20D8" w:rsidRDefault="007B20D8" w:rsidP="00E91BF8">
      <w:pPr>
        <w:pStyle w:val="CEABullet-Level1"/>
        <w:numPr>
          <w:ilvl w:val="0"/>
          <w:numId w:val="0"/>
        </w:numPr>
        <w:ind w:left="720"/>
        <w:rPr>
          <w:rFonts w:eastAsia="Calibri"/>
          <w:lang w:val="en-GB"/>
        </w:rPr>
      </w:pPr>
    </w:p>
    <w:p w:rsidR="007B20D8" w:rsidRDefault="007B20D8" w:rsidP="00E91BF8">
      <w:pPr>
        <w:pStyle w:val="CEABullet-Level1"/>
        <w:numPr>
          <w:ilvl w:val="0"/>
          <w:numId w:val="0"/>
        </w:numPr>
        <w:ind w:left="720"/>
        <w:rPr>
          <w:rFonts w:eastAsia="Calibri"/>
          <w:lang w:val="en-GB"/>
        </w:rPr>
      </w:pPr>
      <w:r>
        <w:rPr>
          <w:rFonts w:eastAsia="Calibri"/>
          <w:lang w:val="en-GB"/>
        </w:rPr>
        <w:t xml:space="preserve">To address the concern of information overload and legal uncertainty, Insurance Europe proposes </w:t>
      </w:r>
      <w:r w:rsidR="00007E37">
        <w:rPr>
          <w:rFonts w:eastAsia="Calibri"/>
          <w:lang w:val="en-GB"/>
        </w:rPr>
        <w:t>member states should decide</w:t>
      </w:r>
      <w:r>
        <w:rPr>
          <w:rFonts w:eastAsia="Calibri"/>
          <w:lang w:val="en-GB"/>
        </w:rPr>
        <w:t xml:space="preserve"> </w:t>
      </w:r>
      <w:r w:rsidR="00436C07">
        <w:rPr>
          <w:rFonts w:eastAsia="Calibri"/>
          <w:lang w:val="en-GB"/>
        </w:rPr>
        <w:t xml:space="preserve">when it is sufficient to provide </w:t>
      </w:r>
      <w:r w:rsidR="00A50C3A">
        <w:rPr>
          <w:rFonts w:eastAsia="Calibri"/>
          <w:lang w:val="en-GB"/>
        </w:rPr>
        <w:t>Solvency II disclosure requirements via the KID</w:t>
      </w:r>
      <w:r>
        <w:rPr>
          <w:rFonts w:eastAsia="Calibri"/>
          <w:lang w:val="en-GB"/>
        </w:rPr>
        <w:t>. To this end, Insurance Europe calls for the following amendments:</w:t>
      </w:r>
    </w:p>
    <w:p w:rsidR="007B20D8" w:rsidRDefault="007B20D8" w:rsidP="00E91BF8">
      <w:pPr>
        <w:pStyle w:val="CEABullet-Level1"/>
        <w:numPr>
          <w:ilvl w:val="0"/>
          <w:numId w:val="0"/>
        </w:numPr>
        <w:ind w:left="720"/>
        <w:rPr>
          <w:rFonts w:eastAsia="Calibri"/>
          <w:lang w:val="en-GB"/>
        </w:rPr>
      </w:pPr>
    </w:p>
    <w:p w:rsidR="007B20D8" w:rsidRPr="00E91BF8" w:rsidRDefault="007B20D8" w:rsidP="00E91BF8">
      <w:pPr>
        <w:pStyle w:val="CEABullet-Level2"/>
        <w:rPr>
          <w:rFonts w:eastAsia="Calibri"/>
          <w:b/>
          <w:i/>
          <w:lang w:val="en-GB"/>
        </w:rPr>
      </w:pPr>
      <w:r>
        <w:rPr>
          <w:rFonts w:eastAsia="Calibri"/>
          <w:lang w:val="en-GB"/>
        </w:rPr>
        <w:t xml:space="preserve">Recital 8: </w:t>
      </w:r>
      <w:r w:rsidRPr="00E91BF8">
        <w:rPr>
          <w:rFonts w:eastAsia="Calibri"/>
          <w:i/>
          <w:lang w:val="en-GB"/>
        </w:rPr>
        <w:t xml:space="preserve">In order to provide clarity on the relationship between the obligations established by this Regulation and obligations established by Directive 2003/71/EC of the European Parliament and the Council of 4 November 2003 on the prospectus to be published when securities are offered to the public or admitted to trading and amending Directive2001/3413 and Directive 2009/138/EC, it is necessary to establish that these Directives continue to apply in addition to this Regulation. </w:t>
      </w:r>
      <w:r w:rsidR="00C14E9B" w:rsidRPr="00E91BF8">
        <w:rPr>
          <w:rFonts w:eastAsia="Calibri"/>
          <w:b/>
          <w:i/>
          <w:u w:val="single"/>
          <w:lang w:val="en-GB"/>
        </w:rPr>
        <w:t>In order to avoid duplication of information, Member states shall determine whether the disclosure information contained in the KID meets the information for policy holder requirements under Directive 2009/138/EC.</w:t>
      </w:r>
    </w:p>
    <w:p w:rsidR="00C14E9B" w:rsidRPr="00E91BF8" w:rsidRDefault="00C14E9B" w:rsidP="00E91BF8">
      <w:pPr>
        <w:pStyle w:val="CEABullet-Level3"/>
        <w:numPr>
          <w:ilvl w:val="0"/>
          <w:numId w:val="0"/>
        </w:numPr>
        <w:ind w:left="2673"/>
        <w:rPr>
          <w:rFonts w:eastAsia="Calibri"/>
          <w:lang w:val="en-GB"/>
        </w:rPr>
      </w:pPr>
    </w:p>
    <w:p w:rsidR="007B20D8" w:rsidRPr="00E91BF8" w:rsidRDefault="00C14E9B" w:rsidP="00C14E9B">
      <w:pPr>
        <w:pStyle w:val="CEABullet-Level2"/>
        <w:rPr>
          <w:rFonts w:eastAsia="Calibri"/>
          <w:b/>
          <w:lang w:val="en-GB"/>
        </w:rPr>
      </w:pPr>
      <w:r>
        <w:rPr>
          <w:rFonts w:eastAsia="Calibri"/>
          <w:lang w:val="en-GB"/>
        </w:rPr>
        <w:t xml:space="preserve">Article 3.2: </w:t>
      </w:r>
      <w:r w:rsidRPr="00E91BF8">
        <w:rPr>
          <w:rFonts w:eastAsia="Calibri"/>
          <w:i/>
          <w:lang w:val="en-GB"/>
        </w:rPr>
        <w:t>Where investment product manufacturers subject to this Regulation are also subject to Directive 2009/138/EC, this Regulation and Directive 2009/138/EC shall both apply.</w:t>
      </w:r>
      <w:r w:rsidRPr="00C14E9B">
        <w:rPr>
          <w:rFonts w:eastAsia="Calibri"/>
          <w:i/>
          <w:u w:val="single"/>
          <w:lang w:val="en-GB"/>
        </w:rPr>
        <w:t xml:space="preserve"> </w:t>
      </w:r>
      <w:r w:rsidRPr="00E91BF8">
        <w:rPr>
          <w:rFonts w:eastAsia="Calibri"/>
          <w:b/>
          <w:i/>
          <w:u w:val="single"/>
          <w:lang w:val="en-GB"/>
        </w:rPr>
        <w:t xml:space="preserve">Member states shall lay down rules establishing whether the KID disclosures meet the </w:t>
      </w:r>
      <w:r w:rsidR="00007E37">
        <w:rPr>
          <w:rFonts w:eastAsia="Calibri"/>
          <w:b/>
          <w:i/>
          <w:u w:val="single"/>
          <w:lang w:val="en-GB"/>
        </w:rPr>
        <w:t>information for policy holder</w:t>
      </w:r>
      <w:r w:rsidRPr="00E91BF8">
        <w:rPr>
          <w:rFonts w:eastAsia="Calibri"/>
          <w:b/>
          <w:i/>
          <w:u w:val="single"/>
          <w:lang w:val="en-GB"/>
        </w:rPr>
        <w:t xml:space="preserve"> requirements under Directive 2009/138/EC.</w:t>
      </w:r>
    </w:p>
    <w:p w:rsidR="00007E37" w:rsidRDefault="00007E37" w:rsidP="00044AD8">
      <w:pPr>
        <w:pStyle w:val="CEABullet-Level1"/>
        <w:numPr>
          <w:ilvl w:val="0"/>
          <w:numId w:val="0"/>
        </w:numPr>
        <w:ind w:left="720"/>
        <w:rPr>
          <w:rFonts w:eastAsia="Calibri"/>
          <w:lang w:val="en-GB"/>
        </w:rPr>
      </w:pPr>
    </w:p>
    <w:p w:rsidR="009D55A4" w:rsidRDefault="00D60055" w:rsidP="009D55A4">
      <w:pPr>
        <w:pStyle w:val="CEABullet-Level1"/>
        <w:rPr>
          <w:rFonts w:eastAsia="Calibri" w:cs="Calibri"/>
          <w:szCs w:val="17"/>
          <w:lang w:val="en-GB"/>
        </w:rPr>
      </w:pPr>
      <w:r w:rsidRPr="00D60055">
        <w:rPr>
          <w:rFonts w:eastAsia="Calibri" w:cs="Calibri"/>
          <w:b/>
          <w:szCs w:val="17"/>
          <w:lang w:val="en-GB"/>
        </w:rPr>
        <w:t>Existing national KIDs.</w:t>
      </w:r>
      <w:r>
        <w:rPr>
          <w:rFonts w:eastAsia="Calibri" w:cs="Calibri"/>
          <w:szCs w:val="17"/>
          <w:lang w:val="en-GB"/>
        </w:rPr>
        <w:t xml:space="preserve"> </w:t>
      </w:r>
      <w:r w:rsidR="00776374">
        <w:rPr>
          <w:rFonts w:eastAsia="Calibri" w:cs="Calibri"/>
          <w:szCs w:val="17"/>
          <w:lang w:val="en-GB"/>
        </w:rPr>
        <w:t>A</w:t>
      </w:r>
      <w:r w:rsidR="009D55A4" w:rsidRPr="00F32517">
        <w:rPr>
          <w:rFonts w:eastAsia="Calibri" w:cs="Calibri"/>
          <w:szCs w:val="17"/>
          <w:lang w:val="en-GB"/>
        </w:rPr>
        <w:t>t national level, a KID-type document exists already in many insurance markets across the EU, which serves the same purpose as the PRIPs KID (</w:t>
      </w:r>
      <w:proofErr w:type="spellStart"/>
      <w:r w:rsidR="009D55A4" w:rsidRPr="00F32517">
        <w:rPr>
          <w:rFonts w:eastAsia="Calibri" w:cs="Calibri"/>
          <w:szCs w:val="17"/>
          <w:lang w:val="en-GB"/>
        </w:rPr>
        <w:t>eg</w:t>
      </w:r>
      <w:proofErr w:type="spellEnd"/>
      <w:r w:rsidR="009D55A4" w:rsidRPr="00F32517">
        <w:rPr>
          <w:rFonts w:eastAsia="Calibri" w:cs="Calibri"/>
          <w:szCs w:val="17"/>
          <w:lang w:val="en-GB"/>
        </w:rPr>
        <w:t xml:space="preserve"> comparability, overview of essential features at a glance). It is unclear how the PRIPs KID is intended to interact with any such documents that are required under national legislation or if it is supposed to replace existing pre-contractual information. There is a high risk that two KIDs would need to be </w:t>
      </w:r>
      <w:r w:rsidR="001E21E1">
        <w:rPr>
          <w:rFonts w:eastAsia="Calibri" w:cs="Calibri"/>
          <w:szCs w:val="17"/>
          <w:lang w:val="en-GB"/>
        </w:rPr>
        <w:t>provided</w:t>
      </w:r>
      <w:r w:rsidR="009D55A4" w:rsidRPr="00F32517">
        <w:rPr>
          <w:rFonts w:eastAsia="Calibri" w:cs="Calibri"/>
          <w:szCs w:val="17"/>
          <w:lang w:val="en-GB"/>
        </w:rPr>
        <w:t xml:space="preserve"> for many products</w:t>
      </w:r>
      <w:r w:rsidR="00776374">
        <w:rPr>
          <w:rFonts w:eastAsia="Calibri" w:cs="Calibri"/>
          <w:szCs w:val="17"/>
          <w:lang w:val="en-GB"/>
        </w:rPr>
        <w:t xml:space="preserve"> leading to an information overload</w:t>
      </w:r>
      <w:r w:rsidR="009D55A4" w:rsidRPr="00F32517">
        <w:rPr>
          <w:rFonts w:eastAsia="Calibri" w:cs="Calibri"/>
          <w:szCs w:val="17"/>
          <w:lang w:val="en-GB"/>
        </w:rPr>
        <w:t xml:space="preserve">, which would clearly prove confusing for </w:t>
      </w:r>
      <w:commentRangeStart w:id="2"/>
      <w:r w:rsidR="009D55A4" w:rsidRPr="00F32517">
        <w:rPr>
          <w:rFonts w:eastAsia="Calibri" w:cs="Calibri"/>
          <w:szCs w:val="17"/>
          <w:lang w:val="en-GB"/>
        </w:rPr>
        <w:t>consumers</w:t>
      </w:r>
      <w:commentRangeEnd w:id="2"/>
      <w:r w:rsidR="001E21E1">
        <w:rPr>
          <w:rStyle w:val="CommentReference"/>
          <w:rFonts w:cs="Times New Roman"/>
          <w:color w:val="auto"/>
          <w:lang w:val="en-GB"/>
        </w:rPr>
        <w:commentReference w:id="2"/>
      </w:r>
      <w:r w:rsidR="009D55A4" w:rsidRPr="00F32517">
        <w:rPr>
          <w:rFonts w:eastAsia="Calibri" w:cs="Calibri"/>
          <w:szCs w:val="17"/>
          <w:lang w:val="en-GB"/>
        </w:rPr>
        <w:t xml:space="preserve">. </w:t>
      </w:r>
    </w:p>
    <w:p w:rsidR="00855B33" w:rsidRPr="00F32517" w:rsidRDefault="00855B33" w:rsidP="00855B33">
      <w:pPr>
        <w:pStyle w:val="CEABullet-Level1"/>
        <w:numPr>
          <w:ilvl w:val="0"/>
          <w:numId w:val="0"/>
        </w:numPr>
        <w:ind w:left="720"/>
        <w:rPr>
          <w:rFonts w:eastAsia="Calibri" w:cs="Calibri"/>
          <w:szCs w:val="17"/>
          <w:lang w:val="en-GB"/>
        </w:rPr>
      </w:pPr>
    </w:p>
    <w:p w:rsidR="009C1F07" w:rsidRDefault="001E21E1" w:rsidP="008E32B8">
      <w:pPr>
        <w:pStyle w:val="ListParagraph"/>
        <w:numPr>
          <w:ilvl w:val="0"/>
          <w:numId w:val="18"/>
        </w:numPr>
        <w:tabs>
          <w:tab w:val="left" w:pos="284"/>
        </w:tabs>
        <w:suppressAutoHyphens/>
        <w:spacing w:before="120" w:line="264" w:lineRule="auto"/>
        <w:ind w:left="0" w:firstLine="0"/>
        <w:jc w:val="both"/>
        <w:rPr>
          <w:rFonts w:eastAsia="Calibri" w:cs="Calibri"/>
          <w:b/>
          <w:szCs w:val="17"/>
        </w:rPr>
      </w:pPr>
      <w:r>
        <w:rPr>
          <w:rStyle w:val="CommentReference"/>
          <w:rFonts w:cs="Times New Roman"/>
        </w:rPr>
        <w:commentReference w:id="3"/>
      </w:r>
      <w:r w:rsidR="009C1F07" w:rsidRPr="00F32517">
        <w:rPr>
          <w:rFonts w:eastAsia="Calibri" w:cs="Calibri"/>
          <w:b/>
          <w:szCs w:val="17"/>
        </w:rPr>
        <w:t>Form and content of the KID</w:t>
      </w:r>
    </w:p>
    <w:p w:rsidR="00826C2A" w:rsidRDefault="001E21E1" w:rsidP="00826C2A">
      <w:pPr>
        <w:pStyle w:val="CEABullet-Level1"/>
        <w:rPr>
          <w:rFonts w:eastAsia="Calibri" w:cs="Calibri"/>
          <w:szCs w:val="17"/>
          <w:lang w:val="en-GB"/>
        </w:rPr>
      </w:pPr>
      <w:r w:rsidRPr="001E21E1">
        <w:rPr>
          <w:rFonts w:eastAsia="Calibri" w:cs="Calibri"/>
          <w:b/>
          <w:szCs w:val="17"/>
          <w:lang w:val="en-GB"/>
        </w:rPr>
        <w:t xml:space="preserve">Wide variety of insurance </w:t>
      </w:r>
      <w:commentRangeStart w:id="4"/>
      <w:r w:rsidRPr="001E21E1">
        <w:rPr>
          <w:rFonts w:eastAsia="Calibri" w:cs="Calibri"/>
          <w:b/>
          <w:szCs w:val="17"/>
          <w:lang w:val="en-GB"/>
        </w:rPr>
        <w:t>products</w:t>
      </w:r>
      <w:commentRangeEnd w:id="4"/>
      <w:r>
        <w:rPr>
          <w:rStyle w:val="CommentReference"/>
          <w:rFonts w:cs="Times New Roman"/>
          <w:color w:val="auto"/>
          <w:lang w:val="en-GB"/>
        </w:rPr>
        <w:commentReference w:id="4"/>
      </w:r>
      <w:r w:rsidR="007A0D53">
        <w:rPr>
          <w:rFonts w:eastAsia="Calibri" w:cs="Calibri"/>
          <w:szCs w:val="17"/>
          <w:lang w:val="en-GB"/>
        </w:rPr>
        <w:t>.</w:t>
      </w:r>
      <w:r>
        <w:rPr>
          <w:rFonts w:eastAsia="Calibri" w:cs="Calibri"/>
          <w:szCs w:val="17"/>
          <w:lang w:val="en-GB"/>
        </w:rPr>
        <w:t xml:space="preserve"> In insurance, there</w:t>
      </w:r>
      <w:r w:rsidRPr="00F32517">
        <w:rPr>
          <w:rFonts w:eastAsia="Calibri" w:cs="Calibri"/>
          <w:szCs w:val="17"/>
          <w:lang w:val="en-GB"/>
        </w:rPr>
        <w:t xml:space="preserve"> </w:t>
      </w:r>
      <w:r w:rsidR="00826C2A" w:rsidRPr="00F32517">
        <w:rPr>
          <w:rFonts w:eastAsia="Calibri" w:cs="Calibri"/>
          <w:szCs w:val="17"/>
          <w:lang w:val="en-GB"/>
        </w:rPr>
        <w:t xml:space="preserve">is a wide diversity across the EU in terms of market conditions and products, and a wide variety as regards product design. </w:t>
      </w:r>
      <w:r w:rsidR="00EA31A3">
        <w:rPr>
          <w:rFonts w:eastAsia="Calibri" w:cs="Calibri"/>
          <w:szCs w:val="17"/>
          <w:lang w:val="en-GB"/>
        </w:rPr>
        <w:t>U</w:t>
      </w:r>
      <w:r w:rsidR="00826C2A" w:rsidRPr="00F32517">
        <w:rPr>
          <w:rFonts w:eastAsia="Calibri" w:cs="Calibri"/>
          <w:szCs w:val="17"/>
          <w:lang w:val="en-GB"/>
        </w:rPr>
        <w:t xml:space="preserve">nlike mutual investment funds provided by UCITS, there are no harmonised life insurance products or unique methods of insurance contract law across the EU. </w:t>
      </w:r>
      <w:r w:rsidR="00EA31A3">
        <w:rPr>
          <w:rFonts w:eastAsia="Calibri" w:cs="Calibri"/>
          <w:szCs w:val="17"/>
          <w:lang w:val="en-GB"/>
        </w:rPr>
        <w:t xml:space="preserve">UCITS products and disclosure regimes are standardised. </w:t>
      </w:r>
      <w:r w:rsidR="00826C2A" w:rsidRPr="00F32517">
        <w:rPr>
          <w:rFonts w:eastAsia="Calibri" w:cs="Calibri"/>
          <w:szCs w:val="17"/>
          <w:lang w:val="en-GB"/>
        </w:rPr>
        <w:t xml:space="preserve">In this respect, the proposed PRIPs regime fits </w:t>
      </w:r>
      <w:r w:rsidR="00EA31A3">
        <w:rPr>
          <w:rFonts w:eastAsia="Calibri" w:cs="Calibri"/>
          <w:szCs w:val="17"/>
          <w:lang w:val="en-GB"/>
        </w:rPr>
        <w:t xml:space="preserve">standardised </w:t>
      </w:r>
      <w:r w:rsidR="00826C2A" w:rsidRPr="00F32517">
        <w:rPr>
          <w:rFonts w:eastAsia="Calibri" w:cs="Calibri"/>
          <w:szCs w:val="17"/>
          <w:lang w:val="en-GB"/>
        </w:rPr>
        <w:t xml:space="preserve">UCITS products much more easily than </w:t>
      </w:r>
      <w:r w:rsidR="00EA31A3">
        <w:rPr>
          <w:rFonts w:eastAsia="Calibri" w:cs="Calibri"/>
          <w:szCs w:val="17"/>
          <w:lang w:val="en-GB"/>
        </w:rPr>
        <w:t xml:space="preserve">the wide variety of </w:t>
      </w:r>
      <w:r w:rsidR="00826C2A" w:rsidRPr="00F32517">
        <w:rPr>
          <w:rFonts w:eastAsia="Calibri" w:cs="Calibri"/>
          <w:szCs w:val="17"/>
          <w:lang w:val="en-GB"/>
        </w:rPr>
        <w:t>insurance produ</w:t>
      </w:r>
      <w:r w:rsidR="00826C2A">
        <w:rPr>
          <w:rFonts w:eastAsia="Calibri" w:cs="Calibri"/>
          <w:szCs w:val="17"/>
          <w:lang w:val="en-GB"/>
        </w:rPr>
        <w:t xml:space="preserve">cts. </w:t>
      </w:r>
    </w:p>
    <w:p w:rsidR="00826C2A" w:rsidRDefault="00826C2A" w:rsidP="00826C2A">
      <w:pPr>
        <w:pStyle w:val="CEABullet-Level1"/>
        <w:numPr>
          <w:ilvl w:val="0"/>
          <w:numId w:val="0"/>
        </w:numPr>
        <w:rPr>
          <w:rFonts w:eastAsia="Calibri" w:cs="Calibri"/>
          <w:szCs w:val="17"/>
          <w:lang w:val="en-GB"/>
        </w:rPr>
      </w:pPr>
    </w:p>
    <w:p w:rsidR="008C2130" w:rsidRPr="00F32517" w:rsidRDefault="008C2130" w:rsidP="007D6781">
      <w:pPr>
        <w:pStyle w:val="CEABullet-Level1"/>
        <w:numPr>
          <w:ilvl w:val="0"/>
          <w:numId w:val="0"/>
        </w:numPr>
        <w:ind w:left="360"/>
        <w:rPr>
          <w:rFonts w:eastAsia="Calibri"/>
          <w:b/>
          <w:lang w:val="en-GB"/>
        </w:rPr>
      </w:pPr>
    </w:p>
    <w:p w:rsidR="00075B55" w:rsidRPr="00075B55" w:rsidRDefault="009C1F07" w:rsidP="007A0D53">
      <w:pPr>
        <w:pStyle w:val="CEABullet-Level1"/>
        <w:rPr>
          <w:rFonts w:eastAsia="Calibri"/>
          <w:b/>
          <w:lang w:val="en-GB"/>
        </w:rPr>
      </w:pPr>
      <w:r w:rsidRPr="00F32517">
        <w:rPr>
          <w:rFonts w:eastAsia="Calibri"/>
          <w:b/>
          <w:lang w:val="en-GB"/>
        </w:rPr>
        <w:t xml:space="preserve">Insurance </w:t>
      </w:r>
      <w:r w:rsidR="000E2642">
        <w:rPr>
          <w:rFonts w:eastAsia="Calibri"/>
          <w:b/>
          <w:lang w:val="en-GB"/>
        </w:rPr>
        <w:t>product features</w:t>
      </w:r>
      <w:r w:rsidR="000E2642" w:rsidRPr="00F32517">
        <w:rPr>
          <w:rFonts w:eastAsia="Calibri"/>
          <w:b/>
          <w:lang w:val="en-GB"/>
        </w:rPr>
        <w:t xml:space="preserve"> </w:t>
      </w:r>
      <w:r w:rsidRPr="00F32517">
        <w:rPr>
          <w:rFonts w:eastAsia="Calibri"/>
          <w:b/>
          <w:lang w:val="en-GB"/>
        </w:rPr>
        <w:t>not sufficiently or adequately reflected</w:t>
      </w:r>
      <w:r w:rsidR="007A0D53">
        <w:rPr>
          <w:rFonts w:eastAsia="Calibri"/>
          <w:lang w:val="en-GB"/>
        </w:rPr>
        <w:t>.</w:t>
      </w:r>
      <w:r w:rsidRPr="00F32517">
        <w:rPr>
          <w:rFonts w:eastAsia="Calibri"/>
          <w:lang w:val="en-GB"/>
        </w:rPr>
        <w:t xml:space="preserve"> </w:t>
      </w:r>
      <w:r w:rsidR="00280E12" w:rsidRPr="00F32517">
        <w:rPr>
          <w:rFonts w:eastAsia="Calibri"/>
          <w:lang w:val="en-GB"/>
        </w:rPr>
        <w:t>Insurance Europe believes information about insurance coverage is under-represented in the proposed PRIPs KID</w:t>
      </w:r>
      <w:r w:rsidR="00E4452E">
        <w:rPr>
          <w:rFonts w:eastAsia="Calibri"/>
          <w:lang w:val="en-GB"/>
        </w:rPr>
        <w:t xml:space="preserve"> (the only reference to insurance is contained in Art</w:t>
      </w:r>
      <w:r w:rsidR="00075B55">
        <w:rPr>
          <w:rFonts w:eastAsia="Calibri"/>
          <w:lang w:val="en-GB"/>
        </w:rPr>
        <w:t>icle 8.2</w:t>
      </w:r>
      <w:r w:rsidR="00E4452E">
        <w:rPr>
          <w:rFonts w:eastAsia="Calibri"/>
          <w:lang w:val="en-GB"/>
        </w:rPr>
        <w:t>(b</w:t>
      </w:r>
      <w:proofErr w:type="gramStart"/>
      <w:r w:rsidR="00E4452E">
        <w:rPr>
          <w:rFonts w:eastAsia="Calibri"/>
          <w:lang w:val="en-GB"/>
        </w:rPr>
        <w:t>)(</w:t>
      </w:r>
      <w:proofErr w:type="gramEnd"/>
      <w:r w:rsidR="00E4452E">
        <w:rPr>
          <w:rFonts w:eastAsia="Calibri"/>
          <w:lang w:val="en-GB"/>
        </w:rPr>
        <w:t>iv))</w:t>
      </w:r>
      <w:r w:rsidR="00280E12" w:rsidRPr="00F32517">
        <w:rPr>
          <w:rFonts w:eastAsia="Calibri"/>
          <w:lang w:val="en-GB"/>
        </w:rPr>
        <w:t xml:space="preserve">. </w:t>
      </w:r>
      <w:r w:rsidRPr="00F32517">
        <w:rPr>
          <w:rFonts w:eastAsia="Calibri"/>
          <w:lang w:val="en-GB"/>
        </w:rPr>
        <w:t xml:space="preserve">The UCITS KIID is designed for investment products and therefore it cannot be simply copy-pasted to insurance products as proposed by the PRIPs Regulation. </w:t>
      </w:r>
      <w:r w:rsidR="007A0D53" w:rsidRPr="007A0D53">
        <w:rPr>
          <w:rFonts w:eastAsia="Calibri"/>
          <w:lang w:val="en-GB"/>
        </w:rPr>
        <w:t xml:space="preserve">If the KID shall be applied at insurance product level, </w:t>
      </w:r>
      <w:r w:rsidRPr="00F32517">
        <w:rPr>
          <w:rFonts w:eastAsia="Calibri"/>
          <w:lang w:val="en-GB"/>
        </w:rPr>
        <w:t xml:space="preserve">Insurance Europe </w:t>
      </w:r>
      <w:r w:rsidR="00075B55">
        <w:rPr>
          <w:rFonts w:eastAsia="Calibri"/>
          <w:lang w:val="en-GB"/>
        </w:rPr>
        <w:t xml:space="preserve">therefore </w:t>
      </w:r>
      <w:r w:rsidRPr="00F32517">
        <w:rPr>
          <w:rFonts w:eastAsia="Calibri"/>
          <w:lang w:val="en-GB"/>
        </w:rPr>
        <w:t xml:space="preserve">believes the KID should </w:t>
      </w:r>
      <w:r w:rsidR="00075B55">
        <w:rPr>
          <w:rFonts w:eastAsia="Calibri"/>
          <w:lang w:val="en-GB"/>
        </w:rPr>
        <w:t>(</w:t>
      </w:r>
      <w:proofErr w:type="spellStart"/>
      <w:r w:rsidR="00075B55">
        <w:rPr>
          <w:rFonts w:eastAsia="Calibri"/>
          <w:lang w:val="en-GB"/>
        </w:rPr>
        <w:t>i</w:t>
      </w:r>
      <w:proofErr w:type="spellEnd"/>
      <w:r w:rsidR="00075B55">
        <w:rPr>
          <w:rFonts w:eastAsia="Calibri"/>
          <w:lang w:val="en-GB"/>
        </w:rPr>
        <w:t xml:space="preserve">) </w:t>
      </w:r>
      <w:r w:rsidRPr="00F32517">
        <w:rPr>
          <w:rFonts w:eastAsia="Calibri"/>
          <w:lang w:val="en-GB"/>
        </w:rPr>
        <w:t>include a</w:t>
      </w:r>
      <w:r w:rsidR="007A0D53">
        <w:rPr>
          <w:rFonts w:eastAsia="Calibri"/>
          <w:lang w:val="en-GB"/>
        </w:rPr>
        <w:t xml:space="preserve"> </w:t>
      </w:r>
      <w:r w:rsidR="00075B55">
        <w:rPr>
          <w:rFonts w:eastAsia="Calibri"/>
          <w:lang w:val="en-GB"/>
        </w:rPr>
        <w:t>separate</w:t>
      </w:r>
      <w:r w:rsidRPr="00F32517">
        <w:rPr>
          <w:rFonts w:eastAsia="Calibri"/>
          <w:lang w:val="en-GB"/>
        </w:rPr>
        <w:t xml:space="preserve"> information section reflecting </w:t>
      </w:r>
      <w:r w:rsidRPr="00075B55">
        <w:rPr>
          <w:rFonts w:eastAsia="Calibri"/>
          <w:lang w:val="en-GB"/>
        </w:rPr>
        <w:t>insurance product</w:t>
      </w:r>
      <w:r w:rsidRPr="00F32517">
        <w:rPr>
          <w:rFonts w:eastAsia="Calibri"/>
          <w:u w:val="single"/>
          <w:lang w:val="en-GB"/>
        </w:rPr>
        <w:t xml:space="preserve"> </w:t>
      </w:r>
      <w:r w:rsidR="007A0D53" w:rsidRPr="00A77850">
        <w:rPr>
          <w:rFonts w:eastAsia="Calibri"/>
          <w:lang w:val="en-GB"/>
        </w:rPr>
        <w:t>features</w:t>
      </w:r>
      <w:r w:rsidR="00075B55" w:rsidRPr="00A77850">
        <w:rPr>
          <w:rFonts w:eastAsia="Calibri"/>
          <w:lang w:val="en-GB"/>
        </w:rPr>
        <w:t xml:space="preserve"> which must always form part of the KID</w:t>
      </w:r>
      <w:r w:rsidR="007A0D53" w:rsidRPr="00F32517">
        <w:rPr>
          <w:rFonts w:eastAsia="Calibri"/>
          <w:lang w:val="en-GB"/>
        </w:rPr>
        <w:t xml:space="preserve"> </w:t>
      </w:r>
      <w:r w:rsidR="00075B55">
        <w:rPr>
          <w:rFonts w:eastAsia="Calibri"/>
          <w:lang w:val="en-GB"/>
        </w:rPr>
        <w:t xml:space="preserve">and (ii) include some more detailed insurance specific information in other sections </w:t>
      </w:r>
      <w:r w:rsidRPr="00F32517">
        <w:rPr>
          <w:rFonts w:eastAsia="Calibri"/>
          <w:lang w:val="en-GB"/>
        </w:rPr>
        <w:t xml:space="preserve">to help ensure customers are in a position to </w:t>
      </w:r>
      <w:r w:rsidR="00075B55">
        <w:rPr>
          <w:rFonts w:eastAsia="Calibri"/>
          <w:lang w:val="en-GB"/>
        </w:rPr>
        <w:t xml:space="preserve">adequately </w:t>
      </w:r>
      <w:r w:rsidRPr="00F32517">
        <w:rPr>
          <w:rFonts w:eastAsia="Calibri"/>
          <w:lang w:val="en-GB"/>
        </w:rPr>
        <w:t>compare the key features of different PRIPs.</w:t>
      </w:r>
      <w:r w:rsidR="00E4452E">
        <w:rPr>
          <w:rFonts w:eastAsia="Calibri"/>
          <w:lang w:val="en-GB"/>
        </w:rPr>
        <w:t xml:space="preserve"> </w:t>
      </w:r>
    </w:p>
    <w:p w:rsidR="002B3283" w:rsidRDefault="00075B55" w:rsidP="00075B55">
      <w:pPr>
        <w:pStyle w:val="CEABullet-Level2"/>
        <w:rPr>
          <w:rFonts w:eastAsia="Calibri"/>
          <w:lang w:val="en-GB"/>
        </w:rPr>
      </w:pPr>
      <w:r w:rsidRPr="00075B55">
        <w:rPr>
          <w:rFonts w:eastAsia="Calibri"/>
          <w:lang w:val="en-GB"/>
        </w:rPr>
        <w:t>Article 8.2 (b) (</w:t>
      </w:r>
      <w:proofErr w:type="gramStart"/>
      <w:r w:rsidRPr="00075B55">
        <w:rPr>
          <w:rFonts w:eastAsia="Calibri"/>
          <w:lang w:val="en-GB"/>
        </w:rPr>
        <w:t>iv</w:t>
      </w:r>
      <w:proofErr w:type="gramEnd"/>
      <w:r w:rsidRPr="00075B55">
        <w:rPr>
          <w:rFonts w:eastAsia="Calibri"/>
          <w:lang w:val="en-GB"/>
        </w:rPr>
        <w:t>)</w:t>
      </w:r>
      <w:r>
        <w:rPr>
          <w:rFonts w:eastAsia="Calibri"/>
          <w:lang w:val="en-GB"/>
        </w:rPr>
        <w:t xml:space="preserve">: </w:t>
      </w:r>
      <w:r w:rsidR="007F1D32">
        <w:rPr>
          <w:rFonts w:eastAsia="Calibri"/>
          <w:lang w:val="en-GB"/>
        </w:rPr>
        <w:t>Insurance Europe believes all PRIPs products should indicate whether they offer insurance benefits to increase product comparability and to educate customers better on product features. Insurance Europe therefore proposes Article 8.2 (b) (</w:t>
      </w:r>
      <w:proofErr w:type="gramStart"/>
      <w:r w:rsidR="007F1D32">
        <w:rPr>
          <w:rFonts w:eastAsia="Calibri"/>
          <w:lang w:val="en-GB"/>
        </w:rPr>
        <w:t>iv</w:t>
      </w:r>
      <w:proofErr w:type="gramEnd"/>
      <w:r w:rsidR="007F1D32">
        <w:rPr>
          <w:rFonts w:eastAsia="Calibri"/>
          <w:lang w:val="en-GB"/>
        </w:rPr>
        <w:t xml:space="preserve">) </w:t>
      </w:r>
      <w:r w:rsidRPr="00075B55">
        <w:rPr>
          <w:rFonts w:eastAsia="Calibri"/>
          <w:lang w:val="en-GB"/>
        </w:rPr>
        <w:t xml:space="preserve">should become a separate </w:t>
      </w:r>
      <w:r w:rsidR="007F1D32">
        <w:rPr>
          <w:rFonts w:eastAsia="Calibri"/>
          <w:lang w:val="en-GB"/>
        </w:rPr>
        <w:t>KID item</w:t>
      </w:r>
      <w:r w:rsidRPr="00075B55">
        <w:rPr>
          <w:rFonts w:eastAsia="Calibri"/>
          <w:lang w:val="en-GB"/>
        </w:rPr>
        <w:t xml:space="preserve"> inserted </w:t>
      </w:r>
      <w:r>
        <w:rPr>
          <w:rFonts w:eastAsia="Calibri"/>
          <w:lang w:val="en-GB"/>
        </w:rPr>
        <w:t xml:space="preserve">at the level of Article 8.2(c) </w:t>
      </w:r>
      <w:r w:rsidR="002B3283">
        <w:rPr>
          <w:rFonts w:eastAsia="Calibri"/>
          <w:lang w:val="en-GB"/>
        </w:rPr>
        <w:t>and should be reworded: “</w:t>
      </w:r>
      <w:r w:rsidR="002B3283" w:rsidRPr="002B3283">
        <w:rPr>
          <w:rFonts w:eastAsia="Calibri"/>
          <w:i/>
          <w:dstrike/>
          <w:lang w:val="en-GB"/>
        </w:rPr>
        <w:t>where the investment product offers insurance benefits,</w:t>
      </w:r>
      <w:r w:rsidR="002B3283" w:rsidRPr="002B3283">
        <w:rPr>
          <w:rFonts w:eastAsia="Calibri"/>
          <w:i/>
          <w:lang w:val="en-GB"/>
        </w:rPr>
        <w:t xml:space="preserve"> details of these insurance benefits</w:t>
      </w:r>
      <w:r w:rsidR="002B3283">
        <w:rPr>
          <w:rFonts w:eastAsia="Calibri"/>
          <w:lang w:val="en-GB"/>
        </w:rPr>
        <w:t>”</w:t>
      </w:r>
      <w:r>
        <w:rPr>
          <w:rFonts w:eastAsia="Calibri"/>
          <w:lang w:val="en-GB"/>
        </w:rPr>
        <w:t xml:space="preserve">. </w:t>
      </w:r>
      <w:r w:rsidRPr="00075B55">
        <w:rPr>
          <w:rFonts w:eastAsia="Calibri"/>
          <w:lang w:val="en-GB"/>
        </w:rPr>
        <w:t xml:space="preserve"> </w:t>
      </w:r>
    </w:p>
    <w:p w:rsidR="002B3283" w:rsidRDefault="002B3283" w:rsidP="007F1D32">
      <w:pPr>
        <w:pStyle w:val="CEABullet-Level3"/>
        <w:numPr>
          <w:ilvl w:val="0"/>
          <w:numId w:val="0"/>
        </w:numPr>
        <w:rPr>
          <w:rFonts w:eastAsia="Calibri"/>
          <w:lang w:val="en-GB"/>
        </w:rPr>
      </w:pPr>
    </w:p>
    <w:p w:rsidR="002B3283" w:rsidRDefault="002B3283" w:rsidP="002B3283">
      <w:pPr>
        <w:pStyle w:val="CEABullet-Level2"/>
        <w:rPr>
          <w:rFonts w:eastAsia="Calibri"/>
          <w:lang w:val="en-GB"/>
        </w:rPr>
      </w:pPr>
      <w:r w:rsidRPr="002B3283">
        <w:rPr>
          <w:rFonts w:eastAsia="Calibri"/>
          <w:lang w:val="en-GB"/>
        </w:rPr>
        <w:t>The following KID items should contain more detailed information on insurance product features to increase transparency and comparability for the customer:</w:t>
      </w:r>
    </w:p>
    <w:p w:rsidR="002B3283" w:rsidRPr="002B3283" w:rsidRDefault="002B3283" w:rsidP="002B3283">
      <w:pPr>
        <w:pStyle w:val="CEABullet-Level3"/>
        <w:numPr>
          <w:ilvl w:val="0"/>
          <w:numId w:val="0"/>
        </w:numPr>
        <w:ind w:left="2673"/>
        <w:rPr>
          <w:rFonts w:eastAsia="Calibri"/>
          <w:lang w:val="en-GB"/>
        </w:rPr>
      </w:pPr>
    </w:p>
    <w:p w:rsidR="002B3283" w:rsidRDefault="002B3283" w:rsidP="007F1D32">
      <w:pPr>
        <w:pStyle w:val="CEABullet-Level3"/>
        <w:numPr>
          <w:ilvl w:val="0"/>
          <w:numId w:val="0"/>
        </w:numPr>
        <w:ind w:left="2673"/>
        <w:rPr>
          <w:rFonts w:eastAsia="Calibri"/>
          <w:lang w:val="en-GB"/>
        </w:rPr>
      </w:pPr>
    </w:p>
    <w:p w:rsidR="002B3283" w:rsidRDefault="007F1D32" w:rsidP="002B3283">
      <w:pPr>
        <w:pStyle w:val="CEABullet-Level3"/>
        <w:rPr>
          <w:rFonts w:eastAsia="Calibri"/>
          <w:lang w:val="en-GB"/>
        </w:rPr>
      </w:pPr>
      <w:r>
        <w:rPr>
          <w:rFonts w:eastAsia="Calibri"/>
          <w:lang w:val="en-GB"/>
        </w:rPr>
        <w:t>Article 8.2</w:t>
      </w:r>
      <w:r w:rsidR="002B3283">
        <w:rPr>
          <w:rFonts w:eastAsia="Calibri"/>
          <w:lang w:val="en-GB"/>
        </w:rPr>
        <w:t xml:space="preserve">(f): </w:t>
      </w:r>
      <w:r w:rsidR="001B21DC">
        <w:rPr>
          <w:rFonts w:eastAsia="Calibri"/>
          <w:lang w:val="en-GB"/>
        </w:rPr>
        <w:t xml:space="preserve">unlike UCITS PRIPs’ costs, insurance PRIPs’ costs can only be adequately represented if a split is made between costs and risk premium. To allow for a proper comparison, showing an insurance PRIPs yields insurance as well as investment benefits and a UCITS PRIPs only provides investment </w:t>
      </w:r>
      <w:proofErr w:type="gramStart"/>
      <w:r w:rsidR="001B21DC">
        <w:rPr>
          <w:rFonts w:eastAsia="Calibri"/>
          <w:lang w:val="en-GB"/>
        </w:rPr>
        <w:t>benefits,</w:t>
      </w:r>
      <w:proofErr w:type="gramEnd"/>
      <w:r w:rsidR="001B21DC">
        <w:rPr>
          <w:rFonts w:eastAsia="Calibri"/>
          <w:lang w:val="en-GB"/>
        </w:rPr>
        <w:t xml:space="preserve"> a distinction should be made between costs and risk premium.</w:t>
      </w:r>
    </w:p>
    <w:p w:rsidR="001B21DC" w:rsidRDefault="001B21DC" w:rsidP="001B21DC">
      <w:pPr>
        <w:pStyle w:val="CEABullet-Level3"/>
        <w:numPr>
          <w:ilvl w:val="0"/>
          <w:numId w:val="0"/>
        </w:numPr>
        <w:ind w:left="2673"/>
        <w:rPr>
          <w:rFonts w:eastAsia="Calibri"/>
          <w:lang w:val="en-GB"/>
        </w:rPr>
      </w:pPr>
    </w:p>
    <w:p w:rsidR="001B21DC" w:rsidRDefault="001B21DC" w:rsidP="001B21DC">
      <w:pPr>
        <w:pStyle w:val="CEABullet-Level3"/>
        <w:numPr>
          <w:ilvl w:val="0"/>
          <w:numId w:val="0"/>
        </w:numPr>
        <w:ind w:left="2673"/>
        <w:rPr>
          <w:rFonts w:eastAsia="Calibri"/>
          <w:lang w:val="en-GB"/>
        </w:rPr>
      </w:pPr>
      <w:r>
        <w:rPr>
          <w:rFonts w:eastAsia="Calibri"/>
          <w:lang w:val="en-GB"/>
        </w:rPr>
        <w:t>Insurance Europe proposes to include an additional KID section following Article 8.2(f): “</w:t>
      </w:r>
      <w:r w:rsidRPr="001B21DC">
        <w:rPr>
          <w:rFonts w:eastAsia="Calibri"/>
          <w:b/>
          <w:u w:val="single"/>
          <w:lang w:val="en-GB"/>
        </w:rPr>
        <w:t>under a section titled “Premium?</w:t>
      </w:r>
      <w:proofErr w:type="gramStart"/>
      <w:r w:rsidRPr="001B21DC">
        <w:rPr>
          <w:rFonts w:eastAsia="Calibri"/>
          <w:b/>
          <w:u w:val="single"/>
          <w:lang w:val="en-GB"/>
        </w:rPr>
        <w:t>”,</w:t>
      </w:r>
      <w:proofErr w:type="gramEnd"/>
      <w:r w:rsidRPr="001B21DC">
        <w:rPr>
          <w:rFonts w:eastAsia="Calibri"/>
          <w:b/>
          <w:u w:val="single"/>
          <w:lang w:val="en-GB"/>
        </w:rPr>
        <w:t xml:space="preserve"> the minimum entry or investment requirement and the premium payment modalities and flexibility (single or periodic </w:t>
      </w:r>
      <w:commentRangeStart w:id="5"/>
      <w:r w:rsidRPr="001B21DC">
        <w:rPr>
          <w:rFonts w:eastAsia="Calibri"/>
          <w:b/>
          <w:u w:val="single"/>
          <w:lang w:val="en-GB"/>
        </w:rPr>
        <w:t>payment</w:t>
      </w:r>
      <w:commentRangeEnd w:id="5"/>
      <w:r w:rsidR="00A77850">
        <w:rPr>
          <w:rStyle w:val="CommentReference"/>
          <w:rFonts w:cs="Times New Roman"/>
          <w:color w:val="auto"/>
          <w:lang w:val="en-GB"/>
        </w:rPr>
        <w:commentReference w:id="5"/>
      </w:r>
      <w:r w:rsidRPr="001B21DC">
        <w:rPr>
          <w:rFonts w:eastAsia="Calibri"/>
          <w:b/>
          <w:u w:val="single"/>
          <w:lang w:val="en-GB"/>
        </w:rPr>
        <w:t>)</w:t>
      </w:r>
      <w:r>
        <w:rPr>
          <w:rFonts w:eastAsia="Calibri"/>
          <w:lang w:val="en-GB"/>
        </w:rPr>
        <w:t>”</w:t>
      </w:r>
    </w:p>
    <w:p w:rsidR="00A77850" w:rsidRDefault="00A77850" w:rsidP="001B21DC">
      <w:pPr>
        <w:pStyle w:val="CEABullet-Level3"/>
        <w:numPr>
          <w:ilvl w:val="0"/>
          <w:numId w:val="0"/>
        </w:numPr>
        <w:ind w:left="2673"/>
        <w:rPr>
          <w:rFonts w:eastAsia="Calibri"/>
          <w:lang w:val="en-GB"/>
        </w:rPr>
      </w:pPr>
    </w:p>
    <w:p w:rsidR="00A77850" w:rsidRDefault="00A77850" w:rsidP="001B21DC">
      <w:pPr>
        <w:pStyle w:val="CEABullet-Level3"/>
        <w:numPr>
          <w:ilvl w:val="0"/>
          <w:numId w:val="0"/>
        </w:numPr>
        <w:ind w:left="2673"/>
        <w:rPr>
          <w:rFonts w:eastAsia="Calibri"/>
          <w:lang w:val="en-GB"/>
        </w:rPr>
      </w:pPr>
      <w:r>
        <w:rPr>
          <w:rFonts w:eastAsia="Calibri"/>
          <w:lang w:val="en-GB"/>
        </w:rPr>
        <w:t>Insurance Europe also proposes to amend Recital 11:</w:t>
      </w:r>
      <w:r w:rsidRPr="00A77850">
        <w:rPr>
          <w:rFonts w:ascii="Times New Roman" w:eastAsiaTheme="minorEastAsia" w:hAnsi="Times New Roman" w:cs="Times New Roman"/>
          <w:sz w:val="24"/>
          <w:szCs w:val="24"/>
          <w:lang w:val="en-GB" w:eastAsia="en-GB"/>
        </w:rPr>
        <w:t xml:space="preserve"> </w:t>
      </w:r>
      <w:r>
        <w:rPr>
          <w:rFonts w:ascii="Times New Roman" w:eastAsiaTheme="minorEastAsia" w:hAnsi="Times New Roman" w:cs="Times New Roman"/>
          <w:sz w:val="24"/>
          <w:szCs w:val="24"/>
          <w:lang w:val="en-GB" w:eastAsia="en-GB"/>
        </w:rPr>
        <w:t>“</w:t>
      </w:r>
      <w:r w:rsidRPr="00A77850">
        <w:rPr>
          <w:rFonts w:ascii="Times New Roman" w:eastAsiaTheme="minorEastAsia" w:hAnsi="Times New Roman" w:cs="Times New Roman"/>
          <w:i/>
          <w:sz w:val="24"/>
          <w:szCs w:val="24"/>
          <w:lang w:val="en-GB" w:eastAsia="en-GB"/>
        </w:rPr>
        <w:t>(…)</w:t>
      </w:r>
      <w:r w:rsidRPr="00A77850">
        <w:rPr>
          <w:rFonts w:eastAsia="Calibri"/>
          <w:i/>
          <w:lang w:val="en-GB"/>
        </w:rPr>
        <w:t xml:space="preserve">The key information document should therefore only contain key information, notably as regards the nature and features of the product, including whether it is possible to lose capital, the costs, </w:t>
      </w:r>
      <w:r w:rsidRPr="00A77850">
        <w:rPr>
          <w:rFonts w:eastAsia="Calibri"/>
          <w:b/>
          <w:i/>
          <w:u w:val="single"/>
          <w:lang w:val="en-GB"/>
        </w:rPr>
        <w:t>the premium</w:t>
      </w:r>
      <w:r w:rsidRPr="00A77850">
        <w:rPr>
          <w:rFonts w:eastAsia="Calibri"/>
          <w:i/>
          <w:lang w:val="en-GB"/>
        </w:rPr>
        <w:t xml:space="preserve"> and risk profile of the product, as well as relevant performance information, and certain other specific information which may be necessary for understanding the features of individual types of products, including those intended to be used for retirement planning.</w:t>
      </w:r>
      <w:r>
        <w:rPr>
          <w:rFonts w:eastAsia="Calibri"/>
          <w:lang w:val="en-GB"/>
        </w:rPr>
        <w:t>”</w:t>
      </w:r>
    </w:p>
    <w:p w:rsidR="001B21DC" w:rsidRDefault="001B21DC" w:rsidP="001B21DC">
      <w:pPr>
        <w:pStyle w:val="CEABullet-Level3"/>
        <w:numPr>
          <w:ilvl w:val="0"/>
          <w:numId w:val="0"/>
        </w:numPr>
        <w:ind w:left="2673"/>
        <w:rPr>
          <w:rFonts w:eastAsia="Calibri"/>
          <w:lang w:val="en-GB"/>
        </w:rPr>
      </w:pPr>
    </w:p>
    <w:p w:rsidR="007F1D32" w:rsidRDefault="007F1D32" w:rsidP="002B3283">
      <w:pPr>
        <w:pStyle w:val="CEABullet-Level3"/>
        <w:rPr>
          <w:rFonts w:eastAsia="Calibri"/>
          <w:lang w:val="en-GB"/>
        </w:rPr>
      </w:pPr>
      <w:r>
        <w:rPr>
          <w:rFonts w:eastAsia="Calibri"/>
          <w:lang w:val="en-GB"/>
        </w:rPr>
        <w:t>Article 8.2(c</w:t>
      </w:r>
      <w:proofErr w:type="gramStart"/>
      <w:r>
        <w:rPr>
          <w:rFonts w:eastAsia="Calibri"/>
          <w:lang w:val="en-GB"/>
        </w:rPr>
        <w:t>)(</w:t>
      </w:r>
      <w:proofErr w:type="spellStart"/>
      <w:proofErr w:type="gramEnd"/>
      <w:r>
        <w:rPr>
          <w:rFonts w:eastAsia="Calibri"/>
          <w:lang w:val="en-GB"/>
        </w:rPr>
        <w:t>i</w:t>
      </w:r>
      <w:proofErr w:type="spellEnd"/>
      <w:r>
        <w:rPr>
          <w:rFonts w:eastAsia="Calibri"/>
          <w:lang w:val="en-GB"/>
        </w:rPr>
        <w:t xml:space="preserve">): Insurance Europe wishes to stress the fact information about guarantees is important to help consumers understand the quality of the capital protection behind the product they purchase. In order to ensure efficient comparison between products, the notion of a “guarantee” should be used solely if the guarantee techniques are supported by a result obligation and by appropriate capital requirements. For insurance products, the inherent value of capital guarantees provided by life insurance companies is ensured by the contractual obligation to provide that guarantee in any case and by stringent solvency requirements to the benefit of consumers. This is seemingly not the case for capital “guarantees” offered by UCITS. Whereas Solvency II requirements were adopted for insurance and Basel II requirements for the </w:t>
      </w:r>
      <w:r>
        <w:rPr>
          <w:rFonts w:eastAsia="Calibri"/>
          <w:lang w:val="en-GB"/>
        </w:rPr>
        <w:lastRenderedPageBreak/>
        <w:t xml:space="preserve">banking sector, there are no corresponding prudential requirements for the asset management sector. Insurance Europe deems it important to inform consumers whether a product that is sold with a “guarantee” is managed and supervised in such a way that the company is ultimately obliged to deliver this guarantee. As a minimum, and in addition to a clear disclosure of the existence or otherwise of a prudential regime covering the “guarantee”, the name of the guarantor should be </w:t>
      </w:r>
      <w:commentRangeStart w:id="6"/>
      <w:r>
        <w:rPr>
          <w:rFonts w:eastAsia="Calibri"/>
          <w:lang w:val="en-GB"/>
        </w:rPr>
        <w:t>indicated</w:t>
      </w:r>
      <w:commentRangeEnd w:id="6"/>
      <w:r>
        <w:rPr>
          <w:rStyle w:val="CommentReference"/>
          <w:rFonts w:cs="Times New Roman"/>
          <w:color w:val="auto"/>
          <w:lang w:val="en-GB"/>
        </w:rPr>
        <w:commentReference w:id="6"/>
      </w:r>
      <w:r>
        <w:rPr>
          <w:rFonts w:eastAsia="Calibri"/>
          <w:lang w:val="en-GB"/>
        </w:rPr>
        <w:t>.</w:t>
      </w:r>
    </w:p>
    <w:p w:rsidR="00DE7726" w:rsidRDefault="00DE7726" w:rsidP="00DE7726">
      <w:pPr>
        <w:pStyle w:val="CEABullet-Level3"/>
        <w:numPr>
          <w:ilvl w:val="0"/>
          <w:numId w:val="0"/>
        </w:numPr>
        <w:ind w:left="2673"/>
        <w:rPr>
          <w:rFonts w:eastAsia="Calibri"/>
          <w:lang w:val="en-GB"/>
        </w:rPr>
      </w:pPr>
    </w:p>
    <w:p w:rsidR="00DE7726" w:rsidRDefault="00DE7726" w:rsidP="00DE7726">
      <w:pPr>
        <w:pStyle w:val="CEABullet-Level3"/>
        <w:numPr>
          <w:ilvl w:val="0"/>
          <w:numId w:val="0"/>
        </w:numPr>
        <w:ind w:left="2673"/>
        <w:rPr>
          <w:rFonts w:eastAsia="Calibri"/>
          <w:lang w:val="en-GB"/>
        </w:rPr>
      </w:pPr>
      <w:r>
        <w:rPr>
          <w:rFonts w:eastAsia="Calibri"/>
          <w:lang w:val="en-GB"/>
        </w:rPr>
        <w:t>Insurance Europe proposes to reword Article 8.2(c</w:t>
      </w:r>
      <w:proofErr w:type="gramStart"/>
      <w:r>
        <w:rPr>
          <w:rFonts w:eastAsia="Calibri"/>
          <w:lang w:val="en-GB"/>
        </w:rPr>
        <w:t>)(</w:t>
      </w:r>
      <w:proofErr w:type="spellStart"/>
      <w:proofErr w:type="gramEnd"/>
      <w:r>
        <w:rPr>
          <w:rFonts w:eastAsia="Calibri"/>
          <w:lang w:val="en-GB"/>
        </w:rPr>
        <w:t>i</w:t>
      </w:r>
      <w:proofErr w:type="spellEnd"/>
      <w:r>
        <w:rPr>
          <w:rFonts w:eastAsia="Calibri"/>
          <w:lang w:val="en-GB"/>
        </w:rPr>
        <w:t>): “</w:t>
      </w:r>
      <w:r w:rsidRPr="00A77850">
        <w:rPr>
          <w:rFonts w:eastAsia="Calibri"/>
          <w:i/>
          <w:lang w:val="en-GB"/>
        </w:rPr>
        <w:t xml:space="preserve">any guarantees </w:t>
      </w:r>
      <w:r w:rsidRPr="00A77850">
        <w:rPr>
          <w:rFonts w:eastAsia="Calibri"/>
          <w:i/>
          <w:dstrike/>
          <w:lang w:val="en-GB"/>
        </w:rPr>
        <w:t>or</w:t>
      </w:r>
      <w:r w:rsidRPr="00A77850">
        <w:rPr>
          <w:rFonts w:eastAsia="Calibri"/>
          <w:i/>
          <w:lang w:val="en-GB"/>
        </w:rPr>
        <w:t xml:space="preserve">  </w:t>
      </w:r>
      <w:r w:rsidRPr="00A77850">
        <w:rPr>
          <w:rFonts w:eastAsia="Calibri"/>
          <w:b/>
          <w:i/>
          <w:u w:val="single"/>
          <w:lang w:val="en-GB"/>
        </w:rPr>
        <w:t>and</w:t>
      </w:r>
      <w:r w:rsidRPr="00A77850">
        <w:rPr>
          <w:rFonts w:eastAsia="Calibri"/>
          <w:i/>
          <w:lang w:val="en-GB"/>
        </w:rPr>
        <w:t xml:space="preserve"> capital protection provided, as well as any limitation to these </w:t>
      </w:r>
      <w:r w:rsidRPr="00A77850">
        <w:rPr>
          <w:rFonts w:eastAsia="Calibri"/>
          <w:b/>
          <w:i/>
          <w:u w:val="single"/>
          <w:lang w:val="en-GB"/>
        </w:rPr>
        <w:t>and the name of guarantor</w:t>
      </w:r>
      <w:r w:rsidRPr="00A77850">
        <w:rPr>
          <w:rFonts w:eastAsia="Calibri"/>
          <w:i/>
          <w:lang w:val="en-GB"/>
        </w:rPr>
        <w:t>.</w:t>
      </w:r>
      <w:r>
        <w:rPr>
          <w:rFonts w:eastAsia="Calibri"/>
          <w:lang w:val="en-GB"/>
        </w:rPr>
        <w:t>”</w:t>
      </w:r>
    </w:p>
    <w:p w:rsidR="00DE7726" w:rsidRDefault="00DE7726" w:rsidP="00DE7726">
      <w:pPr>
        <w:pStyle w:val="CEABullet-Level3"/>
        <w:numPr>
          <w:ilvl w:val="0"/>
          <w:numId w:val="0"/>
        </w:numPr>
        <w:ind w:left="2673"/>
        <w:rPr>
          <w:rFonts w:eastAsia="Calibri"/>
          <w:lang w:val="en-GB"/>
        </w:rPr>
      </w:pPr>
    </w:p>
    <w:p w:rsidR="007F1D32" w:rsidRPr="007F1D32" w:rsidRDefault="007F1D32" w:rsidP="007F1D32">
      <w:pPr>
        <w:pStyle w:val="CEABullet-Level2"/>
        <w:rPr>
          <w:rFonts w:eastAsia="Calibri"/>
          <w:lang w:val="en-GB"/>
        </w:rPr>
      </w:pPr>
      <w:r w:rsidRPr="007F1D32">
        <w:rPr>
          <w:rFonts w:eastAsia="Calibri"/>
          <w:lang w:val="en-GB"/>
        </w:rPr>
        <w:t>Art</w:t>
      </w:r>
      <w:r>
        <w:rPr>
          <w:rFonts w:eastAsia="Calibri"/>
          <w:lang w:val="en-GB"/>
        </w:rPr>
        <w:t>icle 8.1</w:t>
      </w:r>
      <w:r w:rsidRPr="007F1D32">
        <w:rPr>
          <w:rFonts w:eastAsia="Calibri"/>
          <w:lang w:val="en-GB"/>
        </w:rPr>
        <w:t>: to maintain neutral wording between “investment product” and “insurance product”, Insurance Europe suggests rewording the KID’s explanatory statement: ‘</w:t>
      </w:r>
      <w:r w:rsidRPr="007F1D32">
        <w:rPr>
          <w:rFonts w:eastAsia="Calibri"/>
          <w:i/>
          <w:lang w:val="en-GB"/>
        </w:rPr>
        <w:t xml:space="preserve">This document provides you with key information about this </w:t>
      </w:r>
      <w:r w:rsidRPr="007F1D32">
        <w:rPr>
          <w:rFonts w:eastAsia="Calibri"/>
          <w:i/>
          <w:dstrike/>
          <w:lang w:val="en-GB"/>
        </w:rPr>
        <w:t>investment</w:t>
      </w:r>
      <w:r w:rsidRPr="007F1D32">
        <w:rPr>
          <w:rFonts w:eastAsia="Calibri"/>
          <w:i/>
          <w:lang w:val="en-GB"/>
        </w:rPr>
        <w:t xml:space="preserve"> product. It is not marketing material. The information is required by law to help you understand the nature of this investment product and the risks of investing in it. You are advised to read it so that you can take an informed decision about whether to invest.</w:t>
      </w:r>
      <w:r w:rsidRPr="007F1D32">
        <w:rPr>
          <w:rFonts w:eastAsia="Calibri"/>
          <w:lang w:val="en-GB"/>
        </w:rPr>
        <w:t>’</w:t>
      </w:r>
    </w:p>
    <w:p w:rsidR="007F1D32" w:rsidRPr="007F1D32" w:rsidRDefault="007F1D32" w:rsidP="007F1D32">
      <w:pPr>
        <w:pStyle w:val="CEABullet-Level2"/>
        <w:numPr>
          <w:ilvl w:val="0"/>
          <w:numId w:val="0"/>
        </w:numPr>
        <w:ind w:left="1800"/>
        <w:rPr>
          <w:rFonts w:eastAsia="Calibri"/>
          <w:lang w:val="en-GB"/>
        </w:rPr>
      </w:pPr>
    </w:p>
    <w:p w:rsidR="00DD3BEC" w:rsidRPr="00A77850" w:rsidRDefault="00A77850" w:rsidP="007D6781">
      <w:pPr>
        <w:pStyle w:val="CEABullet-Level1"/>
        <w:rPr>
          <w:rFonts w:eastAsia="Calibri"/>
          <w:lang w:val="en-GB"/>
        </w:rPr>
      </w:pPr>
      <w:r>
        <w:rPr>
          <w:rFonts w:eastAsia="Calibri"/>
          <w:lang w:val="en-GB"/>
        </w:rPr>
        <w:t>I</w:t>
      </w:r>
      <w:r w:rsidR="00DD3BEC" w:rsidRPr="00F32517">
        <w:rPr>
          <w:rFonts w:eastAsia="Calibri"/>
          <w:lang w:val="en-GB"/>
        </w:rPr>
        <w:t xml:space="preserve">nsurance contracts have a policyholder, an insured person and a beneficiary which can be 3 different persons. </w:t>
      </w:r>
      <w:r>
        <w:rPr>
          <w:rFonts w:eastAsia="Calibri"/>
          <w:lang w:val="en-GB"/>
        </w:rPr>
        <w:t xml:space="preserve">Questions such as Article 8.2(h) “What are the risks and what might I get back” are therefore misleading the customer because in certain cases the beneficiary is a third person, not the policyholder. </w:t>
      </w:r>
    </w:p>
    <w:p w:rsidR="007A0D53" w:rsidRDefault="00EA31A3" w:rsidP="007A0D53">
      <w:pPr>
        <w:pStyle w:val="CEABullet-Level1"/>
        <w:numPr>
          <w:ilvl w:val="0"/>
          <w:numId w:val="0"/>
        </w:numPr>
        <w:ind w:left="720"/>
        <w:rPr>
          <w:rFonts w:eastAsia="Calibri"/>
          <w:lang w:val="en-GB"/>
        </w:rPr>
      </w:pPr>
      <w:r>
        <w:rPr>
          <w:rStyle w:val="CommentReference"/>
          <w:rFonts w:cs="Times New Roman"/>
          <w:color w:val="auto"/>
          <w:lang w:val="en-GB"/>
        </w:rPr>
        <w:commentReference w:id="7"/>
      </w:r>
    </w:p>
    <w:p w:rsidR="000D0CDC" w:rsidRPr="000D0CDC" w:rsidRDefault="007A0D53" w:rsidP="007A0D53">
      <w:pPr>
        <w:pStyle w:val="CEABullet-Level1"/>
        <w:rPr>
          <w:rFonts w:eastAsia="Calibri"/>
          <w:b/>
          <w:lang w:val="en-GB"/>
        </w:rPr>
      </w:pPr>
      <w:r w:rsidRPr="00F32517">
        <w:rPr>
          <w:rFonts w:eastAsia="Calibri"/>
          <w:b/>
          <w:lang w:val="en-GB"/>
        </w:rPr>
        <w:t>Level of prescriptiveness:</w:t>
      </w:r>
      <w:r w:rsidRPr="00F32517">
        <w:rPr>
          <w:rFonts w:eastAsia="Calibri"/>
          <w:lang w:val="en-GB"/>
        </w:rPr>
        <w:t xml:space="preserve"> The </w:t>
      </w:r>
      <w:r>
        <w:rPr>
          <w:rFonts w:eastAsia="Calibri"/>
          <w:lang w:val="en-GB"/>
        </w:rPr>
        <w:t xml:space="preserve">PRIPs </w:t>
      </w:r>
      <w:r w:rsidRPr="00F32517">
        <w:rPr>
          <w:rFonts w:eastAsia="Calibri"/>
          <w:lang w:val="en-GB"/>
        </w:rPr>
        <w:t>proposal</w:t>
      </w:r>
      <w:r w:rsidR="00A77850">
        <w:rPr>
          <w:rFonts w:eastAsia="Calibri"/>
          <w:lang w:val="en-GB"/>
        </w:rPr>
        <w:t xml:space="preserve">’s headings use rather </w:t>
      </w:r>
      <w:r w:rsidR="000D0CDC">
        <w:rPr>
          <w:rFonts w:eastAsia="Calibri"/>
          <w:lang w:val="en-GB"/>
        </w:rPr>
        <w:t xml:space="preserve">informal and </w:t>
      </w:r>
      <w:r w:rsidR="00A77850">
        <w:rPr>
          <w:rFonts w:eastAsia="Calibri"/>
          <w:lang w:val="en-GB"/>
        </w:rPr>
        <w:t>negative wording</w:t>
      </w:r>
      <w:r w:rsidR="000D0CDC">
        <w:rPr>
          <w:rFonts w:eastAsia="Calibri"/>
          <w:lang w:val="en-GB"/>
        </w:rPr>
        <w:t xml:space="preserve">.   In certain markets, retail investors are not accustomed to such informal wording and/or may be </w:t>
      </w:r>
      <w:r w:rsidR="007F74D0">
        <w:rPr>
          <w:rFonts w:eastAsia="Calibri"/>
          <w:lang w:val="en-GB"/>
        </w:rPr>
        <w:t xml:space="preserve">alarmed </w:t>
      </w:r>
      <w:r w:rsidR="000D0CDC">
        <w:rPr>
          <w:rFonts w:eastAsia="Calibri"/>
          <w:lang w:val="en-GB"/>
        </w:rPr>
        <w:t xml:space="preserve">by negative questions such as “Could I lose money”. </w:t>
      </w:r>
      <w:r w:rsidR="00A77850">
        <w:rPr>
          <w:rFonts w:eastAsia="Calibri"/>
          <w:lang w:val="en-GB"/>
        </w:rPr>
        <w:t>In addition, the KID is a non-personalised standard document</w:t>
      </w:r>
      <w:r w:rsidR="000D0CDC">
        <w:rPr>
          <w:rFonts w:eastAsia="Calibri"/>
          <w:lang w:val="en-GB"/>
        </w:rPr>
        <w:t>,</w:t>
      </w:r>
      <w:r w:rsidR="00A77850">
        <w:rPr>
          <w:rFonts w:eastAsia="Calibri"/>
          <w:lang w:val="en-GB"/>
        </w:rPr>
        <w:t xml:space="preserve"> however</w:t>
      </w:r>
      <w:r w:rsidR="000D0CDC">
        <w:rPr>
          <w:rFonts w:eastAsia="Calibri"/>
          <w:lang w:val="en-GB"/>
        </w:rPr>
        <w:t>,</w:t>
      </w:r>
      <w:r w:rsidR="00A77850">
        <w:rPr>
          <w:rFonts w:eastAsia="Calibri"/>
          <w:lang w:val="en-GB"/>
        </w:rPr>
        <w:t xml:space="preserve"> using questions in the first person creates the impression it </w:t>
      </w:r>
      <w:r w:rsidR="007F74D0">
        <w:rPr>
          <w:rFonts w:eastAsia="Calibri"/>
          <w:lang w:val="en-GB"/>
        </w:rPr>
        <w:t>contains personalised information</w:t>
      </w:r>
      <w:r w:rsidR="00A77850">
        <w:rPr>
          <w:rFonts w:eastAsia="Calibri"/>
          <w:lang w:val="en-GB"/>
        </w:rPr>
        <w:t xml:space="preserve">. Insurance Europe therefore suggests </w:t>
      </w:r>
      <w:r w:rsidR="007D6615">
        <w:rPr>
          <w:rFonts w:eastAsia="Calibri"/>
          <w:lang w:val="en-GB"/>
        </w:rPr>
        <w:t xml:space="preserve">using more neutral headings, as applied to the </w:t>
      </w:r>
      <w:r w:rsidR="000D0CDC">
        <w:rPr>
          <w:rFonts w:eastAsia="Calibri"/>
          <w:lang w:val="en-GB"/>
        </w:rPr>
        <w:t>UCITS KIID</w:t>
      </w:r>
      <w:r w:rsidR="007D6615">
        <w:rPr>
          <w:rFonts w:eastAsia="Calibri"/>
          <w:lang w:val="en-GB"/>
        </w:rPr>
        <w:t>,</w:t>
      </w:r>
      <w:r w:rsidR="000D0CDC">
        <w:rPr>
          <w:rFonts w:eastAsia="Calibri"/>
          <w:lang w:val="en-GB"/>
        </w:rPr>
        <w:t xml:space="preserve"> and proposes the following amendments:</w:t>
      </w:r>
    </w:p>
    <w:p w:rsidR="000D0CDC" w:rsidRDefault="000D0CDC" w:rsidP="000D0CDC">
      <w:pPr>
        <w:pStyle w:val="ListParagraph"/>
        <w:rPr>
          <w:rFonts w:eastAsia="Calibri"/>
        </w:rPr>
      </w:pPr>
    </w:p>
    <w:p w:rsidR="000D0CDC" w:rsidRDefault="000D0CDC" w:rsidP="007D6615">
      <w:pPr>
        <w:pStyle w:val="CEABullet-Level2"/>
        <w:rPr>
          <w:rFonts w:eastAsia="Calibri"/>
          <w:lang w:val="en-GB"/>
        </w:rPr>
      </w:pPr>
      <w:r w:rsidRPr="007D6615">
        <w:rPr>
          <w:rFonts w:eastAsia="Calibri"/>
          <w:lang w:val="en-GB"/>
        </w:rPr>
        <w:t>Article 8.2(b)</w:t>
      </w:r>
      <w:r>
        <w:rPr>
          <w:rFonts w:eastAsia="Calibri"/>
          <w:lang w:val="en-GB"/>
        </w:rPr>
        <w:t>:</w:t>
      </w:r>
      <w:r w:rsidRPr="007D6615">
        <w:rPr>
          <w:rFonts w:eastAsia="Calibri"/>
          <w:lang w:val="en-GB"/>
        </w:rPr>
        <w:t xml:space="preserve"> “What is this investment”</w:t>
      </w:r>
      <w:r>
        <w:rPr>
          <w:rFonts w:eastAsia="Calibri"/>
          <w:lang w:val="en-GB"/>
        </w:rPr>
        <w:t xml:space="preserve"> to be replaced by </w:t>
      </w:r>
      <w:r w:rsidR="007D6615">
        <w:rPr>
          <w:rFonts w:eastAsia="Calibri"/>
          <w:lang w:val="en-GB"/>
        </w:rPr>
        <w:t>“Identification of the product”</w:t>
      </w:r>
    </w:p>
    <w:p w:rsidR="007D6615" w:rsidRPr="007D6615" w:rsidRDefault="007D6615" w:rsidP="007D6615">
      <w:pPr>
        <w:pStyle w:val="CEABullet-Level3"/>
        <w:numPr>
          <w:ilvl w:val="0"/>
          <w:numId w:val="0"/>
        </w:numPr>
        <w:ind w:left="2673"/>
        <w:rPr>
          <w:rFonts w:eastAsia="Calibri"/>
          <w:lang w:val="en-GB"/>
        </w:rPr>
      </w:pPr>
    </w:p>
    <w:p w:rsidR="000D0CDC" w:rsidRDefault="000D0CDC" w:rsidP="007D6615">
      <w:pPr>
        <w:pStyle w:val="CEABullet-Level2"/>
        <w:rPr>
          <w:rFonts w:eastAsia="Calibri"/>
          <w:lang w:val="en-GB"/>
        </w:rPr>
      </w:pPr>
      <w:r w:rsidRPr="007D6615">
        <w:rPr>
          <w:rFonts w:eastAsia="Calibri"/>
          <w:lang w:val="en-GB"/>
        </w:rPr>
        <w:t>Article 8.2(c)</w:t>
      </w:r>
      <w:r>
        <w:rPr>
          <w:rFonts w:eastAsia="Calibri"/>
          <w:lang w:val="en-GB"/>
        </w:rPr>
        <w:t>:</w:t>
      </w:r>
      <w:r w:rsidRPr="007D6615">
        <w:rPr>
          <w:rFonts w:eastAsia="Calibri"/>
          <w:lang w:val="en-GB"/>
        </w:rPr>
        <w:t xml:space="preserve"> “Could I lose money”</w:t>
      </w:r>
      <w:r w:rsidR="007D6615">
        <w:rPr>
          <w:rFonts w:eastAsia="Calibri"/>
          <w:lang w:val="en-GB"/>
        </w:rPr>
        <w:t xml:space="preserve"> to be replaced by “ Guarantees”</w:t>
      </w:r>
    </w:p>
    <w:p w:rsidR="007D6615" w:rsidRPr="007D6615" w:rsidRDefault="007D6615" w:rsidP="007D6615">
      <w:pPr>
        <w:pStyle w:val="CEABullet-Level3"/>
        <w:numPr>
          <w:ilvl w:val="0"/>
          <w:numId w:val="0"/>
        </w:numPr>
        <w:ind w:left="2673"/>
        <w:rPr>
          <w:rFonts w:eastAsia="Calibri"/>
          <w:lang w:val="en-GB"/>
        </w:rPr>
      </w:pPr>
    </w:p>
    <w:p w:rsidR="000D0CDC" w:rsidRDefault="000D0CDC" w:rsidP="007D6615">
      <w:pPr>
        <w:pStyle w:val="CEABullet-Level2"/>
        <w:rPr>
          <w:rFonts w:eastAsia="Calibri"/>
          <w:lang w:val="en-GB"/>
        </w:rPr>
      </w:pPr>
      <w:r w:rsidRPr="007D6615">
        <w:rPr>
          <w:rFonts w:eastAsia="Calibri"/>
          <w:lang w:val="en-GB"/>
        </w:rPr>
        <w:t>Article 8.2(d)</w:t>
      </w:r>
      <w:r>
        <w:rPr>
          <w:rFonts w:eastAsia="Calibri"/>
          <w:lang w:val="en-GB"/>
        </w:rPr>
        <w:t>:</w:t>
      </w:r>
      <w:r w:rsidRPr="007D6615">
        <w:rPr>
          <w:rFonts w:eastAsia="Calibri"/>
          <w:lang w:val="en-GB"/>
        </w:rPr>
        <w:t xml:space="preserve"> </w:t>
      </w:r>
      <w:r>
        <w:rPr>
          <w:rFonts w:eastAsia="Calibri"/>
          <w:lang w:val="en-GB"/>
        </w:rPr>
        <w:t>“What is it for”</w:t>
      </w:r>
      <w:r w:rsidR="007D6615">
        <w:rPr>
          <w:rFonts w:eastAsia="Calibri"/>
          <w:lang w:val="en-GB"/>
        </w:rPr>
        <w:t xml:space="preserve"> to be replaced by “Objectives and investment policy”</w:t>
      </w:r>
    </w:p>
    <w:p w:rsidR="007D6615" w:rsidRPr="007D6615" w:rsidRDefault="007D6615" w:rsidP="007D6615">
      <w:pPr>
        <w:pStyle w:val="CEABullet-Level3"/>
        <w:numPr>
          <w:ilvl w:val="0"/>
          <w:numId w:val="0"/>
        </w:numPr>
        <w:ind w:left="2673"/>
        <w:rPr>
          <w:rFonts w:eastAsia="Calibri"/>
          <w:lang w:val="en-GB"/>
        </w:rPr>
      </w:pPr>
    </w:p>
    <w:p w:rsidR="000D0CDC" w:rsidRDefault="000D0CDC" w:rsidP="007D6615">
      <w:pPr>
        <w:pStyle w:val="CEABullet-Level2"/>
        <w:rPr>
          <w:rFonts w:eastAsia="Calibri"/>
          <w:lang w:val="en-GB"/>
        </w:rPr>
      </w:pPr>
      <w:r w:rsidRPr="007D6615">
        <w:rPr>
          <w:rFonts w:eastAsia="Calibri"/>
          <w:lang w:val="en-GB"/>
        </w:rPr>
        <w:t>Article 8.2 (e)</w:t>
      </w:r>
      <w:r>
        <w:rPr>
          <w:rFonts w:eastAsia="Calibri"/>
          <w:lang w:val="en-GB"/>
        </w:rPr>
        <w:t>:</w:t>
      </w:r>
      <w:r w:rsidRPr="007D6615">
        <w:rPr>
          <w:rFonts w:eastAsia="Calibri"/>
          <w:lang w:val="en-GB"/>
        </w:rPr>
        <w:t xml:space="preserve"> </w:t>
      </w:r>
      <w:r>
        <w:rPr>
          <w:rFonts w:eastAsia="Calibri"/>
          <w:lang w:val="en-GB"/>
        </w:rPr>
        <w:t>“What are the risks and what might I get back”</w:t>
      </w:r>
      <w:r w:rsidR="007D6615">
        <w:rPr>
          <w:rFonts w:eastAsia="Calibri"/>
          <w:lang w:val="en-GB"/>
        </w:rPr>
        <w:t xml:space="preserve"> to be replaced by “Risk and reward profile”</w:t>
      </w:r>
    </w:p>
    <w:p w:rsidR="007D6615" w:rsidRPr="007D6615" w:rsidRDefault="007D6615" w:rsidP="007D6615">
      <w:pPr>
        <w:pStyle w:val="CEABullet-Level3"/>
        <w:numPr>
          <w:ilvl w:val="0"/>
          <w:numId w:val="0"/>
        </w:numPr>
        <w:ind w:left="2673"/>
        <w:rPr>
          <w:rFonts w:eastAsia="Calibri"/>
          <w:lang w:val="en-GB"/>
        </w:rPr>
      </w:pPr>
    </w:p>
    <w:p w:rsidR="000D0CDC" w:rsidRDefault="000D0CDC" w:rsidP="007D6615">
      <w:pPr>
        <w:pStyle w:val="CEABullet-Level2"/>
        <w:rPr>
          <w:rFonts w:eastAsia="Calibri"/>
          <w:lang w:val="en-GB"/>
        </w:rPr>
      </w:pPr>
      <w:r w:rsidRPr="007D6615">
        <w:rPr>
          <w:rFonts w:eastAsia="Calibri"/>
          <w:lang w:val="en-GB"/>
        </w:rPr>
        <w:t>Article 8.2(f)</w:t>
      </w:r>
      <w:r>
        <w:rPr>
          <w:rFonts w:eastAsia="Calibri"/>
          <w:lang w:val="en-GB"/>
        </w:rPr>
        <w:t>:</w:t>
      </w:r>
      <w:r w:rsidRPr="007D6615">
        <w:rPr>
          <w:rFonts w:eastAsia="Calibri"/>
          <w:lang w:val="en-GB"/>
        </w:rPr>
        <w:t xml:space="preserve"> </w:t>
      </w:r>
      <w:r>
        <w:rPr>
          <w:rFonts w:eastAsia="Calibri"/>
          <w:lang w:val="en-GB"/>
        </w:rPr>
        <w:t>“What are the costs”</w:t>
      </w:r>
      <w:r w:rsidR="007D6615">
        <w:rPr>
          <w:rFonts w:eastAsia="Calibri"/>
          <w:lang w:val="en-GB"/>
        </w:rPr>
        <w:t xml:space="preserve"> to be replaced by two separate sections “Charges” and “Premium”</w:t>
      </w:r>
    </w:p>
    <w:p w:rsidR="007D6615" w:rsidRPr="007D6615" w:rsidRDefault="007D6615" w:rsidP="007D6615">
      <w:pPr>
        <w:pStyle w:val="CEABullet-Level3"/>
        <w:numPr>
          <w:ilvl w:val="0"/>
          <w:numId w:val="0"/>
        </w:numPr>
        <w:ind w:left="2673"/>
        <w:rPr>
          <w:rFonts w:eastAsia="Calibri"/>
          <w:lang w:val="en-GB"/>
        </w:rPr>
      </w:pPr>
    </w:p>
    <w:p w:rsidR="000D0CDC" w:rsidRDefault="000D0CDC" w:rsidP="007D6615">
      <w:pPr>
        <w:pStyle w:val="CEABullet-Level2"/>
        <w:rPr>
          <w:rFonts w:eastAsia="Calibri"/>
          <w:lang w:val="en-GB"/>
        </w:rPr>
      </w:pPr>
      <w:r w:rsidRPr="007D6615">
        <w:rPr>
          <w:rFonts w:eastAsia="Calibri"/>
          <w:lang w:val="en-GB"/>
        </w:rPr>
        <w:t>Article 8.2(g)</w:t>
      </w:r>
      <w:r>
        <w:rPr>
          <w:rFonts w:eastAsia="Calibri"/>
          <w:lang w:val="en-GB"/>
        </w:rPr>
        <w:t>:</w:t>
      </w:r>
      <w:r w:rsidRPr="007D6615">
        <w:rPr>
          <w:rFonts w:eastAsia="Calibri"/>
          <w:lang w:val="en-GB"/>
        </w:rPr>
        <w:t> </w:t>
      </w:r>
      <w:r>
        <w:rPr>
          <w:rFonts w:eastAsia="Calibri"/>
          <w:lang w:val="en-GB"/>
        </w:rPr>
        <w:t>“How has it done in the past”</w:t>
      </w:r>
      <w:r w:rsidR="007D6615">
        <w:rPr>
          <w:rFonts w:eastAsia="Calibri"/>
          <w:lang w:val="en-GB"/>
        </w:rPr>
        <w:t xml:space="preserve"> by “Past-performance”</w:t>
      </w:r>
    </w:p>
    <w:p w:rsidR="007D6615" w:rsidRPr="007D6615" w:rsidRDefault="007D6615" w:rsidP="007D6615">
      <w:pPr>
        <w:pStyle w:val="CEABullet-Level3"/>
        <w:numPr>
          <w:ilvl w:val="0"/>
          <w:numId w:val="0"/>
        </w:numPr>
        <w:ind w:left="2673"/>
        <w:rPr>
          <w:rFonts w:eastAsia="Calibri"/>
          <w:lang w:val="en-GB"/>
        </w:rPr>
      </w:pPr>
    </w:p>
    <w:p w:rsidR="000D0CDC" w:rsidRDefault="000D0CDC" w:rsidP="007D6615">
      <w:pPr>
        <w:pStyle w:val="CEABullet-Level2"/>
        <w:rPr>
          <w:rFonts w:eastAsia="Calibri"/>
          <w:lang w:val="en-GB"/>
        </w:rPr>
      </w:pPr>
      <w:r>
        <w:rPr>
          <w:rFonts w:eastAsia="Calibri"/>
          <w:lang w:val="en-GB"/>
        </w:rPr>
        <w:t>Article 8.2(h): “What might I get when I retire”</w:t>
      </w:r>
      <w:r w:rsidR="007D6615">
        <w:rPr>
          <w:rFonts w:eastAsia="Calibri"/>
          <w:lang w:val="en-GB"/>
        </w:rPr>
        <w:t xml:space="preserve"> to be replaced by  “Retirement benefits”</w:t>
      </w:r>
    </w:p>
    <w:p w:rsidR="007D6615" w:rsidRPr="007D6615" w:rsidRDefault="007D6615" w:rsidP="007D6615">
      <w:pPr>
        <w:pStyle w:val="CEABullet-Level3"/>
        <w:numPr>
          <w:ilvl w:val="0"/>
          <w:numId w:val="0"/>
        </w:numPr>
        <w:ind w:left="2673"/>
        <w:rPr>
          <w:rFonts w:eastAsia="Calibri"/>
          <w:lang w:val="en-GB"/>
        </w:rPr>
      </w:pPr>
    </w:p>
    <w:p w:rsidR="007A0D53" w:rsidRPr="00F32517" w:rsidRDefault="007F74D0" w:rsidP="007F74D0">
      <w:pPr>
        <w:pStyle w:val="CEABullet-Level1"/>
        <w:numPr>
          <w:ilvl w:val="0"/>
          <w:numId w:val="0"/>
        </w:numPr>
        <w:ind w:left="720"/>
        <w:rPr>
          <w:rFonts w:eastAsia="Calibri"/>
          <w:b/>
          <w:lang w:val="en-GB"/>
        </w:rPr>
      </w:pPr>
      <w:r>
        <w:rPr>
          <w:rFonts w:eastAsia="Calibri"/>
          <w:lang w:val="en-GB"/>
        </w:rPr>
        <w:t xml:space="preserve">Finally, in relation to Article 8.2(h), Insurance Europe believes it is highly unlikely pension projections can be made in a clear and concise manner. Insurance Europe therefore suggests including less prescriptive wording allowing level 2 measures to determine how pension benefits can be adequately </w:t>
      </w:r>
      <w:r>
        <w:rPr>
          <w:rFonts w:eastAsia="Calibri"/>
          <w:lang w:val="en-GB"/>
        </w:rPr>
        <w:lastRenderedPageBreak/>
        <w:t xml:space="preserve">represented in a clear and concise way. Insurance Europe calls to amend Article 8.2(h): </w:t>
      </w:r>
      <w:r w:rsidRPr="007F74D0">
        <w:rPr>
          <w:rFonts w:eastAsia="Calibri"/>
          <w:i/>
          <w:lang w:val="en-GB"/>
        </w:rPr>
        <w:t xml:space="preserve">“(…) </w:t>
      </w:r>
      <w:r w:rsidRPr="007F74D0">
        <w:rPr>
          <w:rFonts w:eastAsia="Calibri"/>
          <w:b/>
          <w:i/>
          <w:u w:val="single"/>
          <w:lang w:val="en-GB"/>
        </w:rPr>
        <w:t xml:space="preserve">may include </w:t>
      </w:r>
      <w:r w:rsidRPr="007F74D0">
        <w:rPr>
          <w:rFonts w:eastAsia="Calibri"/>
          <w:i/>
          <w:lang w:val="en-GB"/>
        </w:rPr>
        <w:t>projections of possible future outcomes</w:t>
      </w:r>
      <w:r>
        <w:rPr>
          <w:rFonts w:eastAsia="Calibri"/>
          <w:lang w:val="en-GB"/>
        </w:rPr>
        <w:t>”.</w:t>
      </w:r>
    </w:p>
    <w:p w:rsidR="00512F95" w:rsidRPr="00F32517" w:rsidRDefault="00512F95" w:rsidP="007D6781">
      <w:pPr>
        <w:pStyle w:val="CEABullet-Level1"/>
        <w:numPr>
          <w:ilvl w:val="0"/>
          <w:numId w:val="0"/>
        </w:numPr>
        <w:ind w:left="720" w:hanging="360"/>
        <w:rPr>
          <w:rFonts w:eastAsia="Calibri"/>
          <w:lang w:val="en-GB"/>
        </w:rPr>
      </w:pPr>
    </w:p>
    <w:p w:rsidR="009C1F07" w:rsidRDefault="00512F95" w:rsidP="007D6781">
      <w:pPr>
        <w:pStyle w:val="CEABullet-Level1"/>
        <w:rPr>
          <w:rFonts w:eastAsia="Calibri"/>
          <w:lang w:val="en-GB"/>
        </w:rPr>
      </w:pPr>
      <w:r w:rsidRPr="00512F95">
        <w:rPr>
          <w:rFonts w:eastAsia="Calibri"/>
          <w:b/>
          <w:lang w:val="en-GB"/>
        </w:rPr>
        <w:t>Risk and reward profile:</w:t>
      </w:r>
      <w:r>
        <w:rPr>
          <w:rFonts w:eastAsia="Calibri"/>
          <w:b/>
          <w:lang w:val="en-GB"/>
        </w:rPr>
        <w:t xml:space="preserve"> </w:t>
      </w:r>
      <w:r w:rsidR="005C31D4" w:rsidRPr="00512F95">
        <w:rPr>
          <w:rFonts w:eastAsia="Calibri"/>
          <w:lang w:val="en-GB"/>
        </w:rPr>
        <w:t>A</w:t>
      </w:r>
      <w:r w:rsidR="009C1F07" w:rsidRPr="00512F95">
        <w:rPr>
          <w:rFonts w:eastAsia="Calibri"/>
          <w:lang w:val="en-GB"/>
        </w:rPr>
        <w:t>rt 8</w:t>
      </w:r>
      <w:r w:rsidR="000006CA" w:rsidRPr="00512F95">
        <w:rPr>
          <w:rFonts w:eastAsia="Calibri"/>
          <w:lang w:val="en-GB"/>
        </w:rPr>
        <w:t>(2</w:t>
      </w:r>
      <w:proofErr w:type="gramStart"/>
      <w:r w:rsidR="000006CA" w:rsidRPr="00512F95">
        <w:rPr>
          <w:rFonts w:eastAsia="Calibri"/>
          <w:lang w:val="en-GB"/>
        </w:rPr>
        <w:t>)(</w:t>
      </w:r>
      <w:proofErr w:type="gramEnd"/>
      <w:r w:rsidR="000006CA" w:rsidRPr="00512F95">
        <w:rPr>
          <w:rFonts w:eastAsia="Calibri"/>
          <w:lang w:val="en-GB"/>
        </w:rPr>
        <w:t>e)</w:t>
      </w:r>
      <w:r w:rsidR="009C1F07" w:rsidRPr="00512F95">
        <w:rPr>
          <w:rFonts w:eastAsia="Calibri"/>
          <w:lang w:val="en-GB"/>
        </w:rPr>
        <w:t xml:space="preserve"> provides that the KID should include a summary </w:t>
      </w:r>
      <w:r w:rsidR="000006CA" w:rsidRPr="00512F95">
        <w:rPr>
          <w:rFonts w:eastAsia="Calibri"/>
          <w:lang w:val="en-GB"/>
        </w:rPr>
        <w:t>indicator</w:t>
      </w:r>
      <w:r w:rsidR="009C1F07" w:rsidRPr="00512F95">
        <w:rPr>
          <w:rFonts w:eastAsia="Calibri"/>
          <w:lang w:val="en-GB"/>
        </w:rPr>
        <w:t xml:space="preserve"> </w:t>
      </w:r>
      <w:r w:rsidR="000006CA" w:rsidRPr="00512F95">
        <w:rPr>
          <w:rFonts w:eastAsia="Calibri"/>
          <w:lang w:val="en-GB"/>
        </w:rPr>
        <w:t>of the</w:t>
      </w:r>
      <w:r w:rsidR="009C1F07" w:rsidRPr="00512F95">
        <w:rPr>
          <w:rFonts w:eastAsia="Calibri"/>
          <w:lang w:val="en-GB"/>
        </w:rPr>
        <w:t xml:space="preserve"> risk and </w:t>
      </w:r>
      <w:r w:rsidR="002F4115" w:rsidRPr="00512F95">
        <w:rPr>
          <w:rFonts w:eastAsia="Calibri"/>
          <w:lang w:val="en-GB"/>
        </w:rPr>
        <w:t xml:space="preserve">reward </w:t>
      </w:r>
      <w:r w:rsidR="009C1F07" w:rsidRPr="00512F95">
        <w:rPr>
          <w:rFonts w:eastAsia="Calibri"/>
          <w:lang w:val="en-GB"/>
        </w:rPr>
        <w:t>profile</w:t>
      </w:r>
      <w:r w:rsidR="002F4115" w:rsidRPr="00512F95">
        <w:rPr>
          <w:rFonts w:eastAsia="Calibri"/>
          <w:lang w:val="en-GB"/>
        </w:rPr>
        <w:t xml:space="preserve"> of the investment product</w:t>
      </w:r>
      <w:r w:rsidR="009C1F07" w:rsidRPr="00512F95">
        <w:rPr>
          <w:rFonts w:eastAsia="Calibri"/>
          <w:lang w:val="en-GB"/>
        </w:rPr>
        <w:t>. It is not clear, however, how this information could be provided since, at this stage of the process, the customer has not selected the assets in the contract.</w:t>
      </w:r>
    </w:p>
    <w:p w:rsidR="007F74D0" w:rsidRPr="00512F95" w:rsidRDefault="007F74D0" w:rsidP="007F74D0">
      <w:pPr>
        <w:pStyle w:val="CEABullet-Level1"/>
        <w:numPr>
          <w:ilvl w:val="0"/>
          <w:numId w:val="0"/>
        </w:numPr>
        <w:ind w:left="720"/>
        <w:rPr>
          <w:rFonts w:eastAsia="Calibri"/>
          <w:lang w:val="en-GB"/>
        </w:rPr>
      </w:pPr>
    </w:p>
    <w:p w:rsidR="009C1F07" w:rsidRDefault="009C1F07" w:rsidP="007D6781">
      <w:pPr>
        <w:pStyle w:val="CEABullet-Level1"/>
        <w:rPr>
          <w:rFonts w:eastAsia="Calibri"/>
          <w:lang w:val="en-GB"/>
        </w:rPr>
      </w:pPr>
      <w:r w:rsidRPr="00F32517">
        <w:rPr>
          <w:rFonts w:eastAsia="Calibri"/>
          <w:lang w:val="en-GB"/>
        </w:rPr>
        <w:t>It would also be very difficult to create common risk indicators for all PRIPs products. The risks are fundamentally different in insurance products compared to UCITS for example. This would give rise to difficulties to create comparable indicators for costs.</w:t>
      </w:r>
      <w:r w:rsidR="00E93ED7" w:rsidRPr="00F32517">
        <w:rPr>
          <w:rFonts w:eastAsia="Calibri"/>
          <w:lang w:val="en-GB"/>
        </w:rPr>
        <w:t xml:space="preserve"> </w:t>
      </w:r>
      <w:r w:rsidR="00EF3BA0" w:rsidRPr="00EF3BA0">
        <w:rPr>
          <w:rFonts w:eastAsia="Calibri"/>
          <w:i/>
          <w:color w:val="FF0000"/>
          <w:lang w:val="en-GB"/>
        </w:rPr>
        <w:t>[Further clarification is needed here as to why this would be an issue]</w:t>
      </w:r>
      <w:r w:rsidR="00EF3BA0">
        <w:rPr>
          <w:rFonts w:eastAsia="Calibri"/>
          <w:i/>
          <w:color w:val="FF0000"/>
          <w:lang w:val="en-GB"/>
        </w:rPr>
        <w:t xml:space="preserve">. </w:t>
      </w:r>
      <w:r w:rsidRPr="00F32517">
        <w:rPr>
          <w:rFonts w:eastAsia="Calibri"/>
          <w:lang w:val="en-GB"/>
        </w:rPr>
        <w:t xml:space="preserve">It is also important to recognise that UCITS are funds and PRIPs are products that can be made up of many </w:t>
      </w:r>
      <w:r w:rsidR="002F4115">
        <w:rPr>
          <w:rFonts w:eastAsia="Calibri"/>
          <w:lang w:val="en-GB"/>
        </w:rPr>
        <w:t xml:space="preserve">underlying </w:t>
      </w:r>
      <w:r w:rsidRPr="00F32517">
        <w:rPr>
          <w:rFonts w:eastAsia="Calibri"/>
          <w:lang w:val="en-GB"/>
        </w:rPr>
        <w:t>funds. There is far greater diversity in PRIPs products than UCITS funds, making it very challenging to produce a meaningful KID. We do not believe that sufficient thought has been given as to how practical it is to reproduce fund level requirements at a product level and whether a single, short, standardised document can reasonably straddle both product and fund disclosure.</w:t>
      </w:r>
    </w:p>
    <w:p w:rsidR="007F74D0" w:rsidRPr="00F32517" w:rsidRDefault="007F74D0" w:rsidP="007F74D0">
      <w:pPr>
        <w:pStyle w:val="CEABullet-Level1"/>
        <w:numPr>
          <w:ilvl w:val="0"/>
          <w:numId w:val="0"/>
        </w:numPr>
        <w:ind w:left="720"/>
        <w:rPr>
          <w:rFonts w:eastAsia="Calibri"/>
          <w:lang w:val="en-GB"/>
        </w:rPr>
      </w:pPr>
    </w:p>
    <w:p w:rsidR="004066A3" w:rsidRPr="00F32517" w:rsidRDefault="004066A3" w:rsidP="007D6781">
      <w:pPr>
        <w:pStyle w:val="CEABullet-Level1"/>
        <w:rPr>
          <w:rFonts w:eastAsia="Calibri"/>
          <w:lang w:val="en-GB"/>
        </w:rPr>
      </w:pPr>
      <w:r>
        <w:rPr>
          <w:rFonts w:eastAsia="Calibri"/>
          <w:lang w:val="en-GB"/>
        </w:rPr>
        <w:t>The risk indicator used for the UCITS KIID shows annual h</w:t>
      </w:r>
      <w:r w:rsidRPr="00F32517">
        <w:rPr>
          <w:rFonts w:eastAsia="Calibri"/>
          <w:lang w:val="en-GB"/>
        </w:rPr>
        <w:t>istorical volatility</w:t>
      </w:r>
      <w:r>
        <w:rPr>
          <w:rFonts w:eastAsia="Calibri"/>
          <w:lang w:val="en-GB"/>
        </w:rPr>
        <w:t>, which is not appropriate in the context of insurance PRIPs</w:t>
      </w:r>
      <w:r w:rsidR="0023159D">
        <w:rPr>
          <w:rFonts w:eastAsia="Calibri"/>
          <w:lang w:val="en-GB"/>
        </w:rPr>
        <w:t xml:space="preserve"> as it does not capture the specificities and diversity of different insurance products</w:t>
      </w:r>
      <w:r w:rsidR="002F4115">
        <w:rPr>
          <w:rFonts w:eastAsia="Calibri"/>
          <w:lang w:val="en-GB"/>
        </w:rPr>
        <w:t xml:space="preserve">, nor does it reflect elements that reduce the risk </w:t>
      </w:r>
      <w:r w:rsidR="00512F95">
        <w:rPr>
          <w:rFonts w:eastAsia="Calibri"/>
          <w:lang w:val="en-GB"/>
        </w:rPr>
        <w:t>(</w:t>
      </w:r>
      <w:proofErr w:type="spellStart"/>
      <w:r w:rsidR="00512F95">
        <w:rPr>
          <w:rFonts w:eastAsia="Calibri"/>
          <w:lang w:val="en-GB"/>
        </w:rPr>
        <w:t>ie</w:t>
      </w:r>
      <w:proofErr w:type="spellEnd"/>
      <w:r w:rsidR="00512F95">
        <w:rPr>
          <w:rFonts w:eastAsia="Calibri"/>
          <w:lang w:val="en-GB"/>
        </w:rPr>
        <w:t xml:space="preserve"> risk mitigation aspects such as maturity guarantees and the existence of Solvency II requirements)</w:t>
      </w:r>
      <w:r w:rsidR="0023159D">
        <w:rPr>
          <w:rFonts w:eastAsia="Calibri"/>
          <w:lang w:val="en-GB"/>
        </w:rPr>
        <w:t>.</w:t>
      </w:r>
    </w:p>
    <w:p w:rsidR="009C1F07" w:rsidRPr="00F32517" w:rsidRDefault="009C1F07" w:rsidP="007D6781">
      <w:pPr>
        <w:pStyle w:val="CEABullet-Level1"/>
        <w:numPr>
          <w:ilvl w:val="0"/>
          <w:numId w:val="0"/>
        </w:numPr>
        <w:rPr>
          <w:rFonts w:eastAsia="Calibri"/>
          <w:lang w:val="en-GB"/>
        </w:rPr>
      </w:pPr>
    </w:p>
    <w:p w:rsidR="000A76D6" w:rsidRPr="00F32517" w:rsidRDefault="000A76D6" w:rsidP="007D6781">
      <w:pPr>
        <w:pStyle w:val="CEABullet-Level1"/>
        <w:rPr>
          <w:lang w:val="en-GB"/>
        </w:rPr>
      </w:pPr>
      <w:r w:rsidRPr="00A01FE6">
        <w:rPr>
          <w:b/>
          <w:lang w:val="en-GB"/>
        </w:rPr>
        <w:t>Information options:</w:t>
      </w:r>
      <w:r w:rsidRPr="00F32517">
        <w:rPr>
          <w:lang w:val="en-GB"/>
        </w:rPr>
        <w:t xml:space="preserve"> It should be ensured that the information options contained in Art. 8 </w:t>
      </w:r>
      <w:proofErr w:type="spellStart"/>
      <w:r w:rsidRPr="00F32517">
        <w:rPr>
          <w:lang w:val="en-GB"/>
        </w:rPr>
        <w:t>para</w:t>
      </w:r>
      <w:proofErr w:type="spellEnd"/>
      <w:r w:rsidRPr="00F32517">
        <w:rPr>
          <w:lang w:val="en-GB"/>
        </w:rPr>
        <w:t xml:space="preserve"> 2(b)(vi), 2(g) and 3 can be chosen individually by the product manufacturer</w:t>
      </w:r>
      <w:r w:rsidR="004948FA">
        <w:rPr>
          <w:lang w:val="en-GB"/>
        </w:rPr>
        <w:t xml:space="preserve">, </w:t>
      </w:r>
      <w:proofErr w:type="spellStart"/>
      <w:r w:rsidR="004948FA">
        <w:rPr>
          <w:lang w:val="en-GB"/>
        </w:rPr>
        <w:t>ie</w:t>
      </w:r>
      <w:proofErr w:type="spellEnd"/>
      <w:r w:rsidR="004948FA">
        <w:rPr>
          <w:lang w:val="en-GB"/>
        </w:rPr>
        <w:t xml:space="preserve"> that it is left for manufacturer to decide if it is relevant to include this information (</w:t>
      </w:r>
      <w:proofErr w:type="spellStart"/>
      <w:r w:rsidR="004948FA">
        <w:rPr>
          <w:lang w:val="en-GB"/>
        </w:rPr>
        <w:t>eg</w:t>
      </w:r>
      <w:proofErr w:type="spellEnd"/>
      <w:r w:rsidR="004948FA">
        <w:rPr>
          <w:lang w:val="en-GB"/>
        </w:rPr>
        <w:t xml:space="preserve"> performance scenarios, past performance)</w:t>
      </w:r>
      <w:r w:rsidR="00935847">
        <w:rPr>
          <w:lang w:val="en-GB"/>
        </w:rPr>
        <w:t>, and not for the EC to determine</w:t>
      </w:r>
      <w:r w:rsidRPr="00F32517">
        <w:rPr>
          <w:lang w:val="en-GB"/>
        </w:rPr>
        <w:t>.</w:t>
      </w:r>
    </w:p>
    <w:p w:rsidR="00D273AD" w:rsidRPr="00D273AD" w:rsidRDefault="00D273AD" w:rsidP="007D6781">
      <w:pPr>
        <w:pStyle w:val="CEABullet-Level1"/>
        <w:numPr>
          <w:ilvl w:val="0"/>
          <w:numId w:val="0"/>
        </w:numPr>
        <w:rPr>
          <w:rFonts w:eastAsia="Calibri"/>
          <w:lang w:val="en-GB"/>
        </w:rPr>
      </w:pPr>
    </w:p>
    <w:p w:rsidR="009C1F07" w:rsidRDefault="00A01FE6" w:rsidP="007D6781">
      <w:pPr>
        <w:pStyle w:val="CEABullet-Level1"/>
        <w:rPr>
          <w:rFonts w:eastAsia="Calibri"/>
          <w:lang w:val="en-GB"/>
        </w:rPr>
      </w:pPr>
      <w:r w:rsidRPr="00A01FE6">
        <w:rPr>
          <w:rFonts w:eastAsia="Calibri"/>
          <w:b/>
          <w:lang w:val="en-GB"/>
        </w:rPr>
        <w:t>Minimum holding period:</w:t>
      </w:r>
      <w:r>
        <w:rPr>
          <w:rFonts w:eastAsia="Calibri"/>
          <w:lang w:val="en-GB"/>
        </w:rPr>
        <w:t xml:space="preserve"> </w:t>
      </w:r>
      <w:r w:rsidR="00D273AD">
        <w:rPr>
          <w:rFonts w:eastAsia="Calibri"/>
          <w:lang w:val="en-GB"/>
        </w:rPr>
        <w:t xml:space="preserve">With regard to providing an indication of the </w:t>
      </w:r>
      <w:r w:rsidR="009C1F07" w:rsidRPr="00F32517">
        <w:rPr>
          <w:rFonts w:eastAsia="Calibri"/>
          <w:lang w:val="en-GB"/>
        </w:rPr>
        <w:t xml:space="preserve">“recommended minimum holding period” </w:t>
      </w:r>
      <w:r w:rsidR="00D273AD">
        <w:rPr>
          <w:rFonts w:eastAsia="Calibri"/>
          <w:lang w:val="en-GB"/>
        </w:rPr>
        <w:t>(Art. 8(2</w:t>
      </w:r>
      <w:proofErr w:type="gramStart"/>
      <w:r w:rsidR="00D273AD">
        <w:rPr>
          <w:rFonts w:eastAsia="Calibri"/>
          <w:lang w:val="en-GB"/>
        </w:rPr>
        <w:t>)(</w:t>
      </w:r>
      <w:proofErr w:type="gramEnd"/>
      <w:r w:rsidR="00D273AD">
        <w:rPr>
          <w:rFonts w:eastAsia="Calibri"/>
          <w:lang w:val="en-GB"/>
        </w:rPr>
        <w:t xml:space="preserve">d)), this </w:t>
      </w:r>
      <w:r w:rsidR="009C1F07" w:rsidRPr="00F32517">
        <w:rPr>
          <w:rFonts w:eastAsia="Calibri"/>
          <w:lang w:val="en-GB"/>
        </w:rPr>
        <w:t>depend</w:t>
      </w:r>
      <w:r w:rsidR="00D273AD">
        <w:rPr>
          <w:rFonts w:eastAsia="Calibri"/>
          <w:lang w:val="en-GB"/>
        </w:rPr>
        <w:t>s not</w:t>
      </w:r>
      <w:r w:rsidR="009C1F07" w:rsidRPr="00F32517">
        <w:rPr>
          <w:rFonts w:eastAsia="Calibri"/>
          <w:lang w:val="en-GB"/>
        </w:rPr>
        <w:t xml:space="preserve"> only on the product but also for example on the age of the applicant.</w:t>
      </w:r>
    </w:p>
    <w:p w:rsidR="00D273AD" w:rsidRPr="00F32517" w:rsidRDefault="00D273AD" w:rsidP="007D6781">
      <w:pPr>
        <w:pStyle w:val="CEABullet-Level1"/>
        <w:numPr>
          <w:ilvl w:val="0"/>
          <w:numId w:val="0"/>
        </w:numPr>
        <w:ind w:left="360"/>
        <w:rPr>
          <w:rFonts w:eastAsia="Calibri"/>
          <w:lang w:val="en-GB"/>
        </w:rPr>
      </w:pPr>
    </w:p>
    <w:p w:rsidR="00C43963" w:rsidRPr="00935847" w:rsidRDefault="00C43963" w:rsidP="007D6781">
      <w:pPr>
        <w:pStyle w:val="CEABullet-Level1"/>
        <w:rPr>
          <w:szCs w:val="17"/>
          <w:lang w:val="en-GB"/>
        </w:rPr>
      </w:pPr>
      <w:r w:rsidRPr="003F79E9">
        <w:rPr>
          <w:b/>
          <w:lang w:val="en-GB"/>
        </w:rPr>
        <w:t>Insurance benefits:</w:t>
      </w:r>
      <w:r w:rsidRPr="00F32517">
        <w:rPr>
          <w:lang w:val="en-GB"/>
        </w:rPr>
        <w:t xml:space="preserve"> </w:t>
      </w:r>
      <w:r>
        <w:rPr>
          <w:lang w:val="en-GB"/>
        </w:rPr>
        <w:t>Art. 8(2</w:t>
      </w:r>
      <w:proofErr w:type="gramStart"/>
      <w:r>
        <w:rPr>
          <w:lang w:val="en-GB"/>
        </w:rPr>
        <w:t>)(</w:t>
      </w:r>
      <w:proofErr w:type="gramEnd"/>
      <w:r>
        <w:rPr>
          <w:lang w:val="en-GB"/>
        </w:rPr>
        <w:t>b)(iv) states where the investment product offers insurance benefits, the KID must contain details of these benefits. However, the b</w:t>
      </w:r>
      <w:r w:rsidRPr="00F32517">
        <w:rPr>
          <w:lang w:val="en-GB"/>
        </w:rPr>
        <w:t>enefits of insurance products depend on individual consumer choices and conditions</w:t>
      </w:r>
      <w:r>
        <w:rPr>
          <w:lang w:val="en-GB"/>
        </w:rPr>
        <w:t>;</w:t>
      </w:r>
      <w:r w:rsidRPr="00F32517">
        <w:rPr>
          <w:lang w:val="en-GB"/>
        </w:rPr>
        <w:t xml:space="preserve"> </w:t>
      </w:r>
      <w:r>
        <w:rPr>
          <w:lang w:val="en-GB"/>
        </w:rPr>
        <w:t>as a result, the</w:t>
      </w:r>
      <w:r w:rsidRPr="00F32517">
        <w:rPr>
          <w:lang w:val="en-GB"/>
        </w:rPr>
        <w:t xml:space="preserve"> information that </w:t>
      </w:r>
      <w:r w:rsidR="00896ACA">
        <w:rPr>
          <w:lang w:val="en-GB"/>
        </w:rPr>
        <w:t xml:space="preserve">is </w:t>
      </w:r>
      <w:r>
        <w:rPr>
          <w:lang w:val="en-GB"/>
        </w:rPr>
        <w:t>to</w:t>
      </w:r>
      <w:r w:rsidRPr="00F32517">
        <w:rPr>
          <w:lang w:val="en-GB"/>
        </w:rPr>
        <w:t xml:space="preserve"> be published on a website must be based on </w:t>
      </w:r>
      <w:r w:rsidR="004560E6">
        <w:rPr>
          <w:lang w:val="en-GB"/>
        </w:rPr>
        <w:t>exemplary conditions</w:t>
      </w:r>
      <w:r w:rsidRPr="00F32517">
        <w:rPr>
          <w:lang w:val="en-GB"/>
        </w:rPr>
        <w:t>.</w:t>
      </w:r>
    </w:p>
    <w:p w:rsidR="009C1F07" w:rsidRPr="00F32517" w:rsidRDefault="000E2642" w:rsidP="007D6781">
      <w:pPr>
        <w:pStyle w:val="CEABullet-Level1"/>
        <w:numPr>
          <w:ilvl w:val="0"/>
          <w:numId w:val="0"/>
        </w:numPr>
        <w:rPr>
          <w:rFonts w:eastAsia="Calibri"/>
          <w:lang w:val="en-GB"/>
        </w:rPr>
      </w:pPr>
      <w:r>
        <w:rPr>
          <w:rStyle w:val="CommentReference"/>
          <w:rFonts w:cs="Times New Roman"/>
          <w:color w:val="auto"/>
          <w:lang w:val="en-GB"/>
        </w:rPr>
        <w:commentReference w:id="8"/>
      </w:r>
    </w:p>
    <w:p w:rsidR="00826C2A" w:rsidRPr="00826C2A" w:rsidRDefault="00F32517" w:rsidP="00826C2A">
      <w:pPr>
        <w:pStyle w:val="CEABullet-Level1"/>
        <w:rPr>
          <w:rFonts w:eastAsia="Calibri"/>
          <w:lang w:val="en-GB"/>
        </w:rPr>
      </w:pPr>
      <w:r w:rsidRPr="00826C2A">
        <w:rPr>
          <w:rFonts w:eastAsia="Calibri"/>
          <w:b/>
          <w:lang w:val="en-GB"/>
        </w:rPr>
        <w:t>Presentation of costs:</w:t>
      </w:r>
      <w:r w:rsidRPr="00826C2A">
        <w:rPr>
          <w:rFonts w:eastAsia="Calibri"/>
          <w:lang w:val="en-GB"/>
        </w:rPr>
        <w:t xml:space="preserve"> </w:t>
      </w:r>
    </w:p>
    <w:p w:rsidR="00826C2A" w:rsidRDefault="00826C2A" w:rsidP="00826C2A">
      <w:pPr>
        <w:pStyle w:val="CEABullet-Level1"/>
        <w:numPr>
          <w:ilvl w:val="0"/>
          <w:numId w:val="0"/>
        </w:numPr>
        <w:ind w:left="720"/>
        <w:rPr>
          <w:rFonts w:eastAsia="Calibri"/>
          <w:lang w:val="en-GB"/>
        </w:rPr>
      </w:pPr>
      <w:r w:rsidRPr="00826C2A">
        <w:rPr>
          <w:rFonts w:eastAsia="Calibri"/>
          <w:u w:val="single"/>
          <w:lang w:val="en-GB"/>
        </w:rPr>
        <w:t>Insurance Europe position</w:t>
      </w:r>
      <w:r>
        <w:rPr>
          <w:rFonts w:eastAsia="Calibri"/>
          <w:lang w:val="en-GB"/>
        </w:rPr>
        <w:t xml:space="preserve">: </w:t>
      </w:r>
      <w:r w:rsidRPr="00826C2A">
        <w:rPr>
          <w:rFonts w:eastAsia="Calibri"/>
          <w:lang w:val="en-GB"/>
        </w:rPr>
        <w:t>Regarding the disclosure of charges in the UCITS KIID, “performance fees” exist at fund level, not at insurance product level. In contrast, “entry”, “exit” and “on-going charges”, where they exist, are relevant sections at product level for insurance PRIPs.</w:t>
      </w:r>
      <w:r>
        <w:rPr>
          <w:rFonts w:eastAsia="Calibri"/>
          <w:lang w:val="en-GB"/>
        </w:rPr>
        <w:t xml:space="preserve"> </w:t>
      </w:r>
      <w:r w:rsidRPr="00826C2A">
        <w:rPr>
          <w:rFonts w:eastAsia="Calibri"/>
          <w:lang w:val="en-GB"/>
        </w:rPr>
        <w:t>Concerning insurance PRIPs, and considering a standardised (non-personalised) format, total costs at product level generally cannot be disclosed in a single figure. This is because some costs are a fixed amount, while others are expressed as a percentage on a different basis (</w:t>
      </w:r>
      <w:proofErr w:type="spellStart"/>
      <w:r w:rsidRPr="00826C2A">
        <w:rPr>
          <w:rFonts w:eastAsia="Calibri"/>
          <w:lang w:val="en-GB"/>
        </w:rPr>
        <w:t>eg</w:t>
      </w:r>
      <w:proofErr w:type="spellEnd"/>
      <w:r w:rsidRPr="00826C2A">
        <w:rPr>
          <w:rFonts w:eastAsia="Calibri"/>
          <w:lang w:val="en-GB"/>
        </w:rPr>
        <w:t xml:space="preserve"> 3% of the premium paid, 0.5% of the sum insured, etc.). Disclosure of costs at product level should therefore be split into “entry fees”, “exit fees” and “on-going charges” (without making any further distinction, for example, as to the “entry costs” between the administrative and distribution costs). This should be disclosed as a percentage or monetary value when necessary, </w:t>
      </w:r>
      <w:proofErr w:type="spellStart"/>
      <w:r w:rsidRPr="00826C2A">
        <w:rPr>
          <w:rFonts w:eastAsia="Calibri"/>
          <w:lang w:val="en-GB"/>
        </w:rPr>
        <w:t>ie</w:t>
      </w:r>
      <w:proofErr w:type="spellEnd"/>
      <w:r w:rsidRPr="00826C2A">
        <w:rPr>
          <w:rFonts w:eastAsia="Calibri"/>
          <w:lang w:val="en-GB"/>
        </w:rPr>
        <w:t xml:space="preserve"> for fixed amounts.</w:t>
      </w:r>
    </w:p>
    <w:p w:rsidR="009C1F07" w:rsidRDefault="007657F3" w:rsidP="00826C2A">
      <w:pPr>
        <w:pStyle w:val="CEABullet-Level1"/>
        <w:numPr>
          <w:ilvl w:val="0"/>
          <w:numId w:val="0"/>
        </w:numPr>
        <w:ind w:left="720"/>
        <w:rPr>
          <w:rFonts w:eastAsia="Calibri"/>
          <w:lang w:val="en-GB"/>
        </w:rPr>
      </w:pPr>
      <w:r>
        <w:rPr>
          <w:rFonts w:eastAsia="Calibri"/>
          <w:u w:val="single"/>
          <w:lang w:val="en-GB"/>
        </w:rPr>
        <w:t>Additional member feedback</w:t>
      </w:r>
      <w:r w:rsidRPr="007657F3">
        <w:rPr>
          <w:rFonts w:eastAsia="Calibri"/>
          <w:lang w:val="en-GB"/>
        </w:rPr>
        <w:t>:</w:t>
      </w:r>
      <w:r>
        <w:rPr>
          <w:rFonts w:eastAsia="Calibri"/>
          <w:lang w:val="en-GB"/>
        </w:rPr>
        <w:t xml:space="preserve"> </w:t>
      </w:r>
      <w:r w:rsidR="009C1F07" w:rsidRPr="00826C2A">
        <w:rPr>
          <w:rFonts w:eastAsia="Calibri"/>
          <w:lang w:val="en-GB"/>
        </w:rPr>
        <w:t xml:space="preserve">We support the presentation of costs in a summary figure for the overall charges, in order to ensure comparability between different investment products. </w:t>
      </w:r>
      <w:r w:rsidR="00F32517" w:rsidRPr="00826C2A">
        <w:rPr>
          <w:rFonts w:eastAsia="Calibri"/>
          <w:lang w:val="en-GB"/>
        </w:rPr>
        <w:t xml:space="preserve">From </w:t>
      </w:r>
      <w:r w:rsidR="009C1F07" w:rsidRPr="00826C2A">
        <w:rPr>
          <w:rFonts w:eastAsia="Calibri"/>
          <w:lang w:val="en-GB"/>
        </w:rPr>
        <w:t>our point of view, this can be best achieved by using a “</w:t>
      </w:r>
      <w:r w:rsidR="004C4B0F" w:rsidRPr="00826C2A">
        <w:rPr>
          <w:rFonts w:eastAsia="Calibri"/>
          <w:lang w:val="en-GB"/>
        </w:rPr>
        <w:t>r</w:t>
      </w:r>
      <w:r w:rsidR="009C1F07" w:rsidRPr="00826C2A">
        <w:rPr>
          <w:rFonts w:eastAsia="Calibri"/>
          <w:lang w:val="en-GB"/>
        </w:rPr>
        <w:t xml:space="preserve">eduction in </w:t>
      </w:r>
      <w:r w:rsidR="004C4B0F" w:rsidRPr="00826C2A">
        <w:rPr>
          <w:rFonts w:eastAsia="Calibri"/>
          <w:lang w:val="en-GB"/>
        </w:rPr>
        <w:t>y</w:t>
      </w:r>
      <w:r w:rsidR="009C1F07" w:rsidRPr="00826C2A">
        <w:rPr>
          <w:rFonts w:eastAsia="Calibri"/>
          <w:lang w:val="en-GB"/>
        </w:rPr>
        <w:t>ield”</w:t>
      </w:r>
      <w:r w:rsidR="004C4B0F" w:rsidRPr="00826C2A">
        <w:rPr>
          <w:rFonts w:eastAsia="Calibri"/>
          <w:lang w:val="en-GB"/>
        </w:rPr>
        <w:t xml:space="preserve"> </w:t>
      </w:r>
      <w:r w:rsidR="009C1F07" w:rsidRPr="00826C2A">
        <w:rPr>
          <w:rFonts w:eastAsia="Calibri"/>
          <w:lang w:val="en-GB"/>
        </w:rPr>
        <w:t xml:space="preserve">approach. </w:t>
      </w:r>
      <w:r w:rsidR="004C4B0F" w:rsidRPr="00826C2A">
        <w:rPr>
          <w:rFonts w:eastAsia="Calibri"/>
          <w:lang w:val="en-GB"/>
        </w:rPr>
        <w:t>I</w:t>
      </w:r>
      <w:r w:rsidR="009C1F07" w:rsidRPr="00826C2A">
        <w:rPr>
          <w:rFonts w:eastAsia="Calibri"/>
          <w:lang w:val="en-GB"/>
        </w:rPr>
        <w:t xml:space="preserve">solated information about </w:t>
      </w:r>
      <w:r w:rsidR="009C1F07" w:rsidRPr="00826C2A">
        <w:rPr>
          <w:rFonts w:eastAsia="Calibri"/>
          <w:lang w:val="en-GB"/>
        </w:rPr>
        <w:lastRenderedPageBreak/>
        <w:t>costs is not appropriate – we would prefer an integrated price-performance-presentation. In addition, the past</w:t>
      </w:r>
      <w:r w:rsidR="004C4B0F" w:rsidRPr="00826C2A">
        <w:rPr>
          <w:rFonts w:eastAsia="Calibri"/>
          <w:lang w:val="en-GB"/>
        </w:rPr>
        <w:t>-</w:t>
      </w:r>
      <w:r w:rsidR="009C1F07" w:rsidRPr="00826C2A">
        <w:rPr>
          <w:rFonts w:eastAsia="Calibri"/>
          <w:lang w:val="en-GB"/>
        </w:rPr>
        <w:t>oriented approach causes problems for pension products.</w:t>
      </w:r>
    </w:p>
    <w:p w:rsidR="000E2642" w:rsidRPr="00826C2A" w:rsidRDefault="000E2642" w:rsidP="000E2642">
      <w:pPr>
        <w:pStyle w:val="CEABullet-Level1"/>
        <w:numPr>
          <w:ilvl w:val="0"/>
          <w:numId w:val="0"/>
        </w:numPr>
        <w:ind w:left="720" w:hanging="360"/>
        <w:rPr>
          <w:rFonts w:eastAsia="Calibri"/>
          <w:lang w:val="en-GB"/>
        </w:rPr>
      </w:pPr>
    </w:p>
    <w:p w:rsidR="009C1F07" w:rsidRDefault="009C1F07" w:rsidP="007D6781">
      <w:pPr>
        <w:pStyle w:val="CEABullet-Level1"/>
        <w:rPr>
          <w:rFonts w:eastAsia="Calibri"/>
          <w:lang w:val="en-GB"/>
        </w:rPr>
      </w:pPr>
      <w:r w:rsidRPr="00F32517">
        <w:rPr>
          <w:rFonts w:eastAsia="Calibri"/>
          <w:lang w:val="en-GB"/>
        </w:rPr>
        <w:t>For multi-support and/or unit-linked insurance contracts</w:t>
      </w:r>
      <w:r w:rsidR="00740966">
        <w:rPr>
          <w:rFonts w:eastAsia="Calibri"/>
          <w:lang w:val="en-GB"/>
        </w:rPr>
        <w:t>,</w:t>
      </w:r>
      <w:r w:rsidRPr="00F32517">
        <w:rPr>
          <w:rFonts w:eastAsia="Calibri"/>
          <w:lang w:val="en-GB"/>
        </w:rPr>
        <w:t xml:space="preserve"> a link or reference in the KID to the different types of financial support </w:t>
      </w:r>
      <w:r w:rsidR="00740966">
        <w:rPr>
          <w:rFonts w:eastAsia="Calibri"/>
          <w:lang w:val="en-GB"/>
        </w:rPr>
        <w:t>should</w:t>
      </w:r>
      <w:r w:rsidRPr="00F32517">
        <w:rPr>
          <w:rFonts w:eastAsia="Calibri"/>
          <w:lang w:val="en-GB"/>
        </w:rPr>
        <w:t xml:space="preserve"> be </w:t>
      </w:r>
      <w:r w:rsidR="00CB5E7A">
        <w:rPr>
          <w:rFonts w:eastAsia="Calibri"/>
          <w:lang w:val="en-GB"/>
        </w:rPr>
        <w:t xml:space="preserve">made </w:t>
      </w:r>
      <w:r w:rsidR="00740966">
        <w:rPr>
          <w:rFonts w:eastAsia="Calibri"/>
          <w:lang w:val="en-GB"/>
        </w:rPr>
        <w:t>available</w:t>
      </w:r>
      <w:r w:rsidRPr="00F32517">
        <w:rPr>
          <w:rFonts w:eastAsia="Calibri"/>
          <w:lang w:val="en-GB"/>
        </w:rPr>
        <w:t>.</w:t>
      </w:r>
    </w:p>
    <w:p w:rsidR="000E2642" w:rsidRPr="00F32517" w:rsidRDefault="000E2642" w:rsidP="000E2642">
      <w:pPr>
        <w:pStyle w:val="CEABullet-Level1"/>
        <w:numPr>
          <w:ilvl w:val="0"/>
          <w:numId w:val="0"/>
        </w:numPr>
        <w:ind w:left="720"/>
        <w:rPr>
          <w:rFonts w:eastAsia="Calibri"/>
          <w:lang w:val="en-GB"/>
        </w:rPr>
      </w:pPr>
    </w:p>
    <w:p w:rsidR="00990D34" w:rsidRPr="00E21E2E" w:rsidRDefault="00990D34" w:rsidP="007D6781">
      <w:pPr>
        <w:pStyle w:val="CEABullet-Level1"/>
        <w:rPr>
          <w:i/>
          <w:lang w:val="en-GB"/>
        </w:rPr>
      </w:pPr>
      <w:r w:rsidRPr="00E21E2E">
        <w:rPr>
          <w:i/>
          <w:lang w:val="en-GB"/>
        </w:rPr>
        <w:t>[</w:t>
      </w:r>
      <w:r w:rsidR="00CB5E7A">
        <w:rPr>
          <w:i/>
          <w:lang w:val="en-GB"/>
        </w:rPr>
        <w:t xml:space="preserve">Note: </w:t>
      </w:r>
      <w:r w:rsidRPr="00E21E2E">
        <w:rPr>
          <w:i/>
          <w:lang w:val="en-GB"/>
        </w:rPr>
        <w:t>The CFA Institute</w:t>
      </w:r>
      <w:r w:rsidR="00282E93">
        <w:rPr>
          <w:i/>
          <w:lang w:val="en-GB"/>
        </w:rPr>
        <w:t xml:space="preserve"> (the global association of investment professionals)</w:t>
      </w:r>
      <w:r w:rsidRPr="00E21E2E">
        <w:rPr>
          <w:i/>
          <w:lang w:val="en-GB"/>
        </w:rPr>
        <w:t xml:space="preserve">, with the active support of </w:t>
      </w:r>
      <w:proofErr w:type="spellStart"/>
      <w:r w:rsidRPr="00E21E2E">
        <w:rPr>
          <w:i/>
          <w:lang w:val="en-GB"/>
        </w:rPr>
        <w:t>EuroFinuse</w:t>
      </w:r>
      <w:proofErr w:type="spellEnd"/>
      <w:r w:rsidRPr="00E21E2E">
        <w:rPr>
          <w:i/>
          <w:lang w:val="en-GB"/>
        </w:rPr>
        <w:t xml:space="preserve"> and FECIF, is leading a research project on the standardised presentation of costs in a Key Information Document (KID) for PRIPs, to be published in the autumn. This may affect the legislative process, particularly with regard to the elaboration of the regulatory standards as foreseen under Art 8</w:t>
      </w:r>
      <w:r w:rsidR="00E21E2E" w:rsidRPr="00E21E2E">
        <w:rPr>
          <w:i/>
          <w:lang w:val="en-GB"/>
        </w:rPr>
        <w:t>(6</w:t>
      </w:r>
      <w:proofErr w:type="gramStart"/>
      <w:r w:rsidR="00E21E2E" w:rsidRPr="00E21E2E">
        <w:rPr>
          <w:i/>
          <w:lang w:val="en-GB"/>
        </w:rPr>
        <w:t>)(</w:t>
      </w:r>
      <w:proofErr w:type="gramEnd"/>
      <w:r w:rsidRPr="00E21E2E">
        <w:rPr>
          <w:i/>
          <w:lang w:val="en-GB"/>
        </w:rPr>
        <w:t>b</w:t>
      </w:r>
      <w:r w:rsidR="00E21E2E" w:rsidRPr="00E21E2E">
        <w:rPr>
          <w:i/>
          <w:lang w:val="en-GB"/>
        </w:rPr>
        <w:t>)</w:t>
      </w:r>
      <w:r w:rsidRPr="00E21E2E">
        <w:rPr>
          <w:i/>
          <w:lang w:val="en-GB"/>
        </w:rPr>
        <w:t xml:space="preserve"> of the </w:t>
      </w:r>
      <w:r w:rsidR="00E21E2E" w:rsidRPr="00E21E2E">
        <w:rPr>
          <w:i/>
          <w:lang w:val="en-GB"/>
        </w:rPr>
        <w:t>proposed</w:t>
      </w:r>
      <w:r w:rsidRPr="00E21E2E">
        <w:rPr>
          <w:i/>
          <w:lang w:val="en-GB"/>
        </w:rPr>
        <w:t xml:space="preserve"> Regulation.</w:t>
      </w:r>
      <w:r w:rsidR="00203E72">
        <w:rPr>
          <w:i/>
          <w:lang w:val="en-GB"/>
        </w:rPr>
        <w:t xml:space="preserve"> See </w:t>
      </w:r>
      <w:hyperlink r:id="rId10" w:history="1">
        <w:r w:rsidR="00203E72" w:rsidRPr="00203E72">
          <w:rPr>
            <w:rStyle w:val="Hyperlink"/>
            <w:i/>
            <w:lang w:val="en-GB"/>
          </w:rPr>
          <w:t>press release</w:t>
        </w:r>
      </w:hyperlink>
      <w:r w:rsidR="00203E72">
        <w:rPr>
          <w:i/>
          <w:lang w:val="en-GB"/>
        </w:rPr>
        <w:t>.</w:t>
      </w:r>
      <w:r w:rsidR="00E21E2E" w:rsidRPr="00E21E2E">
        <w:rPr>
          <w:i/>
          <w:lang w:val="en-GB"/>
        </w:rPr>
        <w:t>]</w:t>
      </w:r>
    </w:p>
    <w:p w:rsidR="00113741" w:rsidRPr="00113741" w:rsidRDefault="00113741" w:rsidP="007D6781">
      <w:pPr>
        <w:pStyle w:val="CEABullet-Level1"/>
        <w:numPr>
          <w:ilvl w:val="0"/>
          <w:numId w:val="0"/>
        </w:numPr>
        <w:rPr>
          <w:rFonts w:eastAsia="Calibri"/>
          <w:lang w:val="en-GB"/>
        </w:rPr>
      </w:pPr>
    </w:p>
    <w:p w:rsidR="00113741" w:rsidRPr="00F32517" w:rsidRDefault="00113741" w:rsidP="007D6781">
      <w:pPr>
        <w:pStyle w:val="CEABullet-Level1"/>
        <w:rPr>
          <w:rFonts w:eastAsia="Calibri"/>
          <w:lang w:val="en-GB"/>
        </w:rPr>
      </w:pPr>
      <w:r w:rsidRPr="00F32517">
        <w:rPr>
          <w:rFonts w:eastAsia="Calibri"/>
          <w:b/>
          <w:lang w:val="en-GB"/>
        </w:rPr>
        <w:t>Status of the KID</w:t>
      </w:r>
      <w:r w:rsidRPr="00F32517">
        <w:rPr>
          <w:rFonts w:eastAsia="Calibri"/>
          <w:lang w:val="en-GB"/>
        </w:rPr>
        <w:t xml:space="preserve">: The KID must be of the form of a general information document, rather than making any attempt to provide personalised information. As the KID is to be provided before any decision to enter into the contract is </w:t>
      </w:r>
      <w:proofErr w:type="gramStart"/>
      <w:r w:rsidRPr="00F32517">
        <w:rPr>
          <w:rFonts w:eastAsia="Calibri"/>
          <w:lang w:val="en-GB"/>
        </w:rPr>
        <w:t>made</w:t>
      </w:r>
      <w:r w:rsidR="00C319AD">
        <w:rPr>
          <w:rFonts w:eastAsia="Calibri"/>
          <w:lang w:val="en-GB"/>
        </w:rPr>
        <w:t>,</w:t>
      </w:r>
      <w:proofErr w:type="gramEnd"/>
      <w:r w:rsidRPr="00F32517">
        <w:rPr>
          <w:rFonts w:eastAsia="Calibri"/>
          <w:lang w:val="en-GB"/>
        </w:rPr>
        <w:t xml:space="preserve"> and because the KID is intended to enable customers to compare investment products and can be provided on a website</w:t>
      </w:r>
      <w:r>
        <w:rPr>
          <w:rFonts w:eastAsia="Calibri"/>
          <w:lang w:val="en-GB"/>
        </w:rPr>
        <w:t>,</w:t>
      </w:r>
      <w:r w:rsidRPr="00F32517">
        <w:rPr>
          <w:rFonts w:eastAsia="Calibri"/>
          <w:lang w:val="en-GB"/>
        </w:rPr>
        <w:t xml:space="preserve"> it </w:t>
      </w:r>
      <w:r>
        <w:rPr>
          <w:rFonts w:eastAsia="Calibri"/>
          <w:lang w:val="en-GB"/>
        </w:rPr>
        <w:t>must therefore be re</w:t>
      </w:r>
      <w:r w:rsidRPr="00F32517">
        <w:rPr>
          <w:rFonts w:eastAsia="Calibri"/>
          <w:lang w:val="en-GB"/>
        </w:rPr>
        <w:t>stricted to provid</w:t>
      </w:r>
      <w:r>
        <w:rPr>
          <w:rFonts w:eastAsia="Calibri"/>
          <w:lang w:val="en-GB"/>
        </w:rPr>
        <w:t>ing</w:t>
      </w:r>
      <w:r w:rsidRPr="00F32517">
        <w:rPr>
          <w:rFonts w:eastAsia="Calibri"/>
          <w:lang w:val="en-GB"/>
        </w:rPr>
        <w:t xml:space="preserve"> general information.</w:t>
      </w:r>
    </w:p>
    <w:p w:rsidR="008C2130" w:rsidRPr="00F32517" w:rsidRDefault="008C2130" w:rsidP="007D6781">
      <w:pPr>
        <w:ind w:left="360"/>
        <w:rPr>
          <w:rFonts w:eastAsia="Calibri" w:cs="Calibri"/>
          <w:szCs w:val="17"/>
        </w:rPr>
      </w:pPr>
    </w:p>
    <w:p w:rsidR="009C1F07" w:rsidRDefault="009C1F07" w:rsidP="007D6781">
      <w:pPr>
        <w:pStyle w:val="CEABullet-Level1"/>
        <w:rPr>
          <w:rFonts w:eastAsia="Calibri"/>
          <w:lang w:val="en-GB"/>
        </w:rPr>
      </w:pPr>
      <w:r w:rsidRPr="00F32517">
        <w:rPr>
          <w:rFonts w:eastAsia="Calibri"/>
          <w:b/>
          <w:lang w:val="en-GB"/>
        </w:rPr>
        <w:t>Provision of the KID:</w:t>
      </w:r>
      <w:r w:rsidRPr="00F32517">
        <w:rPr>
          <w:rFonts w:eastAsia="Calibri"/>
          <w:lang w:val="en-GB"/>
        </w:rPr>
        <w:t xml:space="preserve"> Regarding the provision to provide consumers with the KID in good time before the conclusion of a transaction (Art</w:t>
      </w:r>
      <w:r w:rsidR="00D665CF">
        <w:rPr>
          <w:rFonts w:eastAsia="Calibri"/>
          <w:lang w:val="en-GB"/>
        </w:rPr>
        <w:t>.</w:t>
      </w:r>
      <w:r w:rsidRPr="00F32517">
        <w:rPr>
          <w:rFonts w:eastAsia="Calibri"/>
          <w:lang w:val="en-GB"/>
        </w:rPr>
        <w:t xml:space="preserve"> 12), the proof of the date of its transmission to the client would be very difficult </w:t>
      </w:r>
      <w:r w:rsidR="00D665CF">
        <w:rPr>
          <w:rFonts w:eastAsia="Calibri"/>
          <w:lang w:val="en-GB"/>
        </w:rPr>
        <w:t xml:space="preserve">to establish </w:t>
      </w:r>
      <w:r w:rsidRPr="00F32517">
        <w:rPr>
          <w:rFonts w:eastAsia="Calibri"/>
          <w:lang w:val="en-GB"/>
        </w:rPr>
        <w:t>in practice and impossible to prove where it is simply made available on a website.</w:t>
      </w:r>
    </w:p>
    <w:p w:rsidR="000E2642" w:rsidRPr="00F32517" w:rsidRDefault="000E2642" w:rsidP="000E2642">
      <w:pPr>
        <w:pStyle w:val="CEABullet-Level1"/>
        <w:numPr>
          <w:ilvl w:val="0"/>
          <w:numId w:val="0"/>
        </w:numPr>
        <w:rPr>
          <w:rFonts w:eastAsia="Calibri"/>
          <w:lang w:val="en-GB"/>
        </w:rPr>
      </w:pPr>
    </w:p>
    <w:p w:rsidR="009C1F07" w:rsidRPr="00F32517" w:rsidRDefault="009C1F07" w:rsidP="007D6781">
      <w:pPr>
        <w:pStyle w:val="CEABullet-Level1"/>
        <w:rPr>
          <w:rFonts w:eastAsia="Calibri"/>
          <w:lang w:val="en-GB"/>
        </w:rPr>
      </w:pPr>
      <w:r w:rsidRPr="00F32517">
        <w:rPr>
          <w:rFonts w:eastAsia="Calibri"/>
          <w:lang w:val="en-GB"/>
        </w:rPr>
        <w:t xml:space="preserve">Some </w:t>
      </w:r>
      <w:r w:rsidR="002D5074">
        <w:rPr>
          <w:rFonts w:eastAsia="Calibri"/>
          <w:lang w:val="en-GB"/>
        </w:rPr>
        <w:t>of the language used i</w:t>
      </w:r>
      <w:r w:rsidRPr="00F32517">
        <w:rPr>
          <w:rFonts w:eastAsia="Calibri"/>
          <w:lang w:val="en-GB"/>
        </w:rPr>
        <w:t xml:space="preserve">n the text </w:t>
      </w:r>
      <w:r w:rsidR="002D5074">
        <w:rPr>
          <w:rFonts w:eastAsia="Calibri"/>
          <w:lang w:val="en-GB"/>
        </w:rPr>
        <w:t>is</w:t>
      </w:r>
      <w:r w:rsidRPr="00F32517">
        <w:rPr>
          <w:rFonts w:eastAsia="Calibri"/>
          <w:lang w:val="en-GB"/>
        </w:rPr>
        <w:t xml:space="preserve"> not clear </w:t>
      </w:r>
      <w:r w:rsidR="002D5074">
        <w:rPr>
          <w:rFonts w:eastAsia="Calibri"/>
          <w:lang w:val="en-GB"/>
        </w:rPr>
        <w:t xml:space="preserve">or precise </w:t>
      </w:r>
      <w:r w:rsidRPr="00F32517">
        <w:rPr>
          <w:rFonts w:eastAsia="Calibri"/>
          <w:lang w:val="en-GB"/>
        </w:rPr>
        <w:t xml:space="preserve">enough: </w:t>
      </w:r>
      <w:proofErr w:type="spellStart"/>
      <w:r w:rsidRPr="00F32517">
        <w:rPr>
          <w:rFonts w:eastAsia="Calibri"/>
          <w:lang w:val="en-GB"/>
        </w:rPr>
        <w:t>eg</w:t>
      </w:r>
      <w:proofErr w:type="spellEnd"/>
      <w:r w:rsidRPr="00F32517">
        <w:rPr>
          <w:rFonts w:eastAsia="Calibri"/>
          <w:lang w:val="en-GB"/>
        </w:rPr>
        <w:t xml:space="preserve"> ‘immediately’ (</w:t>
      </w:r>
      <w:r w:rsidR="002D5074">
        <w:rPr>
          <w:rFonts w:eastAsia="Calibri"/>
          <w:lang w:val="en-GB"/>
        </w:rPr>
        <w:t>Art. 12.2</w:t>
      </w:r>
      <w:r w:rsidRPr="00F32517">
        <w:rPr>
          <w:rFonts w:eastAsia="Calibri"/>
          <w:lang w:val="en-GB"/>
        </w:rPr>
        <w:t>), ‘transaction’ (Art. 12.3</w:t>
      </w:r>
      <w:r w:rsidR="002D5074">
        <w:rPr>
          <w:rFonts w:eastAsia="Calibri"/>
          <w:lang w:val="en-GB"/>
        </w:rPr>
        <w:t xml:space="preserve"> – this wording is </w:t>
      </w:r>
      <w:r w:rsidRPr="00F32517">
        <w:rPr>
          <w:rFonts w:eastAsia="Calibri"/>
          <w:lang w:val="en-GB"/>
        </w:rPr>
        <w:t>not appropriate for insurance</w:t>
      </w:r>
      <w:r w:rsidR="002D5074">
        <w:rPr>
          <w:rFonts w:eastAsia="Calibri"/>
          <w:lang w:val="en-GB"/>
        </w:rPr>
        <w:t>; a preferred wording would be ‘</w:t>
      </w:r>
      <w:r w:rsidRPr="00F32517">
        <w:rPr>
          <w:rFonts w:eastAsia="Calibri"/>
          <w:lang w:val="en-GB"/>
        </w:rPr>
        <w:t>conclusion of contract</w:t>
      </w:r>
      <w:r w:rsidR="002D5074">
        <w:rPr>
          <w:rFonts w:eastAsia="Calibri"/>
          <w:lang w:val="en-GB"/>
        </w:rPr>
        <w:t>’</w:t>
      </w:r>
      <w:r w:rsidRPr="00F32517">
        <w:rPr>
          <w:rFonts w:eastAsia="Calibri"/>
          <w:lang w:val="en-GB"/>
        </w:rPr>
        <w:t>)</w:t>
      </w:r>
      <w:r w:rsidR="002D5074">
        <w:rPr>
          <w:rFonts w:eastAsia="Calibri"/>
          <w:lang w:val="en-GB"/>
        </w:rPr>
        <w:t>.</w:t>
      </w:r>
    </w:p>
    <w:p w:rsidR="009C1F07" w:rsidRPr="00F32517" w:rsidRDefault="009C1F07" w:rsidP="007D6781">
      <w:pPr>
        <w:suppressAutoHyphens/>
        <w:spacing w:before="120" w:line="264" w:lineRule="auto"/>
        <w:rPr>
          <w:rFonts w:eastAsia="Calibri" w:cs="Calibri"/>
          <w:szCs w:val="17"/>
        </w:rPr>
      </w:pPr>
    </w:p>
    <w:p w:rsidR="009C1F07" w:rsidRPr="00F32517" w:rsidRDefault="008C2130" w:rsidP="00405CB9">
      <w:pPr>
        <w:pStyle w:val="ListParagraph"/>
        <w:numPr>
          <w:ilvl w:val="0"/>
          <w:numId w:val="18"/>
        </w:numPr>
        <w:tabs>
          <w:tab w:val="left" w:pos="284"/>
        </w:tabs>
        <w:suppressAutoHyphens/>
        <w:spacing w:before="120" w:line="264" w:lineRule="auto"/>
        <w:ind w:left="0" w:firstLine="0"/>
        <w:jc w:val="both"/>
        <w:rPr>
          <w:rFonts w:eastAsia="Calibri" w:cs="Calibri"/>
          <w:b/>
          <w:szCs w:val="17"/>
        </w:rPr>
      </w:pPr>
      <w:r w:rsidRPr="00F32517">
        <w:rPr>
          <w:rFonts w:eastAsia="Calibri" w:cs="Calibri"/>
          <w:b/>
          <w:szCs w:val="17"/>
        </w:rPr>
        <w:t>S</w:t>
      </w:r>
      <w:r w:rsidR="009C1F07" w:rsidRPr="00F32517">
        <w:rPr>
          <w:rFonts w:eastAsia="Calibri" w:cs="Calibri"/>
          <w:b/>
          <w:szCs w:val="17"/>
        </w:rPr>
        <w:t>anctions</w:t>
      </w:r>
    </w:p>
    <w:p w:rsidR="00634956" w:rsidRPr="000E2642" w:rsidRDefault="001A736D" w:rsidP="007D6781">
      <w:pPr>
        <w:pStyle w:val="CEABullet-Level1"/>
        <w:rPr>
          <w:lang w:val="en-GB"/>
        </w:rPr>
      </w:pPr>
      <w:r w:rsidRPr="007D6781">
        <w:rPr>
          <w:lang w:val="en-GB"/>
        </w:rPr>
        <w:t>T</w:t>
      </w:r>
      <w:r w:rsidR="00634956" w:rsidRPr="007D6781">
        <w:rPr>
          <w:lang w:val="en-GB"/>
        </w:rPr>
        <w:t xml:space="preserve">he proposed </w:t>
      </w:r>
      <w:r w:rsidRPr="007D6781">
        <w:rPr>
          <w:lang w:val="en-GB"/>
        </w:rPr>
        <w:t>Regulation</w:t>
      </w:r>
      <w:r w:rsidR="00634956" w:rsidRPr="007D6781">
        <w:rPr>
          <w:lang w:val="en-GB"/>
        </w:rPr>
        <w:t xml:space="preserve"> introduces overly strict and prescriptive sanctions, </w:t>
      </w:r>
      <w:r w:rsidR="00590F71" w:rsidRPr="007D6781">
        <w:rPr>
          <w:lang w:val="en-GB"/>
        </w:rPr>
        <w:t xml:space="preserve">with Article 19(2) </w:t>
      </w:r>
      <w:r w:rsidR="00634956" w:rsidRPr="007D6781">
        <w:rPr>
          <w:lang w:val="en-GB"/>
        </w:rPr>
        <w:t xml:space="preserve">listing those specific administrative sanctions and measures that must “at least” be </w:t>
      </w:r>
      <w:r w:rsidRPr="007D6781">
        <w:rPr>
          <w:lang w:val="en-GB"/>
        </w:rPr>
        <w:t>adopted, including an order prohibiting or suspending the marketing of a given investment product, or a public warning identifying the person responsible and the nature of the breach.</w:t>
      </w:r>
      <w:r w:rsidR="00590F71" w:rsidRPr="007D6781">
        <w:rPr>
          <w:rFonts w:eastAsia="Calibri"/>
          <w:lang w:val="en-GB"/>
        </w:rPr>
        <w:t xml:space="preserve"> </w:t>
      </w:r>
      <w:r w:rsidR="00590F71" w:rsidRPr="00282F27">
        <w:rPr>
          <w:rFonts w:eastAsia="Calibri"/>
          <w:lang w:val="en-GB"/>
        </w:rPr>
        <w:t>Insurance Europe is opposed to the setting of legal consequences under the PRIPs Regulation, particularly as it appears that the EC is proposing a product ban for PRIPs</w:t>
      </w:r>
      <w:r w:rsidR="00D272EB" w:rsidRPr="00282F27">
        <w:rPr>
          <w:rFonts w:eastAsia="Calibri"/>
          <w:lang w:val="en-GB"/>
        </w:rPr>
        <w:t xml:space="preserve"> under Article 19(2)(a)</w:t>
      </w:r>
      <w:r w:rsidR="00282F27">
        <w:rPr>
          <w:rFonts w:eastAsia="Calibri"/>
          <w:lang w:val="en-GB"/>
        </w:rPr>
        <w:t xml:space="preserve"> without any safeguards in place (the product ban introduced under </w:t>
      </w:r>
      <w:proofErr w:type="spellStart"/>
      <w:r w:rsidR="00282F27" w:rsidRPr="00282F27">
        <w:rPr>
          <w:rFonts w:eastAsia="Calibri"/>
          <w:lang w:val="en-GB"/>
        </w:rPr>
        <w:t>MiFIR</w:t>
      </w:r>
      <w:proofErr w:type="spellEnd"/>
      <w:r w:rsidR="00282F27" w:rsidRPr="00282F27">
        <w:rPr>
          <w:rFonts w:eastAsia="Calibri"/>
          <w:lang w:val="en-GB"/>
        </w:rPr>
        <w:t xml:space="preserve"> </w:t>
      </w:r>
      <w:r w:rsidR="00282F27">
        <w:rPr>
          <w:rFonts w:eastAsia="Calibri"/>
          <w:lang w:val="en-GB"/>
        </w:rPr>
        <w:t>sets down specific procedures</w:t>
      </w:r>
      <w:r w:rsidR="00282F27" w:rsidRPr="00282F27">
        <w:rPr>
          <w:rFonts w:eastAsia="Calibri"/>
          <w:lang w:val="en-GB"/>
        </w:rPr>
        <w:t xml:space="preserve"> which is not the case in </w:t>
      </w:r>
      <w:r w:rsidR="00282F27">
        <w:rPr>
          <w:rFonts w:eastAsia="Calibri"/>
          <w:lang w:val="en-GB"/>
        </w:rPr>
        <w:t xml:space="preserve">the </w:t>
      </w:r>
      <w:r w:rsidR="00282F27" w:rsidRPr="00282F27">
        <w:rPr>
          <w:rFonts w:eastAsia="Calibri"/>
          <w:lang w:val="en-GB"/>
        </w:rPr>
        <w:t xml:space="preserve">PRIPs </w:t>
      </w:r>
      <w:r w:rsidR="00282F27">
        <w:rPr>
          <w:rFonts w:eastAsia="Calibri"/>
          <w:lang w:val="en-GB"/>
        </w:rPr>
        <w:t>R</w:t>
      </w:r>
      <w:r w:rsidR="00282F27" w:rsidRPr="00282F27">
        <w:rPr>
          <w:rFonts w:eastAsia="Calibri"/>
          <w:lang w:val="en-GB"/>
        </w:rPr>
        <w:t>egulation</w:t>
      </w:r>
      <w:r w:rsidR="00282F27">
        <w:rPr>
          <w:rFonts w:eastAsia="Calibri"/>
          <w:lang w:val="en-GB"/>
        </w:rPr>
        <w:t>)</w:t>
      </w:r>
      <w:r w:rsidR="00282F27" w:rsidRPr="00282F27">
        <w:rPr>
          <w:rFonts w:eastAsia="Calibri"/>
          <w:lang w:val="en-GB"/>
        </w:rPr>
        <w:t>.</w:t>
      </w:r>
    </w:p>
    <w:p w:rsidR="000E2642" w:rsidRPr="00282F27" w:rsidRDefault="000E2642" w:rsidP="000E2642">
      <w:pPr>
        <w:pStyle w:val="CEABullet-Level1"/>
        <w:numPr>
          <w:ilvl w:val="0"/>
          <w:numId w:val="0"/>
        </w:numPr>
        <w:ind w:left="720"/>
        <w:rPr>
          <w:lang w:val="en-GB"/>
        </w:rPr>
      </w:pPr>
    </w:p>
    <w:p w:rsidR="001A736D" w:rsidRDefault="001A736D" w:rsidP="007D6781">
      <w:pPr>
        <w:pStyle w:val="CEABullet-Level1"/>
        <w:rPr>
          <w:lang w:val="en-GB"/>
        </w:rPr>
      </w:pPr>
      <w:r w:rsidRPr="00F32517">
        <w:rPr>
          <w:lang w:val="en-GB"/>
        </w:rPr>
        <w:t>Public warnings and disclosure of sanctions due to breaches of information requirements could be misunderstood by the broader public and lead to further loss of trust in retail markets; such disclosure should therefore be avoided.</w:t>
      </w:r>
    </w:p>
    <w:p w:rsidR="000E2642" w:rsidRPr="00F32517" w:rsidRDefault="000E2642" w:rsidP="000E2642">
      <w:pPr>
        <w:pStyle w:val="CEABullet-Level1"/>
        <w:numPr>
          <w:ilvl w:val="0"/>
          <w:numId w:val="0"/>
        </w:numPr>
        <w:rPr>
          <w:lang w:val="en-GB"/>
        </w:rPr>
      </w:pPr>
    </w:p>
    <w:p w:rsidR="00D272EB" w:rsidRDefault="00D272EB" w:rsidP="007D6781">
      <w:pPr>
        <w:pStyle w:val="CEABullet-Level1"/>
        <w:rPr>
          <w:lang w:val="en-GB"/>
        </w:rPr>
      </w:pPr>
      <w:r>
        <w:rPr>
          <w:lang w:val="en-GB"/>
        </w:rPr>
        <w:t>A</w:t>
      </w:r>
      <w:r w:rsidRPr="001A736D">
        <w:rPr>
          <w:lang w:val="en-GB"/>
        </w:rPr>
        <w:t xml:space="preserve">s sanctions are already dealt with at national level, the introduction of such </w:t>
      </w:r>
      <w:r>
        <w:rPr>
          <w:lang w:val="en-GB"/>
        </w:rPr>
        <w:t xml:space="preserve">strict </w:t>
      </w:r>
      <w:r w:rsidRPr="001A736D">
        <w:rPr>
          <w:lang w:val="en-GB"/>
        </w:rPr>
        <w:t>sanctions fails to respect the principle</w:t>
      </w:r>
      <w:r w:rsidR="007657F3">
        <w:rPr>
          <w:lang w:val="en-GB"/>
        </w:rPr>
        <w:t>s</w:t>
      </w:r>
      <w:r w:rsidRPr="001A736D">
        <w:rPr>
          <w:lang w:val="en-GB"/>
        </w:rPr>
        <w:t xml:space="preserve"> of </w:t>
      </w:r>
      <w:r w:rsidR="007657F3">
        <w:rPr>
          <w:lang w:val="en-GB"/>
        </w:rPr>
        <w:t xml:space="preserve">subsidiarity and </w:t>
      </w:r>
      <w:r w:rsidRPr="001A736D">
        <w:rPr>
          <w:lang w:val="en-GB"/>
        </w:rPr>
        <w:t>proportionality enshrined under EU law.</w:t>
      </w:r>
    </w:p>
    <w:p w:rsidR="000E2642" w:rsidRPr="001A736D" w:rsidRDefault="000E2642" w:rsidP="000E2642">
      <w:pPr>
        <w:pStyle w:val="CEABullet-Level1"/>
        <w:numPr>
          <w:ilvl w:val="0"/>
          <w:numId w:val="0"/>
        </w:numPr>
        <w:rPr>
          <w:lang w:val="en-GB"/>
        </w:rPr>
      </w:pPr>
    </w:p>
    <w:p w:rsidR="00D272EB" w:rsidRPr="0081612E" w:rsidRDefault="00D272EB" w:rsidP="007D6781">
      <w:pPr>
        <w:pStyle w:val="CEABullet-Level1"/>
        <w:rPr>
          <w:lang w:val="en-GB"/>
        </w:rPr>
      </w:pPr>
      <w:r w:rsidRPr="0081612E">
        <w:rPr>
          <w:lang w:val="en-GB"/>
        </w:rPr>
        <w:t>Furthermore, the sanctions of the Solvency II framework directive apply</w:t>
      </w:r>
      <w:r>
        <w:rPr>
          <w:lang w:val="en-GB"/>
        </w:rPr>
        <w:t xml:space="preserve"> to insurers in any case</w:t>
      </w:r>
      <w:r w:rsidRPr="0081612E">
        <w:rPr>
          <w:lang w:val="en-GB"/>
        </w:rPr>
        <w:t xml:space="preserve">, </w:t>
      </w:r>
      <w:r>
        <w:rPr>
          <w:lang w:val="en-GB"/>
        </w:rPr>
        <w:t xml:space="preserve">and as such </w:t>
      </w:r>
      <w:r w:rsidRPr="0081612E">
        <w:rPr>
          <w:lang w:val="en-GB"/>
        </w:rPr>
        <w:t xml:space="preserve">no alternative </w:t>
      </w:r>
      <w:r>
        <w:rPr>
          <w:lang w:val="en-GB"/>
        </w:rPr>
        <w:t xml:space="preserve">provisions for </w:t>
      </w:r>
      <w:r w:rsidRPr="0081612E">
        <w:rPr>
          <w:lang w:val="en-GB"/>
        </w:rPr>
        <w:t>sanction</w:t>
      </w:r>
      <w:r>
        <w:rPr>
          <w:lang w:val="en-GB"/>
        </w:rPr>
        <w:t>s are necessary.</w:t>
      </w:r>
    </w:p>
    <w:p w:rsidR="00634956" w:rsidRDefault="00634956" w:rsidP="007D6781">
      <w:pPr>
        <w:ind w:left="360"/>
        <w:rPr>
          <w:rFonts w:eastAsia="Calibri" w:cs="Calibri"/>
          <w:szCs w:val="17"/>
        </w:rPr>
      </w:pPr>
    </w:p>
    <w:p w:rsidR="00405CB9" w:rsidRDefault="00405CB9" w:rsidP="007D6781">
      <w:pPr>
        <w:ind w:left="360"/>
        <w:rPr>
          <w:rFonts w:eastAsia="Calibri" w:cs="Calibri"/>
          <w:szCs w:val="17"/>
        </w:rPr>
      </w:pPr>
    </w:p>
    <w:p w:rsidR="00405CB9" w:rsidRDefault="00405CB9" w:rsidP="007D6781">
      <w:pPr>
        <w:ind w:left="360"/>
        <w:rPr>
          <w:rFonts w:eastAsia="Calibri" w:cs="Calibri"/>
          <w:szCs w:val="17"/>
        </w:rPr>
      </w:pPr>
    </w:p>
    <w:p w:rsidR="009C1F07" w:rsidRPr="00F32517" w:rsidRDefault="009C1F07" w:rsidP="00405CB9">
      <w:pPr>
        <w:pStyle w:val="ListParagraph"/>
        <w:numPr>
          <w:ilvl w:val="0"/>
          <w:numId w:val="18"/>
        </w:numPr>
        <w:tabs>
          <w:tab w:val="left" w:pos="284"/>
        </w:tabs>
        <w:suppressAutoHyphens/>
        <w:spacing w:before="120" w:line="264" w:lineRule="auto"/>
        <w:ind w:left="0" w:firstLine="0"/>
        <w:jc w:val="both"/>
        <w:rPr>
          <w:rFonts w:eastAsia="Calibri" w:cs="Calibri"/>
          <w:b/>
          <w:szCs w:val="17"/>
        </w:rPr>
      </w:pPr>
      <w:r w:rsidRPr="00F32517">
        <w:rPr>
          <w:rFonts w:eastAsia="Calibri" w:cs="Calibri"/>
          <w:b/>
          <w:szCs w:val="17"/>
        </w:rPr>
        <w:lastRenderedPageBreak/>
        <w:t>Alternative dispute resolution (ADR)</w:t>
      </w:r>
    </w:p>
    <w:p w:rsidR="00ED1F6F" w:rsidRDefault="00D71852" w:rsidP="007D6781">
      <w:pPr>
        <w:pStyle w:val="CEABullet-Level1"/>
        <w:rPr>
          <w:rFonts w:eastAsia="Calibri"/>
          <w:lang w:val="en-GB"/>
        </w:rPr>
      </w:pPr>
      <w:r>
        <w:rPr>
          <w:rFonts w:eastAsia="Calibri"/>
          <w:lang w:val="en-GB"/>
        </w:rPr>
        <w:t>Article 15 of the proposed Regulation l</w:t>
      </w:r>
      <w:r w:rsidR="00ED1F6F" w:rsidRPr="00ED1F6F">
        <w:rPr>
          <w:rFonts w:eastAsia="Calibri"/>
          <w:lang w:val="en-GB"/>
        </w:rPr>
        <w:t xml:space="preserve">ays down detailed provisions on the requirements </w:t>
      </w:r>
      <w:r>
        <w:rPr>
          <w:rFonts w:eastAsia="Calibri"/>
          <w:lang w:val="en-GB"/>
        </w:rPr>
        <w:t xml:space="preserve">that </w:t>
      </w:r>
      <w:r w:rsidR="00ED1F6F" w:rsidRPr="00ED1F6F">
        <w:rPr>
          <w:rFonts w:eastAsia="Calibri"/>
          <w:lang w:val="en-GB"/>
        </w:rPr>
        <w:t>ADR procedures must meet.</w:t>
      </w:r>
    </w:p>
    <w:p w:rsidR="006C055B" w:rsidRPr="00ED1F6F" w:rsidRDefault="006C055B" w:rsidP="006C055B">
      <w:pPr>
        <w:pStyle w:val="CEABullet-Level1"/>
        <w:numPr>
          <w:ilvl w:val="0"/>
          <w:numId w:val="0"/>
        </w:numPr>
        <w:ind w:left="720"/>
        <w:rPr>
          <w:rFonts w:eastAsia="Calibri"/>
          <w:lang w:val="en-GB"/>
        </w:rPr>
      </w:pPr>
    </w:p>
    <w:p w:rsidR="00ED1F6F" w:rsidRDefault="00D71852" w:rsidP="007D6781">
      <w:pPr>
        <w:pStyle w:val="CEABullet-Level1"/>
        <w:rPr>
          <w:lang w:val="en-GB"/>
        </w:rPr>
      </w:pPr>
      <w:r w:rsidRPr="00D71852">
        <w:rPr>
          <w:rFonts w:eastAsia="Calibri"/>
          <w:lang w:val="en-GB"/>
        </w:rPr>
        <w:t>As t</w:t>
      </w:r>
      <w:r w:rsidR="009C1F07" w:rsidRPr="00D71852">
        <w:rPr>
          <w:rFonts w:eastAsia="Calibri"/>
          <w:lang w:val="en-GB"/>
        </w:rPr>
        <w:t>he EC has recently published a legislative proposal on ADR, which is currently being negotiated in the European Parliament and Council</w:t>
      </w:r>
      <w:r w:rsidRPr="00D71852">
        <w:rPr>
          <w:rFonts w:eastAsia="Calibri"/>
          <w:lang w:val="en-GB"/>
        </w:rPr>
        <w:t>, it is not appropriate to introduce</w:t>
      </w:r>
      <w:r w:rsidR="009C1F07" w:rsidRPr="00D71852">
        <w:rPr>
          <w:rFonts w:eastAsia="Calibri"/>
          <w:lang w:val="en-GB"/>
        </w:rPr>
        <w:t xml:space="preserve"> specific provisions on ADR under the PRIPs Regulation. </w:t>
      </w:r>
      <w:r w:rsidRPr="00D71852">
        <w:rPr>
          <w:rFonts w:eastAsia="Calibri"/>
          <w:lang w:val="en-GB"/>
        </w:rPr>
        <w:t>The EC</w:t>
      </w:r>
      <w:r w:rsidR="00ED1F6F" w:rsidRPr="00D71852">
        <w:rPr>
          <w:lang w:val="en-GB"/>
        </w:rPr>
        <w:t xml:space="preserve"> should therefore refrain from in</w:t>
      </w:r>
      <w:r>
        <w:rPr>
          <w:lang w:val="en-GB"/>
        </w:rPr>
        <w:t>cluding such</w:t>
      </w:r>
      <w:r w:rsidR="00ED1F6F" w:rsidRPr="00D71852">
        <w:rPr>
          <w:lang w:val="en-GB"/>
        </w:rPr>
        <w:t xml:space="preserve"> provisions on ADR </w:t>
      </w:r>
      <w:r>
        <w:rPr>
          <w:lang w:val="en-GB"/>
        </w:rPr>
        <w:t>in this legislation</w:t>
      </w:r>
      <w:r w:rsidR="00ED1F6F" w:rsidRPr="00D71852">
        <w:rPr>
          <w:lang w:val="en-GB"/>
        </w:rPr>
        <w:t>.</w:t>
      </w:r>
    </w:p>
    <w:p w:rsidR="006C055B" w:rsidRDefault="006C055B" w:rsidP="00C25846">
      <w:pPr>
        <w:pStyle w:val="ListParagraph"/>
      </w:pPr>
    </w:p>
    <w:p w:rsidR="006C055B" w:rsidRDefault="006C055B" w:rsidP="007D6781">
      <w:pPr>
        <w:pStyle w:val="CEABullet-Level1"/>
        <w:rPr>
          <w:lang w:val="en-GB"/>
        </w:rPr>
      </w:pPr>
      <w:r>
        <w:rPr>
          <w:lang w:val="en-GB"/>
        </w:rPr>
        <w:t xml:space="preserve">If ADR provisions will be included in the PRIPs proposal, Insurance Europe requests the following amendments to align the PRIPs proposal with the </w:t>
      </w:r>
      <w:r w:rsidR="00C25846">
        <w:rPr>
          <w:lang w:val="en-GB"/>
        </w:rPr>
        <w:t>current ADR proposal to increase legal certainty and avoid multiple procedural rules</w:t>
      </w:r>
      <w:r>
        <w:rPr>
          <w:lang w:val="en-GB"/>
        </w:rPr>
        <w:t>:</w:t>
      </w:r>
    </w:p>
    <w:p w:rsidR="006C055B" w:rsidRDefault="006C055B" w:rsidP="00C25846">
      <w:pPr>
        <w:pStyle w:val="ListParagraph"/>
      </w:pPr>
    </w:p>
    <w:p w:rsidR="006C055B" w:rsidRDefault="006C055B" w:rsidP="00C25846">
      <w:pPr>
        <w:pStyle w:val="CEABullet-Level2"/>
        <w:rPr>
          <w:lang w:val="en-GB"/>
        </w:rPr>
      </w:pPr>
      <w:r>
        <w:rPr>
          <w:lang w:val="en-GB"/>
        </w:rPr>
        <w:t xml:space="preserve">Deletion of Article 15.1(a): </w:t>
      </w:r>
      <w:r w:rsidR="00C25846">
        <w:rPr>
          <w:lang w:val="en-GB"/>
        </w:rPr>
        <w:t xml:space="preserve">following the current ADR proposal, </w:t>
      </w:r>
      <w:r>
        <w:rPr>
          <w:lang w:val="en-GB"/>
        </w:rPr>
        <w:t>an ADR procedure is binding depending on the member states’ regulations.</w:t>
      </w:r>
    </w:p>
    <w:p w:rsidR="00C25846" w:rsidRPr="00C25846" w:rsidRDefault="00C25846" w:rsidP="00C25846">
      <w:pPr>
        <w:pStyle w:val="CEABullet-Level3"/>
        <w:numPr>
          <w:ilvl w:val="0"/>
          <w:numId w:val="0"/>
        </w:numPr>
        <w:ind w:left="2673"/>
        <w:rPr>
          <w:lang w:val="en-GB"/>
        </w:rPr>
      </w:pPr>
    </w:p>
    <w:p w:rsidR="006C055B" w:rsidRDefault="007F23DA" w:rsidP="00C25846">
      <w:pPr>
        <w:pStyle w:val="CEABullet-Level2"/>
        <w:rPr>
          <w:lang w:val="en-GB"/>
        </w:rPr>
      </w:pPr>
      <w:r>
        <w:rPr>
          <w:lang w:val="en-GB"/>
        </w:rPr>
        <w:t>Amending</w:t>
      </w:r>
      <w:r w:rsidR="006C055B">
        <w:rPr>
          <w:lang w:val="en-GB"/>
        </w:rPr>
        <w:t xml:space="preserve"> </w:t>
      </w:r>
      <w:r w:rsidR="006C055B" w:rsidRPr="00C25846">
        <w:rPr>
          <w:lang w:val="en-GB"/>
        </w:rPr>
        <w:t>Article 15.1</w:t>
      </w:r>
      <w:r>
        <w:rPr>
          <w:lang w:val="en-GB"/>
        </w:rPr>
        <w:t xml:space="preserve"> because </w:t>
      </w:r>
      <w:r w:rsidR="00C25846">
        <w:rPr>
          <w:lang w:val="en-GB"/>
        </w:rPr>
        <w:t>following the current ADR proposal, an</w:t>
      </w:r>
      <w:r w:rsidR="006C055B">
        <w:rPr>
          <w:lang w:val="en-GB"/>
        </w:rPr>
        <w:t xml:space="preserve"> ADR procedure is obligatory depending on</w:t>
      </w:r>
      <w:r>
        <w:rPr>
          <w:lang w:val="en-GB"/>
        </w:rPr>
        <w:t xml:space="preserve"> the member states’ regulations:</w:t>
      </w:r>
      <w:r w:rsidRPr="007F23DA">
        <w:rPr>
          <w:rFonts w:ascii="Times New Roman" w:eastAsiaTheme="minorEastAsia" w:hAnsi="Times New Roman" w:cs="Times New Roman"/>
          <w:spacing w:val="-1"/>
          <w:sz w:val="24"/>
          <w:szCs w:val="24"/>
          <w:lang w:val="en-GB" w:eastAsia="en-GB"/>
        </w:rPr>
        <w:t xml:space="preserve"> </w:t>
      </w:r>
      <w:r>
        <w:rPr>
          <w:rFonts w:ascii="Times New Roman" w:eastAsiaTheme="minorEastAsia" w:hAnsi="Times New Roman" w:cs="Times New Roman"/>
          <w:spacing w:val="-1"/>
          <w:sz w:val="24"/>
          <w:szCs w:val="24"/>
          <w:lang w:val="en-GB" w:eastAsia="en-GB"/>
        </w:rPr>
        <w:t>“</w:t>
      </w:r>
      <w:r w:rsidRPr="007F23DA">
        <w:rPr>
          <w:i/>
          <w:lang w:val="en-GB"/>
        </w:rPr>
        <w:t xml:space="preserve">Where a retail investor initiates a procedure for alternative dispute resolution laid down in national law against an investment product manufacturer or a person selling investment products with regard to a dispute concerning rights and obligations established under this Regulation, the investment product manufacturer or the person selling investment products </w:t>
      </w:r>
      <w:r w:rsidRPr="007F23DA">
        <w:rPr>
          <w:b/>
          <w:i/>
          <w:u w:val="single"/>
          <w:lang w:val="en-GB"/>
        </w:rPr>
        <w:t>can</w:t>
      </w:r>
      <w:r>
        <w:rPr>
          <w:i/>
          <w:lang w:val="en-GB"/>
        </w:rPr>
        <w:t xml:space="preserve"> </w:t>
      </w:r>
      <w:r w:rsidRPr="007F23DA">
        <w:rPr>
          <w:i/>
          <w:dstrike/>
          <w:lang w:val="en-GB"/>
        </w:rPr>
        <w:t>shall</w:t>
      </w:r>
      <w:r w:rsidRPr="007F23DA">
        <w:rPr>
          <w:i/>
          <w:lang w:val="en-GB"/>
        </w:rPr>
        <w:t xml:space="preserve"> participate in that procedure, provided that it fulfils the following requirements</w:t>
      </w:r>
      <w:r>
        <w:rPr>
          <w:lang w:val="en-GB"/>
        </w:rPr>
        <w:t xml:space="preserve">” </w:t>
      </w:r>
    </w:p>
    <w:p w:rsidR="00C25846" w:rsidRPr="00C25846" w:rsidRDefault="00C25846" w:rsidP="00C25846">
      <w:pPr>
        <w:pStyle w:val="CEABullet-Level3"/>
        <w:numPr>
          <w:ilvl w:val="0"/>
          <w:numId w:val="0"/>
        </w:numPr>
        <w:ind w:left="2673"/>
        <w:rPr>
          <w:lang w:val="en-GB"/>
        </w:rPr>
      </w:pPr>
    </w:p>
    <w:p w:rsidR="00C25846" w:rsidRPr="00C25846" w:rsidRDefault="00C25846" w:rsidP="00C25846">
      <w:pPr>
        <w:pStyle w:val="CEABullet-Level2"/>
        <w:rPr>
          <w:lang w:val="en-GB"/>
        </w:rPr>
      </w:pPr>
      <w:r w:rsidRPr="00C25846">
        <w:rPr>
          <w:lang w:val="en-GB"/>
        </w:rPr>
        <w:t>Alignment of the ADR provisions in the PRIPs and IMD2 proposals.</w:t>
      </w:r>
    </w:p>
    <w:p w:rsidR="00DC3383" w:rsidRDefault="00DC3383" w:rsidP="007D6781">
      <w:pPr>
        <w:ind w:left="360"/>
      </w:pPr>
    </w:p>
    <w:p w:rsidR="00C25846" w:rsidRPr="00D71852" w:rsidRDefault="00C25846" w:rsidP="007D6781">
      <w:pPr>
        <w:ind w:left="360"/>
      </w:pPr>
    </w:p>
    <w:p w:rsidR="00DC3383" w:rsidRPr="00F32517" w:rsidRDefault="00DC3383" w:rsidP="00405CB9">
      <w:pPr>
        <w:pStyle w:val="ListParagraph"/>
        <w:numPr>
          <w:ilvl w:val="0"/>
          <w:numId w:val="18"/>
        </w:numPr>
        <w:tabs>
          <w:tab w:val="left" w:pos="284"/>
        </w:tabs>
        <w:suppressAutoHyphens/>
        <w:spacing w:before="120" w:line="264" w:lineRule="auto"/>
        <w:ind w:left="0" w:firstLine="0"/>
        <w:jc w:val="both"/>
        <w:rPr>
          <w:rFonts w:eastAsia="Calibri" w:cs="Calibri"/>
          <w:b/>
          <w:szCs w:val="17"/>
        </w:rPr>
      </w:pPr>
      <w:r w:rsidRPr="00F32517">
        <w:rPr>
          <w:rFonts w:eastAsia="Calibri" w:cs="Calibri"/>
          <w:b/>
          <w:szCs w:val="17"/>
        </w:rPr>
        <w:t xml:space="preserve">Delegated </w:t>
      </w:r>
      <w:commentRangeStart w:id="9"/>
      <w:r w:rsidRPr="00F32517">
        <w:rPr>
          <w:rFonts w:eastAsia="Calibri" w:cs="Calibri"/>
          <w:b/>
          <w:szCs w:val="17"/>
        </w:rPr>
        <w:t>acts</w:t>
      </w:r>
      <w:commentRangeEnd w:id="9"/>
      <w:r w:rsidR="007F23DA" w:rsidRPr="00405CB9">
        <w:rPr>
          <w:rFonts w:eastAsia="Calibri" w:cs="Calibri"/>
          <w:b/>
          <w:szCs w:val="17"/>
        </w:rPr>
        <w:commentReference w:id="9"/>
      </w:r>
      <w:r w:rsidRPr="00F32517">
        <w:rPr>
          <w:rFonts w:eastAsia="Calibri" w:cs="Calibri"/>
          <w:b/>
          <w:szCs w:val="17"/>
        </w:rPr>
        <w:t xml:space="preserve"> </w:t>
      </w:r>
    </w:p>
    <w:p w:rsidR="00DC3383" w:rsidRPr="007F23DA" w:rsidRDefault="00DC3383" w:rsidP="007D6781">
      <w:pPr>
        <w:pStyle w:val="CEABullet-Level1"/>
        <w:rPr>
          <w:szCs w:val="17"/>
          <w:lang w:val="en-GB"/>
        </w:rPr>
      </w:pPr>
      <w:r w:rsidRPr="00F32517">
        <w:rPr>
          <w:rFonts w:eastAsia="Calibri"/>
          <w:lang w:val="en-GB" w:eastAsia="fr-FR"/>
        </w:rPr>
        <w:t>Although we are not critical in general of the power to adopt delegated acts, Insurance Europe is concerned about the breadth of the power given to the European Commission and EIOPA to adopt extensive Level 2 measures under the proposed Regulation.</w:t>
      </w:r>
      <w:r w:rsidRPr="00F32517">
        <w:rPr>
          <w:lang w:val="en-GB"/>
        </w:rPr>
        <w:t xml:space="preserve"> </w:t>
      </w:r>
    </w:p>
    <w:p w:rsidR="007F23DA" w:rsidRPr="00F32517" w:rsidRDefault="007F23DA" w:rsidP="007F23DA">
      <w:pPr>
        <w:pStyle w:val="CEABullet-Level1"/>
        <w:numPr>
          <w:ilvl w:val="0"/>
          <w:numId w:val="0"/>
        </w:numPr>
        <w:ind w:left="720"/>
        <w:rPr>
          <w:szCs w:val="17"/>
          <w:lang w:val="en-GB"/>
        </w:rPr>
      </w:pPr>
    </w:p>
    <w:p w:rsidR="00DC3383" w:rsidRPr="00384B38" w:rsidRDefault="00DC3383" w:rsidP="007D6781">
      <w:pPr>
        <w:pStyle w:val="CEABullet-Level1"/>
        <w:rPr>
          <w:rStyle w:val="CEAGraphTitle"/>
          <w:szCs w:val="17"/>
          <w:lang w:val="en-GB"/>
        </w:rPr>
      </w:pPr>
      <w:r w:rsidRPr="00384B38">
        <w:rPr>
          <w:rFonts w:eastAsia="Calibri"/>
          <w:lang w:val="en-GB" w:eastAsia="fr-FR"/>
        </w:rPr>
        <w:t>The p</w:t>
      </w:r>
      <w:r w:rsidR="00113741" w:rsidRPr="00384B38">
        <w:rPr>
          <w:rFonts w:eastAsia="Calibri"/>
          <w:lang w:val="en-GB" w:eastAsia="fr-FR"/>
        </w:rPr>
        <w:t>owers given to the EC</w:t>
      </w:r>
      <w:r w:rsidRPr="00384B38">
        <w:rPr>
          <w:rFonts w:eastAsia="Calibri"/>
          <w:lang w:val="en-GB" w:eastAsia="fr-FR"/>
        </w:rPr>
        <w:t xml:space="preserve"> </w:t>
      </w:r>
      <w:r w:rsidR="00384B38" w:rsidRPr="00384B38">
        <w:rPr>
          <w:rFonts w:eastAsia="Calibri"/>
          <w:lang w:val="en-GB" w:eastAsia="fr-FR"/>
        </w:rPr>
        <w:t xml:space="preserve">and EIOPA </w:t>
      </w:r>
      <w:r w:rsidRPr="00384B38">
        <w:rPr>
          <w:rFonts w:eastAsia="Calibri"/>
          <w:lang w:val="en-GB" w:eastAsia="fr-FR"/>
        </w:rPr>
        <w:t xml:space="preserve">to adopt delegated acts and </w:t>
      </w:r>
      <w:r w:rsidR="00384B38" w:rsidRPr="00384B38">
        <w:rPr>
          <w:rFonts w:eastAsia="Calibri"/>
          <w:lang w:val="en-GB" w:eastAsia="fr-FR"/>
        </w:rPr>
        <w:t>regulatory</w:t>
      </w:r>
      <w:r w:rsidRPr="00384B38">
        <w:rPr>
          <w:rFonts w:eastAsia="Calibri"/>
          <w:lang w:val="en-GB" w:eastAsia="fr-FR"/>
        </w:rPr>
        <w:t xml:space="preserve"> standards </w:t>
      </w:r>
      <w:r w:rsidR="00384B38" w:rsidRPr="00384B38">
        <w:rPr>
          <w:rFonts w:eastAsia="Calibri"/>
          <w:lang w:val="en-GB" w:eastAsia="fr-FR"/>
        </w:rPr>
        <w:t>are too broad in nature</w:t>
      </w:r>
      <w:r w:rsidRPr="00384B38">
        <w:rPr>
          <w:rFonts w:eastAsia="Calibri"/>
          <w:lang w:val="en-GB" w:eastAsia="fr-FR"/>
        </w:rPr>
        <w:t xml:space="preserve">. This is especially true for information requirements. A </w:t>
      </w:r>
      <w:r w:rsidR="00384B38" w:rsidRPr="00384B38">
        <w:rPr>
          <w:rFonts w:eastAsia="Calibri"/>
          <w:lang w:val="en-GB" w:eastAsia="fr-FR"/>
        </w:rPr>
        <w:t>R</w:t>
      </w:r>
      <w:r w:rsidRPr="00384B38">
        <w:rPr>
          <w:rFonts w:eastAsia="Calibri"/>
          <w:lang w:val="en-GB" w:eastAsia="fr-FR"/>
        </w:rPr>
        <w:t>egulation whose main objective is to harmoni</w:t>
      </w:r>
      <w:r w:rsidR="00384B38" w:rsidRPr="00384B38">
        <w:rPr>
          <w:rFonts w:eastAsia="Calibri"/>
          <w:lang w:val="en-GB" w:eastAsia="fr-FR"/>
        </w:rPr>
        <w:t>s</w:t>
      </w:r>
      <w:r w:rsidRPr="00384B38">
        <w:rPr>
          <w:rFonts w:eastAsia="Calibri"/>
          <w:lang w:val="en-GB" w:eastAsia="fr-FR"/>
        </w:rPr>
        <w:t xml:space="preserve">e information requirements should not leave </w:t>
      </w:r>
      <w:r w:rsidR="00384B38" w:rsidRPr="00384B38">
        <w:rPr>
          <w:rFonts w:eastAsia="Calibri"/>
          <w:lang w:val="en-GB" w:eastAsia="fr-FR"/>
        </w:rPr>
        <w:t>critical issues open to be determined at a l</w:t>
      </w:r>
      <w:r w:rsidR="00384B38">
        <w:rPr>
          <w:rFonts w:eastAsia="Calibri"/>
          <w:lang w:val="en-GB" w:eastAsia="fr-FR"/>
        </w:rPr>
        <w:t>a</w:t>
      </w:r>
      <w:r w:rsidR="00384B38" w:rsidRPr="00384B38">
        <w:rPr>
          <w:rFonts w:eastAsia="Calibri"/>
          <w:lang w:val="en-GB" w:eastAsia="fr-FR"/>
        </w:rPr>
        <w:t>ter stage</w:t>
      </w:r>
      <w:r w:rsidR="00384B38">
        <w:rPr>
          <w:rFonts w:eastAsia="Calibri"/>
          <w:lang w:val="en-GB" w:eastAsia="fr-FR"/>
        </w:rPr>
        <w:t>.</w:t>
      </w:r>
    </w:p>
    <w:p w:rsidR="000F0017" w:rsidRDefault="000F0017" w:rsidP="007D6781">
      <w:pPr>
        <w:ind w:left="360"/>
      </w:pPr>
    </w:p>
    <w:p w:rsidR="000F0017" w:rsidRPr="00DC3383" w:rsidRDefault="000F0017" w:rsidP="007D6781">
      <w:pPr>
        <w:pStyle w:val="CEABullet-Level1"/>
        <w:numPr>
          <w:ilvl w:val="0"/>
          <w:numId w:val="18"/>
        </w:numPr>
        <w:rPr>
          <w:rFonts w:eastAsia="Calibri"/>
          <w:b/>
          <w:lang w:val="en-GB"/>
        </w:rPr>
      </w:pPr>
      <w:r w:rsidRPr="00DC3383">
        <w:rPr>
          <w:rFonts w:eastAsia="Calibri"/>
          <w:b/>
          <w:lang w:val="en-GB"/>
        </w:rPr>
        <w:t>5-year exemption period for UCITS</w:t>
      </w:r>
    </w:p>
    <w:p w:rsidR="000F0017" w:rsidRDefault="000F0017" w:rsidP="007D6781">
      <w:pPr>
        <w:pStyle w:val="CEABullet-Level1"/>
        <w:numPr>
          <w:ilvl w:val="0"/>
          <w:numId w:val="0"/>
        </w:numPr>
        <w:rPr>
          <w:rFonts w:eastAsia="Calibri"/>
          <w:lang w:val="en-GB"/>
        </w:rPr>
      </w:pPr>
    </w:p>
    <w:p w:rsidR="000F0017" w:rsidRDefault="000F0017" w:rsidP="007D6781">
      <w:pPr>
        <w:pStyle w:val="CEABullet-Level1"/>
        <w:rPr>
          <w:rFonts w:eastAsia="Calibri"/>
          <w:lang w:val="en-GB"/>
        </w:rPr>
      </w:pPr>
      <w:r>
        <w:rPr>
          <w:rFonts w:eastAsia="Calibri"/>
          <w:lang w:val="en-GB"/>
        </w:rPr>
        <w:t xml:space="preserve">Article 24 and recital 28 of the PRIPs Regulation propose to introduce a transitional period of 5 years for UCITS during which time they would not be subject to the requirements of this Regulation. Insurance Europe is opposed to the introduction of such an exemption as it would give rise to an uneven playing field. </w:t>
      </w:r>
      <w:r w:rsidR="000E2642">
        <w:rPr>
          <w:rFonts w:eastAsia="Calibri"/>
          <w:lang w:val="en-GB"/>
        </w:rPr>
        <w:t>Insurance Europe therefore calls</w:t>
      </w:r>
      <w:r>
        <w:rPr>
          <w:rFonts w:eastAsia="Calibri"/>
          <w:lang w:val="en-GB"/>
        </w:rPr>
        <w:t xml:space="preserve"> for the deletion of this exemption period.</w:t>
      </w:r>
    </w:p>
    <w:p w:rsidR="008C2130" w:rsidRDefault="008C2130" w:rsidP="007D6781">
      <w:pPr>
        <w:ind w:left="360"/>
      </w:pPr>
    </w:p>
    <w:p w:rsidR="00405CB9" w:rsidRDefault="00405CB9" w:rsidP="007D6781">
      <w:pPr>
        <w:ind w:left="360"/>
      </w:pPr>
    </w:p>
    <w:p w:rsidR="00405CB9" w:rsidRDefault="00405CB9" w:rsidP="007D6781">
      <w:pPr>
        <w:ind w:left="360"/>
      </w:pPr>
    </w:p>
    <w:p w:rsidR="00405CB9" w:rsidRPr="000F0017" w:rsidRDefault="00405CB9" w:rsidP="007D6781">
      <w:pPr>
        <w:ind w:left="360"/>
      </w:pPr>
    </w:p>
    <w:p w:rsidR="008C2130" w:rsidRDefault="008C2130" w:rsidP="00405CB9">
      <w:pPr>
        <w:pStyle w:val="ListParagraph"/>
        <w:numPr>
          <w:ilvl w:val="0"/>
          <w:numId w:val="18"/>
        </w:numPr>
        <w:tabs>
          <w:tab w:val="left" w:pos="284"/>
        </w:tabs>
        <w:suppressAutoHyphens/>
        <w:spacing w:before="120" w:line="264" w:lineRule="auto"/>
        <w:ind w:left="0" w:firstLine="0"/>
        <w:jc w:val="both"/>
        <w:rPr>
          <w:rFonts w:eastAsia="Calibri" w:cs="Calibri"/>
          <w:b/>
          <w:szCs w:val="17"/>
        </w:rPr>
      </w:pPr>
      <w:r w:rsidRPr="00F32517">
        <w:rPr>
          <w:rFonts w:eastAsia="Calibri" w:cs="Calibri"/>
          <w:b/>
          <w:szCs w:val="17"/>
        </w:rPr>
        <w:lastRenderedPageBreak/>
        <w:t>Liability regime</w:t>
      </w:r>
    </w:p>
    <w:p w:rsidR="008E32B8" w:rsidRDefault="008E32B8" w:rsidP="000E2642">
      <w:pPr>
        <w:pStyle w:val="CEABullet-Level1"/>
        <w:rPr>
          <w:rFonts w:eastAsia="Calibri"/>
          <w:lang w:val="en-GB"/>
        </w:rPr>
      </w:pPr>
      <w:r>
        <w:rPr>
          <w:rFonts w:eastAsia="Calibri"/>
          <w:lang w:val="en-GB"/>
        </w:rPr>
        <w:t>The KID should be regarded as a “first contact” with the consumer</w:t>
      </w:r>
      <w:r w:rsidR="000E2642">
        <w:rPr>
          <w:rFonts w:eastAsia="Calibri"/>
          <w:lang w:val="en-GB"/>
        </w:rPr>
        <w:t>, an executive summary</w:t>
      </w:r>
      <w:r>
        <w:rPr>
          <w:rFonts w:eastAsia="Calibri"/>
          <w:lang w:val="en-GB"/>
        </w:rPr>
        <w:t xml:space="preserve"> providing only high level information</w:t>
      </w:r>
      <w:r w:rsidR="000E2642">
        <w:rPr>
          <w:rFonts w:eastAsia="Calibri"/>
          <w:lang w:val="en-GB"/>
        </w:rPr>
        <w:t>. This ensures the EC</w:t>
      </w:r>
      <w:r>
        <w:rPr>
          <w:rFonts w:eastAsia="Calibri"/>
          <w:lang w:val="en-GB"/>
        </w:rPr>
        <w:t xml:space="preserve"> aim of a short document containing only key information. </w:t>
      </w:r>
    </w:p>
    <w:p w:rsidR="000E2642" w:rsidRDefault="000E2642" w:rsidP="000E2642">
      <w:pPr>
        <w:pStyle w:val="CEABullet-Level1"/>
        <w:numPr>
          <w:ilvl w:val="0"/>
          <w:numId w:val="0"/>
        </w:numPr>
        <w:ind w:left="360"/>
        <w:rPr>
          <w:rFonts w:eastAsia="Calibri"/>
          <w:lang w:val="en-GB"/>
        </w:rPr>
      </w:pPr>
    </w:p>
    <w:p w:rsidR="000E2642" w:rsidRDefault="000E2642" w:rsidP="000E2642">
      <w:pPr>
        <w:pStyle w:val="CEABullet-Level1"/>
        <w:numPr>
          <w:ilvl w:val="0"/>
          <w:numId w:val="0"/>
        </w:numPr>
        <w:ind w:left="720"/>
        <w:rPr>
          <w:rFonts w:eastAsia="Calibri"/>
          <w:lang w:val="en-GB"/>
        </w:rPr>
      </w:pPr>
      <w:r>
        <w:rPr>
          <w:rFonts w:eastAsia="Calibri"/>
          <w:lang w:val="en-GB"/>
        </w:rPr>
        <w:t>As the KID is a standardised high level document, it cannot form the basis for an investment decision. Customers can only make such decision on the basis of additional Solvenc</w:t>
      </w:r>
      <w:r w:rsidR="007405F8">
        <w:rPr>
          <w:rFonts w:eastAsia="Calibri"/>
          <w:lang w:val="en-GB"/>
        </w:rPr>
        <w:t xml:space="preserve">y II pre-contractual information </w:t>
      </w:r>
      <w:r>
        <w:rPr>
          <w:rFonts w:eastAsia="Calibri"/>
          <w:lang w:val="en-GB"/>
        </w:rPr>
        <w:t>and especially a personalised simulation. Insurance Europe therefore requests the deletion of all wording in the proposed PRIPs regulation suggesting consumers can make an investment decision on the basis of the KID as it would be misleading investors. Insurance Europe proposes the following amendments:</w:t>
      </w:r>
    </w:p>
    <w:p w:rsidR="000E2642" w:rsidRDefault="000E2642" w:rsidP="000E2642">
      <w:pPr>
        <w:pStyle w:val="CEABullet-Level1"/>
        <w:numPr>
          <w:ilvl w:val="0"/>
          <w:numId w:val="0"/>
        </w:numPr>
        <w:ind w:left="720"/>
        <w:rPr>
          <w:rFonts w:eastAsia="Calibri"/>
          <w:lang w:val="en-GB"/>
        </w:rPr>
      </w:pPr>
    </w:p>
    <w:p w:rsidR="000E2642" w:rsidRDefault="000E2642" w:rsidP="000E2642">
      <w:pPr>
        <w:pStyle w:val="CEABullet-Level2"/>
        <w:rPr>
          <w:rFonts w:eastAsia="Calibri"/>
          <w:lang w:val="en-GB"/>
        </w:rPr>
      </w:pPr>
      <w:r w:rsidRPr="000E2642">
        <w:rPr>
          <w:rFonts w:eastAsia="Calibri"/>
          <w:lang w:val="en-GB"/>
        </w:rPr>
        <w:t xml:space="preserve">Recital </w:t>
      </w:r>
      <w:proofErr w:type="gramStart"/>
      <w:r w:rsidRPr="000E2642">
        <w:rPr>
          <w:rFonts w:eastAsia="Calibri"/>
          <w:lang w:val="en-GB"/>
        </w:rPr>
        <w:t>11 :</w:t>
      </w:r>
      <w:proofErr w:type="gramEnd"/>
      <w:r w:rsidRPr="000E2642">
        <w:rPr>
          <w:rFonts w:ascii="Times New Roman" w:eastAsiaTheme="minorEastAsia" w:hAnsi="Times New Roman" w:cs="Times New Roman"/>
          <w:sz w:val="24"/>
          <w:szCs w:val="24"/>
          <w:lang w:val="en-GB" w:eastAsia="en-GB"/>
        </w:rPr>
        <w:t xml:space="preserve"> </w:t>
      </w:r>
      <w:r>
        <w:rPr>
          <w:rFonts w:ascii="Times New Roman" w:eastAsiaTheme="minorEastAsia" w:hAnsi="Times New Roman" w:cs="Times New Roman"/>
          <w:sz w:val="24"/>
          <w:szCs w:val="24"/>
          <w:lang w:val="en-GB" w:eastAsia="en-GB"/>
        </w:rPr>
        <w:t>“</w:t>
      </w:r>
      <w:r w:rsidRPr="000E2642">
        <w:rPr>
          <w:rFonts w:eastAsia="Calibri"/>
          <w:i/>
          <w:lang w:val="en-GB"/>
        </w:rPr>
        <w:t xml:space="preserve">Retail investors should be provided with the information necessary for them to </w:t>
      </w:r>
      <w:r w:rsidRPr="000E2642">
        <w:rPr>
          <w:rFonts w:eastAsia="Calibri"/>
          <w:i/>
          <w:dstrike/>
          <w:lang w:val="en-GB"/>
        </w:rPr>
        <w:t>take an informed investment decision and</w:t>
      </w:r>
      <w:r w:rsidRPr="000E2642">
        <w:rPr>
          <w:rFonts w:eastAsia="Calibri"/>
          <w:i/>
          <w:lang w:val="en-GB"/>
        </w:rPr>
        <w:t xml:space="preserve"> compare different investment products, but unless the information is short and concise there is a risk they will not use it.</w:t>
      </w:r>
      <w:r w:rsidR="00825B5A">
        <w:rPr>
          <w:rFonts w:eastAsia="Calibri"/>
          <w:i/>
          <w:lang w:val="en-GB"/>
        </w:rPr>
        <w:t xml:space="preserve"> (…)</w:t>
      </w:r>
      <w:r>
        <w:rPr>
          <w:rFonts w:eastAsia="Calibri"/>
          <w:lang w:val="en-GB"/>
        </w:rPr>
        <w:t>”</w:t>
      </w:r>
    </w:p>
    <w:p w:rsidR="00825B5A" w:rsidRPr="00825B5A" w:rsidRDefault="00825B5A" w:rsidP="00825B5A">
      <w:pPr>
        <w:pStyle w:val="CEABullet-Level3"/>
        <w:numPr>
          <w:ilvl w:val="0"/>
          <w:numId w:val="0"/>
        </w:numPr>
        <w:ind w:left="2673"/>
        <w:rPr>
          <w:rFonts w:eastAsia="Calibri"/>
          <w:lang w:val="en-GB"/>
        </w:rPr>
      </w:pPr>
    </w:p>
    <w:p w:rsidR="000E2642" w:rsidRDefault="00825B5A" w:rsidP="000E2642">
      <w:pPr>
        <w:pStyle w:val="CEABullet-Level2"/>
        <w:rPr>
          <w:rFonts w:eastAsia="Calibri"/>
          <w:lang w:val="en-GB"/>
        </w:rPr>
      </w:pPr>
      <w:r>
        <w:rPr>
          <w:rFonts w:eastAsia="Calibri"/>
          <w:lang w:val="en-GB"/>
        </w:rPr>
        <w:t>Recital 13: “</w:t>
      </w:r>
      <w:r w:rsidRPr="00825B5A">
        <w:rPr>
          <w:rFonts w:eastAsia="Calibri"/>
          <w:i/>
          <w:lang w:val="en-GB"/>
        </w:rPr>
        <w:t>Increasingly  retail  investors  are  not  only  seeking  financial  returns  with  their investment</w:t>
      </w:r>
      <w:r w:rsidRPr="00825B5A">
        <w:rPr>
          <w:rFonts w:eastAsia="Calibri"/>
          <w:b/>
          <w:i/>
          <w:u w:val="single"/>
          <w:lang w:val="en-GB"/>
        </w:rPr>
        <w:t>s</w:t>
      </w:r>
      <w:r w:rsidRPr="00825B5A">
        <w:rPr>
          <w:rFonts w:eastAsia="Calibri"/>
          <w:i/>
          <w:lang w:val="en-GB"/>
        </w:rPr>
        <w:t xml:space="preserve"> </w:t>
      </w:r>
      <w:r w:rsidRPr="00825B5A">
        <w:rPr>
          <w:rFonts w:eastAsia="Calibri"/>
          <w:i/>
          <w:dstrike/>
          <w:lang w:val="en-GB"/>
        </w:rPr>
        <w:t>decisions</w:t>
      </w:r>
      <w:r w:rsidRPr="00825B5A">
        <w:rPr>
          <w:rFonts w:eastAsia="Calibri"/>
          <w:i/>
          <w:lang w:val="en-GB"/>
        </w:rPr>
        <w:t>.</w:t>
      </w:r>
      <w:r>
        <w:rPr>
          <w:rFonts w:eastAsia="Calibri"/>
          <w:i/>
          <w:lang w:val="en-GB"/>
        </w:rPr>
        <w:t>(…)</w:t>
      </w:r>
      <w:r>
        <w:rPr>
          <w:rFonts w:eastAsia="Calibri"/>
          <w:lang w:val="en-GB"/>
        </w:rPr>
        <w:t>”</w:t>
      </w:r>
    </w:p>
    <w:p w:rsidR="00825B5A" w:rsidRPr="00825B5A" w:rsidRDefault="00825B5A" w:rsidP="00825B5A">
      <w:pPr>
        <w:pStyle w:val="CEABullet-Level3"/>
        <w:numPr>
          <w:ilvl w:val="0"/>
          <w:numId w:val="0"/>
        </w:numPr>
        <w:ind w:left="2673"/>
        <w:rPr>
          <w:rFonts w:eastAsia="Calibri"/>
          <w:lang w:val="en-GB"/>
        </w:rPr>
      </w:pPr>
    </w:p>
    <w:p w:rsidR="008E32B8" w:rsidRDefault="00825B5A" w:rsidP="00825B5A">
      <w:pPr>
        <w:pStyle w:val="CEABullet-Level2"/>
        <w:rPr>
          <w:rFonts w:eastAsia="Calibri"/>
          <w:lang w:val="en-GB"/>
        </w:rPr>
      </w:pPr>
      <w:r w:rsidRPr="00825B5A">
        <w:rPr>
          <w:rFonts w:eastAsia="Calibri"/>
          <w:lang w:val="en-GB"/>
        </w:rPr>
        <w:t xml:space="preserve">Recital 16 : </w:t>
      </w:r>
      <w:r>
        <w:rPr>
          <w:rFonts w:eastAsia="Calibri"/>
          <w:lang w:val="en-GB"/>
        </w:rPr>
        <w:t>“</w:t>
      </w:r>
      <w:r w:rsidRPr="00825B5A">
        <w:rPr>
          <w:rFonts w:eastAsia="Calibri"/>
          <w:i/>
          <w:lang w:val="en-GB"/>
        </w:rPr>
        <w:t xml:space="preserve">Key  information  documents  are  </w:t>
      </w:r>
      <w:r w:rsidRPr="00825B5A">
        <w:rPr>
          <w:rFonts w:eastAsia="Calibri"/>
          <w:b/>
          <w:i/>
          <w:u w:val="single"/>
          <w:lang w:val="en-GB"/>
        </w:rPr>
        <w:t>a first step</w:t>
      </w:r>
      <w:r>
        <w:rPr>
          <w:rFonts w:eastAsia="Calibri"/>
          <w:i/>
          <w:lang w:val="en-GB"/>
        </w:rPr>
        <w:t xml:space="preserve"> </w:t>
      </w:r>
      <w:r w:rsidRPr="00825B5A">
        <w:rPr>
          <w:rFonts w:eastAsia="Calibri"/>
          <w:i/>
          <w:dstrike/>
          <w:lang w:val="en-GB"/>
        </w:rPr>
        <w:t>the  foundation</w:t>
      </w:r>
      <w:r w:rsidRPr="00825B5A">
        <w:rPr>
          <w:rFonts w:eastAsia="Calibri"/>
          <w:i/>
          <w:lang w:val="en-GB"/>
        </w:rPr>
        <w:t xml:space="preserve">  for  investment  decisions  by  retail investors. For this reason, investment product manufacturers have an important responsibility towards retail investors in ensuring that they comply with the rules of this Regulation. It is therefore important to ensure that retail investors who relied on a key investor document</w:t>
      </w:r>
      <w:r w:rsidRPr="00825B5A">
        <w:rPr>
          <w:rFonts w:eastAsia="Calibri"/>
          <w:b/>
          <w:i/>
          <w:u w:val="single"/>
          <w:lang w:val="en-GB"/>
        </w:rPr>
        <w:t>, among other information,</w:t>
      </w:r>
      <w:r w:rsidRPr="00825B5A">
        <w:rPr>
          <w:rFonts w:eastAsia="Calibri"/>
          <w:i/>
          <w:lang w:val="en-GB"/>
        </w:rPr>
        <w:t xml:space="preserve"> for their investment decision have an effective right of redress</w:t>
      </w:r>
      <w:proofErr w:type="gramStart"/>
      <w:r w:rsidRPr="00825B5A">
        <w:rPr>
          <w:rFonts w:eastAsia="Calibri"/>
          <w:i/>
          <w:lang w:val="en-GB"/>
        </w:rPr>
        <w:t>.</w:t>
      </w:r>
      <w:r>
        <w:rPr>
          <w:rFonts w:eastAsia="Calibri"/>
          <w:i/>
          <w:lang w:val="en-GB"/>
        </w:rPr>
        <w:t>(</w:t>
      </w:r>
      <w:proofErr w:type="gramEnd"/>
      <w:r>
        <w:rPr>
          <w:rFonts w:eastAsia="Calibri"/>
          <w:i/>
          <w:lang w:val="en-GB"/>
        </w:rPr>
        <w:t>…)</w:t>
      </w:r>
      <w:r>
        <w:rPr>
          <w:rFonts w:eastAsia="Calibri"/>
          <w:lang w:val="en-GB"/>
        </w:rPr>
        <w:t>”</w:t>
      </w:r>
    </w:p>
    <w:p w:rsidR="00825B5A" w:rsidRPr="00825B5A" w:rsidRDefault="00825B5A" w:rsidP="00825B5A">
      <w:pPr>
        <w:pStyle w:val="CEABullet-Level3"/>
        <w:numPr>
          <w:ilvl w:val="0"/>
          <w:numId w:val="0"/>
        </w:numPr>
        <w:ind w:left="2673"/>
        <w:rPr>
          <w:rFonts w:eastAsia="Calibri"/>
          <w:lang w:val="en-GB"/>
        </w:rPr>
      </w:pPr>
    </w:p>
    <w:p w:rsidR="00825B5A" w:rsidRPr="00825B5A" w:rsidRDefault="00825B5A" w:rsidP="00825B5A">
      <w:pPr>
        <w:pStyle w:val="CEABullet-Level2"/>
        <w:rPr>
          <w:rFonts w:eastAsia="Calibri"/>
          <w:lang w:val="en-GB"/>
        </w:rPr>
      </w:pPr>
      <w:r w:rsidRPr="00825B5A">
        <w:rPr>
          <w:rFonts w:eastAsia="Calibri"/>
          <w:lang w:val="en-GB"/>
        </w:rPr>
        <w:t xml:space="preserve">Recital </w:t>
      </w:r>
      <w:proofErr w:type="gramStart"/>
      <w:r w:rsidRPr="00825B5A">
        <w:rPr>
          <w:rFonts w:eastAsia="Calibri"/>
          <w:lang w:val="en-GB"/>
        </w:rPr>
        <w:t>19 :</w:t>
      </w:r>
      <w:proofErr w:type="gramEnd"/>
      <w:r w:rsidRPr="00825B5A">
        <w:rPr>
          <w:rFonts w:eastAsia="Calibri"/>
          <w:lang w:val="en-GB"/>
        </w:rPr>
        <w:t xml:space="preserve"> </w:t>
      </w:r>
      <w:r>
        <w:rPr>
          <w:rFonts w:eastAsia="Calibri"/>
          <w:lang w:val="en-GB"/>
        </w:rPr>
        <w:t>“</w:t>
      </w:r>
      <w:r w:rsidRPr="00825B5A">
        <w:rPr>
          <w:rFonts w:eastAsia="Calibri"/>
          <w:i/>
          <w:lang w:val="en-GB"/>
        </w:rPr>
        <w:t xml:space="preserve">So that the retail investor is able to </w:t>
      </w:r>
      <w:r w:rsidRPr="00825B5A">
        <w:rPr>
          <w:rFonts w:eastAsia="Calibri"/>
          <w:b/>
          <w:i/>
          <w:u w:val="single"/>
          <w:lang w:val="en-GB"/>
        </w:rPr>
        <w:t>compare products</w:t>
      </w:r>
      <w:r>
        <w:rPr>
          <w:rFonts w:eastAsia="Calibri"/>
          <w:i/>
          <w:lang w:val="en-GB"/>
        </w:rPr>
        <w:t xml:space="preserve"> </w:t>
      </w:r>
      <w:r w:rsidRPr="00825B5A">
        <w:rPr>
          <w:rFonts w:eastAsia="Calibri"/>
          <w:i/>
          <w:dstrike/>
          <w:lang w:val="en-GB"/>
        </w:rPr>
        <w:t>take an informed investment decision</w:t>
      </w:r>
      <w:r w:rsidRPr="00825B5A">
        <w:rPr>
          <w:rFonts w:eastAsia="Calibri"/>
          <w:i/>
          <w:lang w:val="en-GB"/>
        </w:rPr>
        <w:t>, persons selling investment products should be required to provide the key information document in good time before any transaction is concluded. (…)</w:t>
      </w:r>
      <w:r>
        <w:rPr>
          <w:rFonts w:eastAsia="Calibri"/>
          <w:lang w:val="en-GB"/>
        </w:rPr>
        <w:t>”</w:t>
      </w:r>
    </w:p>
    <w:p w:rsidR="00825B5A" w:rsidRDefault="00825B5A" w:rsidP="00825B5A">
      <w:pPr>
        <w:pStyle w:val="CEABullet-Level3"/>
        <w:numPr>
          <w:ilvl w:val="0"/>
          <w:numId w:val="0"/>
        </w:numPr>
        <w:ind w:left="2673"/>
        <w:rPr>
          <w:rFonts w:eastAsia="Calibri"/>
          <w:lang w:val="en-GB"/>
        </w:rPr>
      </w:pPr>
    </w:p>
    <w:p w:rsidR="00825B5A" w:rsidRDefault="00825B5A" w:rsidP="00825B5A">
      <w:pPr>
        <w:pStyle w:val="CEABullet-Level2"/>
        <w:rPr>
          <w:rFonts w:eastAsia="Calibri"/>
          <w:lang w:val="en-GB"/>
        </w:rPr>
      </w:pPr>
      <w:r w:rsidRPr="00825B5A">
        <w:rPr>
          <w:rFonts w:eastAsia="Calibri"/>
          <w:lang w:val="en-GB"/>
        </w:rPr>
        <w:t xml:space="preserve">Article </w:t>
      </w:r>
      <w:proofErr w:type="gramStart"/>
      <w:r w:rsidRPr="00825B5A">
        <w:rPr>
          <w:rFonts w:eastAsia="Calibri"/>
          <w:lang w:val="en-GB"/>
        </w:rPr>
        <w:t>8</w:t>
      </w:r>
      <w:r>
        <w:rPr>
          <w:rFonts w:eastAsia="Calibri"/>
          <w:lang w:val="en-GB"/>
        </w:rPr>
        <w:t>.1</w:t>
      </w:r>
      <w:r w:rsidRPr="00825B5A">
        <w:rPr>
          <w:rFonts w:eastAsia="Calibri"/>
          <w:lang w:val="en-GB"/>
        </w:rPr>
        <w:t> :</w:t>
      </w:r>
      <w:proofErr w:type="gramEnd"/>
      <w:r w:rsidRPr="00825B5A">
        <w:rPr>
          <w:rFonts w:eastAsia="Calibri"/>
          <w:lang w:val="en-GB"/>
        </w:rPr>
        <w:t xml:space="preserve"> ‘</w:t>
      </w:r>
      <w:r w:rsidRPr="00825B5A">
        <w:rPr>
          <w:rFonts w:eastAsia="Calibri"/>
          <w:i/>
          <w:lang w:val="en-GB"/>
        </w:rPr>
        <w:t xml:space="preserve">This document provides you with key information about this </w:t>
      </w:r>
      <w:r w:rsidRPr="00A50C3A">
        <w:rPr>
          <w:rFonts w:eastAsia="Calibri"/>
          <w:i/>
          <w:dstrike/>
          <w:lang w:val="en-GB"/>
        </w:rPr>
        <w:t>investment</w:t>
      </w:r>
      <w:r w:rsidRPr="00825B5A">
        <w:rPr>
          <w:rFonts w:eastAsia="Calibri"/>
          <w:i/>
          <w:lang w:val="en-GB"/>
        </w:rPr>
        <w:t xml:space="preserve"> product. It is not marketing material. The information is required by law to help you understand the nature of this investment product and the risks of investing in it. You are advised to read</w:t>
      </w:r>
      <w:r>
        <w:rPr>
          <w:rFonts w:eastAsia="Calibri"/>
          <w:i/>
          <w:lang w:val="en-GB"/>
        </w:rPr>
        <w:t xml:space="preserve"> </w:t>
      </w:r>
      <w:r w:rsidRPr="00825B5A">
        <w:rPr>
          <w:rFonts w:eastAsia="Calibri"/>
          <w:b/>
          <w:i/>
          <w:u w:val="single"/>
          <w:lang w:val="en-GB"/>
        </w:rPr>
        <w:t xml:space="preserve">this document and any complementary product information so you can be in a better position to make an informed decision about whether to purchase this </w:t>
      </w:r>
      <w:commentRangeStart w:id="10"/>
      <w:r w:rsidRPr="00825B5A">
        <w:rPr>
          <w:rFonts w:eastAsia="Calibri"/>
          <w:b/>
          <w:i/>
          <w:u w:val="single"/>
          <w:lang w:val="en-GB"/>
        </w:rPr>
        <w:t>product</w:t>
      </w:r>
      <w:commentRangeEnd w:id="10"/>
      <w:r>
        <w:rPr>
          <w:rStyle w:val="CommentReference"/>
          <w:rFonts w:cs="Times New Roman"/>
          <w:color w:val="auto"/>
          <w:lang w:val="en-GB"/>
        </w:rPr>
        <w:commentReference w:id="10"/>
      </w:r>
      <w:r>
        <w:rPr>
          <w:rFonts w:eastAsia="Calibri"/>
          <w:i/>
          <w:lang w:val="en-GB"/>
        </w:rPr>
        <w:t>.</w:t>
      </w:r>
      <w:r w:rsidRPr="00825B5A">
        <w:rPr>
          <w:rFonts w:eastAsia="Calibri"/>
          <w:i/>
          <w:lang w:val="en-GB"/>
        </w:rPr>
        <w:t xml:space="preserve"> </w:t>
      </w:r>
      <w:proofErr w:type="gramStart"/>
      <w:r w:rsidRPr="00825B5A">
        <w:rPr>
          <w:rFonts w:eastAsia="Calibri"/>
          <w:i/>
          <w:dstrike/>
          <w:lang w:val="en-GB"/>
        </w:rPr>
        <w:t>it</w:t>
      </w:r>
      <w:proofErr w:type="gramEnd"/>
      <w:r w:rsidRPr="00825B5A">
        <w:rPr>
          <w:rFonts w:eastAsia="Calibri"/>
          <w:i/>
          <w:dstrike/>
          <w:lang w:val="en-GB"/>
        </w:rPr>
        <w:t xml:space="preserve"> so that you can take an informed decision about whether to invest.</w:t>
      </w:r>
      <w:r w:rsidRPr="00825B5A">
        <w:rPr>
          <w:rFonts w:eastAsia="Calibri"/>
          <w:lang w:val="en-GB"/>
        </w:rPr>
        <w:t>’</w:t>
      </w:r>
    </w:p>
    <w:p w:rsidR="00D93E7B" w:rsidRPr="00D93E7B" w:rsidRDefault="00D93E7B" w:rsidP="00D93E7B">
      <w:pPr>
        <w:pStyle w:val="CEABullet-Level3"/>
        <w:numPr>
          <w:ilvl w:val="0"/>
          <w:numId w:val="0"/>
        </w:numPr>
        <w:ind w:left="2673"/>
        <w:rPr>
          <w:rFonts w:eastAsia="Calibri"/>
          <w:lang w:val="en-GB"/>
        </w:rPr>
      </w:pPr>
    </w:p>
    <w:p w:rsidR="00825B5A" w:rsidRDefault="00825B5A" w:rsidP="00825B5A">
      <w:pPr>
        <w:pStyle w:val="CEABullet-Level2"/>
        <w:rPr>
          <w:rFonts w:eastAsia="Calibri"/>
          <w:lang w:val="en-GB"/>
        </w:rPr>
      </w:pPr>
      <w:r>
        <w:rPr>
          <w:rFonts w:eastAsia="Calibri"/>
          <w:lang w:val="en-GB"/>
        </w:rPr>
        <w:t xml:space="preserve">Article 8.3: </w:t>
      </w:r>
      <w:proofErr w:type="gramStart"/>
      <w:r>
        <w:rPr>
          <w:rFonts w:eastAsia="Calibri"/>
          <w:lang w:val="en-GB"/>
        </w:rPr>
        <w:t>“</w:t>
      </w:r>
      <w:r w:rsidRPr="00825B5A">
        <w:rPr>
          <w:rFonts w:eastAsia="Calibri"/>
          <w:lang w:val="en-GB"/>
        </w:rPr>
        <w:t xml:space="preserve"> </w:t>
      </w:r>
      <w:r w:rsidRPr="00825B5A">
        <w:rPr>
          <w:rFonts w:eastAsia="Calibri"/>
          <w:i/>
          <w:lang w:val="en-GB"/>
        </w:rPr>
        <w:t>investment</w:t>
      </w:r>
      <w:proofErr w:type="gramEnd"/>
      <w:r w:rsidRPr="00825B5A">
        <w:rPr>
          <w:rFonts w:eastAsia="Calibri"/>
          <w:i/>
          <w:lang w:val="en-GB"/>
        </w:rPr>
        <w:t xml:space="preserve"> product manufacturer may only include other information where it is necessary for the retail investor to </w:t>
      </w:r>
      <w:r w:rsidRPr="00825B5A">
        <w:rPr>
          <w:rFonts w:eastAsia="Calibri"/>
          <w:b/>
          <w:i/>
          <w:u w:val="single"/>
          <w:lang w:val="en-GB"/>
        </w:rPr>
        <w:t>compare products</w:t>
      </w:r>
      <w:r>
        <w:rPr>
          <w:rFonts w:eastAsia="Calibri"/>
          <w:i/>
          <w:lang w:val="en-GB"/>
        </w:rPr>
        <w:t xml:space="preserve"> </w:t>
      </w:r>
      <w:r w:rsidRPr="00825B5A">
        <w:rPr>
          <w:rFonts w:eastAsia="Calibri"/>
          <w:i/>
          <w:dstrike/>
          <w:lang w:val="en-GB"/>
        </w:rPr>
        <w:t>take an informed investment decision about a specific investment product.</w:t>
      </w:r>
      <w:r>
        <w:rPr>
          <w:rFonts w:eastAsia="Calibri"/>
          <w:lang w:val="en-GB"/>
        </w:rPr>
        <w:t>”</w:t>
      </w:r>
    </w:p>
    <w:p w:rsidR="00D93E7B" w:rsidRPr="00D93E7B" w:rsidRDefault="00D93E7B" w:rsidP="00D93E7B">
      <w:pPr>
        <w:pStyle w:val="CEABullet-Level3"/>
        <w:numPr>
          <w:ilvl w:val="0"/>
          <w:numId w:val="0"/>
        </w:numPr>
        <w:ind w:left="2673"/>
        <w:rPr>
          <w:rFonts w:eastAsia="Calibri"/>
          <w:lang w:val="en-GB"/>
        </w:rPr>
      </w:pPr>
    </w:p>
    <w:p w:rsidR="00D93E7B" w:rsidRPr="00D93E7B" w:rsidRDefault="00D93E7B" w:rsidP="00D93E7B">
      <w:pPr>
        <w:pStyle w:val="CEABullet-Level2"/>
        <w:rPr>
          <w:rFonts w:eastAsia="Calibri"/>
          <w:lang w:val="en-GB"/>
        </w:rPr>
      </w:pPr>
      <w:r w:rsidRPr="00D93E7B">
        <w:rPr>
          <w:rFonts w:eastAsia="Calibri"/>
          <w:lang w:val="en-GB"/>
        </w:rPr>
        <w:t xml:space="preserve">Article </w:t>
      </w:r>
      <w:proofErr w:type="gramStart"/>
      <w:r w:rsidRPr="00D93E7B">
        <w:rPr>
          <w:rFonts w:eastAsia="Calibri"/>
          <w:lang w:val="en-GB"/>
        </w:rPr>
        <w:t>11.1 :</w:t>
      </w:r>
      <w:proofErr w:type="gramEnd"/>
      <w:r w:rsidRPr="00D93E7B">
        <w:rPr>
          <w:rFonts w:eastAsia="Calibri"/>
          <w:lang w:val="en-GB"/>
        </w:rPr>
        <w:t xml:space="preserve"> </w:t>
      </w:r>
      <w:r w:rsidRPr="00D93E7B">
        <w:rPr>
          <w:rFonts w:eastAsia="Calibri"/>
          <w:i/>
          <w:lang w:val="en-GB"/>
        </w:rPr>
        <w:t xml:space="preserve">“(…) on which a retail investor has relied </w:t>
      </w:r>
      <w:r w:rsidRPr="00D93E7B">
        <w:rPr>
          <w:rFonts w:eastAsia="Calibri"/>
          <w:b/>
          <w:i/>
          <w:u w:val="single"/>
          <w:lang w:val="en-GB"/>
        </w:rPr>
        <w:t>to compare products</w:t>
      </w:r>
      <w:r w:rsidRPr="00D93E7B">
        <w:rPr>
          <w:rFonts w:eastAsia="Calibri"/>
          <w:i/>
          <w:lang w:val="en-GB"/>
        </w:rPr>
        <w:t xml:space="preserve"> </w:t>
      </w:r>
      <w:r w:rsidRPr="00D93E7B">
        <w:rPr>
          <w:rFonts w:eastAsia="Calibri"/>
          <w:i/>
          <w:dstrike/>
          <w:lang w:val="en-GB"/>
        </w:rPr>
        <w:t>when making an investment decision</w:t>
      </w:r>
      <w:r w:rsidRPr="00D93E7B">
        <w:rPr>
          <w:rFonts w:eastAsia="Calibri"/>
          <w:i/>
          <w:lang w:val="en-GB"/>
        </w:rPr>
        <w:t xml:space="preserve"> (…)</w:t>
      </w:r>
      <w:r>
        <w:rPr>
          <w:rFonts w:eastAsia="Calibri"/>
          <w:lang w:val="en-GB"/>
        </w:rPr>
        <w:t>”</w:t>
      </w:r>
    </w:p>
    <w:p w:rsidR="00825B5A" w:rsidRPr="00825B5A" w:rsidRDefault="00825B5A" w:rsidP="00825B5A">
      <w:pPr>
        <w:pStyle w:val="CEABullet-Level3"/>
        <w:numPr>
          <w:ilvl w:val="0"/>
          <w:numId w:val="0"/>
        </w:numPr>
        <w:ind w:left="2673"/>
        <w:rPr>
          <w:rFonts w:eastAsia="Calibri"/>
          <w:lang w:val="en-GB"/>
        </w:rPr>
      </w:pPr>
    </w:p>
    <w:p w:rsidR="00D93E7B" w:rsidRDefault="00D93E7B" w:rsidP="00D93E7B">
      <w:pPr>
        <w:pStyle w:val="CEABullet-Level1"/>
        <w:rPr>
          <w:rFonts w:eastAsia="Calibri"/>
          <w:lang w:val="en-GB"/>
        </w:rPr>
      </w:pPr>
      <w:r>
        <w:rPr>
          <w:rFonts w:eastAsia="Calibri"/>
          <w:lang w:val="en-GB"/>
        </w:rPr>
        <w:t xml:space="preserve">Given the KID is a standardised high level </w:t>
      </w:r>
      <w:proofErr w:type="gramStart"/>
      <w:r>
        <w:rPr>
          <w:rFonts w:eastAsia="Calibri"/>
          <w:lang w:val="en-GB"/>
        </w:rPr>
        <w:t>document,</w:t>
      </w:r>
      <w:proofErr w:type="gramEnd"/>
      <w:r>
        <w:rPr>
          <w:rFonts w:eastAsia="Calibri"/>
          <w:lang w:val="en-GB"/>
        </w:rPr>
        <w:t xml:space="preserve"> t</w:t>
      </w:r>
      <w:r w:rsidRPr="00F32517">
        <w:rPr>
          <w:rFonts w:eastAsia="Calibri"/>
          <w:lang w:val="en-GB"/>
        </w:rPr>
        <w:t xml:space="preserve">he liability is much too strict compared to the fact that the provider </w:t>
      </w:r>
      <w:r>
        <w:rPr>
          <w:rFonts w:eastAsia="Calibri"/>
          <w:lang w:val="en-GB"/>
        </w:rPr>
        <w:t>is unable to</w:t>
      </w:r>
      <w:r w:rsidRPr="00F32517">
        <w:rPr>
          <w:rFonts w:eastAsia="Calibri"/>
          <w:lang w:val="en-GB"/>
        </w:rPr>
        <w:t xml:space="preserve"> disclose all the details of a </w:t>
      </w:r>
      <w:r>
        <w:rPr>
          <w:rFonts w:eastAsia="Calibri"/>
          <w:lang w:val="en-GB"/>
        </w:rPr>
        <w:t xml:space="preserve">given </w:t>
      </w:r>
      <w:r w:rsidRPr="00F32517">
        <w:rPr>
          <w:rFonts w:eastAsia="Calibri"/>
          <w:lang w:val="en-GB"/>
        </w:rPr>
        <w:t>product</w:t>
      </w:r>
      <w:r>
        <w:rPr>
          <w:rFonts w:eastAsia="Calibri"/>
          <w:lang w:val="en-GB"/>
        </w:rPr>
        <w:t xml:space="preserve"> in a key information document</w:t>
      </w:r>
      <w:r w:rsidRPr="00F32517">
        <w:rPr>
          <w:rFonts w:eastAsia="Calibri"/>
          <w:lang w:val="en-GB"/>
        </w:rPr>
        <w:t xml:space="preserve">. </w:t>
      </w:r>
      <w:r w:rsidR="006B4B76">
        <w:rPr>
          <w:rFonts w:eastAsia="Calibri"/>
          <w:lang w:val="en-GB"/>
        </w:rPr>
        <w:t xml:space="preserve">As mentioned in Section 2 above the existence of disclosure requirements in different European regulations, creates legal uncertainty for insurance undertakings. </w:t>
      </w:r>
      <w:r w:rsidRPr="00F32517">
        <w:rPr>
          <w:rFonts w:eastAsia="Calibri"/>
          <w:lang w:val="en-GB"/>
        </w:rPr>
        <w:t xml:space="preserve">Liability should </w:t>
      </w:r>
      <w:r>
        <w:rPr>
          <w:rFonts w:eastAsia="Calibri"/>
          <w:lang w:val="en-GB"/>
        </w:rPr>
        <w:t xml:space="preserve">therefore </w:t>
      </w:r>
      <w:r w:rsidRPr="00F32517">
        <w:rPr>
          <w:rFonts w:eastAsia="Calibri"/>
          <w:lang w:val="en-GB"/>
        </w:rPr>
        <w:t xml:space="preserve">be formulated on a restricted basis, as is currently </w:t>
      </w:r>
      <w:r>
        <w:rPr>
          <w:rFonts w:eastAsia="Calibri"/>
          <w:lang w:val="en-GB"/>
        </w:rPr>
        <w:t>done under</w:t>
      </w:r>
      <w:r w:rsidRPr="00F32517">
        <w:rPr>
          <w:rFonts w:eastAsia="Calibri"/>
          <w:lang w:val="en-GB"/>
        </w:rPr>
        <w:t xml:space="preserve"> the UCITS directive</w:t>
      </w:r>
      <w:r>
        <w:rPr>
          <w:rFonts w:eastAsia="Calibri"/>
          <w:lang w:val="en-GB"/>
        </w:rPr>
        <w:t>.</w:t>
      </w:r>
    </w:p>
    <w:p w:rsidR="009153C6" w:rsidRDefault="009153C6" w:rsidP="009153C6">
      <w:pPr>
        <w:pStyle w:val="CEABullet-Level1"/>
        <w:numPr>
          <w:ilvl w:val="0"/>
          <w:numId w:val="0"/>
        </w:numPr>
        <w:ind w:left="360"/>
        <w:rPr>
          <w:rFonts w:eastAsia="Calibri"/>
          <w:lang w:val="en-GB"/>
        </w:rPr>
      </w:pPr>
    </w:p>
    <w:p w:rsidR="009153C6" w:rsidRDefault="009153C6" w:rsidP="007405F8">
      <w:pPr>
        <w:pStyle w:val="CEABullet-Level1"/>
        <w:numPr>
          <w:ilvl w:val="0"/>
          <w:numId w:val="0"/>
        </w:numPr>
        <w:ind w:left="720"/>
        <w:rPr>
          <w:rFonts w:eastAsia="Calibri"/>
          <w:lang w:val="en-GB"/>
        </w:rPr>
      </w:pPr>
      <w:r>
        <w:rPr>
          <w:rFonts w:eastAsia="Calibri"/>
          <w:lang w:val="en-GB"/>
        </w:rPr>
        <w:t xml:space="preserve">In addition, Article 11 allows retail investors to claim damages from the </w:t>
      </w:r>
      <w:r w:rsidRPr="00F32517">
        <w:rPr>
          <w:rFonts w:eastAsia="Calibri"/>
          <w:lang w:val="en-GB"/>
        </w:rPr>
        <w:t>investment product manufacturer</w:t>
      </w:r>
      <w:r>
        <w:rPr>
          <w:rFonts w:eastAsia="Calibri"/>
          <w:lang w:val="en-GB"/>
        </w:rPr>
        <w:t xml:space="preserve"> for any loss caused through the use of the key information document.</w:t>
      </w:r>
      <w:r w:rsidRPr="00F32517">
        <w:rPr>
          <w:rFonts w:eastAsia="Calibri"/>
          <w:lang w:val="en-GB"/>
        </w:rPr>
        <w:t xml:space="preserve"> This </w:t>
      </w:r>
      <w:r>
        <w:rPr>
          <w:rFonts w:eastAsia="Calibri"/>
          <w:lang w:val="en-GB"/>
        </w:rPr>
        <w:t xml:space="preserve">appears to </w:t>
      </w:r>
      <w:r w:rsidRPr="00F32517">
        <w:rPr>
          <w:rFonts w:eastAsia="Calibri"/>
          <w:lang w:val="en-GB"/>
        </w:rPr>
        <w:t xml:space="preserve">go beyond existing law and may contradict more specific liability rules in </w:t>
      </w:r>
      <w:r>
        <w:rPr>
          <w:rFonts w:eastAsia="Calibri"/>
          <w:lang w:val="en-GB"/>
        </w:rPr>
        <w:t>M</w:t>
      </w:r>
      <w:r w:rsidRPr="00F32517">
        <w:rPr>
          <w:rFonts w:eastAsia="Calibri"/>
          <w:lang w:val="en-GB"/>
        </w:rPr>
        <w:t xml:space="preserve">ember </w:t>
      </w:r>
      <w:r>
        <w:rPr>
          <w:rFonts w:eastAsia="Calibri"/>
          <w:lang w:val="en-GB"/>
        </w:rPr>
        <w:t>S</w:t>
      </w:r>
      <w:r w:rsidRPr="00F32517">
        <w:rPr>
          <w:rFonts w:eastAsia="Calibri"/>
          <w:lang w:val="en-GB"/>
        </w:rPr>
        <w:t>tates</w:t>
      </w:r>
      <w:r>
        <w:rPr>
          <w:rFonts w:eastAsia="Calibri"/>
          <w:lang w:val="en-GB"/>
        </w:rPr>
        <w:t>’</w:t>
      </w:r>
      <w:r w:rsidRPr="00F32517">
        <w:rPr>
          <w:rFonts w:eastAsia="Calibri"/>
          <w:lang w:val="en-GB"/>
        </w:rPr>
        <w:t xml:space="preserve"> legislation. </w:t>
      </w:r>
      <w:r>
        <w:rPr>
          <w:rFonts w:eastAsia="Calibri"/>
          <w:lang w:val="en-GB"/>
        </w:rPr>
        <w:t xml:space="preserve">It is also acknowledged in </w:t>
      </w:r>
      <w:r w:rsidRPr="00F32517">
        <w:rPr>
          <w:rFonts w:eastAsia="Calibri"/>
          <w:lang w:val="en-GB"/>
        </w:rPr>
        <w:t xml:space="preserve">recital 18 that </w:t>
      </w:r>
      <w:r>
        <w:rPr>
          <w:rFonts w:eastAsia="Calibri"/>
          <w:lang w:val="en-GB"/>
        </w:rPr>
        <w:t xml:space="preserve">it is generally </w:t>
      </w:r>
      <w:r w:rsidRPr="00F32517">
        <w:rPr>
          <w:rFonts w:eastAsia="Calibri"/>
          <w:lang w:val="en-GB"/>
        </w:rPr>
        <w:t xml:space="preserve">national law and the rules of international private law </w:t>
      </w:r>
      <w:r>
        <w:rPr>
          <w:rFonts w:eastAsia="Calibri"/>
          <w:lang w:val="en-GB"/>
        </w:rPr>
        <w:t xml:space="preserve">that </w:t>
      </w:r>
      <w:r w:rsidRPr="00F32517">
        <w:rPr>
          <w:rFonts w:eastAsia="Calibri"/>
          <w:lang w:val="en-GB"/>
        </w:rPr>
        <w:t>should govern civil liability issues</w:t>
      </w:r>
      <w:r>
        <w:rPr>
          <w:rFonts w:eastAsia="Calibri"/>
          <w:lang w:val="en-GB"/>
        </w:rPr>
        <w:t>.</w:t>
      </w:r>
      <w:r w:rsidRPr="009153C6">
        <w:rPr>
          <w:rFonts w:eastAsia="Calibri"/>
          <w:lang w:val="en-GB"/>
        </w:rPr>
        <w:t xml:space="preserve"> </w:t>
      </w:r>
      <w:r w:rsidRPr="00F32517">
        <w:rPr>
          <w:rFonts w:eastAsia="Calibri"/>
          <w:lang w:val="en-GB"/>
        </w:rPr>
        <w:t xml:space="preserve">Moreover, </w:t>
      </w:r>
      <w:r>
        <w:rPr>
          <w:rFonts w:eastAsia="Calibri"/>
          <w:lang w:val="en-GB"/>
        </w:rPr>
        <w:t>this provision</w:t>
      </w:r>
      <w:r w:rsidRPr="00F32517">
        <w:rPr>
          <w:rFonts w:eastAsia="Calibri"/>
          <w:lang w:val="en-GB"/>
        </w:rPr>
        <w:t xml:space="preserve"> does not exclude cases where the contract is sold through an insurance intermediary and the intermediary changes the KID or neglects to provide it to the customer. </w:t>
      </w:r>
    </w:p>
    <w:p w:rsidR="009153C6" w:rsidRDefault="009153C6" w:rsidP="009153C6">
      <w:pPr>
        <w:pStyle w:val="CEABullet-Level1"/>
        <w:numPr>
          <w:ilvl w:val="0"/>
          <w:numId w:val="0"/>
        </w:numPr>
        <w:ind w:left="720"/>
        <w:rPr>
          <w:rFonts w:eastAsia="Calibri"/>
          <w:lang w:val="en-GB"/>
        </w:rPr>
      </w:pPr>
    </w:p>
    <w:p w:rsidR="006B4B76" w:rsidRPr="00A50C3A" w:rsidRDefault="006B4B76" w:rsidP="006B4B76">
      <w:pPr>
        <w:pStyle w:val="CEABullet-Level1"/>
        <w:numPr>
          <w:ilvl w:val="0"/>
          <w:numId w:val="0"/>
        </w:numPr>
        <w:ind w:left="720"/>
        <w:rPr>
          <w:rFonts w:eastAsia="Calibri"/>
          <w:lang w:val="en-GB"/>
        </w:rPr>
      </w:pPr>
      <w:r w:rsidRPr="006B4B76">
        <w:rPr>
          <w:rFonts w:eastAsia="Calibri"/>
          <w:lang w:val="en-GB"/>
        </w:rPr>
        <w:t xml:space="preserve">Insurance Europe </w:t>
      </w:r>
      <w:r w:rsidR="009153C6">
        <w:rPr>
          <w:rFonts w:eastAsia="Calibri"/>
          <w:lang w:val="en-GB"/>
        </w:rPr>
        <w:t xml:space="preserve">therefore </w:t>
      </w:r>
      <w:r w:rsidRPr="006B4B76">
        <w:rPr>
          <w:rFonts w:eastAsia="Calibri"/>
          <w:lang w:val="en-GB"/>
        </w:rPr>
        <w:t xml:space="preserve">proposes </w:t>
      </w:r>
      <w:r w:rsidR="009153C6">
        <w:rPr>
          <w:rFonts w:eastAsia="Calibri"/>
          <w:lang w:val="en-GB"/>
        </w:rPr>
        <w:t xml:space="preserve">replacing </w:t>
      </w:r>
      <w:r w:rsidR="007405F8">
        <w:rPr>
          <w:rFonts w:eastAsia="Calibri"/>
          <w:lang w:val="en-GB"/>
        </w:rPr>
        <w:t xml:space="preserve">the strict liability regime of </w:t>
      </w:r>
      <w:r w:rsidR="009153C6">
        <w:rPr>
          <w:rFonts w:eastAsia="Calibri"/>
          <w:lang w:val="en-GB"/>
        </w:rPr>
        <w:t>Article 11.1</w:t>
      </w:r>
      <w:r w:rsidR="007405F8">
        <w:rPr>
          <w:rFonts w:eastAsia="Calibri"/>
          <w:lang w:val="en-GB"/>
        </w:rPr>
        <w:t xml:space="preserve"> with a UCITS like liability regime given under both regimes the information provided is only high level and standardised</w:t>
      </w:r>
      <w:r w:rsidRPr="006B4B76">
        <w:rPr>
          <w:rFonts w:eastAsia="Calibri"/>
          <w:lang w:val="en-GB"/>
        </w:rPr>
        <w:t>: “</w:t>
      </w:r>
      <w:r w:rsidRPr="006B4B76">
        <w:rPr>
          <w:rFonts w:eastAsia="Calibri"/>
          <w:i/>
          <w:lang w:val="en-GB"/>
        </w:rPr>
        <w:t xml:space="preserve">Member States shall ensure that a product manufacturer does not incur liability solely on the basis of the key information document, including any translation thereof, unless it is misleading, inaccurate or inconsistent with other relevant disclosure requirements under Directive 2009/138/EC. </w:t>
      </w:r>
      <w:r w:rsidRPr="00A50C3A">
        <w:rPr>
          <w:rFonts w:eastAsia="Calibri"/>
          <w:i/>
          <w:lang w:val="en-GB"/>
        </w:rPr>
        <w:t xml:space="preserve">The key information document shall contain a clear warning in this </w:t>
      </w:r>
      <w:commentRangeStart w:id="11"/>
      <w:r w:rsidRPr="00A50C3A">
        <w:rPr>
          <w:rFonts w:eastAsia="Calibri"/>
          <w:i/>
          <w:lang w:val="en-GB"/>
        </w:rPr>
        <w:t>respect</w:t>
      </w:r>
      <w:commentRangeEnd w:id="11"/>
      <w:r w:rsidRPr="006B4B76">
        <w:rPr>
          <w:rStyle w:val="CommentReference"/>
          <w:rFonts w:cs="Times New Roman"/>
          <w:i/>
          <w:color w:val="auto"/>
          <w:lang w:val="en-GB"/>
        </w:rPr>
        <w:commentReference w:id="11"/>
      </w:r>
      <w:r w:rsidRPr="00A50C3A">
        <w:rPr>
          <w:rFonts w:eastAsia="Calibri"/>
          <w:i/>
          <w:lang w:val="en-GB"/>
        </w:rPr>
        <w:t>.</w:t>
      </w:r>
      <w:r w:rsidRPr="00A50C3A">
        <w:rPr>
          <w:rFonts w:eastAsia="Calibri"/>
          <w:lang w:val="en-GB"/>
        </w:rPr>
        <w:t>”</w:t>
      </w:r>
    </w:p>
    <w:p w:rsidR="00D93E7B" w:rsidRDefault="00D93E7B" w:rsidP="006B4B76">
      <w:pPr>
        <w:pStyle w:val="CEABullet-Level1"/>
        <w:numPr>
          <w:ilvl w:val="0"/>
          <w:numId w:val="0"/>
        </w:numPr>
        <w:ind w:left="720"/>
        <w:rPr>
          <w:rFonts w:eastAsia="Calibri"/>
          <w:lang w:val="en-GB"/>
        </w:rPr>
      </w:pPr>
    </w:p>
    <w:p w:rsidR="009C1F07" w:rsidRPr="00F32517" w:rsidRDefault="007E0E57" w:rsidP="00405CB9">
      <w:pPr>
        <w:pStyle w:val="ListParagraph"/>
        <w:numPr>
          <w:ilvl w:val="0"/>
          <w:numId w:val="18"/>
        </w:numPr>
        <w:tabs>
          <w:tab w:val="left" w:pos="284"/>
        </w:tabs>
        <w:suppressAutoHyphens/>
        <w:spacing w:before="120" w:line="264" w:lineRule="auto"/>
        <w:ind w:left="0" w:firstLine="0"/>
        <w:jc w:val="both"/>
        <w:rPr>
          <w:rFonts w:eastAsia="Calibri" w:cs="Calibri"/>
          <w:b/>
          <w:szCs w:val="17"/>
        </w:rPr>
      </w:pPr>
      <w:r>
        <w:rPr>
          <w:rFonts w:eastAsia="Calibri" w:cs="Calibri"/>
          <w:b/>
          <w:szCs w:val="17"/>
        </w:rPr>
        <w:t>Definition of retail investors</w:t>
      </w:r>
      <w:r w:rsidR="009C1F07" w:rsidRPr="00F32517">
        <w:rPr>
          <w:rFonts w:eastAsia="Calibri" w:cs="Calibri"/>
          <w:b/>
          <w:szCs w:val="17"/>
        </w:rPr>
        <w:t xml:space="preserve"> </w:t>
      </w:r>
    </w:p>
    <w:p w:rsidR="009C1F07" w:rsidRDefault="009C1F07" w:rsidP="007D6781">
      <w:pPr>
        <w:pStyle w:val="CEABullet-Level1"/>
        <w:rPr>
          <w:rFonts w:eastAsia="Calibri"/>
          <w:lang w:val="en-GB" w:eastAsia="fr-FR"/>
        </w:rPr>
      </w:pPr>
      <w:r w:rsidRPr="00990D34">
        <w:rPr>
          <w:rFonts w:eastAsia="Calibri"/>
          <w:lang w:val="en-GB" w:eastAsia="fr-FR"/>
        </w:rPr>
        <w:t xml:space="preserve">Art. </w:t>
      </w:r>
      <w:r w:rsidR="002D5074" w:rsidRPr="00990D34">
        <w:rPr>
          <w:rFonts w:eastAsia="Calibri"/>
          <w:lang w:val="en-GB" w:eastAsia="fr-FR"/>
        </w:rPr>
        <w:t>4</w:t>
      </w:r>
      <w:r w:rsidRPr="00990D34">
        <w:rPr>
          <w:rFonts w:eastAsia="Calibri"/>
          <w:lang w:val="en-GB" w:eastAsia="fr-FR"/>
        </w:rPr>
        <w:t>(c) defines the concept of “retail investor</w:t>
      </w:r>
      <w:r w:rsidR="002D5074" w:rsidRPr="00990D34">
        <w:rPr>
          <w:rFonts w:eastAsia="Calibri"/>
          <w:lang w:val="en-GB" w:eastAsia="fr-FR"/>
        </w:rPr>
        <w:t>s</w:t>
      </w:r>
      <w:r w:rsidRPr="00990D34">
        <w:rPr>
          <w:rFonts w:eastAsia="Calibri"/>
          <w:lang w:val="en-GB" w:eastAsia="fr-FR"/>
        </w:rPr>
        <w:t xml:space="preserve">”, </w:t>
      </w:r>
      <w:r w:rsidR="007E0E57" w:rsidRPr="00990D34">
        <w:rPr>
          <w:rFonts w:eastAsia="Calibri"/>
          <w:lang w:val="en-GB" w:eastAsia="fr-FR"/>
        </w:rPr>
        <w:t>stating</w:t>
      </w:r>
      <w:r w:rsidRPr="00990D34">
        <w:rPr>
          <w:rFonts w:eastAsia="Calibri"/>
          <w:lang w:val="en-GB" w:eastAsia="fr-FR"/>
        </w:rPr>
        <w:t xml:space="preserve"> that it means </w:t>
      </w:r>
      <w:r w:rsidR="007E0E57" w:rsidRPr="00990D34">
        <w:rPr>
          <w:rFonts w:eastAsia="Calibri"/>
          <w:lang w:val="en-GB" w:eastAsia="fr-FR"/>
        </w:rPr>
        <w:t>“</w:t>
      </w:r>
      <w:r w:rsidRPr="00990D34">
        <w:rPr>
          <w:rFonts w:eastAsia="Calibri"/>
          <w:lang w:val="en-GB" w:eastAsia="fr-FR"/>
        </w:rPr>
        <w:t xml:space="preserve">customers </w:t>
      </w:r>
      <w:r w:rsidR="007E0E57" w:rsidRPr="00990D34">
        <w:rPr>
          <w:rFonts w:eastAsia="Calibri"/>
          <w:lang w:val="en-GB" w:eastAsia="fr-FR"/>
        </w:rPr>
        <w:t>with</w:t>
      </w:r>
      <w:r w:rsidRPr="00990D34">
        <w:rPr>
          <w:rFonts w:eastAsia="Calibri"/>
          <w:lang w:val="en-GB" w:eastAsia="fr-FR"/>
        </w:rPr>
        <w:t xml:space="preserve">in </w:t>
      </w:r>
      <w:r w:rsidR="007E0E57" w:rsidRPr="00990D34">
        <w:rPr>
          <w:rFonts w:eastAsia="Calibri"/>
          <w:lang w:val="en-GB" w:eastAsia="fr-FR"/>
        </w:rPr>
        <w:t xml:space="preserve">the meaning of </w:t>
      </w:r>
      <w:r w:rsidRPr="00990D34">
        <w:rPr>
          <w:rFonts w:eastAsia="Calibri"/>
          <w:lang w:val="en-GB" w:eastAsia="fr-FR"/>
        </w:rPr>
        <w:t>Directive 2002/92/EC” [</w:t>
      </w:r>
      <w:proofErr w:type="spellStart"/>
      <w:r w:rsidRPr="00990D34">
        <w:rPr>
          <w:rFonts w:eastAsia="Calibri"/>
          <w:lang w:val="en-GB" w:eastAsia="fr-FR"/>
        </w:rPr>
        <w:t>ie</w:t>
      </w:r>
      <w:proofErr w:type="spellEnd"/>
      <w:r w:rsidRPr="00990D34">
        <w:rPr>
          <w:rFonts w:eastAsia="Calibri"/>
          <w:lang w:val="en-GB" w:eastAsia="fr-FR"/>
        </w:rPr>
        <w:t xml:space="preserve"> the IMD]. However, the IMD does not </w:t>
      </w:r>
      <w:r w:rsidR="00E410FA">
        <w:rPr>
          <w:rFonts w:eastAsia="Calibri"/>
          <w:lang w:val="en-GB" w:eastAsia="fr-FR"/>
        </w:rPr>
        <w:t xml:space="preserve">actually </w:t>
      </w:r>
      <w:r w:rsidRPr="00990D34">
        <w:rPr>
          <w:rFonts w:eastAsia="Calibri"/>
          <w:lang w:val="en-GB" w:eastAsia="fr-FR"/>
        </w:rPr>
        <w:t>define the concept of customers.</w:t>
      </w:r>
    </w:p>
    <w:p w:rsidR="007035AF" w:rsidRDefault="007035AF" w:rsidP="007035AF">
      <w:pPr>
        <w:pStyle w:val="CEABullet-Level1"/>
        <w:numPr>
          <w:ilvl w:val="0"/>
          <w:numId w:val="0"/>
        </w:numPr>
        <w:ind w:left="720"/>
        <w:rPr>
          <w:rFonts w:eastAsia="Calibri"/>
          <w:lang w:val="en-GB" w:eastAsia="fr-FR"/>
        </w:rPr>
      </w:pPr>
    </w:p>
    <w:p w:rsidR="007035AF" w:rsidRDefault="007035AF" w:rsidP="00405CB9">
      <w:pPr>
        <w:pStyle w:val="ListParagraph"/>
        <w:numPr>
          <w:ilvl w:val="0"/>
          <w:numId w:val="18"/>
        </w:numPr>
        <w:tabs>
          <w:tab w:val="left" w:pos="284"/>
          <w:tab w:val="left" w:pos="426"/>
        </w:tabs>
        <w:suppressAutoHyphens/>
        <w:spacing w:before="120" w:line="264" w:lineRule="auto"/>
        <w:ind w:left="0" w:firstLine="0"/>
        <w:jc w:val="both"/>
        <w:rPr>
          <w:rFonts w:eastAsia="Calibri" w:cs="Calibri"/>
          <w:b/>
          <w:szCs w:val="17"/>
        </w:rPr>
      </w:pPr>
      <w:r>
        <w:rPr>
          <w:rFonts w:eastAsia="Calibri" w:cs="Calibri"/>
          <w:b/>
          <w:szCs w:val="17"/>
        </w:rPr>
        <w:t>Provision of KID</w:t>
      </w:r>
    </w:p>
    <w:p w:rsidR="007035AF" w:rsidRDefault="007035AF" w:rsidP="007035AF">
      <w:pPr>
        <w:pStyle w:val="ListParagraph"/>
        <w:suppressAutoHyphens/>
        <w:spacing w:before="120" w:line="264" w:lineRule="auto"/>
        <w:jc w:val="both"/>
        <w:rPr>
          <w:rFonts w:eastAsia="Calibri" w:cs="Calibri"/>
          <w:b/>
          <w:szCs w:val="17"/>
        </w:rPr>
      </w:pPr>
    </w:p>
    <w:p w:rsidR="007035AF" w:rsidRPr="007035AF" w:rsidRDefault="007035AF" w:rsidP="007035AF">
      <w:pPr>
        <w:pStyle w:val="CEABullet-Level1"/>
        <w:rPr>
          <w:rFonts w:eastAsia="Calibri"/>
          <w:lang w:val="en-GB"/>
        </w:rPr>
      </w:pPr>
      <w:r w:rsidRPr="007035AF">
        <w:rPr>
          <w:rFonts w:eastAsia="Calibri"/>
          <w:lang w:val="en-GB"/>
        </w:rPr>
        <w:t>Article 13.4(b) and Artic</w:t>
      </w:r>
      <w:r>
        <w:rPr>
          <w:rFonts w:eastAsia="Calibri"/>
          <w:lang w:val="en-GB"/>
        </w:rPr>
        <w:t>l</w:t>
      </w:r>
      <w:r w:rsidRPr="007035AF">
        <w:rPr>
          <w:rFonts w:eastAsia="Calibri"/>
          <w:lang w:val="en-GB"/>
        </w:rPr>
        <w:t xml:space="preserve">e 13.5(b) require customer consent to provide the KID by another durable medium than paper or on a website. </w:t>
      </w:r>
      <w:r>
        <w:rPr>
          <w:rFonts w:eastAsia="Calibri"/>
          <w:lang w:val="en-GB"/>
        </w:rPr>
        <w:t xml:space="preserve">The insurance industry has made a significant effort to increase e-communication to enhance customer satisfaction. It is unclear to Insurance Europe whether Article 13.6 allows product manufacturers, in all cases, to provide the KID in another durable medium than paper or on a website </w:t>
      </w:r>
      <w:r w:rsidR="00BB2887">
        <w:rPr>
          <w:rFonts w:eastAsia="Calibri"/>
          <w:lang w:val="en-GB"/>
        </w:rPr>
        <w:t xml:space="preserve">in case the customer has provided his/her email address. To address this </w:t>
      </w:r>
      <w:proofErr w:type="spellStart"/>
      <w:r w:rsidR="00BB2887">
        <w:rPr>
          <w:rFonts w:eastAsia="Calibri"/>
          <w:lang w:val="en-GB"/>
        </w:rPr>
        <w:t>unclarity</w:t>
      </w:r>
      <w:proofErr w:type="spellEnd"/>
      <w:r w:rsidR="00BB2887">
        <w:rPr>
          <w:rFonts w:eastAsia="Calibri"/>
          <w:lang w:val="en-GB"/>
        </w:rPr>
        <w:t>, Insurance Europe requests the deletion of Article 13.4(b) and Article 13.5(b).</w:t>
      </w:r>
    </w:p>
    <w:sectPr w:rsidR="007035AF" w:rsidRPr="007035AF" w:rsidSect="004027BA">
      <w:headerReference w:type="default" r:id="rId11"/>
      <w:footerReference w:type="default" r:id="rId12"/>
      <w:type w:val="continuous"/>
      <w:pgSz w:w="11907" w:h="16839" w:code="9"/>
      <w:pgMar w:top="2127" w:right="902" w:bottom="1418" w:left="1418" w:header="1276" w:footer="39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rjolein De Backer" w:date="2012-09-03T10:00:00Z" w:initials="MDB">
    <w:p w:rsidR="004C33FF" w:rsidRDefault="004C33FF">
      <w:pPr>
        <w:pStyle w:val="CommentText"/>
      </w:pPr>
      <w:r>
        <w:rPr>
          <w:rStyle w:val="CommentReference"/>
        </w:rPr>
        <w:annotationRef/>
      </w:r>
      <w:r>
        <w:t xml:space="preserve">The disclosure expert group agreed the proposed KID is not insurance specific enough to be applicable to insurance products. Therefore, Insurance Europe should firstly argue the KID can only be applied at underlying product level, not at insurance product level. Participants were aware it is unlikely this argument will be accepted. Insurance Europe should thus, in the alternative, argue the KID should be made more insurance specific if it has to be applied at insurance product level. </w:t>
      </w:r>
    </w:p>
  </w:comment>
  <w:comment w:id="2" w:author="Marjolein De Backer" w:date="2012-08-31T14:39:00Z" w:initials="MDB">
    <w:p w:rsidR="004C33FF" w:rsidRDefault="004C33FF">
      <w:pPr>
        <w:pStyle w:val="CommentText"/>
      </w:pPr>
      <w:r>
        <w:rPr>
          <w:rStyle w:val="CommentReference"/>
        </w:rPr>
        <w:annotationRef/>
      </w:r>
      <w:r>
        <w:t>The disclosure expert group agreed Insurance Europe should only point out the existence of various national KIDs and the risk of information overload. Insurance Europe should not request an abolition of the national KIDS, this is to be discussed by members at national level.</w:t>
      </w:r>
    </w:p>
  </w:comment>
  <w:comment w:id="3" w:author="Marjolein De Backer" w:date="2012-08-31T14:39:00Z" w:initials="MDB">
    <w:p w:rsidR="004C33FF" w:rsidRDefault="004C33FF">
      <w:pPr>
        <w:pStyle w:val="CommentText"/>
      </w:pPr>
      <w:r>
        <w:rPr>
          <w:rStyle w:val="CommentReference"/>
        </w:rPr>
        <w:annotationRef/>
      </w:r>
      <w:r>
        <w:t>The disclosure expert group agreed it would not be credible to request existing national KIDs can replace the proposed PRIPs KID.</w:t>
      </w:r>
    </w:p>
  </w:comment>
  <w:comment w:id="4" w:author="Marjolein De Backer" w:date="2012-08-31T14:39:00Z" w:initials="MDB">
    <w:p w:rsidR="004C33FF" w:rsidRDefault="004C33FF">
      <w:pPr>
        <w:pStyle w:val="CommentText"/>
      </w:pPr>
      <w:r>
        <w:rPr>
          <w:rStyle w:val="CommentReference"/>
        </w:rPr>
        <w:annotationRef/>
      </w:r>
      <w:r>
        <w:t>The disclosure expert group believes it is important to ensure regulators understand there is a wide variety of insurance products unlike UCITS which are standardised. However, Insurance Europe’s arguments should not suggest further harmonisation of insurance products or disclosures.</w:t>
      </w:r>
    </w:p>
  </w:comment>
  <w:comment w:id="5" w:author="Marjolein De Backer" w:date="2012-08-31T14:39:00Z" w:initials="MDB">
    <w:p w:rsidR="004C33FF" w:rsidRDefault="004C33FF">
      <w:pPr>
        <w:pStyle w:val="CommentText"/>
      </w:pPr>
      <w:r>
        <w:rPr>
          <w:rStyle w:val="CommentReference"/>
        </w:rPr>
        <w:annotationRef/>
      </w:r>
      <w:r>
        <w:t>Wording from Insurance Europe Key Information Checklist, see annex to SMC-PRIP-11-010.</w:t>
      </w:r>
    </w:p>
  </w:comment>
  <w:comment w:id="6" w:author="Marjolein De Backer" w:date="2012-08-31T14:39:00Z" w:initials="MDB">
    <w:p w:rsidR="004C33FF" w:rsidRDefault="004C33FF">
      <w:pPr>
        <w:pStyle w:val="CommentText"/>
      </w:pPr>
      <w:r>
        <w:rPr>
          <w:rStyle w:val="CommentReference"/>
        </w:rPr>
        <w:annotationRef/>
      </w:r>
      <w:r>
        <w:t>Insurance Europe response to question 42 EC consultation, see SMC-PRIP-11-010.</w:t>
      </w:r>
    </w:p>
  </w:comment>
  <w:comment w:id="7" w:author="Marjolein De Backer" w:date="2012-08-31T14:39:00Z" w:initials="MDB">
    <w:p w:rsidR="004C33FF" w:rsidRDefault="004C33FF">
      <w:pPr>
        <w:pStyle w:val="CommentText"/>
      </w:pPr>
      <w:r>
        <w:rPr>
          <w:rStyle w:val="CommentReference"/>
        </w:rPr>
        <w:annotationRef/>
      </w:r>
      <w:r>
        <w:t>This concern was not shared by the participants at the disclosure expert group meeting.</w:t>
      </w:r>
    </w:p>
  </w:comment>
  <w:comment w:id="8" w:author="Marjolein De Backer" w:date="2012-08-31T14:39:00Z" w:initials="MDB">
    <w:p w:rsidR="004C33FF" w:rsidRDefault="004C33FF">
      <w:pPr>
        <w:pStyle w:val="CommentText"/>
      </w:pPr>
      <w:r>
        <w:rPr>
          <w:rStyle w:val="CommentReference"/>
        </w:rPr>
        <w:annotationRef/>
      </w:r>
      <w:r>
        <w:t>This comment is included in the section on “insurance product features” above.</w:t>
      </w:r>
    </w:p>
  </w:comment>
  <w:comment w:id="9" w:author="Marjolein De Backer" w:date="2012-08-31T16:01:00Z" w:initials="MDB">
    <w:p w:rsidR="004C33FF" w:rsidRDefault="004C33FF">
      <w:pPr>
        <w:pStyle w:val="CommentText"/>
      </w:pPr>
      <w:r>
        <w:rPr>
          <w:rStyle w:val="CommentReference"/>
        </w:rPr>
        <w:annotationRef/>
      </w:r>
      <w:r>
        <w:t>Based on the discussions at the disclosure expert group, it seems participants prefer a general regulation given regulations cannot easily be changed. This argument is therefore contradictory.</w:t>
      </w:r>
    </w:p>
  </w:comment>
  <w:comment w:id="10" w:author="Marjolein De Backer" w:date="2012-08-31T14:39:00Z" w:initials="MDB">
    <w:p w:rsidR="004C33FF" w:rsidRDefault="004C33FF">
      <w:pPr>
        <w:pStyle w:val="CommentText"/>
      </w:pPr>
      <w:r>
        <w:rPr>
          <w:rStyle w:val="CommentReference"/>
        </w:rPr>
        <w:annotationRef/>
      </w:r>
      <w:r>
        <w:t>Language taken from Insurance Europe KIC, see SMC-PRIP-11-010</w:t>
      </w:r>
    </w:p>
  </w:comment>
  <w:comment w:id="11" w:author="Marjolein De Backer" w:date="2012-08-31T14:39:00Z" w:initials="MDB">
    <w:p w:rsidR="004C33FF" w:rsidRDefault="004C33FF" w:rsidP="006B4B76">
      <w:pPr>
        <w:pStyle w:val="CommentText"/>
      </w:pPr>
      <w:r>
        <w:rPr>
          <w:rStyle w:val="CommentReference"/>
        </w:rPr>
        <w:annotationRef/>
      </w:r>
      <w:r>
        <w:t>Suggested amendment based on Article 79 UCITS.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B95" w:rsidRDefault="00A54B95">
      <w:r>
        <w:separator/>
      </w:r>
    </w:p>
    <w:p w:rsidR="00A54B95" w:rsidRDefault="00A54B95"/>
  </w:endnote>
  <w:endnote w:type="continuationSeparator" w:id="0">
    <w:p w:rsidR="00A54B95" w:rsidRDefault="00A54B95">
      <w:r>
        <w:continuationSeparator/>
      </w:r>
    </w:p>
    <w:p w:rsidR="00A54B95" w:rsidRDefault="00A54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44B87675-3233-4D0E-A9A1-DB8557F5D835}"/>
    <w:embedBold r:id="rId2" w:fontKey="{89975FB1-AC9F-4F86-90EC-5AAEFEF9226E}"/>
    <w:embedItalic r:id="rId3" w:fontKey="{3EC8ED70-CEBA-4D1B-AFE1-F85D81345AC3}"/>
    <w:embedBoldItalic r:id="rId4" w:fontKey="{7DB47F05-2EF9-4097-BDD4-88C002BF2B8F}"/>
  </w:font>
  <w:font w:name="Verdana">
    <w:altName w:val="Verdana"/>
    <w:panose1 w:val="020B0604030504040204"/>
    <w:charset w:val="00"/>
    <w:family w:val="swiss"/>
    <w:pitch w:val="variable"/>
    <w:sig w:usb0="A10006FF" w:usb1="4000205B" w:usb2="00000010" w:usb3="00000000" w:csb0="0000019F" w:csb1="00000000"/>
    <w:embedRegular r:id="rId5" w:fontKey="{79D869BF-8CF6-45BF-BA2B-10FB88C7E46E}"/>
    <w:embedBold r:id="rId6" w:fontKey="{B713E0AF-E934-468A-867A-90BB0352C10D}"/>
    <w:embedItalic r:id="rId7" w:fontKey="{F5FABC84-2DD4-4F35-9C0A-F0170672C145}"/>
    <w:embedBoldItalic r:id="rId8" w:fontKey="{BC4FF00D-9323-4C60-9D63-0B5F15E35F7C}"/>
  </w:font>
  <w:font w:name="Frutiger LT Com 45 Light">
    <w:altName w:val="Corbel"/>
    <w:charset w:val="00"/>
    <w:family w:val="swiss"/>
    <w:pitch w:val="variable"/>
    <w:sig w:usb0="00000087"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1EC67A93-636A-41F5-9D80-CA4D95680F61}"/>
  </w:font>
  <w:font w:name="Cambria">
    <w:panose1 w:val="02040503050406030204"/>
    <w:charset w:val="00"/>
    <w:family w:val="roman"/>
    <w:pitch w:val="variable"/>
    <w:sig w:usb0="E00002FF" w:usb1="400004FF" w:usb2="00000000" w:usb3="00000000" w:csb0="0000019F" w:csb1="00000000"/>
    <w:embedRegular r:id="rId10" w:fontKey="{7F115D0B-8349-489D-A5D8-03DE22E2CA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3FF" w:rsidRPr="00CD51F6" w:rsidRDefault="004C33FF" w:rsidP="00EF4577">
    <w:pPr>
      <w:pStyle w:val="Footer"/>
      <w:ind w:left="546"/>
      <w:rPr>
        <w:rFonts w:cs="Arial"/>
        <w:b/>
        <w:color w:val="0032FF"/>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B95" w:rsidRDefault="00A54B95">
      <w:r>
        <w:separator/>
      </w:r>
    </w:p>
    <w:p w:rsidR="00A54B95" w:rsidRDefault="00A54B95"/>
  </w:footnote>
  <w:footnote w:type="continuationSeparator" w:id="0">
    <w:p w:rsidR="00A54B95" w:rsidRDefault="00A54B95">
      <w:r>
        <w:continuationSeparator/>
      </w:r>
    </w:p>
    <w:p w:rsidR="00A54B95" w:rsidRDefault="00A54B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3FF" w:rsidRPr="004E1EA1" w:rsidRDefault="004C33FF" w:rsidP="000846C0">
    <w:pPr>
      <w:pStyle w:val="Noparagraphstyle"/>
      <w:jc w:val="right"/>
      <w:rPr>
        <w:rFonts w:ascii="Verdana" w:hAnsi="Verdana"/>
        <w:b/>
        <w:i/>
        <w:sz w:val="16"/>
        <w:szCs w:val="16"/>
      </w:rPr>
    </w:pPr>
    <w:r w:rsidRPr="004E1EA1">
      <w:rPr>
        <w:rFonts w:ascii="Verdana" w:hAnsi="Verdana"/>
        <w:b/>
        <w:i/>
        <w:sz w:val="16"/>
        <w:szCs w:val="16"/>
      </w:rPr>
      <w:t>SMC-PRIP-12-</w:t>
    </w:r>
    <w:r w:rsidR="00405CB9" w:rsidRPr="004E1EA1">
      <w:rPr>
        <w:rFonts w:ascii="Verdana" w:hAnsi="Verdana"/>
        <w:b/>
        <w:i/>
        <w:sz w:val="16"/>
        <w:szCs w:val="16"/>
      </w:rPr>
      <w:t>01</w:t>
    </w:r>
    <w:r w:rsidR="00405CB9">
      <w:rPr>
        <w:rFonts w:ascii="Verdana" w:hAnsi="Verdana"/>
        <w:b/>
        <w:i/>
        <w:sz w:val="16"/>
        <w:szCs w:val="16"/>
      </w:rPr>
      <w:t>6</w:t>
    </w:r>
  </w:p>
  <w:p w:rsidR="004C33FF" w:rsidRPr="004E1EA1" w:rsidRDefault="004C33FF" w:rsidP="000846C0">
    <w:pPr>
      <w:pStyle w:val="Noparagraphstyle"/>
      <w:jc w:val="right"/>
      <w:rPr>
        <w:rFonts w:ascii="Verdana" w:hAnsi="Verdana"/>
        <w:b/>
        <w:i/>
        <w:sz w:val="16"/>
        <w:szCs w:val="16"/>
      </w:rPr>
    </w:pPr>
    <w:r>
      <w:rPr>
        <w:rFonts w:ascii="Verdana" w:hAnsi="Verdana"/>
        <w:b/>
        <w:i/>
        <w:sz w:val="16"/>
        <w:szCs w:val="16"/>
      </w:rPr>
      <w:t>3 September 2012</w:t>
    </w:r>
  </w:p>
  <w:p w:rsidR="004C33FF" w:rsidRPr="00CD51F6" w:rsidRDefault="004C33FF" w:rsidP="000846C0">
    <w:pPr>
      <w:pStyle w:val="Noparagraphstyle"/>
      <w:jc w:val="right"/>
      <w:rPr>
        <w:rFonts w:ascii="Arial" w:hAnsi="Arial" w:cs="Arial"/>
        <w:i/>
        <w:iCs/>
        <w:color w:val="034EA2"/>
      </w:rPr>
    </w:pPr>
    <w:r>
      <w:tab/>
    </w:r>
  </w:p>
  <w:p w:rsidR="004C33FF" w:rsidRPr="007349E1" w:rsidRDefault="004C33FF" w:rsidP="007349E1">
    <w:pPr>
      <w:pStyle w:val="Header"/>
      <w:tabs>
        <w:tab w:val="clear" w:pos="4320"/>
        <w:tab w:val="clear" w:pos="8640"/>
        <w:tab w:val="center" w:pos="0"/>
        <w:tab w:val="right" w:pos="10440"/>
      </w:tabs>
      <w:rPr>
        <w:b/>
        <w:sz w:val="40"/>
        <w:szCs w:val="40"/>
      </w:rPr>
    </w:pPr>
    <w:r w:rsidRPr="00164309">
      <w:rPr>
        <w:b/>
        <w:noProof/>
        <w:sz w:val="40"/>
        <w:szCs w:val="40"/>
        <w:lang w:eastAsia="en-GB"/>
      </w:rPr>
      <w:drawing>
        <wp:anchor distT="0" distB="0" distL="114300" distR="114300" simplePos="0" relativeHeight="251659264" behindDoc="0" locked="0" layoutInCell="1" allowOverlap="1" wp14:anchorId="429519D8" wp14:editId="6D0D5207">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CEA - Bullets Rounded Squares_BulletLevel1_forMS"/>
      </v:shape>
    </w:pict>
  </w:numPicBullet>
  <w:numPicBullet w:numPicBulletId="1">
    <w:pict>
      <v:shape id="_x0000_i1037" type="#_x0000_t75" style="width:9.4pt;height:8.75pt" o:bullet="t">
        <v:imagedata r:id="rId2" o:title="CEA - Bullets Rounded Squares_BulletLevel3_forMS"/>
      </v:shape>
    </w:pict>
  </w:numPicBullet>
  <w:numPicBullet w:numPicBulletId="2">
    <w:pict>
      <v:shape id="_x0000_i1038"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9007F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D4E342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ACF0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3960D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ListNumber"/>
      <w:lvlText w:val="%1."/>
      <w:lvlJc w:val="left"/>
      <w:pPr>
        <w:tabs>
          <w:tab w:val="num" w:pos="360"/>
        </w:tabs>
        <w:ind w:left="360" w:hanging="360"/>
      </w:pPr>
    </w:lvl>
  </w:abstractNum>
  <w:abstractNum w:abstractNumId="9">
    <w:nsid w:val="FFFFFF89"/>
    <w:multiLevelType w:val="singleLevel"/>
    <w:tmpl w:val="4B14C1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F3A46E3"/>
    <w:multiLevelType w:val="hybridMultilevel"/>
    <w:tmpl w:val="735ABA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2">
    <w:nsid w:val="129F0ABC"/>
    <w:multiLevelType w:val="hybridMultilevel"/>
    <w:tmpl w:val="1B8652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3C2FF7"/>
    <w:multiLevelType w:val="hybridMultilevel"/>
    <w:tmpl w:val="84A421BE"/>
    <w:lvl w:ilvl="0" w:tplc="0809000F">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4">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287677F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7">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7663BE2"/>
    <w:multiLevelType w:val="hybridMultilevel"/>
    <w:tmpl w:val="4E5699AA"/>
    <w:lvl w:ilvl="0" w:tplc="D0420AC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7"/>
  </w:num>
  <w:num w:numId="13">
    <w:abstractNumId w:val="15"/>
  </w:num>
  <w:num w:numId="14">
    <w:abstractNumId w:val="19"/>
  </w:num>
  <w:num w:numId="15">
    <w:abstractNumId w:val="16"/>
  </w:num>
  <w:num w:numId="16">
    <w:abstractNumId w:val="11"/>
  </w:num>
  <w:num w:numId="17">
    <w:abstractNumId w:val="18"/>
  </w:num>
  <w:num w:numId="18">
    <w:abstractNumId w:val="13"/>
  </w:num>
  <w:num w:numId="19">
    <w:abstractNumId w:val="12"/>
  </w:num>
  <w:num w:numId="20">
    <w:abstractNumId w:val="10"/>
  </w:num>
  <w:num w:numId="2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trackRevisions/>
  <w:defaultTabStop w:val="1134"/>
  <w:hyphenationZone w:val="425"/>
  <w:characterSpacingControl w:val="doNotCompress"/>
  <w:hdrShapeDefaults>
    <o:shapedefaults v:ext="edit" spidmax="2049">
      <o:colormru v:ext="edit" colors="#034ea2,#5d9e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F07"/>
    <w:rsid w:val="00000622"/>
    <w:rsid w:val="000006CA"/>
    <w:rsid w:val="000011C1"/>
    <w:rsid w:val="00001EBB"/>
    <w:rsid w:val="00006017"/>
    <w:rsid w:val="00007E37"/>
    <w:rsid w:val="00010B8A"/>
    <w:rsid w:val="000233DD"/>
    <w:rsid w:val="000260C6"/>
    <w:rsid w:val="00034910"/>
    <w:rsid w:val="000354FA"/>
    <w:rsid w:val="00035C6C"/>
    <w:rsid w:val="00037FBF"/>
    <w:rsid w:val="00043095"/>
    <w:rsid w:val="00044495"/>
    <w:rsid w:val="00044AD8"/>
    <w:rsid w:val="00044ECB"/>
    <w:rsid w:val="00047182"/>
    <w:rsid w:val="0004778B"/>
    <w:rsid w:val="00062772"/>
    <w:rsid w:val="00065779"/>
    <w:rsid w:val="00074937"/>
    <w:rsid w:val="00075B55"/>
    <w:rsid w:val="00076120"/>
    <w:rsid w:val="00076557"/>
    <w:rsid w:val="000810B2"/>
    <w:rsid w:val="000846C0"/>
    <w:rsid w:val="000869E1"/>
    <w:rsid w:val="0008722C"/>
    <w:rsid w:val="00087F5D"/>
    <w:rsid w:val="00091FFD"/>
    <w:rsid w:val="0009470E"/>
    <w:rsid w:val="00094AED"/>
    <w:rsid w:val="00094F94"/>
    <w:rsid w:val="00095134"/>
    <w:rsid w:val="00096850"/>
    <w:rsid w:val="00096E89"/>
    <w:rsid w:val="000A09C7"/>
    <w:rsid w:val="000A3157"/>
    <w:rsid w:val="000A5C74"/>
    <w:rsid w:val="000A76D6"/>
    <w:rsid w:val="000B0B48"/>
    <w:rsid w:val="000B1B74"/>
    <w:rsid w:val="000B32DF"/>
    <w:rsid w:val="000B4A5D"/>
    <w:rsid w:val="000C1585"/>
    <w:rsid w:val="000C2041"/>
    <w:rsid w:val="000D0CDC"/>
    <w:rsid w:val="000D3234"/>
    <w:rsid w:val="000E10A5"/>
    <w:rsid w:val="000E12A5"/>
    <w:rsid w:val="000E134A"/>
    <w:rsid w:val="000E1C9B"/>
    <w:rsid w:val="000E2642"/>
    <w:rsid w:val="000E47C1"/>
    <w:rsid w:val="000F0017"/>
    <w:rsid w:val="000F1F78"/>
    <w:rsid w:val="000F296B"/>
    <w:rsid w:val="00100FC6"/>
    <w:rsid w:val="00113142"/>
    <w:rsid w:val="00113305"/>
    <w:rsid w:val="00113741"/>
    <w:rsid w:val="00113F11"/>
    <w:rsid w:val="00120A99"/>
    <w:rsid w:val="00126148"/>
    <w:rsid w:val="001262D9"/>
    <w:rsid w:val="00127A6C"/>
    <w:rsid w:val="00131307"/>
    <w:rsid w:val="0013682A"/>
    <w:rsid w:val="00146DE0"/>
    <w:rsid w:val="00154F0E"/>
    <w:rsid w:val="001603D7"/>
    <w:rsid w:val="00164309"/>
    <w:rsid w:val="001649DC"/>
    <w:rsid w:val="0017141D"/>
    <w:rsid w:val="00172CC0"/>
    <w:rsid w:val="00174598"/>
    <w:rsid w:val="00182068"/>
    <w:rsid w:val="00182700"/>
    <w:rsid w:val="0018318B"/>
    <w:rsid w:val="001835CC"/>
    <w:rsid w:val="00195A38"/>
    <w:rsid w:val="001964BE"/>
    <w:rsid w:val="001A022F"/>
    <w:rsid w:val="001A0BB7"/>
    <w:rsid w:val="001A50F7"/>
    <w:rsid w:val="001A736D"/>
    <w:rsid w:val="001A75E9"/>
    <w:rsid w:val="001B0A3A"/>
    <w:rsid w:val="001B1E41"/>
    <w:rsid w:val="001B21DC"/>
    <w:rsid w:val="001B29F2"/>
    <w:rsid w:val="001B45CE"/>
    <w:rsid w:val="001C0EE5"/>
    <w:rsid w:val="001D600E"/>
    <w:rsid w:val="001E0CCF"/>
    <w:rsid w:val="001E21E1"/>
    <w:rsid w:val="001F6433"/>
    <w:rsid w:val="001F6EFC"/>
    <w:rsid w:val="00200EEC"/>
    <w:rsid w:val="0020115F"/>
    <w:rsid w:val="00201751"/>
    <w:rsid w:val="00203504"/>
    <w:rsid w:val="00203E72"/>
    <w:rsid w:val="00205DE0"/>
    <w:rsid w:val="002062A6"/>
    <w:rsid w:val="00211AD9"/>
    <w:rsid w:val="00211FAE"/>
    <w:rsid w:val="00214D71"/>
    <w:rsid w:val="0021768C"/>
    <w:rsid w:val="00226415"/>
    <w:rsid w:val="0023159D"/>
    <w:rsid w:val="00231943"/>
    <w:rsid w:val="00234644"/>
    <w:rsid w:val="002349AC"/>
    <w:rsid w:val="00242E2D"/>
    <w:rsid w:val="00244031"/>
    <w:rsid w:val="0024630B"/>
    <w:rsid w:val="0024638B"/>
    <w:rsid w:val="002531AA"/>
    <w:rsid w:val="002531B2"/>
    <w:rsid w:val="00253AD9"/>
    <w:rsid w:val="00254BC5"/>
    <w:rsid w:val="00257A41"/>
    <w:rsid w:val="00263C3C"/>
    <w:rsid w:val="002644FF"/>
    <w:rsid w:val="00264FF8"/>
    <w:rsid w:val="00273605"/>
    <w:rsid w:val="00275373"/>
    <w:rsid w:val="00280821"/>
    <w:rsid w:val="00280E12"/>
    <w:rsid w:val="002810CD"/>
    <w:rsid w:val="00281A6F"/>
    <w:rsid w:val="002820FB"/>
    <w:rsid w:val="002825EA"/>
    <w:rsid w:val="00282E93"/>
    <w:rsid w:val="00282F27"/>
    <w:rsid w:val="00283ADA"/>
    <w:rsid w:val="00290D37"/>
    <w:rsid w:val="00292DE8"/>
    <w:rsid w:val="0029642B"/>
    <w:rsid w:val="002A26FA"/>
    <w:rsid w:val="002A5B60"/>
    <w:rsid w:val="002A5DA1"/>
    <w:rsid w:val="002A6E93"/>
    <w:rsid w:val="002A7B00"/>
    <w:rsid w:val="002A7D7C"/>
    <w:rsid w:val="002B30E8"/>
    <w:rsid w:val="002B3283"/>
    <w:rsid w:val="002B72A8"/>
    <w:rsid w:val="002C3275"/>
    <w:rsid w:val="002C35B0"/>
    <w:rsid w:val="002C3A0E"/>
    <w:rsid w:val="002C6607"/>
    <w:rsid w:val="002D142B"/>
    <w:rsid w:val="002D3146"/>
    <w:rsid w:val="002D5074"/>
    <w:rsid w:val="002E027B"/>
    <w:rsid w:val="002E0975"/>
    <w:rsid w:val="002E11E0"/>
    <w:rsid w:val="002E14A8"/>
    <w:rsid w:val="002E2F8B"/>
    <w:rsid w:val="002E5E12"/>
    <w:rsid w:val="002E5EDF"/>
    <w:rsid w:val="002E6CA2"/>
    <w:rsid w:val="002F0FBF"/>
    <w:rsid w:val="002F30BB"/>
    <w:rsid w:val="002F3620"/>
    <w:rsid w:val="002F4115"/>
    <w:rsid w:val="002F55BB"/>
    <w:rsid w:val="00303D59"/>
    <w:rsid w:val="003059C9"/>
    <w:rsid w:val="003102F1"/>
    <w:rsid w:val="00313C83"/>
    <w:rsid w:val="00315AE7"/>
    <w:rsid w:val="00317DA0"/>
    <w:rsid w:val="0032023C"/>
    <w:rsid w:val="00331C99"/>
    <w:rsid w:val="00340958"/>
    <w:rsid w:val="00342398"/>
    <w:rsid w:val="0034517E"/>
    <w:rsid w:val="00345FDD"/>
    <w:rsid w:val="00351F64"/>
    <w:rsid w:val="00353F7E"/>
    <w:rsid w:val="003559C3"/>
    <w:rsid w:val="00355B82"/>
    <w:rsid w:val="00364327"/>
    <w:rsid w:val="00364C8C"/>
    <w:rsid w:val="003677EA"/>
    <w:rsid w:val="00374464"/>
    <w:rsid w:val="003756BA"/>
    <w:rsid w:val="00375EB4"/>
    <w:rsid w:val="00376401"/>
    <w:rsid w:val="00384458"/>
    <w:rsid w:val="00384B38"/>
    <w:rsid w:val="00387F65"/>
    <w:rsid w:val="00390E2A"/>
    <w:rsid w:val="00391193"/>
    <w:rsid w:val="003944DA"/>
    <w:rsid w:val="00394BF7"/>
    <w:rsid w:val="003A0F7B"/>
    <w:rsid w:val="003A3D25"/>
    <w:rsid w:val="003A46B8"/>
    <w:rsid w:val="003B357D"/>
    <w:rsid w:val="003C2276"/>
    <w:rsid w:val="003C6353"/>
    <w:rsid w:val="003C72E8"/>
    <w:rsid w:val="003D0347"/>
    <w:rsid w:val="003D0CCD"/>
    <w:rsid w:val="003D1833"/>
    <w:rsid w:val="003D1BDE"/>
    <w:rsid w:val="003E0EC1"/>
    <w:rsid w:val="003E1AA5"/>
    <w:rsid w:val="003E1B09"/>
    <w:rsid w:val="003E30DD"/>
    <w:rsid w:val="003E36CF"/>
    <w:rsid w:val="003E37E8"/>
    <w:rsid w:val="003F79E9"/>
    <w:rsid w:val="00400FD0"/>
    <w:rsid w:val="004027BA"/>
    <w:rsid w:val="00404DAA"/>
    <w:rsid w:val="00405CB9"/>
    <w:rsid w:val="004066A3"/>
    <w:rsid w:val="004109EA"/>
    <w:rsid w:val="0041161E"/>
    <w:rsid w:val="00411938"/>
    <w:rsid w:val="0041481F"/>
    <w:rsid w:val="00415C70"/>
    <w:rsid w:val="00420FCF"/>
    <w:rsid w:val="004224DC"/>
    <w:rsid w:val="00430879"/>
    <w:rsid w:val="00436C07"/>
    <w:rsid w:val="00442487"/>
    <w:rsid w:val="00447293"/>
    <w:rsid w:val="00453D66"/>
    <w:rsid w:val="004552CC"/>
    <w:rsid w:val="004560E6"/>
    <w:rsid w:val="004570EA"/>
    <w:rsid w:val="004575F9"/>
    <w:rsid w:val="00460326"/>
    <w:rsid w:val="0046412F"/>
    <w:rsid w:val="0046741D"/>
    <w:rsid w:val="00467A0D"/>
    <w:rsid w:val="00473B09"/>
    <w:rsid w:val="00473C50"/>
    <w:rsid w:val="00474786"/>
    <w:rsid w:val="00477D81"/>
    <w:rsid w:val="004806C0"/>
    <w:rsid w:val="004820CF"/>
    <w:rsid w:val="00483847"/>
    <w:rsid w:val="00483EE4"/>
    <w:rsid w:val="00494470"/>
    <w:rsid w:val="004948FA"/>
    <w:rsid w:val="00495D24"/>
    <w:rsid w:val="00495D62"/>
    <w:rsid w:val="004A0078"/>
    <w:rsid w:val="004A10DB"/>
    <w:rsid w:val="004A168A"/>
    <w:rsid w:val="004A20A4"/>
    <w:rsid w:val="004A2505"/>
    <w:rsid w:val="004B2740"/>
    <w:rsid w:val="004B2BA5"/>
    <w:rsid w:val="004B45B7"/>
    <w:rsid w:val="004B6DBE"/>
    <w:rsid w:val="004B6FFC"/>
    <w:rsid w:val="004C33FF"/>
    <w:rsid w:val="004C3EB9"/>
    <w:rsid w:val="004C4B0F"/>
    <w:rsid w:val="004C68DC"/>
    <w:rsid w:val="004C7ACC"/>
    <w:rsid w:val="004D2F99"/>
    <w:rsid w:val="004D72CC"/>
    <w:rsid w:val="004E0668"/>
    <w:rsid w:val="004E1EA1"/>
    <w:rsid w:val="004E52C3"/>
    <w:rsid w:val="005017B3"/>
    <w:rsid w:val="0050195D"/>
    <w:rsid w:val="005019D3"/>
    <w:rsid w:val="0050432C"/>
    <w:rsid w:val="0050436A"/>
    <w:rsid w:val="0050522A"/>
    <w:rsid w:val="005053B8"/>
    <w:rsid w:val="00512C7C"/>
    <w:rsid w:val="00512F95"/>
    <w:rsid w:val="00514535"/>
    <w:rsid w:val="00516FCD"/>
    <w:rsid w:val="00517FE2"/>
    <w:rsid w:val="00520D0A"/>
    <w:rsid w:val="005232C9"/>
    <w:rsid w:val="0052539F"/>
    <w:rsid w:val="0052555D"/>
    <w:rsid w:val="005306D6"/>
    <w:rsid w:val="00531D9D"/>
    <w:rsid w:val="00532614"/>
    <w:rsid w:val="00534F69"/>
    <w:rsid w:val="00535BEB"/>
    <w:rsid w:val="00541E62"/>
    <w:rsid w:val="00542701"/>
    <w:rsid w:val="00546745"/>
    <w:rsid w:val="00547A29"/>
    <w:rsid w:val="00556765"/>
    <w:rsid w:val="00560448"/>
    <w:rsid w:val="00563911"/>
    <w:rsid w:val="00567AC6"/>
    <w:rsid w:val="005715F6"/>
    <w:rsid w:val="00575E24"/>
    <w:rsid w:val="00581B23"/>
    <w:rsid w:val="00590F71"/>
    <w:rsid w:val="005913BF"/>
    <w:rsid w:val="00592B3B"/>
    <w:rsid w:val="00594BD0"/>
    <w:rsid w:val="005958C7"/>
    <w:rsid w:val="005A261D"/>
    <w:rsid w:val="005A4B6A"/>
    <w:rsid w:val="005A5A31"/>
    <w:rsid w:val="005A6190"/>
    <w:rsid w:val="005B26FC"/>
    <w:rsid w:val="005B3B48"/>
    <w:rsid w:val="005B3C3D"/>
    <w:rsid w:val="005B4CF7"/>
    <w:rsid w:val="005C0D74"/>
    <w:rsid w:val="005C2C81"/>
    <w:rsid w:val="005C31D4"/>
    <w:rsid w:val="005C5307"/>
    <w:rsid w:val="005D14DF"/>
    <w:rsid w:val="005D2139"/>
    <w:rsid w:val="005D224D"/>
    <w:rsid w:val="005D3770"/>
    <w:rsid w:val="005E055F"/>
    <w:rsid w:val="005F3091"/>
    <w:rsid w:val="005F4358"/>
    <w:rsid w:val="005F7B6A"/>
    <w:rsid w:val="00601ECE"/>
    <w:rsid w:val="006029D8"/>
    <w:rsid w:val="00606966"/>
    <w:rsid w:val="00611788"/>
    <w:rsid w:val="0061533A"/>
    <w:rsid w:val="006166C1"/>
    <w:rsid w:val="00620088"/>
    <w:rsid w:val="006261F2"/>
    <w:rsid w:val="00633549"/>
    <w:rsid w:val="00634956"/>
    <w:rsid w:val="00634ABE"/>
    <w:rsid w:val="006433FE"/>
    <w:rsid w:val="00651372"/>
    <w:rsid w:val="006548F7"/>
    <w:rsid w:val="006560D8"/>
    <w:rsid w:val="006573AB"/>
    <w:rsid w:val="006644C4"/>
    <w:rsid w:val="00665335"/>
    <w:rsid w:val="00666D90"/>
    <w:rsid w:val="00673764"/>
    <w:rsid w:val="00674028"/>
    <w:rsid w:val="00675239"/>
    <w:rsid w:val="00675E2C"/>
    <w:rsid w:val="00683873"/>
    <w:rsid w:val="00685E93"/>
    <w:rsid w:val="00686649"/>
    <w:rsid w:val="006903EC"/>
    <w:rsid w:val="0069273B"/>
    <w:rsid w:val="00694554"/>
    <w:rsid w:val="006A3230"/>
    <w:rsid w:val="006B0931"/>
    <w:rsid w:val="006B0B7F"/>
    <w:rsid w:val="006B3A45"/>
    <w:rsid w:val="006B4B76"/>
    <w:rsid w:val="006C055B"/>
    <w:rsid w:val="006D0265"/>
    <w:rsid w:val="006D096C"/>
    <w:rsid w:val="006D0BD8"/>
    <w:rsid w:val="006D155B"/>
    <w:rsid w:val="006D4719"/>
    <w:rsid w:val="006E11FD"/>
    <w:rsid w:val="006E34BD"/>
    <w:rsid w:val="006F2F66"/>
    <w:rsid w:val="006F6337"/>
    <w:rsid w:val="007035AF"/>
    <w:rsid w:val="00705738"/>
    <w:rsid w:val="00707B86"/>
    <w:rsid w:val="00710608"/>
    <w:rsid w:val="00712888"/>
    <w:rsid w:val="00714494"/>
    <w:rsid w:val="00722867"/>
    <w:rsid w:val="00723957"/>
    <w:rsid w:val="007244F3"/>
    <w:rsid w:val="00731DB3"/>
    <w:rsid w:val="007349E1"/>
    <w:rsid w:val="0073747B"/>
    <w:rsid w:val="0074020E"/>
    <w:rsid w:val="007405F8"/>
    <w:rsid w:val="007405FE"/>
    <w:rsid w:val="00740784"/>
    <w:rsid w:val="00740966"/>
    <w:rsid w:val="00747CB3"/>
    <w:rsid w:val="00753709"/>
    <w:rsid w:val="007537B1"/>
    <w:rsid w:val="0075389D"/>
    <w:rsid w:val="007657F3"/>
    <w:rsid w:val="00765A7A"/>
    <w:rsid w:val="00774DC1"/>
    <w:rsid w:val="007750FF"/>
    <w:rsid w:val="00775D13"/>
    <w:rsid w:val="00776374"/>
    <w:rsid w:val="007770D5"/>
    <w:rsid w:val="00777A2E"/>
    <w:rsid w:val="00785B8F"/>
    <w:rsid w:val="007A0D53"/>
    <w:rsid w:val="007A18F2"/>
    <w:rsid w:val="007A30A4"/>
    <w:rsid w:val="007A6454"/>
    <w:rsid w:val="007A6D3C"/>
    <w:rsid w:val="007B20D8"/>
    <w:rsid w:val="007C10AC"/>
    <w:rsid w:val="007C5693"/>
    <w:rsid w:val="007C705A"/>
    <w:rsid w:val="007D6615"/>
    <w:rsid w:val="007D6781"/>
    <w:rsid w:val="007E0E57"/>
    <w:rsid w:val="007E3EC4"/>
    <w:rsid w:val="007E41A3"/>
    <w:rsid w:val="007E5CA8"/>
    <w:rsid w:val="007E7781"/>
    <w:rsid w:val="007F1CB0"/>
    <w:rsid w:val="007F1D32"/>
    <w:rsid w:val="007F23DA"/>
    <w:rsid w:val="007F53B8"/>
    <w:rsid w:val="007F74D0"/>
    <w:rsid w:val="0080047E"/>
    <w:rsid w:val="00801A88"/>
    <w:rsid w:val="00805A0D"/>
    <w:rsid w:val="00810054"/>
    <w:rsid w:val="0081274D"/>
    <w:rsid w:val="008136E0"/>
    <w:rsid w:val="00813FF5"/>
    <w:rsid w:val="0081612E"/>
    <w:rsid w:val="00816B7B"/>
    <w:rsid w:val="00816C52"/>
    <w:rsid w:val="00817E41"/>
    <w:rsid w:val="00820C9A"/>
    <w:rsid w:val="008224E9"/>
    <w:rsid w:val="00825B5A"/>
    <w:rsid w:val="00826C2A"/>
    <w:rsid w:val="0084632B"/>
    <w:rsid w:val="00846FB6"/>
    <w:rsid w:val="008554A3"/>
    <w:rsid w:val="00855B33"/>
    <w:rsid w:val="008560E8"/>
    <w:rsid w:val="00857299"/>
    <w:rsid w:val="008641E8"/>
    <w:rsid w:val="00872189"/>
    <w:rsid w:val="00881AFE"/>
    <w:rsid w:val="00884F7D"/>
    <w:rsid w:val="00892F3A"/>
    <w:rsid w:val="0089401C"/>
    <w:rsid w:val="0089477A"/>
    <w:rsid w:val="00896ACA"/>
    <w:rsid w:val="0089703C"/>
    <w:rsid w:val="0089761C"/>
    <w:rsid w:val="008A5396"/>
    <w:rsid w:val="008A685C"/>
    <w:rsid w:val="008B53F1"/>
    <w:rsid w:val="008B5E70"/>
    <w:rsid w:val="008C0686"/>
    <w:rsid w:val="008C2130"/>
    <w:rsid w:val="008C3271"/>
    <w:rsid w:val="008C3A3F"/>
    <w:rsid w:val="008D48F8"/>
    <w:rsid w:val="008D4D50"/>
    <w:rsid w:val="008D7BC8"/>
    <w:rsid w:val="008E3270"/>
    <w:rsid w:val="008E32B8"/>
    <w:rsid w:val="008F4439"/>
    <w:rsid w:val="008F48AD"/>
    <w:rsid w:val="008F6E21"/>
    <w:rsid w:val="00900150"/>
    <w:rsid w:val="009016DE"/>
    <w:rsid w:val="00902DB0"/>
    <w:rsid w:val="009046CD"/>
    <w:rsid w:val="00904957"/>
    <w:rsid w:val="0090534C"/>
    <w:rsid w:val="00905EE9"/>
    <w:rsid w:val="00907D6C"/>
    <w:rsid w:val="0091279E"/>
    <w:rsid w:val="00913289"/>
    <w:rsid w:val="009153C6"/>
    <w:rsid w:val="00916702"/>
    <w:rsid w:val="00917C5E"/>
    <w:rsid w:val="00921697"/>
    <w:rsid w:val="00924297"/>
    <w:rsid w:val="00932976"/>
    <w:rsid w:val="00933E4B"/>
    <w:rsid w:val="00933F44"/>
    <w:rsid w:val="00935847"/>
    <w:rsid w:val="009375A2"/>
    <w:rsid w:val="00943EDC"/>
    <w:rsid w:val="00946CC2"/>
    <w:rsid w:val="00947B48"/>
    <w:rsid w:val="00952041"/>
    <w:rsid w:val="00955CB5"/>
    <w:rsid w:val="009574E7"/>
    <w:rsid w:val="00957DF2"/>
    <w:rsid w:val="0096519C"/>
    <w:rsid w:val="009652F3"/>
    <w:rsid w:val="009654A1"/>
    <w:rsid w:val="00966CBF"/>
    <w:rsid w:val="00967C31"/>
    <w:rsid w:val="009702D7"/>
    <w:rsid w:val="00972012"/>
    <w:rsid w:val="0097329E"/>
    <w:rsid w:val="0097345C"/>
    <w:rsid w:val="009864CB"/>
    <w:rsid w:val="00987B2A"/>
    <w:rsid w:val="00987FBC"/>
    <w:rsid w:val="00990D34"/>
    <w:rsid w:val="009B7083"/>
    <w:rsid w:val="009C1F07"/>
    <w:rsid w:val="009C520E"/>
    <w:rsid w:val="009C6601"/>
    <w:rsid w:val="009D55A4"/>
    <w:rsid w:val="009E0B5C"/>
    <w:rsid w:val="009E1C04"/>
    <w:rsid w:val="009E1C73"/>
    <w:rsid w:val="009E38E9"/>
    <w:rsid w:val="009E3F18"/>
    <w:rsid w:val="009E510A"/>
    <w:rsid w:val="009F022D"/>
    <w:rsid w:val="009F03C9"/>
    <w:rsid w:val="009F45DA"/>
    <w:rsid w:val="009F47E1"/>
    <w:rsid w:val="009F4F52"/>
    <w:rsid w:val="00A019E6"/>
    <w:rsid w:val="00A01FE6"/>
    <w:rsid w:val="00A02279"/>
    <w:rsid w:val="00A05CEA"/>
    <w:rsid w:val="00A06A28"/>
    <w:rsid w:val="00A07415"/>
    <w:rsid w:val="00A107DA"/>
    <w:rsid w:val="00A14119"/>
    <w:rsid w:val="00A20035"/>
    <w:rsid w:val="00A23C76"/>
    <w:rsid w:val="00A24497"/>
    <w:rsid w:val="00A338E1"/>
    <w:rsid w:val="00A3409F"/>
    <w:rsid w:val="00A37B9B"/>
    <w:rsid w:val="00A4306D"/>
    <w:rsid w:val="00A44A0D"/>
    <w:rsid w:val="00A44EEF"/>
    <w:rsid w:val="00A45EA1"/>
    <w:rsid w:val="00A45EA5"/>
    <w:rsid w:val="00A45F7D"/>
    <w:rsid w:val="00A46610"/>
    <w:rsid w:val="00A50C3A"/>
    <w:rsid w:val="00A5196B"/>
    <w:rsid w:val="00A54B95"/>
    <w:rsid w:val="00A55792"/>
    <w:rsid w:val="00A56B27"/>
    <w:rsid w:val="00A57571"/>
    <w:rsid w:val="00A57631"/>
    <w:rsid w:val="00A600AB"/>
    <w:rsid w:val="00A61790"/>
    <w:rsid w:val="00A63CC0"/>
    <w:rsid w:val="00A67294"/>
    <w:rsid w:val="00A677E9"/>
    <w:rsid w:val="00A678F8"/>
    <w:rsid w:val="00A76FD2"/>
    <w:rsid w:val="00A77850"/>
    <w:rsid w:val="00A8130B"/>
    <w:rsid w:val="00A82035"/>
    <w:rsid w:val="00A841EE"/>
    <w:rsid w:val="00A8436A"/>
    <w:rsid w:val="00A84B61"/>
    <w:rsid w:val="00A9408A"/>
    <w:rsid w:val="00A948D4"/>
    <w:rsid w:val="00AA23BE"/>
    <w:rsid w:val="00AA3040"/>
    <w:rsid w:val="00AA5029"/>
    <w:rsid w:val="00AA5413"/>
    <w:rsid w:val="00AB148D"/>
    <w:rsid w:val="00AB7DE4"/>
    <w:rsid w:val="00AC1770"/>
    <w:rsid w:val="00AD4B9B"/>
    <w:rsid w:val="00AD624C"/>
    <w:rsid w:val="00AD735F"/>
    <w:rsid w:val="00AD7F68"/>
    <w:rsid w:val="00AE0559"/>
    <w:rsid w:val="00AE2018"/>
    <w:rsid w:val="00AF3871"/>
    <w:rsid w:val="00AF3A07"/>
    <w:rsid w:val="00AF457F"/>
    <w:rsid w:val="00AF7019"/>
    <w:rsid w:val="00AF7A50"/>
    <w:rsid w:val="00B12089"/>
    <w:rsid w:val="00B1269A"/>
    <w:rsid w:val="00B14E82"/>
    <w:rsid w:val="00B15130"/>
    <w:rsid w:val="00B16FAE"/>
    <w:rsid w:val="00B20396"/>
    <w:rsid w:val="00B2434E"/>
    <w:rsid w:val="00B316E4"/>
    <w:rsid w:val="00B41BAC"/>
    <w:rsid w:val="00B4429F"/>
    <w:rsid w:val="00B45C93"/>
    <w:rsid w:val="00B50D4A"/>
    <w:rsid w:val="00B549F1"/>
    <w:rsid w:val="00B557FE"/>
    <w:rsid w:val="00B612D6"/>
    <w:rsid w:val="00B62C5B"/>
    <w:rsid w:val="00B64DA7"/>
    <w:rsid w:val="00B673B7"/>
    <w:rsid w:val="00B6747E"/>
    <w:rsid w:val="00B77A0B"/>
    <w:rsid w:val="00B77C4B"/>
    <w:rsid w:val="00B80FC4"/>
    <w:rsid w:val="00B84010"/>
    <w:rsid w:val="00B84551"/>
    <w:rsid w:val="00B85BAB"/>
    <w:rsid w:val="00B929A9"/>
    <w:rsid w:val="00B935F9"/>
    <w:rsid w:val="00B94B8A"/>
    <w:rsid w:val="00B96677"/>
    <w:rsid w:val="00BA0174"/>
    <w:rsid w:val="00BA0C9C"/>
    <w:rsid w:val="00BA104E"/>
    <w:rsid w:val="00BA2293"/>
    <w:rsid w:val="00BA424E"/>
    <w:rsid w:val="00BB09A2"/>
    <w:rsid w:val="00BB2887"/>
    <w:rsid w:val="00BB31C2"/>
    <w:rsid w:val="00BB3E93"/>
    <w:rsid w:val="00BB4445"/>
    <w:rsid w:val="00BB581B"/>
    <w:rsid w:val="00BB5DDD"/>
    <w:rsid w:val="00BC2057"/>
    <w:rsid w:val="00BC2541"/>
    <w:rsid w:val="00BC37DA"/>
    <w:rsid w:val="00BC43B5"/>
    <w:rsid w:val="00BC5C3D"/>
    <w:rsid w:val="00BC6EA7"/>
    <w:rsid w:val="00BC7FCD"/>
    <w:rsid w:val="00BD0817"/>
    <w:rsid w:val="00BD211F"/>
    <w:rsid w:val="00BD3347"/>
    <w:rsid w:val="00BD3FDA"/>
    <w:rsid w:val="00BD7265"/>
    <w:rsid w:val="00BD7E6E"/>
    <w:rsid w:val="00BE0D72"/>
    <w:rsid w:val="00BE71A7"/>
    <w:rsid w:val="00BE797B"/>
    <w:rsid w:val="00BF2BD5"/>
    <w:rsid w:val="00BF3A9C"/>
    <w:rsid w:val="00BF6216"/>
    <w:rsid w:val="00BF7A37"/>
    <w:rsid w:val="00C00FB0"/>
    <w:rsid w:val="00C016BB"/>
    <w:rsid w:val="00C060D1"/>
    <w:rsid w:val="00C118F5"/>
    <w:rsid w:val="00C14C59"/>
    <w:rsid w:val="00C14E9B"/>
    <w:rsid w:val="00C15182"/>
    <w:rsid w:val="00C21EB9"/>
    <w:rsid w:val="00C23324"/>
    <w:rsid w:val="00C24175"/>
    <w:rsid w:val="00C24706"/>
    <w:rsid w:val="00C25846"/>
    <w:rsid w:val="00C277B0"/>
    <w:rsid w:val="00C319AD"/>
    <w:rsid w:val="00C4206C"/>
    <w:rsid w:val="00C43963"/>
    <w:rsid w:val="00C440C7"/>
    <w:rsid w:val="00C51E20"/>
    <w:rsid w:val="00C5581E"/>
    <w:rsid w:val="00C606AC"/>
    <w:rsid w:val="00C6152C"/>
    <w:rsid w:val="00C61DFE"/>
    <w:rsid w:val="00C669F3"/>
    <w:rsid w:val="00C708E5"/>
    <w:rsid w:val="00C712BF"/>
    <w:rsid w:val="00C727A5"/>
    <w:rsid w:val="00C77F3C"/>
    <w:rsid w:val="00C818FB"/>
    <w:rsid w:val="00C82E56"/>
    <w:rsid w:val="00C865C5"/>
    <w:rsid w:val="00C967E4"/>
    <w:rsid w:val="00C967E6"/>
    <w:rsid w:val="00CA26CE"/>
    <w:rsid w:val="00CA5E0D"/>
    <w:rsid w:val="00CA5F18"/>
    <w:rsid w:val="00CB1C74"/>
    <w:rsid w:val="00CB535F"/>
    <w:rsid w:val="00CB5E7A"/>
    <w:rsid w:val="00CC045C"/>
    <w:rsid w:val="00CC1213"/>
    <w:rsid w:val="00CC2772"/>
    <w:rsid w:val="00CD0630"/>
    <w:rsid w:val="00CD1028"/>
    <w:rsid w:val="00CD51F6"/>
    <w:rsid w:val="00CE1913"/>
    <w:rsid w:val="00CE2A40"/>
    <w:rsid w:val="00CE30FB"/>
    <w:rsid w:val="00CE5F76"/>
    <w:rsid w:val="00CE5FAC"/>
    <w:rsid w:val="00CF0221"/>
    <w:rsid w:val="00CF4939"/>
    <w:rsid w:val="00CF642D"/>
    <w:rsid w:val="00D11161"/>
    <w:rsid w:val="00D1453C"/>
    <w:rsid w:val="00D1608F"/>
    <w:rsid w:val="00D272EB"/>
    <w:rsid w:val="00D273AD"/>
    <w:rsid w:val="00D30207"/>
    <w:rsid w:val="00D35D2F"/>
    <w:rsid w:val="00D36236"/>
    <w:rsid w:val="00D46C81"/>
    <w:rsid w:val="00D51C5A"/>
    <w:rsid w:val="00D545D2"/>
    <w:rsid w:val="00D57303"/>
    <w:rsid w:val="00D60055"/>
    <w:rsid w:val="00D61B2A"/>
    <w:rsid w:val="00D64530"/>
    <w:rsid w:val="00D665CF"/>
    <w:rsid w:val="00D71852"/>
    <w:rsid w:val="00D73A39"/>
    <w:rsid w:val="00D74E03"/>
    <w:rsid w:val="00D82B7C"/>
    <w:rsid w:val="00D84F59"/>
    <w:rsid w:val="00D87907"/>
    <w:rsid w:val="00D93198"/>
    <w:rsid w:val="00D93E7B"/>
    <w:rsid w:val="00D95951"/>
    <w:rsid w:val="00D95A83"/>
    <w:rsid w:val="00DA1FD8"/>
    <w:rsid w:val="00DA384B"/>
    <w:rsid w:val="00DA41D4"/>
    <w:rsid w:val="00DA4631"/>
    <w:rsid w:val="00DB0207"/>
    <w:rsid w:val="00DB15EF"/>
    <w:rsid w:val="00DB1990"/>
    <w:rsid w:val="00DB6297"/>
    <w:rsid w:val="00DB64E4"/>
    <w:rsid w:val="00DB6AAB"/>
    <w:rsid w:val="00DB6F74"/>
    <w:rsid w:val="00DB74B6"/>
    <w:rsid w:val="00DC2178"/>
    <w:rsid w:val="00DC3383"/>
    <w:rsid w:val="00DC45F5"/>
    <w:rsid w:val="00DC6422"/>
    <w:rsid w:val="00DD3BEC"/>
    <w:rsid w:val="00DE2A0E"/>
    <w:rsid w:val="00DE7726"/>
    <w:rsid w:val="00DF0F56"/>
    <w:rsid w:val="00E00D05"/>
    <w:rsid w:val="00E011B0"/>
    <w:rsid w:val="00E01A4C"/>
    <w:rsid w:val="00E02931"/>
    <w:rsid w:val="00E05040"/>
    <w:rsid w:val="00E05A98"/>
    <w:rsid w:val="00E07E9A"/>
    <w:rsid w:val="00E166BA"/>
    <w:rsid w:val="00E16CD5"/>
    <w:rsid w:val="00E1779E"/>
    <w:rsid w:val="00E21E2E"/>
    <w:rsid w:val="00E30A77"/>
    <w:rsid w:val="00E34DD6"/>
    <w:rsid w:val="00E410FA"/>
    <w:rsid w:val="00E4452E"/>
    <w:rsid w:val="00E55F1D"/>
    <w:rsid w:val="00E578A4"/>
    <w:rsid w:val="00E61627"/>
    <w:rsid w:val="00E6183A"/>
    <w:rsid w:val="00E61D60"/>
    <w:rsid w:val="00E61F4F"/>
    <w:rsid w:val="00E626E5"/>
    <w:rsid w:val="00E65E25"/>
    <w:rsid w:val="00E7261A"/>
    <w:rsid w:val="00E74CAE"/>
    <w:rsid w:val="00E77C1D"/>
    <w:rsid w:val="00E826CD"/>
    <w:rsid w:val="00E854A6"/>
    <w:rsid w:val="00E91BF8"/>
    <w:rsid w:val="00E922EE"/>
    <w:rsid w:val="00E93ED7"/>
    <w:rsid w:val="00E94ACF"/>
    <w:rsid w:val="00E96991"/>
    <w:rsid w:val="00E9752D"/>
    <w:rsid w:val="00E97AA7"/>
    <w:rsid w:val="00EA15EF"/>
    <w:rsid w:val="00EA31A3"/>
    <w:rsid w:val="00EA46F9"/>
    <w:rsid w:val="00EA5252"/>
    <w:rsid w:val="00EB06B7"/>
    <w:rsid w:val="00EB1A45"/>
    <w:rsid w:val="00EB4D7C"/>
    <w:rsid w:val="00EC00B4"/>
    <w:rsid w:val="00EC03AD"/>
    <w:rsid w:val="00EC03E8"/>
    <w:rsid w:val="00EC0D36"/>
    <w:rsid w:val="00EC39A4"/>
    <w:rsid w:val="00EC485E"/>
    <w:rsid w:val="00EC5E39"/>
    <w:rsid w:val="00EC5E5A"/>
    <w:rsid w:val="00EC7423"/>
    <w:rsid w:val="00EC7D8A"/>
    <w:rsid w:val="00ED1CF9"/>
    <w:rsid w:val="00ED1F6F"/>
    <w:rsid w:val="00EE12C4"/>
    <w:rsid w:val="00EE62AA"/>
    <w:rsid w:val="00EE649C"/>
    <w:rsid w:val="00EE7D12"/>
    <w:rsid w:val="00EF3BA0"/>
    <w:rsid w:val="00EF3C22"/>
    <w:rsid w:val="00EF424D"/>
    <w:rsid w:val="00EF4577"/>
    <w:rsid w:val="00EF7A2A"/>
    <w:rsid w:val="00F01FFB"/>
    <w:rsid w:val="00F02980"/>
    <w:rsid w:val="00F060F5"/>
    <w:rsid w:val="00F06974"/>
    <w:rsid w:val="00F10156"/>
    <w:rsid w:val="00F14C7F"/>
    <w:rsid w:val="00F206A4"/>
    <w:rsid w:val="00F25ED3"/>
    <w:rsid w:val="00F27607"/>
    <w:rsid w:val="00F2776A"/>
    <w:rsid w:val="00F30A23"/>
    <w:rsid w:val="00F311E9"/>
    <w:rsid w:val="00F32517"/>
    <w:rsid w:val="00F3595B"/>
    <w:rsid w:val="00F37E4C"/>
    <w:rsid w:val="00F42042"/>
    <w:rsid w:val="00F4271C"/>
    <w:rsid w:val="00F46AEA"/>
    <w:rsid w:val="00F517A2"/>
    <w:rsid w:val="00F51F7C"/>
    <w:rsid w:val="00F52181"/>
    <w:rsid w:val="00F52B9D"/>
    <w:rsid w:val="00F530F8"/>
    <w:rsid w:val="00F5528C"/>
    <w:rsid w:val="00F55DAD"/>
    <w:rsid w:val="00F56AD9"/>
    <w:rsid w:val="00F57A02"/>
    <w:rsid w:val="00F64A34"/>
    <w:rsid w:val="00F73BA5"/>
    <w:rsid w:val="00F748B5"/>
    <w:rsid w:val="00F74955"/>
    <w:rsid w:val="00F839A3"/>
    <w:rsid w:val="00F853A8"/>
    <w:rsid w:val="00F853BB"/>
    <w:rsid w:val="00F9332E"/>
    <w:rsid w:val="00F9355E"/>
    <w:rsid w:val="00FA2AC3"/>
    <w:rsid w:val="00FA4F1A"/>
    <w:rsid w:val="00FA53FE"/>
    <w:rsid w:val="00FB1F09"/>
    <w:rsid w:val="00FB3B3D"/>
    <w:rsid w:val="00FB46B6"/>
    <w:rsid w:val="00FB5421"/>
    <w:rsid w:val="00FC558E"/>
    <w:rsid w:val="00FC7473"/>
    <w:rsid w:val="00FD5886"/>
    <w:rsid w:val="00FE0226"/>
    <w:rsid w:val="00FE65BA"/>
    <w:rsid w:val="00FE73D6"/>
    <w:rsid w:val="00FF11CA"/>
    <w:rsid w:val="00FF37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4ea2,#5d9e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1F07"/>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qFormat/>
    <w:rsid w:val="009C1F07"/>
    <w:pPr>
      <w:spacing w:after="200" w:line="276" w:lineRule="auto"/>
      <w:ind w:left="720"/>
      <w:contextualSpacing/>
      <w:jc w:val="left"/>
    </w:pPr>
    <w:rPr>
      <w:rFonts w:eastAsiaTheme="minorHAnsi" w:cstheme="minorBidi"/>
      <w:szCs w:val="22"/>
    </w:rPr>
  </w:style>
  <w:style w:type="paragraph" w:styleId="Revision">
    <w:name w:val="Revision"/>
    <w:hidden/>
    <w:uiPriority w:val="99"/>
    <w:semiHidden/>
    <w:rsid w:val="001B21DC"/>
    <w:rPr>
      <w:rFonts w:ascii="Verdana" w:hAnsi="Verdana"/>
      <w:sz w:val="17"/>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1F07"/>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qFormat/>
    <w:rsid w:val="009C1F07"/>
    <w:pPr>
      <w:spacing w:after="200" w:line="276" w:lineRule="auto"/>
      <w:ind w:left="720"/>
      <w:contextualSpacing/>
      <w:jc w:val="left"/>
    </w:pPr>
    <w:rPr>
      <w:rFonts w:eastAsiaTheme="minorHAnsi" w:cstheme="minorBidi"/>
      <w:szCs w:val="22"/>
    </w:rPr>
  </w:style>
  <w:style w:type="paragraph" w:styleId="Revision">
    <w:name w:val="Revision"/>
    <w:hidden/>
    <w:uiPriority w:val="99"/>
    <w:semiHidden/>
    <w:rsid w:val="001B21DC"/>
    <w:rPr>
      <w:rFonts w:ascii="Verdana" w:hAnsi="Verdana"/>
      <w:sz w:val="17"/>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cfainstitute.org/about/press/release/Pages/07032012_68993.aspx"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FA81E-EBA2-43BC-AE34-EB01FEE84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0</TotalTime>
  <Pages>9</Pages>
  <Words>4134</Words>
  <Characters>23567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27646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Hilliard</dc:creator>
  <cp:lastModifiedBy>Dorota Boruc</cp:lastModifiedBy>
  <cp:revision>2</cp:revision>
  <cp:lastPrinted>2012-08-31T13:41:00Z</cp:lastPrinted>
  <dcterms:created xsi:type="dcterms:W3CDTF">2012-09-03T09:52:00Z</dcterms:created>
  <dcterms:modified xsi:type="dcterms:W3CDTF">2012-09-03T09:52:00Z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arthurh</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