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9C" w:rsidRPr="008653C6" w:rsidRDefault="00FB6CB4">
      <w:pPr>
        <w:rPr>
          <w:b/>
        </w:rPr>
      </w:pPr>
      <w:r>
        <w:rPr>
          <w:b/>
        </w:rPr>
        <w:t>IMD2 issues to be agreed upon by written process</w:t>
      </w:r>
      <w:r>
        <w:rPr>
          <w:b/>
        </w:rPr>
        <w:tab/>
      </w:r>
      <w:r>
        <w:rPr>
          <w:b/>
        </w:rPr>
        <w:tab/>
      </w:r>
      <w:r>
        <w:rPr>
          <w:b/>
        </w:rPr>
        <w:tab/>
      </w:r>
      <w:r>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color w:val="FF0000"/>
        </w:rPr>
        <w:t>[</w:t>
      </w:r>
      <w:r w:rsidR="00506532">
        <w:rPr>
          <w:b/>
          <w:color w:val="FF0000"/>
        </w:rPr>
        <w:t>13</w:t>
      </w:r>
      <w:bookmarkStart w:id="0" w:name="_GoBack"/>
      <w:bookmarkEnd w:id="0"/>
      <w:r w:rsidR="001D02AA" w:rsidRPr="008653C6">
        <w:rPr>
          <w:b/>
          <w:color w:val="FF0000"/>
        </w:rPr>
        <w:t xml:space="preserve"> </w:t>
      </w:r>
      <w:r>
        <w:rPr>
          <w:b/>
          <w:color w:val="FF0000"/>
        </w:rPr>
        <w:t>August</w:t>
      </w:r>
      <w:r w:rsidR="001D02AA" w:rsidRPr="008653C6">
        <w:rPr>
          <w:b/>
          <w:color w:val="FF0000"/>
        </w:rPr>
        <w:t xml:space="preserve"> 2012]</w:t>
      </w:r>
    </w:p>
    <w:tbl>
      <w:tblPr>
        <w:tblStyle w:val="TableGrid"/>
        <w:tblW w:w="14174" w:type="dxa"/>
        <w:tblLook w:val="04A0" w:firstRow="1" w:lastRow="0" w:firstColumn="1" w:lastColumn="0" w:noHBand="0" w:noVBand="1"/>
      </w:tblPr>
      <w:tblGrid>
        <w:gridCol w:w="1729"/>
        <w:gridCol w:w="1278"/>
        <w:gridCol w:w="3203"/>
        <w:gridCol w:w="4356"/>
        <w:gridCol w:w="3608"/>
      </w:tblGrid>
      <w:tr w:rsidR="002C65F1" w:rsidRPr="008653C6" w:rsidTr="002C65F1">
        <w:trPr>
          <w:trHeight w:val="454"/>
        </w:trPr>
        <w:tc>
          <w:tcPr>
            <w:tcW w:w="1729" w:type="dxa"/>
            <w:vAlign w:val="center"/>
          </w:tcPr>
          <w:p w:rsidR="002C65F1" w:rsidRPr="008653C6" w:rsidRDefault="002C65F1" w:rsidP="00FB6CB4">
            <w:pPr>
              <w:jc w:val="center"/>
              <w:rPr>
                <w:b/>
              </w:rPr>
            </w:pPr>
            <w:r w:rsidRPr="008653C6">
              <w:rPr>
                <w:b/>
              </w:rPr>
              <w:t>Issue/Concern</w:t>
            </w:r>
          </w:p>
        </w:tc>
        <w:tc>
          <w:tcPr>
            <w:tcW w:w="1278" w:type="dxa"/>
            <w:vAlign w:val="center"/>
          </w:tcPr>
          <w:p w:rsidR="002C65F1" w:rsidRPr="008653C6" w:rsidRDefault="002C65F1" w:rsidP="00FB6CB4">
            <w:pPr>
              <w:jc w:val="center"/>
              <w:rPr>
                <w:b/>
              </w:rPr>
            </w:pPr>
            <w:r w:rsidRPr="008653C6">
              <w:rPr>
                <w:b/>
              </w:rPr>
              <w:t>Relevant Article(s)</w:t>
            </w:r>
          </w:p>
        </w:tc>
        <w:tc>
          <w:tcPr>
            <w:tcW w:w="3203" w:type="dxa"/>
            <w:vAlign w:val="center"/>
          </w:tcPr>
          <w:p w:rsidR="002C65F1" w:rsidRPr="008653C6" w:rsidRDefault="002C65F1" w:rsidP="007834CA">
            <w:pPr>
              <w:jc w:val="center"/>
              <w:rPr>
                <w:b/>
              </w:rPr>
            </w:pPr>
            <w:r>
              <w:rPr>
                <w:b/>
              </w:rPr>
              <w:t>Content of EC proposal</w:t>
            </w:r>
          </w:p>
        </w:tc>
        <w:tc>
          <w:tcPr>
            <w:tcW w:w="4356" w:type="dxa"/>
            <w:vAlign w:val="center"/>
          </w:tcPr>
          <w:p w:rsidR="002C65F1" w:rsidRPr="008653C6" w:rsidRDefault="002C65F1" w:rsidP="00FB6CB4">
            <w:pPr>
              <w:jc w:val="center"/>
              <w:rPr>
                <w:b/>
              </w:rPr>
            </w:pPr>
            <w:r>
              <w:rPr>
                <w:b/>
              </w:rPr>
              <w:t>Proposed Insurance Europe comments</w:t>
            </w:r>
          </w:p>
        </w:tc>
        <w:tc>
          <w:tcPr>
            <w:tcW w:w="3608" w:type="dxa"/>
            <w:vAlign w:val="center"/>
          </w:tcPr>
          <w:p w:rsidR="002C65F1" w:rsidRDefault="002C65F1" w:rsidP="002C65F1">
            <w:pPr>
              <w:jc w:val="center"/>
              <w:rPr>
                <w:b/>
              </w:rPr>
            </w:pPr>
            <w:r>
              <w:rPr>
                <w:b/>
              </w:rPr>
              <w:t>Member comments</w:t>
            </w:r>
          </w:p>
        </w:tc>
      </w:tr>
      <w:tr w:rsidR="002C65F1" w:rsidRPr="008653C6" w:rsidTr="002C65F1">
        <w:trPr>
          <w:trHeight w:val="454"/>
        </w:trPr>
        <w:tc>
          <w:tcPr>
            <w:tcW w:w="1729" w:type="dxa"/>
          </w:tcPr>
          <w:p w:rsidR="002C65F1" w:rsidRPr="008653C6" w:rsidRDefault="002C65F1" w:rsidP="00D16BD4">
            <w:r w:rsidRPr="008653C6">
              <w:t>Registration requirements</w:t>
            </w:r>
          </w:p>
        </w:tc>
        <w:tc>
          <w:tcPr>
            <w:tcW w:w="1278" w:type="dxa"/>
          </w:tcPr>
          <w:p w:rsidR="002C65F1" w:rsidRPr="007C37E6" w:rsidRDefault="002C65F1" w:rsidP="00D16BD4">
            <w:pPr>
              <w:jc w:val="center"/>
              <w:rPr>
                <w:lang w:val="fr-FR"/>
              </w:rPr>
            </w:pPr>
            <w:r w:rsidRPr="007C37E6">
              <w:rPr>
                <w:lang w:val="fr-FR"/>
              </w:rPr>
              <w:t>Article 3(6), IMD2</w:t>
            </w:r>
          </w:p>
          <w:p w:rsidR="002C65F1" w:rsidRPr="007C37E6" w:rsidRDefault="002C65F1" w:rsidP="00D16BD4">
            <w:pPr>
              <w:jc w:val="center"/>
              <w:rPr>
                <w:lang w:val="fr-FR"/>
              </w:rPr>
            </w:pPr>
            <w:r w:rsidRPr="007C37E6">
              <w:rPr>
                <w:lang w:val="fr-FR"/>
              </w:rPr>
              <w:t>Article 3(7</w:t>
            </w:r>
            <w:proofErr w:type="gramStart"/>
            <w:r w:rsidRPr="007C37E6">
              <w:rPr>
                <w:lang w:val="fr-FR"/>
              </w:rPr>
              <w:t>)(</w:t>
            </w:r>
            <w:proofErr w:type="gramEnd"/>
            <w:r w:rsidRPr="007C37E6">
              <w:rPr>
                <w:lang w:val="fr-FR"/>
              </w:rPr>
              <w:t>a), IMD2</w:t>
            </w:r>
          </w:p>
          <w:p w:rsidR="002C65F1" w:rsidRPr="007C37E6" w:rsidRDefault="002C65F1" w:rsidP="00D16BD4">
            <w:pPr>
              <w:jc w:val="center"/>
              <w:rPr>
                <w:lang w:val="fr-FR"/>
              </w:rPr>
            </w:pPr>
            <w:r w:rsidRPr="007C37E6">
              <w:rPr>
                <w:lang w:val="fr-FR"/>
              </w:rPr>
              <w:t>Article 4, IMD2</w:t>
            </w:r>
          </w:p>
          <w:p w:rsidR="002C65F1" w:rsidRPr="007C37E6" w:rsidRDefault="002C65F1" w:rsidP="00D16BD4">
            <w:pPr>
              <w:jc w:val="center"/>
              <w:rPr>
                <w:lang w:val="fr-FR"/>
              </w:rPr>
            </w:pPr>
          </w:p>
        </w:tc>
        <w:tc>
          <w:tcPr>
            <w:tcW w:w="3203" w:type="dxa"/>
          </w:tcPr>
          <w:p w:rsidR="002C65F1" w:rsidRDefault="002C65F1" w:rsidP="004D5661">
            <w:pPr>
              <w:pStyle w:val="ListParagraph"/>
              <w:numPr>
                <w:ilvl w:val="0"/>
                <w:numId w:val="6"/>
              </w:numPr>
              <w:ind w:left="459" w:hanging="284"/>
            </w:pPr>
            <w:r>
              <w:t>Establishment of a single electronic register by EIOPA containing records of insurance and reinsurance intermediaries which have notified their intention to carry on cross-border business.</w:t>
            </w:r>
          </w:p>
          <w:p w:rsidR="002C65F1" w:rsidRDefault="002C65F1" w:rsidP="004D5661">
            <w:pPr>
              <w:pStyle w:val="ListParagraph"/>
              <w:numPr>
                <w:ilvl w:val="0"/>
                <w:numId w:val="6"/>
              </w:numPr>
              <w:ind w:left="459" w:hanging="284"/>
            </w:pPr>
            <w:r>
              <w:t>Establishment of an online registration system by Member States consisting of one single registration form available on a website.</w:t>
            </w:r>
          </w:p>
          <w:p w:rsidR="002C65F1" w:rsidRDefault="002C65F1" w:rsidP="004D5661">
            <w:pPr>
              <w:pStyle w:val="ListParagraph"/>
              <w:numPr>
                <w:ilvl w:val="0"/>
                <w:numId w:val="6"/>
              </w:numPr>
              <w:ind w:left="459" w:hanging="284"/>
            </w:pPr>
            <w:r>
              <w:t>Requirements on Member States to deal promptly with applications, to ensure measures are in place to enable monitoring of whether intermediaries continue to meet the registration requirements, and setting out the information to be requested as a condition of registration.</w:t>
            </w:r>
          </w:p>
          <w:p w:rsidR="002C65F1" w:rsidRDefault="002C65F1" w:rsidP="004D5661">
            <w:pPr>
              <w:pStyle w:val="ListParagraph"/>
              <w:numPr>
                <w:ilvl w:val="0"/>
                <w:numId w:val="6"/>
              </w:numPr>
              <w:ind w:left="459" w:hanging="284"/>
            </w:pPr>
            <w:r>
              <w:t>Article 4 introduces a new simplified declaration procedure, which exempts from the registration procedure insurance intermediaries which conduct insurance mediation on an ancillary basis or whose sole activity is professional management of claims or loss assessment services.</w:t>
            </w:r>
          </w:p>
          <w:p w:rsidR="002C65F1" w:rsidRPr="008653C6" w:rsidRDefault="002C65F1" w:rsidP="004D5661"/>
        </w:tc>
        <w:tc>
          <w:tcPr>
            <w:tcW w:w="4356" w:type="dxa"/>
          </w:tcPr>
          <w:p w:rsidR="002C65F1" w:rsidRPr="008653C6" w:rsidRDefault="002C65F1" w:rsidP="007834CA">
            <w:pPr>
              <w:pStyle w:val="ListParagraph"/>
              <w:numPr>
                <w:ilvl w:val="0"/>
                <w:numId w:val="6"/>
              </w:numPr>
              <w:ind w:left="459" w:hanging="284"/>
            </w:pPr>
            <w:r w:rsidRPr="008653C6">
              <w:t xml:space="preserve">The delay of 6 months for the processing of registration applications seems excessive, particularly in light of the introduction of an online registration system. </w:t>
            </w:r>
            <w:r>
              <w:t xml:space="preserve">Insurance Europe would propose to </w:t>
            </w:r>
            <w:r w:rsidRPr="008653C6">
              <w:t xml:space="preserve">amend this </w:t>
            </w:r>
            <w:r>
              <w:t xml:space="preserve">period </w:t>
            </w:r>
            <w:r w:rsidRPr="008653C6">
              <w:t>to 2</w:t>
            </w:r>
            <w:r>
              <w:t xml:space="preserve"> or </w:t>
            </w:r>
            <w:r w:rsidRPr="008653C6">
              <w:t>3 months.</w:t>
            </w:r>
          </w:p>
          <w:p w:rsidR="002C65F1" w:rsidRDefault="002C65F1" w:rsidP="007834CA">
            <w:pPr>
              <w:pStyle w:val="ListParagraph"/>
              <w:numPr>
                <w:ilvl w:val="0"/>
                <w:numId w:val="6"/>
              </w:numPr>
              <w:ind w:left="459" w:hanging="284"/>
            </w:pPr>
            <w:r w:rsidRPr="008653C6">
              <w:t xml:space="preserve">Excessive requirements </w:t>
            </w:r>
            <w:r>
              <w:t>that form</w:t>
            </w:r>
            <w:r w:rsidRPr="008653C6">
              <w:t xml:space="preserve"> a condition of registration (</w:t>
            </w:r>
            <w:proofErr w:type="spellStart"/>
            <w:r w:rsidRPr="008653C6">
              <w:t>eg</w:t>
            </w:r>
            <w:proofErr w:type="spellEnd"/>
            <w:r w:rsidRPr="008653C6">
              <w:t xml:space="preserve"> </w:t>
            </w:r>
            <w:r>
              <w:t xml:space="preserve">to </w:t>
            </w:r>
            <w:r w:rsidRPr="008653C6">
              <w:t xml:space="preserve">provide information on </w:t>
            </w:r>
            <w:r>
              <w:t xml:space="preserve">the </w:t>
            </w:r>
            <w:r w:rsidRPr="008653C6">
              <w:t xml:space="preserve">identities of shareholders </w:t>
            </w:r>
            <w:proofErr w:type="spellStart"/>
            <w:r w:rsidRPr="008653C6">
              <w:t>etc</w:t>
            </w:r>
            <w:proofErr w:type="spellEnd"/>
            <w:r w:rsidRPr="008653C6">
              <w:t>) are not proportionate.</w:t>
            </w:r>
          </w:p>
          <w:p w:rsidR="002C65F1" w:rsidRPr="008653C6" w:rsidRDefault="002C65F1" w:rsidP="007834CA">
            <w:pPr>
              <w:pStyle w:val="ListParagraph"/>
              <w:numPr>
                <w:ilvl w:val="0"/>
                <w:numId w:val="6"/>
              </w:numPr>
              <w:ind w:left="459" w:hanging="284"/>
            </w:pPr>
            <w:r>
              <w:t>Concern over apparent difference in treatment between insurance intermediaries whose sole activity is professional management of claims or loss assessment services, who would be exempt from the conflict of interest provisions contained in Articles 17-25, and back office staff of insurance undertakings performing the same functions but who would be subject to such provisions.</w:t>
            </w:r>
          </w:p>
          <w:p w:rsidR="002C65F1" w:rsidRPr="008653C6" w:rsidRDefault="002C65F1" w:rsidP="004D5661"/>
        </w:tc>
        <w:tc>
          <w:tcPr>
            <w:tcW w:w="3608" w:type="dxa"/>
          </w:tcPr>
          <w:p w:rsidR="002C65F1" w:rsidRPr="008653C6" w:rsidRDefault="002C65F1" w:rsidP="002C65F1"/>
        </w:tc>
      </w:tr>
      <w:tr w:rsidR="002C65F1" w:rsidRPr="008653C6" w:rsidTr="002C65F1">
        <w:trPr>
          <w:trHeight w:val="454"/>
        </w:trPr>
        <w:tc>
          <w:tcPr>
            <w:tcW w:w="1729" w:type="dxa"/>
          </w:tcPr>
          <w:p w:rsidR="002C65F1" w:rsidRPr="008653C6" w:rsidRDefault="002C65F1" w:rsidP="00D16BD4">
            <w:r w:rsidRPr="008653C6">
              <w:t>Cross-selling practices</w:t>
            </w:r>
          </w:p>
        </w:tc>
        <w:tc>
          <w:tcPr>
            <w:tcW w:w="1278" w:type="dxa"/>
          </w:tcPr>
          <w:p w:rsidR="002C65F1" w:rsidRPr="008653C6" w:rsidRDefault="002C65F1" w:rsidP="00D16BD4">
            <w:pPr>
              <w:jc w:val="center"/>
            </w:pPr>
            <w:r w:rsidRPr="008653C6">
              <w:t>Article 21, IMD2</w:t>
            </w:r>
          </w:p>
        </w:tc>
        <w:tc>
          <w:tcPr>
            <w:tcW w:w="3203" w:type="dxa"/>
          </w:tcPr>
          <w:p w:rsidR="002C65F1" w:rsidRPr="008653C6" w:rsidRDefault="002C65F1" w:rsidP="00D16BD4">
            <w:pPr>
              <w:numPr>
                <w:ilvl w:val="0"/>
                <w:numId w:val="3"/>
              </w:numPr>
              <w:ind w:left="459" w:hanging="284"/>
            </w:pPr>
            <w:r w:rsidRPr="008653C6">
              <w:t>Member States shall allow bundling practices but not tying practices.</w:t>
            </w:r>
          </w:p>
          <w:p w:rsidR="002C65F1" w:rsidRPr="008653C6" w:rsidRDefault="002C65F1" w:rsidP="00D16BD4">
            <w:pPr>
              <w:numPr>
                <w:ilvl w:val="0"/>
                <w:numId w:val="3"/>
              </w:numPr>
              <w:ind w:left="459" w:hanging="284"/>
            </w:pPr>
            <w:r w:rsidRPr="008653C6">
              <w:lastRenderedPageBreak/>
              <w:t>When insurance is offered together with another product or service, firms must offer and inform the consumer that it is possible to buy the components of the package separately and provide information on the costs and charges of each component.</w:t>
            </w:r>
          </w:p>
          <w:p w:rsidR="002C65F1" w:rsidRPr="008653C6" w:rsidRDefault="002C65F1" w:rsidP="00D16BD4">
            <w:pPr>
              <w:pStyle w:val="ListParagraph"/>
              <w:numPr>
                <w:ilvl w:val="0"/>
                <w:numId w:val="3"/>
              </w:numPr>
              <w:ind w:left="459" w:hanging="284"/>
            </w:pPr>
            <w:r w:rsidRPr="008653C6">
              <w:t>EIOPA given power to develop guidelines for assessment and supervision of cross-selling practices.</w:t>
            </w:r>
          </w:p>
          <w:p w:rsidR="002C65F1" w:rsidRPr="008653C6" w:rsidRDefault="002C65F1" w:rsidP="00D16BD4">
            <w:pPr>
              <w:ind w:left="459" w:hanging="284"/>
            </w:pPr>
          </w:p>
        </w:tc>
        <w:tc>
          <w:tcPr>
            <w:tcW w:w="4356" w:type="dxa"/>
          </w:tcPr>
          <w:p w:rsidR="002C65F1" w:rsidRDefault="002C65F1" w:rsidP="00EE0088">
            <w:pPr>
              <w:numPr>
                <w:ilvl w:val="0"/>
                <w:numId w:val="3"/>
              </w:numPr>
              <w:ind w:left="459" w:hanging="284"/>
            </w:pPr>
            <w:r>
              <w:lastRenderedPageBreak/>
              <w:t xml:space="preserve">Level playing field concerns as the treatment of cross-selling practices under IMD2 is different to the provision under </w:t>
            </w:r>
            <w:r w:rsidRPr="00317199">
              <w:rPr>
                <w:u w:val="single"/>
              </w:rPr>
              <w:lastRenderedPageBreak/>
              <w:t>MiFID2</w:t>
            </w:r>
            <w:r>
              <w:t xml:space="preserve">: </w:t>
            </w:r>
            <w:r w:rsidRPr="003327A5">
              <w:t>When an investment service is offered to a retail client together with another service or product as part of a package or as a condition for the same agreement or package, the investment firm shall inform the client whether it is possible to buy the different components separately and shall provide for a separate evidence of the costs and charges of each component.</w:t>
            </w:r>
          </w:p>
          <w:p w:rsidR="002C65F1" w:rsidRDefault="002C65F1" w:rsidP="00317199">
            <w:pPr>
              <w:numPr>
                <w:ilvl w:val="0"/>
                <w:numId w:val="3"/>
              </w:numPr>
              <w:ind w:left="459" w:hanging="284"/>
            </w:pPr>
            <w:r>
              <w:t>Concerns over the power given to EIOPA to develop guidelines for the assessment and supervision of cross-selling practices.</w:t>
            </w:r>
          </w:p>
          <w:p w:rsidR="002C65F1" w:rsidRDefault="002C65F1" w:rsidP="009425B8">
            <w:pPr>
              <w:numPr>
                <w:ilvl w:val="0"/>
                <w:numId w:val="3"/>
              </w:numPr>
              <w:ind w:left="459" w:hanging="284"/>
            </w:pPr>
            <w:r>
              <w:t>Further concerns over the requirement to provide a breakdown of the costs and charges associated with each individual component of the package.</w:t>
            </w:r>
          </w:p>
          <w:p w:rsidR="002C65F1" w:rsidRPr="008653C6" w:rsidRDefault="002C65F1" w:rsidP="003327A5"/>
        </w:tc>
        <w:tc>
          <w:tcPr>
            <w:tcW w:w="3608" w:type="dxa"/>
          </w:tcPr>
          <w:p w:rsidR="002C65F1" w:rsidRDefault="002C65F1" w:rsidP="002C65F1"/>
        </w:tc>
      </w:tr>
      <w:tr w:rsidR="002C65F1" w:rsidRPr="008653C6" w:rsidTr="002C65F1">
        <w:trPr>
          <w:trHeight w:val="454"/>
        </w:trPr>
        <w:tc>
          <w:tcPr>
            <w:tcW w:w="1729" w:type="dxa"/>
          </w:tcPr>
          <w:p w:rsidR="002C65F1" w:rsidRPr="008653C6" w:rsidRDefault="002C65F1">
            <w:r w:rsidRPr="008653C6">
              <w:lastRenderedPageBreak/>
              <w:t>Sanctions</w:t>
            </w:r>
          </w:p>
        </w:tc>
        <w:tc>
          <w:tcPr>
            <w:tcW w:w="1278" w:type="dxa"/>
          </w:tcPr>
          <w:p w:rsidR="002C65F1" w:rsidRPr="008653C6" w:rsidRDefault="002C65F1" w:rsidP="00D16BD4">
            <w:pPr>
              <w:jc w:val="center"/>
            </w:pPr>
            <w:r w:rsidRPr="008653C6">
              <w:t>Articles 26-31, IMD2</w:t>
            </w:r>
          </w:p>
          <w:p w:rsidR="002C65F1" w:rsidRPr="008653C6" w:rsidRDefault="002C65F1" w:rsidP="00D16BD4">
            <w:pPr>
              <w:jc w:val="center"/>
            </w:pPr>
          </w:p>
        </w:tc>
        <w:tc>
          <w:tcPr>
            <w:tcW w:w="3203" w:type="dxa"/>
          </w:tcPr>
          <w:p w:rsidR="002C65F1" w:rsidRPr="00EC6471" w:rsidRDefault="002C65F1" w:rsidP="00EC6471">
            <w:pPr>
              <w:pStyle w:val="ListParagraph"/>
              <w:numPr>
                <w:ilvl w:val="0"/>
                <w:numId w:val="5"/>
              </w:numPr>
              <w:ind w:left="459" w:hanging="284"/>
            </w:pPr>
            <w:r w:rsidRPr="00EC6471">
              <w:t xml:space="preserve">Article 26 requires Member States to ensure that their administrative sanctions and measures are effective, proportionate and dissuasive. Competent authorities must be given all necessary investigatory powers and must co-operate on cross-border cases. </w:t>
            </w:r>
          </w:p>
          <w:p w:rsidR="002C65F1" w:rsidRDefault="002C65F1" w:rsidP="00EC6471">
            <w:pPr>
              <w:pStyle w:val="ListParagraph"/>
              <w:numPr>
                <w:ilvl w:val="0"/>
                <w:numId w:val="5"/>
              </w:numPr>
              <w:ind w:left="459" w:hanging="284"/>
            </w:pPr>
            <w:r w:rsidRPr="00EC6471">
              <w:t>Articles 27 and 28 require publication of the sanctions or measures imposed for breaches, and set out the administrative sanctions that apply, including ‘cease and desist’ orders, withdrawal of registration, bans against persons responsible for the exercise of management functions, and pecuniary sanctions of up to 10% of total annual turnover</w:t>
            </w:r>
            <w:r>
              <w:t xml:space="preserve"> for companies and up to 5 000 000 EUR for natural </w:t>
            </w:r>
            <w:r>
              <w:lastRenderedPageBreak/>
              <w:t>persons</w:t>
            </w:r>
            <w:r w:rsidRPr="00EC6471">
              <w:t>.</w:t>
            </w:r>
          </w:p>
          <w:p w:rsidR="002C65F1" w:rsidRPr="008653C6" w:rsidRDefault="002C65F1" w:rsidP="00EC6471">
            <w:pPr>
              <w:pStyle w:val="ListParagraph"/>
              <w:numPr>
                <w:ilvl w:val="0"/>
                <w:numId w:val="5"/>
              </w:numPr>
              <w:ind w:left="459" w:hanging="284"/>
            </w:pPr>
            <w:r w:rsidRPr="00EC6471">
              <w:t xml:space="preserve">Article 29 sets out relevant circumstances that should be taken into account by competent authorities when determining the type of sanction or measure and the level of pecuniary sanction, and also requires EIOPA to issue guidelines in respect of the sanctions. </w:t>
            </w:r>
          </w:p>
          <w:p w:rsidR="002C65F1" w:rsidRPr="008653C6" w:rsidRDefault="002C65F1" w:rsidP="00A62282">
            <w:pPr>
              <w:ind w:left="175"/>
            </w:pPr>
          </w:p>
        </w:tc>
        <w:tc>
          <w:tcPr>
            <w:tcW w:w="4356" w:type="dxa"/>
          </w:tcPr>
          <w:p w:rsidR="002C65F1" w:rsidRDefault="002C65F1" w:rsidP="0095466C">
            <w:pPr>
              <w:pStyle w:val="ListParagraph"/>
              <w:numPr>
                <w:ilvl w:val="0"/>
                <w:numId w:val="5"/>
              </w:numPr>
              <w:ind w:left="459" w:hanging="284"/>
            </w:pPr>
            <w:r>
              <w:lastRenderedPageBreak/>
              <w:t>The current IMD</w:t>
            </w:r>
            <w:r w:rsidRPr="008B5E38">
              <w:t xml:space="preserve"> requires Member States to introduce </w:t>
            </w:r>
            <w:r>
              <w:t xml:space="preserve">appropriate </w:t>
            </w:r>
            <w:r w:rsidRPr="008B5E38">
              <w:t xml:space="preserve">sanctions in case of an insurance intermediary's failure to comply with national </w:t>
            </w:r>
            <w:r>
              <w:t xml:space="preserve">implementing </w:t>
            </w:r>
            <w:r w:rsidRPr="008B5E38">
              <w:t xml:space="preserve">legislation. </w:t>
            </w:r>
            <w:r>
              <w:t>However, the proposed IMD2 introduces overly strict and prescriptive sanctions, listing those specific administrative sanctions and measures that must “at least” be included.</w:t>
            </w:r>
          </w:p>
          <w:p w:rsidR="002C65F1" w:rsidRDefault="002C65F1" w:rsidP="0095466C">
            <w:pPr>
              <w:pStyle w:val="ListParagraph"/>
              <w:numPr>
                <w:ilvl w:val="0"/>
                <w:numId w:val="5"/>
              </w:numPr>
              <w:ind w:left="459" w:hanging="284"/>
            </w:pPr>
            <w:r>
              <w:t>The</w:t>
            </w:r>
            <w:r w:rsidRPr="00273F76">
              <w:t xml:space="preserve"> pecuniary sanctions of up to 10% of total annual turnover for companies and up to 5 000 000 EUR for natural persons</w:t>
            </w:r>
            <w:r>
              <w:t xml:space="preserve"> are particularly prohibitive and disproportionate in this context, and are more appropriate to serious breaches of competition law</w:t>
            </w:r>
            <w:r w:rsidRPr="00273F76">
              <w:t>.</w:t>
            </w:r>
          </w:p>
          <w:p w:rsidR="002C65F1" w:rsidRPr="00693498" w:rsidRDefault="002C65F1" w:rsidP="0095466C">
            <w:pPr>
              <w:pStyle w:val="ListParagraph"/>
              <w:numPr>
                <w:ilvl w:val="0"/>
                <w:numId w:val="5"/>
              </w:numPr>
              <w:ind w:left="459" w:hanging="284"/>
            </w:pPr>
            <w:r>
              <w:t>As s</w:t>
            </w:r>
            <w:r w:rsidRPr="00693498">
              <w:t>anctions are already dealt with at national level</w:t>
            </w:r>
            <w:r>
              <w:t>, we believe that the introduction of such sanctions fail to respect the principles of subsidiarity and proportionality enshrined under EU law</w:t>
            </w:r>
            <w:r w:rsidRPr="00693498">
              <w:t>.</w:t>
            </w:r>
          </w:p>
          <w:p w:rsidR="002C65F1" w:rsidRPr="008653C6" w:rsidRDefault="002C65F1" w:rsidP="000344B3"/>
        </w:tc>
        <w:tc>
          <w:tcPr>
            <w:tcW w:w="3608" w:type="dxa"/>
          </w:tcPr>
          <w:p w:rsidR="002C65F1" w:rsidRDefault="002C65F1" w:rsidP="002C65F1"/>
        </w:tc>
      </w:tr>
      <w:tr w:rsidR="002C65F1" w:rsidRPr="008653C6" w:rsidTr="002C65F1">
        <w:trPr>
          <w:trHeight w:val="454"/>
        </w:trPr>
        <w:tc>
          <w:tcPr>
            <w:tcW w:w="1729" w:type="dxa"/>
          </w:tcPr>
          <w:p w:rsidR="002C65F1" w:rsidRPr="008653C6" w:rsidRDefault="002C65F1" w:rsidP="00125C72">
            <w:r w:rsidRPr="008653C6">
              <w:lastRenderedPageBreak/>
              <w:t>ADR</w:t>
            </w:r>
          </w:p>
        </w:tc>
        <w:tc>
          <w:tcPr>
            <w:tcW w:w="1278" w:type="dxa"/>
          </w:tcPr>
          <w:p w:rsidR="002C65F1" w:rsidRPr="008653C6" w:rsidRDefault="002C65F1" w:rsidP="00D16BD4">
            <w:pPr>
              <w:jc w:val="center"/>
            </w:pPr>
            <w:r w:rsidRPr="008653C6">
              <w:t>Article 13, IMD2</w:t>
            </w:r>
          </w:p>
        </w:tc>
        <w:tc>
          <w:tcPr>
            <w:tcW w:w="3203" w:type="dxa"/>
          </w:tcPr>
          <w:p w:rsidR="002C65F1" w:rsidRPr="008653C6" w:rsidRDefault="002C65F1" w:rsidP="006926A0">
            <w:pPr>
              <w:pStyle w:val="ListParagraph"/>
              <w:numPr>
                <w:ilvl w:val="0"/>
                <w:numId w:val="6"/>
              </w:numPr>
              <w:ind w:left="459" w:hanging="284"/>
            </w:pPr>
            <w:r w:rsidRPr="008653C6">
              <w:t>Lays down detailed provisions on the requirements ADR procedures must meet.</w:t>
            </w:r>
          </w:p>
          <w:p w:rsidR="002C65F1" w:rsidRPr="008653C6" w:rsidRDefault="002C65F1" w:rsidP="007834CA"/>
        </w:tc>
        <w:tc>
          <w:tcPr>
            <w:tcW w:w="4356" w:type="dxa"/>
          </w:tcPr>
          <w:p w:rsidR="002C65F1" w:rsidRPr="008653C6" w:rsidRDefault="002C65F1" w:rsidP="00A34472">
            <w:pPr>
              <w:pStyle w:val="ListParagraph"/>
              <w:numPr>
                <w:ilvl w:val="0"/>
                <w:numId w:val="6"/>
              </w:numPr>
              <w:ind w:left="459" w:hanging="284"/>
            </w:pPr>
            <w:r w:rsidRPr="008653C6">
              <w:t xml:space="preserve">Not appropriate to include such requirements </w:t>
            </w:r>
            <w:r>
              <w:t>under this legislation</w:t>
            </w:r>
            <w:r w:rsidRPr="008653C6">
              <w:t xml:space="preserve"> given the specific proposals on ADR that are currently being negotiated.</w:t>
            </w:r>
            <w:r>
              <w:t xml:space="preserve"> </w:t>
            </w:r>
            <w:r w:rsidRPr="00A34472">
              <w:t xml:space="preserve">The </w:t>
            </w:r>
            <w:r>
              <w:t>E</w:t>
            </w:r>
            <w:r w:rsidRPr="00A34472">
              <w:t xml:space="preserve">C should therefore refrain from introducing specific provisions on ADR </w:t>
            </w:r>
            <w:r>
              <w:t>under IMD2</w:t>
            </w:r>
            <w:r w:rsidRPr="00A34472">
              <w:t>.</w:t>
            </w:r>
          </w:p>
          <w:p w:rsidR="002C65F1" w:rsidRPr="008653C6" w:rsidRDefault="002C65F1" w:rsidP="00A34472">
            <w:pPr>
              <w:ind w:left="459" w:hanging="284"/>
            </w:pPr>
          </w:p>
        </w:tc>
        <w:tc>
          <w:tcPr>
            <w:tcW w:w="3608" w:type="dxa"/>
          </w:tcPr>
          <w:p w:rsidR="002C65F1" w:rsidRPr="008653C6" w:rsidRDefault="002C65F1" w:rsidP="002C65F1"/>
        </w:tc>
      </w:tr>
      <w:tr w:rsidR="002C65F1" w:rsidRPr="008653C6" w:rsidTr="002C65F1">
        <w:trPr>
          <w:trHeight w:val="454"/>
        </w:trPr>
        <w:tc>
          <w:tcPr>
            <w:tcW w:w="1729" w:type="dxa"/>
          </w:tcPr>
          <w:p w:rsidR="002C65F1" w:rsidRPr="008653C6" w:rsidRDefault="002C65F1" w:rsidP="00125C72">
            <w:r w:rsidRPr="008653C6">
              <w:t>Delegated acts</w:t>
            </w:r>
          </w:p>
        </w:tc>
        <w:tc>
          <w:tcPr>
            <w:tcW w:w="1278" w:type="dxa"/>
          </w:tcPr>
          <w:p w:rsidR="002C65F1" w:rsidRPr="008653C6" w:rsidRDefault="002C65F1" w:rsidP="00D16BD4">
            <w:pPr>
              <w:jc w:val="center"/>
            </w:pPr>
            <w:r w:rsidRPr="008653C6">
              <w:t>Articles 8(8), 17(5), 23(3), 24(6) and 25(5), IMD2</w:t>
            </w:r>
          </w:p>
          <w:p w:rsidR="002C65F1" w:rsidRPr="008653C6" w:rsidRDefault="002C65F1" w:rsidP="00D16BD4">
            <w:pPr>
              <w:jc w:val="center"/>
            </w:pPr>
          </w:p>
        </w:tc>
        <w:tc>
          <w:tcPr>
            <w:tcW w:w="3203" w:type="dxa"/>
          </w:tcPr>
          <w:p w:rsidR="002C65F1" w:rsidRPr="008653C6" w:rsidRDefault="002C65F1" w:rsidP="00BE16EF">
            <w:pPr>
              <w:pStyle w:val="ListParagraph"/>
              <w:numPr>
                <w:ilvl w:val="0"/>
                <w:numId w:val="6"/>
              </w:numPr>
              <w:ind w:left="459" w:hanging="284"/>
            </w:pPr>
            <w:r w:rsidRPr="008653C6">
              <w:t>EC empowered to adopt delegated acts in the areas of professional requirements, remuneration disclosure and insurance PRIPs.</w:t>
            </w:r>
          </w:p>
          <w:p w:rsidR="002C65F1" w:rsidRPr="008653C6" w:rsidRDefault="002C65F1" w:rsidP="00D073F7">
            <w:pPr>
              <w:ind w:left="175"/>
            </w:pPr>
          </w:p>
        </w:tc>
        <w:tc>
          <w:tcPr>
            <w:tcW w:w="4356" w:type="dxa"/>
          </w:tcPr>
          <w:p w:rsidR="002C65F1" w:rsidRDefault="002C65F1" w:rsidP="00675A22">
            <w:pPr>
              <w:pStyle w:val="ListParagraph"/>
              <w:numPr>
                <w:ilvl w:val="0"/>
                <w:numId w:val="6"/>
              </w:numPr>
              <w:ind w:left="459" w:hanging="284"/>
            </w:pPr>
            <w:r w:rsidRPr="00675A22">
              <w:t xml:space="preserve">Although we are not critical in general of the power to adopt delegated acts, Insurance Europe is concerned about the breadth of the power given to the European Commission and EIOPA to adopt extensive Level 2 measures under the proposed </w:t>
            </w:r>
            <w:r>
              <w:t>Directive</w:t>
            </w:r>
            <w:r w:rsidRPr="00675A22">
              <w:t>.</w:t>
            </w:r>
          </w:p>
          <w:p w:rsidR="002C65F1" w:rsidRPr="008653C6" w:rsidRDefault="002C65F1" w:rsidP="00675A22">
            <w:pPr>
              <w:ind w:left="175"/>
            </w:pPr>
          </w:p>
        </w:tc>
        <w:tc>
          <w:tcPr>
            <w:tcW w:w="3608" w:type="dxa"/>
          </w:tcPr>
          <w:p w:rsidR="002C65F1" w:rsidRPr="00675A22" w:rsidRDefault="002C65F1" w:rsidP="002C65F1"/>
        </w:tc>
      </w:tr>
    </w:tbl>
    <w:p w:rsidR="00865790" w:rsidRPr="008653C6" w:rsidRDefault="00865790" w:rsidP="005B5C43">
      <w:pPr>
        <w:rPr>
          <w:b/>
        </w:rPr>
      </w:pPr>
    </w:p>
    <w:p w:rsidR="00F64295" w:rsidRPr="008653C6" w:rsidRDefault="00F64295" w:rsidP="005B5C43">
      <w:pPr>
        <w:rPr>
          <w:b/>
        </w:rPr>
      </w:pPr>
    </w:p>
    <w:sectPr w:rsidR="00F64295" w:rsidRPr="008653C6" w:rsidSect="00BC438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BC6" w:rsidRDefault="00A75BC6" w:rsidP="00827F4D">
      <w:pPr>
        <w:spacing w:after="0" w:line="240" w:lineRule="auto"/>
      </w:pPr>
      <w:r>
        <w:separator/>
      </w:r>
    </w:p>
  </w:endnote>
  <w:endnote w:type="continuationSeparator" w:id="0">
    <w:p w:rsidR="00A75BC6" w:rsidRDefault="00A75BC6" w:rsidP="008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BC6" w:rsidRDefault="00A75BC6" w:rsidP="00827F4D">
      <w:pPr>
        <w:spacing w:after="0" w:line="240" w:lineRule="auto"/>
      </w:pPr>
      <w:r>
        <w:separator/>
      </w:r>
    </w:p>
  </w:footnote>
  <w:footnote w:type="continuationSeparator" w:id="0">
    <w:p w:rsidR="00A75BC6" w:rsidRDefault="00A75BC6" w:rsidP="00827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6" type="#_x0000_t75" style="width:11.55pt;height:11.55pt" o:bullet="t">
        <v:imagedata r:id="rId1" o:title="CEA - Bullets Rounded Squares_BulletLevel1_forMS"/>
      </v:shape>
    </w:pict>
  </w:numPicBullet>
  <w:numPicBullet w:numPicBulletId="1">
    <w:pict>
      <v:shape id="_x0000_i1477" type="#_x0000_t75" style="width:7.45pt;height:7.45pt" o:bullet="t">
        <v:imagedata r:id="rId2" o:title="CEA - Bullets Rounded Squares_BulletLevel2_forMS"/>
      </v:shape>
    </w:pict>
  </w:numPicBullet>
  <w:abstractNum w:abstractNumId="0">
    <w:nsid w:val="0F3A46E3"/>
    <w:multiLevelType w:val="hybridMultilevel"/>
    <w:tmpl w:val="735ABA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F0ABC"/>
    <w:multiLevelType w:val="hybridMultilevel"/>
    <w:tmpl w:val="1B865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46497E"/>
    <w:multiLevelType w:val="hybridMultilevel"/>
    <w:tmpl w:val="65E8D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DC3721"/>
    <w:multiLevelType w:val="hybridMultilevel"/>
    <w:tmpl w:val="DB6C4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B310266"/>
    <w:multiLevelType w:val="hybridMultilevel"/>
    <w:tmpl w:val="5400EC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86"/>
    <w:rsid w:val="00013E42"/>
    <w:rsid w:val="00014523"/>
    <w:rsid w:val="0003334E"/>
    <w:rsid w:val="000344B3"/>
    <w:rsid w:val="000627A6"/>
    <w:rsid w:val="00090AF9"/>
    <w:rsid w:val="000E6DD0"/>
    <w:rsid w:val="000F48B1"/>
    <w:rsid w:val="000F556E"/>
    <w:rsid w:val="00101C0C"/>
    <w:rsid w:val="00125C72"/>
    <w:rsid w:val="00127557"/>
    <w:rsid w:val="00160CBA"/>
    <w:rsid w:val="00174F45"/>
    <w:rsid w:val="001B3D59"/>
    <w:rsid w:val="001B5900"/>
    <w:rsid w:val="001D02AA"/>
    <w:rsid w:val="001F2F9C"/>
    <w:rsid w:val="00205614"/>
    <w:rsid w:val="00210C12"/>
    <w:rsid w:val="00214B6E"/>
    <w:rsid w:val="0023186C"/>
    <w:rsid w:val="00273F76"/>
    <w:rsid w:val="00276C74"/>
    <w:rsid w:val="002969BF"/>
    <w:rsid w:val="002B405A"/>
    <w:rsid w:val="002C65F1"/>
    <w:rsid w:val="00314532"/>
    <w:rsid w:val="00317199"/>
    <w:rsid w:val="00323F45"/>
    <w:rsid w:val="003327A5"/>
    <w:rsid w:val="00334318"/>
    <w:rsid w:val="003631D6"/>
    <w:rsid w:val="00382184"/>
    <w:rsid w:val="003B556D"/>
    <w:rsid w:val="003D26F0"/>
    <w:rsid w:val="003E53AF"/>
    <w:rsid w:val="003F308F"/>
    <w:rsid w:val="003F7052"/>
    <w:rsid w:val="00411E42"/>
    <w:rsid w:val="004127AA"/>
    <w:rsid w:val="00416A31"/>
    <w:rsid w:val="00426B37"/>
    <w:rsid w:val="00437014"/>
    <w:rsid w:val="0043756C"/>
    <w:rsid w:val="004426C3"/>
    <w:rsid w:val="00466EC7"/>
    <w:rsid w:val="004C249B"/>
    <w:rsid w:val="004C4033"/>
    <w:rsid w:val="004C474F"/>
    <w:rsid w:val="004D5661"/>
    <w:rsid w:val="00506532"/>
    <w:rsid w:val="00510D68"/>
    <w:rsid w:val="005218C2"/>
    <w:rsid w:val="00541C99"/>
    <w:rsid w:val="0055113A"/>
    <w:rsid w:val="0055269D"/>
    <w:rsid w:val="005639FA"/>
    <w:rsid w:val="00574A4A"/>
    <w:rsid w:val="005B1499"/>
    <w:rsid w:val="005B5C43"/>
    <w:rsid w:val="005E3F3C"/>
    <w:rsid w:val="00602486"/>
    <w:rsid w:val="006055A3"/>
    <w:rsid w:val="00612831"/>
    <w:rsid w:val="0064680A"/>
    <w:rsid w:val="00651DAD"/>
    <w:rsid w:val="006625E5"/>
    <w:rsid w:val="00667D95"/>
    <w:rsid w:val="00675A22"/>
    <w:rsid w:val="006926A0"/>
    <w:rsid w:val="00693498"/>
    <w:rsid w:val="006B2A72"/>
    <w:rsid w:val="006B5FDD"/>
    <w:rsid w:val="006E1FBF"/>
    <w:rsid w:val="006E3CEC"/>
    <w:rsid w:val="00712E80"/>
    <w:rsid w:val="00727BFE"/>
    <w:rsid w:val="007452D1"/>
    <w:rsid w:val="007834CA"/>
    <w:rsid w:val="007C37E6"/>
    <w:rsid w:val="007D7675"/>
    <w:rsid w:val="007F3AA2"/>
    <w:rsid w:val="00827F4D"/>
    <w:rsid w:val="008653C6"/>
    <w:rsid w:val="00865790"/>
    <w:rsid w:val="00883145"/>
    <w:rsid w:val="00894AFB"/>
    <w:rsid w:val="008A6A87"/>
    <w:rsid w:val="008B2A55"/>
    <w:rsid w:val="008B5E38"/>
    <w:rsid w:val="008C1BB3"/>
    <w:rsid w:val="008D5EF2"/>
    <w:rsid w:val="008F2DC4"/>
    <w:rsid w:val="00921418"/>
    <w:rsid w:val="009425B8"/>
    <w:rsid w:val="0095466C"/>
    <w:rsid w:val="009572D9"/>
    <w:rsid w:val="009601D6"/>
    <w:rsid w:val="00A265F7"/>
    <w:rsid w:val="00A30662"/>
    <w:rsid w:val="00A34472"/>
    <w:rsid w:val="00A52558"/>
    <w:rsid w:val="00A62282"/>
    <w:rsid w:val="00A75BC6"/>
    <w:rsid w:val="00A8111F"/>
    <w:rsid w:val="00A81937"/>
    <w:rsid w:val="00AA57A8"/>
    <w:rsid w:val="00AB69F2"/>
    <w:rsid w:val="00AC1994"/>
    <w:rsid w:val="00AF1390"/>
    <w:rsid w:val="00AF159C"/>
    <w:rsid w:val="00B041FE"/>
    <w:rsid w:val="00B12E18"/>
    <w:rsid w:val="00B339D4"/>
    <w:rsid w:val="00B41B55"/>
    <w:rsid w:val="00B740F9"/>
    <w:rsid w:val="00B90B5E"/>
    <w:rsid w:val="00B92DA7"/>
    <w:rsid w:val="00BA4A78"/>
    <w:rsid w:val="00BB1253"/>
    <w:rsid w:val="00BC1F34"/>
    <w:rsid w:val="00BC4386"/>
    <w:rsid w:val="00BD3A79"/>
    <w:rsid w:val="00BD3E27"/>
    <w:rsid w:val="00BE16EF"/>
    <w:rsid w:val="00BE181C"/>
    <w:rsid w:val="00BF5A00"/>
    <w:rsid w:val="00C35E91"/>
    <w:rsid w:val="00C74F66"/>
    <w:rsid w:val="00C80748"/>
    <w:rsid w:val="00C83A21"/>
    <w:rsid w:val="00CA0E44"/>
    <w:rsid w:val="00CA7615"/>
    <w:rsid w:val="00CA7BD9"/>
    <w:rsid w:val="00CC70F9"/>
    <w:rsid w:val="00D073F7"/>
    <w:rsid w:val="00D16BD4"/>
    <w:rsid w:val="00D40E48"/>
    <w:rsid w:val="00D45F26"/>
    <w:rsid w:val="00D5363D"/>
    <w:rsid w:val="00D66C6A"/>
    <w:rsid w:val="00D76876"/>
    <w:rsid w:val="00DB5D0C"/>
    <w:rsid w:val="00DB690E"/>
    <w:rsid w:val="00DD3D25"/>
    <w:rsid w:val="00E04670"/>
    <w:rsid w:val="00E1369C"/>
    <w:rsid w:val="00E81FF2"/>
    <w:rsid w:val="00EB64A9"/>
    <w:rsid w:val="00EC074E"/>
    <w:rsid w:val="00EC596B"/>
    <w:rsid w:val="00EC623E"/>
    <w:rsid w:val="00EC6471"/>
    <w:rsid w:val="00ED5635"/>
    <w:rsid w:val="00EE0088"/>
    <w:rsid w:val="00EE792E"/>
    <w:rsid w:val="00F64295"/>
    <w:rsid w:val="00FB6CB4"/>
    <w:rsid w:val="00FD3894"/>
    <w:rsid w:val="00FF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4285">
      <w:bodyDiv w:val="1"/>
      <w:marLeft w:val="0"/>
      <w:marRight w:val="0"/>
      <w:marTop w:val="0"/>
      <w:marBottom w:val="0"/>
      <w:divBdr>
        <w:top w:val="none" w:sz="0" w:space="0" w:color="auto"/>
        <w:left w:val="none" w:sz="0" w:space="0" w:color="auto"/>
        <w:bottom w:val="none" w:sz="0" w:space="0" w:color="auto"/>
        <w:right w:val="none" w:sz="0" w:space="0" w:color="auto"/>
      </w:divBdr>
    </w:div>
    <w:div w:id="132431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CBA25-A554-47B0-A507-137C2B12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714</Words>
  <Characters>4939</Characters>
  <Application>Microsoft Office Word</Application>
  <DocSecurity>0</DocSecurity>
  <Lines>1234</Lines>
  <Paragraphs>565</Paragraphs>
  <ScaleCrop>false</ScaleCrop>
  <HeadingPairs>
    <vt:vector size="2" baseType="variant">
      <vt:variant>
        <vt:lpstr>Title</vt:lpstr>
      </vt:variant>
      <vt:variant>
        <vt:i4>1</vt:i4>
      </vt:variant>
    </vt:vector>
  </HeadingPairs>
  <TitlesOfParts>
    <vt:vector size="1" baseType="lpstr">
      <vt:lpstr/>
    </vt:vector>
  </TitlesOfParts>
  <Company>Insurance Europe</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Hilliard</dc:creator>
  <cp:lastModifiedBy>Arthur Hilliard</cp:lastModifiedBy>
  <cp:revision>15</cp:revision>
  <cp:lastPrinted>2012-07-27T07:57:00Z</cp:lastPrinted>
  <dcterms:created xsi:type="dcterms:W3CDTF">2012-08-03T09:00:00Z</dcterms:created>
  <dcterms:modified xsi:type="dcterms:W3CDTF">2012-08-13T12:08:00Z</dcterms:modified>
</cp:coreProperties>
</file>