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9C" w:rsidRPr="008653C6" w:rsidRDefault="00C1109F">
      <w:pPr>
        <w:rPr>
          <w:b/>
        </w:rPr>
      </w:pPr>
      <w:r>
        <w:rPr>
          <w:b/>
        </w:rPr>
        <w:t>1</w:t>
      </w:r>
      <w:r w:rsidR="00C92BA9">
        <w:rPr>
          <w:b/>
        </w:rPr>
        <w:t>2</w:t>
      </w:r>
      <w:r w:rsidR="00C34808">
        <w:rPr>
          <w:b/>
        </w:rPr>
        <w:t xml:space="preserve"> September </w:t>
      </w:r>
      <w:r w:rsidR="004C474F">
        <w:rPr>
          <w:b/>
        </w:rPr>
        <w:t>Distribution TF</w:t>
      </w:r>
      <w:r w:rsidR="007D7675">
        <w:rPr>
          <w:b/>
        </w:rPr>
        <w:t xml:space="preserve"> meeting</w:t>
      </w:r>
      <w:r w:rsidR="00BC4386" w:rsidRPr="008653C6">
        <w:rPr>
          <w:b/>
        </w:rPr>
        <w:t xml:space="preserve"> – </w:t>
      </w:r>
      <w:r w:rsidR="00C92BA9">
        <w:rPr>
          <w:b/>
        </w:rPr>
        <w:t>Scope, extension of professional requirements</w:t>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color w:val="FF0000"/>
        </w:rPr>
        <w:t>[</w:t>
      </w:r>
      <w:r w:rsidR="0013164E">
        <w:rPr>
          <w:b/>
          <w:color w:val="FF0000"/>
        </w:rPr>
        <w:t>13</w:t>
      </w:r>
      <w:bookmarkStart w:id="0" w:name="_GoBack"/>
      <w:bookmarkEnd w:id="0"/>
      <w:r w:rsidR="001D02AA" w:rsidRPr="008653C6">
        <w:rPr>
          <w:b/>
          <w:color w:val="FF0000"/>
        </w:rPr>
        <w:t xml:space="preserve"> </w:t>
      </w:r>
      <w:r w:rsidR="00C34808">
        <w:rPr>
          <w:b/>
          <w:color w:val="FF0000"/>
        </w:rPr>
        <w:t>August</w:t>
      </w:r>
      <w:r w:rsidR="001D02AA" w:rsidRPr="008653C6">
        <w:rPr>
          <w:b/>
          <w:color w:val="FF0000"/>
        </w:rPr>
        <w:t xml:space="preserve"> 2012]</w:t>
      </w:r>
    </w:p>
    <w:tbl>
      <w:tblPr>
        <w:tblStyle w:val="TableGrid"/>
        <w:tblW w:w="14567" w:type="dxa"/>
        <w:tblLayout w:type="fixed"/>
        <w:tblLook w:val="04A0" w:firstRow="1" w:lastRow="0" w:firstColumn="1" w:lastColumn="0" w:noHBand="0" w:noVBand="1"/>
      </w:tblPr>
      <w:tblGrid>
        <w:gridCol w:w="1668"/>
        <w:gridCol w:w="1134"/>
        <w:gridCol w:w="2409"/>
        <w:gridCol w:w="4678"/>
        <w:gridCol w:w="2410"/>
        <w:gridCol w:w="2268"/>
      </w:tblGrid>
      <w:tr w:rsidR="004460B1" w:rsidRPr="008653C6" w:rsidTr="004460B1">
        <w:trPr>
          <w:trHeight w:val="454"/>
        </w:trPr>
        <w:tc>
          <w:tcPr>
            <w:tcW w:w="1668" w:type="dxa"/>
            <w:vAlign w:val="center"/>
          </w:tcPr>
          <w:p w:rsidR="004460B1" w:rsidRPr="008653C6" w:rsidRDefault="004460B1" w:rsidP="000A477E">
            <w:pPr>
              <w:jc w:val="center"/>
              <w:rPr>
                <w:b/>
              </w:rPr>
            </w:pPr>
            <w:r w:rsidRPr="008653C6">
              <w:rPr>
                <w:b/>
              </w:rPr>
              <w:t>Issue/Concern</w:t>
            </w:r>
          </w:p>
        </w:tc>
        <w:tc>
          <w:tcPr>
            <w:tcW w:w="1134" w:type="dxa"/>
            <w:vAlign w:val="center"/>
          </w:tcPr>
          <w:p w:rsidR="004460B1" w:rsidRPr="008653C6" w:rsidRDefault="004460B1" w:rsidP="000A477E">
            <w:pPr>
              <w:jc w:val="center"/>
              <w:rPr>
                <w:b/>
              </w:rPr>
            </w:pPr>
            <w:r w:rsidRPr="008653C6">
              <w:rPr>
                <w:b/>
              </w:rPr>
              <w:t>Relevant Article(s)</w:t>
            </w:r>
          </w:p>
        </w:tc>
        <w:tc>
          <w:tcPr>
            <w:tcW w:w="2409" w:type="dxa"/>
            <w:vAlign w:val="center"/>
          </w:tcPr>
          <w:p w:rsidR="004460B1" w:rsidRPr="008653C6" w:rsidRDefault="004460B1" w:rsidP="000A477E">
            <w:pPr>
              <w:jc w:val="center"/>
              <w:rPr>
                <w:b/>
              </w:rPr>
            </w:pPr>
            <w:r>
              <w:rPr>
                <w:b/>
              </w:rPr>
              <w:t>Content of EC proposal</w:t>
            </w:r>
          </w:p>
        </w:tc>
        <w:tc>
          <w:tcPr>
            <w:tcW w:w="4678" w:type="dxa"/>
            <w:vAlign w:val="center"/>
          </w:tcPr>
          <w:p w:rsidR="004460B1" w:rsidRPr="008653C6" w:rsidRDefault="004460B1" w:rsidP="000A477E">
            <w:pPr>
              <w:jc w:val="center"/>
              <w:rPr>
                <w:b/>
              </w:rPr>
            </w:pPr>
            <w:r>
              <w:rPr>
                <w:b/>
              </w:rPr>
              <w:t>Insurance Europe past position</w:t>
            </w:r>
          </w:p>
        </w:tc>
        <w:tc>
          <w:tcPr>
            <w:tcW w:w="2410" w:type="dxa"/>
            <w:vAlign w:val="center"/>
          </w:tcPr>
          <w:p w:rsidR="004460B1" w:rsidRPr="008653C6" w:rsidRDefault="004460B1" w:rsidP="000A477E">
            <w:pPr>
              <w:jc w:val="center"/>
              <w:rPr>
                <w:b/>
              </w:rPr>
            </w:pPr>
            <w:r>
              <w:rPr>
                <w:b/>
              </w:rPr>
              <w:t>Proposed approach</w:t>
            </w:r>
          </w:p>
        </w:tc>
        <w:tc>
          <w:tcPr>
            <w:tcW w:w="2268" w:type="dxa"/>
            <w:vAlign w:val="center"/>
          </w:tcPr>
          <w:p w:rsidR="004460B1" w:rsidRDefault="004460B1" w:rsidP="004460B1">
            <w:pPr>
              <w:jc w:val="center"/>
              <w:rPr>
                <w:b/>
              </w:rPr>
            </w:pPr>
            <w:r>
              <w:rPr>
                <w:b/>
              </w:rPr>
              <w:t>Member comments</w:t>
            </w:r>
          </w:p>
        </w:tc>
      </w:tr>
      <w:tr w:rsidR="004460B1" w:rsidRPr="008653C6" w:rsidTr="004460B1">
        <w:trPr>
          <w:trHeight w:val="454"/>
        </w:trPr>
        <w:tc>
          <w:tcPr>
            <w:tcW w:w="1668" w:type="dxa"/>
          </w:tcPr>
          <w:p w:rsidR="004460B1" w:rsidRPr="008653C6" w:rsidRDefault="004460B1">
            <w:r>
              <w:t>Scope</w:t>
            </w:r>
          </w:p>
          <w:p w:rsidR="004460B1" w:rsidRPr="008653C6" w:rsidRDefault="004460B1"/>
        </w:tc>
        <w:tc>
          <w:tcPr>
            <w:tcW w:w="1134" w:type="dxa"/>
          </w:tcPr>
          <w:p w:rsidR="004460B1" w:rsidRPr="008653C6" w:rsidRDefault="004460B1" w:rsidP="00F2483C">
            <w:pPr>
              <w:jc w:val="center"/>
            </w:pPr>
            <w:r w:rsidRPr="008653C6">
              <w:t xml:space="preserve">Article </w:t>
            </w:r>
            <w:r>
              <w:t>1</w:t>
            </w:r>
            <w:r w:rsidRPr="008653C6">
              <w:t>, IMD2</w:t>
            </w:r>
          </w:p>
        </w:tc>
        <w:tc>
          <w:tcPr>
            <w:tcW w:w="2409" w:type="dxa"/>
          </w:tcPr>
          <w:p w:rsidR="004460B1" w:rsidRDefault="004460B1" w:rsidP="009E1CDE">
            <w:pPr>
              <w:pStyle w:val="ListParagraph"/>
              <w:numPr>
                <w:ilvl w:val="0"/>
                <w:numId w:val="6"/>
              </w:numPr>
              <w:ind w:left="459" w:hanging="284"/>
            </w:pPr>
            <w:r>
              <w:t>Extension of scope to insurance undertakings, as well as professional management of claims and loss adjusting.</w:t>
            </w:r>
          </w:p>
          <w:p w:rsidR="004460B1" w:rsidRDefault="004460B1" w:rsidP="009E1CDE">
            <w:pPr>
              <w:pStyle w:val="ListParagraph"/>
              <w:numPr>
                <w:ilvl w:val="0"/>
                <w:numId w:val="6"/>
              </w:numPr>
              <w:ind w:left="459" w:hanging="284"/>
            </w:pPr>
            <w:r>
              <w:t>Exemptions from the scope remain generally the same as under IMD1. However, insurance policies sold ancillary to the sale of services are now under the scope (</w:t>
            </w:r>
            <w:proofErr w:type="spellStart"/>
            <w:r>
              <w:t>eg</w:t>
            </w:r>
            <w:proofErr w:type="spellEnd"/>
            <w:r>
              <w:t xml:space="preserve"> travel agents, car rental).</w:t>
            </w:r>
          </w:p>
          <w:p w:rsidR="004460B1" w:rsidRPr="008653C6" w:rsidRDefault="004460B1" w:rsidP="009E1CDE">
            <w:pPr>
              <w:ind w:left="175"/>
            </w:pPr>
          </w:p>
        </w:tc>
        <w:tc>
          <w:tcPr>
            <w:tcW w:w="4678" w:type="dxa"/>
          </w:tcPr>
          <w:p w:rsidR="004460B1" w:rsidRDefault="004460B1" w:rsidP="00172A84">
            <w:pPr>
              <w:pStyle w:val="ListParagraph"/>
              <w:numPr>
                <w:ilvl w:val="0"/>
                <w:numId w:val="6"/>
              </w:numPr>
              <w:ind w:left="459" w:hanging="284"/>
            </w:pPr>
            <w:r>
              <w:t>The current IMD concerns insurance mediation activities and has been designed for insurance intermediaries, not for direct sellers. If the EC wishes to extend the scope, it should be careful not to create further administrative or financial burden without providing any real advantage for consumers.</w:t>
            </w:r>
          </w:p>
          <w:p w:rsidR="004460B1" w:rsidRDefault="004460B1" w:rsidP="00172A84">
            <w:pPr>
              <w:pStyle w:val="ListParagraph"/>
              <w:numPr>
                <w:ilvl w:val="0"/>
                <w:numId w:val="6"/>
              </w:numPr>
              <w:ind w:left="459" w:hanging="284"/>
            </w:pPr>
            <w:r>
              <w:t>If the EC extends the current requirements in the IMD to direct sellers, a risk-based and proportionate approach should be taken. A level playing field is one where customers are no more at risk buying through one distribution channel than another. It is not about applying to all insurance distributors, the same legislative requirements.</w:t>
            </w:r>
          </w:p>
          <w:p w:rsidR="004460B1" w:rsidRDefault="004460B1" w:rsidP="00172A84">
            <w:pPr>
              <w:pStyle w:val="ListParagraph"/>
              <w:numPr>
                <w:ilvl w:val="0"/>
                <w:numId w:val="6"/>
              </w:numPr>
              <w:ind w:left="459" w:hanging="284"/>
            </w:pPr>
            <w:r w:rsidRPr="00172A84">
              <w:t xml:space="preserve">Where individuals or companies simply refer potential customers to an insurer, without carrying out intermediation activities, this is not considered to be insurance intermediation and </w:t>
            </w:r>
            <w:r>
              <w:t>s</w:t>
            </w:r>
            <w:r w:rsidRPr="00172A84">
              <w:t>hould be ex</w:t>
            </w:r>
            <w:r>
              <w:t>cluded from the scope</w:t>
            </w:r>
            <w:r w:rsidRPr="00172A84">
              <w:t>.</w:t>
            </w:r>
          </w:p>
          <w:p w:rsidR="004460B1" w:rsidRDefault="004460B1" w:rsidP="00172A84">
            <w:pPr>
              <w:pStyle w:val="ListParagraph"/>
              <w:numPr>
                <w:ilvl w:val="0"/>
                <w:numId w:val="6"/>
              </w:numPr>
              <w:ind w:left="459" w:hanging="284"/>
            </w:pPr>
            <w:r w:rsidRPr="00172A84">
              <w:t>Insurance undertakings can outsource some of their functions (</w:t>
            </w:r>
            <w:proofErr w:type="spellStart"/>
            <w:r w:rsidRPr="00172A84">
              <w:t>eg</w:t>
            </w:r>
            <w:proofErr w:type="spellEnd"/>
            <w:r w:rsidRPr="00172A84">
              <w:t xml:space="preserve"> premium collection, management of insurance claims, loss adjusting and claims appraisal) to third parties, such as intermediaries. Where outsourcing takes place, this is not considered to be insurance intermediation, and will be covered by the rules on outsourcing contained in Article 48 of the Solvency II Directive.</w:t>
            </w:r>
          </w:p>
          <w:p w:rsidR="004460B1" w:rsidRDefault="004460B1" w:rsidP="00E03552">
            <w:pPr>
              <w:pStyle w:val="ListParagraph"/>
              <w:numPr>
                <w:ilvl w:val="0"/>
                <w:numId w:val="6"/>
              </w:numPr>
              <w:ind w:left="459" w:hanging="284"/>
            </w:pPr>
            <w:r>
              <w:t>S</w:t>
            </w:r>
            <w:r w:rsidRPr="0095798A">
              <w:t xml:space="preserve">upport exemption </w:t>
            </w:r>
            <w:r>
              <w:t xml:space="preserve">for </w:t>
            </w:r>
            <w:r w:rsidRPr="0095798A">
              <w:t>where information is provided on an incidental basis in the context of another professional activity.</w:t>
            </w:r>
          </w:p>
          <w:p w:rsidR="004460B1" w:rsidRDefault="004460B1" w:rsidP="00E03552">
            <w:pPr>
              <w:pStyle w:val="ListParagraph"/>
              <w:numPr>
                <w:ilvl w:val="0"/>
                <w:numId w:val="6"/>
              </w:numPr>
              <w:ind w:left="459" w:hanging="284"/>
            </w:pPr>
            <w:r>
              <w:t>A</w:t>
            </w:r>
            <w:r w:rsidRPr="0095798A">
              <w:t xml:space="preserve">ny persons or organisations (such as trade unions or consumer organisations) should be under the </w:t>
            </w:r>
            <w:r>
              <w:t xml:space="preserve">scope </w:t>
            </w:r>
            <w:r w:rsidRPr="0095798A">
              <w:t xml:space="preserve">where they provide a ranking of insurance products or a discount on the price of a contract and </w:t>
            </w:r>
            <w:r>
              <w:t xml:space="preserve">the consumer </w:t>
            </w:r>
            <w:r w:rsidRPr="0095798A">
              <w:t>is able at the end of the process to conclude the insu</w:t>
            </w:r>
            <w:r>
              <w:t>rance contract directly.</w:t>
            </w:r>
          </w:p>
          <w:p w:rsidR="004460B1" w:rsidRDefault="004460B1" w:rsidP="009848A5">
            <w:pPr>
              <w:pStyle w:val="ListParagraph"/>
              <w:numPr>
                <w:ilvl w:val="0"/>
                <w:numId w:val="6"/>
              </w:numPr>
              <w:ind w:left="459" w:hanging="284"/>
            </w:pPr>
            <w:r w:rsidRPr="009848A5">
              <w:rPr>
                <w:u w:val="single"/>
              </w:rPr>
              <w:lastRenderedPageBreak/>
              <w:t>Activity-based definition:</w:t>
            </w:r>
            <w:r>
              <w:t xml:space="preserve"> Websites and persons providing information about a specific insurance contract should be viewed as intermediaries and included under the scope if the customer receives a recommendation to buy one or more contracts of insurance, for example through a ranking, and is able at the end of the process to conclude the insurance contract directly. However, if the information is not designed with the purpose of concluding an insurance contract, then the activity should be excluded from the scope.</w:t>
            </w:r>
          </w:p>
          <w:p w:rsidR="004460B1" w:rsidRDefault="004460B1" w:rsidP="00B6218B">
            <w:pPr>
              <w:pStyle w:val="ListParagraph"/>
              <w:numPr>
                <w:ilvl w:val="0"/>
                <w:numId w:val="6"/>
              </w:numPr>
              <w:ind w:left="459" w:hanging="284"/>
            </w:pPr>
            <w:r>
              <w:t>I</w:t>
            </w:r>
            <w:r w:rsidRPr="00B6218B">
              <w:t xml:space="preserve">f a certain activity, such as the sale of insurance products by car rental companies, meets the required conditions for an exemption, then it may be excluded from </w:t>
            </w:r>
            <w:r>
              <w:t>the scope</w:t>
            </w:r>
            <w:r w:rsidRPr="00B6218B">
              <w:t xml:space="preserve">. Conversely, if the activity does not meet the conditions for an exemption and comes under the activity-based definition, then it should be included under the </w:t>
            </w:r>
            <w:r>
              <w:t>scope</w:t>
            </w:r>
            <w:r w:rsidRPr="00B6218B">
              <w:t>.</w:t>
            </w:r>
          </w:p>
          <w:p w:rsidR="004460B1" w:rsidRPr="008653C6" w:rsidRDefault="004460B1" w:rsidP="00FE7583">
            <w:pPr>
              <w:ind w:left="175"/>
            </w:pPr>
          </w:p>
        </w:tc>
        <w:tc>
          <w:tcPr>
            <w:tcW w:w="2410" w:type="dxa"/>
            <w:vMerge w:val="restart"/>
          </w:tcPr>
          <w:p w:rsidR="004460B1" w:rsidRPr="008653C6" w:rsidRDefault="004460B1" w:rsidP="00DE22C7">
            <w:pPr>
              <w:pStyle w:val="ListParagraph"/>
              <w:numPr>
                <w:ilvl w:val="0"/>
                <w:numId w:val="6"/>
              </w:numPr>
              <w:ind w:left="459" w:hanging="284"/>
            </w:pPr>
            <w:r>
              <w:lastRenderedPageBreak/>
              <w:t>P</w:t>
            </w:r>
            <w:r w:rsidRPr="008B6D84">
              <w:t xml:space="preserve">articipants </w:t>
            </w:r>
            <w:r>
              <w:t xml:space="preserve">during the TF meeting on 24 July </w:t>
            </w:r>
            <w:r w:rsidRPr="00BD766B">
              <w:t>discussed the issue</w:t>
            </w:r>
            <w:r>
              <w:t>s</w:t>
            </w:r>
            <w:r w:rsidRPr="00BD766B">
              <w:t xml:space="preserve"> of </w:t>
            </w:r>
            <w:r>
              <w:t>the scope of IMD2 and the extension of professional requirements to direct sellers. I</w:t>
            </w:r>
            <w:r w:rsidRPr="00BD766B">
              <w:t xml:space="preserve">t was </w:t>
            </w:r>
            <w:r>
              <w:t>decided</w:t>
            </w:r>
            <w:r w:rsidRPr="00BD766B">
              <w:t xml:space="preserve"> that these issues would need to be discussed further during taskforce meetings</w:t>
            </w:r>
            <w:r>
              <w:t>, using the previous Insurance Europe position as a starting point</w:t>
            </w:r>
            <w:r w:rsidRPr="00BD766B">
              <w:t>.</w:t>
            </w:r>
          </w:p>
        </w:tc>
        <w:tc>
          <w:tcPr>
            <w:tcW w:w="2268" w:type="dxa"/>
          </w:tcPr>
          <w:p w:rsidR="004460B1" w:rsidRDefault="004460B1" w:rsidP="004460B1">
            <w:pPr>
              <w:ind w:left="175"/>
            </w:pPr>
          </w:p>
        </w:tc>
      </w:tr>
      <w:tr w:rsidR="004460B1" w:rsidRPr="008653C6" w:rsidTr="004460B1">
        <w:trPr>
          <w:trHeight w:val="454"/>
        </w:trPr>
        <w:tc>
          <w:tcPr>
            <w:tcW w:w="1668" w:type="dxa"/>
          </w:tcPr>
          <w:p w:rsidR="004460B1" w:rsidRPr="008653C6" w:rsidRDefault="004460B1" w:rsidP="001E6723">
            <w:r>
              <w:lastRenderedPageBreak/>
              <w:t>Extension of professional requirements to direct sellers</w:t>
            </w:r>
          </w:p>
          <w:p w:rsidR="004460B1" w:rsidRPr="008653C6" w:rsidRDefault="004460B1" w:rsidP="001E6723"/>
        </w:tc>
        <w:tc>
          <w:tcPr>
            <w:tcW w:w="1134" w:type="dxa"/>
          </w:tcPr>
          <w:p w:rsidR="004460B1" w:rsidRDefault="004460B1" w:rsidP="00F2483C">
            <w:pPr>
              <w:jc w:val="center"/>
            </w:pPr>
            <w:r w:rsidRPr="008653C6">
              <w:t xml:space="preserve">Article </w:t>
            </w:r>
            <w:r>
              <w:t>8</w:t>
            </w:r>
            <w:r w:rsidRPr="008653C6">
              <w:t>, IMD2</w:t>
            </w:r>
          </w:p>
          <w:p w:rsidR="004460B1" w:rsidRPr="008653C6" w:rsidRDefault="004460B1" w:rsidP="00F2483C">
            <w:pPr>
              <w:jc w:val="center"/>
            </w:pPr>
            <w:r>
              <w:t>Recital 25, IMD2</w:t>
            </w:r>
          </w:p>
        </w:tc>
        <w:tc>
          <w:tcPr>
            <w:tcW w:w="2409" w:type="dxa"/>
          </w:tcPr>
          <w:p w:rsidR="004460B1" w:rsidRDefault="004460B1" w:rsidP="00986017">
            <w:pPr>
              <w:pStyle w:val="ListParagraph"/>
              <w:numPr>
                <w:ilvl w:val="0"/>
                <w:numId w:val="5"/>
              </w:numPr>
              <w:ind w:left="459" w:hanging="284"/>
            </w:pPr>
            <w:r>
              <w:t>Professional requirements are extended to employees of insurance undertakings, including the requirement to have appropriate knowledge and ability, and the requirement to be of good repute.</w:t>
            </w:r>
          </w:p>
          <w:p w:rsidR="004460B1" w:rsidRDefault="004460B1" w:rsidP="00986017">
            <w:pPr>
              <w:pStyle w:val="ListParagraph"/>
              <w:numPr>
                <w:ilvl w:val="0"/>
                <w:numId w:val="5"/>
              </w:numPr>
              <w:ind w:left="459" w:hanging="284"/>
            </w:pPr>
            <w:r>
              <w:t xml:space="preserve">An obligation is introduced on Member States to ensure the update of knowledge and ability through continuing professional development in </w:t>
            </w:r>
            <w:r>
              <w:lastRenderedPageBreak/>
              <w:t>order to maintain an adequate level of performance.</w:t>
            </w:r>
          </w:p>
          <w:p w:rsidR="004460B1" w:rsidRPr="008653C6" w:rsidRDefault="004460B1" w:rsidP="00986017">
            <w:pPr>
              <w:pStyle w:val="ListParagraph"/>
              <w:numPr>
                <w:ilvl w:val="0"/>
                <w:numId w:val="5"/>
              </w:numPr>
              <w:ind w:left="459" w:hanging="284"/>
            </w:pPr>
            <w:r>
              <w:t>EC is empowered to adopt delegated acts to specify the notion of adequate knowledge and ability, appropriate criteria for determining the level of professional qualifications, experiences and skills required for carrying on insurance mediation, and the steps that might reasonably be expected to be taken to update knowledge and ability through continuing professional development.</w:t>
            </w:r>
          </w:p>
          <w:p w:rsidR="004460B1" w:rsidRPr="008653C6" w:rsidRDefault="004460B1" w:rsidP="00986017">
            <w:pPr>
              <w:pStyle w:val="ListParagraph"/>
              <w:numPr>
                <w:ilvl w:val="0"/>
                <w:numId w:val="5"/>
              </w:numPr>
              <w:ind w:left="459" w:hanging="284"/>
            </w:pPr>
            <w:r w:rsidRPr="008653C6">
              <w:t xml:space="preserve">No longer includes article on mutual recognition of qualifications, but recital 25 </w:t>
            </w:r>
            <w:r>
              <w:t xml:space="preserve">still </w:t>
            </w:r>
            <w:r w:rsidRPr="008653C6">
              <w:t>refers to European Qualification Framework.</w:t>
            </w:r>
          </w:p>
          <w:p w:rsidR="004460B1" w:rsidRPr="008653C6" w:rsidRDefault="004460B1" w:rsidP="00986017"/>
        </w:tc>
        <w:tc>
          <w:tcPr>
            <w:tcW w:w="4678" w:type="dxa"/>
          </w:tcPr>
          <w:p w:rsidR="004460B1" w:rsidRDefault="004460B1" w:rsidP="00CD770A">
            <w:pPr>
              <w:pStyle w:val="ListParagraph"/>
              <w:numPr>
                <w:ilvl w:val="0"/>
                <w:numId w:val="5"/>
              </w:numPr>
              <w:ind w:left="459" w:hanging="284"/>
            </w:pPr>
            <w:r w:rsidRPr="003E5950">
              <w:lastRenderedPageBreak/>
              <w:t>In contrast to intermediaries, employees are subject to the requirements of Solvency II</w:t>
            </w:r>
            <w:r>
              <w:t xml:space="preserve"> on</w:t>
            </w:r>
            <w:r w:rsidRPr="003E5950">
              <w:t xml:space="preserve"> good repute, knowledge and ability for direct s</w:t>
            </w:r>
            <w:r>
              <w:t>ellers</w:t>
            </w:r>
            <w:r w:rsidRPr="003E5950">
              <w:t>. It introduces new governance rules requiring undertakings to adopt a good governance policy and to introduce internal control systems to ensure that their employees meet high standards on good repute, knowledge and ability.</w:t>
            </w:r>
            <w:r>
              <w:t xml:space="preserve"> Compliance with these requirements is essential for obtaining authorisation to carry out insurance business. Therefore, additional provisions on direct sellers under IMD2 would mean an unnecessary duplication and complication of requirements, and lead to an increased administrative burden.</w:t>
            </w:r>
          </w:p>
          <w:p w:rsidR="004460B1" w:rsidRDefault="004460B1" w:rsidP="00CD770A">
            <w:pPr>
              <w:pStyle w:val="ListParagraph"/>
              <w:numPr>
                <w:ilvl w:val="0"/>
                <w:numId w:val="5"/>
              </w:numPr>
              <w:ind w:left="459" w:hanging="284"/>
            </w:pPr>
            <w:r>
              <w:t xml:space="preserve">Should any additional requirements with regard to good repute be introduced for insurance undertakings, they should be applied on a minimum harmonisation basis, so as to allow Member States to go further in their national markets, where appropriate. </w:t>
            </w:r>
            <w:r>
              <w:lastRenderedPageBreak/>
              <w:t>This approach would also ensure that such requirements are fully consistent with national labour law and data protection provisions.</w:t>
            </w:r>
          </w:p>
          <w:p w:rsidR="004460B1" w:rsidRDefault="004460B1" w:rsidP="00CD770A">
            <w:pPr>
              <w:pStyle w:val="ListParagraph"/>
              <w:numPr>
                <w:ilvl w:val="0"/>
                <w:numId w:val="5"/>
              </w:numPr>
              <w:ind w:left="459" w:hanging="284"/>
            </w:pPr>
            <w:r>
              <w:t>With regard to professional requirements, such requirements are met by insurance undertakings in a variety of different ways, such as under Solvency II and national labour law. Insurance companies are responsible for training their employees and they design their own training programmes. These programmes are an element of competition with other insurers and should not be standardised. This would be consistent with CEIOPS’ advice to the EC recommending that it should be the responsibility of the insurance undertaking to check the qualification of its employees, which would meet the need for a proportionate, risk-based approach and avoid creating an unnecessary administrative burden.</w:t>
            </w:r>
          </w:p>
          <w:p w:rsidR="004460B1" w:rsidRDefault="004460B1" w:rsidP="00964E5E">
            <w:pPr>
              <w:pStyle w:val="ListParagraph"/>
              <w:numPr>
                <w:ilvl w:val="0"/>
                <w:numId w:val="5"/>
              </w:numPr>
              <w:ind w:left="459" w:hanging="284"/>
            </w:pPr>
            <w:r w:rsidRPr="00431552">
              <w:rPr>
                <w:u w:val="single"/>
              </w:rPr>
              <w:t>Mutual recognition of qualifications</w:t>
            </w:r>
            <w:r>
              <w:t>: Since rules on mutual recognition concern access to regulated professions, there is no need to introduce these rules for direct selling.</w:t>
            </w:r>
          </w:p>
          <w:p w:rsidR="004460B1" w:rsidRPr="000F49C5" w:rsidRDefault="004460B1" w:rsidP="00964E5E">
            <w:pPr>
              <w:ind w:left="175"/>
            </w:pPr>
            <w:r>
              <w:t xml:space="preserve"> </w:t>
            </w:r>
          </w:p>
        </w:tc>
        <w:tc>
          <w:tcPr>
            <w:tcW w:w="2410" w:type="dxa"/>
            <w:vMerge/>
          </w:tcPr>
          <w:p w:rsidR="004460B1" w:rsidRPr="000F49C5" w:rsidRDefault="004460B1" w:rsidP="00735CF7">
            <w:pPr>
              <w:ind w:left="175"/>
            </w:pPr>
          </w:p>
        </w:tc>
        <w:tc>
          <w:tcPr>
            <w:tcW w:w="2268" w:type="dxa"/>
          </w:tcPr>
          <w:p w:rsidR="004460B1" w:rsidRPr="000F49C5" w:rsidRDefault="004460B1" w:rsidP="00735CF7">
            <w:pPr>
              <w:ind w:left="175"/>
            </w:pPr>
          </w:p>
        </w:tc>
      </w:tr>
    </w:tbl>
    <w:p w:rsidR="008D5EF2" w:rsidRPr="008653C6" w:rsidRDefault="008D5EF2" w:rsidP="000F49C5"/>
    <w:sectPr w:rsidR="008D5EF2" w:rsidRPr="008653C6" w:rsidSect="00BC438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C9" w:rsidRDefault="00C968C9" w:rsidP="00827F4D">
      <w:pPr>
        <w:spacing w:after="0" w:line="240" w:lineRule="auto"/>
      </w:pPr>
      <w:r>
        <w:separator/>
      </w:r>
    </w:p>
  </w:endnote>
  <w:endnote w:type="continuationSeparator" w:id="0">
    <w:p w:rsidR="00C968C9" w:rsidRDefault="00C968C9" w:rsidP="008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C9" w:rsidRDefault="00C968C9" w:rsidP="00827F4D">
      <w:pPr>
        <w:spacing w:after="0" w:line="240" w:lineRule="auto"/>
      </w:pPr>
      <w:r>
        <w:separator/>
      </w:r>
    </w:p>
  </w:footnote>
  <w:footnote w:type="continuationSeparator" w:id="0">
    <w:p w:rsidR="00C968C9" w:rsidRDefault="00C968C9" w:rsidP="0082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1" type="#_x0000_t75" style="width:7in;height:422.5pt" o:bullet="t">
        <v:imagedata r:id="rId1" o:title="clip_image001"/>
      </v:shape>
    </w:pict>
  </w:numPicBullet>
  <w:numPicBullet w:numPicBulletId="1">
    <w:pict>
      <v:shape id="_x0000_i1472" type="#_x0000_t75" style="width:7in;height:422.5pt" o:bullet="t">
        <v:imagedata r:id="rId2" o:title="clip_image002"/>
      </v:shape>
    </w:pict>
  </w:numPicBullet>
  <w:numPicBullet w:numPicBulletId="2">
    <w:pict>
      <v:shape id="_x0000_i1473" type="#_x0000_t75" style="width:7in;height:422.5pt" o:bullet="t">
        <v:imagedata r:id="rId3" o:title="clip_image003"/>
      </v:shape>
    </w:pict>
  </w:numPicBullet>
  <w:abstractNum w:abstractNumId="0">
    <w:nsid w:val="0F3A46E3"/>
    <w:multiLevelType w:val="hybridMultilevel"/>
    <w:tmpl w:val="735ABA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F0ABC"/>
    <w:multiLevelType w:val="hybridMultilevel"/>
    <w:tmpl w:val="1B865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6497E"/>
    <w:multiLevelType w:val="hybridMultilevel"/>
    <w:tmpl w:val="65E8D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DC3721"/>
    <w:multiLevelType w:val="hybridMultilevel"/>
    <w:tmpl w:val="DB6C4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B310266"/>
    <w:multiLevelType w:val="hybridMultilevel"/>
    <w:tmpl w:val="5400E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86"/>
    <w:rsid w:val="00013E42"/>
    <w:rsid w:val="00014523"/>
    <w:rsid w:val="00023B83"/>
    <w:rsid w:val="0003334E"/>
    <w:rsid w:val="00042027"/>
    <w:rsid w:val="00043E34"/>
    <w:rsid w:val="000522DB"/>
    <w:rsid w:val="000627A6"/>
    <w:rsid w:val="00063B2F"/>
    <w:rsid w:val="00081057"/>
    <w:rsid w:val="00090AF9"/>
    <w:rsid w:val="000A477E"/>
    <w:rsid w:val="000E3CE5"/>
    <w:rsid w:val="000F49C5"/>
    <w:rsid w:val="000F556E"/>
    <w:rsid w:val="00101C0C"/>
    <w:rsid w:val="00125C72"/>
    <w:rsid w:val="00127557"/>
    <w:rsid w:val="0013164E"/>
    <w:rsid w:val="00160CBA"/>
    <w:rsid w:val="00172A84"/>
    <w:rsid w:val="00174F45"/>
    <w:rsid w:val="00197907"/>
    <w:rsid w:val="001B3D59"/>
    <w:rsid w:val="001D02AA"/>
    <w:rsid w:val="001F2F9C"/>
    <w:rsid w:val="00205614"/>
    <w:rsid w:val="00210C12"/>
    <w:rsid w:val="00214B6E"/>
    <w:rsid w:val="0023186C"/>
    <w:rsid w:val="00276C74"/>
    <w:rsid w:val="002969BF"/>
    <w:rsid w:val="002B405A"/>
    <w:rsid w:val="002C5BCD"/>
    <w:rsid w:val="0030151A"/>
    <w:rsid w:val="00311E56"/>
    <w:rsid w:val="00314532"/>
    <w:rsid w:val="00323F45"/>
    <w:rsid w:val="00334318"/>
    <w:rsid w:val="003631D6"/>
    <w:rsid w:val="003663AE"/>
    <w:rsid w:val="00382184"/>
    <w:rsid w:val="00385843"/>
    <w:rsid w:val="003B556D"/>
    <w:rsid w:val="003C07E5"/>
    <w:rsid w:val="003D26F0"/>
    <w:rsid w:val="003E5950"/>
    <w:rsid w:val="003F308F"/>
    <w:rsid w:val="003F7052"/>
    <w:rsid w:val="00402BCF"/>
    <w:rsid w:val="00411E42"/>
    <w:rsid w:val="004127AA"/>
    <w:rsid w:val="00426B37"/>
    <w:rsid w:val="00431552"/>
    <w:rsid w:val="0043756C"/>
    <w:rsid w:val="004426C3"/>
    <w:rsid w:val="004460B1"/>
    <w:rsid w:val="00466EC7"/>
    <w:rsid w:val="004C249B"/>
    <w:rsid w:val="004C4033"/>
    <w:rsid w:val="004C474F"/>
    <w:rsid w:val="00510342"/>
    <w:rsid w:val="00510D68"/>
    <w:rsid w:val="005218C2"/>
    <w:rsid w:val="00536E8F"/>
    <w:rsid w:val="00541C99"/>
    <w:rsid w:val="0055113A"/>
    <w:rsid w:val="0055269D"/>
    <w:rsid w:val="005639FA"/>
    <w:rsid w:val="00574A4A"/>
    <w:rsid w:val="00580546"/>
    <w:rsid w:val="005A6D03"/>
    <w:rsid w:val="005B1499"/>
    <w:rsid w:val="005B5C43"/>
    <w:rsid w:val="005C376D"/>
    <w:rsid w:val="005E3F3C"/>
    <w:rsid w:val="00602486"/>
    <w:rsid w:val="006055A3"/>
    <w:rsid w:val="00612831"/>
    <w:rsid w:val="00614AA8"/>
    <w:rsid w:val="006365D7"/>
    <w:rsid w:val="0064680A"/>
    <w:rsid w:val="00651DAD"/>
    <w:rsid w:val="00655288"/>
    <w:rsid w:val="006574E8"/>
    <w:rsid w:val="00667D95"/>
    <w:rsid w:val="006926A0"/>
    <w:rsid w:val="006B2A72"/>
    <w:rsid w:val="006B5FDD"/>
    <w:rsid w:val="006C108F"/>
    <w:rsid w:val="006E1FBF"/>
    <w:rsid w:val="006E2FE4"/>
    <w:rsid w:val="006E3CEC"/>
    <w:rsid w:val="00712E80"/>
    <w:rsid w:val="0071744F"/>
    <w:rsid w:val="00727BFE"/>
    <w:rsid w:val="00735CF7"/>
    <w:rsid w:val="007452D1"/>
    <w:rsid w:val="0076411D"/>
    <w:rsid w:val="007841EA"/>
    <w:rsid w:val="007D36FD"/>
    <w:rsid w:val="007D7675"/>
    <w:rsid w:val="007E7392"/>
    <w:rsid w:val="007F3AA2"/>
    <w:rsid w:val="00806988"/>
    <w:rsid w:val="00810A1F"/>
    <w:rsid w:val="00827F4D"/>
    <w:rsid w:val="00854DCE"/>
    <w:rsid w:val="008653C6"/>
    <w:rsid w:val="00865790"/>
    <w:rsid w:val="00883145"/>
    <w:rsid w:val="00894AFB"/>
    <w:rsid w:val="008A6A87"/>
    <w:rsid w:val="008B2A55"/>
    <w:rsid w:val="008B6D84"/>
    <w:rsid w:val="008C1BB3"/>
    <w:rsid w:val="008D1FE7"/>
    <w:rsid w:val="008D5EF2"/>
    <w:rsid w:val="008F2DC4"/>
    <w:rsid w:val="009006A5"/>
    <w:rsid w:val="00921418"/>
    <w:rsid w:val="0095798A"/>
    <w:rsid w:val="009601D6"/>
    <w:rsid w:val="00964E5E"/>
    <w:rsid w:val="009848A5"/>
    <w:rsid w:val="00986017"/>
    <w:rsid w:val="009D54DD"/>
    <w:rsid w:val="009E1CDE"/>
    <w:rsid w:val="00A265F7"/>
    <w:rsid w:val="00A30662"/>
    <w:rsid w:val="00A52558"/>
    <w:rsid w:val="00A62282"/>
    <w:rsid w:val="00A8111F"/>
    <w:rsid w:val="00A81937"/>
    <w:rsid w:val="00AA57A8"/>
    <w:rsid w:val="00AA780A"/>
    <w:rsid w:val="00AC11C3"/>
    <w:rsid w:val="00AC1994"/>
    <w:rsid w:val="00AC5A58"/>
    <w:rsid w:val="00AF159C"/>
    <w:rsid w:val="00B041FE"/>
    <w:rsid w:val="00B12E18"/>
    <w:rsid w:val="00B16119"/>
    <w:rsid w:val="00B339D4"/>
    <w:rsid w:val="00B34366"/>
    <w:rsid w:val="00B41B55"/>
    <w:rsid w:val="00B577AF"/>
    <w:rsid w:val="00B6218B"/>
    <w:rsid w:val="00B72762"/>
    <w:rsid w:val="00B740F9"/>
    <w:rsid w:val="00B87A6F"/>
    <w:rsid w:val="00B90B5E"/>
    <w:rsid w:val="00B92DA7"/>
    <w:rsid w:val="00BA4A78"/>
    <w:rsid w:val="00BB1253"/>
    <w:rsid w:val="00BC1F34"/>
    <w:rsid w:val="00BC4386"/>
    <w:rsid w:val="00BD3A79"/>
    <w:rsid w:val="00BD3E27"/>
    <w:rsid w:val="00BD766B"/>
    <w:rsid w:val="00BE16EF"/>
    <w:rsid w:val="00BE181C"/>
    <w:rsid w:val="00BF5A00"/>
    <w:rsid w:val="00C06FDB"/>
    <w:rsid w:val="00C1109F"/>
    <w:rsid w:val="00C34808"/>
    <w:rsid w:val="00C35E91"/>
    <w:rsid w:val="00C46BF5"/>
    <w:rsid w:val="00C83A21"/>
    <w:rsid w:val="00C92BA9"/>
    <w:rsid w:val="00C968C9"/>
    <w:rsid w:val="00CA0E44"/>
    <w:rsid w:val="00CA720A"/>
    <w:rsid w:val="00CA7615"/>
    <w:rsid w:val="00CA7BD9"/>
    <w:rsid w:val="00CC70F9"/>
    <w:rsid w:val="00CD770A"/>
    <w:rsid w:val="00D06E05"/>
    <w:rsid w:val="00D073F7"/>
    <w:rsid w:val="00D16BD4"/>
    <w:rsid w:val="00D40E48"/>
    <w:rsid w:val="00D45F26"/>
    <w:rsid w:val="00D5363D"/>
    <w:rsid w:val="00D66C6A"/>
    <w:rsid w:val="00DB5D0C"/>
    <w:rsid w:val="00DB690E"/>
    <w:rsid w:val="00DC0C9A"/>
    <w:rsid w:val="00DC10D1"/>
    <w:rsid w:val="00DE22C7"/>
    <w:rsid w:val="00E03552"/>
    <w:rsid w:val="00E04670"/>
    <w:rsid w:val="00E1369C"/>
    <w:rsid w:val="00E80C84"/>
    <w:rsid w:val="00E81FF2"/>
    <w:rsid w:val="00EB64A9"/>
    <w:rsid w:val="00EC074E"/>
    <w:rsid w:val="00EC596B"/>
    <w:rsid w:val="00EC623E"/>
    <w:rsid w:val="00EC76D8"/>
    <w:rsid w:val="00EE792E"/>
    <w:rsid w:val="00F11165"/>
    <w:rsid w:val="00F20A6F"/>
    <w:rsid w:val="00F2483C"/>
    <w:rsid w:val="00F457D5"/>
    <w:rsid w:val="00F64295"/>
    <w:rsid w:val="00FD3894"/>
    <w:rsid w:val="00FD7B01"/>
    <w:rsid w:val="00FE7583"/>
    <w:rsid w:val="00FF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9478">
      <w:bodyDiv w:val="1"/>
      <w:marLeft w:val="0"/>
      <w:marRight w:val="0"/>
      <w:marTop w:val="0"/>
      <w:marBottom w:val="0"/>
      <w:divBdr>
        <w:top w:val="none" w:sz="0" w:space="0" w:color="auto"/>
        <w:left w:val="none" w:sz="0" w:space="0" w:color="auto"/>
        <w:bottom w:val="none" w:sz="0" w:space="0" w:color="auto"/>
        <w:right w:val="none" w:sz="0" w:space="0" w:color="auto"/>
      </w:divBdr>
    </w:div>
    <w:div w:id="255749161">
      <w:bodyDiv w:val="1"/>
      <w:marLeft w:val="0"/>
      <w:marRight w:val="0"/>
      <w:marTop w:val="0"/>
      <w:marBottom w:val="0"/>
      <w:divBdr>
        <w:top w:val="none" w:sz="0" w:space="0" w:color="auto"/>
        <w:left w:val="none" w:sz="0" w:space="0" w:color="auto"/>
        <w:bottom w:val="none" w:sz="0" w:space="0" w:color="auto"/>
        <w:right w:val="none" w:sz="0" w:space="0" w:color="auto"/>
      </w:divBdr>
    </w:div>
    <w:div w:id="398674285">
      <w:bodyDiv w:val="1"/>
      <w:marLeft w:val="0"/>
      <w:marRight w:val="0"/>
      <w:marTop w:val="0"/>
      <w:marBottom w:val="0"/>
      <w:divBdr>
        <w:top w:val="none" w:sz="0" w:space="0" w:color="auto"/>
        <w:left w:val="none" w:sz="0" w:space="0" w:color="auto"/>
        <w:bottom w:val="none" w:sz="0" w:space="0" w:color="auto"/>
        <w:right w:val="none" w:sz="0" w:space="0" w:color="auto"/>
      </w:divBdr>
    </w:div>
    <w:div w:id="1324317767">
      <w:bodyDiv w:val="1"/>
      <w:marLeft w:val="0"/>
      <w:marRight w:val="0"/>
      <w:marTop w:val="0"/>
      <w:marBottom w:val="0"/>
      <w:divBdr>
        <w:top w:val="none" w:sz="0" w:space="0" w:color="auto"/>
        <w:left w:val="none" w:sz="0" w:space="0" w:color="auto"/>
        <w:bottom w:val="none" w:sz="0" w:space="0" w:color="auto"/>
        <w:right w:val="none" w:sz="0" w:space="0" w:color="auto"/>
      </w:divBdr>
    </w:div>
    <w:div w:id="1779181789">
      <w:bodyDiv w:val="1"/>
      <w:marLeft w:val="0"/>
      <w:marRight w:val="0"/>
      <w:marTop w:val="0"/>
      <w:marBottom w:val="0"/>
      <w:divBdr>
        <w:top w:val="none" w:sz="0" w:space="0" w:color="auto"/>
        <w:left w:val="none" w:sz="0" w:space="0" w:color="auto"/>
        <w:bottom w:val="none" w:sz="0" w:space="0" w:color="auto"/>
        <w:right w:val="none" w:sz="0" w:space="0" w:color="auto"/>
      </w:divBdr>
    </w:div>
    <w:div w:id="20072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CB5A2-181A-4E73-8F18-8D8503B1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795</Words>
  <Characters>5501</Characters>
  <Application>Microsoft Office Word</Application>
  <DocSecurity>0</DocSecurity>
  <Lines>1375</Lines>
  <Paragraphs>629</Paragraphs>
  <ScaleCrop>false</ScaleCrop>
  <HeadingPairs>
    <vt:vector size="2" baseType="variant">
      <vt:variant>
        <vt:lpstr>Title</vt:lpstr>
      </vt:variant>
      <vt:variant>
        <vt:i4>1</vt:i4>
      </vt:variant>
    </vt:vector>
  </HeadingPairs>
  <TitlesOfParts>
    <vt:vector size="1" baseType="lpstr">
      <vt:lpstr/>
    </vt:vector>
  </TitlesOfParts>
  <Company>Insurance Europe</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Hilliard</dc:creator>
  <cp:lastModifiedBy>Arthur Hilliard</cp:lastModifiedBy>
  <cp:revision>13</cp:revision>
  <cp:lastPrinted>2012-07-27T07:57:00Z</cp:lastPrinted>
  <dcterms:created xsi:type="dcterms:W3CDTF">2012-08-03T12:42:00Z</dcterms:created>
  <dcterms:modified xsi:type="dcterms:W3CDTF">2012-08-13T12:08:00Z</dcterms:modified>
</cp:coreProperties>
</file>