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9C" w:rsidRPr="008653C6" w:rsidRDefault="00C1109F">
      <w:pPr>
        <w:rPr>
          <w:b/>
        </w:rPr>
      </w:pPr>
      <w:r>
        <w:rPr>
          <w:b/>
        </w:rPr>
        <w:t>11</w:t>
      </w:r>
      <w:r w:rsidR="00C34808">
        <w:rPr>
          <w:b/>
        </w:rPr>
        <w:t xml:space="preserve"> September </w:t>
      </w:r>
      <w:r w:rsidR="004C474F">
        <w:rPr>
          <w:b/>
        </w:rPr>
        <w:t>Distribution TF</w:t>
      </w:r>
      <w:r w:rsidR="007D7675">
        <w:rPr>
          <w:b/>
        </w:rPr>
        <w:t xml:space="preserve"> meeting</w:t>
      </w:r>
      <w:r w:rsidR="00BC4386" w:rsidRPr="008653C6">
        <w:rPr>
          <w:b/>
        </w:rPr>
        <w:t xml:space="preserve"> – </w:t>
      </w:r>
      <w:r>
        <w:rPr>
          <w:b/>
        </w:rPr>
        <w:t>Advice</w:t>
      </w:r>
      <w:r w:rsidR="00C46BF5">
        <w:rPr>
          <w:b/>
        </w:rPr>
        <w:t>, execution-only, cumulative rules</w:t>
      </w:r>
      <w:r w:rsidR="00CA5E37">
        <w:rPr>
          <w:b/>
        </w:rPr>
        <w:t xml:space="preserve"> for insurance PRIPs</w:t>
      </w:r>
      <w:r w:rsidR="001D02AA" w:rsidRPr="008653C6">
        <w:rPr>
          <w:b/>
        </w:rPr>
        <w:tab/>
      </w:r>
      <w:r w:rsidR="001D02AA" w:rsidRPr="008653C6">
        <w:rPr>
          <w:b/>
        </w:rPr>
        <w:tab/>
      </w:r>
      <w:r w:rsidR="001D02AA" w:rsidRPr="008653C6">
        <w:rPr>
          <w:b/>
        </w:rPr>
        <w:tab/>
      </w:r>
      <w:r w:rsidR="001D02AA" w:rsidRPr="008653C6">
        <w:rPr>
          <w:b/>
        </w:rPr>
        <w:tab/>
      </w:r>
      <w:r w:rsidR="001D02AA" w:rsidRPr="008653C6">
        <w:rPr>
          <w:b/>
          <w:color w:val="FF0000"/>
        </w:rPr>
        <w:t>[</w:t>
      </w:r>
      <w:r w:rsidR="00924404">
        <w:rPr>
          <w:b/>
          <w:color w:val="FF0000"/>
        </w:rPr>
        <w:t>13</w:t>
      </w:r>
      <w:bookmarkStart w:id="0" w:name="_GoBack"/>
      <w:bookmarkEnd w:id="0"/>
      <w:r w:rsidR="001D02AA" w:rsidRPr="008653C6">
        <w:rPr>
          <w:b/>
          <w:color w:val="FF0000"/>
        </w:rPr>
        <w:t xml:space="preserve"> </w:t>
      </w:r>
      <w:r w:rsidR="00C34808">
        <w:rPr>
          <w:b/>
          <w:color w:val="FF0000"/>
        </w:rPr>
        <w:t>August</w:t>
      </w:r>
      <w:r w:rsidR="001D02AA" w:rsidRPr="008653C6">
        <w:rPr>
          <w:b/>
          <w:color w:val="FF0000"/>
        </w:rPr>
        <w:t xml:space="preserve"> 2012]</w:t>
      </w:r>
    </w:p>
    <w:tbl>
      <w:tblPr>
        <w:tblStyle w:val="TableGrid"/>
        <w:tblW w:w="14174" w:type="dxa"/>
        <w:tblLook w:val="04A0" w:firstRow="1" w:lastRow="0" w:firstColumn="1" w:lastColumn="0" w:noHBand="0" w:noVBand="1"/>
      </w:tblPr>
      <w:tblGrid>
        <w:gridCol w:w="1809"/>
        <w:gridCol w:w="1134"/>
        <w:gridCol w:w="2694"/>
        <w:gridCol w:w="3685"/>
        <w:gridCol w:w="2410"/>
        <w:gridCol w:w="2442"/>
      </w:tblGrid>
      <w:tr w:rsidR="00457E2F" w:rsidRPr="008653C6" w:rsidTr="00293654">
        <w:trPr>
          <w:trHeight w:val="454"/>
        </w:trPr>
        <w:tc>
          <w:tcPr>
            <w:tcW w:w="1809" w:type="dxa"/>
            <w:vAlign w:val="center"/>
          </w:tcPr>
          <w:p w:rsidR="00457E2F" w:rsidRPr="008653C6" w:rsidRDefault="00457E2F" w:rsidP="000A477E">
            <w:pPr>
              <w:jc w:val="center"/>
              <w:rPr>
                <w:b/>
              </w:rPr>
            </w:pPr>
            <w:r w:rsidRPr="008653C6">
              <w:rPr>
                <w:b/>
              </w:rPr>
              <w:t>Issue/Concern</w:t>
            </w:r>
          </w:p>
        </w:tc>
        <w:tc>
          <w:tcPr>
            <w:tcW w:w="1134" w:type="dxa"/>
            <w:vAlign w:val="center"/>
          </w:tcPr>
          <w:p w:rsidR="00457E2F" w:rsidRPr="008653C6" w:rsidRDefault="00457E2F" w:rsidP="000A477E">
            <w:pPr>
              <w:jc w:val="center"/>
              <w:rPr>
                <w:b/>
              </w:rPr>
            </w:pPr>
            <w:r w:rsidRPr="008653C6">
              <w:rPr>
                <w:b/>
              </w:rPr>
              <w:t>Relevant Article(s)</w:t>
            </w:r>
          </w:p>
        </w:tc>
        <w:tc>
          <w:tcPr>
            <w:tcW w:w="2694" w:type="dxa"/>
            <w:vAlign w:val="center"/>
          </w:tcPr>
          <w:p w:rsidR="00457E2F" w:rsidRPr="008653C6" w:rsidRDefault="00457E2F" w:rsidP="000A477E">
            <w:pPr>
              <w:jc w:val="center"/>
              <w:rPr>
                <w:b/>
              </w:rPr>
            </w:pPr>
            <w:r>
              <w:rPr>
                <w:b/>
              </w:rPr>
              <w:t>Content of EC proposal</w:t>
            </w:r>
          </w:p>
        </w:tc>
        <w:tc>
          <w:tcPr>
            <w:tcW w:w="3685" w:type="dxa"/>
            <w:vAlign w:val="center"/>
          </w:tcPr>
          <w:p w:rsidR="00457E2F" w:rsidRPr="008653C6" w:rsidRDefault="00457E2F" w:rsidP="000A477E">
            <w:pPr>
              <w:jc w:val="center"/>
              <w:rPr>
                <w:b/>
              </w:rPr>
            </w:pPr>
            <w:r>
              <w:rPr>
                <w:b/>
              </w:rPr>
              <w:t>Insurance Europe past position</w:t>
            </w:r>
          </w:p>
        </w:tc>
        <w:tc>
          <w:tcPr>
            <w:tcW w:w="2410" w:type="dxa"/>
            <w:vAlign w:val="center"/>
          </w:tcPr>
          <w:p w:rsidR="00457E2F" w:rsidRPr="008653C6" w:rsidRDefault="00457E2F" w:rsidP="000A477E">
            <w:pPr>
              <w:jc w:val="center"/>
              <w:rPr>
                <w:b/>
              </w:rPr>
            </w:pPr>
            <w:r>
              <w:rPr>
                <w:b/>
              </w:rPr>
              <w:t>Proposed approach</w:t>
            </w:r>
          </w:p>
        </w:tc>
        <w:tc>
          <w:tcPr>
            <w:tcW w:w="2442" w:type="dxa"/>
            <w:vAlign w:val="center"/>
          </w:tcPr>
          <w:p w:rsidR="00457E2F" w:rsidRDefault="00457E2F" w:rsidP="00457E2F">
            <w:pPr>
              <w:jc w:val="center"/>
              <w:rPr>
                <w:b/>
              </w:rPr>
            </w:pPr>
            <w:r>
              <w:rPr>
                <w:b/>
              </w:rPr>
              <w:t>Member comments</w:t>
            </w:r>
          </w:p>
        </w:tc>
      </w:tr>
      <w:tr w:rsidR="00457E2F" w:rsidRPr="008653C6" w:rsidTr="00293654">
        <w:trPr>
          <w:trHeight w:val="454"/>
        </w:trPr>
        <w:tc>
          <w:tcPr>
            <w:tcW w:w="1809" w:type="dxa"/>
          </w:tcPr>
          <w:p w:rsidR="00457E2F" w:rsidRPr="008653C6" w:rsidRDefault="00457E2F">
            <w:r>
              <w:t>Definition of advice</w:t>
            </w:r>
          </w:p>
          <w:p w:rsidR="00457E2F" w:rsidRPr="008653C6" w:rsidRDefault="00457E2F"/>
        </w:tc>
        <w:tc>
          <w:tcPr>
            <w:tcW w:w="1134" w:type="dxa"/>
          </w:tcPr>
          <w:p w:rsidR="00457E2F" w:rsidRPr="008653C6" w:rsidRDefault="00457E2F" w:rsidP="00C1109F">
            <w:pPr>
              <w:jc w:val="center"/>
            </w:pPr>
            <w:r w:rsidRPr="008653C6">
              <w:t xml:space="preserve">Article </w:t>
            </w:r>
            <w:r>
              <w:t>2</w:t>
            </w:r>
            <w:r w:rsidRPr="008653C6">
              <w:t>(</w:t>
            </w:r>
            <w:r>
              <w:t>9</w:t>
            </w:r>
            <w:r w:rsidRPr="008653C6">
              <w:t>), IMD2</w:t>
            </w:r>
          </w:p>
        </w:tc>
        <w:tc>
          <w:tcPr>
            <w:tcW w:w="2694" w:type="dxa"/>
          </w:tcPr>
          <w:p w:rsidR="00457E2F" w:rsidRPr="00C1109F" w:rsidRDefault="00457E2F" w:rsidP="00C1109F">
            <w:pPr>
              <w:pStyle w:val="ListParagraph"/>
              <w:numPr>
                <w:ilvl w:val="0"/>
                <w:numId w:val="5"/>
              </w:numPr>
              <w:ind w:left="459" w:hanging="284"/>
            </w:pPr>
            <w:r>
              <w:t>A</w:t>
            </w:r>
            <w:r w:rsidRPr="00C1109F">
              <w:t xml:space="preserve">dvice is defined as the provision of a recommendation to a customer either upon their request or at the initiative of the insurance undertaking or intermediary. </w:t>
            </w:r>
          </w:p>
          <w:p w:rsidR="00457E2F" w:rsidRPr="00C1109F" w:rsidRDefault="00457E2F" w:rsidP="00C1109F">
            <w:pPr>
              <w:pStyle w:val="ListParagraph"/>
              <w:numPr>
                <w:ilvl w:val="0"/>
                <w:numId w:val="5"/>
              </w:numPr>
              <w:ind w:left="459" w:hanging="284"/>
            </w:pPr>
            <w:r w:rsidRPr="00C1109F">
              <w:t xml:space="preserve">No longer required to be “personal” recommendation. </w:t>
            </w:r>
          </w:p>
          <w:p w:rsidR="00457E2F" w:rsidRPr="008653C6" w:rsidRDefault="00457E2F" w:rsidP="00C1109F"/>
        </w:tc>
        <w:tc>
          <w:tcPr>
            <w:tcW w:w="3685" w:type="dxa"/>
          </w:tcPr>
          <w:p w:rsidR="00457E2F" w:rsidRDefault="00457E2F" w:rsidP="00AC5A58">
            <w:pPr>
              <w:pStyle w:val="ListParagraph"/>
              <w:numPr>
                <w:ilvl w:val="0"/>
                <w:numId w:val="5"/>
              </w:numPr>
              <w:ind w:left="459" w:hanging="284"/>
            </w:pPr>
            <w:r>
              <w:t>I</w:t>
            </w:r>
            <w:r w:rsidRPr="00AC5A58">
              <w:t xml:space="preserve">f a definition of advice is introduced, it is crucial that it reflects the nature of insurance. A distinction should be made </w:t>
            </w:r>
            <w:r>
              <w:t>between</w:t>
            </w:r>
            <w:r w:rsidRPr="00AC5A58">
              <w:t xml:space="preserve"> the different kinds of advice that the intermediary could provide taking into account the different nature of the relationship they may have with the </w:t>
            </w:r>
            <w:r>
              <w:t>company and the policyholder.</w:t>
            </w:r>
          </w:p>
          <w:p w:rsidR="00457E2F" w:rsidRDefault="00457E2F" w:rsidP="00AC5A58">
            <w:pPr>
              <w:pStyle w:val="ListParagraph"/>
              <w:numPr>
                <w:ilvl w:val="0"/>
                <w:numId w:val="5"/>
              </w:numPr>
              <w:ind w:left="459" w:hanging="284"/>
            </w:pPr>
            <w:r>
              <w:t xml:space="preserve">Insurance Europe </w:t>
            </w:r>
            <w:r w:rsidRPr="00AC5A58">
              <w:t>propose</w:t>
            </w:r>
            <w:r>
              <w:t>d</w:t>
            </w:r>
            <w:r w:rsidRPr="00AC5A58">
              <w:t xml:space="preserve"> to define </w:t>
            </w:r>
            <w:r>
              <w:t>‘</w:t>
            </w:r>
            <w:r w:rsidRPr="00AC5A58">
              <w:t>insurance advice</w:t>
            </w:r>
            <w:r>
              <w:t>’</w:t>
            </w:r>
            <w:r w:rsidRPr="00AC5A58">
              <w:t xml:space="preserve"> as meaning that the distributor, on the basis of the information provided by the customer, provides guidance on whether an insurance product(s) fits the demands and the needs of that customer, and specifies these demands and needs as well as the underlying reasons for any such advice. These details should be modulated according to the complexity of the insurance product being proposed and the level of risk to the customer.</w:t>
            </w:r>
          </w:p>
          <w:p w:rsidR="00457E2F" w:rsidRDefault="00457E2F" w:rsidP="00AC5A58">
            <w:pPr>
              <w:pStyle w:val="ListParagraph"/>
              <w:numPr>
                <w:ilvl w:val="0"/>
                <w:numId w:val="5"/>
              </w:numPr>
              <w:ind w:left="459" w:hanging="284"/>
            </w:pPr>
            <w:r>
              <w:t>‘F</w:t>
            </w:r>
            <w:r w:rsidRPr="00AC5A58">
              <w:t>air analysis advice</w:t>
            </w:r>
            <w:r>
              <w:t>’</w:t>
            </w:r>
            <w:r w:rsidRPr="00AC5A58">
              <w:t xml:space="preserve"> is carried out when the insurance intermediary has informed the customer that he gives his advice on the basis of an analysis of a sufficiently large number of insurance contracts available on the market, to enable him to make a recommendation, in accordance with professional criteria, regarding which insurance contract would meet the customer's needs.</w:t>
            </w:r>
          </w:p>
          <w:p w:rsidR="00457E2F" w:rsidRDefault="00457E2F" w:rsidP="00042027">
            <w:pPr>
              <w:pStyle w:val="ListParagraph"/>
              <w:numPr>
                <w:ilvl w:val="0"/>
                <w:numId w:val="5"/>
              </w:numPr>
              <w:ind w:left="459" w:hanging="284"/>
            </w:pPr>
            <w:r>
              <w:t>‘</w:t>
            </w:r>
            <w:r w:rsidRPr="00AC5A58">
              <w:t>Non-advised sales</w:t>
            </w:r>
            <w:r>
              <w:t>’</w:t>
            </w:r>
            <w:r w:rsidRPr="00AC5A58">
              <w:t xml:space="preserve"> occur where </w:t>
            </w:r>
            <w:r w:rsidRPr="00AC5A58">
              <w:lastRenderedPageBreak/>
              <w:t xml:space="preserve">no insurance advice is provided to the customer. </w:t>
            </w:r>
            <w:r>
              <w:t>I</w:t>
            </w:r>
            <w:r w:rsidRPr="00AC5A58">
              <w:t>t is important to ensure that the non-advised sale of insurance products in certain situations remains possible, such as when requested by the customer or where there</w:t>
            </w:r>
            <w:r>
              <w:t xml:space="preserve"> is a low risk to the customer.</w:t>
            </w:r>
          </w:p>
          <w:p w:rsidR="00457E2F" w:rsidRPr="008653C6" w:rsidRDefault="00457E2F" w:rsidP="00197907"/>
        </w:tc>
        <w:tc>
          <w:tcPr>
            <w:tcW w:w="2410" w:type="dxa"/>
            <w:vMerge w:val="restart"/>
          </w:tcPr>
          <w:p w:rsidR="00457E2F" w:rsidRPr="008653C6" w:rsidRDefault="00457E2F" w:rsidP="0071744F">
            <w:pPr>
              <w:pStyle w:val="ListParagraph"/>
              <w:numPr>
                <w:ilvl w:val="0"/>
                <w:numId w:val="5"/>
              </w:numPr>
              <w:ind w:left="459" w:hanging="284"/>
            </w:pPr>
            <w:r>
              <w:lastRenderedPageBreak/>
              <w:t>P</w:t>
            </w:r>
            <w:r w:rsidRPr="008B6D84">
              <w:t xml:space="preserve">articipants </w:t>
            </w:r>
            <w:r>
              <w:t xml:space="preserve">during the TF meeting on 24 July </w:t>
            </w:r>
            <w:r w:rsidRPr="00BD766B">
              <w:t>discussed the issue</w:t>
            </w:r>
            <w:r>
              <w:t>s</w:t>
            </w:r>
            <w:r w:rsidRPr="00BD766B">
              <w:t xml:space="preserve"> of advice, the proposed ban on execution only sales of insurance PRIPs, the cumulative conduct of business rules for insurance PRIPs, </w:t>
            </w:r>
            <w:r>
              <w:t xml:space="preserve">and </w:t>
            </w:r>
            <w:r w:rsidRPr="00BD766B">
              <w:t>the continuous reporting obligation for insurance PRIPs</w:t>
            </w:r>
            <w:r>
              <w:t>. I</w:t>
            </w:r>
            <w:r w:rsidRPr="00BD766B">
              <w:t xml:space="preserve">t was </w:t>
            </w:r>
            <w:r>
              <w:t>decided</w:t>
            </w:r>
            <w:r w:rsidRPr="00BD766B">
              <w:t xml:space="preserve"> that these issues would need to be discussed further during taskforce meetings</w:t>
            </w:r>
            <w:r>
              <w:t>, using the previous Insurance Europe position as a starting point</w:t>
            </w:r>
            <w:r w:rsidRPr="00BD766B">
              <w:t>.</w:t>
            </w:r>
          </w:p>
        </w:tc>
        <w:tc>
          <w:tcPr>
            <w:tcW w:w="2442" w:type="dxa"/>
          </w:tcPr>
          <w:p w:rsidR="00457E2F" w:rsidRDefault="00457E2F" w:rsidP="00293654"/>
        </w:tc>
      </w:tr>
      <w:tr w:rsidR="00457E2F" w:rsidRPr="008653C6" w:rsidTr="00293654">
        <w:trPr>
          <w:trHeight w:val="454"/>
        </w:trPr>
        <w:tc>
          <w:tcPr>
            <w:tcW w:w="1809" w:type="dxa"/>
          </w:tcPr>
          <w:p w:rsidR="00457E2F" w:rsidRPr="008653C6" w:rsidRDefault="00457E2F" w:rsidP="001E6723">
            <w:r w:rsidRPr="008653C6">
              <w:lastRenderedPageBreak/>
              <w:t>Ban on execution only sales of insurance PRIPs</w:t>
            </w:r>
          </w:p>
          <w:p w:rsidR="00457E2F" w:rsidRPr="008653C6" w:rsidRDefault="00457E2F" w:rsidP="001E6723"/>
        </w:tc>
        <w:tc>
          <w:tcPr>
            <w:tcW w:w="1134" w:type="dxa"/>
          </w:tcPr>
          <w:p w:rsidR="00457E2F" w:rsidRPr="008653C6" w:rsidRDefault="00457E2F" w:rsidP="001E6723">
            <w:pPr>
              <w:jc w:val="center"/>
            </w:pPr>
            <w:r w:rsidRPr="008653C6">
              <w:t>Article 25(2), IMD2</w:t>
            </w:r>
          </w:p>
        </w:tc>
        <w:tc>
          <w:tcPr>
            <w:tcW w:w="2694" w:type="dxa"/>
          </w:tcPr>
          <w:p w:rsidR="00457E2F" w:rsidRPr="008653C6" w:rsidRDefault="00457E2F" w:rsidP="001E6723">
            <w:pPr>
              <w:pStyle w:val="ListParagraph"/>
              <w:numPr>
                <w:ilvl w:val="0"/>
                <w:numId w:val="6"/>
              </w:numPr>
              <w:ind w:left="459" w:hanging="284"/>
            </w:pPr>
            <w:r w:rsidRPr="008653C6">
              <w:t>Requires suitability test for advised sales and appropriateness test for non-advised sales. No provision for execution only sales.</w:t>
            </w:r>
          </w:p>
          <w:p w:rsidR="00457E2F" w:rsidRPr="008653C6" w:rsidRDefault="00457E2F" w:rsidP="001E6723">
            <w:pPr>
              <w:pStyle w:val="ListParagraph"/>
              <w:numPr>
                <w:ilvl w:val="0"/>
                <w:numId w:val="6"/>
              </w:numPr>
              <w:ind w:left="459" w:hanging="284"/>
            </w:pPr>
            <w:r>
              <w:t>Creates un-</w:t>
            </w:r>
            <w:r w:rsidRPr="008653C6">
              <w:t>level playing field between insurance and non-insurance PRIPs.</w:t>
            </w:r>
          </w:p>
          <w:p w:rsidR="00457E2F" w:rsidRPr="008653C6" w:rsidRDefault="00457E2F" w:rsidP="001E6723"/>
        </w:tc>
        <w:tc>
          <w:tcPr>
            <w:tcW w:w="3685" w:type="dxa"/>
          </w:tcPr>
          <w:p w:rsidR="00457E2F" w:rsidRDefault="00457E2F" w:rsidP="00AC5A58">
            <w:pPr>
              <w:pStyle w:val="ListParagraph"/>
              <w:numPr>
                <w:ilvl w:val="0"/>
                <w:numId w:val="6"/>
              </w:numPr>
              <w:ind w:left="459" w:hanging="284"/>
            </w:pPr>
            <w:r w:rsidRPr="006E2FE4">
              <w:rPr>
                <w:u w:val="single"/>
              </w:rPr>
              <w:t>Non-advised sales of insurance non-PRIPs:</w:t>
            </w:r>
            <w:r>
              <w:t xml:space="preserve"> </w:t>
            </w:r>
            <w:r w:rsidRPr="00AC5A58">
              <w:t>Consumers should be able to buy, and distributors should be able to sell, insurance products without advice, in certain circumstances. For many simple and basic insurance products, consumers do not always need or request advice, such as in the case of collectively agreed policies, or cases where there is no contact between customer and provider. There are also examples in the areas of occupational pension, home, pet and private motor insurance where consumer protection is sufficient without advice.</w:t>
            </w:r>
          </w:p>
          <w:p w:rsidR="00457E2F" w:rsidRPr="00AC5A58" w:rsidRDefault="00457E2F" w:rsidP="00AC5A58">
            <w:pPr>
              <w:pStyle w:val="ListParagraph"/>
              <w:numPr>
                <w:ilvl w:val="0"/>
                <w:numId w:val="6"/>
              </w:numPr>
              <w:ind w:left="459" w:hanging="284"/>
            </w:pPr>
            <w:r>
              <w:t>Proposed</w:t>
            </w:r>
            <w:r w:rsidRPr="00AC5A58">
              <w:t xml:space="preserve"> high-level principles on selling practices for insurance, in which </w:t>
            </w:r>
            <w:r>
              <w:t>Insurance Europe</w:t>
            </w:r>
            <w:r w:rsidRPr="00AC5A58">
              <w:t xml:space="preserve"> advocate</w:t>
            </w:r>
            <w:r>
              <w:t>d</w:t>
            </w:r>
            <w:r w:rsidRPr="00AC5A58">
              <w:t xml:space="preserve"> the approach that a distributor has to offer advice on request, or on own initiative when the circumstances indicate there is a need, as a result of the information provided by the customer. Advice should be based on an analysis of the customer’s needs, on the basis of information provided by the customer. </w:t>
            </w:r>
          </w:p>
          <w:p w:rsidR="00457E2F" w:rsidRPr="00AC5A58" w:rsidRDefault="00457E2F" w:rsidP="00AC5A58">
            <w:pPr>
              <w:pStyle w:val="ListParagraph"/>
              <w:numPr>
                <w:ilvl w:val="0"/>
                <w:numId w:val="6"/>
              </w:numPr>
              <w:ind w:left="459" w:hanging="284"/>
            </w:pPr>
            <w:r>
              <w:t>P</w:t>
            </w:r>
            <w:r w:rsidRPr="00AC5A58">
              <w:t xml:space="preserve">ossibility for non-advised sales should be maintained for all insurance products, so as not to </w:t>
            </w:r>
            <w:r w:rsidRPr="00AC5A58">
              <w:lastRenderedPageBreak/>
              <w:t>limit or interfere with consumer choice, and to prevent restricting a consumer’s ability to access products if advice were mandatory and he/she were not in a position to afford such advice. The customer is of course always free to seek advice, but advice should not be imposed when specifically declined by the customer. In many cases, customers are not actually in need of, or indeed willing to receive, advice, in which case they should be free to exercise the right to make such a choice. Otherwise, it would involve imposing a service upon a customer who neither wants nor requests such a service, with no economic basis for such an imposition.</w:t>
            </w:r>
          </w:p>
          <w:p w:rsidR="00457E2F" w:rsidRDefault="00457E2F" w:rsidP="00735CF7">
            <w:pPr>
              <w:pStyle w:val="ListParagraph"/>
              <w:numPr>
                <w:ilvl w:val="0"/>
                <w:numId w:val="6"/>
              </w:numPr>
              <w:ind w:left="459" w:hanging="284"/>
            </w:pPr>
            <w:r w:rsidRPr="00AC5A58">
              <w:t>In any case, even in the case of non-advised sales, all relevant information requirements will still be followed.</w:t>
            </w:r>
          </w:p>
          <w:p w:rsidR="00457E2F" w:rsidRPr="000F49C5" w:rsidRDefault="00457E2F" w:rsidP="00735CF7"/>
        </w:tc>
        <w:tc>
          <w:tcPr>
            <w:tcW w:w="2410" w:type="dxa"/>
            <w:vMerge/>
          </w:tcPr>
          <w:p w:rsidR="00457E2F" w:rsidRPr="000F49C5" w:rsidRDefault="00457E2F" w:rsidP="00735CF7">
            <w:pPr>
              <w:ind w:left="175"/>
            </w:pPr>
          </w:p>
        </w:tc>
        <w:tc>
          <w:tcPr>
            <w:tcW w:w="2442" w:type="dxa"/>
          </w:tcPr>
          <w:p w:rsidR="00457E2F" w:rsidRPr="000F49C5" w:rsidRDefault="00457E2F" w:rsidP="00735CF7">
            <w:pPr>
              <w:ind w:left="175"/>
            </w:pPr>
          </w:p>
        </w:tc>
      </w:tr>
      <w:tr w:rsidR="00457E2F" w:rsidRPr="008653C6" w:rsidTr="00293654">
        <w:trPr>
          <w:trHeight w:val="454"/>
        </w:trPr>
        <w:tc>
          <w:tcPr>
            <w:tcW w:w="1809" w:type="dxa"/>
          </w:tcPr>
          <w:p w:rsidR="00457E2F" w:rsidRPr="008653C6" w:rsidRDefault="00457E2F" w:rsidP="001E6723">
            <w:r w:rsidRPr="008653C6">
              <w:lastRenderedPageBreak/>
              <w:t>Cumulative conduct of business rules for insurance PRIPs</w:t>
            </w:r>
          </w:p>
          <w:p w:rsidR="00457E2F" w:rsidRPr="008653C6" w:rsidRDefault="00457E2F" w:rsidP="001E6723"/>
        </w:tc>
        <w:tc>
          <w:tcPr>
            <w:tcW w:w="1134" w:type="dxa"/>
          </w:tcPr>
          <w:p w:rsidR="00457E2F" w:rsidRPr="008653C6" w:rsidRDefault="00457E2F" w:rsidP="001E6723">
            <w:pPr>
              <w:jc w:val="center"/>
            </w:pPr>
            <w:r w:rsidRPr="008653C6">
              <w:t>Recital 42, IMD2 Article 22, IMD2</w:t>
            </w:r>
          </w:p>
        </w:tc>
        <w:tc>
          <w:tcPr>
            <w:tcW w:w="2694" w:type="dxa"/>
          </w:tcPr>
          <w:p w:rsidR="00457E2F" w:rsidRPr="008653C6" w:rsidRDefault="00457E2F" w:rsidP="001E6723">
            <w:pPr>
              <w:pStyle w:val="ListParagraph"/>
              <w:numPr>
                <w:ilvl w:val="0"/>
                <w:numId w:val="5"/>
              </w:numPr>
              <w:ind w:left="459" w:hanging="284"/>
            </w:pPr>
            <w:r w:rsidRPr="008653C6">
              <w:t>For insurance PRIPs, the general conduct of business rules in Chapter VI and the additional requirements for insurance PRIPs set out in Chapter VII are cumulative in nature.</w:t>
            </w:r>
          </w:p>
          <w:p w:rsidR="00457E2F" w:rsidRPr="008653C6" w:rsidRDefault="00457E2F" w:rsidP="001E6723">
            <w:pPr>
              <w:pStyle w:val="ListParagraph"/>
              <w:numPr>
                <w:ilvl w:val="0"/>
                <w:numId w:val="5"/>
              </w:numPr>
              <w:ind w:left="459" w:hanging="284"/>
            </w:pPr>
            <w:r w:rsidRPr="008653C6">
              <w:t>Sales of insurance PRIPs would therefore be subject to the demands and needs test as well as the suitability/appropriateness test.</w:t>
            </w:r>
          </w:p>
          <w:p w:rsidR="00457E2F" w:rsidRPr="008653C6" w:rsidRDefault="00457E2F" w:rsidP="001E6723"/>
        </w:tc>
        <w:tc>
          <w:tcPr>
            <w:tcW w:w="3685" w:type="dxa"/>
          </w:tcPr>
          <w:p w:rsidR="00457E2F" w:rsidRPr="008653C6" w:rsidRDefault="00457E2F" w:rsidP="006574E8">
            <w:pPr>
              <w:pStyle w:val="ListParagraph"/>
              <w:numPr>
                <w:ilvl w:val="0"/>
                <w:numId w:val="4"/>
              </w:numPr>
              <w:ind w:left="459" w:hanging="284"/>
            </w:pPr>
            <w:r>
              <w:t>n/a</w:t>
            </w:r>
          </w:p>
        </w:tc>
        <w:tc>
          <w:tcPr>
            <w:tcW w:w="2410" w:type="dxa"/>
          </w:tcPr>
          <w:p w:rsidR="00457E2F" w:rsidRPr="008653C6" w:rsidRDefault="00457E2F" w:rsidP="00C316B9">
            <w:pPr>
              <w:pStyle w:val="ListParagraph"/>
              <w:numPr>
                <w:ilvl w:val="0"/>
                <w:numId w:val="6"/>
              </w:numPr>
              <w:ind w:left="459" w:hanging="284"/>
            </w:pPr>
            <w:r>
              <w:t xml:space="preserve">This requirement will give rise to an un-level playing field as it </w:t>
            </w:r>
            <w:r w:rsidRPr="006E01A1">
              <w:t xml:space="preserve">would effectively result in having stricter rules </w:t>
            </w:r>
            <w:r>
              <w:t xml:space="preserve">applying to the sale of </w:t>
            </w:r>
            <w:r w:rsidRPr="006E01A1">
              <w:t xml:space="preserve">insurance PRIPs </w:t>
            </w:r>
            <w:r>
              <w:t>as both sets of rules would have to be complied with.</w:t>
            </w:r>
          </w:p>
        </w:tc>
        <w:tc>
          <w:tcPr>
            <w:tcW w:w="2442" w:type="dxa"/>
          </w:tcPr>
          <w:p w:rsidR="00457E2F" w:rsidRDefault="00457E2F" w:rsidP="00293654"/>
        </w:tc>
      </w:tr>
      <w:tr w:rsidR="00457E2F" w:rsidRPr="008653C6" w:rsidTr="00293654">
        <w:trPr>
          <w:trHeight w:val="454"/>
        </w:trPr>
        <w:tc>
          <w:tcPr>
            <w:tcW w:w="1809" w:type="dxa"/>
          </w:tcPr>
          <w:p w:rsidR="00457E2F" w:rsidRPr="008653C6" w:rsidRDefault="00457E2F" w:rsidP="001E6723">
            <w:r w:rsidRPr="008653C6">
              <w:lastRenderedPageBreak/>
              <w:t>Continuous reporting</w:t>
            </w:r>
            <w:r>
              <w:t xml:space="preserve"> obligation for insurance PRIPs</w:t>
            </w:r>
          </w:p>
        </w:tc>
        <w:tc>
          <w:tcPr>
            <w:tcW w:w="1134" w:type="dxa"/>
          </w:tcPr>
          <w:p w:rsidR="00457E2F" w:rsidRPr="008653C6" w:rsidRDefault="00457E2F" w:rsidP="001E6723">
            <w:pPr>
              <w:jc w:val="center"/>
            </w:pPr>
            <w:r w:rsidRPr="008653C6">
              <w:t>Article 25(4), IMD2</w:t>
            </w:r>
          </w:p>
          <w:p w:rsidR="00457E2F" w:rsidRPr="008653C6" w:rsidRDefault="00457E2F" w:rsidP="001E6723">
            <w:pPr>
              <w:jc w:val="center"/>
            </w:pPr>
          </w:p>
        </w:tc>
        <w:tc>
          <w:tcPr>
            <w:tcW w:w="2694" w:type="dxa"/>
          </w:tcPr>
          <w:p w:rsidR="00457E2F" w:rsidRDefault="00457E2F" w:rsidP="00E8396D">
            <w:pPr>
              <w:pStyle w:val="ListParagraph"/>
              <w:numPr>
                <w:ilvl w:val="0"/>
                <w:numId w:val="5"/>
              </w:numPr>
              <w:ind w:left="459" w:hanging="284"/>
            </w:pPr>
            <w:r>
              <w:t>Customer must receive adequate reports on the service provided. These reports shall include periodic communications to customers, taking into account the type and complexity of products involved and the nature of the service provided, and include, where applicable, costs associated with the transactions and services undertaken on behalf of the customer. When providing advice, the intermediary or undertaking shall specify how the advice given meets the personal characteristics of the customer.</w:t>
            </w:r>
          </w:p>
          <w:p w:rsidR="00457E2F" w:rsidRPr="008653C6" w:rsidRDefault="00457E2F" w:rsidP="00E8396D">
            <w:pPr>
              <w:ind w:left="175"/>
            </w:pPr>
          </w:p>
        </w:tc>
        <w:tc>
          <w:tcPr>
            <w:tcW w:w="3685" w:type="dxa"/>
          </w:tcPr>
          <w:p w:rsidR="00457E2F" w:rsidRPr="008653C6" w:rsidRDefault="00457E2F" w:rsidP="006574E8">
            <w:pPr>
              <w:pStyle w:val="ListParagraph"/>
              <w:numPr>
                <w:ilvl w:val="0"/>
                <w:numId w:val="4"/>
              </w:numPr>
              <w:ind w:left="459" w:hanging="284"/>
            </w:pPr>
            <w:r>
              <w:t>n/a</w:t>
            </w:r>
          </w:p>
        </w:tc>
        <w:tc>
          <w:tcPr>
            <w:tcW w:w="2410" w:type="dxa"/>
          </w:tcPr>
          <w:p w:rsidR="00457E2F" w:rsidRDefault="00457E2F" w:rsidP="00BC7295">
            <w:pPr>
              <w:pStyle w:val="ListParagraph"/>
              <w:numPr>
                <w:ilvl w:val="0"/>
                <w:numId w:val="5"/>
              </w:numPr>
              <w:ind w:left="459" w:hanging="284"/>
            </w:pPr>
            <w:r w:rsidRPr="00CA0E44">
              <w:t>Continuous reportin</w:t>
            </w:r>
            <w:r>
              <w:t>g obligation, even after the contract has been concluded, seems to be an exaggeration for many life insurance products.</w:t>
            </w:r>
          </w:p>
          <w:p w:rsidR="00457E2F" w:rsidRPr="008653C6" w:rsidRDefault="00457E2F" w:rsidP="00BC7295"/>
        </w:tc>
        <w:tc>
          <w:tcPr>
            <w:tcW w:w="2442" w:type="dxa"/>
          </w:tcPr>
          <w:p w:rsidR="00457E2F" w:rsidRPr="00CA0E44" w:rsidRDefault="00457E2F" w:rsidP="00293654"/>
        </w:tc>
      </w:tr>
    </w:tbl>
    <w:p w:rsidR="008D5EF2" w:rsidRPr="008653C6" w:rsidRDefault="008D5EF2" w:rsidP="000F49C5"/>
    <w:sectPr w:rsidR="008D5EF2" w:rsidRPr="008653C6" w:rsidSect="00BC438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A9" w:rsidRDefault="00A838A9" w:rsidP="00827F4D">
      <w:pPr>
        <w:spacing w:after="0" w:line="240" w:lineRule="auto"/>
      </w:pPr>
      <w:r>
        <w:separator/>
      </w:r>
    </w:p>
  </w:endnote>
  <w:endnote w:type="continuationSeparator" w:id="0">
    <w:p w:rsidR="00A838A9" w:rsidRDefault="00A838A9" w:rsidP="008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A9" w:rsidRDefault="00A838A9" w:rsidP="00827F4D">
      <w:pPr>
        <w:spacing w:after="0" w:line="240" w:lineRule="auto"/>
      </w:pPr>
      <w:r>
        <w:separator/>
      </w:r>
    </w:p>
  </w:footnote>
  <w:footnote w:type="continuationSeparator" w:id="0">
    <w:p w:rsidR="00A838A9" w:rsidRDefault="00A838A9" w:rsidP="00827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5" type="#_x0000_t75" style="width:7in;height:422.5pt" o:bullet="t">
        <v:imagedata r:id="rId1" o:title="clip_image001"/>
      </v:shape>
    </w:pict>
  </w:numPicBullet>
  <w:numPicBullet w:numPicBulletId="1">
    <w:pict>
      <v:shape id="_x0000_i1466" type="#_x0000_t75" style="width:7in;height:422.5pt" o:bullet="t">
        <v:imagedata r:id="rId2" o:title="clip_image002"/>
      </v:shape>
    </w:pict>
  </w:numPicBullet>
  <w:numPicBullet w:numPicBulletId="2">
    <w:pict>
      <v:shape id="_x0000_i1467" type="#_x0000_t75" style="width:7in;height:422.5pt" o:bullet="t">
        <v:imagedata r:id="rId3" o:title="clip_image003"/>
      </v:shape>
    </w:pict>
  </w:numPicBullet>
  <w:abstractNum w:abstractNumId="0">
    <w:nsid w:val="0F3A46E3"/>
    <w:multiLevelType w:val="hybridMultilevel"/>
    <w:tmpl w:val="735ABA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F0ABC"/>
    <w:multiLevelType w:val="hybridMultilevel"/>
    <w:tmpl w:val="1B865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46497E"/>
    <w:multiLevelType w:val="hybridMultilevel"/>
    <w:tmpl w:val="65E8D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DC3721"/>
    <w:multiLevelType w:val="hybridMultilevel"/>
    <w:tmpl w:val="DB6C4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B310266"/>
    <w:multiLevelType w:val="hybridMultilevel"/>
    <w:tmpl w:val="5400EC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86"/>
    <w:rsid w:val="00013E42"/>
    <w:rsid w:val="00014523"/>
    <w:rsid w:val="00023B83"/>
    <w:rsid w:val="0003334E"/>
    <w:rsid w:val="00042027"/>
    <w:rsid w:val="000522DB"/>
    <w:rsid w:val="000627A6"/>
    <w:rsid w:val="00063B2F"/>
    <w:rsid w:val="00081057"/>
    <w:rsid w:val="00090AF9"/>
    <w:rsid w:val="000A477E"/>
    <w:rsid w:val="000E3CE5"/>
    <w:rsid w:val="000F49C5"/>
    <w:rsid w:val="000F556E"/>
    <w:rsid w:val="00101C0C"/>
    <w:rsid w:val="00125C72"/>
    <w:rsid w:val="00127557"/>
    <w:rsid w:val="00160CBA"/>
    <w:rsid w:val="00174F45"/>
    <w:rsid w:val="00197907"/>
    <w:rsid w:val="001B3D59"/>
    <w:rsid w:val="001D02AA"/>
    <w:rsid w:val="001F2F9C"/>
    <w:rsid w:val="00205614"/>
    <w:rsid w:val="00210C12"/>
    <w:rsid w:val="00214B6E"/>
    <w:rsid w:val="0023186C"/>
    <w:rsid w:val="00276C74"/>
    <w:rsid w:val="00293654"/>
    <w:rsid w:val="002969BF"/>
    <w:rsid w:val="002B405A"/>
    <w:rsid w:val="002C5BCD"/>
    <w:rsid w:val="0030151A"/>
    <w:rsid w:val="00314532"/>
    <w:rsid w:val="00323F45"/>
    <w:rsid w:val="00334318"/>
    <w:rsid w:val="003631D6"/>
    <w:rsid w:val="003663AE"/>
    <w:rsid w:val="00382184"/>
    <w:rsid w:val="00385843"/>
    <w:rsid w:val="003B556D"/>
    <w:rsid w:val="003D26F0"/>
    <w:rsid w:val="003F308F"/>
    <w:rsid w:val="003F7052"/>
    <w:rsid w:val="00402BCF"/>
    <w:rsid w:val="00411E42"/>
    <w:rsid w:val="004127AA"/>
    <w:rsid w:val="00426B37"/>
    <w:rsid w:val="0043756C"/>
    <w:rsid w:val="004426C3"/>
    <w:rsid w:val="00457E2F"/>
    <w:rsid w:val="00466274"/>
    <w:rsid w:val="00466EC7"/>
    <w:rsid w:val="004A5572"/>
    <w:rsid w:val="004C249B"/>
    <w:rsid w:val="004C4033"/>
    <w:rsid w:val="004C474F"/>
    <w:rsid w:val="004E1F76"/>
    <w:rsid w:val="00510342"/>
    <w:rsid w:val="00510D68"/>
    <w:rsid w:val="005218C2"/>
    <w:rsid w:val="00536E8F"/>
    <w:rsid w:val="00541C99"/>
    <w:rsid w:val="0055113A"/>
    <w:rsid w:val="0055269D"/>
    <w:rsid w:val="005639FA"/>
    <w:rsid w:val="00574A4A"/>
    <w:rsid w:val="00580546"/>
    <w:rsid w:val="005A6D03"/>
    <w:rsid w:val="005B1499"/>
    <w:rsid w:val="005B5C43"/>
    <w:rsid w:val="005E3F3C"/>
    <w:rsid w:val="00602486"/>
    <w:rsid w:val="006055A3"/>
    <w:rsid w:val="00612831"/>
    <w:rsid w:val="0064680A"/>
    <w:rsid w:val="00651DAD"/>
    <w:rsid w:val="00655288"/>
    <w:rsid w:val="006574E8"/>
    <w:rsid w:val="00667D95"/>
    <w:rsid w:val="006926A0"/>
    <w:rsid w:val="006B2A72"/>
    <w:rsid w:val="006B5FDD"/>
    <w:rsid w:val="006C108F"/>
    <w:rsid w:val="006E01A1"/>
    <w:rsid w:val="006E1FBF"/>
    <w:rsid w:val="006E2FE4"/>
    <w:rsid w:val="006E3CEC"/>
    <w:rsid w:val="00712E80"/>
    <w:rsid w:val="0071744F"/>
    <w:rsid w:val="00727BFE"/>
    <w:rsid w:val="00735CF7"/>
    <w:rsid w:val="007452D1"/>
    <w:rsid w:val="00753F34"/>
    <w:rsid w:val="0076411D"/>
    <w:rsid w:val="007D36FD"/>
    <w:rsid w:val="007D7675"/>
    <w:rsid w:val="007E7392"/>
    <w:rsid w:val="007F3AA2"/>
    <w:rsid w:val="00806988"/>
    <w:rsid w:val="00810A1F"/>
    <w:rsid w:val="00827F4D"/>
    <w:rsid w:val="008653C6"/>
    <w:rsid w:val="00865790"/>
    <w:rsid w:val="00883145"/>
    <w:rsid w:val="00894AFB"/>
    <w:rsid w:val="008A6A87"/>
    <w:rsid w:val="008B2A55"/>
    <w:rsid w:val="008B6D84"/>
    <w:rsid w:val="008C1BB3"/>
    <w:rsid w:val="008D1FE7"/>
    <w:rsid w:val="008D5EF2"/>
    <w:rsid w:val="008F2DC4"/>
    <w:rsid w:val="009006A5"/>
    <w:rsid w:val="00921418"/>
    <w:rsid w:val="00924404"/>
    <w:rsid w:val="009601D6"/>
    <w:rsid w:val="009D54DD"/>
    <w:rsid w:val="00A265F7"/>
    <w:rsid w:val="00A30662"/>
    <w:rsid w:val="00A52558"/>
    <w:rsid w:val="00A62282"/>
    <w:rsid w:val="00A8111F"/>
    <w:rsid w:val="00A81937"/>
    <w:rsid w:val="00A838A9"/>
    <w:rsid w:val="00AA57A8"/>
    <w:rsid w:val="00AA780A"/>
    <w:rsid w:val="00AC11C3"/>
    <w:rsid w:val="00AC1994"/>
    <w:rsid w:val="00AC5A58"/>
    <w:rsid w:val="00AF159C"/>
    <w:rsid w:val="00B041FE"/>
    <w:rsid w:val="00B12E18"/>
    <w:rsid w:val="00B16119"/>
    <w:rsid w:val="00B27606"/>
    <w:rsid w:val="00B339D4"/>
    <w:rsid w:val="00B41B55"/>
    <w:rsid w:val="00B577AF"/>
    <w:rsid w:val="00B72762"/>
    <w:rsid w:val="00B740F9"/>
    <w:rsid w:val="00B87A6F"/>
    <w:rsid w:val="00B90B5E"/>
    <w:rsid w:val="00B92DA7"/>
    <w:rsid w:val="00BA4A78"/>
    <w:rsid w:val="00BB1253"/>
    <w:rsid w:val="00BC1F34"/>
    <w:rsid w:val="00BC4386"/>
    <w:rsid w:val="00BC7295"/>
    <w:rsid w:val="00BD3A79"/>
    <w:rsid w:val="00BD3E27"/>
    <w:rsid w:val="00BD766B"/>
    <w:rsid w:val="00BE16EF"/>
    <w:rsid w:val="00BE181C"/>
    <w:rsid w:val="00BF5A00"/>
    <w:rsid w:val="00C06FDB"/>
    <w:rsid w:val="00C1109F"/>
    <w:rsid w:val="00C316B9"/>
    <w:rsid w:val="00C34808"/>
    <w:rsid w:val="00C35E91"/>
    <w:rsid w:val="00C46BF5"/>
    <w:rsid w:val="00C83A21"/>
    <w:rsid w:val="00CA0E44"/>
    <w:rsid w:val="00CA5E37"/>
    <w:rsid w:val="00CA720A"/>
    <w:rsid w:val="00CA7615"/>
    <w:rsid w:val="00CA7BD9"/>
    <w:rsid w:val="00CC70F9"/>
    <w:rsid w:val="00D06E05"/>
    <w:rsid w:val="00D073F7"/>
    <w:rsid w:val="00D16BD4"/>
    <w:rsid w:val="00D40E48"/>
    <w:rsid w:val="00D45F26"/>
    <w:rsid w:val="00D5363D"/>
    <w:rsid w:val="00D66C6A"/>
    <w:rsid w:val="00DB5D0C"/>
    <w:rsid w:val="00DB690E"/>
    <w:rsid w:val="00DC0C9A"/>
    <w:rsid w:val="00DC10D1"/>
    <w:rsid w:val="00DE1B72"/>
    <w:rsid w:val="00E04670"/>
    <w:rsid w:val="00E1369C"/>
    <w:rsid w:val="00E81FF2"/>
    <w:rsid w:val="00E8396D"/>
    <w:rsid w:val="00EB64A9"/>
    <w:rsid w:val="00EC074E"/>
    <w:rsid w:val="00EC596B"/>
    <w:rsid w:val="00EC623E"/>
    <w:rsid w:val="00EC76D8"/>
    <w:rsid w:val="00EE792E"/>
    <w:rsid w:val="00F11165"/>
    <w:rsid w:val="00F457D5"/>
    <w:rsid w:val="00F64295"/>
    <w:rsid w:val="00FD3894"/>
    <w:rsid w:val="00FF0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82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F4D"/>
    <w:rPr>
      <w:sz w:val="20"/>
      <w:szCs w:val="20"/>
    </w:rPr>
  </w:style>
  <w:style w:type="character" w:styleId="FootnoteReference">
    <w:name w:val="footnote reference"/>
    <w:basedOn w:val="DefaultParagraphFont"/>
    <w:uiPriority w:val="99"/>
    <w:semiHidden/>
    <w:unhideWhenUsed/>
    <w:rsid w:val="00827F4D"/>
    <w:rPr>
      <w:vertAlign w:val="superscript"/>
    </w:rPr>
  </w:style>
  <w:style w:type="table" w:customStyle="1" w:styleId="TableGrid1">
    <w:name w:val="Table Grid1"/>
    <w:basedOn w:val="TableNormal"/>
    <w:next w:val="TableGrid"/>
    <w:uiPriority w:val="59"/>
    <w:rsid w:val="00B0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82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F4D"/>
    <w:rPr>
      <w:sz w:val="20"/>
      <w:szCs w:val="20"/>
    </w:rPr>
  </w:style>
  <w:style w:type="character" w:styleId="FootnoteReference">
    <w:name w:val="footnote reference"/>
    <w:basedOn w:val="DefaultParagraphFont"/>
    <w:uiPriority w:val="99"/>
    <w:semiHidden/>
    <w:unhideWhenUsed/>
    <w:rsid w:val="00827F4D"/>
    <w:rPr>
      <w:vertAlign w:val="superscript"/>
    </w:rPr>
  </w:style>
  <w:style w:type="table" w:customStyle="1" w:styleId="TableGrid1">
    <w:name w:val="Table Grid1"/>
    <w:basedOn w:val="TableNormal"/>
    <w:next w:val="TableGrid"/>
    <w:uiPriority w:val="59"/>
    <w:rsid w:val="00B0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9478">
      <w:bodyDiv w:val="1"/>
      <w:marLeft w:val="0"/>
      <w:marRight w:val="0"/>
      <w:marTop w:val="0"/>
      <w:marBottom w:val="0"/>
      <w:divBdr>
        <w:top w:val="none" w:sz="0" w:space="0" w:color="auto"/>
        <w:left w:val="none" w:sz="0" w:space="0" w:color="auto"/>
        <w:bottom w:val="none" w:sz="0" w:space="0" w:color="auto"/>
        <w:right w:val="none" w:sz="0" w:space="0" w:color="auto"/>
      </w:divBdr>
    </w:div>
    <w:div w:id="255749161">
      <w:bodyDiv w:val="1"/>
      <w:marLeft w:val="0"/>
      <w:marRight w:val="0"/>
      <w:marTop w:val="0"/>
      <w:marBottom w:val="0"/>
      <w:divBdr>
        <w:top w:val="none" w:sz="0" w:space="0" w:color="auto"/>
        <w:left w:val="none" w:sz="0" w:space="0" w:color="auto"/>
        <w:bottom w:val="none" w:sz="0" w:space="0" w:color="auto"/>
        <w:right w:val="none" w:sz="0" w:space="0" w:color="auto"/>
      </w:divBdr>
    </w:div>
    <w:div w:id="398674285">
      <w:bodyDiv w:val="1"/>
      <w:marLeft w:val="0"/>
      <w:marRight w:val="0"/>
      <w:marTop w:val="0"/>
      <w:marBottom w:val="0"/>
      <w:divBdr>
        <w:top w:val="none" w:sz="0" w:space="0" w:color="auto"/>
        <w:left w:val="none" w:sz="0" w:space="0" w:color="auto"/>
        <w:bottom w:val="none" w:sz="0" w:space="0" w:color="auto"/>
        <w:right w:val="none" w:sz="0" w:space="0" w:color="auto"/>
      </w:divBdr>
    </w:div>
    <w:div w:id="1324317767">
      <w:bodyDiv w:val="1"/>
      <w:marLeft w:val="0"/>
      <w:marRight w:val="0"/>
      <w:marTop w:val="0"/>
      <w:marBottom w:val="0"/>
      <w:divBdr>
        <w:top w:val="none" w:sz="0" w:space="0" w:color="auto"/>
        <w:left w:val="none" w:sz="0" w:space="0" w:color="auto"/>
        <w:bottom w:val="none" w:sz="0" w:space="0" w:color="auto"/>
        <w:right w:val="none" w:sz="0" w:space="0" w:color="auto"/>
      </w:divBdr>
    </w:div>
    <w:div w:id="1779181789">
      <w:bodyDiv w:val="1"/>
      <w:marLeft w:val="0"/>
      <w:marRight w:val="0"/>
      <w:marTop w:val="0"/>
      <w:marBottom w:val="0"/>
      <w:divBdr>
        <w:top w:val="none" w:sz="0" w:space="0" w:color="auto"/>
        <w:left w:val="none" w:sz="0" w:space="0" w:color="auto"/>
        <w:bottom w:val="none" w:sz="0" w:space="0" w:color="auto"/>
        <w:right w:val="none" w:sz="0" w:space="0" w:color="auto"/>
      </w:divBdr>
    </w:div>
    <w:div w:id="200724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8FF2-BE8D-4CB8-91EA-EBC12711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734</Words>
  <Characters>5076</Characters>
  <Application>Microsoft Office Word</Application>
  <DocSecurity>0</DocSecurity>
  <Lines>1269</Lines>
  <Paragraphs>580</Paragraphs>
  <ScaleCrop>false</ScaleCrop>
  <HeadingPairs>
    <vt:vector size="2" baseType="variant">
      <vt:variant>
        <vt:lpstr>Title</vt:lpstr>
      </vt:variant>
      <vt:variant>
        <vt:i4>1</vt:i4>
      </vt:variant>
    </vt:vector>
  </HeadingPairs>
  <TitlesOfParts>
    <vt:vector size="1" baseType="lpstr">
      <vt:lpstr/>
    </vt:vector>
  </TitlesOfParts>
  <Company>Insurance Europe</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Hilliard</dc:creator>
  <cp:lastModifiedBy>Arthur Hilliard</cp:lastModifiedBy>
  <cp:revision>14</cp:revision>
  <cp:lastPrinted>2012-07-27T07:57:00Z</cp:lastPrinted>
  <dcterms:created xsi:type="dcterms:W3CDTF">2012-08-02T12:30:00Z</dcterms:created>
  <dcterms:modified xsi:type="dcterms:W3CDTF">2012-08-13T12:08:00Z</dcterms:modified>
</cp:coreProperties>
</file>