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159C" w:rsidRPr="008653C6" w:rsidRDefault="00C34808">
      <w:pPr>
        <w:rPr>
          <w:b/>
        </w:rPr>
      </w:pPr>
      <w:r>
        <w:rPr>
          <w:b/>
        </w:rPr>
        <w:t xml:space="preserve">4 September </w:t>
      </w:r>
      <w:r w:rsidR="004C474F">
        <w:rPr>
          <w:b/>
        </w:rPr>
        <w:t>Distribution TF</w:t>
      </w:r>
      <w:r w:rsidR="007D7675">
        <w:rPr>
          <w:b/>
        </w:rPr>
        <w:t xml:space="preserve"> meeting</w:t>
      </w:r>
      <w:r w:rsidR="00BC4386" w:rsidRPr="008653C6">
        <w:rPr>
          <w:b/>
        </w:rPr>
        <w:t xml:space="preserve"> – </w:t>
      </w:r>
      <w:r>
        <w:rPr>
          <w:b/>
        </w:rPr>
        <w:t>Disclosure of remuneration</w:t>
      </w:r>
      <w:r>
        <w:rPr>
          <w:b/>
        </w:rPr>
        <w:tab/>
      </w:r>
      <w:r w:rsidR="001D02AA" w:rsidRPr="008653C6">
        <w:rPr>
          <w:b/>
        </w:rPr>
        <w:tab/>
      </w:r>
      <w:r w:rsidR="001D02AA" w:rsidRPr="008653C6">
        <w:rPr>
          <w:b/>
        </w:rPr>
        <w:tab/>
      </w:r>
      <w:r w:rsidR="001D02AA" w:rsidRPr="008653C6">
        <w:rPr>
          <w:b/>
        </w:rPr>
        <w:tab/>
      </w:r>
      <w:r w:rsidR="001D02AA" w:rsidRPr="008653C6">
        <w:rPr>
          <w:b/>
        </w:rPr>
        <w:tab/>
      </w:r>
      <w:r w:rsidR="001D02AA" w:rsidRPr="008653C6">
        <w:rPr>
          <w:b/>
        </w:rPr>
        <w:tab/>
      </w:r>
      <w:r w:rsidR="001D02AA" w:rsidRPr="008653C6">
        <w:rPr>
          <w:b/>
        </w:rPr>
        <w:tab/>
      </w:r>
      <w:r w:rsidR="001D02AA" w:rsidRPr="008653C6">
        <w:rPr>
          <w:b/>
        </w:rPr>
        <w:tab/>
      </w:r>
      <w:r w:rsidR="001D02AA" w:rsidRPr="008653C6">
        <w:rPr>
          <w:b/>
          <w:color w:val="FF0000"/>
        </w:rPr>
        <w:t>[</w:t>
      </w:r>
      <w:r w:rsidR="00834BF3">
        <w:rPr>
          <w:b/>
          <w:color w:val="FF0000"/>
        </w:rPr>
        <w:t>13</w:t>
      </w:r>
      <w:r w:rsidR="001D02AA" w:rsidRPr="008653C6">
        <w:rPr>
          <w:b/>
          <w:color w:val="FF0000"/>
        </w:rPr>
        <w:t xml:space="preserve"> </w:t>
      </w:r>
      <w:r>
        <w:rPr>
          <w:b/>
          <w:color w:val="FF0000"/>
        </w:rPr>
        <w:t>August</w:t>
      </w:r>
      <w:r w:rsidR="001D02AA" w:rsidRPr="008653C6">
        <w:rPr>
          <w:b/>
          <w:color w:val="FF0000"/>
        </w:rPr>
        <w:t xml:space="preserve"> 2012]</w:t>
      </w:r>
    </w:p>
    <w:tbl>
      <w:tblPr>
        <w:tblStyle w:val="TableGrid"/>
        <w:tblW w:w="14174" w:type="dxa"/>
        <w:tblLook w:val="04A0" w:firstRow="1" w:lastRow="0" w:firstColumn="1" w:lastColumn="0" w:noHBand="0" w:noVBand="1"/>
      </w:tblPr>
      <w:tblGrid>
        <w:gridCol w:w="1668"/>
        <w:gridCol w:w="1134"/>
        <w:gridCol w:w="2693"/>
        <w:gridCol w:w="3618"/>
        <w:gridCol w:w="2761"/>
        <w:gridCol w:w="2300"/>
      </w:tblGrid>
      <w:tr w:rsidR="00834BF3" w:rsidRPr="008653C6" w:rsidTr="00834BF3">
        <w:trPr>
          <w:trHeight w:val="454"/>
        </w:trPr>
        <w:tc>
          <w:tcPr>
            <w:tcW w:w="1668" w:type="dxa"/>
            <w:vAlign w:val="center"/>
          </w:tcPr>
          <w:p w:rsidR="00834BF3" w:rsidRPr="008653C6" w:rsidRDefault="00834BF3" w:rsidP="000A477E">
            <w:pPr>
              <w:jc w:val="center"/>
              <w:rPr>
                <w:b/>
              </w:rPr>
            </w:pPr>
            <w:r w:rsidRPr="008653C6">
              <w:rPr>
                <w:b/>
              </w:rPr>
              <w:t>Issue/Concern</w:t>
            </w:r>
          </w:p>
        </w:tc>
        <w:tc>
          <w:tcPr>
            <w:tcW w:w="1134" w:type="dxa"/>
            <w:vAlign w:val="center"/>
          </w:tcPr>
          <w:p w:rsidR="00834BF3" w:rsidRPr="008653C6" w:rsidRDefault="00834BF3" w:rsidP="000A477E">
            <w:pPr>
              <w:jc w:val="center"/>
              <w:rPr>
                <w:b/>
              </w:rPr>
            </w:pPr>
            <w:r w:rsidRPr="008653C6">
              <w:rPr>
                <w:b/>
              </w:rPr>
              <w:t>Relevant Article(s)</w:t>
            </w:r>
          </w:p>
        </w:tc>
        <w:tc>
          <w:tcPr>
            <w:tcW w:w="2693" w:type="dxa"/>
            <w:vAlign w:val="center"/>
          </w:tcPr>
          <w:p w:rsidR="00834BF3" w:rsidRPr="008653C6" w:rsidRDefault="00834BF3" w:rsidP="000A477E">
            <w:pPr>
              <w:jc w:val="center"/>
              <w:rPr>
                <w:b/>
              </w:rPr>
            </w:pPr>
            <w:r>
              <w:rPr>
                <w:b/>
              </w:rPr>
              <w:t>Content of EC proposal</w:t>
            </w:r>
          </w:p>
        </w:tc>
        <w:tc>
          <w:tcPr>
            <w:tcW w:w="3618" w:type="dxa"/>
            <w:vAlign w:val="center"/>
          </w:tcPr>
          <w:p w:rsidR="00834BF3" w:rsidRPr="008653C6" w:rsidRDefault="00834BF3" w:rsidP="000A477E">
            <w:pPr>
              <w:jc w:val="center"/>
              <w:rPr>
                <w:b/>
              </w:rPr>
            </w:pPr>
            <w:r>
              <w:rPr>
                <w:b/>
              </w:rPr>
              <w:t>Insurance Europe past position</w:t>
            </w:r>
          </w:p>
        </w:tc>
        <w:tc>
          <w:tcPr>
            <w:tcW w:w="2761" w:type="dxa"/>
            <w:vAlign w:val="center"/>
          </w:tcPr>
          <w:p w:rsidR="00834BF3" w:rsidRPr="008653C6" w:rsidRDefault="00834BF3" w:rsidP="000A477E">
            <w:pPr>
              <w:jc w:val="center"/>
              <w:rPr>
                <w:b/>
              </w:rPr>
            </w:pPr>
            <w:r>
              <w:rPr>
                <w:b/>
              </w:rPr>
              <w:t>Proposed approach</w:t>
            </w:r>
          </w:p>
        </w:tc>
        <w:tc>
          <w:tcPr>
            <w:tcW w:w="2300" w:type="dxa"/>
            <w:vAlign w:val="center"/>
          </w:tcPr>
          <w:p w:rsidR="00834BF3" w:rsidRDefault="00834BF3" w:rsidP="00834BF3">
            <w:pPr>
              <w:jc w:val="center"/>
              <w:rPr>
                <w:b/>
              </w:rPr>
            </w:pPr>
            <w:r>
              <w:rPr>
                <w:b/>
              </w:rPr>
              <w:t>Member comments</w:t>
            </w:r>
          </w:p>
        </w:tc>
      </w:tr>
      <w:tr w:rsidR="00834BF3" w:rsidRPr="008653C6" w:rsidTr="00834BF3">
        <w:trPr>
          <w:trHeight w:val="454"/>
        </w:trPr>
        <w:tc>
          <w:tcPr>
            <w:tcW w:w="1668" w:type="dxa"/>
          </w:tcPr>
          <w:p w:rsidR="00834BF3" w:rsidRPr="008653C6" w:rsidRDefault="00834BF3">
            <w:r w:rsidRPr="008653C6">
              <w:t>Disclosure of variable remuneration of employees of insurance undertakings</w:t>
            </w:r>
          </w:p>
          <w:p w:rsidR="00834BF3" w:rsidRPr="008653C6" w:rsidRDefault="00834BF3"/>
        </w:tc>
        <w:tc>
          <w:tcPr>
            <w:tcW w:w="1134" w:type="dxa"/>
          </w:tcPr>
          <w:p w:rsidR="00834BF3" w:rsidRPr="008653C6" w:rsidRDefault="00834BF3" w:rsidP="00D16BD4">
            <w:pPr>
              <w:jc w:val="center"/>
            </w:pPr>
            <w:r w:rsidRPr="008653C6">
              <w:t>Article 17(3), IMD2</w:t>
            </w:r>
          </w:p>
        </w:tc>
        <w:tc>
          <w:tcPr>
            <w:tcW w:w="2693" w:type="dxa"/>
          </w:tcPr>
          <w:p w:rsidR="00834BF3" w:rsidRPr="008653C6" w:rsidRDefault="00834BF3" w:rsidP="00BE16EF">
            <w:pPr>
              <w:pStyle w:val="ListParagraph"/>
              <w:numPr>
                <w:ilvl w:val="0"/>
                <w:numId w:val="5"/>
              </w:numPr>
              <w:ind w:left="459" w:hanging="284"/>
            </w:pPr>
            <w:r w:rsidRPr="008653C6">
              <w:t>Employees of insurance undertakings must disclose the nature and the basis of the calculation of any variable remuneration.</w:t>
            </w:r>
          </w:p>
          <w:p w:rsidR="00834BF3" w:rsidRDefault="00834BF3" w:rsidP="00BE16EF">
            <w:pPr>
              <w:pStyle w:val="ListParagraph"/>
              <w:numPr>
                <w:ilvl w:val="0"/>
                <w:numId w:val="5"/>
              </w:numPr>
              <w:ind w:left="459" w:hanging="284"/>
            </w:pPr>
            <w:r w:rsidRPr="008653C6">
              <w:t>No longer required to disclose amount.</w:t>
            </w:r>
          </w:p>
          <w:p w:rsidR="00834BF3" w:rsidRPr="008653C6" w:rsidRDefault="00834BF3" w:rsidP="00BE16EF">
            <w:pPr>
              <w:pStyle w:val="ListParagraph"/>
              <w:numPr>
                <w:ilvl w:val="0"/>
                <w:numId w:val="5"/>
              </w:numPr>
              <w:ind w:left="459" w:hanging="284"/>
            </w:pPr>
            <w:r>
              <w:t>[Note: It is unclear, however, what the EC means by “nature” of the remuneration, while the explanatory memorandum still refers to the amount of the variable remuneration, page 9].</w:t>
            </w:r>
          </w:p>
          <w:p w:rsidR="00834BF3" w:rsidRPr="008653C6" w:rsidRDefault="00834BF3" w:rsidP="00BE16EF">
            <w:pPr>
              <w:ind w:left="459" w:hanging="284"/>
            </w:pPr>
          </w:p>
        </w:tc>
        <w:tc>
          <w:tcPr>
            <w:tcW w:w="3618" w:type="dxa"/>
          </w:tcPr>
          <w:p w:rsidR="00834BF3" w:rsidRDefault="00834BF3" w:rsidP="007D36FD">
            <w:pPr>
              <w:pStyle w:val="ListParagraph"/>
              <w:numPr>
                <w:ilvl w:val="0"/>
                <w:numId w:val="5"/>
              </w:numPr>
              <w:ind w:left="459" w:hanging="284"/>
            </w:pPr>
            <w:r w:rsidRPr="00402BCF">
              <w:rPr>
                <w:u w:val="single"/>
              </w:rPr>
              <w:t>Amount</w:t>
            </w:r>
            <w:r>
              <w:t xml:space="preserve">: Disclosure of amount of variable remuneration of employees would not benefit the consumer in his decision-making process. Would add to abundance of pre-contractual information to be disclosed to the consumer and lead to consumer focusing on irrelevant information rather than most important factors, such as insurance coverage provided. </w:t>
            </w:r>
          </w:p>
          <w:p w:rsidR="00834BF3" w:rsidRDefault="00834BF3" w:rsidP="009006A5">
            <w:pPr>
              <w:pStyle w:val="ListParagraph"/>
              <w:numPr>
                <w:ilvl w:val="0"/>
                <w:numId w:val="5"/>
              </w:numPr>
              <w:ind w:left="459" w:hanging="284"/>
            </w:pPr>
            <w:r w:rsidRPr="00402BCF">
              <w:rPr>
                <w:u w:val="single"/>
              </w:rPr>
              <w:t>Basis of calculation</w:t>
            </w:r>
            <w:r>
              <w:t xml:space="preserve">: Difficult to fulfil in practice. Disclosing the basis of calculation of the variable part of the remuneration would be extremely complex, burdensome and impossible to understand for the consumer, which raises questions about the actual benefit of such a provision, </w:t>
            </w:r>
            <w:r w:rsidRPr="009006A5">
              <w:t>particularly as it would be expected to apply</w:t>
            </w:r>
            <w:r>
              <w:t xml:space="preserve"> across all insurance products.</w:t>
            </w:r>
          </w:p>
          <w:p w:rsidR="00834BF3" w:rsidRDefault="00834BF3" w:rsidP="00580546">
            <w:pPr>
              <w:pStyle w:val="ListParagraph"/>
              <w:numPr>
                <w:ilvl w:val="0"/>
                <w:numId w:val="5"/>
              </w:numPr>
              <w:ind w:left="459" w:hanging="284"/>
            </w:pPr>
            <w:r w:rsidRPr="00402BCF">
              <w:rPr>
                <w:u w:val="single"/>
              </w:rPr>
              <w:t>Amount/basis of calculation</w:t>
            </w:r>
            <w:r>
              <w:t>: Does not appear to take full account of principle of proportionality. EC has not demonstrated any evidence of either its necessity or its benefit/interest to the consumer.</w:t>
            </w:r>
          </w:p>
          <w:p w:rsidR="00834BF3" w:rsidRDefault="00834BF3" w:rsidP="00580546">
            <w:pPr>
              <w:pStyle w:val="ListParagraph"/>
              <w:numPr>
                <w:ilvl w:val="0"/>
                <w:numId w:val="5"/>
              </w:numPr>
              <w:ind w:left="459" w:hanging="284"/>
            </w:pPr>
            <w:r w:rsidRPr="000F49C5">
              <w:t>Level playing field issue – no provision is made under MiFID2 to require disclosure of variable remuneration. This would result in having stricter rules for insurance PRIPs than for other types of PRIPs.</w:t>
            </w:r>
          </w:p>
          <w:p w:rsidR="00834BF3" w:rsidRPr="008653C6" w:rsidRDefault="00834BF3" w:rsidP="00580546">
            <w:pPr>
              <w:ind w:left="175"/>
            </w:pPr>
          </w:p>
        </w:tc>
        <w:tc>
          <w:tcPr>
            <w:tcW w:w="2761" w:type="dxa"/>
          </w:tcPr>
          <w:p w:rsidR="00834BF3" w:rsidRPr="008653C6" w:rsidRDefault="00834BF3" w:rsidP="00402BCF">
            <w:pPr>
              <w:pStyle w:val="ListParagraph"/>
              <w:numPr>
                <w:ilvl w:val="0"/>
                <w:numId w:val="5"/>
              </w:numPr>
              <w:ind w:left="459" w:hanging="284"/>
            </w:pPr>
            <w:r w:rsidRPr="008B6D84">
              <w:t xml:space="preserve">With regard to the issue of the disclosure of the variable remuneration of employees of insurance undertakings, participants </w:t>
            </w:r>
            <w:r>
              <w:t xml:space="preserve">during the TF meeting on 24 July </w:t>
            </w:r>
            <w:r w:rsidRPr="008B6D84">
              <w:t>were in agreement that Insurance Europe should continue to express its opposition to the EC proposal, on the basis of the arguments already developed on this issue in the past.</w:t>
            </w:r>
            <w:r>
              <w:t xml:space="preserve"> However, it could prove difficult to oppose the disclosure of the “nature” of the remuneration, as it is not defined in the text. </w:t>
            </w:r>
            <w:r w:rsidRPr="006574E8">
              <w:t xml:space="preserve">It was also </w:t>
            </w:r>
            <w:r>
              <w:t>proposed</w:t>
            </w:r>
            <w:r w:rsidRPr="006574E8">
              <w:t xml:space="preserve"> that Insurance Europe would not work on developing an alternative proposal at this stage in the process, but this may be reviewed in light of any future EU developments.</w:t>
            </w:r>
          </w:p>
        </w:tc>
        <w:tc>
          <w:tcPr>
            <w:tcW w:w="2300" w:type="dxa"/>
          </w:tcPr>
          <w:p w:rsidR="00834BF3" w:rsidRPr="008B6D84" w:rsidRDefault="00834BF3" w:rsidP="00402BCF">
            <w:pPr>
              <w:pStyle w:val="ListParagraph"/>
              <w:numPr>
                <w:ilvl w:val="0"/>
                <w:numId w:val="5"/>
              </w:numPr>
              <w:ind w:left="459" w:hanging="284"/>
            </w:pPr>
          </w:p>
        </w:tc>
      </w:tr>
      <w:tr w:rsidR="00834BF3" w:rsidRPr="008653C6" w:rsidTr="00834BF3">
        <w:trPr>
          <w:trHeight w:val="454"/>
        </w:trPr>
        <w:tc>
          <w:tcPr>
            <w:tcW w:w="1668" w:type="dxa"/>
          </w:tcPr>
          <w:p w:rsidR="00834BF3" w:rsidRPr="008653C6" w:rsidRDefault="00834BF3" w:rsidP="00D16BD4">
            <w:r w:rsidRPr="008653C6">
              <w:lastRenderedPageBreak/>
              <w:t>Disclosure of remuneration for insurance non-PRIPs (non-life)</w:t>
            </w:r>
          </w:p>
          <w:p w:rsidR="00834BF3" w:rsidRPr="008653C6" w:rsidRDefault="00834BF3" w:rsidP="00D16BD4"/>
        </w:tc>
        <w:tc>
          <w:tcPr>
            <w:tcW w:w="1134" w:type="dxa"/>
          </w:tcPr>
          <w:p w:rsidR="00834BF3" w:rsidRPr="008653C6" w:rsidRDefault="00834BF3" w:rsidP="00D16BD4">
            <w:pPr>
              <w:jc w:val="center"/>
            </w:pPr>
            <w:r w:rsidRPr="008653C6">
              <w:t>Recital 31, IMD2</w:t>
            </w:r>
          </w:p>
          <w:p w:rsidR="00834BF3" w:rsidRDefault="00834BF3" w:rsidP="00D16BD4">
            <w:pPr>
              <w:jc w:val="center"/>
            </w:pPr>
            <w:r w:rsidRPr="008653C6">
              <w:t>Article 17(2), IMD2</w:t>
            </w:r>
          </w:p>
          <w:p w:rsidR="00834BF3" w:rsidRPr="008653C6" w:rsidRDefault="00834BF3" w:rsidP="00D16BD4">
            <w:pPr>
              <w:jc w:val="center"/>
            </w:pPr>
          </w:p>
        </w:tc>
        <w:tc>
          <w:tcPr>
            <w:tcW w:w="2693" w:type="dxa"/>
          </w:tcPr>
          <w:p w:rsidR="00834BF3" w:rsidRPr="008653C6" w:rsidRDefault="00834BF3" w:rsidP="00AC11C3">
            <w:pPr>
              <w:pStyle w:val="ListParagraph"/>
              <w:numPr>
                <w:ilvl w:val="0"/>
                <w:numId w:val="5"/>
              </w:numPr>
              <w:ind w:left="459" w:hanging="284"/>
            </w:pPr>
            <w:r w:rsidRPr="008653C6">
              <w:t>Intermediaries subject to ‘on-request’ regime for the sale of non-life products with a transitional period of 5 years, after which the full disclosure regime will automatically apply to non-life products as well.</w:t>
            </w:r>
          </w:p>
        </w:tc>
        <w:tc>
          <w:tcPr>
            <w:tcW w:w="3618" w:type="dxa"/>
            <w:vMerge w:val="restart"/>
          </w:tcPr>
          <w:p w:rsidR="00834BF3" w:rsidRPr="000F49C5" w:rsidRDefault="00834BF3" w:rsidP="00CA720A">
            <w:pPr>
              <w:pStyle w:val="ListParagraph"/>
              <w:numPr>
                <w:ilvl w:val="0"/>
                <w:numId w:val="5"/>
              </w:numPr>
              <w:ind w:left="459" w:hanging="284"/>
            </w:pPr>
            <w:r w:rsidRPr="000F49C5">
              <w:t>Relevant provisions under the current IMD provide a good starting point to mitigate potential conflicts of interest</w:t>
            </w:r>
            <w:r>
              <w:t xml:space="preserve"> (</w:t>
            </w:r>
            <w:proofErr w:type="spellStart"/>
            <w:r>
              <w:t>eg</w:t>
            </w:r>
            <w:proofErr w:type="spellEnd"/>
            <w:r>
              <w:t xml:space="preserve"> disclosure of contractual obligations between intermediaries and undertakings, and disclosure of capital links).</w:t>
            </w:r>
          </w:p>
          <w:p w:rsidR="00834BF3" w:rsidRPr="000F49C5" w:rsidRDefault="00834BF3" w:rsidP="000F49C5">
            <w:pPr>
              <w:pStyle w:val="ListParagraph"/>
              <w:numPr>
                <w:ilvl w:val="0"/>
                <w:numId w:val="5"/>
              </w:numPr>
              <w:ind w:left="459" w:hanging="284"/>
            </w:pPr>
            <w:r w:rsidRPr="000F49C5">
              <w:t>Conflicts of interest can be addressed by mandatory disclosure by distributors, including direct sales forces of insurance undertakings, of their status and role vis-à-vis the consumer and the insurance company (the so-called “business card solution”).</w:t>
            </w:r>
          </w:p>
          <w:p w:rsidR="00834BF3" w:rsidRDefault="00834BF3" w:rsidP="000F49C5">
            <w:pPr>
              <w:pStyle w:val="ListParagraph"/>
              <w:numPr>
                <w:ilvl w:val="0"/>
                <w:numId w:val="5"/>
              </w:numPr>
              <w:ind w:left="459" w:hanging="284"/>
            </w:pPr>
            <w:r w:rsidRPr="008D1FE7">
              <w:t>Consumers should always be informed about the distributor’s specific role in the selling process. Therefore, the distributor should disclose whether he/she is acting as a broker, exclusive or multi-tied agent, or employee of an insurance undertaking to enable a consumer to understand whether the distributor is representing a consumer and providing his services independently and on the basis of fair analysis of the market, or if the distributor is acting for and on behalf of the insurance company and on the basis of an analysis of the products offered by the company</w:t>
            </w:r>
            <w:r>
              <w:t>.</w:t>
            </w:r>
          </w:p>
          <w:p w:rsidR="00834BF3" w:rsidRDefault="00834BF3" w:rsidP="000F49C5">
            <w:pPr>
              <w:pStyle w:val="ListParagraph"/>
              <w:numPr>
                <w:ilvl w:val="0"/>
                <w:numId w:val="5"/>
              </w:numPr>
              <w:ind w:left="459" w:hanging="284"/>
            </w:pPr>
            <w:r w:rsidRPr="008D1FE7">
              <w:t>Member States should be allowed to maintain additional rules on conflicts of interest, adjusted to their national market’s specificities.</w:t>
            </w:r>
          </w:p>
          <w:p w:rsidR="00834BF3" w:rsidRDefault="00834BF3" w:rsidP="000F49C5">
            <w:pPr>
              <w:pStyle w:val="ListParagraph"/>
              <w:numPr>
                <w:ilvl w:val="0"/>
                <w:numId w:val="5"/>
              </w:numPr>
              <w:ind w:left="459" w:hanging="284"/>
            </w:pPr>
            <w:r w:rsidRPr="000F49C5">
              <w:t xml:space="preserve">If further steps are considered desirable at EU level, it should follow a minimum harmonisation </w:t>
            </w:r>
            <w:r w:rsidRPr="000F49C5">
              <w:lastRenderedPageBreak/>
              <w:t xml:space="preserve">approach and an appropriate solution would be to encourage mandatory, automatic transparency for intermediaries as to the form (fee/commission) and the source of their remuneration (insurance undertaking/policyholder), regardless of the type of insurance product. </w:t>
            </w:r>
            <w:r w:rsidRPr="008D1FE7">
              <w:t>This has the advantage of ensuring the consumer is informed and aware at the pre-contractual stage of the particular form in which an intermediary is remunerated and by whom he/she is remunerated. This would be particularly important for independent advisers to address their dual role. It would also reflect the need for a level playing field, while remaining compatible with the differences between the various distribution channels.</w:t>
            </w:r>
          </w:p>
          <w:p w:rsidR="00834BF3" w:rsidRPr="000F49C5" w:rsidRDefault="00834BF3" w:rsidP="00AC11C3"/>
        </w:tc>
        <w:tc>
          <w:tcPr>
            <w:tcW w:w="2761" w:type="dxa"/>
            <w:vMerge w:val="restart"/>
          </w:tcPr>
          <w:p w:rsidR="00834BF3" w:rsidRDefault="00834BF3" w:rsidP="006574E8">
            <w:pPr>
              <w:pStyle w:val="ListParagraph"/>
              <w:numPr>
                <w:ilvl w:val="0"/>
                <w:numId w:val="5"/>
              </w:numPr>
              <w:ind w:left="459" w:hanging="284"/>
            </w:pPr>
            <w:r w:rsidRPr="000F49C5">
              <w:lastRenderedPageBreak/>
              <w:t>With regard to remuneration disclosure issues concerning life, non-life and contingent commissions, and the ban on commission for independent advice for insurance PRIPs, participants during the TF meeting on 24 July expressed their support for following a minimum harmonisation approach, with the question of where to place the bar for the level of minimum harmonisation to be discussed further in taskforce meetings.</w:t>
            </w:r>
          </w:p>
          <w:p w:rsidR="00834BF3" w:rsidRPr="000F49C5" w:rsidRDefault="00834BF3" w:rsidP="006574E8">
            <w:pPr>
              <w:pStyle w:val="ListParagraph"/>
              <w:numPr>
                <w:ilvl w:val="0"/>
                <w:numId w:val="5"/>
              </w:numPr>
              <w:ind w:left="459" w:hanging="284"/>
            </w:pPr>
            <w:r>
              <w:t xml:space="preserve">This issue should also be looked at in light of the latest </w:t>
            </w:r>
            <w:proofErr w:type="spellStart"/>
            <w:r>
              <w:t>MiFID</w:t>
            </w:r>
            <w:proofErr w:type="spellEnd"/>
            <w:r>
              <w:t xml:space="preserve"> compromise amendments in the EP and the Ferber report (see SMC-DIS-12-</w:t>
            </w:r>
            <w:r w:rsidR="00141A42">
              <w:t>059</w:t>
            </w:r>
            <w:bookmarkStart w:id="0" w:name="_GoBack"/>
            <w:bookmarkEnd w:id="0"/>
            <w:r>
              <w:t xml:space="preserve"> and SMC-DIS-12-025).</w:t>
            </w:r>
          </w:p>
          <w:p w:rsidR="00834BF3" w:rsidRPr="000F49C5" w:rsidRDefault="00834BF3" w:rsidP="006574E8">
            <w:pPr>
              <w:ind w:left="459" w:hanging="284"/>
            </w:pPr>
          </w:p>
        </w:tc>
        <w:tc>
          <w:tcPr>
            <w:tcW w:w="2300" w:type="dxa"/>
          </w:tcPr>
          <w:p w:rsidR="00834BF3" w:rsidRPr="000F49C5" w:rsidRDefault="00834BF3" w:rsidP="006574E8">
            <w:pPr>
              <w:pStyle w:val="ListParagraph"/>
              <w:numPr>
                <w:ilvl w:val="0"/>
                <w:numId w:val="5"/>
              </w:numPr>
              <w:ind w:left="459" w:hanging="284"/>
            </w:pPr>
          </w:p>
        </w:tc>
      </w:tr>
      <w:tr w:rsidR="00834BF3" w:rsidRPr="008653C6" w:rsidTr="00834BF3">
        <w:trPr>
          <w:trHeight w:val="454"/>
        </w:trPr>
        <w:tc>
          <w:tcPr>
            <w:tcW w:w="1668" w:type="dxa"/>
          </w:tcPr>
          <w:p w:rsidR="00834BF3" w:rsidRPr="008653C6" w:rsidRDefault="00834BF3" w:rsidP="00D16BD4">
            <w:r w:rsidRPr="008653C6">
              <w:t>Disclosure of remuneration for insurance non-PRIPs (life)</w:t>
            </w:r>
          </w:p>
          <w:p w:rsidR="00834BF3" w:rsidRPr="008653C6" w:rsidRDefault="00834BF3" w:rsidP="00D16BD4"/>
        </w:tc>
        <w:tc>
          <w:tcPr>
            <w:tcW w:w="1134" w:type="dxa"/>
          </w:tcPr>
          <w:p w:rsidR="00834BF3" w:rsidRPr="008653C6" w:rsidRDefault="00834BF3" w:rsidP="00D16BD4">
            <w:pPr>
              <w:jc w:val="center"/>
            </w:pPr>
            <w:r w:rsidRPr="008653C6">
              <w:t>Recital 31, IMD2</w:t>
            </w:r>
          </w:p>
          <w:p w:rsidR="00834BF3" w:rsidRPr="008653C6" w:rsidRDefault="00834BF3" w:rsidP="00D16BD4">
            <w:pPr>
              <w:jc w:val="center"/>
            </w:pPr>
            <w:r w:rsidRPr="008653C6">
              <w:t>Article 17(1), IMD2</w:t>
            </w:r>
          </w:p>
          <w:p w:rsidR="00834BF3" w:rsidRPr="008653C6" w:rsidRDefault="00834BF3" w:rsidP="00D16BD4">
            <w:pPr>
              <w:jc w:val="center"/>
            </w:pPr>
          </w:p>
        </w:tc>
        <w:tc>
          <w:tcPr>
            <w:tcW w:w="2693" w:type="dxa"/>
          </w:tcPr>
          <w:p w:rsidR="00834BF3" w:rsidRPr="008653C6" w:rsidRDefault="00834BF3" w:rsidP="00214B6E">
            <w:pPr>
              <w:pStyle w:val="ListParagraph"/>
              <w:numPr>
                <w:ilvl w:val="0"/>
                <w:numId w:val="5"/>
              </w:numPr>
              <w:ind w:left="459" w:hanging="284"/>
            </w:pPr>
            <w:r w:rsidRPr="008653C6">
              <w:t>Intermediaries subject to mandatory ‘full disclosure’ regime for the sale of life insurance products.</w:t>
            </w:r>
          </w:p>
          <w:p w:rsidR="00834BF3" w:rsidRPr="008653C6" w:rsidRDefault="00834BF3" w:rsidP="0003334E"/>
        </w:tc>
        <w:tc>
          <w:tcPr>
            <w:tcW w:w="3618" w:type="dxa"/>
            <w:vMerge/>
          </w:tcPr>
          <w:p w:rsidR="00834BF3" w:rsidRPr="008653C6" w:rsidRDefault="00834BF3" w:rsidP="006574E8">
            <w:pPr>
              <w:pStyle w:val="ListParagraph"/>
              <w:numPr>
                <w:ilvl w:val="0"/>
                <w:numId w:val="4"/>
              </w:numPr>
              <w:ind w:left="459" w:hanging="284"/>
            </w:pPr>
          </w:p>
        </w:tc>
        <w:tc>
          <w:tcPr>
            <w:tcW w:w="2761" w:type="dxa"/>
            <w:vMerge/>
          </w:tcPr>
          <w:p w:rsidR="00834BF3" w:rsidRPr="008653C6" w:rsidRDefault="00834BF3" w:rsidP="00214B6E">
            <w:pPr>
              <w:pStyle w:val="ListParagraph"/>
              <w:numPr>
                <w:ilvl w:val="0"/>
                <w:numId w:val="5"/>
              </w:numPr>
              <w:ind w:left="459" w:hanging="284"/>
            </w:pPr>
          </w:p>
        </w:tc>
        <w:tc>
          <w:tcPr>
            <w:tcW w:w="2300" w:type="dxa"/>
          </w:tcPr>
          <w:p w:rsidR="00834BF3" w:rsidRPr="008653C6" w:rsidRDefault="00834BF3" w:rsidP="00214B6E">
            <w:pPr>
              <w:pStyle w:val="ListParagraph"/>
              <w:numPr>
                <w:ilvl w:val="0"/>
                <w:numId w:val="5"/>
              </w:numPr>
              <w:ind w:left="459" w:hanging="284"/>
            </w:pPr>
          </w:p>
        </w:tc>
      </w:tr>
      <w:tr w:rsidR="00834BF3" w:rsidRPr="008653C6" w:rsidTr="00834BF3">
        <w:trPr>
          <w:trHeight w:val="454"/>
        </w:trPr>
        <w:tc>
          <w:tcPr>
            <w:tcW w:w="1668" w:type="dxa"/>
          </w:tcPr>
          <w:p w:rsidR="00834BF3" w:rsidRPr="008653C6" w:rsidRDefault="00834BF3" w:rsidP="00D16BD4">
            <w:r w:rsidRPr="008653C6">
              <w:t>Disclosure of contingent commissions</w:t>
            </w:r>
          </w:p>
        </w:tc>
        <w:tc>
          <w:tcPr>
            <w:tcW w:w="1134" w:type="dxa"/>
          </w:tcPr>
          <w:p w:rsidR="00834BF3" w:rsidRPr="008653C6" w:rsidRDefault="00834BF3" w:rsidP="00D16BD4">
            <w:pPr>
              <w:jc w:val="center"/>
            </w:pPr>
            <w:r w:rsidRPr="008653C6">
              <w:t>Article 17(1)(g), IMD2</w:t>
            </w:r>
          </w:p>
          <w:p w:rsidR="00834BF3" w:rsidRPr="008653C6" w:rsidRDefault="00834BF3" w:rsidP="00D16BD4">
            <w:pPr>
              <w:jc w:val="center"/>
            </w:pPr>
          </w:p>
        </w:tc>
        <w:tc>
          <w:tcPr>
            <w:tcW w:w="2693" w:type="dxa"/>
          </w:tcPr>
          <w:p w:rsidR="00834BF3" w:rsidRPr="008653C6" w:rsidRDefault="00834BF3" w:rsidP="000F49C5">
            <w:pPr>
              <w:pStyle w:val="ListParagraph"/>
              <w:numPr>
                <w:ilvl w:val="0"/>
                <w:numId w:val="5"/>
              </w:numPr>
              <w:ind w:left="459" w:hanging="284"/>
            </w:pPr>
            <w:r w:rsidRPr="008653C6">
              <w:t>If the amount of the commission is based on the achievement of agreed targets or thresholds, the intermediary must disclose these targets or thresholds as well as the amounts payable on the achievement of them.</w:t>
            </w:r>
          </w:p>
          <w:p w:rsidR="00834BF3" w:rsidRPr="008653C6" w:rsidRDefault="00834BF3" w:rsidP="000F49C5">
            <w:pPr>
              <w:pStyle w:val="ListParagraph"/>
              <w:numPr>
                <w:ilvl w:val="0"/>
                <w:numId w:val="5"/>
              </w:numPr>
              <w:ind w:left="459" w:hanging="284"/>
            </w:pPr>
            <w:r w:rsidRPr="008653C6">
              <w:t>Provision would apply for both life and non-life, without any transitional period.</w:t>
            </w:r>
          </w:p>
          <w:p w:rsidR="00834BF3" w:rsidRPr="008653C6" w:rsidRDefault="00834BF3" w:rsidP="000F49C5"/>
        </w:tc>
        <w:tc>
          <w:tcPr>
            <w:tcW w:w="3618" w:type="dxa"/>
            <w:vMerge/>
          </w:tcPr>
          <w:p w:rsidR="00834BF3" w:rsidRPr="008653C6" w:rsidRDefault="00834BF3" w:rsidP="006574E8">
            <w:pPr>
              <w:pStyle w:val="ListParagraph"/>
              <w:numPr>
                <w:ilvl w:val="0"/>
                <w:numId w:val="4"/>
              </w:numPr>
              <w:ind w:left="459" w:hanging="284"/>
            </w:pPr>
          </w:p>
        </w:tc>
        <w:tc>
          <w:tcPr>
            <w:tcW w:w="2761" w:type="dxa"/>
            <w:vMerge/>
          </w:tcPr>
          <w:p w:rsidR="00834BF3" w:rsidRPr="008653C6" w:rsidRDefault="00834BF3" w:rsidP="00D16BD4">
            <w:pPr>
              <w:pStyle w:val="ListParagraph"/>
              <w:numPr>
                <w:ilvl w:val="0"/>
                <w:numId w:val="4"/>
              </w:numPr>
              <w:ind w:left="459" w:hanging="284"/>
            </w:pPr>
          </w:p>
        </w:tc>
        <w:tc>
          <w:tcPr>
            <w:tcW w:w="2300" w:type="dxa"/>
          </w:tcPr>
          <w:p w:rsidR="00834BF3" w:rsidRPr="008653C6" w:rsidRDefault="00834BF3" w:rsidP="00D16BD4">
            <w:pPr>
              <w:pStyle w:val="ListParagraph"/>
              <w:numPr>
                <w:ilvl w:val="0"/>
                <w:numId w:val="4"/>
              </w:numPr>
              <w:ind w:left="459" w:hanging="284"/>
            </w:pPr>
          </w:p>
        </w:tc>
      </w:tr>
      <w:tr w:rsidR="00834BF3" w:rsidRPr="008653C6" w:rsidTr="00834BF3">
        <w:trPr>
          <w:trHeight w:val="454"/>
        </w:trPr>
        <w:tc>
          <w:tcPr>
            <w:tcW w:w="1668" w:type="dxa"/>
          </w:tcPr>
          <w:p w:rsidR="00834BF3" w:rsidRPr="008653C6" w:rsidRDefault="00834BF3" w:rsidP="00D16BD4">
            <w:r w:rsidRPr="008653C6">
              <w:t>Ban on commission for independent advice for insurance PRIPs</w:t>
            </w:r>
          </w:p>
        </w:tc>
        <w:tc>
          <w:tcPr>
            <w:tcW w:w="1134" w:type="dxa"/>
          </w:tcPr>
          <w:p w:rsidR="00834BF3" w:rsidRPr="008653C6" w:rsidRDefault="00834BF3" w:rsidP="00D16BD4">
            <w:pPr>
              <w:jc w:val="center"/>
            </w:pPr>
            <w:r w:rsidRPr="008653C6">
              <w:t>Article 24(5), IMD2</w:t>
            </w:r>
          </w:p>
        </w:tc>
        <w:tc>
          <w:tcPr>
            <w:tcW w:w="2693" w:type="dxa"/>
          </w:tcPr>
          <w:p w:rsidR="00834BF3" w:rsidRPr="008653C6" w:rsidRDefault="00834BF3" w:rsidP="000F49C5">
            <w:pPr>
              <w:pStyle w:val="ListParagraph"/>
              <w:numPr>
                <w:ilvl w:val="0"/>
                <w:numId w:val="5"/>
              </w:numPr>
              <w:ind w:left="459" w:hanging="284"/>
            </w:pPr>
            <w:r w:rsidRPr="008653C6">
              <w:t xml:space="preserve">When advice is provided on an independent basis, the intermediary or undertaking must assess a sufficiently large number of products on the market, which should be diversified with regard to type and </w:t>
            </w:r>
            <w:r w:rsidRPr="008653C6">
              <w:lastRenderedPageBreak/>
              <w:t xml:space="preserve">provider, and </w:t>
            </w:r>
            <w:r>
              <w:t xml:space="preserve">it </w:t>
            </w:r>
            <w:r w:rsidRPr="008653C6">
              <w:t xml:space="preserve">must not receive fees, commissions or any monetary benefits from third parties. </w:t>
            </w:r>
          </w:p>
          <w:p w:rsidR="00834BF3" w:rsidRPr="008653C6" w:rsidRDefault="00834BF3" w:rsidP="000F49C5"/>
        </w:tc>
        <w:tc>
          <w:tcPr>
            <w:tcW w:w="3618" w:type="dxa"/>
            <w:vMerge/>
          </w:tcPr>
          <w:p w:rsidR="00834BF3" w:rsidRPr="008653C6" w:rsidRDefault="00834BF3" w:rsidP="006574E8">
            <w:pPr>
              <w:pStyle w:val="ListParagraph"/>
              <w:numPr>
                <w:ilvl w:val="0"/>
                <w:numId w:val="4"/>
              </w:numPr>
              <w:ind w:left="459" w:hanging="284"/>
            </w:pPr>
          </w:p>
        </w:tc>
        <w:tc>
          <w:tcPr>
            <w:tcW w:w="2761" w:type="dxa"/>
            <w:vMerge/>
          </w:tcPr>
          <w:p w:rsidR="00834BF3" w:rsidRPr="008653C6" w:rsidRDefault="00834BF3" w:rsidP="00D16BD4">
            <w:pPr>
              <w:pStyle w:val="ListParagraph"/>
              <w:numPr>
                <w:ilvl w:val="0"/>
                <w:numId w:val="4"/>
              </w:numPr>
              <w:ind w:left="459" w:hanging="284"/>
            </w:pPr>
          </w:p>
        </w:tc>
        <w:tc>
          <w:tcPr>
            <w:tcW w:w="2300" w:type="dxa"/>
          </w:tcPr>
          <w:p w:rsidR="00834BF3" w:rsidRPr="008653C6" w:rsidRDefault="00834BF3" w:rsidP="00D16BD4">
            <w:pPr>
              <w:pStyle w:val="ListParagraph"/>
              <w:numPr>
                <w:ilvl w:val="0"/>
                <w:numId w:val="4"/>
              </w:numPr>
              <w:ind w:left="459" w:hanging="284"/>
            </w:pPr>
          </w:p>
        </w:tc>
      </w:tr>
      <w:tr w:rsidR="00834BF3" w:rsidRPr="008653C6" w:rsidTr="00834BF3">
        <w:trPr>
          <w:trHeight w:val="454"/>
        </w:trPr>
        <w:tc>
          <w:tcPr>
            <w:tcW w:w="1668" w:type="dxa"/>
          </w:tcPr>
          <w:p w:rsidR="00834BF3" w:rsidRDefault="00834BF3" w:rsidP="00D16BD4">
            <w:r>
              <w:lastRenderedPageBreak/>
              <w:t>Disclosure of payments made after conclusion of the contract</w:t>
            </w:r>
          </w:p>
          <w:p w:rsidR="00834BF3" w:rsidRPr="008653C6" w:rsidRDefault="00834BF3" w:rsidP="00D16BD4"/>
        </w:tc>
        <w:tc>
          <w:tcPr>
            <w:tcW w:w="1134" w:type="dxa"/>
          </w:tcPr>
          <w:p w:rsidR="00834BF3" w:rsidRPr="008653C6" w:rsidRDefault="00834BF3" w:rsidP="00D16BD4">
            <w:pPr>
              <w:jc w:val="center"/>
            </w:pPr>
            <w:r>
              <w:t>Article 17(4), IMD2</w:t>
            </w:r>
          </w:p>
        </w:tc>
        <w:tc>
          <w:tcPr>
            <w:tcW w:w="2693" w:type="dxa"/>
          </w:tcPr>
          <w:p w:rsidR="00834BF3" w:rsidRDefault="00834BF3" w:rsidP="000F49C5">
            <w:pPr>
              <w:pStyle w:val="ListParagraph"/>
              <w:numPr>
                <w:ilvl w:val="0"/>
                <w:numId w:val="5"/>
              </w:numPr>
              <w:ind w:left="459" w:hanging="284"/>
            </w:pPr>
            <w:r>
              <w:t>If any payments are made by the customer after the conclusion of the insurance contract, the undertaking or intermediary shall also make disclosures for each such payment.</w:t>
            </w:r>
          </w:p>
          <w:p w:rsidR="00834BF3" w:rsidRPr="008653C6" w:rsidRDefault="00834BF3" w:rsidP="002C5BCD">
            <w:pPr>
              <w:pStyle w:val="ListParagraph"/>
              <w:ind w:left="459"/>
            </w:pPr>
          </w:p>
        </w:tc>
        <w:tc>
          <w:tcPr>
            <w:tcW w:w="3618" w:type="dxa"/>
          </w:tcPr>
          <w:p w:rsidR="00834BF3" w:rsidRPr="008653C6" w:rsidRDefault="00834BF3" w:rsidP="006574E8">
            <w:pPr>
              <w:pStyle w:val="ListParagraph"/>
              <w:numPr>
                <w:ilvl w:val="0"/>
                <w:numId w:val="4"/>
              </w:numPr>
              <w:ind w:left="459" w:hanging="284"/>
            </w:pPr>
            <w:r>
              <w:t>n/a</w:t>
            </w:r>
          </w:p>
        </w:tc>
        <w:tc>
          <w:tcPr>
            <w:tcW w:w="2761" w:type="dxa"/>
          </w:tcPr>
          <w:p w:rsidR="00834BF3" w:rsidRPr="008653C6" w:rsidRDefault="00834BF3" w:rsidP="00D16BD4">
            <w:pPr>
              <w:pStyle w:val="ListParagraph"/>
              <w:numPr>
                <w:ilvl w:val="0"/>
                <w:numId w:val="4"/>
              </w:numPr>
              <w:ind w:left="459" w:hanging="284"/>
            </w:pPr>
            <w:r>
              <w:t>n/a</w:t>
            </w:r>
          </w:p>
        </w:tc>
        <w:tc>
          <w:tcPr>
            <w:tcW w:w="2300" w:type="dxa"/>
          </w:tcPr>
          <w:p w:rsidR="00834BF3" w:rsidRDefault="00834BF3" w:rsidP="00D16BD4">
            <w:pPr>
              <w:pStyle w:val="ListParagraph"/>
              <w:numPr>
                <w:ilvl w:val="0"/>
                <w:numId w:val="4"/>
              </w:numPr>
              <w:ind w:left="459" w:hanging="284"/>
            </w:pPr>
          </w:p>
        </w:tc>
      </w:tr>
      <w:tr w:rsidR="00834BF3" w:rsidRPr="008653C6" w:rsidTr="00834BF3">
        <w:trPr>
          <w:trHeight w:val="454"/>
        </w:trPr>
        <w:tc>
          <w:tcPr>
            <w:tcW w:w="1668" w:type="dxa"/>
          </w:tcPr>
          <w:p w:rsidR="00834BF3" w:rsidRPr="008653C6" w:rsidRDefault="00834BF3" w:rsidP="00D16BD4">
            <w:r>
              <w:t>Delegated acts</w:t>
            </w:r>
          </w:p>
        </w:tc>
        <w:tc>
          <w:tcPr>
            <w:tcW w:w="1134" w:type="dxa"/>
          </w:tcPr>
          <w:p w:rsidR="00834BF3" w:rsidRDefault="00834BF3" w:rsidP="00D16BD4">
            <w:pPr>
              <w:jc w:val="center"/>
            </w:pPr>
            <w:r>
              <w:t>Article 17(5), IMD2</w:t>
            </w:r>
          </w:p>
          <w:p w:rsidR="00834BF3" w:rsidRPr="008653C6" w:rsidRDefault="00834BF3" w:rsidP="00D16BD4">
            <w:pPr>
              <w:jc w:val="center"/>
            </w:pPr>
          </w:p>
        </w:tc>
        <w:tc>
          <w:tcPr>
            <w:tcW w:w="2693" w:type="dxa"/>
          </w:tcPr>
          <w:p w:rsidR="00834BF3" w:rsidRDefault="00834BF3" w:rsidP="00B87A6F">
            <w:pPr>
              <w:pStyle w:val="ListParagraph"/>
              <w:numPr>
                <w:ilvl w:val="0"/>
                <w:numId w:val="5"/>
              </w:numPr>
              <w:ind w:left="459" w:hanging="284"/>
            </w:pPr>
            <w:r w:rsidRPr="00B87A6F">
              <w:t xml:space="preserve">EC is empowered to adopt delegated acts specifying appropriate criteria for determining how the remuneration of the intermediary shall be disclosed </w:t>
            </w:r>
            <w:r>
              <w:t>to the customer,</w:t>
            </w:r>
            <w:r w:rsidRPr="00B87A6F">
              <w:t xml:space="preserve"> for determining the basis </w:t>
            </w:r>
            <w:r w:rsidRPr="00B87A6F">
              <w:lastRenderedPageBreak/>
              <w:t>of calculation of the fee or commission</w:t>
            </w:r>
            <w:r>
              <w:t>, and the steps intermediaries and undertakings might reasonably be expected to take to disclose their remuneration to the customer</w:t>
            </w:r>
            <w:r w:rsidRPr="00B87A6F">
              <w:t>.</w:t>
            </w:r>
          </w:p>
          <w:p w:rsidR="00834BF3" w:rsidRPr="008653C6" w:rsidRDefault="00834BF3" w:rsidP="00B87A6F"/>
        </w:tc>
        <w:tc>
          <w:tcPr>
            <w:tcW w:w="3618" w:type="dxa"/>
          </w:tcPr>
          <w:p w:rsidR="00834BF3" w:rsidRPr="008653C6" w:rsidRDefault="00834BF3" w:rsidP="006574E8">
            <w:pPr>
              <w:pStyle w:val="ListParagraph"/>
              <w:numPr>
                <w:ilvl w:val="0"/>
                <w:numId w:val="4"/>
              </w:numPr>
              <w:ind w:left="459" w:hanging="284"/>
            </w:pPr>
            <w:r>
              <w:lastRenderedPageBreak/>
              <w:t>n/a</w:t>
            </w:r>
          </w:p>
        </w:tc>
        <w:tc>
          <w:tcPr>
            <w:tcW w:w="2761" w:type="dxa"/>
          </w:tcPr>
          <w:p w:rsidR="00834BF3" w:rsidRDefault="00834BF3" w:rsidP="00104268">
            <w:pPr>
              <w:pStyle w:val="ListParagraph"/>
              <w:numPr>
                <w:ilvl w:val="0"/>
                <w:numId w:val="4"/>
              </w:numPr>
              <w:ind w:left="459" w:hanging="284"/>
            </w:pPr>
            <w:r>
              <w:t>The provision in Art. 17(5)(b) allowing the EC to adopt delegated acts for determining the basis of calculation of the fee or commission implies that the EC will be able to define how employees/intermediari</w:t>
            </w:r>
            <w:r>
              <w:lastRenderedPageBreak/>
              <w:t xml:space="preserve">es will be remunerated. This may also contravene collective agreements/labour law. It is possible that this may be a typo in the text and that the EC intended to say “for determining </w:t>
            </w:r>
            <w:r w:rsidRPr="00642AA8">
              <w:rPr>
                <w:u w:val="single"/>
              </w:rPr>
              <w:t>how to disclose</w:t>
            </w:r>
            <w:r>
              <w:t xml:space="preserve"> the basis…”, as it is drafted in Art. 17(5</w:t>
            </w:r>
            <w:proofErr w:type="gramStart"/>
            <w:r>
              <w:t>)(</w:t>
            </w:r>
            <w:proofErr w:type="gramEnd"/>
            <w:r>
              <w:t>a).</w:t>
            </w:r>
          </w:p>
          <w:p w:rsidR="00834BF3" w:rsidRDefault="00834BF3" w:rsidP="00104268">
            <w:pPr>
              <w:pStyle w:val="ListParagraph"/>
              <w:numPr>
                <w:ilvl w:val="0"/>
                <w:numId w:val="4"/>
              </w:numPr>
              <w:ind w:left="459" w:hanging="284"/>
            </w:pPr>
            <w:r>
              <w:t>Reference in Art. 17(5)(c) to the steps intermediaries and undertakings might reasonably be expected to take to disclose their remuneration to the customer would appear to be a mistake in the wording, as there is no remuneration disclosure required of insurance undertakings.</w:t>
            </w:r>
          </w:p>
          <w:p w:rsidR="00834BF3" w:rsidRPr="008653C6" w:rsidRDefault="00834BF3" w:rsidP="006016B4"/>
        </w:tc>
        <w:tc>
          <w:tcPr>
            <w:tcW w:w="2300" w:type="dxa"/>
          </w:tcPr>
          <w:p w:rsidR="00834BF3" w:rsidRDefault="00834BF3" w:rsidP="00104268">
            <w:pPr>
              <w:pStyle w:val="ListParagraph"/>
              <w:numPr>
                <w:ilvl w:val="0"/>
                <w:numId w:val="4"/>
              </w:numPr>
              <w:ind w:left="459" w:hanging="284"/>
            </w:pPr>
          </w:p>
        </w:tc>
      </w:tr>
    </w:tbl>
    <w:p w:rsidR="008D5EF2" w:rsidRPr="008653C6" w:rsidRDefault="008D5EF2" w:rsidP="000F49C5"/>
    <w:sectPr w:rsidR="008D5EF2" w:rsidRPr="008653C6" w:rsidSect="00BC438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758D" w:rsidRDefault="007E758D" w:rsidP="00827F4D">
      <w:pPr>
        <w:spacing w:after="0" w:line="240" w:lineRule="auto"/>
      </w:pPr>
      <w:r>
        <w:separator/>
      </w:r>
    </w:p>
  </w:endnote>
  <w:endnote w:type="continuationSeparator" w:id="0">
    <w:p w:rsidR="007E758D" w:rsidRDefault="007E758D" w:rsidP="00827F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altName w:val="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758D" w:rsidRDefault="007E758D" w:rsidP="00827F4D">
      <w:pPr>
        <w:spacing w:after="0" w:line="240" w:lineRule="auto"/>
      </w:pPr>
      <w:r>
        <w:separator/>
      </w:r>
    </w:p>
  </w:footnote>
  <w:footnote w:type="continuationSeparator" w:id="0">
    <w:p w:rsidR="007E758D" w:rsidRDefault="007E758D" w:rsidP="00827F4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55" type="#_x0000_t75" style="width:7in;height:422.6pt" o:bullet="t">
        <v:imagedata r:id="rId1" o:title="clip_image001"/>
      </v:shape>
    </w:pict>
  </w:numPicBullet>
  <w:numPicBullet w:numPicBulletId="1">
    <w:pict>
      <v:shape id="_x0000_i1556" type="#_x0000_t75" style="width:7in;height:422.6pt" o:bullet="t">
        <v:imagedata r:id="rId2" o:title="clip_image002"/>
      </v:shape>
    </w:pict>
  </w:numPicBullet>
  <w:numPicBullet w:numPicBulletId="2">
    <w:pict>
      <v:shape id="_x0000_i1557" type="#_x0000_t75" style="width:7in;height:422.6pt" o:bullet="t">
        <v:imagedata r:id="rId3" o:title="clip_image003"/>
      </v:shape>
    </w:pict>
  </w:numPicBullet>
  <w:abstractNum w:abstractNumId="0">
    <w:nsid w:val="0F3A46E3"/>
    <w:multiLevelType w:val="hybridMultilevel"/>
    <w:tmpl w:val="735ABAC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29F0ABC"/>
    <w:multiLevelType w:val="hybridMultilevel"/>
    <w:tmpl w:val="1B86520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946497E"/>
    <w:multiLevelType w:val="hybridMultilevel"/>
    <w:tmpl w:val="65E8D0D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FDC3721"/>
    <w:multiLevelType w:val="hybridMultilevel"/>
    <w:tmpl w:val="DB6C44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6B310266"/>
    <w:multiLevelType w:val="hybridMultilevel"/>
    <w:tmpl w:val="5400EC9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3"/>
  </w:num>
  <w:num w:numId="3">
    <w:abstractNumId w:val="4"/>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386"/>
    <w:rsid w:val="00013E42"/>
    <w:rsid w:val="00014523"/>
    <w:rsid w:val="00023B83"/>
    <w:rsid w:val="0003334E"/>
    <w:rsid w:val="000522DB"/>
    <w:rsid w:val="000627A6"/>
    <w:rsid w:val="00063B2F"/>
    <w:rsid w:val="00090AF9"/>
    <w:rsid w:val="000A477E"/>
    <w:rsid w:val="000E3CE5"/>
    <w:rsid w:val="000F49C5"/>
    <w:rsid w:val="000F556E"/>
    <w:rsid w:val="00101C0C"/>
    <w:rsid w:val="00104268"/>
    <w:rsid w:val="00125C72"/>
    <w:rsid w:val="00127557"/>
    <w:rsid w:val="00141A42"/>
    <w:rsid w:val="00160CBA"/>
    <w:rsid w:val="00174F45"/>
    <w:rsid w:val="001B3D59"/>
    <w:rsid w:val="001D02AA"/>
    <w:rsid w:val="001F2F9C"/>
    <w:rsid w:val="00205614"/>
    <w:rsid w:val="00210C12"/>
    <w:rsid w:val="00214B6E"/>
    <w:rsid w:val="0023186C"/>
    <w:rsid w:val="00276C74"/>
    <w:rsid w:val="002969BF"/>
    <w:rsid w:val="002B405A"/>
    <w:rsid w:val="002C5BCD"/>
    <w:rsid w:val="0030151A"/>
    <w:rsid w:val="00314532"/>
    <w:rsid w:val="00323F45"/>
    <w:rsid w:val="00334318"/>
    <w:rsid w:val="003631D6"/>
    <w:rsid w:val="003663AE"/>
    <w:rsid w:val="00382184"/>
    <w:rsid w:val="00385843"/>
    <w:rsid w:val="003B556D"/>
    <w:rsid w:val="003D26F0"/>
    <w:rsid w:val="003F308F"/>
    <w:rsid w:val="003F7052"/>
    <w:rsid w:val="00402BCF"/>
    <w:rsid w:val="00411E42"/>
    <w:rsid w:val="004127AA"/>
    <w:rsid w:val="00426B37"/>
    <w:rsid w:val="0043756C"/>
    <w:rsid w:val="004426C3"/>
    <w:rsid w:val="00466EC7"/>
    <w:rsid w:val="004C249B"/>
    <w:rsid w:val="004C4033"/>
    <w:rsid w:val="004C474F"/>
    <w:rsid w:val="004C69BD"/>
    <w:rsid w:val="00510D68"/>
    <w:rsid w:val="005218C2"/>
    <w:rsid w:val="00536E8F"/>
    <w:rsid w:val="00541C99"/>
    <w:rsid w:val="0055113A"/>
    <w:rsid w:val="0055269D"/>
    <w:rsid w:val="005639FA"/>
    <w:rsid w:val="00574A4A"/>
    <w:rsid w:val="00580546"/>
    <w:rsid w:val="005B1499"/>
    <w:rsid w:val="005B5C43"/>
    <w:rsid w:val="005E3F3C"/>
    <w:rsid w:val="006016B4"/>
    <w:rsid w:val="00602486"/>
    <w:rsid w:val="006055A3"/>
    <w:rsid w:val="00612831"/>
    <w:rsid w:val="00642AA8"/>
    <w:rsid w:val="0064680A"/>
    <w:rsid w:val="00651DAD"/>
    <w:rsid w:val="00655288"/>
    <w:rsid w:val="006574E8"/>
    <w:rsid w:val="00667D95"/>
    <w:rsid w:val="006926A0"/>
    <w:rsid w:val="006B2A72"/>
    <w:rsid w:val="006B5FDD"/>
    <w:rsid w:val="006C108F"/>
    <w:rsid w:val="006E1FBF"/>
    <w:rsid w:val="006E3CEC"/>
    <w:rsid w:val="006E492D"/>
    <w:rsid w:val="00712E80"/>
    <w:rsid w:val="00727BFE"/>
    <w:rsid w:val="007452D1"/>
    <w:rsid w:val="0076411D"/>
    <w:rsid w:val="007D36FD"/>
    <w:rsid w:val="007D7675"/>
    <w:rsid w:val="007E7392"/>
    <w:rsid w:val="007E758D"/>
    <w:rsid w:val="007F39CC"/>
    <w:rsid w:val="007F3AA2"/>
    <w:rsid w:val="00806988"/>
    <w:rsid w:val="00827F4D"/>
    <w:rsid w:val="00834BF3"/>
    <w:rsid w:val="008653C6"/>
    <w:rsid w:val="00865790"/>
    <w:rsid w:val="00883145"/>
    <w:rsid w:val="00894AFB"/>
    <w:rsid w:val="008A6A87"/>
    <w:rsid w:val="008B2A55"/>
    <w:rsid w:val="008B6D84"/>
    <w:rsid w:val="008C1BB3"/>
    <w:rsid w:val="008D1FE7"/>
    <w:rsid w:val="008D5EF2"/>
    <w:rsid w:val="008F2DC4"/>
    <w:rsid w:val="009006A5"/>
    <w:rsid w:val="00921418"/>
    <w:rsid w:val="009601D6"/>
    <w:rsid w:val="009D54DD"/>
    <w:rsid w:val="00A265F7"/>
    <w:rsid w:val="00A30662"/>
    <w:rsid w:val="00A52558"/>
    <w:rsid w:val="00A62282"/>
    <w:rsid w:val="00A8111F"/>
    <w:rsid w:val="00A81937"/>
    <w:rsid w:val="00AA57A8"/>
    <w:rsid w:val="00AA780A"/>
    <w:rsid w:val="00AC11C3"/>
    <w:rsid w:val="00AC1994"/>
    <w:rsid w:val="00AF159C"/>
    <w:rsid w:val="00B041FE"/>
    <w:rsid w:val="00B07E54"/>
    <w:rsid w:val="00B12E18"/>
    <w:rsid w:val="00B339D4"/>
    <w:rsid w:val="00B41B55"/>
    <w:rsid w:val="00B577AF"/>
    <w:rsid w:val="00B740F9"/>
    <w:rsid w:val="00B87A6F"/>
    <w:rsid w:val="00B90B5E"/>
    <w:rsid w:val="00B92DA7"/>
    <w:rsid w:val="00BA4A78"/>
    <w:rsid w:val="00BB1253"/>
    <w:rsid w:val="00BC1F34"/>
    <w:rsid w:val="00BC4386"/>
    <w:rsid w:val="00BD3A79"/>
    <w:rsid w:val="00BD3E27"/>
    <w:rsid w:val="00BE16EF"/>
    <w:rsid w:val="00BE181C"/>
    <w:rsid w:val="00BF5A00"/>
    <w:rsid w:val="00C06FDB"/>
    <w:rsid w:val="00C34808"/>
    <w:rsid w:val="00C35E91"/>
    <w:rsid w:val="00C83A21"/>
    <w:rsid w:val="00CA0E44"/>
    <w:rsid w:val="00CA720A"/>
    <w:rsid w:val="00CA7615"/>
    <w:rsid w:val="00CA7BD9"/>
    <w:rsid w:val="00CC70F9"/>
    <w:rsid w:val="00D06E05"/>
    <w:rsid w:val="00D073F7"/>
    <w:rsid w:val="00D16BD4"/>
    <w:rsid w:val="00D40E48"/>
    <w:rsid w:val="00D45F26"/>
    <w:rsid w:val="00D5363D"/>
    <w:rsid w:val="00D66C6A"/>
    <w:rsid w:val="00DB5D0C"/>
    <w:rsid w:val="00DB690E"/>
    <w:rsid w:val="00DC0C9A"/>
    <w:rsid w:val="00DC10D1"/>
    <w:rsid w:val="00E04670"/>
    <w:rsid w:val="00E1369C"/>
    <w:rsid w:val="00E81FF2"/>
    <w:rsid w:val="00EB64A9"/>
    <w:rsid w:val="00EC074E"/>
    <w:rsid w:val="00EC596B"/>
    <w:rsid w:val="00EC623E"/>
    <w:rsid w:val="00EE792E"/>
    <w:rsid w:val="00F11165"/>
    <w:rsid w:val="00F23C74"/>
    <w:rsid w:val="00F457D5"/>
    <w:rsid w:val="00F64295"/>
    <w:rsid w:val="00FD3894"/>
    <w:rsid w:val="00FF0D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17"/>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41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43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452D1"/>
    <w:pPr>
      <w:ind w:left="720"/>
      <w:contextualSpacing/>
    </w:pPr>
  </w:style>
  <w:style w:type="paragraph" w:styleId="FootnoteText">
    <w:name w:val="footnote text"/>
    <w:basedOn w:val="Normal"/>
    <w:link w:val="FootnoteTextChar"/>
    <w:uiPriority w:val="99"/>
    <w:semiHidden/>
    <w:unhideWhenUsed/>
    <w:rsid w:val="00827F4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27F4D"/>
    <w:rPr>
      <w:sz w:val="20"/>
      <w:szCs w:val="20"/>
    </w:rPr>
  </w:style>
  <w:style w:type="character" w:styleId="FootnoteReference">
    <w:name w:val="footnote reference"/>
    <w:basedOn w:val="DefaultParagraphFont"/>
    <w:uiPriority w:val="99"/>
    <w:semiHidden/>
    <w:unhideWhenUsed/>
    <w:rsid w:val="00827F4D"/>
    <w:rPr>
      <w:vertAlign w:val="superscript"/>
    </w:rPr>
  </w:style>
  <w:style w:type="table" w:customStyle="1" w:styleId="TableGrid1">
    <w:name w:val="Table Grid1"/>
    <w:basedOn w:val="TableNormal"/>
    <w:next w:val="TableGrid"/>
    <w:uiPriority w:val="59"/>
    <w:rsid w:val="00B041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17"/>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41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43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452D1"/>
    <w:pPr>
      <w:ind w:left="720"/>
      <w:contextualSpacing/>
    </w:pPr>
  </w:style>
  <w:style w:type="paragraph" w:styleId="FootnoteText">
    <w:name w:val="footnote text"/>
    <w:basedOn w:val="Normal"/>
    <w:link w:val="FootnoteTextChar"/>
    <w:uiPriority w:val="99"/>
    <w:semiHidden/>
    <w:unhideWhenUsed/>
    <w:rsid w:val="00827F4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27F4D"/>
    <w:rPr>
      <w:sz w:val="20"/>
      <w:szCs w:val="20"/>
    </w:rPr>
  </w:style>
  <w:style w:type="character" w:styleId="FootnoteReference">
    <w:name w:val="footnote reference"/>
    <w:basedOn w:val="DefaultParagraphFont"/>
    <w:uiPriority w:val="99"/>
    <w:semiHidden/>
    <w:unhideWhenUsed/>
    <w:rsid w:val="00827F4D"/>
    <w:rPr>
      <w:vertAlign w:val="superscript"/>
    </w:rPr>
  </w:style>
  <w:style w:type="table" w:customStyle="1" w:styleId="TableGrid1">
    <w:name w:val="Table Grid1"/>
    <w:basedOn w:val="TableNormal"/>
    <w:next w:val="TableGrid"/>
    <w:uiPriority w:val="59"/>
    <w:rsid w:val="00B041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809478">
      <w:bodyDiv w:val="1"/>
      <w:marLeft w:val="0"/>
      <w:marRight w:val="0"/>
      <w:marTop w:val="0"/>
      <w:marBottom w:val="0"/>
      <w:divBdr>
        <w:top w:val="none" w:sz="0" w:space="0" w:color="auto"/>
        <w:left w:val="none" w:sz="0" w:space="0" w:color="auto"/>
        <w:bottom w:val="none" w:sz="0" w:space="0" w:color="auto"/>
        <w:right w:val="none" w:sz="0" w:space="0" w:color="auto"/>
      </w:divBdr>
    </w:div>
    <w:div w:id="255749161">
      <w:bodyDiv w:val="1"/>
      <w:marLeft w:val="0"/>
      <w:marRight w:val="0"/>
      <w:marTop w:val="0"/>
      <w:marBottom w:val="0"/>
      <w:divBdr>
        <w:top w:val="none" w:sz="0" w:space="0" w:color="auto"/>
        <w:left w:val="none" w:sz="0" w:space="0" w:color="auto"/>
        <w:bottom w:val="none" w:sz="0" w:space="0" w:color="auto"/>
        <w:right w:val="none" w:sz="0" w:space="0" w:color="auto"/>
      </w:divBdr>
    </w:div>
    <w:div w:id="398674285">
      <w:bodyDiv w:val="1"/>
      <w:marLeft w:val="0"/>
      <w:marRight w:val="0"/>
      <w:marTop w:val="0"/>
      <w:marBottom w:val="0"/>
      <w:divBdr>
        <w:top w:val="none" w:sz="0" w:space="0" w:color="auto"/>
        <w:left w:val="none" w:sz="0" w:space="0" w:color="auto"/>
        <w:bottom w:val="none" w:sz="0" w:space="0" w:color="auto"/>
        <w:right w:val="none" w:sz="0" w:space="0" w:color="auto"/>
      </w:divBdr>
    </w:div>
    <w:div w:id="1324317767">
      <w:bodyDiv w:val="1"/>
      <w:marLeft w:val="0"/>
      <w:marRight w:val="0"/>
      <w:marTop w:val="0"/>
      <w:marBottom w:val="0"/>
      <w:divBdr>
        <w:top w:val="none" w:sz="0" w:space="0" w:color="auto"/>
        <w:left w:val="none" w:sz="0" w:space="0" w:color="auto"/>
        <w:bottom w:val="none" w:sz="0" w:space="0" w:color="auto"/>
        <w:right w:val="none" w:sz="0" w:space="0" w:color="auto"/>
      </w:divBdr>
    </w:div>
    <w:div w:id="1779181789">
      <w:bodyDiv w:val="1"/>
      <w:marLeft w:val="0"/>
      <w:marRight w:val="0"/>
      <w:marTop w:val="0"/>
      <w:marBottom w:val="0"/>
      <w:divBdr>
        <w:top w:val="none" w:sz="0" w:space="0" w:color="auto"/>
        <w:left w:val="none" w:sz="0" w:space="0" w:color="auto"/>
        <w:bottom w:val="none" w:sz="0" w:space="0" w:color="auto"/>
        <w:right w:val="none" w:sz="0" w:space="0" w:color="auto"/>
      </w:divBdr>
    </w:div>
    <w:div w:id="2007245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2B9735-60C3-42D4-BF38-8966B4DEE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686</TotalTime>
  <Pages>4</Pages>
  <Words>969</Words>
  <Characters>6697</Characters>
  <Application>Microsoft Office Word</Application>
  <DocSecurity>0</DocSecurity>
  <Lines>1674</Lines>
  <Paragraphs>766</Paragraphs>
  <ScaleCrop>false</ScaleCrop>
  <HeadingPairs>
    <vt:vector size="2" baseType="variant">
      <vt:variant>
        <vt:lpstr>Title</vt:lpstr>
      </vt:variant>
      <vt:variant>
        <vt:i4>1</vt:i4>
      </vt:variant>
    </vt:vector>
  </HeadingPairs>
  <TitlesOfParts>
    <vt:vector size="1" baseType="lpstr">
      <vt:lpstr/>
    </vt:vector>
  </TitlesOfParts>
  <Company>Insurance Europe</Company>
  <LinksUpToDate>false</LinksUpToDate>
  <CharactersWithSpaces>6900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Arthur Hilliard</dc:creator>
  <cp:lastModifiedBy>Arthur Hilliard</cp:lastModifiedBy>
  <cp:revision>21</cp:revision>
  <cp:lastPrinted>2012-07-27T07:57:00Z</cp:lastPrinted>
  <dcterms:created xsi:type="dcterms:W3CDTF">2012-07-31T11:41:00Z</dcterms:created>
  <dcterms:modified xsi:type="dcterms:W3CDTF">2012-08-13T12:39:00Z</dcterms:modified>
</cp:coreProperties>
</file>