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434D178" w:rsidR="00F01479" w:rsidRPr="00A20AAB" w:rsidRDefault="00120C4E" w:rsidP="00014394">
      <w:pPr>
        <w:spacing w:after="0" w:line="283" w:lineRule="auto"/>
        <w:jc w:val="center"/>
        <w:rPr>
          <w:rFonts w:cstheme="minorHAnsi"/>
          <w:b/>
          <w:bCs/>
          <w:sz w:val="24"/>
          <w:szCs w:val="24"/>
          <w:lang w:val="sk-SK"/>
        </w:rPr>
      </w:pPr>
      <w:r w:rsidRPr="00A20AAB">
        <w:rPr>
          <w:rFonts w:cstheme="minorHAnsi"/>
          <w:b/>
          <w:bCs/>
          <w:sz w:val="24"/>
          <w:szCs w:val="24"/>
          <w:lang w:val="sk-SK"/>
        </w:rPr>
        <w:t xml:space="preserve">Pripomienky SLASPO </w:t>
      </w:r>
      <w:r w:rsidR="00716817" w:rsidRPr="00A20AAB">
        <w:rPr>
          <w:rFonts w:cstheme="minorHAnsi"/>
          <w:b/>
          <w:bCs/>
          <w:sz w:val="24"/>
          <w:szCs w:val="24"/>
          <w:lang w:val="sk-SK"/>
        </w:rPr>
        <w:t>k návrhu zákona o  faktúre a zasielaní údajov do systému e-faktúra</w:t>
      </w:r>
    </w:p>
    <w:p w14:paraId="0954C9A1" w14:textId="77777777" w:rsidR="00716817" w:rsidRPr="00A20AAB" w:rsidRDefault="00716817" w:rsidP="00014394">
      <w:pPr>
        <w:spacing w:after="0" w:line="283" w:lineRule="auto"/>
        <w:jc w:val="center"/>
        <w:rPr>
          <w:rFonts w:cstheme="minorHAnsi"/>
          <w:b/>
          <w:bCs/>
          <w:sz w:val="24"/>
          <w:szCs w:val="24"/>
          <w:lang w:val="sk-SK"/>
        </w:rPr>
      </w:pPr>
    </w:p>
    <w:p w14:paraId="70D9C403" w14:textId="09A3EC18" w:rsidR="00114C5D" w:rsidRPr="00A20AAB" w:rsidRDefault="00114C5D" w:rsidP="00014394">
      <w:pPr>
        <w:pStyle w:val="Odsekzoznamu"/>
        <w:numPr>
          <w:ilvl w:val="0"/>
          <w:numId w:val="7"/>
        </w:numPr>
        <w:tabs>
          <w:tab w:val="left" w:pos="284"/>
        </w:tabs>
        <w:spacing w:line="283" w:lineRule="auto"/>
        <w:ind w:left="0" w:firstLine="0"/>
        <w:rPr>
          <w:rFonts w:eastAsia="Calibri" w:cstheme="minorHAnsi"/>
          <w:b/>
          <w:bCs/>
          <w:u w:val="single"/>
        </w:rPr>
      </w:pPr>
      <w:r w:rsidRPr="00A20AAB">
        <w:rPr>
          <w:rFonts w:eastAsia="Calibri" w:cstheme="minorHAnsi"/>
          <w:b/>
          <w:bCs/>
          <w:u w:val="single"/>
        </w:rPr>
        <w:t>k</w:t>
      </w:r>
      <w:r w:rsidR="003A27B7" w:rsidRPr="00A20AAB">
        <w:rPr>
          <w:rFonts w:eastAsia="Calibri" w:cstheme="minorHAnsi"/>
          <w:b/>
          <w:bCs/>
          <w:u w:val="single"/>
        </w:rPr>
        <w:t xml:space="preserve"> </w:t>
      </w:r>
      <w:r w:rsidR="00F80F52" w:rsidRPr="00A20AAB">
        <w:rPr>
          <w:rFonts w:eastAsia="Calibri" w:cstheme="minorHAnsi"/>
          <w:b/>
          <w:bCs/>
          <w:u w:val="single"/>
        </w:rPr>
        <w:t xml:space="preserve">§2 </w:t>
      </w:r>
      <w:r w:rsidRPr="00A20AAB">
        <w:rPr>
          <w:rFonts w:eastAsia="Calibri" w:cstheme="minorHAnsi"/>
          <w:b/>
          <w:bCs/>
          <w:u w:val="single"/>
        </w:rPr>
        <w:t xml:space="preserve">písm. </w:t>
      </w:r>
      <w:r w:rsidR="00F80F52" w:rsidRPr="00A20AAB">
        <w:rPr>
          <w:rFonts w:eastAsia="Calibri" w:cstheme="minorHAnsi"/>
          <w:b/>
          <w:bCs/>
          <w:u w:val="single"/>
        </w:rPr>
        <w:t>b)</w:t>
      </w:r>
      <w:r w:rsidR="003A27B7" w:rsidRPr="00A20AAB">
        <w:rPr>
          <w:rFonts w:eastAsia="Calibri" w:cstheme="minorHAnsi"/>
          <w:b/>
          <w:bCs/>
          <w:u w:val="single"/>
        </w:rPr>
        <w:t xml:space="preserve"> </w:t>
      </w:r>
    </w:p>
    <w:p w14:paraId="4025F7BA" w14:textId="58FAC0AC" w:rsidR="00114C5D" w:rsidRPr="00A20AAB" w:rsidRDefault="00114C5D" w:rsidP="00014394">
      <w:pPr>
        <w:pStyle w:val="Odsekzoznamu"/>
        <w:spacing w:line="283" w:lineRule="auto"/>
        <w:ind w:left="0"/>
        <w:rPr>
          <w:rFonts w:cstheme="minorHAnsi"/>
          <w:u w:val="single"/>
        </w:rPr>
      </w:pPr>
      <w:r w:rsidRPr="00A20AAB">
        <w:rPr>
          <w:rFonts w:eastAsia="Calibri" w:cstheme="minorHAnsi"/>
          <w:b/>
          <w:bCs/>
          <w:u w:val="single"/>
        </w:rPr>
        <w:t>Navrhuje</w:t>
      </w:r>
      <w:r w:rsidR="001209E3" w:rsidRPr="00A20AAB">
        <w:rPr>
          <w:rFonts w:eastAsia="Calibri" w:cstheme="minorHAnsi"/>
          <w:b/>
          <w:bCs/>
          <w:u w:val="single"/>
        </w:rPr>
        <w:t xml:space="preserve">me </w:t>
      </w:r>
      <w:r w:rsidRPr="00A20AAB">
        <w:rPr>
          <w:rFonts w:eastAsia="Calibri" w:cstheme="minorHAnsi"/>
          <w:b/>
          <w:bCs/>
          <w:u w:val="single"/>
        </w:rPr>
        <w:t>v</w:t>
      </w:r>
      <w:r w:rsidR="001209E3" w:rsidRPr="00A20AAB">
        <w:rPr>
          <w:rFonts w:eastAsia="Calibri" w:cstheme="minorHAnsi"/>
          <w:b/>
          <w:bCs/>
          <w:u w:val="single"/>
        </w:rPr>
        <w:t>ypust</w:t>
      </w:r>
      <w:r w:rsidRPr="00A20AAB">
        <w:rPr>
          <w:rFonts w:eastAsia="Calibri" w:cstheme="minorHAnsi"/>
          <w:b/>
          <w:bCs/>
          <w:u w:val="single"/>
        </w:rPr>
        <w:t>iť</w:t>
      </w:r>
      <w:r w:rsidR="001209E3" w:rsidRPr="00A20AAB">
        <w:rPr>
          <w:rFonts w:eastAsia="Calibri" w:cstheme="minorHAnsi"/>
          <w:b/>
          <w:bCs/>
          <w:u w:val="single"/>
        </w:rPr>
        <w:t xml:space="preserve"> slov</w:t>
      </w:r>
      <w:r w:rsidRPr="00A20AAB">
        <w:rPr>
          <w:rFonts w:eastAsia="Calibri" w:cstheme="minorHAnsi"/>
          <w:b/>
          <w:bCs/>
          <w:u w:val="single"/>
        </w:rPr>
        <w:t>á</w:t>
      </w:r>
      <w:r w:rsidR="001209E3" w:rsidRPr="00A20AAB">
        <w:rPr>
          <w:rFonts w:eastAsia="Calibri" w:cstheme="minorHAnsi"/>
          <w:b/>
          <w:bCs/>
          <w:u w:val="single"/>
        </w:rPr>
        <w:t xml:space="preserve"> „a dohoda o platbách poistného, ktorá je súčasťou poistnej zmluvy“</w:t>
      </w:r>
      <w:r w:rsidRPr="00A20AAB">
        <w:rPr>
          <w:rFonts w:eastAsia="Calibri" w:cstheme="minorHAnsi"/>
          <w:b/>
          <w:bCs/>
          <w:u w:val="single"/>
        </w:rPr>
        <w:t>.</w:t>
      </w:r>
    </w:p>
    <w:p w14:paraId="75A20E71" w14:textId="77777777" w:rsidR="00114C5D" w:rsidRPr="00A20AAB" w:rsidRDefault="00114C5D" w:rsidP="00014394">
      <w:pPr>
        <w:spacing w:after="0" w:line="283" w:lineRule="auto"/>
        <w:rPr>
          <w:rFonts w:cstheme="minorHAnsi"/>
          <w:u w:val="single"/>
          <w:lang w:val="sk-SK"/>
        </w:rPr>
      </w:pPr>
    </w:p>
    <w:p w14:paraId="3F3F7799" w14:textId="0BCDEA4C" w:rsidR="353A6999" w:rsidRPr="00A20AAB" w:rsidRDefault="00114C5D" w:rsidP="00014394">
      <w:pPr>
        <w:spacing w:after="0" w:line="283" w:lineRule="auto"/>
        <w:jc w:val="both"/>
        <w:rPr>
          <w:rFonts w:cstheme="minorHAnsi"/>
          <w:u w:val="single"/>
          <w:lang w:val="sk-SK"/>
        </w:rPr>
      </w:pPr>
      <w:r w:rsidRPr="00A20AAB">
        <w:rPr>
          <w:rFonts w:cstheme="minorHAnsi"/>
          <w:u w:val="single"/>
          <w:lang w:val="sk-SK"/>
        </w:rPr>
        <w:t>O</w:t>
      </w:r>
      <w:r w:rsidR="009C12F6" w:rsidRPr="00A20AAB">
        <w:rPr>
          <w:rFonts w:cstheme="minorHAnsi"/>
          <w:u w:val="single"/>
          <w:lang w:val="sk-SK"/>
        </w:rPr>
        <w:t>dôvodnenie</w:t>
      </w:r>
      <w:r w:rsidRPr="00A20AAB">
        <w:rPr>
          <w:rFonts w:cstheme="minorHAnsi"/>
          <w:u w:val="single"/>
          <w:lang w:val="sk-SK"/>
        </w:rPr>
        <w:t>:</w:t>
      </w:r>
    </w:p>
    <w:p w14:paraId="1362AFFD" w14:textId="0265B380" w:rsidR="48DDA135" w:rsidRPr="00A20AAB" w:rsidRDefault="00114C5D" w:rsidP="00014394">
      <w:pPr>
        <w:pStyle w:val="Odsekzoznamu"/>
        <w:spacing w:line="283" w:lineRule="auto"/>
        <w:ind w:left="0"/>
        <w:jc w:val="both"/>
        <w:rPr>
          <w:rFonts w:eastAsia="Calibri" w:cstheme="minorHAnsi"/>
        </w:rPr>
      </w:pPr>
      <w:r w:rsidRPr="00A20AAB">
        <w:rPr>
          <w:rFonts w:eastAsia="Calibri" w:cstheme="minorHAnsi"/>
        </w:rPr>
        <w:t>N</w:t>
      </w:r>
      <w:r w:rsidR="48DDA135" w:rsidRPr="00A20AAB">
        <w:rPr>
          <w:rFonts w:eastAsia="Calibri" w:cstheme="minorHAnsi"/>
        </w:rPr>
        <w:t>ávrh zákona ukladá poisťovniam novú povinnosť zasielať do systému e-faktúra informácie o všetkých nových poistných zmluvách (ročne 2,7 mil. len za členov SLASPO) ako aj informácie o každej zmene poistnej zmluvy, ktorá má vplyv na platbu poistného (napr. zánik poistnej zmluvy, zmena výšky poistného alebo frekvencie platenia).</w:t>
      </w:r>
      <w:r w:rsidRPr="00A20AAB">
        <w:rPr>
          <w:rFonts w:eastAsia="Calibri" w:cstheme="minorHAnsi"/>
          <w:b/>
          <w:bCs/>
        </w:rPr>
        <w:t xml:space="preserve"> </w:t>
      </w:r>
    </w:p>
    <w:p w14:paraId="23219A81" w14:textId="77777777" w:rsidR="00114C5D" w:rsidRPr="00A20AAB" w:rsidRDefault="00114C5D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6D902363" w14:textId="3A85EDBF" w:rsidR="00114C5D" w:rsidRDefault="48DDA135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Zároveň podľa prechodných ustanovení musia poisťovne do 31.1.2023 poslať do systému e-faktúra údaje o všetkých poistných zmluvách, z ktorých očakávajú platby po 31.12.2022 (čo prakticky znamená, že musia poslať údaje o takmer všetkých aktívnych poistných zmluvách, ktorých členovia SLASPO mali k 31.12.2020 vyše 10,7 mil. kusov).</w:t>
      </w:r>
      <w:r w:rsidR="38248B9F" w:rsidRPr="00A20AAB">
        <w:rPr>
          <w:rFonts w:eastAsia="Calibri" w:cstheme="minorHAnsi"/>
          <w:lang w:val="sk-SK"/>
        </w:rPr>
        <w:t xml:space="preserve"> </w:t>
      </w:r>
    </w:p>
    <w:p w14:paraId="3EFE87D0" w14:textId="77777777" w:rsidR="00237BA5" w:rsidRPr="00A20AAB" w:rsidRDefault="00237BA5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323D64AD" w14:textId="39E42DD6" w:rsidR="009C12F6" w:rsidRPr="00A20AAB" w:rsidRDefault="00114C5D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Navrhujeme vyňať poistné zmluvy spod účinnosti zákona z dôvodov:</w:t>
      </w:r>
    </w:p>
    <w:p w14:paraId="01BF4350" w14:textId="77777777" w:rsidR="00A202D8" w:rsidRPr="00A20AAB" w:rsidRDefault="00A202D8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79A13A78" w14:textId="2119BAF9" w:rsidR="48DDA135" w:rsidRPr="00A20AAB" w:rsidRDefault="00014394" w:rsidP="003F3293">
      <w:pPr>
        <w:pStyle w:val="Odsekzoznamu"/>
        <w:numPr>
          <w:ilvl w:val="0"/>
          <w:numId w:val="11"/>
        </w:numPr>
        <w:spacing w:line="283" w:lineRule="auto"/>
        <w:jc w:val="both"/>
        <w:rPr>
          <w:rFonts w:eastAsia="Calibri" w:cstheme="minorHAnsi"/>
        </w:rPr>
      </w:pPr>
      <w:r w:rsidRPr="00A20AAB">
        <w:rPr>
          <w:rFonts w:eastAsia="Calibri" w:cstheme="minorHAnsi"/>
          <w:b/>
          <w:bCs/>
        </w:rPr>
        <w:t>Pri</w:t>
      </w:r>
      <w:r w:rsidR="009C12F6" w:rsidRPr="00A20AAB">
        <w:rPr>
          <w:rFonts w:eastAsia="Calibri" w:cstheme="minorHAnsi"/>
          <w:b/>
          <w:bCs/>
        </w:rPr>
        <w:t xml:space="preserve"> poistných zml</w:t>
      </w:r>
      <w:r w:rsidRPr="00A20AAB">
        <w:rPr>
          <w:rFonts w:eastAsia="Calibri" w:cstheme="minorHAnsi"/>
          <w:b/>
          <w:bCs/>
        </w:rPr>
        <w:t>u</w:t>
      </w:r>
      <w:r w:rsidR="009C12F6" w:rsidRPr="00A20AAB">
        <w:rPr>
          <w:rFonts w:eastAsia="Calibri" w:cstheme="minorHAnsi"/>
          <w:b/>
          <w:bCs/>
        </w:rPr>
        <w:t>v</w:t>
      </w:r>
      <w:r w:rsidRPr="00A20AAB">
        <w:rPr>
          <w:rFonts w:eastAsia="Calibri" w:cstheme="minorHAnsi"/>
          <w:b/>
          <w:bCs/>
        </w:rPr>
        <w:t>ách</w:t>
      </w:r>
      <w:r w:rsidR="009C12F6" w:rsidRPr="00A20AAB">
        <w:rPr>
          <w:rFonts w:eastAsia="Calibri" w:cstheme="minorHAnsi"/>
          <w:b/>
          <w:bCs/>
        </w:rPr>
        <w:t xml:space="preserve"> ide v</w:t>
      </w:r>
      <w:r w:rsidR="38248B9F" w:rsidRPr="00A20AAB">
        <w:rPr>
          <w:rFonts w:eastAsia="Calibri" w:cstheme="minorHAnsi"/>
          <w:b/>
          <w:bCs/>
        </w:rPr>
        <w:t>o väčšine prípadov o zmluvy poisťovní s fyzickými osobami</w:t>
      </w:r>
      <w:r w:rsidR="00CA1D54" w:rsidRPr="00A20AAB">
        <w:rPr>
          <w:rFonts w:eastAsia="Calibri" w:cstheme="minorHAnsi"/>
          <w:b/>
          <w:bCs/>
        </w:rPr>
        <w:t>-</w:t>
      </w:r>
      <w:r w:rsidR="38248B9F" w:rsidRPr="00A20AAB">
        <w:rPr>
          <w:rFonts w:eastAsia="Calibri" w:cstheme="minorHAnsi"/>
          <w:b/>
          <w:bCs/>
        </w:rPr>
        <w:t>nepodnikateľmi</w:t>
      </w:r>
      <w:r w:rsidR="6F81C4BA" w:rsidRPr="00A20AAB">
        <w:rPr>
          <w:rFonts w:eastAsia="Calibri" w:cstheme="minorHAnsi"/>
        </w:rPr>
        <w:t xml:space="preserve">, </w:t>
      </w:r>
      <w:r w:rsidR="6F81C4BA" w:rsidRPr="00A20AAB">
        <w:rPr>
          <w:rFonts w:eastAsia="Calibri" w:cstheme="minorHAnsi"/>
          <w:b/>
          <w:bCs/>
        </w:rPr>
        <w:t>ktoré sú pre správcu dane irelevantné</w:t>
      </w:r>
      <w:r w:rsidR="6F81C4BA" w:rsidRPr="00A20AAB">
        <w:rPr>
          <w:rFonts w:eastAsia="Calibri" w:cstheme="minorHAnsi"/>
        </w:rPr>
        <w:t xml:space="preserve"> (</w:t>
      </w:r>
      <w:r w:rsidR="009C12F6" w:rsidRPr="00A20AAB">
        <w:rPr>
          <w:rFonts w:eastAsia="Calibri" w:cstheme="minorHAnsi"/>
        </w:rPr>
        <w:t xml:space="preserve">z pohľadu dane z príjmov </w:t>
      </w:r>
      <w:r w:rsidR="6F81C4BA" w:rsidRPr="00A20AAB">
        <w:rPr>
          <w:rFonts w:eastAsia="Calibri" w:cstheme="minorHAnsi"/>
        </w:rPr>
        <w:t>neprichádza k</w:t>
      </w:r>
      <w:r w:rsidR="00CA1D54" w:rsidRPr="00A20AAB">
        <w:rPr>
          <w:rFonts w:eastAsia="Calibri" w:cstheme="minorHAnsi"/>
        </w:rPr>
        <w:t xml:space="preserve"> </w:t>
      </w:r>
      <w:r w:rsidR="6F81C4BA" w:rsidRPr="00A20AAB">
        <w:rPr>
          <w:rFonts w:eastAsia="Calibri" w:cstheme="minorHAnsi"/>
        </w:rPr>
        <w:t xml:space="preserve">uplatneniu </w:t>
      </w:r>
      <w:r w:rsidR="00CA1D54" w:rsidRPr="00A20AAB">
        <w:rPr>
          <w:rFonts w:eastAsia="Calibri" w:cstheme="minorHAnsi"/>
        </w:rPr>
        <w:t xml:space="preserve">platieb poistného u fyzických osôb – nepodnikateľov </w:t>
      </w:r>
      <w:r w:rsidR="6F81C4BA" w:rsidRPr="00A20AAB">
        <w:rPr>
          <w:rFonts w:eastAsia="Calibri" w:cstheme="minorHAnsi"/>
        </w:rPr>
        <w:t>v daňových výdavkoch</w:t>
      </w:r>
      <w:r w:rsidR="00CA1D54" w:rsidRPr="00A20AAB">
        <w:rPr>
          <w:rFonts w:eastAsia="Calibri" w:cstheme="minorHAnsi"/>
        </w:rPr>
        <w:t>, na zmluvy sa nevzťahuje DPH</w:t>
      </w:r>
      <w:r w:rsidR="6F81C4BA" w:rsidRPr="00A20AAB">
        <w:rPr>
          <w:rFonts w:eastAsia="Calibri" w:cstheme="minorHAnsi"/>
        </w:rPr>
        <w:t>).</w:t>
      </w:r>
      <w:r w:rsidR="43024522" w:rsidRPr="00A20AAB">
        <w:rPr>
          <w:rFonts w:eastAsia="Calibri" w:cstheme="minorHAnsi"/>
        </w:rPr>
        <w:t xml:space="preserve"> </w:t>
      </w:r>
    </w:p>
    <w:p w14:paraId="6CF6EC28" w14:textId="77777777" w:rsidR="00765875" w:rsidRPr="00A20AAB" w:rsidRDefault="00765875" w:rsidP="00014394">
      <w:pPr>
        <w:pStyle w:val="Textpoznmkypodiarou"/>
        <w:spacing w:line="283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F83CE7" w14:textId="069C109A" w:rsidR="00765875" w:rsidRPr="00A20AAB" w:rsidRDefault="00765875" w:rsidP="00014394">
      <w:pPr>
        <w:pStyle w:val="Odsekzoznamu"/>
        <w:numPr>
          <w:ilvl w:val="0"/>
          <w:numId w:val="9"/>
        </w:numPr>
        <w:tabs>
          <w:tab w:val="left" w:pos="284"/>
        </w:tabs>
        <w:spacing w:line="283" w:lineRule="auto"/>
        <w:ind w:left="0" w:firstLine="0"/>
        <w:jc w:val="both"/>
        <w:rPr>
          <w:rFonts w:eastAsia="Calibri" w:cstheme="minorHAnsi"/>
        </w:rPr>
      </w:pPr>
      <w:r w:rsidRPr="00A20AAB">
        <w:rPr>
          <w:rFonts w:eastAsia="Calibri" w:cstheme="minorHAnsi"/>
        </w:rPr>
        <w:t>N</w:t>
      </w:r>
      <w:r w:rsidR="48DDA135" w:rsidRPr="00A20AAB">
        <w:rPr>
          <w:rFonts w:eastAsia="Calibri" w:cstheme="minorHAnsi"/>
        </w:rPr>
        <w:t xml:space="preserve">ávrh zákona </w:t>
      </w:r>
      <w:r w:rsidR="48DDA135" w:rsidRPr="00A20AAB">
        <w:rPr>
          <w:rFonts w:eastAsia="Calibri" w:cstheme="minorHAnsi"/>
          <w:b/>
          <w:bCs/>
        </w:rPr>
        <w:t>výrazne zvyšuje administratívnu záťaž poisťovní</w:t>
      </w:r>
      <w:r w:rsidRPr="00A20AAB">
        <w:rPr>
          <w:rFonts w:eastAsia="Calibri" w:cstheme="minorHAnsi"/>
          <w:b/>
          <w:bCs/>
        </w:rPr>
        <w:t>.</w:t>
      </w:r>
    </w:p>
    <w:p w14:paraId="334084EF" w14:textId="2C35958D" w:rsidR="001209E3" w:rsidRPr="00A20AAB" w:rsidRDefault="00765875" w:rsidP="003F3293">
      <w:pPr>
        <w:pStyle w:val="Odsekzoznamu"/>
        <w:tabs>
          <w:tab w:val="left" w:pos="284"/>
        </w:tabs>
        <w:spacing w:line="283" w:lineRule="auto"/>
        <w:ind w:left="284"/>
        <w:jc w:val="both"/>
        <w:rPr>
          <w:rFonts w:eastAsia="Calibri" w:cstheme="minorHAnsi"/>
        </w:rPr>
      </w:pPr>
      <w:r w:rsidRPr="00A20AAB">
        <w:rPr>
          <w:rFonts w:eastAsia="Calibri" w:cstheme="minorHAnsi"/>
        </w:rPr>
        <w:t>Aby poisťovne</w:t>
      </w:r>
      <w:r w:rsidR="00587CC4" w:rsidRPr="00A20AAB">
        <w:rPr>
          <w:rFonts w:eastAsia="Calibri" w:cstheme="minorHAnsi"/>
        </w:rPr>
        <w:t xml:space="preserve"> </w:t>
      </w:r>
      <w:r w:rsidR="48DDA135" w:rsidRPr="00A20AAB">
        <w:rPr>
          <w:rFonts w:eastAsia="Calibri" w:cstheme="minorHAnsi"/>
        </w:rPr>
        <w:t>dokázali splniť</w:t>
      </w:r>
      <w:r w:rsidR="00587CC4" w:rsidRPr="00A20AAB">
        <w:rPr>
          <w:rFonts w:eastAsia="Calibri" w:cstheme="minorHAnsi"/>
        </w:rPr>
        <w:t xml:space="preserve"> povinnosti vyplývajúce zo zákona aj pre poistné zmluvy</w:t>
      </w:r>
      <w:r w:rsidR="48DDA135" w:rsidRPr="00A20AAB">
        <w:rPr>
          <w:rFonts w:eastAsia="Calibri" w:cstheme="minorHAnsi"/>
        </w:rPr>
        <w:t>, mus</w:t>
      </w:r>
      <w:r w:rsidRPr="00A20AAB">
        <w:rPr>
          <w:rFonts w:eastAsia="Calibri" w:cstheme="minorHAnsi"/>
        </w:rPr>
        <w:t xml:space="preserve">eli </w:t>
      </w:r>
      <w:r w:rsidR="48DDA135" w:rsidRPr="00A20AAB">
        <w:rPr>
          <w:rFonts w:eastAsia="Calibri" w:cstheme="minorHAnsi"/>
        </w:rPr>
        <w:t>investovať významné prostriedky do úprav informačných systémov</w:t>
      </w:r>
      <w:r w:rsidR="00587CC4" w:rsidRPr="00A20AAB">
        <w:rPr>
          <w:rFonts w:eastAsia="Calibri" w:cstheme="minorHAnsi"/>
        </w:rPr>
        <w:t xml:space="preserve"> používaných na správu poistných zmlúv.</w:t>
      </w:r>
      <w:r w:rsidRPr="00A20AAB">
        <w:rPr>
          <w:rFonts w:eastAsia="Calibri" w:cstheme="minorHAnsi"/>
        </w:rPr>
        <w:t xml:space="preserve"> </w:t>
      </w:r>
      <w:r w:rsidR="00587CC4" w:rsidRPr="00A20AAB">
        <w:rPr>
          <w:rFonts w:eastAsia="Calibri" w:cstheme="minorHAnsi"/>
        </w:rPr>
        <w:t xml:space="preserve">Poistné zmluvy sú totiž evidované </w:t>
      </w:r>
      <w:r w:rsidR="00587CC4" w:rsidRPr="00A20AAB">
        <w:rPr>
          <w:rFonts w:eastAsia="Calibri" w:cstheme="minorHAnsi"/>
          <w:b/>
          <w:bCs/>
        </w:rPr>
        <w:t>v úplne iných informačných systémoch ako sú tie,  ktoré slúžia na vedenie účtovníctva.</w:t>
      </w:r>
      <w:r w:rsidR="00587CC4" w:rsidRPr="00A20AAB">
        <w:rPr>
          <w:rFonts w:eastAsia="Calibri" w:cstheme="minorHAnsi"/>
        </w:rPr>
        <w:t xml:space="preserve"> </w:t>
      </w:r>
      <w:r w:rsidR="001209E3" w:rsidRPr="00A20AAB">
        <w:rPr>
          <w:rFonts w:eastAsia="Calibri" w:cstheme="minorHAnsi"/>
        </w:rPr>
        <w:t>N</w:t>
      </w:r>
      <w:r w:rsidR="00143BCC" w:rsidRPr="00A20AAB">
        <w:rPr>
          <w:rFonts w:eastAsia="Calibri" w:cstheme="minorHAnsi"/>
        </w:rPr>
        <w:t xml:space="preserve">áklady súvisiace s aplikovaním  zákona na poistné zmluvy </w:t>
      </w:r>
      <w:r w:rsidR="00587CC4" w:rsidRPr="00A20AAB">
        <w:rPr>
          <w:rFonts w:eastAsia="Calibri" w:cstheme="minorHAnsi"/>
        </w:rPr>
        <w:t xml:space="preserve"> na strane poisťovní</w:t>
      </w:r>
      <w:r w:rsidR="000962E3" w:rsidRPr="00A20AAB">
        <w:rPr>
          <w:rFonts w:eastAsia="Calibri" w:cstheme="minorHAnsi"/>
        </w:rPr>
        <w:t xml:space="preserve"> </w:t>
      </w:r>
      <w:r w:rsidR="001209E3" w:rsidRPr="00A20AAB">
        <w:rPr>
          <w:rFonts w:eastAsia="Calibri" w:cstheme="minorHAnsi"/>
        </w:rPr>
        <w:t xml:space="preserve">by tak </w:t>
      </w:r>
      <w:r w:rsidR="000962E3" w:rsidRPr="00A20AAB">
        <w:rPr>
          <w:rFonts w:eastAsia="Calibri" w:cstheme="minorHAnsi"/>
        </w:rPr>
        <w:t xml:space="preserve">boli </w:t>
      </w:r>
      <w:r w:rsidR="00587CC4" w:rsidRPr="00A20AAB">
        <w:rPr>
          <w:rFonts w:eastAsia="Calibri" w:cstheme="minorHAnsi"/>
        </w:rPr>
        <w:t xml:space="preserve"> niekoľkonásobn</w:t>
      </w:r>
      <w:r w:rsidR="00143BCC" w:rsidRPr="00A20AAB">
        <w:rPr>
          <w:rFonts w:eastAsia="Calibri" w:cstheme="minorHAnsi"/>
        </w:rPr>
        <w:t xml:space="preserve">e vyššie ako pre iné podnikateľské subjekty. </w:t>
      </w:r>
    </w:p>
    <w:p w14:paraId="50BA3C1E" w14:textId="77777777" w:rsidR="001209E3" w:rsidRPr="00A20AAB" w:rsidRDefault="001209E3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2AFF3652" w14:textId="1AA25F04" w:rsidR="001209E3" w:rsidRPr="00A20AAB" w:rsidRDefault="00143BCC" w:rsidP="003F3293">
      <w:pPr>
        <w:spacing w:after="0" w:line="283" w:lineRule="auto"/>
        <w:ind w:left="284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Vzhľadom na rôzne pravidlá platné pre rôzne poistné produkty (napr. pre zánik poistnej zmluvy v životnom poistení platia iné zákonné požiadavky ako pre neživotné poistenia)  môžu poisťovne používať niekoľko poistných systémov</w:t>
      </w:r>
      <w:r w:rsidR="000962E3" w:rsidRPr="00A20AAB">
        <w:rPr>
          <w:rFonts w:eastAsia="Calibri" w:cstheme="minorHAnsi"/>
          <w:lang w:val="sk-SK"/>
        </w:rPr>
        <w:t>. Poisťovne</w:t>
      </w:r>
      <w:r w:rsidR="00B61824" w:rsidRPr="00A20AAB">
        <w:rPr>
          <w:rFonts w:eastAsia="Calibri" w:cstheme="minorHAnsi"/>
          <w:lang w:val="sk-SK"/>
        </w:rPr>
        <w:t xml:space="preserve"> by teda</w:t>
      </w:r>
      <w:r w:rsidR="000962E3" w:rsidRPr="00A20AAB">
        <w:rPr>
          <w:rFonts w:eastAsia="Calibri" w:cstheme="minorHAnsi"/>
          <w:lang w:val="sk-SK"/>
        </w:rPr>
        <w:t xml:space="preserve"> museli</w:t>
      </w:r>
      <w:r w:rsidR="000962E3" w:rsidRPr="00A20AAB">
        <w:rPr>
          <w:rFonts w:eastAsia="Calibri" w:cstheme="minorHAnsi"/>
          <w:b/>
          <w:bCs/>
          <w:lang w:val="sk-SK"/>
        </w:rPr>
        <w:t xml:space="preserve"> </w:t>
      </w:r>
      <w:r w:rsidR="000962E3" w:rsidRPr="00A20AAB">
        <w:rPr>
          <w:rFonts w:eastAsia="Calibri" w:cstheme="minorHAnsi"/>
          <w:lang w:val="sk-SK"/>
        </w:rPr>
        <w:t>okrem úprav svojho účtovného systému</w:t>
      </w:r>
      <w:r w:rsidR="000962E3" w:rsidRPr="00A20AAB">
        <w:rPr>
          <w:rFonts w:eastAsia="Calibri" w:cstheme="minorHAnsi"/>
          <w:b/>
          <w:bCs/>
          <w:lang w:val="sk-SK"/>
        </w:rPr>
        <w:t xml:space="preserve"> iba kvôli poistným zmluvám upravovať aj všetky svoje poistné systémy tak, aby generovali výstupy požadované do systému e-faktúra</w:t>
      </w:r>
      <w:r w:rsidR="000962E3" w:rsidRPr="00A20AAB">
        <w:rPr>
          <w:rFonts w:eastAsia="Calibri" w:cstheme="minorHAnsi"/>
          <w:lang w:val="sk-SK"/>
        </w:rPr>
        <w:t xml:space="preserve">. </w:t>
      </w:r>
      <w:r w:rsidRPr="00A20AAB">
        <w:rPr>
          <w:rFonts w:eastAsia="Calibri" w:cstheme="minorHAnsi"/>
          <w:lang w:val="sk-SK"/>
        </w:rPr>
        <w:t xml:space="preserve"> </w:t>
      </w:r>
      <w:r w:rsidR="48DDA135" w:rsidRPr="00A20AAB">
        <w:rPr>
          <w:rFonts w:eastAsia="Calibri" w:cstheme="minorHAnsi"/>
          <w:lang w:val="sk-SK"/>
        </w:rPr>
        <w:t xml:space="preserve"> Pre splnenie požiadaviek návrhu  zákona by bolo v podstate potrebné v každej poisťovni a pobočke poisťovne na Slovensku  zabezpečiť prepojenie </w:t>
      </w:r>
      <w:r w:rsidR="000962E3" w:rsidRPr="00A20AAB">
        <w:rPr>
          <w:rFonts w:eastAsia="Calibri" w:cstheme="minorHAnsi"/>
          <w:lang w:val="sk-SK"/>
        </w:rPr>
        <w:t xml:space="preserve">všetkých </w:t>
      </w:r>
      <w:r w:rsidR="48DDA135" w:rsidRPr="00A20AAB">
        <w:rPr>
          <w:rFonts w:eastAsia="Calibri" w:cstheme="minorHAnsi"/>
          <w:lang w:val="sk-SK"/>
        </w:rPr>
        <w:t xml:space="preserve">systémov na správu poistných zmlúv so systémom e-faktúra buď on-line alebo formou generovania denných dávok, pretože zmena výšky poistného (napr. pri dopoistení určitého rizika), čo je v zmysle návrhu zákona dohoda o platbách, môže byť účinná dňom podpisu zmluvy,   a teda musí byť do e-faktúra reportovaná ešte v ten istý deň.  </w:t>
      </w:r>
    </w:p>
    <w:p w14:paraId="667B485F" w14:textId="77777777" w:rsidR="00765875" w:rsidRPr="00A20AAB" w:rsidRDefault="00765875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23F3A741" w14:textId="4A818940" w:rsidR="00070295" w:rsidRPr="00A20AAB" w:rsidRDefault="00FF593D" w:rsidP="003F3293">
      <w:pPr>
        <w:spacing w:after="0" w:line="283" w:lineRule="auto"/>
        <w:ind w:left="284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Výrazným problém</w:t>
      </w:r>
      <w:r w:rsidR="004805E7" w:rsidRPr="00A20AAB">
        <w:rPr>
          <w:rFonts w:eastAsia="Calibri" w:cstheme="minorHAnsi"/>
          <w:lang w:val="sk-SK"/>
        </w:rPr>
        <w:t>om</w:t>
      </w:r>
      <w:r w:rsidRPr="00A20AAB">
        <w:rPr>
          <w:rFonts w:eastAsia="Calibri" w:cstheme="minorHAnsi"/>
          <w:lang w:val="sk-SK"/>
        </w:rPr>
        <w:t xml:space="preserve"> v súvislosti s poistnými zmluvami je aj</w:t>
      </w:r>
      <w:r w:rsidRPr="00A20AAB">
        <w:rPr>
          <w:rFonts w:eastAsia="Calibri" w:cstheme="minorHAnsi"/>
          <w:b/>
          <w:bCs/>
          <w:lang w:val="sk-SK"/>
        </w:rPr>
        <w:t xml:space="preserve"> rozsah údajov,</w:t>
      </w:r>
      <w:r w:rsidRPr="00A20AAB">
        <w:rPr>
          <w:rFonts w:eastAsia="Calibri" w:cstheme="minorHAnsi"/>
          <w:lang w:val="sk-SK"/>
        </w:rPr>
        <w:t xml:space="preserve"> ktoré sa do systému e-faktúra majú posielať. </w:t>
      </w:r>
      <w:r w:rsidR="00070295" w:rsidRPr="00A20AAB">
        <w:rPr>
          <w:rFonts w:eastAsia="Calibri" w:cstheme="minorHAnsi"/>
          <w:lang w:val="sk-SK"/>
        </w:rPr>
        <w:t xml:space="preserve">Napríklad </w:t>
      </w:r>
      <w:r w:rsidR="00070295" w:rsidRPr="00A20AAB">
        <w:rPr>
          <w:rFonts w:eastAsia="Calibri" w:cstheme="minorHAnsi"/>
          <w:b/>
          <w:bCs/>
          <w:lang w:val="sk-SK"/>
        </w:rPr>
        <w:t>daňové identifikačné číslo</w:t>
      </w:r>
      <w:r w:rsidR="00070295" w:rsidRPr="00A20AAB">
        <w:rPr>
          <w:rFonts w:eastAsia="Calibri" w:cstheme="minorHAnsi"/>
          <w:lang w:val="sk-SK"/>
        </w:rPr>
        <w:t xml:space="preserve"> (predpokladáme, že to bude primárny identifikátor pre párovanie e-faktúr medzi dodávateľom a odberateľom) </w:t>
      </w:r>
      <w:r w:rsidR="00B211C6" w:rsidRPr="00A20AAB">
        <w:rPr>
          <w:rFonts w:eastAsia="Calibri" w:cstheme="minorHAnsi"/>
          <w:b/>
          <w:bCs/>
          <w:lang w:val="sk-SK"/>
        </w:rPr>
        <w:t xml:space="preserve">nepatrí podľa </w:t>
      </w:r>
      <w:r w:rsidRPr="00A20AAB">
        <w:rPr>
          <w:rFonts w:eastAsia="Calibri" w:cstheme="minorHAnsi"/>
          <w:b/>
          <w:bCs/>
          <w:lang w:val="sk-SK"/>
        </w:rPr>
        <w:t>zákon</w:t>
      </w:r>
      <w:r w:rsidR="00B211C6" w:rsidRPr="00A20AAB">
        <w:rPr>
          <w:rFonts w:eastAsia="Calibri" w:cstheme="minorHAnsi"/>
          <w:b/>
          <w:bCs/>
          <w:lang w:val="sk-SK"/>
        </w:rPr>
        <w:t>a</w:t>
      </w:r>
      <w:r w:rsidRPr="00A20AAB">
        <w:rPr>
          <w:rFonts w:eastAsia="Calibri" w:cstheme="minorHAnsi"/>
          <w:b/>
          <w:bCs/>
          <w:lang w:val="sk-SK"/>
        </w:rPr>
        <w:t xml:space="preserve"> o</w:t>
      </w:r>
      <w:r w:rsidR="00B211C6" w:rsidRPr="00A20AAB">
        <w:rPr>
          <w:rFonts w:eastAsia="Calibri" w:cstheme="minorHAnsi"/>
          <w:b/>
          <w:bCs/>
          <w:lang w:val="sk-SK"/>
        </w:rPr>
        <w:t> </w:t>
      </w:r>
      <w:r w:rsidRPr="00A20AAB">
        <w:rPr>
          <w:rFonts w:eastAsia="Calibri" w:cstheme="minorHAnsi"/>
          <w:b/>
          <w:bCs/>
          <w:lang w:val="sk-SK"/>
        </w:rPr>
        <w:t>poisťovníctve</w:t>
      </w:r>
      <w:r w:rsidR="00B211C6" w:rsidRPr="00A20AAB">
        <w:rPr>
          <w:rFonts w:eastAsia="Calibri" w:cstheme="minorHAnsi"/>
          <w:b/>
          <w:bCs/>
          <w:lang w:val="sk-SK"/>
        </w:rPr>
        <w:t xml:space="preserve"> (§78) k údajom, ktoré klienti  pri uzatváraní poistnej zmluvy musia poisťovni poskytnúť</w:t>
      </w:r>
      <w:r w:rsidR="00B211C6" w:rsidRPr="00A20AAB">
        <w:rPr>
          <w:rFonts w:eastAsia="Calibri" w:cstheme="minorHAnsi"/>
          <w:lang w:val="sk-SK"/>
        </w:rPr>
        <w:t xml:space="preserve">, preto tento údaj poisťovne </w:t>
      </w:r>
      <w:r w:rsidR="00070295" w:rsidRPr="00A20AAB">
        <w:rPr>
          <w:rFonts w:eastAsia="Calibri" w:cstheme="minorHAnsi"/>
          <w:lang w:val="sk-SK"/>
        </w:rPr>
        <w:t xml:space="preserve">nemusia </w:t>
      </w:r>
      <w:r w:rsidR="00B211C6" w:rsidRPr="00A20AAB">
        <w:rPr>
          <w:rFonts w:eastAsia="Calibri" w:cstheme="minorHAnsi"/>
          <w:lang w:val="sk-SK"/>
        </w:rPr>
        <w:t xml:space="preserve">evidovať vo svojich systémoch. </w:t>
      </w:r>
    </w:p>
    <w:p w14:paraId="225FD46B" w14:textId="77777777" w:rsidR="00A20AAB" w:rsidRPr="00A20AAB" w:rsidRDefault="00A20AAB" w:rsidP="00A20AAB">
      <w:pPr>
        <w:pStyle w:val="Odsekzoznamu"/>
        <w:tabs>
          <w:tab w:val="left" w:pos="426"/>
        </w:tabs>
        <w:spacing w:line="283" w:lineRule="auto"/>
        <w:jc w:val="both"/>
        <w:rPr>
          <w:rFonts w:eastAsia="Calibri" w:cstheme="minorHAnsi"/>
          <w:b/>
          <w:bCs/>
        </w:rPr>
      </w:pPr>
    </w:p>
    <w:p w14:paraId="6D8E9239" w14:textId="323E242D" w:rsidR="00C009A4" w:rsidRPr="00A20AAB" w:rsidRDefault="00C009A4" w:rsidP="00A20AAB">
      <w:pPr>
        <w:pStyle w:val="Odsekzoznamu"/>
        <w:numPr>
          <w:ilvl w:val="0"/>
          <w:numId w:val="9"/>
        </w:numPr>
        <w:tabs>
          <w:tab w:val="left" w:pos="426"/>
        </w:tabs>
        <w:spacing w:line="283" w:lineRule="auto"/>
        <w:ind w:left="357" w:hanging="357"/>
        <w:jc w:val="both"/>
        <w:rPr>
          <w:rFonts w:eastAsia="Calibri" w:cstheme="minorHAnsi"/>
          <w:b/>
          <w:bCs/>
        </w:rPr>
      </w:pPr>
      <w:r w:rsidRPr="00A20AAB">
        <w:rPr>
          <w:rFonts w:eastAsia="Calibri" w:cstheme="minorHAnsi"/>
          <w:b/>
          <w:bCs/>
        </w:rPr>
        <w:t>Informácie o poistných zmluvách nepomôžu pri znižovaní daňových po</w:t>
      </w:r>
      <w:r w:rsidR="00A20AAB" w:rsidRPr="00A20AAB">
        <w:rPr>
          <w:rFonts w:eastAsia="Calibri" w:cstheme="minorHAnsi"/>
          <w:b/>
          <w:bCs/>
        </w:rPr>
        <w:t>d</w:t>
      </w:r>
      <w:r w:rsidRPr="00A20AAB">
        <w:rPr>
          <w:rFonts w:eastAsia="Calibri" w:cstheme="minorHAnsi"/>
          <w:b/>
          <w:bCs/>
        </w:rPr>
        <w:t>vodov</w:t>
      </w:r>
    </w:p>
    <w:p w14:paraId="23F5627D" w14:textId="0F3689D6" w:rsidR="00BE4639" w:rsidRPr="00A20AAB" w:rsidRDefault="00765875" w:rsidP="00A20AAB">
      <w:pPr>
        <w:tabs>
          <w:tab w:val="left" w:pos="426"/>
        </w:tabs>
        <w:spacing w:line="283" w:lineRule="auto"/>
        <w:ind w:left="284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Z</w:t>
      </w:r>
      <w:r w:rsidR="48DDA135" w:rsidRPr="00A20AAB">
        <w:rPr>
          <w:rFonts w:eastAsia="Calibri" w:cstheme="minorHAnsi"/>
          <w:lang w:val="sk-SK"/>
        </w:rPr>
        <w:t xml:space="preserve">výšená administratívna záťaž poisťovní a vynaložené prostriedky </w:t>
      </w:r>
      <w:r w:rsidR="001209E3" w:rsidRPr="00A20AAB">
        <w:rPr>
          <w:rFonts w:eastAsia="Calibri" w:cstheme="minorHAnsi"/>
          <w:lang w:val="sk-SK"/>
        </w:rPr>
        <w:t>neprinesú</w:t>
      </w:r>
      <w:r w:rsidR="48DDA135" w:rsidRPr="00A20AAB">
        <w:rPr>
          <w:rFonts w:eastAsia="Calibri" w:cstheme="minorHAnsi"/>
          <w:lang w:val="sk-SK"/>
        </w:rPr>
        <w:t xml:space="preserve"> žiaden prínos pri znižovaní daňových podvodov</w:t>
      </w:r>
      <w:r w:rsidR="00C009A4" w:rsidRPr="00A20AAB">
        <w:rPr>
          <w:rFonts w:eastAsia="Calibri" w:cstheme="minorHAnsi"/>
          <w:lang w:val="sk-SK"/>
        </w:rPr>
        <w:t xml:space="preserve">. </w:t>
      </w:r>
      <w:r w:rsidRPr="00A20AAB">
        <w:rPr>
          <w:rFonts w:eastAsia="Calibri" w:cstheme="minorHAnsi"/>
          <w:lang w:val="sk-SK"/>
        </w:rPr>
        <w:t>Keď</w:t>
      </w:r>
      <w:r w:rsidR="48DDA135" w:rsidRPr="00A20AAB">
        <w:rPr>
          <w:rFonts w:eastAsia="Calibri" w:cstheme="minorHAnsi"/>
          <w:lang w:val="sk-SK"/>
        </w:rPr>
        <w:t xml:space="preserve">že </w:t>
      </w:r>
      <w:r w:rsidRPr="00A20AAB">
        <w:rPr>
          <w:rFonts w:eastAsia="Calibri" w:cstheme="minorHAnsi"/>
          <w:lang w:val="sk-SK"/>
        </w:rPr>
        <w:t xml:space="preserve">je </w:t>
      </w:r>
      <w:r w:rsidR="48DDA135" w:rsidRPr="00A20AAB">
        <w:rPr>
          <w:rFonts w:eastAsia="Calibri" w:cstheme="minorHAnsi"/>
          <w:b/>
          <w:bCs/>
          <w:lang w:val="sk-SK"/>
        </w:rPr>
        <w:t>poistenie oslobodené od DPH</w:t>
      </w:r>
      <w:r w:rsidR="48DDA135" w:rsidRPr="00A20AAB">
        <w:rPr>
          <w:rFonts w:eastAsia="Calibri" w:cstheme="minorHAnsi"/>
          <w:lang w:val="sk-SK"/>
        </w:rPr>
        <w:t xml:space="preserve"> poistné zmluvy nemôžu vstupovať do podvodov s</w:t>
      </w:r>
      <w:r w:rsidR="00BE4639" w:rsidRPr="00A20AAB">
        <w:rPr>
          <w:rFonts w:eastAsia="Calibri" w:cstheme="minorHAnsi"/>
          <w:lang w:val="sk-SK"/>
        </w:rPr>
        <w:t> </w:t>
      </w:r>
      <w:r w:rsidR="48DDA135" w:rsidRPr="00A20AAB">
        <w:rPr>
          <w:rFonts w:eastAsia="Calibri" w:cstheme="minorHAnsi"/>
          <w:lang w:val="sk-SK"/>
        </w:rPr>
        <w:t>DPH</w:t>
      </w:r>
      <w:r w:rsidR="00BE4639" w:rsidRPr="00A20AAB">
        <w:rPr>
          <w:rFonts w:eastAsia="Calibri" w:cstheme="minorHAnsi"/>
          <w:lang w:val="sk-SK"/>
        </w:rPr>
        <w:t xml:space="preserve">. V zmysle európskej DPH legislatívy sú poisťovne v súčasnosti oslobodené od povinnosti vystavovať faktúry na oslobodené poistné služby. Zákon o DPH bol novelou 440/2012 </w:t>
      </w:r>
      <w:proofErr w:type="spellStart"/>
      <w:r w:rsidR="00BE4639" w:rsidRPr="00A20AAB">
        <w:rPr>
          <w:rFonts w:eastAsia="Calibri" w:cstheme="minorHAnsi"/>
          <w:lang w:val="sk-SK"/>
        </w:rPr>
        <w:t>Z.z</w:t>
      </w:r>
      <w:proofErr w:type="spellEnd"/>
      <w:r w:rsidR="00BE4639" w:rsidRPr="00A20AAB">
        <w:rPr>
          <w:rFonts w:eastAsia="Calibri" w:cstheme="minorHAnsi"/>
          <w:lang w:val="sk-SK"/>
        </w:rPr>
        <w:t>. zmenený  tak, že poisťovne nemajú povinnosť vystavovať ani faktúry v prípade dodania služieb s miestom dodania v inom členskom štáte alebo treťom štáte</w:t>
      </w:r>
      <w:r w:rsidR="003A27B7" w:rsidRPr="00A20AAB">
        <w:rPr>
          <w:rFonts w:eastAsia="Calibri" w:cstheme="minorHAnsi"/>
          <w:lang w:val="sk-SK"/>
        </w:rPr>
        <w:t xml:space="preserve"> (§72 ods.6)</w:t>
      </w:r>
      <w:r w:rsidR="00BE4639" w:rsidRPr="00A20AAB">
        <w:rPr>
          <w:rFonts w:eastAsia="Calibri" w:cstheme="minorHAnsi"/>
          <w:lang w:val="sk-SK"/>
        </w:rPr>
        <w:t xml:space="preserve">. Dôvodom je práve vysoká administratívna náročnosť. </w:t>
      </w:r>
    </w:p>
    <w:p w14:paraId="07F31CF0" w14:textId="6763B123" w:rsidR="48DDA135" w:rsidRPr="00A20AAB" w:rsidRDefault="00BE4639" w:rsidP="00A20AAB">
      <w:pPr>
        <w:spacing w:after="0" w:line="283" w:lineRule="auto"/>
        <w:ind w:left="284"/>
        <w:jc w:val="both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b/>
          <w:bCs/>
          <w:lang w:val="sk-SK"/>
        </w:rPr>
        <w:t xml:space="preserve">Nie </w:t>
      </w:r>
      <w:r w:rsidR="48DDA135" w:rsidRPr="00A20AAB">
        <w:rPr>
          <w:rFonts w:eastAsia="Calibri" w:cstheme="minorHAnsi"/>
          <w:b/>
          <w:bCs/>
          <w:lang w:val="sk-SK"/>
        </w:rPr>
        <w:t xml:space="preserve"> sú nám známe ani prípady, kedy by platenie poistného bolo dôvodom na neprimerané znižovanie dane z príjmov</w:t>
      </w:r>
      <w:r w:rsidR="48DDA135" w:rsidRPr="00A20AAB">
        <w:rPr>
          <w:rFonts w:eastAsia="Calibri" w:cstheme="minorHAnsi"/>
          <w:lang w:val="sk-SK"/>
        </w:rPr>
        <w:t>.</w:t>
      </w:r>
      <w:r w:rsidR="6CCC9E8A" w:rsidRPr="00A20AAB">
        <w:rPr>
          <w:rFonts w:eastAsia="Calibri" w:cstheme="minorHAnsi"/>
          <w:lang w:val="sk-SK"/>
        </w:rPr>
        <w:t xml:space="preserve"> V praxi sa nevyskytujú prípady</w:t>
      </w:r>
      <w:r w:rsidR="00C057DE" w:rsidRPr="00A20AAB">
        <w:rPr>
          <w:rFonts w:eastAsia="Calibri" w:cstheme="minorHAnsi"/>
          <w:lang w:val="sk-SK"/>
        </w:rPr>
        <w:t>,</w:t>
      </w:r>
      <w:r w:rsidR="6CCC9E8A" w:rsidRPr="00A20AAB">
        <w:rPr>
          <w:rFonts w:eastAsia="Calibri" w:cstheme="minorHAnsi"/>
          <w:lang w:val="sk-SK"/>
        </w:rPr>
        <w:t xml:space="preserve"> kedy by daňové orgány (napr. </w:t>
      </w:r>
      <w:r w:rsidR="005E0A1C" w:rsidRPr="00A20AAB">
        <w:rPr>
          <w:rFonts w:eastAsia="Calibri" w:cstheme="minorHAnsi"/>
          <w:lang w:val="sk-SK"/>
        </w:rPr>
        <w:t>f</w:t>
      </w:r>
      <w:r w:rsidR="6CCC9E8A" w:rsidRPr="00A20AAB">
        <w:rPr>
          <w:rFonts w:eastAsia="Calibri" w:cstheme="minorHAnsi"/>
          <w:lang w:val="sk-SK"/>
        </w:rPr>
        <w:t xml:space="preserve">ormou miestneho zisťovania) preverovali v poisťovniach existencie poistných zmlúv. </w:t>
      </w:r>
      <w:r w:rsidR="0713958E" w:rsidRPr="00A20AAB">
        <w:rPr>
          <w:rFonts w:eastAsia="Calibri" w:cstheme="minorHAnsi"/>
          <w:lang w:val="sk-SK"/>
        </w:rPr>
        <w:t>Zároveň sú poisťovne spoľahlivým partnerom daňovej správy</w:t>
      </w:r>
      <w:r w:rsidR="00B61824" w:rsidRPr="00A20AAB">
        <w:rPr>
          <w:rFonts w:eastAsia="Calibri" w:cstheme="minorHAnsi"/>
          <w:lang w:val="sk-SK"/>
        </w:rPr>
        <w:t>,</w:t>
      </w:r>
      <w:r w:rsidR="0713958E" w:rsidRPr="00A20AAB">
        <w:rPr>
          <w:rFonts w:eastAsia="Calibri" w:cstheme="minorHAnsi"/>
          <w:lang w:val="sk-SK"/>
        </w:rPr>
        <w:t xml:space="preserve"> </w:t>
      </w:r>
      <w:r w:rsidR="00B211C6" w:rsidRPr="00A20AAB">
        <w:rPr>
          <w:rFonts w:eastAsia="Calibri" w:cstheme="minorHAnsi"/>
          <w:lang w:val="sk-SK"/>
        </w:rPr>
        <w:t xml:space="preserve">preto </w:t>
      </w:r>
      <w:r w:rsidR="0713958E" w:rsidRPr="00A20AAB">
        <w:rPr>
          <w:rFonts w:eastAsia="Calibri" w:cstheme="minorHAnsi"/>
          <w:lang w:val="sk-SK"/>
        </w:rPr>
        <w:t xml:space="preserve"> </w:t>
      </w:r>
      <w:r w:rsidR="4C8DD9CD" w:rsidRPr="00A20AAB">
        <w:rPr>
          <w:rFonts w:eastAsia="Calibri" w:cstheme="minorHAnsi"/>
          <w:lang w:val="sk-SK"/>
        </w:rPr>
        <w:t>ak by</w:t>
      </w:r>
      <w:r w:rsidR="00B61824" w:rsidRPr="00A20AAB">
        <w:rPr>
          <w:rFonts w:eastAsia="Calibri" w:cstheme="minorHAnsi"/>
          <w:lang w:val="sk-SK"/>
        </w:rPr>
        <w:t xml:space="preserve"> vo výnimočnom prípade bolo</w:t>
      </w:r>
      <w:r w:rsidR="4C8DD9CD" w:rsidRPr="00A20AAB">
        <w:rPr>
          <w:rFonts w:eastAsia="Calibri" w:cstheme="minorHAnsi"/>
          <w:lang w:val="sk-SK"/>
        </w:rPr>
        <w:t xml:space="preserve"> takéto preverovanie potrebné, poskytnú potrebnú súčinnosť napríklad formou miestneho zisťovania (potvrdia</w:t>
      </w:r>
      <w:r w:rsidR="3A627AE5" w:rsidRPr="00A20AAB">
        <w:rPr>
          <w:rFonts w:eastAsia="Calibri" w:cstheme="minorHAnsi"/>
          <w:lang w:val="sk-SK"/>
        </w:rPr>
        <w:t xml:space="preserve"> </w:t>
      </w:r>
      <w:r w:rsidR="00B61824" w:rsidRPr="00A20AAB">
        <w:rPr>
          <w:rFonts w:eastAsia="Calibri" w:cstheme="minorHAnsi"/>
          <w:lang w:val="sk-SK"/>
        </w:rPr>
        <w:t>resp.</w:t>
      </w:r>
      <w:r w:rsidR="3A627AE5" w:rsidRPr="00A20AAB">
        <w:rPr>
          <w:rFonts w:eastAsia="Calibri" w:cstheme="minorHAnsi"/>
          <w:lang w:val="sk-SK"/>
        </w:rPr>
        <w:t xml:space="preserve"> vyvrátia či daná poistná zmluva existuje). </w:t>
      </w:r>
    </w:p>
    <w:p w14:paraId="768F894B" w14:textId="77777777" w:rsidR="00014394" w:rsidRPr="00A20AAB" w:rsidRDefault="00014394" w:rsidP="00014394">
      <w:pPr>
        <w:spacing w:after="0" w:line="283" w:lineRule="auto"/>
        <w:jc w:val="both"/>
        <w:rPr>
          <w:rFonts w:eastAsia="Calibri" w:cstheme="minorHAnsi"/>
          <w:lang w:val="sk-SK"/>
        </w:rPr>
      </w:pPr>
    </w:p>
    <w:p w14:paraId="0DABD2A6" w14:textId="53078BA0" w:rsidR="00C009A4" w:rsidRPr="00A20AAB" w:rsidRDefault="00C009A4" w:rsidP="00014394">
      <w:pPr>
        <w:pStyle w:val="Odsekzoznamu"/>
        <w:numPr>
          <w:ilvl w:val="0"/>
          <w:numId w:val="9"/>
        </w:numPr>
        <w:tabs>
          <w:tab w:val="left" w:pos="284"/>
        </w:tabs>
        <w:spacing w:line="283" w:lineRule="auto"/>
        <w:ind w:left="0" w:firstLine="0"/>
        <w:jc w:val="both"/>
        <w:rPr>
          <w:rFonts w:eastAsia="Calibri" w:cstheme="minorHAnsi"/>
        </w:rPr>
      </w:pPr>
      <w:r w:rsidRPr="00A20AAB">
        <w:rPr>
          <w:rFonts w:eastAsia="Calibri" w:cstheme="minorHAnsi"/>
          <w:b/>
          <w:bCs/>
        </w:rPr>
        <w:t>Časová kolízia s implementáciou IFRS 17 a IFRS 9</w:t>
      </w:r>
    </w:p>
    <w:p w14:paraId="010333B4" w14:textId="09EDDA48" w:rsidR="48DDA135" w:rsidRPr="00A20AAB" w:rsidRDefault="000C17CD" w:rsidP="00C009A4">
      <w:pPr>
        <w:tabs>
          <w:tab w:val="left" w:pos="284"/>
        </w:tabs>
        <w:spacing w:line="283" w:lineRule="auto"/>
        <w:ind w:left="357"/>
        <w:jc w:val="both"/>
        <w:rPr>
          <w:rFonts w:eastAsia="Calibri" w:cstheme="minorHAnsi"/>
          <w:b/>
          <w:bCs/>
          <w:lang w:val="sk-SK"/>
        </w:rPr>
      </w:pPr>
      <w:r w:rsidRPr="00A20AAB">
        <w:rPr>
          <w:rFonts w:eastAsia="Calibri" w:cstheme="minorHAnsi"/>
          <w:lang w:val="sk-SK"/>
        </w:rPr>
        <w:t>N</w:t>
      </w:r>
      <w:r w:rsidR="48DDA135" w:rsidRPr="00A20AAB">
        <w:rPr>
          <w:rFonts w:eastAsia="Calibri" w:cstheme="minorHAnsi"/>
          <w:lang w:val="sk-SK"/>
        </w:rPr>
        <w:t xml:space="preserve">ávrh zákona koliduje s implementáciou štandardov </w:t>
      </w:r>
      <w:r w:rsidR="48DDA135" w:rsidRPr="00A20AAB">
        <w:rPr>
          <w:rFonts w:eastAsia="Calibri" w:cstheme="minorHAnsi"/>
          <w:b/>
          <w:bCs/>
          <w:lang w:val="sk-SK"/>
        </w:rPr>
        <w:t>IFRS 17 a IFRS 9</w:t>
      </w:r>
      <w:r w:rsidR="48DDA135" w:rsidRPr="00A20AAB">
        <w:rPr>
          <w:rFonts w:eastAsia="Calibri" w:cstheme="minorHAnsi"/>
          <w:lang w:val="sk-SK"/>
        </w:rPr>
        <w:t>, ktoré musia poisťovne implementovať k 1.1.2023</w:t>
      </w:r>
      <w:r w:rsidR="48DDA135" w:rsidRPr="00A20AAB">
        <w:rPr>
          <w:rFonts w:eastAsia="Calibri" w:cstheme="minorHAnsi"/>
          <w:b/>
          <w:bCs/>
          <w:lang w:val="sk-SK"/>
        </w:rPr>
        <w:t>.</w:t>
      </w:r>
      <w:r w:rsidR="48DDA135" w:rsidRPr="00A20AAB">
        <w:rPr>
          <w:rFonts w:eastAsia="Calibri" w:cstheme="minorHAnsi"/>
          <w:lang w:val="sk-SK"/>
        </w:rPr>
        <w:t xml:space="preserve"> </w:t>
      </w:r>
      <w:r w:rsidR="00C009A4" w:rsidRPr="00A20AAB">
        <w:rPr>
          <w:rFonts w:eastAsia="Calibri" w:cstheme="minorHAnsi"/>
          <w:lang w:val="sk-SK"/>
        </w:rPr>
        <w:t xml:space="preserve"> </w:t>
      </w:r>
      <w:r w:rsidR="48DDA135" w:rsidRPr="00A20AAB">
        <w:rPr>
          <w:rFonts w:eastAsia="Calibri" w:cstheme="minorHAnsi"/>
          <w:lang w:val="sk-SK"/>
        </w:rPr>
        <w:t xml:space="preserve">Vzhľadom na to, že ide prakticky </w:t>
      </w:r>
      <w:r w:rsidR="48DDA135" w:rsidRPr="00A20AAB">
        <w:rPr>
          <w:rFonts w:eastAsia="Calibri" w:cstheme="minorHAnsi"/>
          <w:b/>
          <w:bCs/>
          <w:lang w:val="sk-SK"/>
        </w:rPr>
        <w:t>o kompletnú zmenu účtovných postupov poisťovní</w:t>
      </w:r>
      <w:r w:rsidR="48DDA135" w:rsidRPr="00A20AAB">
        <w:rPr>
          <w:rFonts w:eastAsia="Calibri" w:cstheme="minorHAnsi"/>
          <w:lang w:val="sk-SK"/>
        </w:rPr>
        <w:t xml:space="preserve"> (ide o najväčšiu zmenu v účtovníctve poisťovní od zavedenia povinnosti zostavovať závierku v súlade s IFRS v roku 2006), ktorá si vyžaduje aj zásadné úpravy informačných systémov (náročnosť úprav systémov je porovnateľná s úpravami realizovanými pri zavádzaní </w:t>
      </w:r>
      <w:proofErr w:type="spellStart"/>
      <w:r w:rsidR="48DDA135" w:rsidRPr="00A20AAB">
        <w:rPr>
          <w:rFonts w:eastAsia="Calibri" w:cstheme="minorHAnsi"/>
          <w:lang w:val="sk-SK"/>
        </w:rPr>
        <w:t>Solvency</w:t>
      </w:r>
      <w:proofErr w:type="spellEnd"/>
      <w:r w:rsidR="48DDA135" w:rsidRPr="00A20AAB">
        <w:rPr>
          <w:rFonts w:eastAsia="Calibri" w:cstheme="minorHAnsi"/>
          <w:lang w:val="sk-SK"/>
        </w:rPr>
        <w:t xml:space="preserve"> II, na implementáciu IFRS 17 a IFRS 9 bežia v poisťovniach niekoľkoročné projekty, ktoré musia byť ukončené do začiatku roku 2023), </w:t>
      </w:r>
      <w:r w:rsidR="48DDA135" w:rsidRPr="00A20AAB">
        <w:rPr>
          <w:rFonts w:eastAsia="Calibri" w:cstheme="minorHAnsi"/>
          <w:b/>
          <w:bCs/>
          <w:lang w:val="sk-SK"/>
        </w:rPr>
        <w:t>realizácia ďalších zmien v informačných systémoch v tom istom období v súvislosti s navrhovaným zákonom by bola prakticky len veľmi ťažko uskutočniteľná.</w:t>
      </w:r>
    </w:p>
    <w:p w14:paraId="329A03C5" w14:textId="77777777" w:rsidR="00A202D8" w:rsidRPr="00A20AAB" w:rsidRDefault="00A202D8" w:rsidP="00A202D8">
      <w:pPr>
        <w:pStyle w:val="Textpoznmkypodiarou"/>
        <w:numPr>
          <w:ilvl w:val="0"/>
          <w:numId w:val="9"/>
        </w:numPr>
        <w:spacing w:line="283" w:lineRule="auto"/>
        <w:ind w:left="357" w:hanging="357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20AAB">
        <w:rPr>
          <w:rFonts w:asciiTheme="minorHAnsi" w:eastAsia="Calibri" w:hAnsiTheme="minorHAnsi" w:cstheme="minorHAnsi"/>
          <w:b/>
          <w:bCs/>
          <w:sz w:val="22"/>
          <w:szCs w:val="22"/>
        </w:rPr>
        <w:t>Znevýhodnenie domácich poisťovní</w:t>
      </w:r>
    </w:p>
    <w:p w14:paraId="598F7594" w14:textId="45ACFEB8" w:rsidR="00A202D8" w:rsidRPr="00A20AAB" w:rsidRDefault="00A202D8" w:rsidP="003F3293">
      <w:pPr>
        <w:pStyle w:val="Textpoznmkypodiarou"/>
        <w:spacing w:line="283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20AAB">
        <w:rPr>
          <w:rFonts w:asciiTheme="minorHAnsi" w:eastAsia="Calibri" w:hAnsiTheme="minorHAnsi" w:cstheme="minorHAnsi"/>
          <w:sz w:val="22"/>
          <w:szCs w:val="22"/>
        </w:rPr>
        <w:t>V</w:t>
      </w:r>
      <w:r w:rsidRPr="00A20AAB">
        <w:rPr>
          <w:rFonts w:asciiTheme="minorHAnsi" w:hAnsiTheme="minorHAnsi" w:cstheme="minorHAnsi"/>
          <w:sz w:val="22"/>
          <w:szCs w:val="22"/>
        </w:rPr>
        <w:t xml:space="preserve"> § 16 návrhu sa uvádza, že </w:t>
      </w:r>
      <w:r w:rsidRPr="00A20AAB">
        <w:rPr>
          <w:rFonts w:asciiTheme="minorHAnsi" w:hAnsiTheme="minorHAnsi" w:cstheme="minorHAnsi"/>
          <w:i/>
          <w:iCs/>
          <w:sz w:val="22"/>
          <w:szCs w:val="22"/>
        </w:rPr>
        <w:t>„Tento zákon bol prijatý v súlade s právne záväzným aktom Európskej únie v oblasti technických predpisov.</w:t>
      </w:r>
      <w:r w:rsidRPr="00A20AAB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31)</w:t>
      </w:r>
      <w:r w:rsidRPr="00A20AAB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A20AAB">
        <w:rPr>
          <w:rFonts w:asciiTheme="minorHAnsi" w:hAnsiTheme="minorHAnsi" w:cstheme="minorHAnsi"/>
          <w:sz w:val="22"/>
          <w:szCs w:val="22"/>
        </w:rPr>
        <w:t xml:space="preserve"> Odkaz 31) uvádza v poznámke pod čiarou smernicu</w:t>
      </w:r>
      <w:r w:rsidRPr="00A20A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0AAB">
        <w:rPr>
          <w:rFonts w:asciiTheme="minorHAnsi" w:hAnsiTheme="minorHAnsi" w:cstheme="minorHAnsi"/>
          <w:sz w:val="22"/>
          <w:szCs w:val="22"/>
        </w:rPr>
        <w:t>EP a Rady (EÚ) 2015/1535 z 9. septembra 2015, ktorou sa stanovuje postup pri poskytovaní informácií v oblasti technických predpisov a pravidiel vzťahujúcich sa na služby informačnej spoločnosti</w:t>
      </w:r>
      <w:r w:rsidR="00237BA5">
        <w:rPr>
          <w:rFonts w:asciiTheme="minorHAnsi" w:hAnsiTheme="minorHAnsi" w:cstheme="minorHAnsi"/>
          <w:sz w:val="22"/>
          <w:szCs w:val="22"/>
        </w:rPr>
        <w:t xml:space="preserve"> </w:t>
      </w:r>
      <w:r w:rsidRPr="00A20AAB">
        <w:rPr>
          <w:rFonts w:asciiTheme="minorHAnsi" w:hAnsiTheme="minorHAnsi" w:cstheme="minorHAnsi"/>
          <w:sz w:val="22"/>
          <w:szCs w:val="22"/>
        </w:rPr>
        <w:t>(ďalej len „Smernica“).</w:t>
      </w:r>
    </w:p>
    <w:p w14:paraId="3474BFBC" w14:textId="77777777" w:rsidR="00A202D8" w:rsidRPr="00A20AAB" w:rsidRDefault="00A202D8" w:rsidP="003F3293">
      <w:pPr>
        <w:pStyle w:val="Textpoznmkypodiarou"/>
        <w:spacing w:line="283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20AAB">
        <w:rPr>
          <w:rFonts w:asciiTheme="minorHAnsi" w:hAnsiTheme="minorHAnsi" w:cstheme="minorHAnsi"/>
          <w:sz w:val="22"/>
          <w:szCs w:val="22"/>
        </w:rPr>
        <w:lastRenderedPageBreak/>
        <w:t xml:space="preserve">Podľa dôvodovej správy k § 16, </w:t>
      </w:r>
      <w:r w:rsidRPr="00A20AAB">
        <w:rPr>
          <w:rFonts w:asciiTheme="minorHAnsi" w:hAnsiTheme="minorHAnsi" w:cstheme="minorHAnsi"/>
          <w:i/>
          <w:iCs/>
          <w:sz w:val="22"/>
          <w:szCs w:val="22"/>
        </w:rPr>
        <w:t xml:space="preserve">„vzhľadom na to, že návrh zákona je technickým predpisom, musí byť vykonaná notifikácia v súlade so Smernicou. </w:t>
      </w:r>
      <w:r w:rsidRPr="00A20AAB">
        <w:rPr>
          <w:rFonts w:asciiTheme="minorHAnsi" w:hAnsiTheme="minorHAnsi" w:cstheme="minorHAnsi"/>
          <w:sz w:val="22"/>
          <w:szCs w:val="22"/>
        </w:rPr>
        <w:t xml:space="preserve">Smernica, v súlade s ktorou má byť navrhovaný zákon prijatý, sa však  podľa čl. 1 ods. 4 nevzťahuje na </w:t>
      </w:r>
      <w:r w:rsidRPr="00A20A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„predpisy súvisiace so záležitosťami, na ktoré sa vzťahuje právna úprava Únie pre oblasť finančných služieb</w:t>
      </w:r>
      <w:r w:rsidRPr="00A20AAB">
        <w:rPr>
          <w:rFonts w:asciiTheme="minorHAnsi" w:hAnsiTheme="minorHAnsi" w:cstheme="minorHAnsi"/>
          <w:i/>
          <w:iCs/>
          <w:sz w:val="22"/>
          <w:szCs w:val="22"/>
        </w:rPr>
        <w:t>, ktorých neúplný zoznam je uvedený v prílohe II tejto smernice</w:t>
      </w:r>
      <w:r w:rsidRPr="00A20A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.“</w:t>
      </w:r>
      <w:r w:rsidRPr="00A20A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0AAB">
        <w:rPr>
          <w:rFonts w:asciiTheme="minorHAnsi" w:hAnsiTheme="minorHAnsi" w:cstheme="minorHAnsi"/>
          <w:sz w:val="22"/>
          <w:szCs w:val="22"/>
        </w:rPr>
        <w:t>Podľa Prílohy II Smernice ide aj o</w:t>
      </w:r>
      <w:r w:rsidRPr="00A20A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0A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„poisťovacie a zaisťovacie operácie“</w:t>
      </w:r>
      <w:r w:rsidRPr="00A20AAB">
        <w:rPr>
          <w:rFonts w:asciiTheme="minorHAnsi" w:hAnsiTheme="minorHAnsi" w:cstheme="minorHAnsi"/>
          <w:b/>
          <w:bCs/>
          <w:sz w:val="22"/>
          <w:szCs w:val="22"/>
        </w:rPr>
        <w:t xml:space="preserve"> a </w:t>
      </w:r>
      <w:r w:rsidRPr="00A20A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„operácie spadajúce pod poisťovacie a zaisťovacie činnosti podľa smernice Európskeho parlamentu a Rady 2009/138/ES“</w:t>
      </w:r>
      <w:r w:rsidRPr="00A20AA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DEC598C" w14:textId="77777777" w:rsidR="00A202D8" w:rsidRPr="00237BA5" w:rsidRDefault="00A202D8" w:rsidP="00A202D8">
      <w:pPr>
        <w:pStyle w:val="Textpoznmkypodiarou"/>
        <w:spacing w:line="28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AA25BC" w14:textId="79C5E5F4" w:rsidR="000C17CD" w:rsidRDefault="00237BA5" w:rsidP="00237BA5">
      <w:pPr>
        <w:spacing w:after="0" w:line="283" w:lineRule="auto"/>
        <w:ind w:left="357"/>
        <w:jc w:val="both"/>
        <w:rPr>
          <w:rFonts w:cstheme="minorHAnsi"/>
          <w:lang w:val="sk-SK"/>
        </w:rPr>
      </w:pPr>
      <w:r w:rsidRPr="007E3A25">
        <w:rPr>
          <w:rFonts w:cstheme="minorHAnsi"/>
          <w:lang w:val="sk-SK"/>
        </w:rPr>
        <w:t>Prijatie</w:t>
      </w:r>
      <w:r w:rsidR="00A202D8" w:rsidRPr="007E3A25">
        <w:rPr>
          <w:rFonts w:cstheme="minorHAnsi"/>
          <w:lang w:val="sk-SK"/>
        </w:rPr>
        <w:t xml:space="preserve"> zákon</w:t>
      </w:r>
      <w:r w:rsidRPr="007E3A25">
        <w:rPr>
          <w:rFonts w:cstheme="minorHAnsi"/>
          <w:lang w:val="sk-SK"/>
        </w:rPr>
        <w:t>a</w:t>
      </w:r>
      <w:r w:rsidR="00A202D8" w:rsidRPr="007E3A25">
        <w:rPr>
          <w:rFonts w:cstheme="minorHAnsi"/>
          <w:lang w:val="sk-SK"/>
        </w:rPr>
        <w:t xml:space="preserve"> v navrhovanom znení záťaž</w:t>
      </w:r>
      <w:r w:rsidRPr="007E3A25">
        <w:rPr>
          <w:rFonts w:cstheme="minorHAnsi"/>
          <w:lang w:val="sk-SK"/>
        </w:rPr>
        <w:t>í</w:t>
      </w:r>
      <w:r w:rsidR="00A202D8" w:rsidRPr="007E3A25">
        <w:rPr>
          <w:rFonts w:cstheme="minorHAnsi"/>
          <w:lang w:val="sk-SK"/>
        </w:rPr>
        <w:t xml:space="preserve"> domác</w:t>
      </w:r>
      <w:r w:rsidRPr="007E3A25">
        <w:rPr>
          <w:rFonts w:cstheme="minorHAnsi"/>
          <w:lang w:val="sk-SK"/>
        </w:rPr>
        <w:t>e</w:t>
      </w:r>
      <w:r w:rsidR="00A202D8" w:rsidRPr="007E3A25">
        <w:rPr>
          <w:rFonts w:cstheme="minorHAnsi"/>
          <w:lang w:val="sk-SK"/>
        </w:rPr>
        <w:t xml:space="preserve"> poisťov</w:t>
      </w:r>
      <w:r w:rsidRPr="007E3A25">
        <w:rPr>
          <w:rFonts w:cstheme="minorHAnsi"/>
          <w:lang w:val="sk-SK"/>
        </w:rPr>
        <w:t>ne a</w:t>
      </w:r>
      <w:r w:rsidR="00A202D8" w:rsidRPr="007E3A25">
        <w:rPr>
          <w:rFonts w:cstheme="minorHAnsi"/>
          <w:lang w:val="sk-SK"/>
        </w:rPr>
        <w:t xml:space="preserve"> v konkurencii poisťovní z iných </w:t>
      </w:r>
      <w:r w:rsidRPr="007E3A25">
        <w:rPr>
          <w:rFonts w:cstheme="minorHAnsi"/>
          <w:lang w:val="sk-SK"/>
        </w:rPr>
        <w:t xml:space="preserve">členských </w:t>
      </w:r>
      <w:r w:rsidR="00A202D8" w:rsidRPr="007E3A25">
        <w:rPr>
          <w:rFonts w:cstheme="minorHAnsi"/>
          <w:lang w:val="sk-SK"/>
        </w:rPr>
        <w:t xml:space="preserve">krajín EÚ </w:t>
      </w:r>
      <w:r w:rsidRPr="007E3A25">
        <w:rPr>
          <w:rFonts w:cstheme="minorHAnsi"/>
          <w:lang w:val="sk-SK"/>
        </w:rPr>
        <w:t>ich</w:t>
      </w:r>
      <w:r w:rsidR="00A202D8" w:rsidRPr="007E3A25">
        <w:rPr>
          <w:rFonts w:cstheme="minorHAnsi"/>
          <w:lang w:val="sk-SK"/>
        </w:rPr>
        <w:t xml:space="preserve"> významne znevýhod</w:t>
      </w:r>
      <w:r w:rsidRPr="007E3A25">
        <w:rPr>
          <w:rFonts w:cstheme="minorHAnsi"/>
          <w:lang w:val="sk-SK"/>
        </w:rPr>
        <w:t>ni</w:t>
      </w:r>
      <w:r w:rsidR="00A202D8" w:rsidRPr="007E3A25">
        <w:rPr>
          <w:rFonts w:cstheme="minorHAnsi"/>
          <w:lang w:val="sk-SK"/>
        </w:rPr>
        <w:t>.</w:t>
      </w:r>
      <w:r w:rsidRPr="007E3A25">
        <w:rPr>
          <w:rFonts w:cstheme="minorHAnsi"/>
          <w:lang w:val="sk-SK"/>
        </w:rPr>
        <w:t xml:space="preserve"> Domnievame sa, že navrhovanou právnou úpravou pôjde Slovensko v oblasti poisťovacích služieb nad rámec práva EU (vládou odmietaný </w:t>
      </w:r>
      <w:proofErr w:type="spellStart"/>
      <w:r w:rsidRPr="007E3A25">
        <w:rPr>
          <w:rFonts w:cstheme="minorHAnsi"/>
          <w:b/>
          <w:bCs/>
          <w:lang w:val="sk-SK"/>
        </w:rPr>
        <w:t>goldplating</w:t>
      </w:r>
      <w:proofErr w:type="spellEnd"/>
      <w:r w:rsidRPr="007E3A25">
        <w:rPr>
          <w:rFonts w:cstheme="minorHAnsi"/>
          <w:lang w:val="sk-SK"/>
        </w:rPr>
        <w:t>).</w:t>
      </w:r>
    </w:p>
    <w:p w14:paraId="041E012E" w14:textId="77777777" w:rsidR="00237BA5" w:rsidRPr="00A20AAB" w:rsidRDefault="00237BA5" w:rsidP="00237BA5">
      <w:pPr>
        <w:spacing w:after="0" w:line="283" w:lineRule="auto"/>
        <w:ind w:left="357"/>
        <w:jc w:val="both"/>
        <w:rPr>
          <w:rFonts w:eastAsia="Calibri" w:cstheme="minorHAnsi"/>
          <w:b/>
          <w:bCs/>
          <w:u w:val="single"/>
          <w:lang w:val="sk-SK"/>
        </w:rPr>
      </w:pPr>
    </w:p>
    <w:p w14:paraId="6D8BE845" w14:textId="2564970E" w:rsidR="000C17CD" w:rsidRPr="00A20AAB" w:rsidRDefault="00E1557E" w:rsidP="00014394">
      <w:pPr>
        <w:pStyle w:val="Odsekzoznamu"/>
        <w:numPr>
          <w:ilvl w:val="0"/>
          <w:numId w:val="7"/>
        </w:numPr>
        <w:spacing w:line="283" w:lineRule="auto"/>
        <w:ind w:left="284" w:hanging="284"/>
        <w:rPr>
          <w:rFonts w:eastAsia="Calibri" w:cstheme="minorHAnsi"/>
          <w:b/>
          <w:bCs/>
          <w:u w:val="single"/>
        </w:rPr>
      </w:pPr>
      <w:r w:rsidRPr="00A20AAB">
        <w:rPr>
          <w:rFonts w:eastAsia="Calibri" w:cstheme="minorHAnsi"/>
          <w:b/>
          <w:bCs/>
          <w:u w:val="single"/>
        </w:rPr>
        <w:t>K §</w:t>
      </w:r>
      <w:r w:rsidR="00014394" w:rsidRPr="00A20AAB">
        <w:rPr>
          <w:rFonts w:eastAsia="Calibri" w:cstheme="minorHAnsi"/>
          <w:b/>
          <w:bCs/>
          <w:u w:val="single"/>
        </w:rPr>
        <w:t xml:space="preserve"> </w:t>
      </w:r>
      <w:r w:rsidRPr="00A20AAB">
        <w:rPr>
          <w:rFonts w:eastAsia="Calibri" w:cstheme="minorHAnsi"/>
          <w:b/>
          <w:bCs/>
          <w:u w:val="single"/>
        </w:rPr>
        <w:t>9 ods.</w:t>
      </w:r>
      <w:r w:rsidR="00014394" w:rsidRPr="00A20AAB">
        <w:rPr>
          <w:rFonts w:eastAsia="Calibri" w:cstheme="minorHAnsi"/>
          <w:b/>
          <w:bCs/>
          <w:u w:val="single"/>
        </w:rPr>
        <w:t xml:space="preserve"> </w:t>
      </w:r>
      <w:r w:rsidRPr="00A20AAB">
        <w:rPr>
          <w:rFonts w:eastAsia="Calibri" w:cstheme="minorHAnsi"/>
          <w:b/>
          <w:bCs/>
          <w:u w:val="single"/>
        </w:rPr>
        <w:t>2</w:t>
      </w:r>
    </w:p>
    <w:p w14:paraId="1DDA58D5" w14:textId="6BBE5367" w:rsidR="000C17CD" w:rsidRPr="00A20AAB" w:rsidRDefault="000C17CD" w:rsidP="00014394">
      <w:pPr>
        <w:spacing w:after="0" w:line="283" w:lineRule="auto"/>
        <w:rPr>
          <w:rFonts w:eastAsia="Calibri" w:cstheme="minorHAnsi"/>
          <w:b/>
          <w:bCs/>
          <w:u w:val="single"/>
          <w:lang w:val="sk-SK"/>
        </w:rPr>
      </w:pPr>
      <w:r w:rsidRPr="00A20AAB">
        <w:rPr>
          <w:rFonts w:eastAsia="Calibri" w:cstheme="minorHAnsi"/>
          <w:b/>
          <w:bCs/>
          <w:u w:val="single"/>
          <w:lang w:val="sk-SK"/>
        </w:rPr>
        <w:t>Navrhuje</w:t>
      </w:r>
      <w:r w:rsidR="001209E3" w:rsidRPr="00A20AAB">
        <w:rPr>
          <w:rFonts w:eastAsia="Calibri" w:cstheme="minorHAnsi"/>
          <w:b/>
          <w:bCs/>
          <w:u w:val="single"/>
          <w:lang w:val="sk-SK"/>
        </w:rPr>
        <w:t>me</w:t>
      </w:r>
      <w:r w:rsidRPr="00A20AAB">
        <w:rPr>
          <w:rFonts w:eastAsia="Calibri" w:cstheme="minorHAnsi"/>
          <w:b/>
          <w:bCs/>
          <w:u w:val="single"/>
          <w:lang w:val="sk-SK"/>
        </w:rPr>
        <w:t xml:space="preserve"> na konci doplniť slová “</w:t>
      </w:r>
      <w:r w:rsidRPr="00A20AAB">
        <w:rPr>
          <w:rFonts w:cstheme="minorHAnsi"/>
          <w:b/>
          <w:bCs/>
          <w:u w:val="single"/>
          <w:lang w:val="sk-SK"/>
        </w:rPr>
        <w:t>najneskôr však do 30 kalendárnych dní od prijatia žiadosti spĺňajúcej požiadavky zverejnené na webovom sídle“.</w:t>
      </w:r>
    </w:p>
    <w:p w14:paraId="4E8A6D49" w14:textId="77777777" w:rsidR="00014394" w:rsidRPr="00A20AAB" w:rsidRDefault="00014394" w:rsidP="00014394">
      <w:pPr>
        <w:spacing w:after="0" w:line="283" w:lineRule="auto"/>
        <w:rPr>
          <w:rFonts w:cstheme="minorHAnsi"/>
          <w:u w:val="single"/>
          <w:lang w:val="sk-SK"/>
        </w:rPr>
      </w:pPr>
    </w:p>
    <w:p w14:paraId="4490B22E" w14:textId="7B92EC91" w:rsidR="000C17CD" w:rsidRPr="00A20AAB" w:rsidRDefault="000C17CD" w:rsidP="00014394">
      <w:pPr>
        <w:spacing w:after="0" w:line="283" w:lineRule="auto"/>
        <w:rPr>
          <w:rFonts w:cstheme="minorHAnsi"/>
          <w:u w:val="single"/>
          <w:lang w:val="sk-SK"/>
        </w:rPr>
      </w:pPr>
      <w:r w:rsidRPr="00A20AAB">
        <w:rPr>
          <w:rFonts w:cstheme="minorHAnsi"/>
          <w:u w:val="single"/>
          <w:lang w:val="sk-SK"/>
        </w:rPr>
        <w:t>Odôvodnenie:</w:t>
      </w:r>
    </w:p>
    <w:p w14:paraId="333B881E" w14:textId="2F8F780A" w:rsidR="000C17CD" w:rsidRPr="00A20AAB" w:rsidRDefault="000C17CD" w:rsidP="00014394">
      <w:pPr>
        <w:spacing w:after="0" w:line="283" w:lineRule="auto"/>
        <w:rPr>
          <w:rFonts w:cstheme="minorHAnsi"/>
          <w:lang w:val="sk-SK"/>
        </w:rPr>
      </w:pPr>
      <w:r w:rsidRPr="00A20AAB">
        <w:rPr>
          <w:rFonts w:eastAsia="Calibri" w:cstheme="minorHAnsi"/>
          <w:lang w:val="sk-SK"/>
        </w:rPr>
        <w:t xml:space="preserve">Navrhujeme stanovenie 30 dňovej lehoty na vydanie rozhodnutia </w:t>
      </w:r>
      <w:r w:rsidRPr="00A20AAB">
        <w:rPr>
          <w:rFonts w:cstheme="minorHAnsi"/>
          <w:lang w:val="sk-SK"/>
        </w:rPr>
        <w:t>o povolení prideľovania podpisového kódu. Tá by mala byť v zákone z dôvodu právnej istoty povinných subjektov.</w:t>
      </w:r>
    </w:p>
    <w:p w14:paraId="2DFCEE67" w14:textId="77777777" w:rsidR="00014394" w:rsidRPr="00A20AAB" w:rsidRDefault="00014394" w:rsidP="00014394">
      <w:pPr>
        <w:spacing w:after="0" w:line="283" w:lineRule="auto"/>
        <w:rPr>
          <w:rFonts w:eastAsia="Calibri" w:cstheme="minorHAnsi"/>
          <w:u w:val="single"/>
          <w:lang w:val="sk-SK"/>
        </w:rPr>
      </w:pPr>
    </w:p>
    <w:p w14:paraId="6BCC5D97" w14:textId="1F03C72F" w:rsidR="000C17CD" w:rsidRPr="00A20AAB" w:rsidRDefault="00122046" w:rsidP="00014394">
      <w:pPr>
        <w:pStyle w:val="Odsekzoznamu"/>
        <w:numPr>
          <w:ilvl w:val="0"/>
          <w:numId w:val="7"/>
        </w:numPr>
        <w:spacing w:line="283" w:lineRule="auto"/>
        <w:ind w:left="284" w:hanging="284"/>
        <w:rPr>
          <w:rFonts w:eastAsia="Calibri" w:cstheme="minorHAnsi"/>
          <w:b/>
          <w:bCs/>
          <w:u w:val="single"/>
        </w:rPr>
      </w:pPr>
      <w:r w:rsidRPr="00A20AAB">
        <w:rPr>
          <w:rFonts w:eastAsia="Calibri" w:cstheme="minorHAnsi"/>
          <w:b/>
          <w:bCs/>
          <w:u w:val="single"/>
        </w:rPr>
        <w:t>§</w:t>
      </w:r>
      <w:r w:rsidR="00014394" w:rsidRPr="00A20AAB">
        <w:rPr>
          <w:rFonts w:eastAsia="Calibri" w:cstheme="minorHAnsi"/>
          <w:b/>
          <w:bCs/>
          <w:u w:val="single"/>
        </w:rPr>
        <w:t xml:space="preserve"> </w:t>
      </w:r>
      <w:r w:rsidRPr="00A20AAB">
        <w:rPr>
          <w:rFonts w:eastAsia="Calibri" w:cstheme="minorHAnsi"/>
          <w:b/>
          <w:bCs/>
          <w:u w:val="single"/>
        </w:rPr>
        <w:t>15</w:t>
      </w:r>
      <w:r w:rsidR="000C17CD" w:rsidRPr="00A20AAB">
        <w:rPr>
          <w:rFonts w:eastAsia="Calibri" w:cstheme="minorHAnsi"/>
          <w:b/>
          <w:bCs/>
          <w:u w:val="single"/>
        </w:rPr>
        <w:t xml:space="preserve"> -</w:t>
      </w:r>
      <w:r w:rsidRPr="00A20AAB">
        <w:rPr>
          <w:rFonts w:eastAsia="Calibri" w:cstheme="minorHAnsi"/>
          <w:b/>
          <w:bCs/>
          <w:u w:val="single"/>
        </w:rPr>
        <w:t xml:space="preserve"> </w:t>
      </w:r>
      <w:r w:rsidR="000C17CD" w:rsidRPr="00A20AAB">
        <w:rPr>
          <w:rFonts w:eastAsia="Calibri" w:cstheme="minorHAnsi"/>
          <w:b/>
          <w:bCs/>
          <w:u w:val="single"/>
        </w:rPr>
        <w:t>Prechodné u stanovenia</w:t>
      </w:r>
    </w:p>
    <w:p w14:paraId="789E63AF" w14:textId="5B52A5EE" w:rsidR="00122046" w:rsidRPr="00A20AAB" w:rsidRDefault="000C17CD" w:rsidP="00014394">
      <w:pPr>
        <w:spacing w:after="0" w:line="283" w:lineRule="auto"/>
        <w:jc w:val="both"/>
        <w:rPr>
          <w:rFonts w:eastAsia="Calibri" w:cstheme="minorHAnsi"/>
          <w:b/>
          <w:bCs/>
          <w:lang w:val="sk-SK"/>
        </w:rPr>
      </w:pPr>
      <w:r w:rsidRPr="00A20AAB">
        <w:rPr>
          <w:rFonts w:eastAsia="Calibri" w:cstheme="minorHAnsi"/>
          <w:b/>
          <w:bCs/>
          <w:lang w:val="sk-SK"/>
        </w:rPr>
        <w:t>Pred doterajšie ustanovenie navrhujeme vložiť nové odseky v znení:</w:t>
      </w:r>
    </w:p>
    <w:p w14:paraId="0CB4845D" w14:textId="77777777" w:rsidR="00014394" w:rsidRPr="00A20AAB" w:rsidRDefault="00014394" w:rsidP="00014394">
      <w:pPr>
        <w:spacing w:after="0" w:line="283" w:lineRule="auto"/>
        <w:jc w:val="both"/>
        <w:rPr>
          <w:rFonts w:eastAsia="Calibri" w:cstheme="minorHAnsi"/>
          <w:b/>
          <w:bCs/>
          <w:lang w:val="sk-SK"/>
        </w:rPr>
      </w:pPr>
    </w:p>
    <w:p w14:paraId="4262714E" w14:textId="2D95CA59" w:rsidR="003A49BD" w:rsidRPr="00A20AAB" w:rsidRDefault="000C17CD" w:rsidP="00014394">
      <w:pPr>
        <w:spacing w:after="0" w:line="283" w:lineRule="auto"/>
        <w:jc w:val="both"/>
        <w:rPr>
          <w:rFonts w:cstheme="minorHAnsi"/>
          <w:b/>
          <w:bCs/>
          <w:lang w:val="sk-SK"/>
        </w:rPr>
      </w:pPr>
      <w:r w:rsidRPr="00A20AAB">
        <w:rPr>
          <w:rFonts w:cstheme="minorHAnsi"/>
          <w:b/>
          <w:bCs/>
          <w:lang w:val="sk-SK"/>
        </w:rPr>
        <w:t xml:space="preserve">“(1) </w:t>
      </w:r>
      <w:r w:rsidR="003A49BD" w:rsidRPr="00A20AAB">
        <w:rPr>
          <w:rFonts w:cstheme="minorHAnsi"/>
          <w:b/>
          <w:bCs/>
          <w:lang w:val="sk-SK"/>
        </w:rPr>
        <w:t>Finančné riaditeľstvo zverejní na svojom webovom sídle najneskôr 12 mesiacov pred účinnosťou tohto zákona všetky technické špecifikácie definujúce štruktúru údajov, ktoré sa budú posielať do systému e-faktúra</w:t>
      </w:r>
      <w:r w:rsidRPr="00A20AAB">
        <w:rPr>
          <w:rFonts w:cstheme="minorHAnsi"/>
          <w:b/>
          <w:bCs/>
          <w:lang w:val="sk-SK"/>
        </w:rPr>
        <w:t>.</w:t>
      </w:r>
    </w:p>
    <w:p w14:paraId="0664F3A0" w14:textId="03282973" w:rsidR="003A49BD" w:rsidRPr="00A20AAB" w:rsidRDefault="003A49BD" w:rsidP="00014394">
      <w:pPr>
        <w:pStyle w:val="Odsekzoznamu"/>
        <w:numPr>
          <w:ilvl w:val="0"/>
          <w:numId w:val="10"/>
        </w:numPr>
        <w:spacing w:line="283" w:lineRule="auto"/>
        <w:ind w:left="284" w:hanging="284"/>
        <w:jc w:val="both"/>
        <w:rPr>
          <w:rFonts w:cstheme="minorHAnsi"/>
          <w:b/>
          <w:bCs/>
        </w:rPr>
      </w:pPr>
      <w:r w:rsidRPr="00A20AAB">
        <w:rPr>
          <w:rFonts w:cstheme="minorHAnsi"/>
          <w:b/>
          <w:bCs/>
        </w:rPr>
        <w:t xml:space="preserve">Finančné riaditeľstvo </w:t>
      </w:r>
      <w:r w:rsidR="001F647C" w:rsidRPr="00A20AAB">
        <w:rPr>
          <w:rFonts w:cstheme="minorHAnsi"/>
          <w:b/>
          <w:bCs/>
        </w:rPr>
        <w:t>sprístupní systém e-faktúra v testovacom režime pre všetkých odberateľov a dodávateľov</w:t>
      </w:r>
      <w:r w:rsidRPr="00A20AAB">
        <w:rPr>
          <w:rFonts w:cstheme="minorHAnsi"/>
          <w:b/>
          <w:bCs/>
        </w:rPr>
        <w:t xml:space="preserve"> najneskôr 12 mesiacov pred účinnosťou tohto zákona</w:t>
      </w:r>
      <w:r w:rsidR="000C17CD" w:rsidRPr="00A20AAB">
        <w:rPr>
          <w:rFonts w:cstheme="minorHAnsi"/>
          <w:b/>
          <w:bCs/>
        </w:rPr>
        <w:t>.“</w:t>
      </w:r>
    </w:p>
    <w:p w14:paraId="721B3390" w14:textId="14E61B55" w:rsidR="00122046" w:rsidRPr="00A20AAB" w:rsidRDefault="00122046" w:rsidP="00014394">
      <w:pPr>
        <w:spacing w:after="0" w:line="283" w:lineRule="auto"/>
        <w:jc w:val="both"/>
        <w:rPr>
          <w:rFonts w:eastAsia="Calibri" w:cstheme="minorHAnsi"/>
          <w:b/>
          <w:bCs/>
          <w:u w:val="single"/>
          <w:lang w:val="sk-SK"/>
        </w:rPr>
      </w:pPr>
    </w:p>
    <w:p w14:paraId="5AB34C77" w14:textId="5C29420C" w:rsidR="000C17CD" w:rsidRPr="00A20AAB" w:rsidRDefault="000C17CD" w:rsidP="00014394">
      <w:pPr>
        <w:spacing w:after="0" w:line="283" w:lineRule="auto"/>
        <w:jc w:val="both"/>
        <w:rPr>
          <w:rFonts w:eastAsia="Calibri" w:cstheme="minorHAnsi"/>
          <w:b/>
          <w:bCs/>
          <w:lang w:val="sk-SK"/>
        </w:rPr>
      </w:pPr>
      <w:r w:rsidRPr="00A20AAB">
        <w:rPr>
          <w:rFonts w:eastAsia="Calibri" w:cstheme="minorHAnsi"/>
          <w:b/>
          <w:bCs/>
          <w:lang w:val="sk-SK"/>
        </w:rPr>
        <w:t xml:space="preserve">Doterajšie ustanovenie sa označí ako odsek </w:t>
      </w:r>
      <w:r w:rsidR="00D0569B" w:rsidRPr="00A20AAB">
        <w:rPr>
          <w:rFonts w:eastAsia="Calibri" w:cstheme="minorHAnsi"/>
          <w:b/>
          <w:bCs/>
          <w:lang w:val="sk-SK"/>
        </w:rPr>
        <w:t>(</w:t>
      </w:r>
      <w:r w:rsidRPr="00A20AAB">
        <w:rPr>
          <w:rFonts w:eastAsia="Calibri" w:cstheme="minorHAnsi"/>
          <w:b/>
          <w:bCs/>
          <w:lang w:val="sk-SK"/>
        </w:rPr>
        <w:t>3</w:t>
      </w:r>
      <w:r w:rsidR="00D0569B" w:rsidRPr="00A20AAB">
        <w:rPr>
          <w:rFonts w:eastAsia="Calibri" w:cstheme="minorHAnsi"/>
          <w:b/>
          <w:bCs/>
          <w:lang w:val="sk-SK"/>
        </w:rPr>
        <w:t>)</w:t>
      </w:r>
      <w:r w:rsidRPr="00A20AAB">
        <w:rPr>
          <w:rFonts w:eastAsia="Calibri" w:cstheme="minorHAnsi"/>
          <w:b/>
          <w:bCs/>
          <w:lang w:val="sk-SK"/>
        </w:rPr>
        <w:t>.</w:t>
      </w:r>
    </w:p>
    <w:p w14:paraId="24DAA35B" w14:textId="77777777" w:rsidR="00014394" w:rsidRPr="00A20AAB" w:rsidRDefault="00014394" w:rsidP="00014394">
      <w:pPr>
        <w:spacing w:after="0" w:line="283" w:lineRule="auto"/>
        <w:jc w:val="both"/>
        <w:rPr>
          <w:rFonts w:eastAsia="Calibri" w:cstheme="minorHAnsi"/>
          <w:b/>
          <w:bCs/>
          <w:lang w:val="sk-SK"/>
        </w:rPr>
      </w:pPr>
    </w:p>
    <w:p w14:paraId="7F319467" w14:textId="51D2992E" w:rsidR="00122046" w:rsidRPr="00A20AAB" w:rsidRDefault="000C17CD" w:rsidP="00014394">
      <w:pPr>
        <w:spacing w:after="0" w:line="283" w:lineRule="auto"/>
        <w:jc w:val="both"/>
        <w:rPr>
          <w:rFonts w:cstheme="minorHAnsi"/>
          <w:u w:val="single"/>
          <w:lang w:val="sk-SK"/>
        </w:rPr>
      </w:pPr>
      <w:r w:rsidRPr="00A20AAB">
        <w:rPr>
          <w:rFonts w:cstheme="minorHAnsi"/>
          <w:u w:val="single"/>
          <w:lang w:val="sk-SK"/>
        </w:rPr>
        <w:t>O</w:t>
      </w:r>
      <w:r w:rsidR="00122046" w:rsidRPr="00A20AAB">
        <w:rPr>
          <w:rFonts w:cstheme="minorHAnsi"/>
          <w:u w:val="single"/>
          <w:lang w:val="sk-SK"/>
        </w:rPr>
        <w:t>dôvodnenie</w:t>
      </w:r>
      <w:r w:rsidRPr="00A20AAB">
        <w:rPr>
          <w:rFonts w:cstheme="minorHAnsi"/>
          <w:u w:val="single"/>
          <w:lang w:val="sk-SK"/>
        </w:rPr>
        <w:t>:</w:t>
      </w:r>
    </w:p>
    <w:p w14:paraId="1D75DA28" w14:textId="722348E9" w:rsidR="000C17CD" w:rsidRPr="00A20AAB" w:rsidRDefault="000C17CD" w:rsidP="00014394">
      <w:pPr>
        <w:spacing w:after="0" w:line="283" w:lineRule="auto"/>
        <w:rPr>
          <w:rFonts w:eastAsia="Calibri" w:cstheme="minorHAnsi"/>
          <w:lang w:val="sk-SK"/>
        </w:rPr>
      </w:pPr>
      <w:r w:rsidRPr="00A20AAB">
        <w:rPr>
          <w:rFonts w:eastAsia="Calibri" w:cstheme="minorHAnsi"/>
          <w:lang w:val="sk-SK"/>
        </w:rPr>
        <w:t>Žiadame doplnenie testovacej prevádzky a</w:t>
      </w:r>
      <w:r w:rsidR="00840539">
        <w:rPr>
          <w:rFonts w:eastAsia="Calibri" w:cstheme="minorHAnsi"/>
          <w:lang w:val="sk-SK"/>
        </w:rPr>
        <w:t xml:space="preserve"> včasné </w:t>
      </w:r>
      <w:r w:rsidRPr="00A20AAB">
        <w:rPr>
          <w:rFonts w:eastAsia="Calibri" w:cstheme="minorHAnsi"/>
          <w:lang w:val="sk-SK"/>
        </w:rPr>
        <w:t>zverejnenie technických špecifikácií</w:t>
      </w:r>
      <w:r w:rsidR="00014394" w:rsidRPr="00A20AAB">
        <w:rPr>
          <w:rFonts w:eastAsia="Calibri" w:cstheme="minorHAnsi"/>
          <w:lang w:val="sk-SK"/>
        </w:rPr>
        <w:t>.</w:t>
      </w:r>
    </w:p>
    <w:p w14:paraId="6383DF49" w14:textId="14FEAA77" w:rsidR="00134ED5" w:rsidRPr="00A20AAB" w:rsidRDefault="001F647C" w:rsidP="00A20AAB">
      <w:pPr>
        <w:spacing w:after="0" w:line="283" w:lineRule="auto"/>
        <w:jc w:val="both"/>
        <w:rPr>
          <w:rFonts w:cstheme="minorHAnsi"/>
          <w:lang w:val="sk-SK"/>
        </w:rPr>
      </w:pPr>
      <w:r w:rsidRPr="00A20AAB">
        <w:rPr>
          <w:rFonts w:cstheme="minorHAnsi"/>
          <w:lang w:val="sk-SK"/>
        </w:rPr>
        <w:t xml:space="preserve">Na splnenie podmienok zákona sú potrebné úpravy informačných systémov, ktoré nie je možné začať pripravovať </w:t>
      </w:r>
      <w:r w:rsidR="004C66B4" w:rsidRPr="00A20AAB">
        <w:rPr>
          <w:rFonts w:cstheme="minorHAnsi"/>
          <w:lang w:val="sk-SK"/>
        </w:rPr>
        <w:t xml:space="preserve">bez znalosti presných </w:t>
      </w:r>
      <w:r w:rsidRPr="00A20AAB">
        <w:rPr>
          <w:rFonts w:cstheme="minorHAnsi"/>
          <w:lang w:val="sk-SK"/>
        </w:rPr>
        <w:t>technick</w:t>
      </w:r>
      <w:r w:rsidR="004C66B4" w:rsidRPr="00A20AAB">
        <w:rPr>
          <w:rFonts w:cstheme="minorHAnsi"/>
          <w:lang w:val="sk-SK"/>
        </w:rPr>
        <w:t>ých</w:t>
      </w:r>
      <w:r w:rsidRPr="00A20AAB">
        <w:rPr>
          <w:rFonts w:cstheme="minorHAnsi"/>
          <w:lang w:val="sk-SK"/>
        </w:rPr>
        <w:t xml:space="preserve"> podrobnost</w:t>
      </w:r>
      <w:r w:rsidR="004C66B4" w:rsidRPr="00A20AAB">
        <w:rPr>
          <w:rFonts w:cstheme="minorHAnsi"/>
          <w:lang w:val="sk-SK"/>
        </w:rPr>
        <w:t>í</w:t>
      </w:r>
      <w:r w:rsidRPr="00A20AAB">
        <w:rPr>
          <w:rFonts w:cstheme="minorHAnsi"/>
          <w:lang w:val="sk-SK"/>
        </w:rPr>
        <w:t xml:space="preserve"> o štruktúrach a formátoch zasielaných údajov do systému e-faktúra</w:t>
      </w:r>
      <w:r w:rsidR="004C66B4" w:rsidRPr="00A20AAB">
        <w:rPr>
          <w:rFonts w:cstheme="minorHAnsi"/>
          <w:lang w:val="sk-SK"/>
        </w:rPr>
        <w:t>.  Preto tieto údaje musia byť známe v dostatočnom predstihu pred účinnosťou zákona.  Zároveň je potrebné, aby dodávatelia a odberatelia mohli testovať svoje riešenia na komunikáciu so systémom e-faktúra pred účinnosťou zákona.</w:t>
      </w:r>
    </w:p>
    <w:p w14:paraId="574326BA" w14:textId="77777777" w:rsidR="00014394" w:rsidRPr="00A20AAB" w:rsidRDefault="00014394" w:rsidP="00014394">
      <w:pPr>
        <w:spacing w:after="0" w:line="283" w:lineRule="auto"/>
        <w:rPr>
          <w:rFonts w:cstheme="minorHAnsi"/>
          <w:lang w:val="sk-SK"/>
        </w:rPr>
      </w:pPr>
    </w:p>
    <w:sectPr w:rsidR="00014394" w:rsidRPr="00A2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860C" w14:textId="77777777" w:rsidR="006A372C" w:rsidRDefault="006A372C" w:rsidP="009B1206">
      <w:pPr>
        <w:spacing w:after="0" w:line="240" w:lineRule="auto"/>
      </w:pPr>
      <w:r>
        <w:separator/>
      </w:r>
    </w:p>
  </w:endnote>
  <w:endnote w:type="continuationSeparator" w:id="0">
    <w:p w14:paraId="044460BE" w14:textId="77777777" w:rsidR="006A372C" w:rsidRDefault="006A372C" w:rsidP="009B1206">
      <w:pPr>
        <w:spacing w:after="0" w:line="240" w:lineRule="auto"/>
      </w:pPr>
      <w:r>
        <w:continuationSeparator/>
      </w:r>
    </w:p>
  </w:endnote>
  <w:endnote w:type="continuationNotice" w:id="1">
    <w:p w14:paraId="0A2C5C2D" w14:textId="77777777" w:rsidR="006A372C" w:rsidRDefault="006A3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2A60" w14:textId="77777777" w:rsidR="006A372C" w:rsidRDefault="006A372C" w:rsidP="009B1206">
      <w:pPr>
        <w:spacing w:after="0" w:line="240" w:lineRule="auto"/>
      </w:pPr>
      <w:r>
        <w:separator/>
      </w:r>
    </w:p>
  </w:footnote>
  <w:footnote w:type="continuationSeparator" w:id="0">
    <w:p w14:paraId="42776AB1" w14:textId="77777777" w:rsidR="006A372C" w:rsidRDefault="006A372C" w:rsidP="009B1206">
      <w:pPr>
        <w:spacing w:after="0" w:line="240" w:lineRule="auto"/>
      </w:pPr>
      <w:r>
        <w:continuationSeparator/>
      </w:r>
    </w:p>
  </w:footnote>
  <w:footnote w:type="continuationNotice" w:id="1">
    <w:p w14:paraId="3FA450C0" w14:textId="77777777" w:rsidR="006A372C" w:rsidRDefault="006A37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09E"/>
    <w:multiLevelType w:val="hybridMultilevel"/>
    <w:tmpl w:val="4E987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4EE"/>
    <w:multiLevelType w:val="hybridMultilevel"/>
    <w:tmpl w:val="909A0A78"/>
    <w:lvl w:ilvl="0" w:tplc="60447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A56BE"/>
    <w:multiLevelType w:val="hybridMultilevel"/>
    <w:tmpl w:val="F4E450E8"/>
    <w:lvl w:ilvl="0" w:tplc="B82C0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1612"/>
    <w:multiLevelType w:val="hybridMultilevel"/>
    <w:tmpl w:val="F47AAA08"/>
    <w:lvl w:ilvl="0" w:tplc="8E9A3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4141"/>
    <w:multiLevelType w:val="hybridMultilevel"/>
    <w:tmpl w:val="DB8AB8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1F8D"/>
    <w:multiLevelType w:val="hybridMultilevel"/>
    <w:tmpl w:val="83B66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DD4"/>
    <w:multiLevelType w:val="hybridMultilevel"/>
    <w:tmpl w:val="805E2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D0875"/>
    <w:multiLevelType w:val="hybridMultilevel"/>
    <w:tmpl w:val="63FC50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776629"/>
    <w:multiLevelType w:val="hybridMultilevel"/>
    <w:tmpl w:val="EEAA74B8"/>
    <w:lvl w:ilvl="0" w:tplc="469433A8">
      <w:start w:val="1"/>
      <w:numFmt w:val="decimal"/>
      <w:lvlText w:val="%1."/>
      <w:lvlJc w:val="left"/>
      <w:pPr>
        <w:ind w:left="720" w:hanging="360"/>
      </w:pPr>
    </w:lvl>
    <w:lvl w:ilvl="1" w:tplc="3C1ED62A">
      <w:start w:val="1"/>
      <w:numFmt w:val="lowerLetter"/>
      <w:lvlText w:val="%2."/>
      <w:lvlJc w:val="left"/>
      <w:pPr>
        <w:ind w:left="1440" w:hanging="360"/>
      </w:pPr>
    </w:lvl>
    <w:lvl w:ilvl="2" w:tplc="80BA0454">
      <w:start w:val="1"/>
      <w:numFmt w:val="lowerRoman"/>
      <w:lvlText w:val="%3."/>
      <w:lvlJc w:val="right"/>
      <w:pPr>
        <w:ind w:left="2160" w:hanging="180"/>
      </w:pPr>
    </w:lvl>
    <w:lvl w:ilvl="3" w:tplc="5192E2C8">
      <w:start w:val="1"/>
      <w:numFmt w:val="decimal"/>
      <w:lvlText w:val="%4."/>
      <w:lvlJc w:val="left"/>
      <w:pPr>
        <w:ind w:left="2880" w:hanging="360"/>
      </w:pPr>
    </w:lvl>
    <w:lvl w:ilvl="4" w:tplc="CB18CC38">
      <w:start w:val="1"/>
      <w:numFmt w:val="lowerLetter"/>
      <w:lvlText w:val="%5."/>
      <w:lvlJc w:val="left"/>
      <w:pPr>
        <w:ind w:left="3600" w:hanging="360"/>
      </w:pPr>
    </w:lvl>
    <w:lvl w:ilvl="5" w:tplc="241CD24A">
      <w:start w:val="1"/>
      <w:numFmt w:val="lowerRoman"/>
      <w:lvlText w:val="%6."/>
      <w:lvlJc w:val="right"/>
      <w:pPr>
        <w:ind w:left="4320" w:hanging="180"/>
      </w:pPr>
    </w:lvl>
    <w:lvl w:ilvl="6" w:tplc="E4341B5E">
      <w:start w:val="1"/>
      <w:numFmt w:val="decimal"/>
      <w:lvlText w:val="%7."/>
      <w:lvlJc w:val="left"/>
      <w:pPr>
        <w:ind w:left="5040" w:hanging="360"/>
      </w:pPr>
    </w:lvl>
    <w:lvl w:ilvl="7" w:tplc="28104ECE">
      <w:start w:val="1"/>
      <w:numFmt w:val="lowerLetter"/>
      <w:lvlText w:val="%8."/>
      <w:lvlJc w:val="left"/>
      <w:pPr>
        <w:ind w:left="5760" w:hanging="360"/>
      </w:pPr>
    </w:lvl>
    <w:lvl w:ilvl="8" w:tplc="927E78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17D12"/>
    <w:multiLevelType w:val="hybridMultilevel"/>
    <w:tmpl w:val="0EBED0D8"/>
    <w:lvl w:ilvl="0" w:tplc="3A4846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93C96"/>
    <w:rsid w:val="00014394"/>
    <w:rsid w:val="00070295"/>
    <w:rsid w:val="000962E3"/>
    <w:rsid w:val="000C17CD"/>
    <w:rsid w:val="00100C19"/>
    <w:rsid w:val="00114C5D"/>
    <w:rsid w:val="001209E3"/>
    <w:rsid w:val="00120C4E"/>
    <w:rsid w:val="00122046"/>
    <w:rsid w:val="00134ED5"/>
    <w:rsid w:val="00143BCC"/>
    <w:rsid w:val="001E6C8A"/>
    <w:rsid w:val="001F647C"/>
    <w:rsid w:val="00212821"/>
    <w:rsid w:val="00237BA5"/>
    <w:rsid w:val="002B1962"/>
    <w:rsid w:val="00320AB8"/>
    <w:rsid w:val="003A27B7"/>
    <w:rsid w:val="003A49BD"/>
    <w:rsid w:val="003B047F"/>
    <w:rsid w:val="003F3293"/>
    <w:rsid w:val="00466245"/>
    <w:rsid w:val="004805E7"/>
    <w:rsid w:val="004C66B4"/>
    <w:rsid w:val="004F06DC"/>
    <w:rsid w:val="00587CC4"/>
    <w:rsid w:val="005C4A45"/>
    <w:rsid w:val="005E0A1C"/>
    <w:rsid w:val="0060262B"/>
    <w:rsid w:val="00675C61"/>
    <w:rsid w:val="006835EB"/>
    <w:rsid w:val="006A1AEE"/>
    <w:rsid w:val="006A372C"/>
    <w:rsid w:val="006E6081"/>
    <w:rsid w:val="00716817"/>
    <w:rsid w:val="00760FA9"/>
    <w:rsid w:val="00765875"/>
    <w:rsid w:val="0078145F"/>
    <w:rsid w:val="00787561"/>
    <w:rsid w:val="007C2E9D"/>
    <w:rsid w:val="007E3A25"/>
    <w:rsid w:val="007E6861"/>
    <w:rsid w:val="00840539"/>
    <w:rsid w:val="00864451"/>
    <w:rsid w:val="00880CF5"/>
    <w:rsid w:val="008A0020"/>
    <w:rsid w:val="008D17CD"/>
    <w:rsid w:val="0090669F"/>
    <w:rsid w:val="0095378E"/>
    <w:rsid w:val="009729F9"/>
    <w:rsid w:val="0098213F"/>
    <w:rsid w:val="009A3EE8"/>
    <w:rsid w:val="009B1206"/>
    <w:rsid w:val="009C12F6"/>
    <w:rsid w:val="009D265B"/>
    <w:rsid w:val="009F7AD7"/>
    <w:rsid w:val="00A039C2"/>
    <w:rsid w:val="00A202D8"/>
    <w:rsid w:val="00A20AAB"/>
    <w:rsid w:val="00A36D99"/>
    <w:rsid w:val="00A655D5"/>
    <w:rsid w:val="00AB4EE9"/>
    <w:rsid w:val="00B211C6"/>
    <w:rsid w:val="00B41DDA"/>
    <w:rsid w:val="00B61824"/>
    <w:rsid w:val="00B92470"/>
    <w:rsid w:val="00BE4639"/>
    <w:rsid w:val="00C009A4"/>
    <w:rsid w:val="00C057DE"/>
    <w:rsid w:val="00C44337"/>
    <w:rsid w:val="00CA1D54"/>
    <w:rsid w:val="00D0569B"/>
    <w:rsid w:val="00DB19B9"/>
    <w:rsid w:val="00E03AAA"/>
    <w:rsid w:val="00E1557E"/>
    <w:rsid w:val="00EB6194"/>
    <w:rsid w:val="00EF6689"/>
    <w:rsid w:val="00F01479"/>
    <w:rsid w:val="00F64422"/>
    <w:rsid w:val="00F80F52"/>
    <w:rsid w:val="00FA348E"/>
    <w:rsid w:val="00FA758E"/>
    <w:rsid w:val="00FF593D"/>
    <w:rsid w:val="018C6F8B"/>
    <w:rsid w:val="064A4521"/>
    <w:rsid w:val="0713958E"/>
    <w:rsid w:val="07882907"/>
    <w:rsid w:val="07FBB10F"/>
    <w:rsid w:val="09E6C2CA"/>
    <w:rsid w:val="149A3556"/>
    <w:rsid w:val="163A921C"/>
    <w:rsid w:val="170DEE9E"/>
    <w:rsid w:val="1881D10C"/>
    <w:rsid w:val="19E3BE37"/>
    <w:rsid w:val="1B8F1EED"/>
    <w:rsid w:val="1CB0291E"/>
    <w:rsid w:val="1DC47851"/>
    <w:rsid w:val="205AED41"/>
    <w:rsid w:val="23434CA9"/>
    <w:rsid w:val="2764BD1E"/>
    <w:rsid w:val="2AD47C97"/>
    <w:rsid w:val="2B079E21"/>
    <w:rsid w:val="2B9D9FE8"/>
    <w:rsid w:val="331971B2"/>
    <w:rsid w:val="34F85CFA"/>
    <w:rsid w:val="351850C5"/>
    <w:rsid w:val="353A6999"/>
    <w:rsid w:val="38248B9F"/>
    <w:rsid w:val="3A627AE5"/>
    <w:rsid w:val="3CEF17E2"/>
    <w:rsid w:val="4026B8A4"/>
    <w:rsid w:val="43024522"/>
    <w:rsid w:val="455C14E8"/>
    <w:rsid w:val="4598BBF3"/>
    <w:rsid w:val="461C1831"/>
    <w:rsid w:val="4888FCE3"/>
    <w:rsid w:val="48DDA135"/>
    <w:rsid w:val="4968DB86"/>
    <w:rsid w:val="49B4728D"/>
    <w:rsid w:val="4B30F966"/>
    <w:rsid w:val="4C8B59B5"/>
    <w:rsid w:val="4C8DD9CD"/>
    <w:rsid w:val="4F4CE2B9"/>
    <w:rsid w:val="51BF8472"/>
    <w:rsid w:val="59D283DD"/>
    <w:rsid w:val="5A4E5D17"/>
    <w:rsid w:val="5CA96B05"/>
    <w:rsid w:val="5D2A0A97"/>
    <w:rsid w:val="61FD7BBA"/>
    <w:rsid w:val="696EC5B0"/>
    <w:rsid w:val="6987EE0D"/>
    <w:rsid w:val="6A80762A"/>
    <w:rsid w:val="6CCC9E8A"/>
    <w:rsid w:val="6F81C4BA"/>
    <w:rsid w:val="70A26EC5"/>
    <w:rsid w:val="746A2483"/>
    <w:rsid w:val="76C93C96"/>
    <w:rsid w:val="795D7B9E"/>
    <w:rsid w:val="7BB8DA46"/>
    <w:rsid w:val="7E1106C9"/>
    <w:rsid w:val="7ED605D2"/>
    <w:rsid w:val="7FB39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3C96"/>
  <w15:chartTrackingRefBased/>
  <w15:docId w15:val="{048D6121-9571-479B-A48D-1D78665C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7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61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6194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E0A1C"/>
    <w:pPr>
      <w:spacing w:after="0" w:line="240" w:lineRule="auto"/>
    </w:pPr>
    <w:rPr>
      <w:rFonts w:ascii="Calibri" w:hAnsi="Calibri" w:cs="Calibri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E0A1C"/>
    <w:rPr>
      <w:rFonts w:ascii="Calibri" w:hAnsi="Calibri" w:cs="Calibri"/>
      <w:sz w:val="20"/>
      <w:szCs w:val="2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0A1C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E0A1C"/>
    <w:pPr>
      <w:spacing w:after="0" w:line="240" w:lineRule="auto"/>
      <w:ind w:left="720"/>
    </w:pPr>
    <w:rPr>
      <w:rFonts w:ascii="Calibri" w:hAnsi="Calibri" w:cs="Calibri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B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B047F"/>
  </w:style>
  <w:style w:type="paragraph" w:styleId="Pta">
    <w:name w:val="footer"/>
    <w:basedOn w:val="Normlny"/>
    <w:link w:val="PtaChar"/>
    <w:uiPriority w:val="99"/>
    <w:semiHidden/>
    <w:unhideWhenUsed/>
    <w:rsid w:val="003B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B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b01ac4e-8ae3-4e94-a8b6-a13490aaff4b">Draft</ContractStatus>
    <ContractDate xmlns="9b01ac4e-8ae3-4e94-a8b6-a13490aaff4b" xsi:nil="true"/>
    <PlaceOfOriginal xmlns="9b01ac4e-8ae3-4e94-a8b6-a13490aaff4b" xsi:nil="true"/>
    <ContractManagers xmlns="9b01ac4e-8ae3-4e94-a8b6-a13490aaff4b">
      <UserInfo>
        <DisplayName/>
        <AccountId xsi:nil="true"/>
        <AccountType/>
      </UserInfo>
    </ContractManagers>
    <MaterialContract xmlns="9b01ac4e-8ae3-4e94-a8b6-a13490aaff4b" xsi:nil="true"/>
    <ExternalContractingParties xmlns="9b01ac4e-8ae3-4e94-a8b6-a13490aaff4b" xsi:nil="true"/>
    <ConversationID xmlns="9b01ac4e-8ae3-4e94-a8b6-a13490aaff4b" xsi:nil="true"/>
    <DocumentSetDescription xmlns="http://schemas.microsoft.com/sharepoint/v3" xsi:nil="true"/>
    <OutsourcingAgreement xmlns="9b01ac4e-8ae3-4e94-a8b6-a13490aaff4b" xsi:nil="true"/>
    <DocumentClass xmlns="9b01ac4e-8ae3-4e94-a8b6-a13490aaff4b" xsi:nil="true"/>
    <ContractType xmlns="9b01ac4e-8ae3-4e94-a8b6-a13490aaff4b" xsi:nil="true"/>
    <ContractExpirationDate xmlns="9b01ac4e-8ae3-4e94-a8b6-a13490aaff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email" ma:contentTypeID="0x010100125D78925D459C4792E0AB097CA57A87008821B576EB5B2447B77482A70C617BE1" ma:contentTypeVersion="32" ma:contentTypeDescription="Non-relevant content." ma:contentTypeScope="" ma:versionID="adabae86f88ce4dd9f66898b12b11da2">
  <xsd:schema xmlns:xsd="http://www.w3.org/2001/XMLSchema" xmlns:xs="http://www.w3.org/2001/XMLSchema" xmlns:p="http://schemas.microsoft.com/office/2006/metadata/properties" xmlns:ns1="http://schemas.microsoft.com/sharepoint/v3" xmlns:ns2="9b01ac4e-8ae3-4e94-a8b6-a13490aaff4b" xmlns:ns3="90dccd33-9264-48bf-85c0-8bf3f43e9fdb" targetNamespace="http://schemas.microsoft.com/office/2006/metadata/properties" ma:root="true" ma:fieldsID="c9a0ec4362cd84d30a3fd5e22a17ed94" ns1:_="" ns2:_="" ns3:_="">
    <xsd:import namespace="http://schemas.microsoft.com/sharepoint/v3"/>
    <xsd:import namespace="9b01ac4e-8ae3-4e94-a8b6-a13490aaff4b"/>
    <xsd:import namespace="90dccd33-9264-48bf-85c0-8bf3f43e9fdb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1ac4e-8ae3-4e94-a8b6-a13490aaff4b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description="Attribute to classify the contract. Please select a value from either Standard contract types or Special contract types." ma:format="Dropdown" ma:hidden="true" ma:internalName="ContractType" ma:readOnly="false">
      <xsd:simpleType>
        <xsd:restriction base="dms:Choice">
          <xsd:enumeration value="Standard contract types (please select from below):"/>
          <xsd:enumeration value="-----------------------"/>
          <xsd:enumeration value="Service Agreement, Service Level Agreement"/>
          <xsd:enumeration value="Purchase Agreement (purchases and sales)"/>
          <xsd:enumeration value="Loan Agreement"/>
          <xsd:enumeration value="Confidentiality Agreement"/>
          <xsd:enumeration value="Cooperation Agreement"/>
          <xsd:enumeration value="Letter of Intent, Memorandum of Understanding"/>
          <xsd:enumeration value="Insurance Contract"/>
          <xsd:enumeration value="Guarantee, Comfort Letter, Letter of Credit"/>
          <xsd:enumeration value="Other"/>
          <xsd:enumeration value="-----------------------"/>
          <xsd:enumeration value="Special contract types  (please select from below):"/>
          <xsd:enumeration value="-----------------------"/>
          <xsd:enumeration value="Employment Agreement"/>
          <xsd:enumeration value="Rental or Lease Agreement"/>
          <xsd:enumeration value="License Agreement"/>
          <xsd:enumeration value="Privacy Agreement"/>
          <xsd:enumeration value="Agency Agreement (Tied Agent)"/>
          <xsd:enumeration value="Brokerage Agreement (Broker)"/>
          <xsd:enumeration value="Distribution Agreement"/>
          <xsd:enumeration value="Employer - Works Council/ Trade Union Agreement"/>
          <xsd:enumeration value="Investment or Financing Agreement"/>
          <xsd:enumeration value="Resinsurance Contract"/>
          <xsd:enumeration value="Shareholders' Agreement"/>
          <xsd:enumeration value="Control or Profit Transfer Agreement"/>
          <xsd:enumeration value="Joint Venture Agreement"/>
          <xsd:enumeration value="Trust Agreement"/>
          <xsd:enumeration value="Share or Business Purchase/ Merger Agreement"/>
          <xsd:enumeration value="Contract with a Member of the Board of Management or Supervisory Board"/>
        </xsd:restriction>
      </xsd:simpleType>
    </xsd:element>
    <xsd:element name="ContractStatus" ma:index="9" nillable="true" ma:displayName="Contract Status" ma:default="Draft" ma:description="The status of the contract." ma:format="Dropdown" ma:hidden="true" ma:internalName="ContractStatus" ma:readOnly="false">
      <xsd:simpleType>
        <xsd:restriction base="dms:Choice">
          <xsd:enumeration value="Draft"/>
          <xsd:enumeration value="Active"/>
          <xsd:enumeration value="Terminated"/>
        </xsd:restriction>
      </xsd:simpleType>
    </xsd:element>
    <xsd:element name="ContractManagers" ma:index="10" nillable="true" ma:displayName="Contract Managers" ma:description="Person(s) managing the contract and knowing the detail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Outsourcing Agreement" ma:description="If a contract is an outsourcing agreement in the sense of the Group Outsourcing Policy the dossier needs to be marked respectively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Contract Date" ma:description="Date when the contract has been closed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Contract Expiration Date" ma:description="Date when the contract has been terminated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Material Contract" ma:description="Please indicate if the contract reached a material threshold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External Contracting Parties" ma:description="Name(s) of any external contracting party or partie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Place of Original" ma:description="In case a paper original of the contract must be maintained the location of the original shall be entered here." ma:hidden="true" ma:internalName="PlaceOfOriginal" ma:readOnly="false">
      <xsd:simpleType>
        <xsd:restriction base="dms:Text"/>
      </xsd:simpleType>
    </xsd:element>
    <xsd:element name="ConversationID" ma:index="17" nillable="true" ma:displayName="Conversation ID" ma:description="Conversation ID" ma:hidden="true" ma:internalName="ConversationID" ma:readOnly="false">
      <xsd:simpleType>
        <xsd:restriction base="dms:Text"/>
      </xsd:simpleType>
    </xsd:element>
    <xsd:element name="DocumentClass" ma:index="18" nillable="true" ma:displayName="Document Class" ma:description="Attribute to classify the Document according to the Document Retention Schedule" ma:format="Dropdown" ma:hidden="true" ma:internalName="DocumentClass" ma:readOnly="false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cd33-9264-48bf-85c0-8bf3f43e9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7987B-3A76-45C8-8292-DE6B9625ADC9}">
  <ds:schemaRefs>
    <ds:schemaRef ds:uri="http://schemas.microsoft.com/office/2006/metadata/properties"/>
    <ds:schemaRef ds:uri="http://schemas.microsoft.com/office/infopath/2007/PartnerControls"/>
    <ds:schemaRef ds:uri="9b01ac4e-8ae3-4e94-a8b6-a13490aaff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81B55C-910D-464C-987C-95E63167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01ac4e-8ae3-4e94-a8b6-a13490aaff4b"/>
    <ds:schemaRef ds:uri="90dccd33-9264-48bf-85c0-8bf3f43e9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0B0EC-C557-40D2-9B96-7205B76BD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Brunovska, Ing Radmila (Allianz - Slovenska poistovna, a. s.)</dc:creator>
  <cp:keywords/>
  <dc:description/>
  <cp:lastModifiedBy>Bachníček Jozef</cp:lastModifiedBy>
  <cp:revision>2</cp:revision>
  <dcterms:created xsi:type="dcterms:W3CDTF">2021-10-21T12:32:00Z</dcterms:created>
  <dcterms:modified xsi:type="dcterms:W3CDTF">2021-10-21T12:32:00Z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2021-10-15T12:59:41Z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70e58928-c18c-4600-96da-5aa11d84cab7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0x010100125D78925D459C4792E0AB097CA57A87008821B576EB5B2447B77482A70C617BE1</vt:lpwstr>
  </property>
  <property fmtid="{D5CDD505-2E9C-101B-9397-08002B2CF9AE}" pid="10" name="_AdHocReviewCycleID">
    <vt:i4>1410371853</vt:i4>
  </property>
  <property fmtid="{D5CDD505-2E9C-101B-9397-08002B2CF9AE}" pid="11" name="_NewReviewCycle">
    <vt:lpwstr/>
  </property>
  <property fmtid="{D5CDD505-2E9C-101B-9397-08002B2CF9AE}" pid="12" name="_EmailSubject">
    <vt:lpwstr>Návrh zákona o zasielaní údajov do systému e-faktúra - pracovná verzia</vt:lpwstr>
  </property>
  <property fmtid="{D5CDD505-2E9C-101B-9397-08002B2CF9AE}" pid="13" name="_AuthorEmail">
    <vt:lpwstr>Radmila.Brunovska@allianz.sk</vt:lpwstr>
  </property>
  <property fmtid="{D5CDD505-2E9C-101B-9397-08002B2CF9AE}" pid="14" name="_AuthorEmailDisplayName">
    <vt:lpwstr>Brunovská Radmila Ing.</vt:lpwstr>
  </property>
  <property fmtid="{D5CDD505-2E9C-101B-9397-08002B2CF9AE}" pid="15" name="_ReviewingToolsShownOnce">
    <vt:lpwstr/>
  </property>
</Properties>
</file>