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2EB65" w14:textId="77777777" w:rsidR="00152882" w:rsidRPr="00D615BB" w:rsidRDefault="00152882" w:rsidP="00152882">
      <w:pPr>
        <w:sectPr w:rsidR="00152882" w:rsidRPr="00D615BB" w:rsidSect="00825DAE">
          <w:headerReference w:type="default" r:id="rId11"/>
          <w:footerReference w:type="even" r:id="rId12"/>
          <w:footerReference w:type="default" r:id="rId13"/>
          <w:headerReference w:type="first" r:id="rId14"/>
          <w:footerReference w:type="first" r:id="rId15"/>
          <w:pgSz w:w="11907" w:h="16839" w:code="9"/>
          <w:pgMar w:top="2336" w:right="900" w:bottom="1600" w:left="900" w:header="708" w:footer="236" w:gutter="0"/>
          <w:cols w:space="708"/>
          <w:titlePg/>
          <w:docGrid w:linePitch="360"/>
        </w:sectPr>
      </w:pPr>
      <w:bookmarkStart w:id="1" w:name="_GoBack"/>
    </w:p>
    <w:bookmarkEnd w:id="1"/>
    <w:p w14:paraId="2270E69D" w14:textId="77777777" w:rsidR="00901FF3" w:rsidRDefault="00901FF3" w:rsidP="00901FF3">
      <w:pPr>
        <w:autoSpaceDE w:val="0"/>
        <w:autoSpaceDN w:val="0"/>
        <w:adjustRightInd w:val="0"/>
        <w:rPr>
          <w:rFonts w:eastAsiaTheme="minorHAnsi" w:cs="Verdana"/>
          <w:color w:val="000000"/>
          <w:sz w:val="17"/>
          <w:szCs w:val="17"/>
          <w:lang w:val="en-US"/>
        </w:rPr>
      </w:pPr>
    </w:p>
    <w:p w14:paraId="604BD639" w14:textId="3DC7C8C0" w:rsidR="00901FF3" w:rsidRDefault="002B376B" w:rsidP="00901FF3">
      <w:pPr>
        <w:rPr>
          <w:color w:val="1F497D" w:themeColor="text2"/>
          <w:sz w:val="20"/>
          <w:lang w:val="en-US"/>
        </w:rPr>
      </w:pPr>
      <w:r>
        <w:rPr>
          <w:color w:val="1F497D" w:themeColor="text2"/>
          <w:lang w:val="en-US"/>
        </w:rPr>
        <w:t>Summary</w:t>
      </w:r>
    </w:p>
    <w:p w14:paraId="58662398" w14:textId="7B003498" w:rsidR="00901FF3" w:rsidRDefault="00901FF3" w:rsidP="00901FF3">
      <w:pPr>
        <w:rPr>
          <w:rFonts w:cs="Frutiger LT Std 45 Light"/>
          <w:color w:val="000000"/>
          <w:sz w:val="17"/>
          <w:szCs w:val="20"/>
        </w:rPr>
      </w:pPr>
      <w:r>
        <w:rPr>
          <w:rFonts w:cs="Frutiger LT Std 45 Light"/>
          <w:color w:val="000000"/>
          <w:sz w:val="17"/>
          <w:szCs w:val="20"/>
        </w:rPr>
        <w:t xml:space="preserve">Insurance Europe welcomes </w:t>
      </w:r>
      <w:r w:rsidR="00A17848">
        <w:rPr>
          <w:rFonts w:cs="Frutiger LT Std 45 Light"/>
          <w:color w:val="000000"/>
          <w:sz w:val="17"/>
          <w:szCs w:val="20"/>
        </w:rPr>
        <w:t xml:space="preserve">the opportunity to provide comments on </w:t>
      </w:r>
      <w:r>
        <w:rPr>
          <w:rFonts w:cs="Frutiger LT Std 45 Light"/>
          <w:color w:val="000000"/>
          <w:sz w:val="17"/>
          <w:szCs w:val="20"/>
        </w:rPr>
        <w:t>EIOPA</w:t>
      </w:r>
      <w:r w:rsidR="00802318">
        <w:rPr>
          <w:rFonts w:cs="Frutiger LT Std 45 Light"/>
          <w:color w:val="000000"/>
          <w:sz w:val="17"/>
          <w:szCs w:val="20"/>
        </w:rPr>
        <w:t xml:space="preserve">’s explanatory notes on the variation analysis templates. </w:t>
      </w:r>
      <w:r>
        <w:rPr>
          <w:rFonts w:cs="Frutiger LT Std 45 Light"/>
          <w:color w:val="000000"/>
          <w:sz w:val="17"/>
          <w:szCs w:val="20"/>
        </w:rPr>
        <w:t xml:space="preserve"> </w:t>
      </w:r>
    </w:p>
    <w:p w14:paraId="403DD8D8" w14:textId="6FD2AD0C" w:rsidR="0094385F" w:rsidRDefault="0094385F" w:rsidP="00901FF3">
      <w:pPr>
        <w:rPr>
          <w:rFonts w:cs="Frutiger LT Std 45 Light"/>
          <w:color w:val="000000"/>
          <w:sz w:val="17"/>
          <w:szCs w:val="20"/>
        </w:rPr>
      </w:pPr>
    </w:p>
    <w:p w14:paraId="2CFAAA46" w14:textId="346D469E" w:rsidR="00AC7882" w:rsidRDefault="00014FE4" w:rsidP="00901FF3">
      <w:pPr>
        <w:rPr>
          <w:rFonts w:cs="Frutiger LT Std 45 Light"/>
          <w:color w:val="000000"/>
          <w:sz w:val="17"/>
          <w:szCs w:val="20"/>
        </w:rPr>
      </w:pPr>
      <w:r>
        <w:rPr>
          <w:rFonts w:cs="Frutiger LT Std 45 Light"/>
          <w:color w:val="000000"/>
          <w:sz w:val="17"/>
          <w:szCs w:val="20"/>
        </w:rPr>
        <w:t xml:space="preserve">As general feedback, </w:t>
      </w:r>
      <w:r w:rsidR="0094385F">
        <w:rPr>
          <w:rFonts w:cs="Frutiger LT Std 45 Light"/>
          <w:color w:val="000000"/>
          <w:sz w:val="17"/>
          <w:szCs w:val="20"/>
        </w:rPr>
        <w:t>Insurance Europe believes that</w:t>
      </w:r>
      <w:r w:rsidR="0094385F" w:rsidRPr="0094385F">
        <w:rPr>
          <w:rFonts w:cs="Frutiger LT Std 45 Light"/>
          <w:color w:val="000000"/>
          <w:sz w:val="17"/>
          <w:szCs w:val="20"/>
        </w:rPr>
        <w:t xml:space="preserve"> the explanatory note could provide more detailed ex</w:t>
      </w:r>
      <w:r w:rsidR="00AC7882">
        <w:rPr>
          <w:rFonts w:cs="Frutiger LT Std 45 Light"/>
          <w:color w:val="000000"/>
          <w:sz w:val="17"/>
          <w:szCs w:val="20"/>
        </w:rPr>
        <w:t xml:space="preserve">planations on several topics, </w:t>
      </w:r>
      <w:r w:rsidR="00A17848">
        <w:rPr>
          <w:rFonts w:cs="Frutiger LT Std 45 Light"/>
          <w:color w:val="000000"/>
          <w:sz w:val="17"/>
          <w:szCs w:val="20"/>
        </w:rPr>
        <w:t>for example</w:t>
      </w:r>
      <w:r w:rsidR="00AC7882">
        <w:rPr>
          <w:rFonts w:cs="Frutiger LT Std 45 Light"/>
          <w:color w:val="000000"/>
          <w:sz w:val="17"/>
          <w:szCs w:val="20"/>
        </w:rPr>
        <w:t xml:space="preserve"> on profit transfer and </w:t>
      </w:r>
      <w:r w:rsidR="0094385F" w:rsidRPr="0094385F">
        <w:rPr>
          <w:rFonts w:cs="Frutiger LT Std 45 Light"/>
          <w:color w:val="000000"/>
          <w:sz w:val="17"/>
          <w:szCs w:val="20"/>
        </w:rPr>
        <w:t>on the reporting of best estimate as presented in example 2A. Th</w:t>
      </w:r>
      <w:r w:rsidR="00AC7882">
        <w:rPr>
          <w:rFonts w:cs="Frutiger LT Std 45 Light"/>
          <w:color w:val="000000"/>
          <w:sz w:val="17"/>
          <w:szCs w:val="20"/>
        </w:rPr>
        <w:t>e latter</w:t>
      </w:r>
      <w:r w:rsidR="0094385F" w:rsidRPr="0094385F">
        <w:rPr>
          <w:rFonts w:cs="Frutiger LT Std 45 Light"/>
          <w:color w:val="000000"/>
          <w:sz w:val="17"/>
          <w:szCs w:val="20"/>
        </w:rPr>
        <w:t xml:space="preserve"> seems to be very complex especially for annuity provisions. </w:t>
      </w:r>
      <w:r w:rsidR="006E2CCE" w:rsidRPr="006C6CE6">
        <w:rPr>
          <w:rFonts w:cs="Frutiger LT Std 45 Light"/>
          <w:color w:val="000000"/>
          <w:sz w:val="17"/>
          <w:szCs w:val="20"/>
          <w:highlight w:val="yellow"/>
        </w:rPr>
        <w:t>[to be further developed]</w:t>
      </w:r>
    </w:p>
    <w:p w14:paraId="472DEFC3" w14:textId="2D5FF0E4" w:rsidR="002B376B" w:rsidRDefault="002B376B" w:rsidP="00901FF3">
      <w:pPr>
        <w:rPr>
          <w:rFonts w:cs="Frutiger LT Std 45 Light"/>
          <w:color w:val="000000"/>
          <w:sz w:val="17"/>
          <w:szCs w:val="20"/>
        </w:rPr>
      </w:pPr>
    </w:p>
    <w:p w14:paraId="54A918A5" w14:textId="3F36D5FD" w:rsidR="002B376B" w:rsidRDefault="002B376B" w:rsidP="00901FF3">
      <w:pPr>
        <w:rPr>
          <w:rFonts w:cs="Frutiger LT Std 45 Light"/>
          <w:color w:val="000000"/>
          <w:sz w:val="17"/>
          <w:szCs w:val="20"/>
        </w:rPr>
      </w:pPr>
      <w:r>
        <w:rPr>
          <w:rFonts w:cs="Frutiger LT Std 45 Light"/>
          <w:color w:val="000000"/>
          <w:sz w:val="17"/>
          <w:szCs w:val="20"/>
        </w:rPr>
        <w:t>Insurance Europe’s feedback should be read as follows:</w:t>
      </w:r>
    </w:p>
    <w:p w14:paraId="35BC182A" w14:textId="714C41A0" w:rsidR="002B376B" w:rsidRDefault="002B376B" w:rsidP="006C6CE6">
      <w:pPr>
        <w:pStyle w:val="CEABullet-Level1"/>
        <w:numPr>
          <w:ilvl w:val="0"/>
          <w:numId w:val="8"/>
        </w:numPr>
      </w:pPr>
      <w:r>
        <w:t>Below, Insurance Europe puts forward a set of comments and clarifications sought</w:t>
      </w:r>
    </w:p>
    <w:p w14:paraId="157E8918" w14:textId="61A55525" w:rsidR="002B376B" w:rsidRDefault="002B376B" w:rsidP="006C6CE6">
      <w:pPr>
        <w:pStyle w:val="CEABullet-Level1"/>
        <w:numPr>
          <w:ilvl w:val="0"/>
          <w:numId w:val="8"/>
        </w:numPr>
      </w:pPr>
      <w:r>
        <w:t xml:space="preserve">In addition, Insurance Europe submits, separately, specific text/language revisions proposed directly in the explanatory notes document </w:t>
      </w:r>
    </w:p>
    <w:p w14:paraId="5234E580" w14:textId="2CE4C893" w:rsidR="00AC7882" w:rsidRDefault="00AC7882" w:rsidP="00901FF3">
      <w:pPr>
        <w:rPr>
          <w:rFonts w:cs="Frutiger LT Std 45 Light"/>
          <w:color w:val="000000"/>
          <w:sz w:val="17"/>
          <w:szCs w:val="20"/>
        </w:rPr>
      </w:pPr>
    </w:p>
    <w:p w14:paraId="77ECE22D" w14:textId="7091DCDA" w:rsidR="00AC7882" w:rsidRDefault="002B376B" w:rsidP="00AC7882">
      <w:pPr>
        <w:rPr>
          <w:color w:val="1F497D" w:themeColor="text2"/>
          <w:sz w:val="20"/>
          <w:lang w:val="en-US"/>
        </w:rPr>
      </w:pPr>
      <w:r>
        <w:rPr>
          <w:color w:val="1F497D" w:themeColor="text2"/>
          <w:lang w:val="en-US"/>
        </w:rPr>
        <w:t>General comments and outstanding clarifications sought on the explanatory notes</w:t>
      </w:r>
    </w:p>
    <w:p w14:paraId="57539100" w14:textId="77777777" w:rsidR="00AC7882" w:rsidRDefault="00AC7882" w:rsidP="00901FF3">
      <w:pPr>
        <w:rPr>
          <w:rFonts w:cs="Frutiger LT Std 45 Light"/>
          <w:color w:val="000000"/>
          <w:sz w:val="17"/>
          <w:szCs w:val="20"/>
        </w:rPr>
      </w:pPr>
    </w:p>
    <w:p w14:paraId="617DB3AF" w14:textId="75155A51" w:rsidR="00ED3B34" w:rsidRPr="000577B7" w:rsidRDefault="00ED3B34" w:rsidP="006233AB">
      <w:pPr>
        <w:pStyle w:val="CEABullet-Level1"/>
      </w:pPr>
      <w:r w:rsidRPr="00ED3B34">
        <w:rPr>
          <w:b/>
        </w:rPr>
        <w:t>Allocation method</w:t>
      </w:r>
      <w:r w:rsidRPr="00ED3B34">
        <w:t xml:space="preserve"> – is it acceptable to use an allocation method (a top down approach rather than a bottom up approach) for splitting out the information in S.29.03 </w:t>
      </w:r>
      <w:r w:rsidRPr="000577B7">
        <w:t>by LoB, and featuring the same in S.29.04?</w:t>
      </w:r>
    </w:p>
    <w:p w14:paraId="4F36CE22" w14:textId="77777777" w:rsidR="00ED3B34" w:rsidRPr="00ED3B34" w:rsidRDefault="00ED3B34" w:rsidP="00ED3B34">
      <w:pPr>
        <w:rPr>
          <w:rFonts w:cs="Frutiger LT Std 45 Light"/>
          <w:color w:val="000000"/>
          <w:sz w:val="17"/>
          <w:szCs w:val="20"/>
        </w:rPr>
      </w:pPr>
    </w:p>
    <w:p w14:paraId="2E63291A" w14:textId="18F27770" w:rsidR="00ED3B34" w:rsidRDefault="00ED3B34" w:rsidP="006233AB">
      <w:pPr>
        <w:pStyle w:val="CEABullet-Level1"/>
      </w:pPr>
      <w:r w:rsidRPr="00ED3B34">
        <w:rPr>
          <w:b/>
        </w:rPr>
        <w:t>Order of calculation</w:t>
      </w:r>
      <w:r w:rsidRPr="00ED3B34">
        <w:t xml:space="preserve"> – is an undertaking able to vary the order of calculation with respect to the discount part of the calculation, as suggested within the log file?  The recent examples shared by EIOPA suggest the order is mandated; however, by changing the order of calculation, </w:t>
      </w:r>
      <w:r>
        <w:t>Insurance Europe</w:t>
      </w:r>
      <w:r w:rsidR="002B5931">
        <w:t xml:space="preserve"> believes</w:t>
      </w:r>
      <w:r w:rsidRPr="00ED3B34">
        <w:t xml:space="preserve"> it is possible to avoid extra calculation steps, without disrupting the purpose of the cells.</w:t>
      </w:r>
    </w:p>
    <w:p w14:paraId="28DCC10E" w14:textId="77777777" w:rsidR="002B5931" w:rsidRPr="00ED3B34" w:rsidRDefault="002B5931" w:rsidP="006233AB">
      <w:pPr>
        <w:ind w:left="708"/>
        <w:rPr>
          <w:rFonts w:cs="Frutiger LT Std 45 Light"/>
          <w:color w:val="000000"/>
          <w:sz w:val="17"/>
          <w:szCs w:val="20"/>
        </w:rPr>
      </w:pPr>
    </w:p>
    <w:p w14:paraId="2D2C8CD5" w14:textId="5AF046D2" w:rsidR="00ED3B34" w:rsidRDefault="00ED3B34" w:rsidP="006233AB">
      <w:pPr>
        <w:ind w:left="708"/>
        <w:rPr>
          <w:rFonts w:cs="Frutiger LT Std 45 Light"/>
          <w:color w:val="000000"/>
          <w:sz w:val="17"/>
          <w:szCs w:val="20"/>
        </w:rPr>
      </w:pPr>
      <w:r w:rsidRPr="00ED3B34">
        <w:rPr>
          <w:rFonts w:cs="Frutiger LT Std 45 Light"/>
          <w:color w:val="000000"/>
          <w:sz w:val="17"/>
          <w:szCs w:val="20"/>
        </w:rPr>
        <w:t>The methodology used in Case 3 is an example of how to capture the various data cuts post the unwinding of discount for 'prior to the period' – such that all the cash flows post unwinding of discount (in R0210) from R220 to R240 must be discounted using the one year forward rate curve for the yield curve at the start of the year.</w:t>
      </w:r>
    </w:p>
    <w:p w14:paraId="4ED9C200" w14:textId="77777777" w:rsidR="002B5931" w:rsidRPr="00ED3B34" w:rsidRDefault="002B5931" w:rsidP="006233AB">
      <w:pPr>
        <w:ind w:left="708"/>
        <w:rPr>
          <w:rFonts w:cs="Frutiger LT Std 45 Light"/>
          <w:color w:val="000000"/>
          <w:sz w:val="17"/>
          <w:szCs w:val="20"/>
        </w:rPr>
      </w:pPr>
    </w:p>
    <w:p w14:paraId="21239EAC" w14:textId="48A3B4D8" w:rsidR="00ED3B34" w:rsidRDefault="00ED3B34" w:rsidP="006233AB">
      <w:pPr>
        <w:ind w:left="708"/>
        <w:rPr>
          <w:rFonts w:cs="Frutiger LT Std 45 Light"/>
          <w:color w:val="000000"/>
          <w:sz w:val="17"/>
          <w:szCs w:val="20"/>
        </w:rPr>
      </w:pPr>
      <w:r w:rsidRPr="00ED3B34">
        <w:rPr>
          <w:rFonts w:cs="Frutiger LT Std 45 Light"/>
          <w:color w:val="000000"/>
          <w:sz w:val="17"/>
          <w:szCs w:val="20"/>
        </w:rPr>
        <w:t>The suggested order of calculation is slightly different – i.e. R0250 is calculated before R0240.  This implies that R0250 captures the impact of a change in yield curve from forward rate to the current year end yield curve on the 'N-1' cash flows, and then R0240 is calculated, which captures the difference between 'N' &amp; 'N-1' cash flows discounted using the current year end yield curves.</w:t>
      </w:r>
    </w:p>
    <w:p w14:paraId="4B5D9244" w14:textId="77777777" w:rsidR="002B5931" w:rsidRPr="00ED3B34" w:rsidRDefault="002B5931" w:rsidP="006233AB">
      <w:pPr>
        <w:ind w:left="708"/>
        <w:rPr>
          <w:rFonts w:cs="Frutiger LT Std 45 Light"/>
          <w:color w:val="000000"/>
          <w:sz w:val="17"/>
          <w:szCs w:val="20"/>
        </w:rPr>
      </w:pPr>
    </w:p>
    <w:p w14:paraId="6E8AF769" w14:textId="04446382" w:rsidR="00ED3B34" w:rsidRDefault="002B5931" w:rsidP="006233AB">
      <w:pPr>
        <w:ind w:left="708"/>
        <w:rPr>
          <w:rFonts w:cs="Frutiger LT Std 45 Light"/>
          <w:color w:val="000000"/>
          <w:sz w:val="17"/>
          <w:szCs w:val="20"/>
        </w:rPr>
      </w:pPr>
      <w:r>
        <w:rPr>
          <w:rFonts w:cs="Frutiger LT Std 45 Light"/>
          <w:color w:val="000000"/>
          <w:sz w:val="17"/>
          <w:szCs w:val="20"/>
        </w:rPr>
        <w:t>Insurance Europe</w:t>
      </w:r>
      <w:r w:rsidR="00ED3B34" w:rsidRPr="00ED3B34">
        <w:rPr>
          <w:rFonts w:cs="Frutiger LT Std 45 Light"/>
          <w:color w:val="000000"/>
          <w:sz w:val="17"/>
          <w:szCs w:val="20"/>
        </w:rPr>
        <w:t xml:space="preserve"> would like to know if the example given in Case 3 is a prescribed approach, or whether the order of calculation is open to interpretation as per the EIOPA log file.</w:t>
      </w:r>
    </w:p>
    <w:p w14:paraId="6CE3F57B" w14:textId="77777777" w:rsidR="002B5931" w:rsidRPr="00ED3B34" w:rsidRDefault="002B5931" w:rsidP="00ED3B34">
      <w:pPr>
        <w:rPr>
          <w:rFonts w:cs="Frutiger LT Std 45 Light"/>
          <w:color w:val="000000"/>
          <w:sz w:val="17"/>
          <w:szCs w:val="20"/>
        </w:rPr>
      </w:pPr>
    </w:p>
    <w:p w14:paraId="6442698F" w14:textId="0EBBBBAD" w:rsidR="00ED3B34" w:rsidRPr="00ED3B34" w:rsidRDefault="00ED3B34" w:rsidP="006233AB">
      <w:pPr>
        <w:pStyle w:val="CEABullet-Level1"/>
      </w:pPr>
      <w:r w:rsidRPr="002B5931">
        <w:rPr>
          <w:b/>
        </w:rPr>
        <w:t>Cash flows</w:t>
      </w:r>
      <w:r w:rsidRPr="00ED3B34">
        <w:t xml:space="preserve"> – from the log file and associated explanations, rows R220-R240 </w:t>
      </w:r>
      <w:r w:rsidR="00CC29FB">
        <w:t xml:space="preserve">were interpreted </w:t>
      </w:r>
      <w:r w:rsidRPr="00ED3B34">
        <w:t xml:space="preserve">as follows.  </w:t>
      </w:r>
      <w:r w:rsidR="00A17848">
        <w:t>Would</w:t>
      </w:r>
      <w:r w:rsidRPr="00ED3B34">
        <w:t xml:space="preserve"> this</w:t>
      </w:r>
      <w:r w:rsidR="00A17848">
        <w:t xml:space="preserve"> be</w:t>
      </w:r>
      <w:r w:rsidRPr="00ED3B34">
        <w:t xml:space="preserve"> correct?</w:t>
      </w:r>
    </w:p>
    <w:p w14:paraId="62D87ADF" w14:textId="77777777" w:rsidR="00ED3B34" w:rsidRPr="00ED3B34" w:rsidRDefault="00ED3B34" w:rsidP="00A17848">
      <w:pPr>
        <w:pStyle w:val="CEABullet-Level2"/>
      </w:pPr>
      <w:r w:rsidRPr="00ED3B34">
        <w:t>R220 – expected diagonal of payments (year 1 cash flow from the opening best estimate).</w:t>
      </w:r>
    </w:p>
    <w:p w14:paraId="25EEBABE" w14:textId="78E34E14" w:rsidR="00ED3B34" w:rsidRPr="00ED3B34" w:rsidRDefault="00ED3B34" w:rsidP="00A17848">
      <w:pPr>
        <w:pStyle w:val="CEABullet-Level2"/>
      </w:pPr>
      <w:r w:rsidRPr="00ED3B34">
        <w:t xml:space="preserve">R230 – almost actual* vs expected for year 1 cash flow, where the almost actual* reflects the difference in actual and expected payments made because of a speeding up or slowing down of payments (and not increases or decreases on settlement – these are for technical </w:t>
      </w:r>
      <w:r w:rsidRPr="00ED3B34">
        <w:lastRenderedPageBreak/>
        <w:t>flows); hence the closing best estimate is impacted.  If insufficient information is available to work this out, then the log summary and associated comments</w:t>
      </w:r>
      <w:r w:rsidR="00A17848">
        <w:t xml:space="preserve"> have been interpreted</w:t>
      </w:r>
      <w:r w:rsidRPr="00ED3B34">
        <w:t xml:space="preserve"> to suggest that a pure actual versus expected calculation can be used.</w:t>
      </w:r>
    </w:p>
    <w:p w14:paraId="527EDCEB" w14:textId="77777777" w:rsidR="00ED3B34" w:rsidRPr="00ED3B34" w:rsidRDefault="00ED3B34" w:rsidP="00A17848">
      <w:pPr>
        <w:pStyle w:val="CEABullet-Level2"/>
      </w:pPr>
      <w:r w:rsidRPr="00ED3B34">
        <w:t>R240 – changes in best estimate that impact the future cash flows at the end point valuation (which are not inflation or yield curve driven).  These would include new case information or revisions of IBNR due to non-economic assumption changes.  Some of the wording around the inclusion of changes in RBNS and IBNR appears ambiguous.</w:t>
      </w:r>
    </w:p>
    <w:p w14:paraId="4B64F174" w14:textId="77777777" w:rsidR="000577B7" w:rsidRDefault="000577B7" w:rsidP="00A17848">
      <w:pPr>
        <w:ind w:left="1800"/>
        <w:rPr>
          <w:rFonts w:cs="Frutiger LT Std 45 Light"/>
          <w:color w:val="000000"/>
          <w:sz w:val="17"/>
          <w:szCs w:val="20"/>
        </w:rPr>
      </w:pPr>
    </w:p>
    <w:p w14:paraId="67EE11AA" w14:textId="0BD9462F" w:rsidR="00ED3B34" w:rsidRPr="00ED3B34" w:rsidRDefault="00ED3B34" w:rsidP="00A17848">
      <w:pPr>
        <w:ind w:left="1800"/>
        <w:rPr>
          <w:rFonts w:cs="Frutiger LT Std 45 Light"/>
          <w:color w:val="000000"/>
          <w:sz w:val="17"/>
          <w:szCs w:val="20"/>
        </w:rPr>
      </w:pPr>
      <w:r w:rsidRPr="00ED3B34">
        <w:rPr>
          <w:rFonts w:cs="Frutiger LT Std 45 Light"/>
          <w:color w:val="000000"/>
          <w:sz w:val="17"/>
          <w:szCs w:val="20"/>
        </w:rPr>
        <w:t xml:space="preserve">In the event that inflation cannot be split out explicitly, R240 would seem the most appropriate place to put it – </w:t>
      </w:r>
      <w:r w:rsidR="00D12BFD">
        <w:rPr>
          <w:rFonts w:cs="Frutiger LT Std 45 Light"/>
          <w:color w:val="000000"/>
          <w:sz w:val="17"/>
          <w:szCs w:val="20"/>
        </w:rPr>
        <w:t>would this be</w:t>
      </w:r>
      <w:r w:rsidRPr="00ED3B34">
        <w:rPr>
          <w:rFonts w:cs="Frutiger LT Std 45 Light"/>
          <w:color w:val="000000"/>
          <w:sz w:val="17"/>
          <w:szCs w:val="20"/>
        </w:rPr>
        <w:t xml:space="preserve"> acceptable?  Alternatively, should it all (R230-R250) be put in R230?  See EIOPA comment "For non-life (C0060/R0250), in case variation due to inflation cannot be discerned from changes due to experience, the whole amount would be reported under C0060/R0230".</w:t>
      </w:r>
    </w:p>
    <w:p w14:paraId="33288EFC" w14:textId="77777777" w:rsidR="00ED3B34" w:rsidRPr="00ED3B34" w:rsidRDefault="00ED3B34" w:rsidP="00A17848">
      <w:pPr>
        <w:ind w:left="1800"/>
        <w:rPr>
          <w:rFonts w:cs="Frutiger LT Std 45 Light"/>
          <w:color w:val="000000"/>
          <w:sz w:val="17"/>
          <w:szCs w:val="20"/>
        </w:rPr>
      </w:pPr>
      <w:r w:rsidRPr="00ED3B34">
        <w:rPr>
          <w:rFonts w:cs="Frutiger LT Std 45 Light"/>
          <w:color w:val="000000"/>
          <w:sz w:val="17"/>
          <w:szCs w:val="20"/>
        </w:rPr>
        <w:t>In this case, the 2 examples need clarity over the timing of the claims provision payments:</w:t>
      </w:r>
    </w:p>
    <w:p w14:paraId="3602266D" w14:textId="77777777" w:rsidR="00ED3B34" w:rsidRPr="00ED3B34" w:rsidRDefault="00ED3B34" w:rsidP="00A17848">
      <w:pPr>
        <w:ind w:left="1800"/>
        <w:rPr>
          <w:rFonts w:cs="Frutiger LT Std 45 Light"/>
          <w:color w:val="000000"/>
          <w:sz w:val="17"/>
          <w:szCs w:val="20"/>
        </w:rPr>
      </w:pPr>
      <w:r w:rsidRPr="00ED3B34">
        <w:rPr>
          <w:rFonts w:cs="Frutiger LT Std 45 Light"/>
          <w:color w:val="000000"/>
          <w:sz w:val="17"/>
          <w:szCs w:val="20"/>
        </w:rPr>
        <w:t xml:space="preserve">Example 1: claim provision of 100, paid 105 during the year. </w:t>
      </w:r>
    </w:p>
    <w:p w14:paraId="0B88E503" w14:textId="77777777" w:rsidR="00ED3B34" w:rsidRPr="00ED3B34" w:rsidRDefault="00ED3B34" w:rsidP="00A17848">
      <w:pPr>
        <w:ind w:left="1800"/>
        <w:rPr>
          <w:rFonts w:cs="Frutiger LT Std 45 Light"/>
          <w:color w:val="000000"/>
          <w:sz w:val="17"/>
          <w:szCs w:val="20"/>
        </w:rPr>
      </w:pPr>
      <w:r w:rsidRPr="00ED3B34">
        <w:rPr>
          <w:rFonts w:cs="Frutiger LT Std 45 Light"/>
          <w:color w:val="000000"/>
          <w:sz w:val="17"/>
          <w:szCs w:val="20"/>
        </w:rPr>
        <w:t>Example 2: claim provision of 100, paid 50 during the year and review provision for 55 (5 more than initially).</w:t>
      </w:r>
    </w:p>
    <w:p w14:paraId="1DC66D86" w14:textId="4DF42C6A" w:rsidR="00ED3B34" w:rsidRDefault="00ED3B34" w:rsidP="00A17848">
      <w:pPr>
        <w:ind w:left="1800"/>
        <w:rPr>
          <w:rFonts w:cs="Frutiger LT Std 45 Light"/>
          <w:color w:val="000000"/>
          <w:sz w:val="17"/>
          <w:szCs w:val="20"/>
        </w:rPr>
      </w:pPr>
      <w:r w:rsidRPr="00ED3B34">
        <w:rPr>
          <w:rFonts w:cs="Frutiger LT Std 45 Light"/>
          <w:color w:val="000000"/>
          <w:sz w:val="17"/>
          <w:szCs w:val="20"/>
        </w:rPr>
        <w:t xml:space="preserve">If, for example, in Example 2 </w:t>
      </w:r>
      <w:r w:rsidR="00A17848">
        <w:rPr>
          <w:rFonts w:cs="Frutiger LT Std 45 Light"/>
          <w:color w:val="000000"/>
          <w:sz w:val="17"/>
          <w:szCs w:val="20"/>
        </w:rPr>
        <w:t>one</w:t>
      </w:r>
      <w:r w:rsidRPr="00ED3B34">
        <w:rPr>
          <w:rFonts w:cs="Frutiger LT Std 45 Light"/>
          <w:color w:val="000000"/>
          <w:sz w:val="17"/>
          <w:szCs w:val="20"/>
        </w:rPr>
        <w:t xml:space="preserve"> expected to pay the full claims provision of 100 in the past year, </w:t>
      </w:r>
      <w:r w:rsidR="00CC29FB">
        <w:rPr>
          <w:rFonts w:cs="Frutiger LT Std 45 Light"/>
          <w:color w:val="000000"/>
          <w:sz w:val="17"/>
          <w:szCs w:val="20"/>
        </w:rPr>
        <w:t xml:space="preserve">it would be expected that </w:t>
      </w:r>
      <w:r w:rsidRPr="00ED3B34">
        <w:rPr>
          <w:rFonts w:cs="Frutiger LT Std 45 Light"/>
          <w:color w:val="000000"/>
          <w:sz w:val="17"/>
          <w:szCs w:val="20"/>
        </w:rPr>
        <w:t xml:space="preserve">R220 </w:t>
      </w:r>
      <w:r w:rsidR="00CC29FB">
        <w:rPr>
          <w:rFonts w:cs="Frutiger LT Std 45 Light"/>
          <w:color w:val="000000"/>
          <w:sz w:val="17"/>
          <w:szCs w:val="20"/>
        </w:rPr>
        <w:t>s</w:t>
      </w:r>
      <w:r w:rsidRPr="00ED3B34">
        <w:rPr>
          <w:rFonts w:cs="Frutiger LT Std 45 Light"/>
          <w:color w:val="000000"/>
          <w:sz w:val="17"/>
          <w:szCs w:val="20"/>
        </w:rPr>
        <w:t>how</w:t>
      </w:r>
      <w:r w:rsidR="00CC29FB">
        <w:rPr>
          <w:rFonts w:cs="Frutiger LT Std 45 Light"/>
          <w:color w:val="000000"/>
          <w:sz w:val="17"/>
          <w:szCs w:val="20"/>
        </w:rPr>
        <w:t>s</w:t>
      </w:r>
      <w:r w:rsidRPr="00ED3B34">
        <w:rPr>
          <w:rFonts w:cs="Frutiger LT Std 45 Light"/>
          <w:color w:val="000000"/>
          <w:sz w:val="17"/>
          <w:szCs w:val="20"/>
        </w:rPr>
        <w:t xml:space="preserve"> -100, R230 </w:t>
      </w:r>
      <w:r w:rsidR="00CC29FB">
        <w:rPr>
          <w:rFonts w:cs="Frutiger LT Std 45 Light"/>
          <w:color w:val="000000"/>
          <w:sz w:val="17"/>
          <w:szCs w:val="20"/>
        </w:rPr>
        <w:t xml:space="preserve">shows </w:t>
      </w:r>
      <w:r w:rsidRPr="00ED3B34">
        <w:rPr>
          <w:rFonts w:cs="Frutiger LT Std 45 Light"/>
          <w:color w:val="000000"/>
          <w:sz w:val="17"/>
          <w:szCs w:val="20"/>
        </w:rPr>
        <w:t>+50 and R240 show</w:t>
      </w:r>
      <w:r w:rsidR="00CC29FB">
        <w:rPr>
          <w:rFonts w:cs="Frutiger LT Std 45 Light"/>
          <w:color w:val="000000"/>
          <w:sz w:val="17"/>
          <w:szCs w:val="20"/>
        </w:rPr>
        <w:t>s</w:t>
      </w:r>
      <w:r w:rsidRPr="00ED3B34">
        <w:rPr>
          <w:rFonts w:cs="Frutiger LT Std 45 Light"/>
          <w:color w:val="000000"/>
          <w:sz w:val="17"/>
          <w:szCs w:val="20"/>
        </w:rPr>
        <w:t xml:space="preserve"> +5 (assuming non-economic).  Without knowing the timing of the claims provision payments, it is hard to apply these examples to a situation involving these 3 cells.  If the expected payment in the year was 50, then </w:t>
      </w:r>
      <w:r w:rsidR="00CC29FB">
        <w:rPr>
          <w:rFonts w:cs="Frutiger LT Std 45 Light"/>
          <w:color w:val="000000"/>
          <w:sz w:val="17"/>
          <w:szCs w:val="20"/>
        </w:rPr>
        <w:t>it would be expected</w:t>
      </w:r>
      <w:r w:rsidRPr="00ED3B34">
        <w:rPr>
          <w:rFonts w:cs="Frutiger LT Std 45 Light"/>
          <w:color w:val="000000"/>
          <w:sz w:val="17"/>
          <w:szCs w:val="20"/>
        </w:rPr>
        <w:t xml:space="preserve"> to see row R220 as -50, R230 as 0 and R240 as +5.</w:t>
      </w:r>
    </w:p>
    <w:p w14:paraId="28EE3A53" w14:textId="77777777" w:rsidR="002B5931" w:rsidRPr="00ED3B34" w:rsidRDefault="002B5931" w:rsidP="00ED3B34">
      <w:pPr>
        <w:rPr>
          <w:rFonts w:cs="Frutiger LT Std 45 Light"/>
          <w:color w:val="000000"/>
          <w:sz w:val="17"/>
          <w:szCs w:val="20"/>
        </w:rPr>
      </w:pPr>
    </w:p>
    <w:p w14:paraId="60646174" w14:textId="100FF6A7" w:rsidR="00ED3B34" w:rsidRDefault="00ED3B34" w:rsidP="006233AB">
      <w:pPr>
        <w:pStyle w:val="CEABullet-Level1"/>
      </w:pPr>
      <w:r w:rsidRPr="002B5931">
        <w:rPr>
          <w:b/>
        </w:rPr>
        <w:t>Technical flows</w:t>
      </w:r>
      <w:r w:rsidRPr="00ED3B34">
        <w:t xml:space="preserve"> – </w:t>
      </w:r>
      <w:r w:rsidR="00CC29FB">
        <w:t xml:space="preserve">Insurance Europe’s </w:t>
      </w:r>
      <w:r w:rsidRPr="00ED3B34">
        <w:t xml:space="preserve">interpretation of the technical flows is as follows: actual values of cash flow realised over the calendar year, which cover both impacts that are seen in the variation in best estimate (e.g. faster/slower payment speeds) and other impacts (e.g. higher/lower payments than expected on settlement, which won't be seen in the closing provisions but impact the asset side of the balance sheet).  </w:t>
      </w:r>
      <w:r w:rsidR="00A17848">
        <w:t>Would this interpretation be</w:t>
      </w:r>
      <w:r w:rsidRPr="00ED3B34">
        <w:t xml:space="preserve"> correct?</w:t>
      </w:r>
    </w:p>
    <w:p w14:paraId="4F761898" w14:textId="77777777" w:rsidR="006E2CCE" w:rsidRPr="00ED3B34" w:rsidRDefault="006E2CCE" w:rsidP="006C6CE6">
      <w:pPr>
        <w:pStyle w:val="CEABullet-Level1"/>
        <w:numPr>
          <w:ilvl w:val="0"/>
          <w:numId w:val="0"/>
        </w:numPr>
        <w:ind w:left="720"/>
      </w:pPr>
    </w:p>
    <w:p w14:paraId="6C8BE950" w14:textId="2454F13E" w:rsidR="00ED3B34" w:rsidRPr="00ED3B34" w:rsidRDefault="00ED3B34" w:rsidP="006233AB">
      <w:pPr>
        <w:ind w:left="708"/>
        <w:rPr>
          <w:rFonts w:cs="Frutiger LT Std 45 Light"/>
          <w:color w:val="000000"/>
          <w:sz w:val="17"/>
          <w:szCs w:val="20"/>
        </w:rPr>
      </w:pPr>
      <w:r w:rsidRPr="00ED3B34">
        <w:rPr>
          <w:rFonts w:cs="Frutiger LT Std 45 Light"/>
          <w:color w:val="000000"/>
          <w:sz w:val="17"/>
          <w:szCs w:val="20"/>
        </w:rPr>
        <w:t xml:space="preserve">In the event that R230 reflects full actual versus expected cash flows (see the previous point on the interpretation of R230), would </w:t>
      </w:r>
      <w:r w:rsidR="00996FF5">
        <w:rPr>
          <w:rFonts w:cs="Frutiger LT Std 45 Light"/>
          <w:color w:val="000000"/>
          <w:sz w:val="17"/>
          <w:szCs w:val="20"/>
        </w:rPr>
        <w:t>one</w:t>
      </w:r>
      <w:r w:rsidRPr="00ED3B34">
        <w:rPr>
          <w:rFonts w:cs="Frutiger LT Std 45 Light"/>
          <w:color w:val="000000"/>
          <w:sz w:val="17"/>
          <w:szCs w:val="20"/>
        </w:rPr>
        <w:t xml:space="preserve"> just expect to see the actual component of this in the technical flows?  In which case the claims provision (claims and expenses) component of the technical flows would be made up of R220+R230.  Is this correct?</w:t>
      </w:r>
    </w:p>
    <w:p w14:paraId="0579FA3B" w14:textId="7A374ABB" w:rsidR="00ED3B34" w:rsidRDefault="00ED3B34" w:rsidP="00802318">
      <w:pPr>
        <w:rPr>
          <w:rFonts w:cs="Frutiger LT Std 45 Light"/>
          <w:b/>
          <w:color w:val="000000"/>
          <w:sz w:val="17"/>
          <w:szCs w:val="20"/>
        </w:rPr>
      </w:pPr>
    </w:p>
    <w:p w14:paraId="5C8ABDB4" w14:textId="7BB3EA91" w:rsidR="006726F2" w:rsidRPr="000A6AA9" w:rsidRDefault="006726F2" w:rsidP="006233AB">
      <w:pPr>
        <w:pStyle w:val="CEABullet-Level1"/>
      </w:pPr>
      <w:r w:rsidRPr="000A6AA9">
        <w:rPr>
          <w:b/>
        </w:rPr>
        <w:t>Exceptional elements triggering restating of opening BE</w:t>
      </w:r>
      <w:r w:rsidRPr="000A6AA9">
        <w:t xml:space="preserve"> are described as the model changes. </w:t>
      </w:r>
      <w:r w:rsidR="000A6AA9" w:rsidRPr="000A6AA9">
        <w:t>Insurance Europe believes</w:t>
      </w:r>
      <w:r w:rsidRPr="000A6AA9">
        <w:t xml:space="preserve"> it should also include correction of errors (in assumptions, calculation or others) revealed after the reporting date</w:t>
      </w:r>
      <w:r w:rsidR="000A6AA9" w:rsidRPr="000A6AA9">
        <w:t>.</w:t>
      </w:r>
    </w:p>
    <w:p w14:paraId="58DFC480" w14:textId="77777777" w:rsidR="000A6AA9" w:rsidRDefault="000A6AA9" w:rsidP="000A6AA9">
      <w:pPr>
        <w:spacing w:line="240" w:lineRule="auto"/>
        <w:jc w:val="left"/>
      </w:pPr>
    </w:p>
    <w:p w14:paraId="14E94F39" w14:textId="46AF3F7F" w:rsidR="000A6AA9" w:rsidRPr="006233AB" w:rsidRDefault="000A6AA9" w:rsidP="006233AB">
      <w:pPr>
        <w:pStyle w:val="CEABullet-Level1"/>
        <w:rPr>
          <w:b/>
        </w:rPr>
      </w:pPr>
      <w:r w:rsidRPr="006233AB">
        <w:rPr>
          <w:b/>
        </w:rPr>
        <w:t>Variation analysis split in three cells</w:t>
      </w:r>
    </w:p>
    <w:p w14:paraId="519C7AA8" w14:textId="4366E159" w:rsidR="006726F2" w:rsidRDefault="006726F2" w:rsidP="006233AB">
      <w:pPr>
        <w:spacing w:line="240" w:lineRule="auto"/>
        <w:ind w:left="708"/>
        <w:jc w:val="left"/>
        <w:rPr>
          <w:rFonts w:cs="Frutiger LT Std 45 Light"/>
          <w:color w:val="000000"/>
          <w:sz w:val="17"/>
          <w:szCs w:val="20"/>
        </w:rPr>
      </w:pPr>
      <w:r w:rsidRPr="000A6AA9">
        <w:rPr>
          <w:rFonts w:cs="Frutiger LT Std 45 Light"/>
          <w:color w:val="000000"/>
          <w:sz w:val="17"/>
          <w:szCs w:val="20"/>
        </w:rPr>
        <w:t>Could you please confirm that the variation analysis, in fact, splits into three cells:</w:t>
      </w:r>
    </w:p>
    <w:p w14:paraId="5CDFE108" w14:textId="77777777" w:rsidR="000577B7" w:rsidRPr="000A6AA9" w:rsidRDefault="000577B7" w:rsidP="006233AB">
      <w:pPr>
        <w:spacing w:line="240" w:lineRule="auto"/>
        <w:ind w:left="708"/>
        <w:jc w:val="left"/>
        <w:rPr>
          <w:rFonts w:cs="Frutiger LT Std 45 Light"/>
          <w:color w:val="000000"/>
          <w:sz w:val="17"/>
          <w:szCs w:val="20"/>
        </w:rPr>
      </w:pPr>
    </w:p>
    <w:p w14:paraId="7B1A57D1" w14:textId="77777777" w:rsidR="006726F2" w:rsidRPr="000A6AA9" w:rsidRDefault="006726F2" w:rsidP="003D34A5">
      <w:pPr>
        <w:pStyle w:val="CEABullet-Level2"/>
      </w:pPr>
      <w:r w:rsidRPr="000A6AA9">
        <w:t>In R0070 the cash flows modelled in year N-1 for year N are excluded</w:t>
      </w:r>
    </w:p>
    <w:p w14:paraId="3CA7F67F" w14:textId="77777777" w:rsidR="006726F2" w:rsidRPr="000A6AA9" w:rsidRDefault="006726F2" w:rsidP="006233AB">
      <w:pPr>
        <w:pStyle w:val="CEABullet-Level2"/>
      </w:pPr>
      <w:r w:rsidRPr="000A6AA9">
        <w:t>R0310-R0330 includes the real cash flows from year N, which, however, do not have any impact on BEL as at the end of year N (this concerns e.g. the actual total claims from year N)</w:t>
      </w:r>
    </w:p>
    <w:p w14:paraId="12A82C7F" w14:textId="77777777" w:rsidR="006726F2" w:rsidRPr="000A6AA9" w:rsidRDefault="006726F2" w:rsidP="006233AB">
      <w:pPr>
        <w:pStyle w:val="CEABullet-Level2"/>
      </w:pPr>
      <w:r w:rsidRPr="000A6AA9">
        <w:t>R0080 includes the difference between the real cash flows in year N and the cash flows modelled for year N (assuming a simplified view). So, should the equation “R0310-R0330” + R0080 = R0070 apply? In other words, it should include the impact of all real cash flows from year N on BEL as at the end of year N. Could you provide an example for life insurance (similarly to the one provided for non-life)?</w:t>
      </w:r>
    </w:p>
    <w:p w14:paraId="363AD39B" w14:textId="2FDDBA5F" w:rsidR="006726F2" w:rsidRDefault="006726F2" w:rsidP="00802318">
      <w:pPr>
        <w:rPr>
          <w:rFonts w:cs="Frutiger LT Std 45 Light"/>
          <w:b/>
          <w:color w:val="000000"/>
          <w:sz w:val="17"/>
          <w:szCs w:val="20"/>
        </w:rPr>
      </w:pPr>
    </w:p>
    <w:p w14:paraId="6843ABF2" w14:textId="461EC551" w:rsidR="000577B7" w:rsidRDefault="000577B7" w:rsidP="00802318">
      <w:pPr>
        <w:rPr>
          <w:rFonts w:cs="Frutiger LT Std 45 Light"/>
          <w:b/>
          <w:color w:val="000000"/>
          <w:sz w:val="17"/>
          <w:szCs w:val="20"/>
        </w:rPr>
      </w:pPr>
    </w:p>
    <w:p w14:paraId="25849349" w14:textId="2115538C" w:rsidR="000577B7" w:rsidRDefault="000577B7" w:rsidP="00802318">
      <w:pPr>
        <w:rPr>
          <w:rFonts w:cs="Frutiger LT Std 45 Light"/>
          <w:b/>
          <w:color w:val="000000"/>
          <w:sz w:val="17"/>
          <w:szCs w:val="20"/>
        </w:rPr>
      </w:pPr>
    </w:p>
    <w:p w14:paraId="4A32E405" w14:textId="0C411C47" w:rsidR="000577B7" w:rsidRDefault="000577B7" w:rsidP="00802318">
      <w:pPr>
        <w:rPr>
          <w:rFonts w:cs="Frutiger LT Std 45 Light"/>
          <w:b/>
          <w:color w:val="000000"/>
          <w:sz w:val="17"/>
          <w:szCs w:val="20"/>
        </w:rPr>
      </w:pPr>
    </w:p>
    <w:p w14:paraId="38E6812C" w14:textId="77777777" w:rsidR="000577B7" w:rsidRDefault="000577B7" w:rsidP="00802318">
      <w:pPr>
        <w:rPr>
          <w:rFonts w:cs="Frutiger LT Std 45 Light"/>
          <w:b/>
          <w:color w:val="000000"/>
          <w:sz w:val="17"/>
          <w:szCs w:val="20"/>
        </w:rPr>
      </w:pPr>
    </w:p>
    <w:p w14:paraId="67A0978C" w14:textId="5D2592B4" w:rsidR="00802318" w:rsidRPr="006233AB" w:rsidRDefault="00802318" w:rsidP="006233AB">
      <w:pPr>
        <w:pStyle w:val="CEABullet-Level1"/>
        <w:rPr>
          <w:b/>
        </w:rPr>
      </w:pPr>
      <w:r w:rsidRPr="006233AB">
        <w:rPr>
          <w:b/>
        </w:rPr>
        <w:t>S.29.01 and S.29.02: reporting of variation of investments</w:t>
      </w:r>
    </w:p>
    <w:p w14:paraId="16E2D637" w14:textId="15E067B5" w:rsidR="00802318" w:rsidRPr="00802318" w:rsidRDefault="00802318" w:rsidP="006233AB">
      <w:pPr>
        <w:ind w:left="708"/>
        <w:rPr>
          <w:rFonts w:cs="Frutiger LT Std 45 Light"/>
          <w:color w:val="000000"/>
          <w:sz w:val="17"/>
          <w:szCs w:val="20"/>
        </w:rPr>
      </w:pPr>
      <w:r w:rsidRPr="00802318">
        <w:rPr>
          <w:rFonts w:cs="Frutiger LT Std 45 Light"/>
          <w:color w:val="000000"/>
          <w:sz w:val="17"/>
          <w:szCs w:val="20"/>
        </w:rPr>
        <w:t>EIOPA</w:t>
      </w:r>
      <w:r w:rsidR="000577B7">
        <w:rPr>
          <w:rFonts w:cs="Frutiger LT Std 45 Light"/>
          <w:color w:val="000000"/>
          <w:sz w:val="17"/>
          <w:szCs w:val="20"/>
        </w:rPr>
        <w:t>’s</w:t>
      </w:r>
      <w:r w:rsidRPr="00802318">
        <w:rPr>
          <w:rFonts w:cs="Frutiger LT Std 45 Light"/>
          <w:color w:val="000000"/>
          <w:sz w:val="17"/>
          <w:szCs w:val="20"/>
        </w:rPr>
        <w:t xml:space="preserve"> </w:t>
      </w:r>
      <w:r w:rsidR="000577B7">
        <w:rPr>
          <w:rFonts w:cs="Frutiger LT Std 45 Light"/>
          <w:color w:val="000000"/>
          <w:sz w:val="17"/>
          <w:szCs w:val="20"/>
        </w:rPr>
        <w:t>e</w:t>
      </w:r>
      <w:r w:rsidRPr="00802318">
        <w:rPr>
          <w:rFonts w:cs="Frutiger LT Std 45 Light"/>
          <w:color w:val="000000"/>
          <w:sz w:val="17"/>
          <w:szCs w:val="20"/>
        </w:rPr>
        <w:t xml:space="preserve">xplanatory notes on </w:t>
      </w:r>
      <w:r w:rsidR="000577B7">
        <w:rPr>
          <w:rFonts w:cs="Frutiger LT Std 45 Light"/>
          <w:color w:val="000000"/>
          <w:sz w:val="17"/>
          <w:szCs w:val="20"/>
        </w:rPr>
        <w:t>v</w:t>
      </w:r>
      <w:r w:rsidRPr="00802318">
        <w:rPr>
          <w:rFonts w:cs="Frutiger LT Std 45 Light"/>
          <w:color w:val="000000"/>
          <w:sz w:val="17"/>
          <w:szCs w:val="20"/>
        </w:rPr>
        <w:t xml:space="preserve">ariation </w:t>
      </w:r>
      <w:r w:rsidR="000577B7">
        <w:rPr>
          <w:rFonts w:cs="Frutiger LT Std 45 Light"/>
          <w:color w:val="000000"/>
          <w:sz w:val="17"/>
          <w:szCs w:val="20"/>
        </w:rPr>
        <w:t>a</w:t>
      </w:r>
      <w:r w:rsidRPr="00802318">
        <w:rPr>
          <w:rFonts w:cs="Frutiger LT Std 45 Light"/>
          <w:color w:val="000000"/>
          <w:sz w:val="17"/>
          <w:szCs w:val="20"/>
        </w:rPr>
        <w:t xml:space="preserve">nalysis templates (EIOPA-17-403), paragraph 1.14 (page 3) state the following in relation to QRT 29.02: </w:t>
      </w:r>
    </w:p>
    <w:p w14:paraId="1740B53A" w14:textId="24C71223" w:rsidR="00802318" w:rsidRPr="00802318" w:rsidRDefault="00802318" w:rsidP="006233AB">
      <w:pPr>
        <w:ind w:left="708"/>
        <w:rPr>
          <w:rFonts w:cs="Frutiger LT Std 45 Light"/>
          <w:color w:val="000000"/>
          <w:sz w:val="17"/>
          <w:szCs w:val="20"/>
        </w:rPr>
      </w:pPr>
    </w:p>
    <w:p w14:paraId="28754338" w14:textId="1259BAD1" w:rsidR="00802318" w:rsidRPr="00802318" w:rsidRDefault="00802318" w:rsidP="006233AB">
      <w:pPr>
        <w:ind w:left="708"/>
        <w:rPr>
          <w:rFonts w:cs="Frutiger LT Std 45 Light"/>
          <w:i/>
          <w:color w:val="000000"/>
          <w:sz w:val="17"/>
          <w:szCs w:val="20"/>
        </w:rPr>
      </w:pPr>
      <w:r w:rsidRPr="00802318">
        <w:rPr>
          <w:rFonts w:cs="Frutiger LT Std 45 Light"/>
          <w:i/>
          <w:color w:val="000000"/>
          <w:sz w:val="17"/>
          <w:szCs w:val="20"/>
        </w:rPr>
        <w:t xml:space="preserve">"1.14.  This variation of Investments is not a “pure variation” as it should only capture the variation leading to an impact on the EoAoL, i.e. should not capture any buying’s or selling’s but simply the variation of the valuation, including expenses/revenues (as said R0190 needs to capture all amounts reported in S.29.02). For example, when bonds are paid this might affect “Cash and cash equivalents” but is not affecting the EoAoL. " </w:t>
      </w:r>
    </w:p>
    <w:p w14:paraId="35A08A52" w14:textId="77777777" w:rsidR="00802318" w:rsidRPr="00802318" w:rsidRDefault="00802318" w:rsidP="006233AB">
      <w:pPr>
        <w:ind w:left="708"/>
        <w:rPr>
          <w:rFonts w:cs="Frutiger LT Std 45 Light"/>
          <w:color w:val="000000"/>
          <w:sz w:val="17"/>
          <w:szCs w:val="20"/>
        </w:rPr>
      </w:pPr>
    </w:p>
    <w:p w14:paraId="6AE7307F" w14:textId="7E36CEFD" w:rsidR="00802318" w:rsidRPr="00802318" w:rsidRDefault="00802318" w:rsidP="006233AB">
      <w:pPr>
        <w:pStyle w:val="CEABullet-Level2"/>
      </w:pPr>
      <w:r w:rsidRPr="00802318">
        <w:t>It is not clear what is meant here by buying and selling - is it meant that the proceeds should not be included? The payment of a bond (</w:t>
      </w:r>
      <w:r w:rsidR="000577B7">
        <w:t xml:space="preserve">presumably </w:t>
      </w:r>
      <w:r w:rsidRPr="00802318">
        <w:t xml:space="preserve">on maturity), which is given as example, would also have an impact on the excess of assets over liabilities (EoAoL) due to the difference between the face value/ principal repayment on maturity (proceeds) and the market value as at the last reporting period (previous year end). The clarification should be refined. </w:t>
      </w:r>
    </w:p>
    <w:p w14:paraId="423C67A1" w14:textId="77777777" w:rsidR="00802318" w:rsidRPr="00802318" w:rsidRDefault="00802318" w:rsidP="006233AB">
      <w:pPr>
        <w:ind w:left="708"/>
        <w:rPr>
          <w:rFonts w:cs="Frutiger LT Std 45 Light"/>
          <w:color w:val="000000"/>
          <w:sz w:val="17"/>
          <w:szCs w:val="20"/>
        </w:rPr>
      </w:pPr>
    </w:p>
    <w:p w14:paraId="2260701E" w14:textId="2DBF405E" w:rsidR="00802318" w:rsidRDefault="00ED3B34" w:rsidP="006233AB">
      <w:pPr>
        <w:pStyle w:val="CEABullet-Level2"/>
      </w:pPr>
      <w:r>
        <w:t>While t</w:t>
      </w:r>
      <w:r w:rsidR="00802318" w:rsidRPr="00802318">
        <w:t>he explanations in the log file to S.29.02 and the definition to cell C0010/ R0010 (page 63) impl</w:t>
      </w:r>
      <w:r w:rsidR="00802318">
        <w:t>y</w:t>
      </w:r>
      <w:r w:rsidR="00802318" w:rsidRPr="00802318">
        <w:t xml:space="preserve"> that that any sales/ divestiture and purchases of investments during the period should be considered (</w:t>
      </w:r>
      <w:r>
        <w:t>relevant text is shown in bold</w:t>
      </w:r>
      <w:r w:rsidR="00802318" w:rsidRPr="00802318">
        <w:t xml:space="preserve">): </w:t>
      </w:r>
    </w:p>
    <w:p w14:paraId="1D151D08" w14:textId="77777777" w:rsidR="000577B7" w:rsidRPr="000577B7" w:rsidRDefault="000577B7" w:rsidP="000577B7"/>
    <w:p w14:paraId="439AB015" w14:textId="77777777" w:rsidR="00802318" w:rsidRPr="00ED3B34" w:rsidRDefault="00802318" w:rsidP="006233AB">
      <w:pPr>
        <w:ind w:left="1416"/>
        <w:rPr>
          <w:rFonts w:cs="Frutiger LT Std 45 Light"/>
          <w:i/>
          <w:color w:val="000000"/>
          <w:sz w:val="17"/>
          <w:szCs w:val="20"/>
        </w:rPr>
      </w:pPr>
      <w:r w:rsidRPr="00ED3B34">
        <w:rPr>
          <w:rFonts w:cs="Frutiger LT Std 45 Light"/>
          <w:i/>
          <w:color w:val="000000"/>
          <w:sz w:val="17"/>
          <w:szCs w:val="20"/>
        </w:rPr>
        <w:t xml:space="preserve">"i. Movements in valuation with an impact on the Excess of Assets over Liabilities (e.g. </w:t>
      </w:r>
      <w:r w:rsidRPr="00ED3B34">
        <w:rPr>
          <w:rFonts w:cs="Frutiger LT Std 45 Light"/>
          <w:b/>
          <w:i/>
          <w:color w:val="000000"/>
          <w:sz w:val="17"/>
          <w:szCs w:val="20"/>
        </w:rPr>
        <w:t>realized gains and losses from sales</w:t>
      </w:r>
      <w:r w:rsidRPr="00ED3B34">
        <w:rPr>
          <w:rFonts w:cs="Frutiger LT Std 45 Light"/>
          <w:i/>
          <w:color w:val="000000"/>
          <w:sz w:val="17"/>
          <w:szCs w:val="20"/>
        </w:rPr>
        <w:t xml:space="preserve">, but also valuation differences);" </w:t>
      </w:r>
    </w:p>
    <w:p w14:paraId="2061F371" w14:textId="77777777" w:rsidR="00802318" w:rsidRPr="00ED3B34" w:rsidRDefault="00802318" w:rsidP="006233AB">
      <w:pPr>
        <w:ind w:left="1416"/>
        <w:rPr>
          <w:rFonts w:cs="Frutiger LT Std 45 Light"/>
          <w:i/>
          <w:color w:val="000000"/>
          <w:sz w:val="17"/>
          <w:szCs w:val="20"/>
        </w:rPr>
      </w:pPr>
    </w:p>
    <w:p w14:paraId="68C4F969" w14:textId="482DAB1E" w:rsidR="00802318" w:rsidRPr="00ED3B34" w:rsidRDefault="00ED3B34" w:rsidP="006233AB">
      <w:pPr>
        <w:ind w:left="1416"/>
        <w:rPr>
          <w:rFonts w:cs="Frutiger LT Std 45 Light"/>
          <w:i/>
          <w:color w:val="000000"/>
          <w:sz w:val="17"/>
          <w:szCs w:val="20"/>
        </w:rPr>
      </w:pPr>
      <w:r>
        <w:rPr>
          <w:rFonts w:cs="Frutiger LT Std 45 Light"/>
          <w:i/>
          <w:color w:val="000000"/>
          <w:sz w:val="17"/>
          <w:szCs w:val="20"/>
        </w:rPr>
        <w:t xml:space="preserve">C0010/R0010 </w:t>
      </w:r>
      <w:r w:rsidR="00802318" w:rsidRPr="00ED3B34">
        <w:rPr>
          <w:rFonts w:cs="Frutiger LT Std 45 Light"/>
          <w:i/>
          <w:color w:val="000000"/>
          <w:sz w:val="17"/>
          <w:szCs w:val="20"/>
        </w:rPr>
        <w:t xml:space="preserve">Valuation </w:t>
      </w:r>
      <w:r>
        <w:rPr>
          <w:rFonts w:cs="Frutiger LT Std 45 Light"/>
          <w:i/>
          <w:color w:val="000000"/>
          <w:sz w:val="17"/>
          <w:szCs w:val="20"/>
        </w:rPr>
        <w:t>movements on investments</w:t>
      </w:r>
      <w:r w:rsidR="00802318" w:rsidRPr="00ED3B34">
        <w:rPr>
          <w:rFonts w:cs="Frutiger LT Std 45 Light"/>
          <w:i/>
          <w:color w:val="000000"/>
          <w:sz w:val="17"/>
          <w:szCs w:val="20"/>
        </w:rPr>
        <w:t xml:space="preserve">, including: </w:t>
      </w:r>
    </w:p>
    <w:p w14:paraId="67A1164C" w14:textId="77777777" w:rsidR="00802318" w:rsidRPr="00ED3B34" w:rsidRDefault="00802318" w:rsidP="006233AB">
      <w:pPr>
        <w:ind w:left="1416"/>
        <w:rPr>
          <w:rFonts w:cs="Frutiger LT Std 45 Light"/>
          <w:i/>
          <w:color w:val="000000"/>
          <w:sz w:val="17"/>
          <w:szCs w:val="20"/>
        </w:rPr>
      </w:pPr>
      <w:r w:rsidRPr="00ED3B34">
        <w:rPr>
          <w:rFonts w:cs="Frutiger LT Std 45 Light"/>
          <w:i/>
          <w:color w:val="000000"/>
          <w:sz w:val="17"/>
          <w:szCs w:val="20"/>
        </w:rPr>
        <w:t xml:space="preserve">– For those assets kept in the portfolio, the difference between Solvency II values at the end of the reporting period (N) and at the beginning of the Year (N–1); </w:t>
      </w:r>
    </w:p>
    <w:p w14:paraId="29E143B1" w14:textId="77777777" w:rsidR="00802318" w:rsidRPr="00ED3B34" w:rsidRDefault="00802318" w:rsidP="006233AB">
      <w:pPr>
        <w:ind w:left="1416"/>
        <w:rPr>
          <w:rFonts w:cs="Frutiger LT Std 45 Light"/>
          <w:i/>
          <w:color w:val="000000"/>
          <w:sz w:val="17"/>
          <w:szCs w:val="20"/>
        </w:rPr>
      </w:pPr>
      <w:r w:rsidRPr="00ED3B34">
        <w:rPr>
          <w:rFonts w:cs="Frutiger LT Std 45 Light"/>
          <w:i/>
          <w:color w:val="000000"/>
          <w:sz w:val="17"/>
          <w:szCs w:val="20"/>
        </w:rPr>
        <w:t xml:space="preserve">– For those investments </w:t>
      </w:r>
      <w:r w:rsidRPr="00ED3B34">
        <w:rPr>
          <w:rFonts w:cs="Frutiger LT Std 45 Light"/>
          <w:b/>
          <w:i/>
          <w:color w:val="000000"/>
          <w:sz w:val="17"/>
          <w:szCs w:val="20"/>
        </w:rPr>
        <w:t>divested between the two reporting periods (including where an asset was acquired during the reporting period), the difference between the selling price and the Solvency II value as at the last reporting period (or, in case of investments acquired during the period, the acquisition cost value);</w:t>
      </w:r>
      <w:r w:rsidRPr="00ED3B34">
        <w:rPr>
          <w:rFonts w:cs="Frutiger LT Std 45 Light"/>
          <w:i/>
          <w:color w:val="000000"/>
          <w:sz w:val="17"/>
          <w:szCs w:val="20"/>
        </w:rPr>
        <w:t xml:space="preserve"> </w:t>
      </w:r>
    </w:p>
    <w:p w14:paraId="41EEAE39" w14:textId="77777777" w:rsidR="00802318" w:rsidRPr="00ED3B34" w:rsidRDefault="00802318" w:rsidP="006233AB">
      <w:pPr>
        <w:ind w:left="1416"/>
        <w:rPr>
          <w:rFonts w:cs="Frutiger LT Std 45 Light"/>
          <w:i/>
          <w:color w:val="000000"/>
          <w:sz w:val="17"/>
          <w:szCs w:val="20"/>
        </w:rPr>
      </w:pPr>
      <w:r w:rsidRPr="00ED3B34">
        <w:rPr>
          <w:rFonts w:cs="Frutiger LT Std 45 Light"/>
          <w:i/>
          <w:color w:val="000000"/>
          <w:sz w:val="17"/>
          <w:szCs w:val="20"/>
        </w:rPr>
        <w:t xml:space="preserve">– For those assets acquired during the reporting period and still held at the end of the reporting period, the difference between the closing Solvency II value and the acquisition cost/value. </w:t>
      </w:r>
    </w:p>
    <w:p w14:paraId="57D28691" w14:textId="1E349A91" w:rsidR="006726F2" w:rsidRDefault="00802318" w:rsidP="006233AB">
      <w:pPr>
        <w:ind w:left="1416"/>
        <w:rPr>
          <w:rFonts w:cs="Frutiger LT Std 45 Light"/>
          <w:i/>
          <w:color w:val="000000"/>
          <w:sz w:val="17"/>
          <w:szCs w:val="20"/>
        </w:rPr>
      </w:pPr>
      <w:r w:rsidRPr="00ED3B34">
        <w:rPr>
          <w:rFonts w:cs="Frutiger LT Std 45 Light"/>
          <w:i/>
          <w:color w:val="000000"/>
          <w:sz w:val="17"/>
          <w:szCs w:val="20"/>
        </w:rPr>
        <w:t>...”.</w:t>
      </w:r>
    </w:p>
    <w:p w14:paraId="631A72BB" w14:textId="213539C8" w:rsidR="006726F2" w:rsidRDefault="006726F2" w:rsidP="006233AB">
      <w:pPr>
        <w:ind w:left="708"/>
        <w:rPr>
          <w:rFonts w:cs="Frutiger LT Std 45 Light"/>
          <w:i/>
          <w:color w:val="000000"/>
          <w:sz w:val="17"/>
          <w:szCs w:val="20"/>
        </w:rPr>
      </w:pPr>
    </w:p>
    <w:p w14:paraId="6BF369A9" w14:textId="26868B8C" w:rsidR="006726F2" w:rsidRDefault="006726F2" w:rsidP="006726F2">
      <w:pPr>
        <w:rPr>
          <w:rFonts w:cs="Frutiger LT Std 45 Light"/>
          <w:i/>
          <w:color w:val="000000"/>
          <w:sz w:val="17"/>
          <w:szCs w:val="20"/>
        </w:rPr>
      </w:pPr>
    </w:p>
    <w:sectPr w:rsidR="006726F2" w:rsidSect="001C24A2">
      <w:type w:val="continuous"/>
      <w:pgSz w:w="11907" w:h="16839" w:code="9"/>
      <w:pgMar w:top="2336" w:right="902" w:bottom="1077" w:left="1474" w:header="709" w:footer="2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1F59B" w14:textId="77777777" w:rsidR="00017E2D" w:rsidRDefault="00017E2D">
      <w:pPr>
        <w:spacing w:line="240" w:lineRule="auto"/>
      </w:pPr>
      <w:r>
        <w:separator/>
      </w:r>
    </w:p>
  </w:endnote>
  <w:endnote w:type="continuationSeparator" w:id="0">
    <w:p w14:paraId="4F67EDA9" w14:textId="77777777" w:rsidR="00017E2D" w:rsidRDefault="00017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4ADF" w14:textId="77777777" w:rsidR="00774ED6" w:rsidRDefault="00152882" w:rsidP="000846C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3574C77" w14:textId="77777777" w:rsidR="00774ED6" w:rsidRDefault="003B1926" w:rsidP="000846C0">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D8506" w14:textId="139522CA" w:rsidR="00A42CBE" w:rsidRPr="00723412" w:rsidRDefault="00152882" w:rsidP="00A42CBE">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sidR="003B1926">
      <w:rPr>
        <w:rStyle w:val="slostrany"/>
        <w:noProof/>
        <w:color w:val="002957"/>
        <w:szCs w:val="17"/>
      </w:rPr>
      <w:t>2</w:t>
    </w:r>
    <w:r>
      <w:rPr>
        <w:rStyle w:val="slostrany"/>
        <w:color w:val="002957"/>
        <w:szCs w:val="17"/>
      </w:rPr>
      <w:fldChar w:fldCharType="end"/>
    </w:r>
  </w:p>
  <w:p w14:paraId="00D4FD8B" w14:textId="77777777" w:rsidR="00774ED6" w:rsidRPr="0085650F" w:rsidRDefault="003B1926" w:rsidP="0029642B">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3CD11" w14:textId="77777777" w:rsidR="001A61B6" w:rsidRPr="006A3720" w:rsidRDefault="00152882" w:rsidP="00A42CBE">
    <w:pPr>
      <w:framePr w:w="3958" w:h="1015" w:hRule="exact" w:hSpace="181" w:wrap="around" w:vAnchor="page" w:hAnchor="page" w:x="7259" w:y="15423" w:anchorLock="1"/>
      <w:rPr>
        <w:rFonts w:cs="Tahoma"/>
        <w:color w:val="002957"/>
        <w:sz w:val="14"/>
        <w:szCs w:val="14"/>
      </w:rPr>
    </w:pPr>
    <w:r w:rsidRPr="006A3720">
      <w:rPr>
        <w:rFonts w:cs="Tahoma"/>
        <w:color w:val="002957"/>
        <w:sz w:val="14"/>
        <w:szCs w:val="14"/>
      </w:rPr>
      <w:t xml:space="preserve">© </w:t>
    </w:r>
    <w:r w:rsidRPr="006A3720">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4C2EAE63" w14:textId="77777777" w:rsidR="00C728C8" w:rsidRDefault="00152882" w:rsidP="00BD3110">
    <w:pPr>
      <w:pStyle w:val="CEAFooterauthorinfo"/>
      <w:ind w:left="567"/>
      <w:jc w:val="left"/>
      <w:rPr>
        <w:b w:val="0"/>
        <w:color w:val="002957"/>
        <w:sz w:val="14"/>
        <w:szCs w:val="14"/>
        <w:lang w:val="pt-PT"/>
      </w:rPr>
    </w:pPr>
    <w:r w:rsidRPr="00A4463C">
      <w:rPr>
        <w:b w:val="0"/>
        <w:color w:val="002957"/>
        <w:sz w:val="14"/>
        <w:szCs w:val="14"/>
        <w:lang w:val="fr-BE"/>
      </w:rPr>
      <w:t>Insurance Europe aisbl</w:t>
    </w:r>
  </w:p>
  <w:p w14:paraId="35E4E20F" w14:textId="77777777" w:rsidR="00774ED6" w:rsidRPr="00A4463C" w:rsidRDefault="00A4463C" w:rsidP="00BD3110">
    <w:pPr>
      <w:pStyle w:val="CEAFooterauthorinfo"/>
      <w:ind w:left="567"/>
      <w:jc w:val="left"/>
      <w:rPr>
        <w:b w:val="0"/>
        <w:color w:val="002957"/>
        <w:sz w:val="14"/>
        <w:szCs w:val="14"/>
        <w:lang w:val="fr-BE"/>
      </w:rPr>
    </w:pPr>
    <w:r w:rsidRPr="00A4463C">
      <w:rPr>
        <w:b w:val="0"/>
        <w:color w:val="002957"/>
        <w:sz w:val="14"/>
        <w:szCs w:val="14"/>
        <w:lang w:val="fr-BE"/>
      </w:rPr>
      <w:t>Rue Montoyer 51, B-1000 Brussels</w:t>
    </w:r>
    <w:r w:rsidR="00BD3110" w:rsidRPr="00A4463C">
      <w:rPr>
        <w:b w:val="0"/>
        <w:color w:val="002957"/>
        <w:sz w:val="14"/>
        <w:szCs w:val="14"/>
        <w:lang w:val="fr-BE"/>
      </w:rPr>
      <w:t xml:space="preserve"> </w:t>
    </w:r>
  </w:p>
  <w:p w14:paraId="28C127FA" w14:textId="77777777" w:rsidR="00774ED6" w:rsidRDefault="00152882" w:rsidP="00994483">
    <w:pPr>
      <w:pStyle w:val="CEAFooterauthorinfo"/>
      <w:ind w:left="567"/>
      <w:jc w:val="left"/>
      <w:rPr>
        <w:b w:val="0"/>
        <w:color w:val="002957"/>
        <w:sz w:val="14"/>
        <w:szCs w:val="14"/>
        <w:lang w:val="pt-PT"/>
      </w:rPr>
    </w:pPr>
    <w:r w:rsidRPr="0085650F">
      <w:rPr>
        <w:b w:val="0"/>
        <w:color w:val="002957"/>
        <w:sz w:val="14"/>
        <w:szCs w:val="14"/>
        <w:lang w:val="pt-PT"/>
      </w:rPr>
      <w:t>Tel:</w:t>
    </w:r>
    <w:r w:rsidR="00407B3E">
      <w:rPr>
        <w:b w:val="0"/>
        <w:color w:val="002957"/>
        <w:sz w:val="14"/>
        <w:szCs w:val="14"/>
        <w:lang w:val="pt-PT"/>
      </w:rPr>
      <w:t xml:space="preserve"> +32 2 894 30 00 • Fax: +32 2 894 30 01</w:t>
    </w:r>
  </w:p>
  <w:p w14:paraId="15276316" w14:textId="77777777" w:rsidR="00F96C48" w:rsidRDefault="00A4463C" w:rsidP="00994483">
    <w:pPr>
      <w:pStyle w:val="CEAFooterauthorinfo"/>
      <w:ind w:left="567"/>
      <w:jc w:val="left"/>
      <w:rPr>
        <w:b w:val="0"/>
        <w:color w:val="82C55B"/>
        <w:sz w:val="14"/>
        <w:szCs w:val="14"/>
        <w:lang w:val="pt-PT"/>
      </w:rPr>
    </w:pPr>
    <w:r>
      <w:rPr>
        <w:b w:val="0"/>
        <w:color w:val="002957"/>
        <w:sz w:val="14"/>
        <w:szCs w:val="14"/>
        <w:lang w:val="pt-PT"/>
      </w:rPr>
      <w:t>E-mail : info@insuranceeurope.eu</w:t>
    </w:r>
  </w:p>
  <w:p w14:paraId="2310FE7D" w14:textId="77777777" w:rsidR="00774ED6" w:rsidRPr="0085650F" w:rsidRDefault="00F96C48" w:rsidP="00A4463C">
    <w:pPr>
      <w:pStyle w:val="CEAFooterauthorinfo"/>
      <w:jc w:val="left"/>
      <w:rPr>
        <w:b w:val="0"/>
        <w:color w:val="82C55B"/>
        <w:sz w:val="14"/>
        <w:szCs w:val="14"/>
        <w:lang w:val="pt-PT"/>
      </w:rPr>
    </w:pPr>
    <w:r>
      <w:rPr>
        <w:b w:val="0"/>
        <w:color w:val="82C55B"/>
        <w:sz w:val="14"/>
        <w:szCs w:val="14"/>
        <w:lang w:val="pt-PT"/>
      </w:rPr>
      <w:t xml:space="preserve">           </w:t>
    </w:r>
    <w:r w:rsidRPr="00A4463C">
      <w:rPr>
        <w:b w:val="0"/>
        <w:color w:val="82C55B"/>
        <w:sz w:val="14"/>
        <w:szCs w:val="14"/>
        <w:lang w:val="pt-PT"/>
      </w:rPr>
      <w:t>www.insuranceeurope.eu</w:t>
    </w:r>
  </w:p>
  <w:p w14:paraId="5DFFBD6D" w14:textId="77777777" w:rsidR="00774ED6" w:rsidRPr="00A4463C" w:rsidRDefault="003B1926">
    <w:pPr>
      <w:pStyle w:val="Pta"/>
      <w:rPr>
        <w:color w:val="002957"/>
        <w:sz w:val="14"/>
        <w:szCs w:val="14"/>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75493" w14:textId="77777777" w:rsidR="00017E2D" w:rsidRDefault="00017E2D">
      <w:pPr>
        <w:spacing w:line="240" w:lineRule="auto"/>
      </w:pPr>
      <w:r>
        <w:separator/>
      </w:r>
    </w:p>
  </w:footnote>
  <w:footnote w:type="continuationSeparator" w:id="0">
    <w:p w14:paraId="3804605F" w14:textId="77777777" w:rsidR="00017E2D" w:rsidRDefault="00017E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F23DD" w14:textId="77777777" w:rsidR="00774ED6" w:rsidRPr="00323E1C" w:rsidRDefault="00152882" w:rsidP="000846C0">
    <w:pPr>
      <w:pStyle w:val="Noparagraphstyle"/>
      <w:jc w:val="right"/>
      <w:rPr>
        <w:rFonts w:ascii="Verdana" w:hAnsi="Verdana"/>
        <w:sz w:val="18"/>
        <w:szCs w:val="18"/>
      </w:rPr>
    </w:pPr>
    <w:r w:rsidRPr="000D41DA">
      <w:rPr>
        <w:rFonts w:ascii="Frutiger LT Com 45 Light" w:hAnsi="Frutiger LT Com 45 Light"/>
        <w:noProof/>
        <w:lang w:val="sk-SK" w:eastAsia="sk-SK"/>
      </w:rPr>
      <w:drawing>
        <wp:anchor distT="0" distB="0" distL="114300" distR="114300" simplePos="0" relativeHeight="251657728" behindDoc="0" locked="0" layoutInCell="1" allowOverlap="1" wp14:anchorId="21275F8D" wp14:editId="1BB5B0A5">
          <wp:simplePos x="0" y="0"/>
          <wp:positionH relativeFrom="page">
            <wp:posOffset>530087</wp:posOffset>
          </wp:positionH>
          <wp:positionV relativeFrom="page">
            <wp:posOffset>398145</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7325" cy="895350"/>
                  </a:xfrm>
                  <a:prstGeom prst="rect">
                    <a:avLst/>
                  </a:prstGeom>
                  <a:noFill/>
                </pic:spPr>
              </pic:pic>
            </a:graphicData>
          </a:graphic>
        </wp:anchor>
      </w:drawing>
    </w:r>
  </w:p>
  <w:p w14:paraId="107FB07A" w14:textId="77777777" w:rsidR="00774ED6" w:rsidRPr="0085650F" w:rsidRDefault="00152882" w:rsidP="000846C0">
    <w:pPr>
      <w:pStyle w:val="Noparagraphstyle"/>
      <w:jc w:val="right"/>
      <w:rPr>
        <w:rFonts w:ascii="Verdana" w:hAnsi="Verdana" w:cs="Arial"/>
        <w:i/>
        <w:iCs/>
        <w:color w:val="034EA2"/>
      </w:rPr>
    </w:pPr>
    <w:r w:rsidRPr="00323E1C">
      <w:rPr>
        <w:rFonts w:ascii="Verdana" w:hAnsi="Verdana"/>
      </w:rPr>
      <w:tab/>
    </w:r>
  </w:p>
  <w:p w14:paraId="0DA1EDF9" w14:textId="77777777" w:rsidR="00774ED6" w:rsidRPr="00491802" w:rsidRDefault="003B1926" w:rsidP="000846C0">
    <w:pPr>
      <w:pStyle w:val="Hlavika"/>
      <w:tabs>
        <w:tab w:val="clear" w:pos="4320"/>
        <w:tab w:val="clear" w:pos="8640"/>
        <w:tab w:val="center" w:pos="0"/>
        <w:tab w:val="right" w:pos="1044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70F3B" w14:textId="5A4B1AA3" w:rsidR="00774ED6" w:rsidRPr="006C6CE6" w:rsidRDefault="006C6CE6" w:rsidP="0029642B">
    <w:pPr>
      <w:pStyle w:val="Noparagraphstyle"/>
      <w:jc w:val="right"/>
      <w:rPr>
        <w:rFonts w:ascii="Verdana" w:hAnsi="Verdana"/>
        <w:b/>
        <w:bCs/>
        <w:color w:val="002957"/>
        <w:sz w:val="28"/>
        <w:szCs w:val="28"/>
        <w:lang w:val="en-US"/>
      </w:rPr>
    </w:pPr>
    <w:r w:rsidRPr="006C6CE6">
      <w:rPr>
        <w:rFonts w:ascii="Verdana" w:hAnsi="Verdana"/>
        <w:b/>
        <w:bCs/>
        <w:color w:val="002957"/>
        <w:sz w:val="21"/>
        <w:szCs w:val="28"/>
        <w:lang w:val="en-US"/>
      </w:rPr>
      <w:t>17/08/2017</w:t>
    </w:r>
    <w:sdt>
      <w:sdtPr>
        <w:rPr>
          <w:rFonts w:ascii="Verdana" w:hAnsi="Verdana"/>
          <w:b/>
          <w:bCs/>
          <w:color w:val="002957"/>
          <w:sz w:val="28"/>
          <w:szCs w:val="28"/>
          <w:lang w:val="en-US"/>
        </w:rPr>
        <w:id w:val="1260260589"/>
        <w:docPartObj>
          <w:docPartGallery w:val="Watermarks"/>
          <w:docPartUnique/>
        </w:docPartObj>
      </w:sdtPr>
      <w:sdtEndPr/>
      <w:sdtContent>
        <w:r w:rsidR="003B1926">
          <w:rPr>
            <w:rFonts w:ascii="Verdana" w:hAnsi="Verdana"/>
            <w:b/>
            <w:bCs/>
            <w:color w:val="002957"/>
            <w:sz w:val="28"/>
            <w:szCs w:val="28"/>
            <w:lang w:val="en-US"/>
          </w:rPr>
          <w:pict w14:anchorId="045AE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left:0;text-align:left;margin-left:0;margin-top:0;width:468pt;height:280.8pt;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52882" w:rsidRPr="006C6CE6">
      <w:rPr>
        <w:rFonts w:ascii="Verdana" w:hAnsi="Verdana"/>
        <w:b/>
        <w:bCs/>
        <w:noProof/>
        <w:color w:val="002957"/>
        <w:sz w:val="28"/>
        <w:szCs w:val="28"/>
        <w:lang w:val="sk-SK" w:eastAsia="sk-SK"/>
      </w:rPr>
      <w:drawing>
        <wp:anchor distT="0" distB="0" distL="114300" distR="114300" simplePos="0" relativeHeight="251656704" behindDoc="0" locked="0" layoutInCell="1" allowOverlap="1" wp14:anchorId="7D8FF058" wp14:editId="0951E496">
          <wp:simplePos x="0" y="0"/>
          <wp:positionH relativeFrom="page">
            <wp:posOffset>523875</wp:posOffset>
          </wp:positionH>
          <wp:positionV relativeFrom="page">
            <wp:posOffset>419100</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7325" cy="895350"/>
                  </a:xfrm>
                  <a:prstGeom prst="rect">
                    <a:avLst/>
                  </a:prstGeom>
                  <a:noFill/>
                </pic:spPr>
              </pic:pic>
            </a:graphicData>
          </a:graphic>
        </wp:anchor>
      </w:drawing>
    </w:r>
  </w:p>
  <w:p w14:paraId="39400F7A" w14:textId="77777777" w:rsidR="00774ED6" w:rsidRDefault="003B1926">
    <w:pPr>
      <w:pStyle w:val="Hlavika"/>
    </w:pPr>
  </w:p>
  <w:p w14:paraId="699E8900" w14:textId="77777777" w:rsidR="001C24A2" w:rsidRDefault="003B1926">
    <w:pPr>
      <w:pStyle w:val="Hlavika"/>
    </w:pPr>
  </w:p>
  <w:p w14:paraId="01FAB493" w14:textId="77777777" w:rsidR="001C24A2" w:rsidRDefault="003B1926">
    <w:pPr>
      <w:pStyle w:val="Hlavika"/>
    </w:pPr>
  </w:p>
  <w:p w14:paraId="0C0CF2FB" w14:textId="3CFCE34D" w:rsidR="0017261F" w:rsidRPr="00901FF3" w:rsidRDefault="0017261F" w:rsidP="0017261F">
    <w:pPr>
      <w:jc w:val="right"/>
      <w:rPr>
        <w:b/>
        <w:i/>
        <w:color w:val="002957"/>
        <w:sz w:val="32"/>
        <w:szCs w:val="32"/>
        <w:lang w:val="fr-BE"/>
      </w:rPr>
    </w:pPr>
    <w:bookmarkStart w:id="0" w:name="Draft1st"/>
    <w:bookmarkEnd w:id="0"/>
  </w:p>
  <w:p w14:paraId="67D23F98" w14:textId="77777777" w:rsidR="00B21F6A" w:rsidRPr="002D768E" w:rsidRDefault="003B1926" w:rsidP="00E20AAF">
    <w:pPr>
      <w:pStyle w:val="CEADraft"/>
      <w:rPr>
        <w:color w:val="002957"/>
        <w:lang w:val="fr-FR"/>
      </w:rPr>
    </w:pPr>
  </w:p>
  <w:p w14:paraId="100C3ED6" w14:textId="734634A2" w:rsidR="00901FF3" w:rsidRPr="00901FF3" w:rsidRDefault="00901FF3" w:rsidP="00901FF3">
    <w:pPr>
      <w:jc w:val="center"/>
      <w:rPr>
        <w:b/>
        <w:color w:val="002957"/>
        <w:sz w:val="28"/>
        <w:szCs w:val="28"/>
        <w:lang w:val="en-US"/>
      </w:rPr>
    </w:pPr>
    <w:r w:rsidRPr="00901FF3">
      <w:rPr>
        <w:b/>
        <w:bCs/>
        <w:color w:val="002957"/>
        <w:sz w:val="28"/>
        <w:szCs w:val="28"/>
        <w:lang w:val="en-US"/>
      </w:rPr>
      <w:t xml:space="preserve">Insurance Europe comments on </w:t>
    </w:r>
    <w:r w:rsidR="00802318" w:rsidRPr="00802318">
      <w:rPr>
        <w:b/>
        <w:bCs/>
        <w:color w:val="002957"/>
        <w:sz w:val="28"/>
        <w:szCs w:val="28"/>
        <w:lang w:val="en-US"/>
      </w:rPr>
      <w:t xml:space="preserve">EIOPA's </w:t>
    </w:r>
    <w:r w:rsidR="00802318">
      <w:rPr>
        <w:b/>
        <w:bCs/>
        <w:color w:val="002957"/>
        <w:sz w:val="28"/>
        <w:szCs w:val="28"/>
        <w:lang w:val="en-US"/>
      </w:rPr>
      <w:t>e</w:t>
    </w:r>
    <w:r w:rsidR="00802318" w:rsidRPr="00802318">
      <w:rPr>
        <w:b/>
        <w:bCs/>
        <w:color w:val="002957"/>
        <w:sz w:val="28"/>
        <w:szCs w:val="28"/>
        <w:lang w:val="en-US"/>
      </w:rPr>
      <w:t xml:space="preserve">xplanatory </w:t>
    </w:r>
    <w:r w:rsidR="00802318">
      <w:rPr>
        <w:b/>
        <w:bCs/>
        <w:color w:val="002957"/>
        <w:sz w:val="28"/>
        <w:szCs w:val="28"/>
        <w:lang w:val="en-US"/>
      </w:rPr>
      <w:t>n</w:t>
    </w:r>
    <w:r w:rsidR="00802318" w:rsidRPr="00802318">
      <w:rPr>
        <w:b/>
        <w:bCs/>
        <w:color w:val="002957"/>
        <w:sz w:val="28"/>
        <w:szCs w:val="28"/>
        <w:lang w:val="en-US"/>
      </w:rPr>
      <w:t xml:space="preserve">otes on </w:t>
    </w:r>
    <w:r w:rsidR="00802318">
      <w:rPr>
        <w:b/>
        <w:bCs/>
        <w:color w:val="002957"/>
        <w:sz w:val="28"/>
        <w:szCs w:val="28"/>
        <w:lang w:val="en-US"/>
      </w:rPr>
      <w:t>v</w:t>
    </w:r>
    <w:r w:rsidR="00802318" w:rsidRPr="00802318">
      <w:rPr>
        <w:b/>
        <w:bCs/>
        <w:color w:val="002957"/>
        <w:sz w:val="28"/>
        <w:szCs w:val="28"/>
        <w:lang w:val="en-US"/>
      </w:rPr>
      <w:t xml:space="preserve">ariation </w:t>
    </w:r>
    <w:r w:rsidR="00802318">
      <w:rPr>
        <w:b/>
        <w:bCs/>
        <w:color w:val="002957"/>
        <w:sz w:val="28"/>
        <w:szCs w:val="28"/>
        <w:lang w:val="en-US"/>
      </w:rPr>
      <w:t>a</w:t>
    </w:r>
    <w:r w:rsidR="00802318" w:rsidRPr="00802318">
      <w:rPr>
        <w:b/>
        <w:bCs/>
        <w:color w:val="002957"/>
        <w:sz w:val="28"/>
        <w:szCs w:val="28"/>
        <w:lang w:val="en-US"/>
      </w:rPr>
      <w:t xml:space="preserve">nalysis </w:t>
    </w:r>
    <w:r w:rsidR="00802318">
      <w:rPr>
        <w:b/>
        <w:bCs/>
        <w:color w:val="002957"/>
        <w:sz w:val="28"/>
        <w:szCs w:val="28"/>
        <w:lang w:val="en-US"/>
      </w:rPr>
      <w:t>t</w:t>
    </w:r>
    <w:r w:rsidR="00802318" w:rsidRPr="00802318">
      <w:rPr>
        <w:b/>
        <w:bCs/>
        <w:color w:val="002957"/>
        <w:sz w:val="28"/>
        <w:szCs w:val="28"/>
        <w:lang w:val="en-US"/>
      </w:rPr>
      <w:t>emplates</w:t>
    </w:r>
    <w:r w:rsidRPr="00901FF3">
      <w:rPr>
        <w:b/>
        <w:bCs/>
        <w:color w:val="002957"/>
        <w:sz w:val="28"/>
        <w:szCs w:val="28"/>
        <w:lang w:val="en-US"/>
      </w:rPr>
      <w:t xml:space="preserve"> (</w:t>
    </w:r>
    <w:r w:rsidR="00802318">
      <w:rPr>
        <w:b/>
        <w:bCs/>
        <w:color w:val="002957"/>
        <w:sz w:val="28"/>
        <w:szCs w:val="28"/>
        <w:lang w:val="en-US"/>
      </w:rPr>
      <w:t>August</w:t>
    </w:r>
    <w:r w:rsidRPr="00901FF3">
      <w:rPr>
        <w:b/>
        <w:bCs/>
        <w:color w:val="002957"/>
        <w:sz w:val="28"/>
        <w:szCs w:val="28"/>
        <w:lang w:val="en-US"/>
      </w:rPr>
      <w:t xml:space="preserve"> 2017)</w:t>
    </w:r>
  </w:p>
  <w:p w14:paraId="69AAE83D" w14:textId="77777777" w:rsidR="00634FC9" w:rsidRPr="00901FF3" w:rsidRDefault="003B1926" w:rsidP="00901FF3">
    <w:pPr>
      <w:jc w:val="center"/>
      <w:rPr>
        <w:lang w:val="en-US"/>
      </w:rPr>
    </w:pPr>
  </w:p>
  <w:p w14:paraId="5C9C6A57" w14:textId="0AD569FE" w:rsidR="00634FC9" w:rsidRPr="00901FF3" w:rsidRDefault="003B1926" w:rsidP="00E20A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31D02683"/>
    <w:multiLevelType w:val="hybridMultilevel"/>
    <w:tmpl w:val="4D4A6B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25930C5"/>
    <w:multiLevelType w:val="hybridMultilevel"/>
    <w:tmpl w:val="AC7457CC"/>
    <w:lvl w:ilvl="0" w:tplc="6CDA700A">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4"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242CD5"/>
    <w:multiLevelType w:val="hybridMultilevel"/>
    <w:tmpl w:val="5F1AD932"/>
    <w:lvl w:ilvl="0" w:tplc="0809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82"/>
    <w:rsid w:val="0001369F"/>
    <w:rsid w:val="00014FE4"/>
    <w:rsid w:val="00017E2D"/>
    <w:rsid w:val="00020124"/>
    <w:rsid w:val="00031E0C"/>
    <w:rsid w:val="000577B7"/>
    <w:rsid w:val="0008034A"/>
    <w:rsid w:val="00083D32"/>
    <w:rsid w:val="000A6AA9"/>
    <w:rsid w:val="000D3A9E"/>
    <w:rsid w:val="000D58F0"/>
    <w:rsid w:val="00152882"/>
    <w:rsid w:val="00155C5E"/>
    <w:rsid w:val="0017261F"/>
    <w:rsid w:val="00261545"/>
    <w:rsid w:val="002831CC"/>
    <w:rsid w:val="002B376B"/>
    <w:rsid w:val="002B5931"/>
    <w:rsid w:val="00346792"/>
    <w:rsid w:val="003B1926"/>
    <w:rsid w:val="003D34A5"/>
    <w:rsid w:val="00407B3E"/>
    <w:rsid w:val="00440FEE"/>
    <w:rsid w:val="004D6D42"/>
    <w:rsid w:val="006233AB"/>
    <w:rsid w:val="006726F2"/>
    <w:rsid w:val="006C6CE6"/>
    <w:rsid w:val="006E2CCE"/>
    <w:rsid w:val="00752590"/>
    <w:rsid w:val="00756F28"/>
    <w:rsid w:val="00784CB4"/>
    <w:rsid w:val="00802318"/>
    <w:rsid w:val="00825DAE"/>
    <w:rsid w:val="008A2E1B"/>
    <w:rsid w:val="008E3782"/>
    <w:rsid w:val="00901FF3"/>
    <w:rsid w:val="0094385F"/>
    <w:rsid w:val="009728B6"/>
    <w:rsid w:val="00974483"/>
    <w:rsid w:val="00996FF5"/>
    <w:rsid w:val="009F36CD"/>
    <w:rsid w:val="00A17848"/>
    <w:rsid w:val="00A4463C"/>
    <w:rsid w:val="00A57C0F"/>
    <w:rsid w:val="00AC7882"/>
    <w:rsid w:val="00B07945"/>
    <w:rsid w:val="00BC4E09"/>
    <w:rsid w:val="00BD3110"/>
    <w:rsid w:val="00BF11D2"/>
    <w:rsid w:val="00C3572E"/>
    <w:rsid w:val="00C728C8"/>
    <w:rsid w:val="00CC29FB"/>
    <w:rsid w:val="00D12BFD"/>
    <w:rsid w:val="00D16ED2"/>
    <w:rsid w:val="00D615BB"/>
    <w:rsid w:val="00DA76D2"/>
    <w:rsid w:val="00DA7E02"/>
    <w:rsid w:val="00ED3B34"/>
    <w:rsid w:val="00F60B7A"/>
    <w:rsid w:val="00F778BB"/>
    <w:rsid w:val="00F8705B"/>
    <w:rsid w:val="00F96C48"/>
    <w:rsid w:val="00FE18D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8D82D1"/>
  <w15:docId w15:val="{CB13D2F6-0065-41E3-9DED-A990241B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2882"/>
    <w:pPr>
      <w:spacing w:after="0" w:line="288" w:lineRule="auto"/>
      <w:jc w:val="both"/>
    </w:pPr>
    <w:rPr>
      <w:rFonts w:ascii="Verdana" w:eastAsia="Times New Roman" w:hAnsi="Verdana" w:cs="Times New Roman"/>
      <w:sz w:val="18"/>
      <w:szCs w:val="24"/>
      <w:lang w:val="en-GB"/>
    </w:rPr>
  </w:style>
  <w:style w:type="paragraph" w:styleId="Nadpis1">
    <w:name w:val="heading 1"/>
    <w:basedOn w:val="Normlny"/>
    <w:next w:val="Normlny"/>
    <w:link w:val="Nadpis1Char"/>
    <w:uiPriority w:val="9"/>
    <w:qFormat/>
    <w:rsid w:val="002B376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next w:val="Normlny"/>
    <w:link w:val="Nadpis2Char"/>
    <w:qFormat/>
    <w:rsid w:val="002B376B"/>
    <w:pPr>
      <w:keepLines w:val="0"/>
      <w:spacing w:before="360" w:after="120" w:line="240" w:lineRule="auto"/>
      <w:ind w:left="624" w:hanging="624"/>
      <w:jc w:val="left"/>
      <w:outlineLvl w:val="1"/>
    </w:pPr>
    <w:rPr>
      <w:rFonts w:ascii="Arial" w:eastAsia="Times New Roman" w:hAnsi="Arial" w:cs="Times New Roman"/>
      <w:color w:val="auto"/>
      <w:szCs w:val="20"/>
      <w:lang w:val="fr-FR" w:eastAsia="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qFormat/>
    <w:rsid w:val="00825DAE"/>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character" w:styleId="Hypertextovprepojenie">
    <w:name w:val="Hyperlink"/>
    <w:basedOn w:val="Predvolenpsmoodseku"/>
    <w:uiPriority w:val="99"/>
    <w:semiHidden/>
    <w:unhideWhenUsed/>
    <w:rsid w:val="00901FF3"/>
    <w:rPr>
      <w:color w:val="0000FF"/>
      <w:u w:val="single"/>
    </w:rPr>
  </w:style>
  <w:style w:type="paragraph" w:styleId="Textkomentra">
    <w:name w:val="annotation text"/>
    <w:basedOn w:val="Normlny"/>
    <w:link w:val="TextkomentraChar"/>
    <w:uiPriority w:val="99"/>
    <w:semiHidden/>
    <w:unhideWhenUsed/>
    <w:rsid w:val="00901FF3"/>
    <w:pPr>
      <w:spacing w:line="240" w:lineRule="auto"/>
    </w:pPr>
    <w:rPr>
      <w:sz w:val="20"/>
      <w:szCs w:val="20"/>
    </w:rPr>
  </w:style>
  <w:style w:type="character" w:customStyle="1" w:styleId="TextkomentraChar">
    <w:name w:val="Text komentára Char"/>
    <w:basedOn w:val="Predvolenpsmoodseku"/>
    <w:link w:val="Textkomentra"/>
    <w:uiPriority w:val="99"/>
    <w:semiHidden/>
    <w:rsid w:val="00901FF3"/>
    <w:rPr>
      <w:rFonts w:ascii="Verdana" w:eastAsia="Times New Roman" w:hAnsi="Verdana" w:cs="Times New Roman"/>
      <w:sz w:val="20"/>
      <w:szCs w:val="20"/>
      <w:lang w:val="en-GB"/>
    </w:rPr>
  </w:style>
  <w:style w:type="paragraph" w:styleId="Odsekzoznamu">
    <w:name w:val="List Paragraph"/>
    <w:basedOn w:val="Normlny"/>
    <w:uiPriority w:val="34"/>
    <w:qFormat/>
    <w:rsid w:val="00901FF3"/>
    <w:pPr>
      <w:spacing w:after="200"/>
      <w:ind w:left="720"/>
      <w:contextualSpacing/>
      <w:jc w:val="left"/>
    </w:pPr>
    <w:rPr>
      <w:rFonts w:eastAsiaTheme="minorHAnsi" w:cstheme="minorBidi"/>
      <w:sz w:val="17"/>
      <w:szCs w:val="22"/>
      <w:lang w:val="fr-BE"/>
    </w:rPr>
  </w:style>
  <w:style w:type="paragraph" w:customStyle="1" w:styleId="Default">
    <w:name w:val="Default"/>
    <w:rsid w:val="00901FF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Odkaznakomentr">
    <w:name w:val="annotation reference"/>
    <w:basedOn w:val="Predvolenpsmoodseku"/>
    <w:uiPriority w:val="99"/>
    <w:semiHidden/>
    <w:unhideWhenUsed/>
    <w:rsid w:val="00901FF3"/>
    <w:rPr>
      <w:sz w:val="16"/>
      <w:szCs w:val="16"/>
    </w:rPr>
  </w:style>
  <w:style w:type="table" w:styleId="Mriekatabuky">
    <w:name w:val="Table Grid"/>
    <w:basedOn w:val="Normlnatabuka"/>
    <w:uiPriority w:val="59"/>
    <w:rsid w:val="00901F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2B376B"/>
    <w:rPr>
      <w:rFonts w:ascii="Arial" w:eastAsia="Times New Roman" w:hAnsi="Arial" w:cs="Times New Roman"/>
      <w:sz w:val="32"/>
      <w:szCs w:val="20"/>
      <w:lang w:val="fr-FR" w:eastAsia="fr-FR"/>
    </w:rPr>
  </w:style>
  <w:style w:type="character" w:customStyle="1" w:styleId="Nadpis1Char">
    <w:name w:val="Nadpis 1 Char"/>
    <w:basedOn w:val="Predvolenpsmoodseku"/>
    <w:link w:val="Nadpis1"/>
    <w:uiPriority w:val="9"/>
    <w:rsid w:val="002B376B"/>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88971">
      <w:bodyDiv w:val="1"/>
      <w:marLeft w:val="0"/>
      <w:marRight w:val="0"/>
      <w:marTop w:val="0"/>
      <w:marBottom w:val="0"/>
      <w:divBdr>
        <w:top w:val="none" w:sz="0" w:space="0" w:color="auto"/>
        <w:left w:val="none" w:sz="0" w:space="0" w:color="auto"/>
        <w:bottom w:val="none" w:sz="0" w:space="0" w:color="auto"/>
        <w:right w:val="none" w:sz="0" w:space="0" w:color="auto"/>
      </w:divBdr>
    </w:div>
    <w:div w:id="461532931">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 w:id="1176841127">
      <w:bodyDiv w:val="1"/>
      <w:marLeft w:val="0"/>
      <w:marRight w:val="0"/>
      <w:marTop w:val="0"/>
      <w:marBottom w:val="0"/>
      <w:divBdr>
        <w:top w:val="none" w:sz="0" w:space="0" w:color="auto"/>
        <w:left w:val="none" w:sz="0" w:space="0" w:color="auto"/>
        <w:bottom w:val="none" w:sz="0" w:space="0" w:color="auto"/>
        <w:right w:val="none" w:sz="0" w:space="0" w:color="auto"/>
      </w:divBdr>
    </w:div>
    <w:div w:id="1933512589">
      <w:bodyDiv w:val="1"/>
      <w:marLeft w:val="0"/>
      <w:marRight w:val="0"/>
      <w:marTop w:val="0"/>
      <w:marBottom w:val="0"/>
      <w:divBdr>
        <w:top w:val="none" w:sz="0" w:space="0" w:color="auto"/>
        <w:left w:val="none" w:sz="0" w:space="0" w:color="auto"/>
        <w:bottom w:val="none" w:sz="0" w:space="0" w:color="auto"/>
        <w:right w:val="none" w:sz="0" w:space="0" w:color="auto"/>
      </w:divBdr>
    </w:div>
    <w:div w:id="21091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6ED0052EB2E848B8D9B3847498F708" ma:contentTypeVersion="" ma:contentTypeDescription="Create a new document." ma:contentTypeScope="" ma:versionID="6116810af309f6b487cd7e766183c18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85A1-11AA-442D-8577-727460E39C5A}">
  <ds:schemaRefs>
    <ds:schemaRef ds:uri="http://schemas.microsoft.com/office/2006/metadata/properties"/>
    <ds:schemaRef ds:uri="http://schemas.microsoft.com/office/infopath/2007/PartnerControl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E94CD45-DBC6-473C-B2E8-5FAB04761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4.xml><?xml version="1.0" encoding="utf-8"?>
<ds:datastoreItem xmlns:ds="http://schemas.openxmlformats.org/officeDocument/2006/customXml" ds:itemID="{62C556AD-5EB4-49CD-85B1-E11A673D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7349</Characters>
  <Application>Microsoft Office Word</Application>
  <DocSecurity>0</DocSecurity>
  <Lines>61</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Draft Insurance Europe paper on EIOPA's explanatory notes on variation analysis templates</vt:lpstr>
      <vt:lpstr>Insurance Europe's first draft response to EIOPA's call for comments on explanatory notes on variation analysis templates </vt:lpstr>
    </vt:vector>
  </TitlesOfParts>
  <Company>Insurance Europe</Company>
  <LinksUpToDate>false</LinksUpToDate>
  <CharactersWithSpaces>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Insurance Europe paper on EIOPA's explanatory notes on variation analysis templates</dc:title>
  <dc:creator>Insurance Europe</dc:creator>
  <cp:lastModifiedBy>Bachníček Jozef</cp:lastModifiedBy>
  <cp:revision>2</cp:revision>
  <dcterms:created xsi:type="dcterms:W3CDTF">2017-08-17T10:57:00Z</dcterms:created>
  <dcterms:modified xsi:type="dcterms:W3CDTF">2017-08-17T10:57:00Z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0x010100A96ED0052EB2E848B8D9B3847498F708</vt:lpwstr>
  </property>
  <property fmtid="{D5CDD505-2E9C-101B-9397-08002B2CF9AE}" pid="3" name="Can be edited">
    <vt:bool>true</vt:bool>
  </property>
  <property fmtid="{D5CDD505-2E9C-101B-9397-08002B2CF9AE}" pid="4" name="Type of document">
    <vt:lpwstr>Position Paper</vt:lpwstr>
  </property>
  <property fmtid="{D5CDD505-2E9C-101B-9397-08002B2CF9AE}" pid="5" name="isAnnex">
    <vt:lpwstr>True</vt:lpwstr>
  </property>
  <property fmtid="{D5CDD505-2E9C-101B-9397-08002B2CF9AE}" pid="6" name="Validated">
    <vt:bool>false</vt:bool>
  </property>
  <property fmtid="{D5CDD505-2E9C-101B-9397-08002B2CF9AE}" pid="7" name="Display validated documents library button">
    <vt:bool>true</vt:bool>
  </property>
  <property fmtid="{D5CDD505-2E9C-101B-9397-08002B2CF9AE}" pid="8" name="AllowComments">
    <vt:bool>false</vt:bool>
  </property>
  <property fmtid="{D5CDD505-2E9C-101B-9397-08002B2CF9AE}" pid="9" name="Uploads">
    <vt:bool>true</vt:bool>
  </property>
</Properties>
</file>