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5C7" w:rsidRPr="002D7C32" w:rsidRDefault="007225C7" w:rsidP="007225C7">
      <w:pPr>
        <w:widowControl/>
        <w:spacing w:after="0" w:line="240" w:lineRule="auto"/>
        <w:jc w:val="center"/>
        <w:rPr>
          <w:rFonts w:ascii="Times New Roman" w:hAnsi="Times New Roman" w:cs="Times New Roman"/>
          <w:b/>
          <w:bCs/>
          <w:caps/>
          <w:sz w:val="20"/>
          <w:szCs w:val="20"/>
          <w:lang w:val="sk-SK"/>
        </w:rPr>
      </w:pPr>
      <w:r w:rsidRPr="002D7C32">
        <w:rPr>
          <w:rFonts w:ascii="Times New Roman" w:hAnsi="Times New Roman" w:cs="Times New Roman"/>
          <w:b/>
          <w:bCs/>
          <w:caps/>
          <w:sz w:val="20"/>
          <w:szCs w:val="20"/>
          <w:lang w:val="sk-SK"/>
        </w:rPr>
        <w:t>vznesené Pripomienky v rámci medzirezortného pripomienkového konania</w:t>
      </w:r>
    </w:p>
    <w:p w:rsidR="007225C7" w:rsidRPr="002D7C32" w:rsidRDefault="00331E87" w:rsidP="007225C7">
      <w:pPr>
        <w:widowControl/>
        <w:spacing w:after="0" w:line="240"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Slovenské  elektrárne, a.s.</w:t>
      </w:r>
    </w:p>
    <w:p w:rsidR="00305DF2" w:rsidRPr="002D7C32" w:rsidRDefault="00305DF2" w:rsidP="00305DF2">
      <w:pPr>
        <w:rPr>
          <w:lang w:val="sk-SK"/>
        </w:rPr>
      </w:pPr>
      <w:r w:rsidRPr="002D7C32">
        <w:rPr>
          <w:lang w:val="sk-SK"/>
        </w:rPr>
        <w:t>(Návrh) k z ......... 2012</w:t>
      </w:r>
      <w:bookmarkStart w:id="0" w:name="_GoBack"/>
      <w:bookmarkEnd w:id="0"/>
    </w:p>
    <w:p w:rsidR="00305DF2" w:rsidRPr="002D7C32" w:rsidRDefault="00305DF2" w:rsidP="00305DF2">
      <w:pPr>
        <w:rPr>
          <w:lang w:val="sk-SK"/>
        </w:rPr>
      </w:pPr>
      <w:r w:rsidRPr="002D7C32">
        <w:rPr>
          <w:b/>
          <w:lang w:val="sk-SK"/>
        </w:rPr>
        <w:t xml:space="preserve">ktorým sa mení a dopĺňa zákon č. 25/2006 </w:t>
      </w:r>
      <w:proofErr w:type="spellStart"/>
      <w:r w:rsidRPr="002D7C32">
        <w:rPr>
          <w:b/>
          <w:lang w:val="sk-SK"/>
        </w:rPr>
        <w:t>Z.z</w:t>
      </w:r>
      <w:proofErr w:type="spellEnd"/>
      <w:r w:rsidRPr="002D7C32">
        <w:rPr>
          <w:b/>
          <w:lang w:val="sk-SK"/>
        </w:rPr>
        <w:t>. o verejnom obstarávaní a o zmene a doplnení niektorých zákonov v znení neskorších predpisov a ktorým sa menia a dopĺňajú niektoré zákony</w:t>
      </w:r>
    </w:p>
    <w:p w:rsidR="007225C7" w:rsidRPr="002D7C32" w:rsidRDefault="007225C7" w:rsidP="007225C7">
      <w:pPr>
        <w:widowControl/>
        <w:spacing w:after="0" w:line="240" w:lineRule="auto"/>
        <w:rPr>
          <w:rFonts w:ascii="Times New Roman" w:hAnsi="Times New Roman" w:cs="Times New Roman"/>
          <w:sz w:val="20"/>
          <w:szCs w:val="20"/>
          <w:lang w:val="sk-SK"/>
        </w:rPr>
      </w:pP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3"/>
        <w:gridCol w:w="707"/>
        <w:gridCol w:w="7515"/>
      </w:tblGrid>
      <w:tr w:rsidR="00606D35" w:rsidRPr="002D7C32" w:rsidTr="00606D35">
        <w:tc>
          <w:tcPr>
            <w:tcW w:w="2150" w:type="pct"/>
            <w:tcBorders>
              <w:top w:val="single" w:sz="12" w:space="0" w:color="000000"/>
              <w:left w:val="single" w:sz="12" w:space="0" w:color="000000"/>
              <w:bottom w:val="single" w:sz="12" w:space="0" w:color="000000"/>
              <w:right w:val="nil"/>
            </w:tcBorders>
            <w:vAlign w:val="center"/>
          </w:tcPr>
          <w:p w:rsidR="00585274" w:rsidRPr="002D7C32" w:rsidRDefault="00585274" w:rsidP="00585274">
            <w:pPr>
              <w:rPr>
                <w:b/>
                <w:lang w:val="sk-SK"/>
              </w:rPr>
            </w:pPr>
            <w:r w:rsidRPr="002D7C32">
              <w:rPr>
                <w:b/>
                <w:lang w:val="sk-SK"/>
              </w:rPr>
              <w:t>Pripomienka</w:t>
            </w:r>
          </w:p>
        </w:tc>
        <w:tc>
          <w:tcPr>
            <w:tcW w:w="245" w:type="pct"/>
            <w:tcBorders>
              <w:top w:val="single" w:sz="12" w:space="0" w:color="000000"/>
              <w:left w:val="nil"/>
              <w:bottom w:val="single" w:sz="12" w:space="0" w:color="000000"/>
              <w:right w:val="nil"/>
            </w:tcBorders>
            <w:vAlign w:val="center"/>
          </w:tcPr>
          <w:p w:rsidR="00585274" w:rsidRPr="002D7C32" w:rsidRDefault="00585274" w:rsidP="00A87D6B">
            <w:pPr>
              <w:jc w:val="center"/>
              <w:rPr>
                <w:b/>
                <w:lang w:val="sk-SK"/>
              </w:rPr>
            </w:pPr>
            <w:r w:rsidRPr="002D7C32">
              <w:rPr>
                <w:b/>
                <w:lang w:val="sk-SK"/>
              </w:rPr>
              <w:t>Typ</w:t>
            </w:r>
          </w:p>
        </w:tc>
        <w:tc>
          <w:tcPr>
            <w:tcW w:w="2605" w:type="pct"/>
            <w:tcBorders>
              <w:top w:val="single" w:sz="12" w:space="0" w:color="000000"/>
              <w:left w:val="nil"/>
              <w:bottom w:val="single" w:sz="12" w:space="0" w:color="000000"/>
              <w:right w:val="single" w:sz="12" w:space="0" w:color="000000"/>
            </w:tcBorders>
          </w:tcPr>
          <w:p w:rsidR="00585274" w:rsidRPr="002D7C32" w:rsidRDefault="00585274" w:rsidP="00585274">
            <w:pPr>
              <w:rPr>
                <w:b/>
                <w:lang w:val="sk-SK"/>
              </w:rPr>
            </w:pPr>
            <w:r w:rsidRPr="002D7C32">
              <w:rPr>
                <w:b/>
                <w:lang w:val="sk-SK"/>
              </w:rPr>
              <w:t>Odôvodnenie</w:t>
            </w:r>
          </w:p>
        </w:tc>
      </w:tr>
      <w:tr w:rsidR="00585274" w:rsidRPr="002D7C32" w:rsidTr="00606D35">
        <w:tc>
          <w:tcPr>
            <w:tcW w:w="2150" w:type="pct"/>
            <w:tcBorders>
              <w:top w:val="single" w:sz="12" w:space="0" w:color="000000"/>
            </w:tcBorders>
          </w:tcPr>
          <w:p w:rsidR="00585274" w:rsidRPr="002D7C32" w:rsidRDefault="00585274" w:rsidP="00585274">
            <w:pPr>
              <w:rPr>
                <w:b/>
                <w:lang w:val="sk-SK"/>
              </w:rPr>
            </w:pPr>
            <w:r w:rsidRPr="002D7C32">
              <w:rPr>
                <w:b/>
                <w:lang w:val="sk-SK"/>
              </w:rPr>
              <w:t>K bodu 13</w:t>
            </w:r>
          </w:p>
          <w:p w:rsidR="00585274" w:rsidRPr="002D7C32" w:rsidRDefault="00585274" w:rsidP="00585274">
            <w:pPr>
              <w:rPr>
                <w:lang w:val="sk-SK"/>
              </w:rPr>
            </w:pPr>
            <w:r w:rsidRPr="002D7C32">
              <w:rPr>
                <w:lang w:val="sk-SK"/>
              </w:rPr>
              <w:t>§ 10 a) uzatváranie dodatkov – ak súd určí, že došlo k zmene okolností – budú upravené lehoty pre rozhodnutie súdu? na Slovensku súdne konanie trvá niekoľko rokov, s uzavretím dodatkov nemožno čakať roky</w:t>
            </w:r>
          </w:p>
          <w:p w:rsidR="00585274" w:rsidRPr="002D7C32" w:rsidRDefault="00585274" w:rsidP="00585274">
            <w:pPr>
              <w:rPr>
                <w:lang w:val="sk-SK"/>
              </w:rPr>
            </w:pPr>
          </w:p>
        </w:tc>
        <w:tc>
          <w:tcPr>
            <w:tcW w:w="245" w:type="pct"/>
            <w:tcBorders>
              <w:top w:val="single" w:sz="12" w:space="0" w:color="000000"/>
            </w:tcBorders>
            <w:vAlign w:val="center"/>
          </w:tcPr>
          <w:p w:rsidR="00585274" w:rsidRPr="002D7C32" w:rsidRDefault="00585274" w:rsidP="00A87D6B">
            <w:pPr>
              <w:jc w:val="center"/>
              <w:rPr>
                <w:lang w:val="sk-SK"/>
              </w:rPr>
            </w:pPr>
            <w:r w:rsidRPr="002D7C32">
              <w:rPr>
                <w:lang w:val="sk-SK"/>
              </w:rPr>
              <w:t>z</w:t>
            </w:r>
          </w:p>
        </w:tc>
        <w:tc>
          <w:tcPr>
            <w:tcW w:w="2605" w:type="pct"/>
            <w:tcBorders>
              <w:top w:val="single" w:sz="12" w:space="0" w:color="000000"/>
            </w:tcBorders>
          </w:tcPr>
          <w:p w:rsidR="00585274" w:rsidRPr="002D7C32" w:rsidRDefault="00585274" w:rsidP="00A87D6B">
            <w:pPr>
              <w:rPr>
                <w:lang w:val="sk-SK"/>
              </w:rPr>
            </w:pPr>
            <w:r w:rsidRPr="002D7C32">
              <w:rPr>
                <w:lang w:val="sk-SK"/>
              </w:rPr>
              <w:t>Prijatím ustanovenia hrozí riziko bezdôvodného neprimeraného zvyšovania  vynakladania finančných prostriedkov obstarávateľa. V prípade nových výberových konaní pre zákazky</w:t>
            </w:r>
            <w:r w:rsidR="00A87D6B" w:rsidRPr="002D7C32">
              <w:rPr>
                <w:lang w:val="sk-SK"/>
              </w:rPr>
              <w:t>,</w:t>
            </w:r>
            <w:r w:rsidRPr="002D7C32">
              <w:rPr>
                <w:lang w:val="sk-SK"/>
              </w:rPr>
              <w:t xml:space="preserve"> na ktoré sa nebudú môcť uzatvoriť dodatky</w:t>
            </w:r>
            <w:r w:rsidR="00A87D6B" w:rsidRPr="002D7C32">
              <w:rPr>
                <w:lang w:val="sk-SK"/>
              </w:rPr>
              <w:t>,</w:t>
            </w:r>
            <w:r w:rsidRPr="002D7C32">
              <w:rPr>
                <w:lang w:val="sk-SK"/>
              </w:rPr>
              <w:t xml:space="preserve"> ako budú riešené záručné doby a zodpovednosť za </w:t>
            </w:r>
            <w:proofErr w:type="spellStart"/>
            <w:r w:rsidRPr="002D7C32">
              <w:rPr>
                <w:lang w:val="sk-SK"/>
              </w:rPr>
              <w:t>vadné</w:t>
            </w:r>
            <w:proofErr w:type="spellEnd"/>
            <w:r w:rsidRPr="002D7C32">
              <w:rPr>
                <w:lang w:val="sk-SK"/>
              </w:rPr>
              <w:t xml:space="preserve"> plnenie za už zrealizované plnenie? Kto bude zodpovedný za riziko a následné škody  vzniknuté zo zmien úvodného a </w:t>
            </w:r>
            <w:r w:rsidR="00A87D6B" w:rsidRPr="002D7C32">
              <w:rPr>
                <w:lang w:val="sk-SK"/>
              </w:rPr>
              <w:t>realizačného</w:t>
            </w:r>
            <w:r w:rsidRPr="002D7C32">
              <w:rPr>
                <w:lang w:val="sk-SK"/>
              </w:rPr>
              <w:t xml:space="preserve"> projektu v prípade realizačných problémov a následných </w:t>
            </w:r>
            <w:r w:rsidR="00A87D6B" w:rsidRPr="002D7C32">
              <w:rPr>
                <w:lang w:val="sk-SK"/>
              </w:rPr>
              <w:t>škôd</w:t>
            </w:r>
            <w:r w:rsidRPr="002D7C32">
              <w:rPr>
                <w:lang w:val="sk-SK"/>
              </w:rPr>
              <w:t xml:space="preserve"> spôsobených novým obstarávaním a novým dodávateľom, alebo čakaním na rozhodnutie súdu. </w:t>
            </w:r>
          </w:p>
        </w:tc>
      </w:tr>
      <w:tr w:rsidR="00585274" w:rsidRPr="002D7C32" w:rsidTr="00606D35">
        <w:tc>
          <w:tcPr>
            <w:tcW w:w="2150" w:type="pct"/>
          </w:tcPr>
          <w:p w:rsidR="00585274" w:rsidRPr="002D7C32" w:rsidRDefault="00585274" w:rsidP="00585274">
            <w:pPr>
              <w:rPr>
                <w:b/>
                <w:lang w:val="sk-SK"/>
              </w:rPr>
            </w:pPr>
            <w:r w:rsidRPr="002D7C32">
              <w:rPr>
                <w:b/>
                <w:lang w:val="sk-SK"/>
              </w:rPr>
              <w:t>K bodu 13</w:t>
            </w:r>
          </w:p>
          <w:p w:rsidR="00585274" w:rsidRPr="002D7C32" w:rsidRDefault="00585274" w:rsidP="00585274">
            <w:pPr>
              <w:rPr>
                <w:lang w:val="sk-SK"/>
              </w:rPr>
            </w:pPr>
            <w:r w:rsidRPr="002D7C32">
              <w:rPr>
                <w:lang w:val="sk-SK"/>
              </w:rPr>
              <w:t>§ 10 b) určenie ceny plnenia -  zmluvné strany sú povinné určovať cenu s ohľadom na vývoj cien  (ods. 1 určiť cenu najviac v sume priemeru medzi dvomi najnižšími cenami zistenými na trhu; ods. 2  tri cenové ponuky) – nejednoznačne definované, v praxi ťažko uplatniteľné</w:t>
            </w:r>
          </w:p>
        </w:tc>
        <w:tc>
          <w:tcPr>
            <w:tcW w:w="245" w:type="pct"/>
            <w:vAlign w:val="center"/>
          </w:tcPr>
          <w:p w:rsidR="00585274" w:rsidRPr="002D7C32" w:rsidRDefault="00585274" w:rsidP="00A87D6B">
            <w:pPr>
              <w:jc w:val="center"/>
              <w:rPr>
                <w:lang w:val="sk-SK"/>
              </w:rPr>
            </w:pPr>
            <w:r w:rsidRPr="002D7C32">
              <w:rPr>
                <w:lang w:val="sk-SK"/>
              </w:rPr>
              <w:t>z</w:t>
            </w:r>
          </w:p>
        </w:tc>
        <w:tc>
          <w:tcPr>
            <w:tcW w:w="2605" w:type="pct"/>
          </w:tcPr>
          <w:p w:rsidR="00585274" w:rsidRPr="002D7C32" w:rsidRDefault="00585274" w:rsidP="006854B6">
            <w:pPr>
              <w:rPr>
                <w:lang w:val="sk-SK"/>
              </w:rPr>
            </w:pPr>
            <w:r w:rsidRPr="002D7C32">
              <w:rPr>
                <w:lang w:val="sk-SK"/>
              </w:rPr>
              <w:t>Kto bude stanovovať a kde budú zverejnené trhové ceny pre jednotlivé komodity, aby vedel obstarávateľ objektívne stanoviť najnižšie ceny zistené na trhu. Uvedené ustanovenie predpokladá dohodu strán, čo keď k dohode nedôjde. Tri cenové ponuky predloží</w:t>
            </w:r>
            <w:r w:rsidR="006854B6" w:rsidRPr="002D7C32">
              <w:rPr>
                <w:lang w:val="sk-SK"/>
              </w:rPr>
              <w:t xml:space="preserve"> </w:t>
            </w:r>
            <w:r w:rsidRPr="002D7C32">
              <w:rPr>
                <w:lang w:val="sk-SK"/>
              </w:rPr>
              <w:t>zmluvným stranám“ kto a na základe čoho? Nie je jednoznačné za aké časové obdobie  majú zmluvné strany takto preverovať ceny</w:t>
            </w:r>
          </w:p>
        </w:tc>
      </w:tr>
      <w:tr w:rsidR="00585274" w:rsidRPr="002D7C32" w:rsidTr="00606D35">
        <w:tc>
          <w:tcPr>
            <w:tcW w:w="2150" w:type="pct"/>
          </w:tcPr>
          <w:p w:rsidR="00585274" w:rsidRPr="002D7C32" w:rsidRDefault="00585274" w:rsidP="00585274">
            <w:pPr>
              <w:rPr>
                <w:b/>
                <w:lang w:val="sk-SK"/>
              </w:rPr>
            </w:pPr>
            <w:r w:rsidRPr="002D7C32">
              <w:rPr>
                <w:b/>
                <w:lang w:val="sk-SK"/>
              </w:rPr>
              <w:t>K bodu 48</w:t>
            </w:r>
          </w:p>
          <w:p w:rsidR="00585274" w:rsidRPr="002D7C32" w:rsidRDefault="00585274" w:rsidP="00585274">
            <w:pPr>
              <w:rPr>
                <w:lang w:val="sk-SK"/>
              </w:rPr>
            </w:pPr>
            <w:r w:rsidRPr="002D7C32">
              <w:rPr>
                <w:lang w:val="sk-SK"/>
              </w:rPr>
              <w:t xml:space="preserve">§ 43 ods. 8 obstarávateľ môže vo výzve na účasť v el. aukcii určiť, že el. aukcia sa bude opakovať, ak sa jej nezúčastnia najmenej traja uchádzači – aký je zmysel tohto ustanovenia, keď v prvom kole </w:t>
            </w:r>
            <w:r w:rsidRPr="002D7C32">
              <w:rPr>
                <w:lang w:val="sk-SK"/>
              </w:rPr>
              <w:lastRenderedPageBreak/>
              <w:t>nezúčastnia traja uchádzači, kde ich zoberieme v ďalšom kole?</w:t>
            </w:r>
          </w:p>
        </w:tc>
        <w:tc>
          <w:tcPr>
            <w:tcW w:w="245" w:type="pct"/>
            <w:vAlign w:val="center"/>
          </w:tcPr>
          <w:p w:rsidR="00585274" w:rsidRPr="002D7C32" w:rsidRDefault="00585274" w:rsidP="00A87D6B">
            <w:pPr>
              <w:jc w:val="center"/>
              <w:rPr>
                <w:lang w:val="sk-SK"/>
              </w:rPr>
            </w:pPr>
            <w:r w:rsidRPr="002D7C32">
              <w:rPr>
                <w:lang w:val="sk-SK"/>
              </w:rPr>
              <w:lastRenderedPageBreak/>
              <w:t>z</w:t>
            </w:r>
          </w:p>
        </w:tc>
        <w:tc>
          <w:tcPr>
            <w:tcW w:w="2605" w:type="pct"/>
          </w:tcPr>
          <w:p w:rsidR="00585274" w:rsidRPr="002D7C32" w:rsidRDefault="00585274" w:rsidP="00585274">
            <w:pPr>
              <w:rPr>
                <w:lang w:val="sk-SK"/>
              </w:rPr>
            </w:pPr>
          </w:p>
        </w:tc>
      </w:tr>
      <w:tr w:rsidR="00585274" w:rsidRPr="002D7C32" w:rsidTr="00606D35">
        <w:tc>
          <w:tcPr>
            <w:tcW w:w="2150" w:type="pct"/>
          </w:tcPr>
          <w:p w:rsidR="002D7C32" w:rsidRPr="002D7C32" w:rsidRDefault="002D7C32" w:rsidP="002D7C32">
            <w:pPr>
              <w:rPr>
                <w:b/>
                <w:lang w:val="sk-SK"/>
              </w:rPr>
            </w:pPr>
            <w:r w:rsidRPr="002D7C32">
              <w:rPr>
                <w:b/>
                <w:lang w:val="sk-SK"/>
              </w:rPr>
              <w:lastRenderedPageBreak/>
              <w:t>Nad rámec zákona</w:t>
            </w:r>
          </w:p>
          <w:p w:rsidR="00585274" w:rsidRPr="002D7C32" w:rsidRDefault="00585274" w:rsidP="00585274">
            <w:pPr>
              <w:rPr>
                <w:lang w:val="sk-SK"/>
              </w:rPr>
            </w:pPr>
            <w:r w:rsidRPr="002D7C32">
              <w:rPr>
                <w:lang w:val="sk-SK"/>
              </w:rPr>
              <w:t>§46 ods. 2 doplniť možnosť zrušenia súťaže aj z dôvodov, keď je ponuka úspešného uchádzača pre obstarávateľa neprijateľná</w:t>
            </w:r>
          </w:p>
        </w:tc>
        <w:tc>
          <w:tcPr>
            <w:tcW w:w="245" w:type="pct"/>
            <w:vAlign w:val="center"/>
          </w:tcPr>
          <w:p w:rsidR="00585274" w:rsidRPr="002D7C32" w:rsidRDefault="00585274" w:rsidP="00A87D6B">
            <w:pPr>
              <w:jc w:val="center"/>
              <w:rPr>
                <w:lang w:val="sk-SK"/>
              </w:rPr>
            </w:pPr>
            <w:r w:rsidRPr="002D7C32">
              <w:rPr>
                <w:lang w:val="sk-SK"/>
              </w:rPr>
              <w:t>z</w:t>
            </w:r>
          </w:p>
        </w:tc>
        <w:tc>
          <w:tcPr>
            <w:tcW w:w="2605" w:type="pct"/>
          </w:tcPr>
          <w:p w:rsidR="00585274" w:rsidRPr="002D7C32" w:rsidRDefault="00585274" w:rsidP="00585274">
            <w:pPr>
              <w:rPr>
                <w:lang w:val="sk-SK"/>
              </w:rPr>
            </w:pPr>
          </w:p>
        </w:tc>
      </w:tr>
      <w:tr w:rsidR="00585274" w:rsidRPr="002D7C32" w:rsidTr="00606D35">
        <w:tc>
          <w:tcPr>
            <w:tcW w:w="2150" w:type="pct"/>
          </w:tcPr>
          <w:p w:rsidR="0012420E" w:rsidRPr="002D7C32" w:rsidRDefault="0012420E" w:rsidP="00585274">
            <w:pPr>
              <w:rPr>
                <w:b/>
                <w:lang w:val="sk-SK"/>
              </w:rPr>
            </w:pPr>
            <w:r w:rsidRPr="002D7C32">
              <w:rPr>
                <w:b/>
                <w:lang w:val="sk-SK"/>
              </w:rPr>
              <w:t>Nad rámec zákona</w:t>
            </w:r>
          </w:p>
          <w:p w:rsidR="00585274" w:rsidRPr="002D7C32" w:rsidRDefault="00585274" w:rsidP="00585274">
            <w:pPr>
              <w:rPr>
                <w:lang w:val="sk-SK"/>
              </w:rPr>
            </w:pPr>
            <w:r w:rsidRPr="002D7C32">
              <w:rPr>
                <w:lang w:val="sk-SK"/>
              </w:rPr>
              <w:t>§ 55</w:t>
            </w:r>
            <w:r w:rsidR="0012420E" w:rsidRPr="002D7C32">
              <w:rPr>
                <w:lang w:val="sk-SK"/>
              </w:rPr>
              <w:t>,</w:t>
            </w:r>
            <w:r w:rsidRPr="002D7C32">
              <w:rPr>
                <w:lang w:val="sk-SK"/>
              </w:rPr>
              <w:t xml:space="preserve"> ods. 2 definíciu, kedy sa ponuka považuje za </w:t>
            </w:r>
            <w:proofErr w:type="spellStart"/>
            <w:r w:rsidRPr="002D7C32">
              <w:rPr>
                <w:lang w:val="sk-SK"/>
              </w:rPr>
              <w:t>neregulérnu</w:t>
            </w:r>
            <w:proofErr w:type="spellEnd"/>
            <w:r w:rsidRPr="002D7C32">
              <w:rPr>
                <w:lang w:val="sk-SK"/>
              </w:rPr>
              <w:t xml:space="preserve">  alebo neprijateľnú rozšíriť na všetky metódy obstarávania, nielen na metódu rokovacie konanie so zverejnením </w:t>
            </w:r>
          </w:p>
        </w:tc>
        <w:tc>
          <w:tcPr>
            <w:tcW w:w="245" w:type="pct"/>
            <w:vAlign w:val="center"/>
          </w:tcPr>
          <w:p w:rsidR="00585274" w:rsidRPr="002D7C32" w:rsidRDefault="00585274" w:rsidP="00A87D6B">
            <w:pPr>
              <w:jc w:val="center"/>
              <w:rPr>
                <w:lang w:val="sk-SK"/>
              </w:rPr>
            </w:pPr>
            <w:r w:rsidRPr="002D7C32">
              <w:rPr>
                <w:lang w:val="sk-SK"/>
              </w:rPr>
              <w:t>z</w:t>
            </w:r>
          </w:p>
        </w:tc>
        <w:tc>
          <w:tcPr>
            <w:tcW w:w="2605" w:type="pct"/>
          </w:tcPr>
          <w:p w:rsidR="00585274" w:rsidRPr="002D7C32" w:rsidRDefault="00585274" w:rsidP="00585274">
            <w:pPr>
              <w:rPr>
                <w:lang w:val="sk-SK"/>
              </w:rPr>
            </w:pPr>
          </w:p>
        </w:tc>
      </w:tr>
      <w:tr w:rsidR="00585274" w:rsidRPr="002D7C32" w:rsidTr="00606D35">
        <w:tc>
          <w:tcPr>
            <w:tcW w:w="2150" w:type="pct"/>
          </w:tcPr>
          <w:p w:rsidR="0012420E" w:rsidRPr="002D7C32" w:rsidRDefault="0012420E" w:rsidP="00585274">
            <w:pPr>
              <w:rPr>
                <w:b/>
                <w:lang w:val="sk-SK"/>
              </w:rPr>
            </w:pPr>
            <w:r w:rsidRPr="002D7C32">
              <w:rPr>
                <w:b/>
                <w:lang w:val="sk-SK"/>
              </w:rPr>
              <w:t>K bodu 17</w:t>
            </w:r>
          </w:p>
          <w:p w:rsidR="00585274" w:rsidRPr="002D7C32" w:rsidRDefault="00585274" w:rsidP="00585274">
            <w:pPr>
              <w:rPr>
                <w:lang w:val="sk-SK"/>
              </w:rPr>
            </w:pPr>
            <w:r w:rsidRPr="002D7C32">
              <w:rPr>
                <w:lang w:val="sk-SK"/>
              </w:rPr>
              <w:t>§ 21 ods.</w:t>
            </w:r>
            <w:r w:rsidR="0012420E" w:rsidRPr="002D7C32">
              <w:rPr>
                <w:lang w:val="sk-SK"/>
              </w:rPr>
              <w:t xml:space="preserve"> </w:t>
            </w:r>
            <w:r w:rsidRPr="002D7C32">
              <w:rPr>
                <w:lang w:val="sk-SK"/>
              </w:rPr>
              <w:t xml:space="preserve">2, </w:t>
            </w:r>
            <w:r w:rsidR="002D7C32" w:rsidRPr="002D7C32">
              <w:rPr>
                <w:lang w:val="sk-SK"/>
              </w:rPr>
              <w:t xml:space="preserve">zriadenie profilu obstarávateľa, predstavuje neprimerané administratívne a zvýšené finančné zaťaženie obstarávateľa, keďže kópia správy sa zasiela na Úrad po uzavretí zmluvy, </w:t>
            </w:r>
            <w:r w:rsidRPr="002D7C32">
              <w:rPr>
                <w:lang w:val="sk-SK"/>
              </w:rPr>
              <w:t xml:space="preserve">lehotu 10 dní od uzavretia zmluvy považujeme za neprimerane krátku.  </w:t>
            </w:r>
          </w:p>
          <w:p w:rsidR="00585274" w:rsidRPr="002D7C32" w:rsidRDefault="00585274" w:rsidP="002D7C32">
            <w:pPr>
              <w:rPr>
                <w:lang w:val="sk-SK"/>
              </w:rPr>
            </w:pPr>
            <w:r w:rsidRPr="002D7C32">
              <w:rPr>
                <w:lang w:val="sk-SK"/>
              </w:rPr>
              <w:t xml:space="preserve">Duplicita s § 9 ods.7– </w:t>
            </w:r>
          </w:p>
        </w:tc>
        <w:tc>
          <w:tcPr>
            <w:tcW w:w="245" w:type="pct"/>
            <w:vAlign w:val="center"/>
          </w:tcPr>
          <w:p w:rsidR="00585274" w:rsidRPr="002D7C32" w:rsidRDefault="00585274" w:rsidP="00A87D6B">
            <w:pPr>
              <w:jc w:val="center"/>
              <w:rPr>
                <w:lang w:val="sk-SK"/>
              </w:rPr>
            </w:pPr>
            <w:r w:rsidRPr="002D7C32">
              <w:rPr>
                <w:lang w:val="sk-SK"/>
              </w:rPr>
              <w:t>z</w:t>
            </w:r>
          </w:p>
        </w:tc>
        <w:tc>
          <w:tcPr>
            <w:tcW w:w="2605" w:type="pct"/>
          </w:tcPr>
          <w:p w:rsidR="00585274" w:rsidRPr="002D7C32" w:rsidRDefault="00585274" w:rsidP="00585274">
            <w:pPr>
              <w:rPr>
                <w:lang w:val="sk-SK"/>
              </w:rPr>
            </w:pPr>
            <w:r w:rsidRPr="002D7C32">
              <w:rPr>
                <w:lang w:val="sk-SK"/>
              </w:rPr>
              <w:t>Smernice 2004/17 a 2004/18/ES stanovujú povinnosť oznámiť výsledok obstarávanie do dvoch mesiacov od uzavretia zmluvy.</w:t>
            </w:r>
          </w:p>
          <w:p w:rsidR="00585274" w:rsidRPr="002D7C32" w:rsidRDefault="00585274" w:rsidP="00585274">
            <w:pPr>
              <w:rPr>
                <w:lang w:val="sk-SK"/>
              </w:rPr>
            </w:pPr>
            <w:r w:rsidRPr="002D7C32">
              <w:rPr>
                <w:lang w:val="sk-SK"/>
              </w:rPr>
              <w:t>Informácie o uzavretí zmluvy s tými istými údajmi sa zasielajú ÚVO tri  krát a ešte raz aj pri ukončení plnenia zmluvy!</w:t>
            </w:r>
          </w:p>
        </w:tc>
      </w:tr>
      <w:tr w:rsidR="00585274" w:rsidRPr="002D7C32" w:rsidTr="00606D35">
        <w:tc>
          <w:tcPr>
            <w:tcW w:w="2150" w:type="pct"/>
          </w:tcPr>
          <w:p w:rsidR="0012420E" w:rsidRPr="002D7C32" w:rsidRDefault="0012420E" w:rsidP="00585274">
            <w:pPr>
              <w:rPr>
                <w:b/>
                <w:lang w:val="sk-SK"/>
              </w:rPr>
            </w:pPr>
            <w:r w:rsidRPr="002D7C32">
              <w:rPr>
                <w:b/>
                <w:lang w:val="sk-SK"/>
              </w:rPr>
              <w:t>K bodu 19</w:t>
            </w:r>
          </w:p>
          <w:p w:rsidR="00585274" w:rsidRPr="002D7C32" w:rsidRDefault="00585274" w:rsidP="00585274">
            <w:pPr>
              <w:rPr>
                <w:lang w:val="sk-SK"/>
              </w:rPr>
            </w:pPr>
            <w:r w:rsidRPr="002D7C32">
              <w:rPr>
                <w:lang w:val="sk-SK"/>
              </w:rPr>
              <w:t>§ 23 ods. 2,  zvýšené administratívne zaťaženie, bez akéhokoľvek zmysluplného efektu</w:t>
            </w:r>
          </w:p>
        </w:tc>
        <w:tc>
          <w:tcPr>
            <w:tcW w:w="245" w:type="pct"/>
            <w:vAlign w:val="center"/>
          </w:tcPr>
          <w:p w:rsidR="00585274" w:rsidRPr="002D7C32" w:rsidRDefault="00585274" w:rsidP="00A87D6B">
            <w:pPr>
              <w:jc w:val="center"/>
              <w:rPr>
                <w:lang w:val="sk-SK"/>
              </w:rPr>
            </w:pPr>
            <w:r w:rsidRPr="002D7C32">
              <w:rPr>
                <w:lang w:val="sk-SK"/>
              </w:rPr>
              <w:t>o</w:t>
            </w:r>
          </w:p>
        </w:tc>
        <w:tc>
          <w:tcPr>
            <w:tcW w:w="2605" w:type="pct"/>
          </w:tcPr>
          <w:p w:rsidR="00585274" w:rsidRPr="002D7C32" w:rsidRDefault="00585274" w:rsidP="00585274">
            <w:pPr>
              <w:rPr>
                <w:lang w:val="sk-SK"/>
              </w:rPr>
            </w:pPr>
          </w:p>
        </w:tc>
      </w:tr>
      <w:tr w:rsidR="00585274" w:rsidRPr="002D7C32" w:rsidTr="00606D35">
        <w:tc>
          <w:tcPr>
            <w:tcW w:w="2150" w:type="pct"/>
          </w:tcPr>
          <w:p w:rsidR="0012420E" w:rsidRPr="002D7C32" w:rsidRDefault="0012420E" w:rsidP="00585274">
            <w:pPr>
              <w:rPr>
                <w:b/>
                <w:lang w:val="sk-SK"/>
              </w:rPr>
            </w:pPr>
            <w:r w:rsidRPr="002D7C32">
              <w:rPr>
                <w:b/>
                <w:lang w:val="sk-SK"/>
              </w:rPr>
              <w:t>K bodu 29</w:t>
            </w:r>
          </w:p>
          <w:p w:rsidR="00585274" w:rsidRPr="002D7C32" w:rsidRDefault="00585274" w:rsidP="00585274">
            <w:pPr>
              <w:rPr>
                <w:lang w:val="sk-SK"/>
              </w:rPr>
            </w:pPr>
            <w:r w:rsidRPr="002D7C32">
              <w:rPr>
                <w:lang w:val="sk-SK"/>
              </w:rPr>
              <w:t>Doplniť do § 33 ods.2  možnosť použitia  podmienky účasti, podľa  §32 ods.3 ktorá sa vzťahuje na verejných obstarávateľov podľa§ 8 ods. 3 až 9 vo vzťahu k subdodávateľom,  aj pre obstarávateľa, vrátane ustanovení uvedených v písm. d) pre projekty investičného charakteru.</w:t>
            </w:r>
          </w:p>
        </w:tc>
        <w:tc>
          <w:tcPr>
            <w:tcW w:w="245" w:type="pct"/>
            <w:vAlign w:val="center"/>
          </w:tcPr>
          <w:p w:rsidR="00585274" w:rsidRPr="002D7C32" w:rsidRDefault="00585274" w:rsidP="00A87D6B">
            <w:pPr>
              <w:jc w:val="center"/>
              <w:rPr>
                <w:lang w:val="sk-SK"/>
              </w:rPr>
            </w:pPr>
            <w:r w:rsidRPr="002D7C32">
              <w:rPr>
                <w:lang w:val="sk-SK"/>
              </w:rPr>
              <w:t>z</w:t>
            </w:r>
          </w:p>
        </w:tc>
        <w:tc>
          <w:tcPr>
            <w:tcW w:w="2605" w:type="pct"/>
          </w:tcPr>
          <w:p w:rsidR="00585274" w:rsidRPr="002D7C32" w:rsidRDefault="00585274" w:rsidP="00585274">
            <w:pPr>
              <w:rPr>
                <w:lang w:val="sk-SK"/>
              </w:rPr>
            </w:pPr>
            <w:r w:rsidRPr="002D7C32">
              <w:rPr>
                <w:lang w:val="sk-SK"/>
              </w:rPr>
              <w:t>Obstarávateľ  ako podnikateľský subjekt, vo vzťahu k subdodávateľom má tie isté problém so subdodávateľmi ako verejní obstarávatelia podľa§ 8 ods. 3 až 9</w:t>
            </w:r>
          </w:p>
        </w:tc>
      </w:tr>
      <w:tr w:rsidR="00585274" w:rsidRPr="002D7C32" w:rsidTr="00606D35">
        <w:tc>
          <w:tcPr>
            <w:tcW w:w="2150" w:type="pct"/>
          </w:tcPr>
          <w:p w:rsidR="0012420E" w:rsidRPr="002D7C32" w:rsidRDefault="0012420E" w:rsidP="00585274">
            <w:pPr>
              <w:rPr>
                <w:b/>
                <w:lang w:val="sk-SK"/>
              </w:rPr>
            </w:pPr>
            <w:r w:rsidRPr="002D7C32">
              <w:rPr>
                <w:b/>
                <w:lang w:val="sk-SK"/>
              </w:rPr>
              <w:t>K bodu 28</w:t>
            </w:r>
          </w:p>
          <w:p w:rsidR="00585274" w:rsidRPr="002D7C32" w:rsidRDefault="00585274" w:rsidP="00585274">
            <w:pPr>
              <w:rPr>
                <w:lang w:val="sk-SK"/>
              </w:rPr>
            </w:pPr>
            <w:r w:rsidRPr="002D7C32">
              <w:rPr>
                <w:lang w:val="sk-SK"/>
              </w:rPr>
              <w:t>§ 32 ods.9 je potrebné stanoviť „ najneskôr však pri podpise zmluvy“</w:t>
            </w:r>
          </w:p>
        </w:tc>
        <w:tc>
          <w:tcPr>
            <w:tcW w:w="245" w:type="pct"/>
            <w:vAlign w:val="center"/>
          </w:tcPr>
          <w:p w:rsidR="00585274" w:rsidRPr="002D7C32" w:rsidRDefault="00585274" w:rsidP="00A87D6B">
            <w:pPr>
              <w:jc w:val="center"/>
              <w:rPr>
                <w:lang w:val="sk-SK"/>
              </w:rPr>
            </w:pPr>
            <w:r w:rsidRPr="002D7C32">
              <w:rPr>
                <w:lang w:val="sk-SK"/>
              </w:rPr>
              <w:t>z</w:t>
            </w:r>
          </w:p>
        </w:tc>
        <w:tc>
          <w:tcPr>
            <w:tcW w:w="2605" w:type="pct"/>
          </w:tcPr>
          <w:p w:rsidR="00585274" w:rsidRPr="002D7C32" w:rsidRDefault="00585274" w:rsidP="00585274">
            <w:pPr>
              <w:rPr>
                <w:lang w:val="sk-SK"/>
              </w:rPr>
            </w:pPr>
            <w:r w:rsidRPr="002D7C32">
              <w:rPr>
                <w:lang w:val="sk-SK"/>
              </w:rPr>
              <w:t>Po podpise zmluvy je uvedené ustanovenie bezpredmetné</w:t>
            </w:r>
          </w:p>
        </w:tc>
      </w:tr>
      <w:tr w:rsidR="00585274" w:rsidRPr="002D7C32" w:rsidTr="00606D35">
        <w:tc>
          <w:tcPr>
            <w:tcW w:w="2150" w:type="pct"/>
          </w:tcPr>
          <w:p w:rsidR="00A87D6B" w:rsidRPr="002D7C32" w:rsidRDefault="00A87D6B" w:rsidP="00585274">
            <w:pPr>
              <w:rPr>
                <w:b/>
                <w:lang w:val="sk-SK"/>
              </w:rPr>
            </w:pPr>
            <w:r w:rsidRPr="002D7C32">
              <w:rPr>
                <w:b/>
                <w:lang w:val="sk-SK"/>
              </w:rPr>
              <w:t>K bodu 30</w:t>
            </w:r>
          </w:p>
          <w:p w:rsidR="00585274" w:rsidRPr="002D7C32" w:rsidRDefault="00585274" w:rsidP="002D7C32">
            <w:pPr>
              <w:rPr>
                <w:lang w:val="sk-SK"/>
              </w:rPr>
            </w:pPr>
            <w:r w:rsidRPr="002D7C32">
              <w:rPr>
                <w:lang w:val="sk-SK"/>
              </w:rPr>
              <w:t>§33 ods.</w:t>
            </w:r>
            <w:r w:rsidR="002D7C32">
              <w:rPr>
                <w:lang w:val="sk-SK"/>
              </w:rPr>
              <w:t xml:space="preserve"> </w:t>
            </w:r>
            <w:r w:rsidRPr="002D7C32">
              <w:rPr>
                <w:lang w:val="sk-SK"/>
              </w:rPr>
              <w:t>5</w:t>
            </w:r>
            <w:r w:rsidR="002D7C32">
              <w:rPr>
                <w:lang w:val="sk-SK"/>
              </w:rPr>
              <w:t xml:space="preserve"> -</w:t>
            </w:r>
            <w:r w:rsidRPr="002D7C32">
              <w:rPr>
                <w:lang w:val="sk-SK"/>
              </w:rPr>
              <w:t xml:space="preserve"> </w:t>
            </w:r>
            <w:r w:rsidR="002D7C32">
              <w:rPr>
                <w:lang w:val="sk-SK"/>
              </w:rPr>
              <w:t>n</w:t>
            </w:r>
            <w:r w:rsidRPr="002D7C32">
              <w:rPr>
                <w:lang w:val="sk-SK"/>
              </w:rPr>
              <w:t>erozumieme k čomu uvedený zoznam bude slúžiť a informácie poskytnuté uchádzačom budú relevantné verejným obstarávateľom a obstarávateľom, keď nimi nebudú môcť ovplyvniť účasť uchádzačov v súťaži.</w:t>
            </w:r>
          </w:p>
        </w:tc>
        <w:tc>
          <w:tcPr>
            <w:tcW w:w="245" w:type="pct"/>
            <w:vAlign w:val="center"/>
          </w:tcPr>
          <w:p w:rsidR="00585274" w:rsidRPr="002D7C32" w:rsidRDefault="002D7C32" w:rsidP="00A87D6B">
            <w:pPr>
              <w:jc w:val="center"/>
              <w:rPr>
                <w:lang w:val="sk-SK"/>
              </w:rPr>
            </w:pPr>
            <w:r>
              <w:rPr>
                <w:lang w:val="sk-SK"/>
              </w:rPr>
              <w:t>z</w:t>
            </w:r>
          </w:p>
        </w:tc>
        <w:tc>
          <w:tcPr>
            <w:tcW w:w="2605" w:type="pct"/>
          </w:tcPr>
          <w:p w:rsidR="00585274" w:rsidRPr="002D7C32" w:rsidRDefault="00585274" w:rsidP="00585274">
            <w:pPr>
              <w:rPr>
                <w:lang w:val="sk-SK"/>
              </w:rPr>
            </w:pPr>
          </w:p>
        </w:tc>
      </w:tr>
      <w:tr w:rsidR="00585274" w:rsidRPr="002D7C32" w:rsidTr="00606D35">
        <w:tc>
          <w:tcPr>
            <w:tcW w:w="2150" w:type="pct"/>
          </w:tcPr>
          <w:p w:rsidR="00A87D6B" w:rsidRPr="002D7C32" w:rsidRDefault="00A87D6B" w:rsidP="00585274">
            <w:pPr>
              <w:rPr>
                <w:b/>
                <w:lang w:val="sk-SK"/>
              </w:rPr>
            </w:pPr>
            <w:r w:rsidRPr="002D7C32">
              <w:rPr>
                <w:b/>
                <w:lang w:val="sk-SK"/>
              </w:rPr>
              <w:t>K bodu 74</w:t>
            </w:r>
          </w:p>
          <w:p w:rsidR="00585274" w:rsidRPr="002D7C32" w:rsidRDefault="00585274" w:rsidP="00585274">
            <w:pPr>
              <w:rPr>
                <w:lang w:val="sk-SK"/>
              </w:rPr>
            </w:pPr>
            <w:r w:rsidRPr="002D7C32">
              <w:rPr>
                <w:lang w:val="sk-SK"/>
              </w:rPr>
              <w:t>§ 78 ods. 1 písm</w:t>
            </w:r>
            <w:r w:rsidR="0012420E" w:rsidRPr="002D7C32">
              <w:rPr>
                <w:lang w:val="sk-SK"/>
              </w:rPr>
              <w:t>.</w:t>
            </w:r>
            <w:r w:rsidRPr="002D7C32">
              <w:rPr>
                <w:lang w:val="sk-SK"/>
              </w:rPr>
              <w:t xml:space="preserve"> b) uvedené doplnenie nemá zmysel ak, možnosť použitia rokovacieho konania so zverejnením nie je súťažnou metódou.</w:t>
            </w:r>
          </w:p>
          <w:p w:rsidR="00585274" w:rsidRPr="002D7C32" w:rsidRDefault="00585274" w:rsidP="00585274">
            <w:pPr>
              <w:rPr>
                <w:lang w:val="sk-SK"/>
              </w:rPr>
            </w:pPr>
          </w:p>
        </w:tc>
        <w:tc>
          <w:tcPr>
            <w:tcW w:w="245" w:type="pct"/>
            <w:vAlign w:val="center"/>
          </w:tcPr>
          <w:p w:rsidR="00585274" w:rsidRPr="002D7C32" w:rsidRDefault="00585274" w:rsidP="00A87D6B">
            <w:pPr>
              <w:jc w:val="center"/>
              <w:rPr>
                <w:lang w:val="sk-SK"/>
              </w:rPr>
            </w:pPr>
            <w:r w:rsidRPr="002D7C32">
              <w:rPr>
                <w:lang w:val="sk-SK"/>
              </w:rPr>
              <w:t>z</w:t>
            </w:r>
          </w:p>
        </w:tc>
        <w:tc>
          <w:tcPr>
            <w:tcW w:w="2605" w:type="pct"/>
          </w:tcPr>
          <w:p w:rsidR="00585274" w:rsidRPr="002D7C32" w:rsidRDefault="00585274" w:rsidP="00585274">
            <w:pPr>
              <w:rPr>
                <w:lang w:val="sk-SK"/>
              </w:rPr>
            </w:pPr>
            <w:r w:rsidRPr="002D7C32">
              <w:rPr>
                <w:lang w:val="sk-SK"/>
              </w:rPr>
              <w:t xml:space="preserve">Ak obstarávateľ postupuje podľa 88, platí ods.1 písm.  a) a c), ods. 2,3- kde záujemca opätovné potvrdzuje svoj záujem?  Aký má uvedené ustanovenie zmysel ak podmienku spĺňa len jeden uchádzač. Načo je potrebná výzva na účasť. Lehota na predloženie žiadosti účasť. nesmie byť kratšia ako 30 dní, od odoslania oznámenia do </w:t>
            </w:r>
            <w:proofErr w:type="spellStart"/>
            <w:r w:rsidRPr="002D7C32">
              <w:rPr>
                <w:lang w:val="sk-SK"/>
              </w:rPr>
              <w:t>publ</w:t>
            </w:r>
            <w:proofErr w:type="spellEnd"/>
            <w:r w:rsidRPr="002D7C32">
              <w:rPr>
                <w:lang w:val="sk-SK"/>
              </w:rPr>
              <w:t xml:space="preserve">. Vestníka, lehota na predloženie žiadosti o účasť nesmie byť kratšia ako 15 dní(cit. zákona). Okrem toho, že uvedené ustanovenie je nezmyselné, pretože nevysvetľuje kedy je možné ktorú lehotu použiť, je v prípade nového §88 zbytočné.. </w:t>
            </w:r>
          </w:p>
          <w:p w:rsidR="00585274" w:rsidRPr="002D7C32" w:rsidRDefault="00585274" w:rsidP="00585274">
            <w:pPr>
              <w:rPr>
                <w:lang w:val="sk-SK"/>
              </w:rPr>
            </w:pPr>
            <w:r w:rsidRPr="002D7C32">
              <w:rPr>
                <w:lang w:val="sk-SK"/>
              </w:rPr>
              <w:t xml:space="preserve">§ 82 ods.3).Výzva na predkladanie ponuky(§83) Výzvu na predkladanie ponúk obstarávateľ pošle len vybratým záujemcom, ktorí splnili podmienky účasti. Obstarávateľ  nesmie vyzvať na predloženie ponuky toho kto nepožiadal o účasť Ponuku môže predložiť len uchádzač, ktorého obstarávateľ vyzval na predloženie ponuky (§ 52 ods3) </w:t>
            </w:r>
          </w:p>
          <w:p w:rsidR="00585274" w:rsidRPr="002D7C32" w:rsidRDefault="00585274" w:rsidP="00585274">
            <w:pPr>
              <w:rPr>
                <w:lang w:val="sk-SK"/>
              </w:rPr>
            </w:pPr>
            <w:r w:rsidRPr="002D7C32">
              <w:rPr>
                <w:lang w:val="sk-SK"/>
              </w:rPr>
              <w:t xml:space="preserve">Vzhľadom k tomu ak je možný len jeden uchádzač sú uvedené ustanovenia zbytočné a pre dodržanie litery zákona administratívne </w:t>
            </w:r>
          </w:p>
          <w:p w:rsidR="00585274" w:rsidRPr="002D7C32" w:rsidRDefault="00585274" w:rsidP="00A87D6B">
            <w:pPr>
              <w:rPr>
                <w:lang w:val="sk-SK"/>
              </w:rPr>
            </w:pPr>
            <w:r w:rsidRPr="002D7C32">
              <w:rPr>
                <w:lang w:val="sk-SK"/>
              </w:rPr>
              <w:t>náročné.</w:t>
            </w:r>
          </w:p>
        </w:tc>
      </w:tr>
      <w:tr w:rsidR="00585274" w:rsidRPr="002D7C32" w:rsidTr="00606D35">
        <w:tc>
          <w:tcPr>
            <w:tcW w:w="2150" w:type="pct"/>
          </w:tcPr>
          <w:p w:rsidR="002D7C32" w:rsidRPr="002D7C32" w:rsidRDefault="002D7C32" w:rsidP="00585274">
            <w:pPr>
              <w:rPr>
                <w:b/>
                <w:lang w:val="sk-SK"/>
              </w:rPr>
            </w:pPr>
            <w:r w:rsidRPr="002D7C32">
              <w:rPr>
                <w:b/>
                <w:lang w:val="sk-SK"/>
              </w:rPr>
              <w:t>K bodu 77</w:t>
            </w:r>
          </w:p>
          <w:p w:rsidR="00585274" w:rsidRPr="002D7C32" w:rsidRDefault="00585274" w:rsidP="00585274">
            <w:pPr>
              <w:rPr>
                <w:lang w:val="sk-SK"/>
              </w:rPr>
            </w:pPr>
            <w:r w:rsidRPr="002D7C32">
              <w:rPr>
                <w:lang w:val="sk-SK"/>
              </w:rPr>
              <w:t xml:space="preserve">§85 Odstránenie možnosti použiť rokovacie konanie so zverejnením bez splnenia podmienky na použitie tejto metódy obstarávateľom, považujeme za tvrdé a diskriminačné ustanovenie oproti obstarávateľom v iných štátoch EU.  </w:t>
            </w:r>
          </w:p>
          <w:p w:rsidR="00585274" w:rsidRPr="002D7C32" w:rsidRDefault="00585274" w:rsidP="00585274">
            <w:pPr>
              <w:rPr>
                <w:lang w:val="sk-SK"/>
              </w:rPr>
            </w:pPr>
          </w:p>
        </w:tc>
        <w:tc>
          <w:tcPr>
            <w:tcW w:w="245" w:type="pct"/>
            <w:vAlign w:val="center"/>
          </w:tcPr>
          <w:p w:rsidR="00585274" w:rsidRPr="002D7C32" w:rsidRDefault="002D7C32" w:rsidP="00A87D6B">
            <w:pPr>
              <w:jc w:val="center"/>
              <w:rPr>
                <w:lang w:val="sk-SK"/>
              </w:rPr>
            </w:pPr>
            <w:r>
              <w:rPr>
                <w:lang w:val="sk-SK"/>
              </w:rPr>
              <w:t>z</w:t>
            </w:r>
          </w:p>
        </w:tc>
        <w:tc>
          <w:tcPr>
            <w:tcW w:w="2605" w:type="pct"/>
          </w:tcPr>
          <w:p w:rsidR="00585274" w:rsidRPr="002D7C32" w:rsidRDefault="00585274" w:rsidP="00A87D6B">
            <w:pPr>
              <w:rPr>
                <w:lang w:val="sk-SK"/>
              </w:rPr>
            </w:pPr>
            <w:r w:rsidRPr="002D7C32">
              <w:rPr>
                <w:lang w:val="sk-SK"/>
              </w:rPr>
              <w:t xml:space="preserve">Je potrebné aby obstarávateľ mohol rokovať o predložených ponukách aj v iných prípadoch ako v zákonom  taxatívne stanovených prípadoch. </w:t>
            </w:r>
            <w:r w:rsidR="00A87D6B" w:rsidRPr="002D7C32">
              <w:rPr>
                <w:lang w:val="sk-SK"/>
              </w:rPr>
              <w:t>R</w:t>
            </w:r>
            <w:r w:rsidRPr="002D7C32">
              <w:rPr>
                <w:lang w:val="sk-SK"/>
              </w:rPr>
              <w:t>ôznorodosť plnení ktoré zabezpečuje podnikateľ v oblasti výroby elektrickej energie ho musí oprávňovať na možnosť rokovania o ponuke, použitím jedinej metódy ktorá ho oprávňuje rokovať o ponuke</w:t>
            </w:r>
          </w:p>
        </w:tc>
      </w:tr>
      <w:tr w:rsidR="00585274" w:rsidRPr="00585274" w:rsidTr="00606D35">
        <w:tc>
          <w:tcPr>
            <w:tcW w:w="2150" w:type="pct"/>
          </w:tcPr>
          <w:p w:rsidR="002D7C32" w:rsidRPr="002D7C32" w:rsidRDefault="002D7C32" w:rsidP="00585274">
            <w:pPr>
              <w:rPr>
                <w:b/>
                <w:lang w:val="sk-SK"/>
              </w:rPr>
            </w:pPr>
            <w:r w:rsidRPr="002D7C32">
              <w:rPr>
                <w:b/>
                <w:lang w:val="sk-SK"/>
              </w:rPr>
              <w:t>K bodu 80</w:t>
            </w:r>
          </w:p>
          <w:p w:rsidR="00585274" w:rsidRPr="002D7C32" w:rsidRDefault="00585274" w:rsidP="00585274">
            <w:pPr>
              <w:rPr>
                <w:lang w:val="sk-SK"/>
              </w:rPr>
            </w:pPr>
            <w:r w:rsidRPr="002D7C32">
              <w:rPr>
                <w:lang w:val="sk-SK"/>
              </w:rPr>
              <w:t>§88</w:t>
            </w:r>
          </w:p>
          <w:p w:rsidR="00585274" w:rsidRPr="002D7C32" w:rsidRDefault="00585274" w:rsidP="00585274">
            <w:pPr>
              <w:rPr>
                <w:lang w:val="sk-SK"/>
              </w:rPr>
            </w:pPr>
            <w:r w:rsidRPr="002D7C32">
              <w:rPr>
                <w:lang w:val="sk-SK"/>
              </w:rPr>
              <w:t xml:space="preserve">Celkové odstránenie RKBZ je tvrdým zásahom do pravidiel určených európskou komisiou. Použitie tejto metódy obstarávateľom, považujeme za tvrdé a diskriminačné ustanovenie oproti obstarávateľom v iných štátoch EU.  </w:t>
            </w:r>
          </w:p>
        </w:tc>
        <w:tc>
          <w:tcPr>
            <w:tcW w:w="245" w:type="pct"/>
            <w:vAlign w:val="center"/>
          </w:tcPr>
          <w:p w:rsidR="00585274" w:rsidRPr="00585274" w:rsidRDefault="00585274" w:rsidP="00A87D6B">
            <w:pPr>
              <w:jc w:val="center"/>
              <w:rPr>
                <w:lang w:val="sk-SK"/>
              </w:rPr>
            </w:pPr>
            <w:r w:rsidRPr="002D7C32">
              <w:rPr>
                <w:lang w:val="sk-SK"/>
              </w:rPr>
              <w:t>z</w:t>
            </w:r>
          </w:p>
        </w:tc>
        <w:tc>
          <w:tcPr>
            <w:tcW w:w="2605" w:type="pct"/>
          </w:tcPr>
          <w:p w:rsidR="00585274" w:rsidRPr="00585274" w:rsidRDefault="00585274" w:rsidP="00585274">
            <w:pPr>
              <w:rPr>
                <w:lang w:val="sk-SK"/>
              </w:rPr>
            </w:pPr>
          </w:p>
        </w:tc>
      </w:tr>
    </w:tbl>
    <w:p w:rsidR="000450F9" w:rsidRPr="00585274" w:rsidRDefault="000450F9">
      <w:pPr>
        <w:rPr>
          <w:lang w:val="sk-SK"/>
        </w:rPr>
      </w:pPr>
    </w:p>
    <w:sectPr w:rsidR="000450F9" w:rsidRPr="00585274" w:rsidSect="0058527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altName w:val="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7EFF"/>
    <w:multiLevelType w:val="hybridMultilevel"/>
    <w:tmpl w:val="A942BF86"/>
    <w:lvl w:ilvl="0" w:tplc="13CAA5A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nsid w:val="09DE36D0"/>
    <w:multiLevelType w:val="hybridMultilevel"/>
    <w:tmpl w:val="46A0F400"/>
    <w:lvl w:ilvl="0" w:tplc="3C9478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C7"/>
    <w:rsid w:val="00036B07"/>
    <w:rsid w:val="000450F9"/>
    <w:rsid w:val="000C5635"/>
    <w:rsid w:val="0012420E"/>
    <w:rsid w:val="0017633C"/>
    <w:rsid w:val="00272235"/>
    <w:rsid w:val="002D7C32"/>
    <w:rsid w:val="00305DF2"/>
    <w:rsid w:val="00331E87"/>
    <w:rsid w:val="003613EF"/>
    <w:rsid w:val="003759EB"/>
    <w:rsid w:val="0040741F"/>
    <w:rsid w:val="00414720"/>
    <w:rsid w:val="00484A2A"/>
    <w:rsid w:val="004A5683"/>
    <w:rsid w:val="00585274"/>
    <w:rsid w:val="00606D35"/>
    <w:rsid w:val="0061755D"/>
    <w:rsid w:val="006854B6"/>
    <w:rsid w:val="006945C3"/>
    <w:rsid w:val="00716E76"/>
    <w:rsid w:val="007225C7"/>
    <w:rsid w:val="007743F3"/>
    <w:rsid w:val="00782A5B"/>
    <w:rsid w:val="00851373"/>
    <w:rsid w:val="009244C9"/>
    <w:rsid w:val="00927813"/>
    <w:rsid w:val="00A87D6B"/>
    <w:rsid w:val="00B14AC2"/>
    <w:rsid w:val="00BC2417"/>
    <w:rsid w:val="00C17B21"/>
    <w:rsid w:val="00D5665F"/>
    <w:rsid w:val="00DC19B7"/>
    <w:rsid w:val="00ED5C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25C7"/>
    <w:pPr>
      <w:widowControl w:val="0"/>
      <w:adjustRightInd w:val="0"/>
    </w:pPr>
    <w:rPr>
      <w:rFonts w:ascii="Calibri" w:eastAsia="Times New Roman" w:hAnsi="Calibri" w:cs="Calibri"/>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rsid w:val="007225C7"/>
    <w:pPr>
      <w:spacing w:after="0" w:line="240" w:lineRule="auto"/>
      <w:jc w:val="center"/>
    </w:pPr>
    <w:rPr>
      <w:b/>
      <w:bCs/>
      <w:sz w:val="28"/>
      <w:szCs w:val="28"/>
      <w:lang w:val="sk-SK" w:eastAsia="sk-SK"/>
    </w:rPr>
  </w:style>
  <w:style w:type="character" w:customStyle="1" w:styleId="ZkladntextChar">
    <w:name w:val="Základný text Char"/>
    <w:basedOn w:val="Predvolenpsmoodseku"/>
    <w:link w:val="Zkladntext"/>
    <w:uiPriority w:val="99"/>
    <w:semiHidden/>
    <w:rsid w:val="007225C7"/>
    <w:rPr>
      <w:rFonts w:ascii="Calibri" w:eastAsia="Times New Roman" w:hAnsi="Calibri" w:cs="Calibri"/>
      <w:b/>
      <w:bCs/>
      <w:sz w:val="28"/>
      <w:szCs w:val="28"/>
      <w:lang w:eastAsia="sk-SK"/>
    </w:rPr>
  </w:style>
  <w:style w:type="paragraph" w:styleId="Odsekzoznamu">
    <w:name w:val="List Paragraph"/>
    <w:basedOn w:val="Normlny"/>
    <w:uiPriority w:val="34"/>
    <w:qFormat/>
    <w:rsid w:val="007225C7"/>
    <w:pPr>
      <w:widowControl/>
      <w:adjustRightInd/>
      <w:ind w:left="720"/>
    </w:pPr>
    <w:rPr>
      <w:rFonts w:eastAsiaTheme="minorHAnsi"/>
      <w:lang w:val="sk-SK"/>
    </w:rPr>
  </w:style>
  <w:style w:type="paragraph" w:styleId="Textbubliny">
    <w:name w:val="Balloon Text"/>
    <w:basedOn w:val="Normlny"/>
    <w:link w:val="TextbublinyChar"/>
    <w:uiPriority w:val="99"/>
    <w:semiHidden/>
    <w:unhideWhenUsed/>
    <w:rsid w:val="0058527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8527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25C7"/>
    <w:pPr>
      <w:widowControl w:val="0"/>
      <w:adjustRightInd w:val="0"/>
    </w:pPr>
    <w:rPr>
      <w:rFonts w:ascii="Calibri" w:eastAsia="Times New Roman" w:hAnsi="Calibri" w:cs="Calibri"/>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rsid w:val="007225C7"/>
    <w:pPr>
      <w:spacing w:after="0" w:line="240" w:lineRule="auto"/>
      <w:jc w:val="center"/>
    </w:pPr>
    <w:rPr>
      <w:b/>
      <w:bCs/>
      <w:sz w:val="28"/>
      <w:szCs w:val="28"/>
      <w:lang w:val="sk-SK" w:eastAsia="sk-SK"/>
    </w:rPr>
  </w:style>
  <w:style w:type="character" w:customStyle="1" w:styleId="ZkladntextChar">
    <w:name w:val="Základný text Char"/>
    <w:basedOn w:val="Predvolenpsmoodseku"/>
    <w:link w:val="Zkladntext"/>
    <w:uiPriority w:val="99"/>
    <w:semiHidden/>
    <w:rsid w:val="007225C7"/>
    <w:rPr>
      <w:rFonts w:ascii="Calibri" w:eastAsia="Times New Roman" w:hAnsi="Calibri" w:cs="Calibri"/>
      <w:b/>
      <w:bCs/>
      <w:sz w:val="28"/>
      <w:szCs w:val="28"/>
      <w:lang w:eastAsia="sk-SK"/>
    </w:rPr>
  </w:style>
  <w:style w:type="paragraph" w:styleId="Odsekzoznamu">
    <w:name w:val="List Paragraph"/>
    <w:basedOn w:val="Normlny"/>
    <w:uiPriority w:val="34"/>
    <w:qFormat/>
    <w:rsid w:val="007225C7"/>
    <w:pPr>
      <w:widowControl/>
      <w:adjustRightInd/>
      <w:ind w:left="720"/>
    </w:pPr>
    <w:rPr>
      <w:rFonts w:eastAsiaTheme="minorHAnsi"/>
      <w:lang w:val="sk-SK"/>
    </w:rPr>
  </w:style>
  <w:style w:type="paragraph" w:styleId="Textbubliny">
    <w:name w:val="Balloon Text"/>
    <w:basedOn w:val="Normlny"/>
    <w:link w:val="TextbublinyChar"/>
    <w:uiPriority w:val="99"/>
    <w:semiHidden/>
    <w:unhideWhenUsed/>
    <w:rsid w:val="0058527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8527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802">
      <w:bodyDiv w:val="1"/>
      <w:marLeft w:val="0"/>
      <w:marRight w:val="0"/>
      <w:marTop w:val="0"/>
      <w:marBottom w:val="0"/>
      <w:divBdr>
        <w:top w:val="none" w:sz="0" w:space="0" w:color="auto"/>
        <w:left w:val="none" w:sz="0" w:space="0" w:color="auto"/>
        <w:bottom w:val="none" w:sz="0" w:space="0" w:color="auto"/>
        <w:right w:val="none" w:sz="0" w:space="0" w:color="auto"/>
      </w:divBdr>
    </w:div>
    <w:div w:id="168835052">
      <w:bodyDiv w:val="1"/>
      <w:marLeft w:val="0"/>
      <w:marRight w:val="0"/>
      <w:marTop w:val="0"/>
      <w:marBottom w:val="0"/>
      <w:divBdr>
        <w:top w:val="none" w:sz="0" w:space="0" w:color="auto"/>
        <w:left w:val="none" w:sz="0" w:space="0" w:color="auto"/>
        <w:bottom w:val="none" w:sz="0" w:space="0" w:color="auto"/>
        <w:right w:val="none" w:sz="0" w:space="0" w:color="auto"/>
      </w:divBdr>
    </w:div>
    <w:div w:id="305018229">
      <w:bodyDiv w:val="1"/>
      <w:marLeft w:val="0"/>
      <w:marRight w:val="0"/>
      <w:marTop w:val="0"/>
      <w:marBottom w:val="0"/>
      <w:divBdr>
        <w:top w:val="none" w:sz="0" w:space="0" w:color="auto"/>
        <w:left w:val="none" w:sz="0" w:space="0" w:color="auto"/>
        <w:bottom w:val="none" w:sz="0" w:space="0" w:color="auto"/>
        <w:right w:val="none" w:sz="0" w:space="0" w:color="auto"/>
      </w:divBdr>
    </w:div>
    <w:div w:id="357512379">
      <w:bodyDiv w:val="1"/>
      <w:marLeft w:val="0"/>
      <w:marRight w:val="0"/>
      <w:marTop w:val="0"/>
      <w:marBottom w:val="0"/>
      <w:divBdr>
        <w:top w:val="none" w:sz="0" w:space="0" w:color="auto"/>
        <w:left w:val="none" w:sz="0" w:space="0" w:color="auto"/>
        <w:bottom w:val="none" w:sz="0" w:space="0" w:color="auto"/>
        <w:right w:val="none" w:sz="0" w:space="0" w:color="auto"/>
      </w:divBdr>
    </w:div>
    <w:div w:id="557520664">
      <w:bodyDiv w:val="1"/>
      <w:marLeft w:val="0"/>
      <w:marRight w:val="0"/>
      <w:marTop w:val="0"/>
      <w:marBottom w:val="0"/>
      <w:divBdr>
        <w:top w:val="none" w:sz="0" w:space="0" w:color="auto"/>
        <w:left w:val="none" w:sz="0" w:space="0" w:color="auto"/>
        <w:bottom w:val="none" w:sz="0" w:space="0" w:color="auto"/>
        <w:right w:val="none" w:sz="0" w:space="0" w:color="auto"/>
      </w:divBdr>
    </w:div>
    <w:div w:id="11373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861</Words>
  <Characters>4914</Characters>
  <Application>Microsoft Office Word</Application>
  <DocSecurity>0</DocSecurity>
  <Lines>40</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value</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u109527</dc:creator>
  <cp:lastModifiedBy>molnar</cp:lastModifiedBy>
  <cp:revision>3</cp:revision>
  <cp:lastPrinted>2012-08-01T13:56:00Z</cp:lastPrinted>
  <dcterms:created xsi:type="dcterms:W3CDTF">2012-08-07T10:17:00Z</dcterms:created>
  <dcterms:modified xsi:type="dcterms:W3CDTF">2012-08-16T15:17:00Z</dcterms:modified>
</cp:coreProperties>
</file>