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B310F" w14:textId="77777777" w:rsidR="0049699A" w:rsidRDefault="00761780" w:rsidP="00761780">
      <w:pPr>
        <w:keepNext/>
        <w:widowControl/>
        <w:pBdr>
          <w:top w:val="single" w:sz="4" w:space="1" w:color="auto"/>
          <w:left w:val="single" w:sz="4" w:space="4" w:color="auto"/>
          <w:bottom w:val="single" w:sz="4" w:space="1" w:color="auto"/>
          <w:right w:val="single" w:sz="4" w:space="4" w:color="auto"/>
        </w:pBdr>
        <w:shd w:val="clear" w:color="auto" w:fill="D9D9D9"/>
        <w:overflowPunct w:val="0"/>
        <w:autoSpaceDE w:val="0"/>
        <w:autoSpaceDN w:val="0"/>
        <w:spacing w:line="240" w:lineRule="auto"/>
        <w:jc w:val="center"/>
        <w:outlineLvl w:val="2"/>
        <w:rPr>
          <w:b/>
          <w:bCs/>
          <w:sz w:val="26"/>
          <w:szCs w:val="26"/>
          <w:lang w:eastAsia="cs-CZ"/>
        </w:rPr>
      </w:pPr>
      <w:r>
        <w:rPr>
          <w:b/>
          <w:bCs/>
          <w:sz w:val="26"/>
          <w:szCs w:val="26"/>
          <w:lang w:eastAsia="cs-CZ"/>
        </w:rPr>
        <w:t>Riadne predbežné stanovisko</w:t>
      </w:r>
      <w:r w:rsidR="0049699A">
        <w:rPr>
          <w:b/>
          <w:bCs/>
          <w:sz w:val="26"/>
          <w:szCs w:val="26"/>
          <w:lang w:eastAsia="cs-CZ"/>
        </w:rPr>
        <w:t xml:space="preserve"> </w:t>
      </w:r>
    </w:p>
    <w:p w14:paraId="3005D9B4" w14:textId="0C26649A" w:rsidR="00761780" w:rsidRDefault="0049699A" w:rsidP="00761780">
      <w:pPr>
        <w:keepNext/>
        <w:widowControl/>
        <w:pBdr>
          <w:top w:val="single" w:sz="4" w:space="1" w:color="auto"/>
          <w:left w:val="single" w:sz="4" w:space="4" w:color="auto"/>
          <w:bottom w:val="single" w:sz="4" w:space="1" w:color="auto"/>
          <w:right w:val="single" w:sz="4" w:space="4" w:color="auto"/>
        </w:pBdr>
        <w:shd w:val="clear" w:color="auto" w:fill="D9D9D9"/>
        <w:overflowPunct w:val="0"/>
        <w:autoSpaceDE w:val="0"/>
        <w:autoSpaceDN w:val="0"/>
        <w:spacing w:line="240" w:lineRule="auto"/>
        <w:jc w:val="center"/>
        <w:outlineLvl w:val="2"/>
        <w:rPr>
          <w:b/>
          <w:bCs/>
          <w:sz w:val="26"/>
          <w:szCs w:val="26"/>
          <w:lang w:eastAsia="cs-CZ"/>
        </w:rPr>
      </w:pPr>
      <w:r>
        <w:rPr>
          <w:b/>
          <w:bCs/>
          <w:sz w:val="26"/>
          <w:szCs w:val="26"/>
          <w:lang w:eastAsia="cs-CZ"/>
        </w:rPr>
        <w:t xml:space="preserve">k návrhu smernice </w:t>
      </w:r>
      <w:r w:rsidRPr="0049699A">
        <w:rPr>
          <w:b/>
          <w:bCs/>
          <w:sz w:val="26"/>
          <w:szCs w:val="26"/>
          <w:lang w:eastAsia="cs-CZ"/>
        </w:rPr>
        <w:t>Európskeho parlamentu a</w:t>
      </w:r>
      <w:r w:rsidR="004A2A90">
        <w:rPr>
          <w:b/>
          <w:bCs/>
          <w:sz w:val="26"/>
          <w:szCs w:val="26"/>
          <w:lang w:eastAsia="cs-CZ"/>
        </w:rPr>
        <w:t> </w:t>
      </w:r>
      <w:r w:rsidRPr="0049699A">
        <w:rPr>
          <w:b/>
          <w:bCs/>
          <w:sz w:val="26"/>
          <w:szCs w:val="26"/>
          <w:lang w:eastAsia="cs-CZ"/>
        </w:rPr>
        <w:t>Rady</w:t>
      </w:r>
      <w:r w:rsidR="004A2A90">
        <w:rPr>
          <w:b/>
          <w:bCs/>
          <w:sz w:val="26"/>
          <w:szCs w:val="26"/>
          <w:lang w:eastAsia="cs-CZ"/>
        </w:rPr>
        <w:t>,</w:t>
      </w:r>
      <w:r w:rsidRPr="0049699A">
        <w:rPr>
          <w:b/>
          <w:bCs/>
          <w:sz w:val="26"/>
          <w:szCs w:val="26"/>
          <w:lang w:eastAsia="cs-CZ"/>
        </w:rPr>
        <w:t xml:space="preserve"> </w:t>
      </w:r>
      <w:r w:rsidR="00F32018" w:rsidRPr="00F32018">
        <w:rPr>
          <w:b/>
          <w:bCs/>
          <w:sz w:val="26"/>
          <w:szCs w:val="26"/>
          <w:lang w:eastAsia="cs-CZ"/>
        </w:rPr>
        <w:t xml:space="preserve">ktorou sa mení a dopĺňa smernica 2009/138/ES, pokiaľ ide o proporcionalitu, kvalitu dohľadu, podávanie správ, opatrenia dlhodobej záruky, </w:t>
      </w:r>
      <w:proofErr w:type="spellStart"/>
      <w:r w:rsidR="00F32018" w:rsidRPr="00F32018">
        <w:rPr>
          <w:b/>
          <w:bCs/>
          <w:sz w:val="26"/>
          <w:szCs w:val="26"/>
          <w:lang w:eastAsia="cs-CZ"/>
        </w:rPr>
        <w:t>makroprudenciálne</w:t>
      </w:r>
      <w:proofErr w:type="spellEnd"/>
      <w:r w:rsidR="00F32018" w:rsidRPr="00F32018">
        <w:rPr>
          <w:b/>
          <w:bCs/>
          <w:sz w:val="26"/>
          <w:szCs w:val="26"/>
          <w:lang w:eastAsia="cs-CZ"/>
        </w:rPr>
        <w:t xml:space="preserve"> nástroje, riziká pre udržateľnosť, skupinový a cezhraničný dohľad</w:t>
      </w:r>
    </w:p>
    <w:p w14:paraId="6B7D8C47" w14:textId="77777777" w:rsidR="00761780" w:rsidRDefault="00761780" w:rsidP="00761780">
      <w:pPr>
        <w:widowControl/>
        <w:adjustRightInd/>
        <w:spacing w:line="240" w:lineRule="auto"/>
        <w:jc w:val="left"/>
        <w:rPr>
          <w:rFonts w:ascii="Arial" w:hAnsi="Arial" w:cs="Arial"/>
        </w:rPr>
      </w:pPr>
    </w:p>
    <w:p w14:paraId="4A7B8158" w14:textId="77777777" w:rsidR="00761780" w:rsidRDefault="00761780" w:rsidP="00761780">
      <w:pPr>
        <w:widowControl/>
        <w:numPr>
          <w:ilvl w:val="0"/>
          <w:numId w:val="23"/>
        </w:numPr>
        <w:overflowPunct w:val="0"/>
        <w:autoSpaceDE w:val="0"/>
        <w:autoSpaceDN w:val="0"/>
        <w:adjustRightInd/>
        <w:spacing w:line="240" w:lineRule="auto"/>
        <w:ind w:left="284" w:hanging="284"/>
        <w:jc w:val="left"/>
        <w:textAlignment w:val="auto"/>
        <w:rPr>
          <w:b/>
          <w:u w:val="single"/>
        </w:rPr>
      </w:pPr>
      <w:r>
        <w:rPr>
          <w:b/>
          <w:u w:val="single"/>
        </w:rPr>
        <w:t>VŠEOBECNÁ ČASŤ</w:t>
      </w:r>
    </w:p>
    <w:p w14:paraId="7F1DE90D" w14:textId="77777777" w:rsidR="00761780" w:rsidRDefault="00761780" w:rsidP="00761780">
      <w:pPr>
        <w:widowControl/>
        <w:adjustRightInd/>
        <w:spacing w:line="240" w:lineRule="auto"/>
        <w:jc w:val="left"/>
      </w:pPr>
    </w:p>
    <w:p w14:paraId="3982A0FE" w14:textId="77777777" w:rsidR="00761780" w:rsidRDefault="00761780" w:rsidP="00D4758E">
      <w:pPr>
        <w:widowControl/>
        <w:numPr>
          <w:ilvl w:val="0"/>
          <w:numId w:val="24"/>
        </w:numPr>
        <w:tabs>
          <w:tab w:val="num" w:pos="284"/>
        </w:tabs>
        <w:overflowPunct w:val="0"/>
        <w:autoSpaceDE w:val="0"/>
        <w:autoSpaceDN w:val="0"/>
        <w:adjustRightInd/>
        <w:spacing w:line="240" w:lineRule="auto"/>
        <w:ind w:hanging="720"/>
        <w:textAlignment w:val="auto"/>
        <w:rPr>
          <w:b/>
          <w:bCs/>
        </w:rPr>
      </w:pPr>
      <w:r>
        <w:rPr>
          <w:b/>
          <w:bCs/>
        </w:rPr>
        <w:t>Názov</w:t>
      </w:r>
    </w:p>
    <w:p w14:paraId="47DD6204" w14:textId="77777777" w:rsidR="007D38F9" w:rsidRDefault="007D38F9" w:rsidP="007D38F9">
      <w:pPr>
        <w:widowControl/>
        <w:overflowPunct w:val="0"/>
        <w:autoSpaceDE w:val="0"/>
        <w:autoSpaceDN w:val="0"/>
        <w:adjustRightInd/>
        <w:spacing w:line="240" w:lineRule="auto"/>
        <w:ind w:left="720"/>
        <w:textAlignment w:val="auto"/>
        <w:rPr>
          <w:b/>
          <w:bCs/>
        </w:rPr>
      </w:pPr>
    </w:p>
    <w:p w14:paraId="01A2DBBB" w14:textId="4FDC0CA1" w:rsidR="00761780" w:rsidRDefault="0049699A" w:rsidP="00D4758E">
      <w:pPr>
        <w:widowControl/>
        <w:tabs>
          <w:tab w:val="num" w:pos="284"/>
        </w:tabs>
        <w:adjustRightInd/>
        <w:spacing w:line="240" w:lineRule="auto"/>
      </w:pPr>
      <w:r>
        <w:t xml:space="preserve">Návrh smernice </w:t>
      </w:r>
      <w:r w:rsidRPr="00CE38B1">
        <w:rPr>
          <w:bCs/>
        </w:rPr>
        <w:t>Európskeho parlamentu a</w:t>
      </w:r>
      <w:r w:rsidR="007D38F9">
        <w:rPr>
          <w:bCs/>
        </w:rPr>
        <w:t> </w:t>
      </w:r>
      <w:r w:rsidRPr="00CE38B1">
        <w:rPr>
          <w:bCs/>
        </w:rPr>
        <w:t>Rady</w:t>
      </w:r>
      <w:r w:rsidR="007D38F9">
        <w:rPr>
          <w:bCs/>
        </w:rPr>
        <w:t>,</w:t>
      </w:r>
      <w:r>
        <w:t xml:space="preserve"> </w:t>
      </w:r>
      <w:r w:rsidR="007D38F9" w:rsidRPr="007D38F9">
        <w:t xml:space="preserve">ktorou sa mení a dopĺňa smernica 2009/138/ES, pokiaľ ide o proporcionalitu, kvalitu dohľadu, podávanie správ, opatrenia dlhodobej záruky, </w:t>
      </w:r>
      <w:proofErr w:type="spellStart"/>
      <w:r w:rsidR="007D38F9" w:rsidRPr="007D38F9">
        <w:t>makroprudenciálne</w:t>
      </w:r>
      <w:proofErr w:type="spellEnd"/>
      <w:r w:rsidR="007D38F9" w:rsidRPr="007D38F9">
        <w:t xml:space="preserve"> nástroje, riziká pre udržateľnosť, skupinový a cezhraničný dohľad </w:t>
      </w:r>
      <w:r>
        <w:t>(ďalej len „návrh smernice“)</w:t>
      </w:r>
    </w:p>
    <w:p w14:paraId="5FD443C3" w14:textId="77777777" w:rsidR="0049699A" w:rsidRDefault="0049699A" w:rsidP="00D4758E">
      <w:pPr>
        <w:widowControl/>
        <w:tabs>
          <w:tab w:val="num" w:pos="284"/>
        </w:tabs>
        <w:adjustRightInd/>
        <w:spacing w:line="240" w:lineRule="auto"/>
      </w:pPr>
    </w:p>
    <w:p w14:paraId="6D387DD5" w14:textId="77777777" w:rsidR="00761780" w:rsidRDefault="00761780" w:rsidP="00D4758E">
      <w:pPr>
        <w:widowControl/>
        <w:numPr>
          <w:ilvl w:val="0"/>
          <w:numId w:val="24"/>
        </w:numPr>
        <w:tabs>
          <w:tab w:val="num" w:pos="284"/>
        </w:tabs>
        <w:overflowPunct w:val="0"/>
        <w:autoSpaceDE w:val="0"/>
        <w:autoSpaceDN w:val="0"/>
        <w:adjustRightInd/>
        <w:spacing w:line="240" w:lineRule="auto"/>
        <w:ind w:left="284" w:hanging="284"/>
        <w:textAlignment w:val="auto"/>
        <w:rPr>
          <w:b/>
          <w:bCs/>
        </w:rPr>
      </w:pPr>
      <w:r>
        <w:rPr>
          <w:b/>
          <w:bCs/>
        </w:rPr>
        <w:t>Číslo a dátum zverejnenia dokumentu EK, (prípadne číslo a dátum zverejnenia dokumentu Rady EÚ)</w:t>
      </w:r>
    </w:p>
    <w:p w14:paraId="2B40528F" w14:textId="77777777" w:rsidR="00761780" w:rsidRDefault="00761780" w:rsidP="00D4758E">
      <w:pPr>
        <w:widowControl/>
        <w:tabs>
          <w:tab w:val="num" w:pos="284"/>
        </w:tabs>
        <w:adjustRightInd/>
        <w:spacing w:line="240" w:lineRule="auto"/>
      </w:pPr>
    </w:p>
    <w:p w14:paraId="5DAC0D4B" w14:textId="69182ECE" w:rsidR="0049699A" w:rsidRPr="0049699A" w:rsidRDefault="0049699A" w:rsidP="00D4758E">
      <w:r w:rsidRPr="007A57AB">
        <w:t xml:space="preserve">COM(2021) </w:t>
      </w:r>
      <w:r w:rsidR="007A57AB" w:rsidRPr="007A57AB">
        <w:t>581</w:t>
      </w:r>
      <w:r w:rsidRPr="007A57AB">
        <w:t xml:space="preserve"> </w:t>
      </w:r>
      <w:proofErr w:type="spellStart"/>
      <w:r w:rsidRPr="007A57AB">
        <w:t>final</w:t>
      </w:r>
      <w:proofErr w:type="spellEnd"/>
      <w:r w:rsidRPr="00051D74">
        <w:t xml:space="preserve">, </w:t>
      </w:r>
      <w:r w:rsidR="00051D74">
        <w:t>17.11.2021</w:t>
      </w:r>
      <w:r w:rsidRPr="00051D74">
        <w:t xml:space="preserve">, </w:t>
      </w:r>
      <w:r w:rsidR="007A57AB" w:rsidRPr="007A57AB">
        <w:t>2021/0295 (COD)</w:t>
      </w:r>
    </w:p>
    <w:p w14:paraId="2C86CBD1" w14:textId="77777777" w:rsidR="0049699A" w:rsidRDefault="0049699A" w:rsidP="00D4758E">
      <w:pPr>
        <w:widowControl/>
        <w:tabs>
          <w:tab w:val="num" w:pos="284"/>
        </w:tabs>
        <w:adjustRightInd/>
        <w:spacing w:line="240" w:lineRule="auto"/>
      </w:pPr>
    </w:p>
    <w:p w14:paraId="4A45D509" w14:textId="77777777" w:rsidR="00761780" w:rsidRDefault="00761780" w:rsidP="00D4758E">
      <w:pPr>
        <w:widowControl/>
        <w:numPr>
          <w:ilvl w:val="0"/>
          <w:numId w:val="24"/>
        </w:numPr>
        <w:tabs>
          <w:tab w:val="num" w:pos="284"/>
        </w:tabs>
        <w:overflowPunct w:val="0"/>
        <w:autoSpaceDE w:val="0"/>
        <w:autoSpaceDN w:val="0"/>
        <w:adjustRightInd/>
        <w:spacing w:line="240" w:lineRule="auto"/>
        <w:ind w:hanging="720"/>
        <w:textAlignment w:val="auto"/>
        <w:rPr>
          <w:b/>
          <w:bCs/>
        </w:rPr>
      </w:pPr>
      <w:r>
        <w:rPr>
          <w:b/>
          <w:bCs/>
        </w:rPr>
        <w:t>Označenie výboru alebo pracovnej skupiny</w:t>
      </w:r>
    </w:p>
    <w:p w14:paraId="740A9860" w14:textId="77777777" w:rsidR="00761780" w:rsidRDefault="00761780" w:rsidP="00D4758E">
      <w:pPr>
        <w:widowControl/>
        <w:overflowPunct w:val="0"/>
        <w:autoSpaceDE w:val="0"/>
        <w:autoSpaceDN w:val="0"/>
        <w:spacing w:line="240" w:lineRule="auto"/>
        <w:rPr>
          <w:b/>
          <w:bCs/>
        </w:rPr>
      </w:pPr>
    </w:p>
    <w:p w14:paraId="5C0D16B3" w14:textId="19EB2D9C" w:rsidR="0049699A" w:rsidRDefault="00E5432F" w:rsidP="00D4758E">
      <w:pPr>
        <w:widowControl/>
        <w:overflowPunct w:val="0"/>
        <w:autoSpaceDE w:val="0"/>
        <w:autoSpaceDN w:val="0"/>
        <w:spacing w:line="240" w:lineRule="auto"/>
        <w:rPr>
          <w:bCs/>
        </w:rPr>
      </w:pPr>
      <w:r w:rsidRPr="00E5432F">
        <w:rPr>
          <w:bCs/>
        </w:rPr>
        <w:t xml:space="preserve">Pracovná skupina pre </w:t>
      </w:r>
      <w:r w:rsidR="00F32018">
        <w:rPr>
          <w:bCs/>
        </w:rPr>
        <w:t>finančné služby a bankovú úniu</w:t>
      </w:r>
    </w:p>
    <w:p w14:paraId="576A3DCF" w14:textId="77777777" w:rsidR="00E5432F" w:rsidRPr="0049699A" w:rsidRDefault="00E5432F" w:rsidP="00D4758E">
      <w:pPr>
        <w:widowControl/>
        <w:overflowPunct w:val="0"/>
        <w:autoSpaceDE w:val="0"/>
        <w:autoSpaceDN w:val="0"/>
        <w:spacing w:line="240" w:lineRule="auto"/>
        <w:rPr>
          <w:bCs/>
        </w:rPr>
      </w:pPr>
    </w:p>
    <w:p w14:paraId="7D2CBB92" w14:textId="77777777" w:rsidR="00761780" w:rsidRDefault="00761780" w:rsidP="00D4758E">
      <w:pPr>
        <w:widowControl/>
        <w:numPr>
          <w:ilvl w:val="0"/>
          <w:numId w:val="24"/>
        </w:numPr>
        <w:tabs>
          <w:tab w:val="num" w:pos="284"/>
        </w:tabs>
        <w:overflowPunct w:val="0"/>
        <w:autoSpaceDE w:val="0"/>
        <w:autoSpaceDN w:val="0"/>
        <w:adjustRightInd/>
        <w:spacing w:line="240" w:lineRule="auto"/>
        <w:ind w:hanging="720"/>
        <w:textAlignment w:val="auto"/>
        <w:rPr>
          <w:b/>
          <w:bCs/>
        </w:rPr>
      </w:pPr>
      <w:r>
        <w:rPr>
          <w:b/>
          <w:bCs/>
        </w:rPr>
        <w:t>Gestorský ÚOŠS</w:t>
      </w:r>
    </w:p>
    <w:p w14:paraId="3824DB7B" w14:textId="77777777" w:rsidR="0049699A" w:rsidRDefault="0049699A" w:rsidP="00D4758E">
      <w:pPr>
        <w:widowControl/>
        <w:tabs>
          <w:tab w:val="num" w:pos="284"/>
        </w:tabs>
        <w:adjustRightInd/>
        <w:spacing w:line="240" w:lineRule="auto"/>
      </w:pPr>
    </w:p>
    <w:p w14:paraId="7904D8DE" w14:textId="77777777" w:rsidR="00761780" w:rsidRDefault="0049699A" w:rsidP="00D4758E">
      <w:pPr>
        <w:widowControl/>
        <w:tabs>
          <w:tab w:val="num" w:pos="284"/>
        </w:tabs>
        <w:adjustRightInd/>
        <w:spacing w:line="240" w:lineRule="auto"/>
      </w:pPr>
      <w:r w:rsidRPr="0049699A">
        <w:t>Ministerstvo financií Slovenskej republiky</w:t>
      </w:r>
    </w:p>
    <w:p w14:paraId="4A00BF06" w14:textId="77777777" w:rsidR="0049699A" w:rsidRDefault="0049699A" w:rsidP="00D4758E">
      <w:pPr>
        <w:widowControl/>
        <w:tabs>
          <w:tab w:val="num" w:pos="284"/>
        </w:tabs>
        <w:adjustRightInd/>
        <w:spacing w:line="240" w:lineRule="auto"/>
      </w:pPr>
    </w:p>
    <w:p w14:paraId="19AD251F" w14:textId="77777777" w:rsidR="00761780" w:rsidRDefault="00761780" w:rsidP="00D4758E">
      <w:pPr>
        <w:widowControl/>
        <w:numPr>
          <w:ilvl w:val="0"/>
          <w:numId w:val="24"/>
        </w:numPr>
        <w:tabs>
          <w:tab w:val="num" w:pos="284"/>
        </w:tabs>
        <w:overflowPunct w:val="0"/>
        <w:autoSpaceDE w:val="0"/>
        <w:autoSpaceDN w:val="0"/>
        <w:adjustRightInd/>
        <w:spacing w:line="240" w:lineRule="auto"/>
        <w:ind w:hanging="720"/>
        <w:textAlignment w:val="auto"/>
        <w:rPr>
          <w:b/>
          <w:bCs/>
        </w:rPr>
      </w:pPr>
      <w:r>
        <w:rPr>
          <w:b/>
          <w:bCs/>
        </w:rPr>
        <w:t>Charakteristika prijímaného aktu</w:t>
      </w:r>
    </w:p>
    <w:p w14:paraId="2275C4DF" w14:textId="77777777" w:rsidR="0049699A" w:rsidRDefault="0049699A" w:rsidP="00D4758E">
      <w:pPr>
        <w:widowControl/>
        <w:overflowPunct w:val="0"/>
        <w:autoSpaceDE w:val="0"/>
        <w:autoSpaceDN w:val="0"/>
        <w:adjustRightInd/>
        <w:spacing w:line="240" w:lineRule="auto"/>
        <w:textAlignment w:val="auto"/>
        <w:rPr>
          <w:b/>
          <w:bCs/>
        </w:rPr>
      </w:pPr>
    </w:p>
    <w:p w14:paraId="1B0E51BE" w14:textId="77777777" w:rsidR="0049699A" w:rsidRPr="0049699A" w:rsidRDefault="0049699A" w:rsidP="00D4758E">
      <w:pPr>
        <w:widowControl/>
        <w:overflowPunct w:val="0"/>
        <w:autoSpaceDE w:val="0"/>
        <w:autoSpaceDN w:val="0"/>
        <w:adjustRightInd/>
        <w:spacing w:line="240" w:lineRule="auto"/>
        <w:textAlignment w:val="auto"/>
        <w:rPr>
          <w:bCs/>
        </w:rPr>
      </w:pPr>
      <w:r w:rsidRPr="0049699A">
        <w:rPr>
          <w:bCs/>
        </w:rPr>
        <w:t>Legislatívny akt – smernica Európskeho parlamentu a Rady</w:t>
      </w:r>
    </w:p>
    <w:p w14:paraId="0F629861" w14:textId="77777777" w:rsidR="0049699A" w:rsidRDefault="0049699A" w:rsidP="00D4758E">
      <w:pPr>
        <w:widowControl/>
        <w:overflowPunct w:val="0"/>
        <w:autoSpaceDE w:val="0"/>
        <w:autoSpaceDN w:val="0"/>
        <w:adjustRightInd/>
        <w:spacing w:line="240" w:lineRule="auto"/>
        <w:textAlignment w:val="auto"/>
        <w:rPr>
          <w:b/>
          <w:bCs/>
        </w:rPr>
      </w:pPr>
    </w:p>
    <w:p w14:paraId="547C771C" w14:textId="77777777" w:rsidR="00761780" w:rsidRDefault="00761780" w:rsidP="00D4758E">
      <w:pPr>
        <w:widowControl/>
        <w:numPr>
          <w:ilvl w:val="0"/>
          <w:numId w:val="24"/>
        </w:numPr>
        <w:tabs>
          <w:tab w:val="num" w:pos="284"/>
        </w:tabs>
        <w:overflowPunct w:val="0"/>
        <w:autoSpaceDE w:val="0"/>
        <w:autoSpaceDN w:val="0"/>
        <w:adjustRightInd/>
        <w:spacing w:line="240" w:lineRule="auto"/>
        <w:ind w:hanging="720"/>
        <w:textAlignment w:val="auto"/>
        <w:rPr>
          <w:b/>
          <w:bCs/>
        </w:rPr>
      </w:pPr>
      <w:r>
        <w:rPr>
          <w:b/>
          <w:bCs/>
        </w:rPr>
        <w:t>Metóda schvaľovania</w:t>
      </w:r>
    </w:p>
    <w:p w14:paraId="45F25E04" w14:textId="77777777" w:rsidR="0049699A" w:rsidRDefault="0049699A" w:rsidP="00D4758E">
      <w:pPr>
        <w:widowControl/>
        <w:tabs>
          <w:tab w:val="num" w:pos="284"/>
        </w:tabs>
        <w:adjustRightInd/>
        <w:spacing w:line="240" w:lineRule="auto"/>
      </w:pPr>
    </w:p>
    <w:p w14:paraId="7E0D880E" w14:textId="77777777" w:rsidR="0049699A" w:rsidRDefault="0049699A" w:rsidP="00D4758E">
      <w:pPr>
        <w:widowControl/>
        <w:tabs>
          <w:tab w:val="num" w:pos="284"/>
        </w:tabs>
        <w:adjustRightInd/>
        <w:spacing w:line="240" w:lineRule="auto"/>
      </w:pPr>
      <w:r w:rsidRPr="0049699A">
        <w:t>Kvalifikovaná väčšina</w:t>
      </w:r>
    </w:p>
    <w:p w14:paraId="682981A9" w14:textId="77777777" w:rsidR="00761780" w:rsidRDefault="00761780" w:rsidP="00D4758E">
      <w:pPr>
        <w:widowControl/>
        <w:tabs>
          <w:tab w:val="num" w:pos="284"/>
        </w:tabs>
        <w:adjustRightInd/>
        <w:spacing w:line="240" w:lineRule="auto"/>
      </w:pPr>
      <w:r>
        <w:tab/>
      </w:r>
    </w:p>
    <w:p w14:paraId="1B6024E9" w14:textId="77777777" w:rsidR="00761780" w:rsidRPr="00FE1737" w:rsidRDefault="00761780" w:rsidP="00D4758E">
      <w:pPr>
        <w:widowControl/>
        <w:numPr>
          <w:ilvl w:val="0"/>
          <w:numId w:val="24"/>
        </w:numPr>
        <w:tabs>
          <w:tab w:val="num" w:pos="284"/>
        </w:tabs>
        <w:overflowPunct w:val="0"/>
        <w:autoSpaceDE w:val="0"/>
        <w:autoSpaceDN w:val="0"/>
        <w:adjustRightInd/>
        <w:spacing w:line="240" w:lineRule="auto"/>
        <w:ind w:hanging="720"/>
        <w:textAlignment w:val="auto"/>
        <w:rPr>
          <w:b/>
          <w:bCs/>
        </w:rPr>
      </w:pPr>
      <w:r w:rsidRPr="00FE1737">
        <w:rPr>
          <w:b/>
          <w:bCs/>
        </w:rPr>
        <w:t>Zhrnutie obsahu a cieľa návrhu</w:t>
      </w:r>
    </w:p>
    <w:p w14:paraId="5274C36E" w14:textId="77777777" w:rsidR="00761780" w:rsidRDefault="00761780" w:rsidP="00D4758E">
      <w:pPr>
        <w:widowControl/>
        <w:tabs>
          <w:tab w:val="num" w:pos="284"/>
        </w:tabs>
        <w:adjustRightInd/>
        <w:spacing w:line="240" w:lineRule="auto"/>
      </w:pPr>
    </w:p>
    <w:p w14:paraId="6CEA299B" w14:textId="76084C6A" w:rsidR="004A2A90" w:rsidRDefault="004A2A90" w:rsidP="004A2A90">
      <w:pPr>
        <w:widowControl/>
        <w:tabs>
          <w:tab w:val="num" w:pos="284"/>
        </w:tabs>
        <w:adjustRightInd/>
        <w:spacing w:line="240" w:lineRule="auto"/>
      </w:pPr>
      <w:r>
        <w:t>Návrh smernice mení a dopĺňa smernicu 2009/138/ES</w:t>
      </w:r>
      <w:r w:rsidRPr="004A2A90">
        <w:t xml:space="preserve"> o  začatí a  vykonávaní poistenia a  zaistenia (</w:t>
      </w:r>
      <w:r>
        <w:t xml:space="preserve">ďalej len „smernica </w:t>
      </w:r>
      <w:r w:rsidRPr="004A2A90">
        <w:t>Solventnosť II</w:t>
      </w:r>
      <w:r>
        <w:t>“</w:t>
      </w:r>
      <w:r w:rsidRPr="004A2A90">
        <w:t>)</w:t>
      </w:r>
      <w:r>
        <w:t xml:space="preserve">. Smernica Solventnosť II stanovuje </w:t>
      </w:r>
      <w:proofErr w:type="spellStart"/>
      <w:r>
        <w:t>prudenciálne</w:t>
      </w:r>
      <w:proofErr w:type="spellEnd"/>
      <w:r>
        <w:t xml:space="preserve"> pravidlá pre poisťovací sektor a jej cieľom je umožniť</w:t>
      </w:r>
      <w:r w:rsidR="005E3D7B">
        <w:t xml:space="preserve"> fungovanie jednotného</w:t>
      </w:r>
      <w:r>
        <w:t xml:space="preserve"> trh</w:t>
      </w:r>
      <w:r w:rsidR="005E3D7B">
        <w:t>u</w:t>
      </w:r>
      <w:r>
        <w:t xml:space="preserve"> poisťovacích služieb a zároveň ochrana </w:t>
      </w:r>
      <w:r w:rsidRPr="00781E3E">
        <w:t>poistencov</w:t>
      </w:r>
      <w:r>
        <w:t>.</w:t>
      </w:r>
    </w:p>
    <w:p w14:paraId="463556B4" w14:textId="77777777" w:rsidR="009B47D0" w:rsidRDefault="009B47D0" w:rsidP="004A2A90">
      <w:pPr>
        <w:widowControl/>
        <w:tabs>
          <w:tab w:val="num" w:pos="284"/>
        </w:tabs>
        <w:adjustRightInd/>
        <w:spacing w:line="240" w:lineRule="auto"/>
      </w:pPr>
    </w:p>
    <w:p w14:paraId="567CB5BC" w14:textId="545EABC4" w:rsidR="004A2A90" w:rsidRDefault="004A2A90" w:rsidP="004A2A90">
      <w:pPr>
        <w:widowControl/>
        <w:tabs>
          <w:tab w:val="num" w:pos="284"/>
        </w:tabs>
        <w:adjustRightInd/>
        <w:spacing w:line="240" w:lineRule="auto"/>
      </w:pPr>
      <w:r>
        <w:t>Európska komisia má zákonný mandát na vykonanie komplexného preskúmania kľúčových zložiek smernice Solventnosť II, najmä jej kapitálových požiadaviek založených na riziku a pravidiel oceňovania dlhodobých záväzkov, a na zhodnotenie záverov</w:t>
      </w:r>
      <w:r w:rsidRPr="004A2A90">
        <w:t xml:space="preserve"> z prvých 5 rokov skúseností s</w:t>
      </w:r>
      <w:r>
        <w:t> </w:t>
      </w:r>
      <w:r w:rsidRPr="004A2A90">
        <w:t>rámcom</w:t>
      </w:r>
      <w:r>
        <w:t xml:space="preserve"> nastaveným smernicou Solventnosť II</w:t>
      </w:r>
      <w:r w:rsidRPr="004A2A90">
        <w:t>.</w:t>
      </w:r>
      <w:r w:rsidR="009B47D0">
        <w:t xml:space="preserve"> </w:t>
      </w:r>
      <w:r>
        <w:t>Tieto skúsenosti</w:t>
      </w:r>
      <w:r w:rsidRPr="004A2A90">
        <w:t xml:space="preserve"> </w:t>
      </w:r>
      <w:r>
        <w:t>ukázali</w:t>
      </w:r>
      <w:r w:rsidRPr="004A2A90">
        <w:t xml:space="preserve">, že proporcionalitu </w:t>
      </w:r>
      <w:r>
        <w:t>smernice Solventnosť II je možné zlepšiť a zdôraznili</w:t>
      </w:r>
      <w:r w:rsidRPr="004A2A90">
        <w:t xml:space="preserve"> absenciu konkrétnych ustanovení na úrovni EÚ, ktoré by sa zaoberali vytváraním systémových rizík, zabezpečovaním pripravenosti na krízy alebo v prípade potreby riešením</w:t>
      </w:r>
      <w:r>
        <w:t xml:space="preserve"> poisťovní</w:t>
      </w:r>
      <w:r w:rsidRPr="004A2A90">
        <w:t>.</w:t>
      </w:r>
      <w:r w:rsidR="004D4889">
        <w:t xml:space="preserve"> </w:t>
      </w:r>
    </w:p>
    <w:p w14:paraId="43349C58" w14:textId="77777777" w:rsidR="004D4889" w:rsidRDefault="004D4889" w:rsidP="004A2A90">
      <w:pPr>
        <w:widowControl/>
        <w:tabs>
          <w:tab w:val="num" w:pos="284"/>
        </w:tabs>
        <w:adjustRightInd/>
        <w:spacing w:line="240" w:lineRule="auto"/>
      </w:pPr>
    </w:p>
    <w:p w14:paraId="64BBFD06" w14:textId="6095BFCC" w:rsidR="004D4889" w:rsidRDefault="009B47D0" w:rsidP="004A2A90">
      <w:pPr>
        <w:widowControl/>
        <w:tabs>
          <w:tab w:val="num" w:pos="284"/>
        </w:tabs>
        <w:adjustRightInd/>
        <w:spacing w:line="240" w:lineRule="auto"/>
      </w:pPr>
      <w:r>
        <w:t>Jedným z cieľov navrhovanej smernice je aj zosúladenie rámca</w:t>
      </w:r>
      <w:r w:rsidRPr="009B47D0">
        <w:t xml:space="preserve"> s politickými prioritami EÚ. Poisťovací sektor by mal predovšetkým hrať úlohu pri financovaní hospodárskej obnovy po</w:t>
      </w:r>
      <w:r>
        <w:t xml:space="preserve"> pandémii</w:t>
      </w:r>
      <w:r w:rsidRPr="009B47D0">
        <w:t xml:space="preserve"> COVID-19, pri dokončovaní únie kapitálových trhov (CMU) a pri dosahovaní cieľov európskej zelenej dohody.</w:t>
      </w:r>
      <w:r w:rsidR="004D4889">
        <w:t xml:space="preserve"> Cieľom je, aby</w:t>
      </w:r>
      <w:r w:rsidRPr="009B47D0">
        <w:t xml:space="preserve"> </w:t>
      </w:r>
      <w:r w:rsidR="004D4889">
        <w:t>poisťovací sektor bol</w:t>
      </w:r>
      <w:r w:rsidR="004D4889" w:rsidRPr="004D4889">
        <w:t xml:space="preserve"> nápomocný pri „</w:t>
      </w:r>
      <w:proofErr w:type="spellStart"/>
      <w:r w:rsidR="004D4889" w:rsidRPr="004D4889">
        <w:t>reekvitácii</w:t>
      </w:r>
      <w:proofErr w:type="spellEnd"/>
      <w:r w:rsidR="004D4889" w:rsidRPr="004D4889">
        <w:t>“ v podnikovom sektore a pri financovaní prechodu k udržateľnosti</w:t>
      </w:r>
    </w:p>
    <w:p w14:paraId="41240497" w14:textId="77777777" w:rsidR="009B47D0" w:rsidRDefault="009B47D0" w:rsidP="004A2A90">
      <w:pPr>
        <w:widowControl/>
        <w:tabs>
          <w:tab w:val="num" w:pos="284"/>
        </w:tabs>
        <w:adjustRightInd/>
        <w:spacing w:line="240" w:lineRule="auto"/>
      </w:pPr>
    </w:p>
    <w:p w14:paraId="098B6840" w14:textId="0FA3BCFA" w:rsidR="00FA3CCA" w:rsidRDefault="00FA3CCA" w:rsidP="004A2A90">
      <w:pPr>
        <w:widowControl/>
        <w:tabs>
          <w:tab w:val="num" w:pos="284"/>
        </w:tabs>
        <w:adjustRightInd/>
        <w:spacing w:line="240" w:lineRule="auto"/>
      </w:pPr>
      <w:r>
        <w:t xml:space="preserve">Návrh smernice </w:t>
      </w:r>
      <w:r w:rsidRPr="00FA3CCA">
        <w:t xml:space="preserve">posilňuje </w:t>
      </w:r>
      <w:proofErr w:type="spellStart"/>
      <w:r w:rsidRPr="00FA3CCA">
        <w:t>prudenciálny</w:t>
      </w:r>
      <w:proofErr w:type="spellEnd"/>
      <w:r w:rsidRPr="00FA3CCA">
        <w:t xml:space="preserve"> rámec pre </w:t>
      </w:r>
      <w:r w:rsidR="00F01D05">
        <w:t>poistenie</w:t>
      </w:r>
      <w:r w:rsidRPr="00FA3CCA">
        <w:t xml:space="preserve"> stanovený v smernici </w:t>
      </w:r>
      <w:r>
        <w:t xml:space="preserve">Solventnosť II, ktorá </w:t>
      </w:r>
      <w:r w:rsidRPr="00FA3CCA">
        <w:t xml:space="preserve">spolu s delegovaným nariadením (EÚ) 2015/35 </w:t>
      </w:r>
      <w:r>
        <w:t xml:space="preserve">predstavuje </w:t>
      </w:r>
      <w:r w:rsidRPr="00FA3CCA">
        <w:t xml:space="preserve">základný kameň </w:t>
      </w:r>
      <w:proofErr w:type="spellStart"/>
      <w:r w:rsidRPr="00FA3CCA">
        <w:t>prudenciálneho</w:t>
      </w:r>
      <w:proofErr w:type="spellEnd"/>
      <w:r w:rsidRPr="00FA3CCA">
        <w:t xml:space="preserve"> rámca EÚ pre poistenie. </w:t>
      </w:r>
    </w:p>
    <w:p w14:paraId="7ABD937F" w14:textId="77777777" w:rsidR="00F01D05" w:rsidRDefault="00F01D05" w:rsidP="004A2A90">
      <w:pPr>
        <w:widowControl/>
        <w:tabs>
          <w:tab w:val="num" w:pos="284"/>
        </w:tabs>
        <w:adjustRightInd/>
        <w:spacing w:line="240" w:lineRule="auto"/>
      </w:pPr>
    </w:p>
    <w:p w14:paraId="433DD15D" w14:textId="5F226612" w:rsidR="00F01D05" w:rsidRDefault="00F01D05" w:rsidP="00F01D05">
      <w:pPr>
        <w:widowControl/>
        <w:tabs>
          <w:tab w:val="num" w:pos="284"/>
        </w:tabs>
        <w:adjustRightInd/>
        <w:spacing w:line="240" w:lineRule="auto"/>
      </w:pPr>
      <w:r>
        <w:t xml:space="preserve">Návrh smernice je prijatý ako súčasť jedného balíka spolu s legislatívnym návrhom na riešenie krízových situácií pre poisťovne; tento balík má za cieľ posilniť fungovanie a dôveru v jednotný trh s poistením. Návrhy v balíku na seba nadväzujú, </w:t>
      </w:r>
      <w:r w:rsidR="008604DF">
        <w:t>nakoľko</w:t>
      </w:r>
      <w:r>
        <w:t xml:space="preserve"> návrh</w:t>
      </w:r>
      <w:r w:rsidR="008604DF">
        <w:t xml:space="preserve"> smernice</w:t>
      </w:r>
      <w:r>
        <w:t xml:space="preserve"> mení a dopĺňa pravidlá dohľadu pred tým, ako poisťovňa zlyhá, pričom nové štandardizačné pravidlá riešenia krízových situácií sa zaoberajú postupmi a právomocami, ktoré nasledujú po takomto zlyhaní.</w:t>
      </w:r>
    </w:p>
    <w:p w14:paraId="58C98019" w14:textId="77777777" w:rsidR="008604DF" w:rsidRDefault="008604DF" w:rsidP="00F01D05">
      <w:pPr>
        <w:widowControl/>
        <w:tabs>
          <w:tab w:val="num" w:pos="284"/>
        </w:tabs>
        <w:adjustRightInd/>
        <w:spacing w:line="240" w:lineRule="auto"/>
      </w:pPr>
    </w:p>
    <w:p w14:paraId="3BC637A2" w14:textId="60584902" w:rsidR="00E35EA7" w:rsidRDefault="008604DF" w:rsidP="00D4758E">
      <w:pPr>
        <w:widowControl/>
        <w:tabs>
          <w:tab w:val="num" w:pos="284"/>
        </w:tabs>
        <w:adjustRightInd/>
        <w:spacing w:line="240" w:lineRule="auto"/>
      </w:pPr>
      <w:r>
        <w:t>Z</w:t>
      </w:r>
      <w:r w:rsidR="00F01D05">
        <w:t>meny a</w:t>
      </w:r>
      <w:r>
        <w:t> </w:t>
      </w:r>
      <w:r w:rsidR="00F01D05">
        <w:t>doplnenia</w:t>
      </w:r>
      <w:r>
        <w:t>m ktoré návrh smernice zavádza</w:t>
      </w:r>
      <w:r w:rsidR="00F01D05">
        <w:t xml:space="preserve"> znižujú pravdepodobnosť nenáležitého </w:t>
      </w:r>
      <w:proofErr w:type="spellStart"/>
      <w:r w:rsidR="00F01D05">
        <w:t>procyklického</w:t>
      </w:r>
      <w:proofErr w:type="spellEnd"/>
      <w:r w:rsidR="00F01D05">
        <w:t xml:space="preserve"> správania a lepšie odrážajú dlhodobý charakter poisťovacej činnosti. Tieto zmeny budú sprevádzať ďalšie opatrenia podľa delegovaného nariadenia (EÚ) 2015/35 s cieľom zaistiť vhodnosť výpočtu rizikovej marže a kritérií akceptovateľnosti pre triedu dlhodobých akciových aktív.</w:t>
      </w:r>
      <w:r w:rsidR="00F46128">
        <w:t xml:space="preserve"> </w:t>
      </w:r>
    </w:p>
    <w:p w14:paraId="6B83D950" w14:textId="77777777" w:rsidR="009761C9" w:rsidRDefault="009761C9" w:rsidP="00D4758E">
      <w:pPr>
        <w:widowControl/>
        <w:tabs>
          <w:tab w:val="num" w:pos="284"/>
        </w:tabs>
        <w:adjustRightInd/>
        <w:spacing w:line="240" w:lineRule="auto"/>
      </w:pPr>
    </w:p>
    <w:p w14:paraId="5BC996EF" w14:textId="4C33E47F" w:rsidR="009761C9" w:rsidRDefault="009761C9" w:rsidP="009761C9">
      <w:pPr>
        <w:widowControl/>
        <w:tabs>
          <w:tab w:val="num" w:pos="284"/>
        </w:tabs>
        <w:adjustRightInd/>
        <w:spacing w:line="240" w:lineRule="auto"/>
      </w:pPr>
      <w:r>
        <w:t>Možno konštatovať, že rámec smernice Solventnosť II je v zásade účinný a koherentný, naďalej rieši potreby a problémy a prináša zamýšľanú pridanú hodnotu. Napriek tomu existuje množstvo problémov pri implementácii zásad a požiadaviek a v procese konvergencie dohľadu. Rámec navyše úplne nezohľadňuje nové finančné a hospodárske prostredie, najmä pokiaľ ide o nízke úrokové sadzby.</w:t>
      </w:r>
      <w:r w:rsidR="00641E3A">
        <w:t xml:space="preserve"> </w:t>
      </w:r>
      <w:r>
        <w:t xml:space="preserve">Okrem toho </w:t>
      </w:r>
      <w:r w:rsidR="00641E3A">
        <w:t>naďalej</w:t>
      </w:r>
      <w:r>
        <w:t xml:space="preserve"> existuje nadmerná krátkodobá volatilita, a to napriek existujúcim nástrojom zameraným na </w:t>
      </w:r>
      <w:r w:rsidR="00641E3A">
        <w:t xml:space="preserve">jej </w:t>
      </w:r>
      <w:r>
        <w:t xml:space="preserve">zmiernenie. </w:t>
      </w:r>
      <w:r w:rsidR="00641E3A">
        <w:t>Cieľom návrhu smernice je zlepšiť kapitálové požiadavky</w:t>
      </w:r>
      <w:r>
        <w:t xml:space="preserve"> </w:t>
      </w:r>
      <w:r w:rsidR="00641E3A">
        <w:t xml:space="preserve">tak, </w:t>
      </w:r>
      <w:r>
        <w:t>aby</w:t>
      </w:r>
      <w:r w:rsidR="00641E3A">
        <w:t xml:space="preserve"> sa zaistila citlivosť na riziká</w:t>
      </w:r>
      <w:r>
        <w:t xml:space="preserve"> a primerané zaobchádzanie s dlhodobými investíciami. </w:t>
      </w:r>
    </w:p>
    <w:p w14:paraId="1FB49753" w14:textId="77777777" w:rsidR="00641E3A" w:rsidRDefault="00641E3A" w:rsidP="009761C9">
      <w:pPr>
        <w:widowControl/>
        <w:tabs>
          <w:tab w:val="num" w:pos="284"/>
        </w:tabs>
        <w:adjustRightInd/>
        <w:spacing w:line="240" w:lineRule="auto"/>
      </w:pPr>
    </w:p>
    <w:p w14:paraId="3C34BE1C" w14:textId="3275B246" w:rsidR="009761C9" w:rsidRDefault="00641E3A" w:rsidP="009761C9">
      <w:pPr>
        <w:widowControl/>
        <w:tabs>
          <w:tab w:val="num" w:pos="284"/>
        </w:tabs>
        <w:adjustRightInd/>
        <w:spacing w:line="240" w:lineRule="auto"/>
      </w:pPr>
      <w:r>
        <w:t>Cieľom návrhu smernice je aj odstránenie regulačných</w:t>
      </w:r>
      <w:r w:rsidR="009761C9">
        <w:t xml:space="preserve"> a </w:t>
      </w:r>
      <w:proofErr w:type="spellStart"/>
      <w:r>
        <w:t>dohľadových</w:t>
      </w:r>
      <w:proofErr w:type="spellEnd"/>
      <w:r>
        <w:t xml:space="preserve"> nedostatkov</w:t>
      </w:r>
      <w:r w:rsidR="009761C9">
        <w:t xml:space="preserve"> v oblasti ochrany poisten</w:t>
      </w:r>
      <w:r>
        <w:t>cov</w:t>
      </w:r>
      <w:r w:rsidR="009761C9">
        <w:t>. Orgány dohľadu majú len obmedzené nástroje na riešenie potenciálneho nárastu systémového rizika v sektor</w:t>
      </w:r>
      <w:r>
        <w:t xml:space="preserve">e poistenia </w:t>
      </w:r>
      <w:r w:rsidR="009761C9">
        <w:t>a</w:t>
      </w:r>
      <w:r>
        <w:t xml:space="preserve"> na vykonávanie primeraného </w:t>
      </w:r>
      <w:proofErr w:type="spellStart"/>
      <w:r>
        <w:t>makroprudenciálneho</w:t>
      </w:r>
      <w:proofErr w:type="spellEnd"/>
      <w:r w:rsidR="009761C9">
        <w:t xml:space="preserve"> dohľad</w:t>
      </w:r>
      <w:r>
        <w:t>u</w:t>
      </w:r>
      <w:r w:rsidR="009761C9">
        <w:t>.</w:t>
      </w:r>
    </w:p>
    <w:p w14:paraId="3E5116F8" w14:textId="77777777" w:rsidR="00270461" w:rsidRDefault="00270461" w:rsidP="00D4758E">
      <w:pPr>
        <w:widowControl/>
        <w:tabs>
          <w:tab w:val="num" w:pos="284"/>
        </w:tabs>
        <w:adjustRightInd/>
        <w:spacing w:line="240" w:lineRule="auto"/>
      </w:pPr>
    </w:p>
    <w:p w14:paraId="47EB0F1F" w14:textId="77777777" w:rsidR="00761780" w:rsidRPr="00FE1737" w:rsidRDefault="00761780" w:rsidP="00D4758E">
      <w:pPr>
        <w:widowControl/>
        <w:numPr>
          <w:ilvl w:val="0"/>
          <w:numId w:val="24"/>
        </w:numPr>
        <w:tabs>
          <w:tab w:val="num" w:pos="284"/>
        </w:tabs>
        <w:overflowPunct w:val="0"/>
        <w:autoSpaceDE w:val="0"/>
        <w:autoSpaceDN w:val="0"/>
        <w:adjustRightInd/>
        <w:spacing w:line="240" w:lineRule="auto"/>
        <w:ind w:hanging="720"/>
        <w:textAlignment w:val="auto"/>
        <w:rPr>
          <w:b/>
          <w:bCs/>
        </w:rPr>
      </w:pPr>
      <w:r w:rsidRPr="00FE1737">
        <w:rPr>
          <w:b/>
          <w:bCs/>
        </w:rPr>
        <w:t>Navrhovaný dátum implementácie</w:t>
      </w:r>
    </w:p>
    <w:p w14:paraId="1FAFE8BD" w14:textId="77777777" w:rsidR="0049699A" w:rsidRDefault="0049699A" w:rsidP="00D4758E">
      <w:pPr>
        <w:widowControl/>
        <w:overflowPunct w:val="0"/>
        <w:autoSpaceDE w:val="0"/>
        <w:autoSpaceDN w:val="0"/>
        <w:adjustRightInd/>
        <w:spacing w:line="240" w:lineRule="auto"/>
        <w:textAlignment w:val="auto"/>
        <w:rPr>
          <w:b/>
          <w:bCs/>
        </w:rPr>
      </w:pPr>
    </w:p>
    <w:p w14:paraId="3A805149" w14:textId="77777777" w:rsidR="0049699A" w:rsidRPr="0049699A" w:rsidRDefault="0092707F" w:rsidP="00D4758E">
      <w:pPr>
        <w:widowControl/>
        <w:overflowPunct w:val="0"/>
        <w:autoSpaceDE w:val="0"/>
        <w:autoSpaceDN w:val="0"/>
        <w:adjustRightInd/>
        <w:spacing w:line="240" w:lineRule="auto"/>
        <w:textAlignment w:val="auto"/>
        <w:rPr>
          <w:bCs/>
        </w:rPr>
      </w:pPr>
      <w:r>
        <w:rPr>
          <w:bCs/>
        </w:rPr>
        <w:t>Návrh smernice</w:t>
      </w:r>
      <w:r w:rsidR="0049699A">
        <w:rPr>
          <w:bCs/>
        </w:rPr>
        <w:t xml:space="preserve"> nadobudne</w:t>
      </w:r>
      <w:r w:rsidR="0049699A" w:rsidRPr="0049699A">
        <w:rPr>
          <w:bCs/>
        </w:rPr>
        <w:t xml:space="preserve"> účinnosť dvadsiatym dňom po jej uverejnení v Úradnom vestníku Európskej únie.</w:t>
      </w:r>
    </w:p>
    <w:p w14:paraId="67BB20F4" w14:textId="77777777" w:rsidR="00761780" w:rsidRDefault="00761780" w:rsidP="00D4758E">
      <w:pPr>
        <w:widowControl/>
        <w:tabs>
          <w:tab w:val="num" w:pos="284"/>
        </w:tabs>
        <w:adjustRightInd/>
        <w:spacing w:line="240" w:lineRule="auto"/>
        <w:ind w:hanging="720"/>
      </w:pPr>
    </w:p>
    <w:p w14:paraId="10EC1CC4" w14:textId="77777777" w:rsidR="00761780" w:rsidRPr="00FE1737" w:rsidRDefault="00761780" w:rsidP="00D4758E">
      <w:pPr>
        <w:widowControl/>
        <w:numPr>
          <w:ilvl w:val="0"/>
          <w:numId w:val="24"/>
        </w:numPr>
        <w:tabs>
          <w:tab w:val="num" w:pos="284"/>
        </w:tabs>
        <w:overflowPunct w:val="0"/>
        <w:autoSpaceDE w:val="0"/>
        <w:autoSpaceDN w:val="0"/>
        <w:adjustRightInd/>
        <w:spacing w:line="240" w:lineRule="auto"/>
        <w:ind w:left="284" w:hanging="284"/>
        <w:textAlignment w:val="auto"/>
        <w:rPr>
          <w:b/>
          <w:bCs/>
        </w:rPr>
      </w:pPr>
      <w:r w:rsidRPr="00FE1737">
        <w:rPr>
          <w:b/>
          <w:bCs/>
        </w:rPr>
        <w:t>Metóda transpozície do práva SR a predpokladaný dátum transpozície</w:t>
      </w:r>
    </w:p>
    <w:p w14:paraId="4D1842CD" w14:textId="77777777" w:rsidR="00761780" w:rsidRDefault="00761780" w:rsidP="00D4758E">
      <w:pPr>
        <w:widowControl/>
        <w:tabs>
          <w:tab w:val="num" w:pos="284"/>
        </w:tabs>
        <w:adjustRightInd/>
        <w:spacing w:line="240" w:lineRule="auto"/>
        <w:ind w:hanging="720"/>
      </w:pPr>
    </w:p>
    <w:p w14:paraId="36C783C5" w14:textId="52B04CDD" w:rsidR="00D4758E" w:rsidRDefault="0092707F" w:rsidP="00D4758E">
      <w:pPr>
        <w:widowControl/>
        <w:adjustRightInd/>
        <w:spacing w:line="240" w:lineRule="auto"/>
      </w:pPr>
      <w:r>
        <w:t>Slovenská republika prijme a uverejní zákony</w:t>
      </w:r>
      <w:r w:rsidR="00D4758E">
        <w:t xml:space="preserve">, iné právne predpisy a správne opatrenia potrebné na dosiahnutie súladu s touto smernicou najneskôr do </w:t>
      </w:r>
      <w:r w:rsidR="00C10598" w:rsidRPr="00377322">
        <w:t>18</w:t>
      </w:r>
      <w:r w:rsidR="00D4758E" w:rsidRPr="00377322">
        <w:t xml:space="preserve"> mesia</w:t>
      </w:r>
      <w:r w:rsidRPr="00377322">
        <w:t>cov</w:t>
      </w:r>
      <w:r>
        <w:t xml:space="preserve"> od dátumu prijatia smernice.</w:t>
      </w:r>
      <w:r w:rsidR="00D4758E">
        <w:t xml:space="preserve"> Komisii bezodkladne oznámi znenie týchto ustanovení. Tieto opatrenia začnú uplatňovať od </w:t>
      </w:r>
      <w:r>
        <w:t>šiestich</w:t>
      </w:r>
      <w:r w:rsidR="00D4758E">
        <w:t xml:space="preserve"> mesiacov od u</w:t>
      </w:r>
      <w:r>
        <w:t>plynutia lehoty na transpozíciu</w:t>
      </w:r>
      <w:r w:rsidR="00D4758E">
        <w:t>.</w:t>
      </w:r>
    </w:p>
    <w:p w14:paraId="67BB682A" w14:textId="77777777" w:rsidR="008F4A48" w:rsidRDefault="008F4A48" w:rsidP="00D4758E">
      <w:pPr>
        <w:widowControl/>
        <w:adjustRightInd/>
        <w:spacing w:line="240" w:lineRule="auto"/>
      </w:pPr>
    </w:p>
    <w:p w14:paraId="1B98060D" w14:textId="77777777" w:rsidR="008F4A48" w:rsidRDefault="008F4A48" w:rsidP="00D4758E">
      <w:pPr>
        <w:widowControl/>
        <w:adjustRightInd/>
        <w:spacing w:line="240" w:lineRule="auto"/>
      </w:pPr>
    </w:p>
    <w:p w14:paraId="4F6DA026" w14:textId="77777777" w:rsidR="00D4758E" w:rsidRDefault="00D4758E" w:rsidP="00D4758E">
      <w:pPr>
        <w:widowControl/>
        <w:adjustRightInd/>
        <w:spacing w:line="240" w:lineRule="auto"/>
        <w:jc w:val="left"/>
      </w:pPr>
    </w:p>
    <w:p w14:paraId="3BA5C20C" w14:textId="77777777" w:rsidR="00761780" w:rsidRDefault="00761780" w:rsidP="00761780">
      <w:pPr>
        <w:widowControl/>
        <w:numPr>
          <w:ilvl w:val="0"/>
          <w:numId w:val="23"/>
        </w:numPr>
        <w:overflowPunct w:val="0"/>
        <w:autoSpaceDE w:val="0"/>
        <w:autoSpaceDN w:val="0"/>
        <w:adjustRightInd/>
        <w:spacing w:line="240" w:lineRule="auto"/>
        <w:ind w:left="426" w:hanging="426"/>
        <w:jc w:val="left"/>
        <w:textAlignment w:val="auto"/>
        <w:rPr>
          <w:b/>
          <w:u w:val="single"/>
        </w:rPr>
      </w:pPr>
      <w:r>
        <w:rPr>
          <w:b/>
          <w:u w:val="single"/>
        </w:rPr>
        <w:lastRenderedPageBreak/>
        <w:t>STANOVISKO SLOVENSKEJ REPUBLIKY</w:t>
      </w:r>
    </w:p>
    <w:p w14:paraId="611223F1" w14:textId="77777777" w:rsidR="00761780" w:rsidRDefault="00761780" w:rsidP="00761780">
      <w:pPr>
        <w:widowControl/>
        <w:adjustRightInd/>
        <w:spacing w:line="240" w:lineRule="auto"/>
        <w:jc w:val="left"/>
        <w:rPr>
          <w:b/>
        </w:rPr>
      </w:pPr>
    </w:p>
    <w:p w14:paraId="0FF9CFBC" w14:textId="77777777" w:rsidR="00761780" w:rsidRDefault="00761780" w:rsidP="00761780">
      <w:pPr>
        <w:widowControl/>
        <w:numPr>
          <w:ilvl w:val="0"/>
          <w:numId w:val="24"/>
        </w:numPr>
        <w:overflowPunct w:val="0"/>
        <w:autoSpaceDE w:val="0"/>
        <w:autoSpaceDN w:val="0"/>
        <w:adjustRightInd/>
        <w:spacing w:line="240" w:lineRule="auto"/>
        <w:ind w:hanging="720"/>
        <w:jc w:val="left"/>
        <w:textAlignment w:val="auto"/>
        <w:rPr>
          <w:b/>
        </w:rPr>
      </w:pPr>
      <w:r>
        <w:rPr>
          <w:b/>
        </w:rPr>
        <w:t>Vecná analýza návrhu</w:t>
      </w:r>
    </w:p>
    <w:p w14:paraId="7DA32A72" w14:textId="77777777" w:rsidR="00D51EEC" w:rsidRDefault="00D51EEC" w:rsidP="00D51EEC">
      <w:pPr>
        <w:widowControl/>
        <w:adjustRightInd/>
        <w:spacing w:line="240" w:lineRule="auto"/>
      </w:pPr>
    </w:p>
    <w:p w14:paraId="48797670" w14:textId="2AEB8677" w:rsidR="00773B7C" w:rsidRDefault="00EE0A89" w:rsidP="00055AD0">
      <w:pPr>
        <w:widowControl/>
        <w:adjustRightInd/>
        <w:spacing w:line="240" w:lineRule="auto"/>
      </w:pPr>
      <w:r>
        <w:t>Cieľom revízie smernice Solventnosť II</w:t>
      </w:r>
      <w:r w:rsidR="00A70E4F">
        <w:t xml:space="preserve">, ktorá </w:t>
      </w:r>
      <w:r w:rsidR="00A70E4F" w:rsidRPr="00A70E4F">
        <w:t>sa uplatňuje od 1. januára 2016</w:t>
      </w:r>
      <w:r w:rsidR="00A70E4F">
        <w:t>,</w:t>
      </w:r>
      <w:r>
        <w:t xml:space="preserve"> </w:t>
      </w:r>
      <w:r w:rsidR="00773B7C">
        <w:t xml:space="preserve">bolo preskúmanie </w:t>
      </w:r>
      <w:r w:rsidR="00773B7C" w:rsidRPr="00773B7C">
        <w:t xml:space="preserve">fungovania kľúčových prvkov </w:t>
      </w:r>
      <w:proofErr w:type="spellStart"/>
      <w:r w:rsidR="00773B7C" w:rsidRPr="00773B7C">
        <w:t>prudenciálnych</w:t>
      </w:r>
      <w:proofErr w:type="spellEnd"/>
      <w:r w:rsidR="00773B7C" w:rsidRPr="00773B7C">
        <w:t xml:space="preserve"> pravidiel</w:t>
      </w:r>
      <w:r w:rsidR="00773B7C">
        <w:t>. Európska komisia mala zákonný mandát na</w:t>
      </w:r>
      <w:r w:rsidR="00773B7C" w:rsidRPr="00773B7C">
        <w:t xml:space="preserve"> vykonanie komplexného preskúmania kľúčových zložiek smernice Solventnosť II</w:t>
      </w:r>
      <w:r w:rsidR="00773B7C">
        <w:t>. Výsledkom preskúmania je návrh smernice, ktorý mení a dopĺňa smernicu Solventnosť II.</w:t>
      </w:r>
    </w:p>
    <w:p w14:paraId="77F6B204" w14:textId="77777777" w:rsidR="00773B7C" w:rsidRDefault="00773B7C" w:rsidP="00055AD0">
      <w:pPr>
        <w:widowControl/>
        <w:adjustRightInd/>
        <w:spacing w:line="240" w:lineRule="auto"/>
      </w:pPr>
    </w:p>
    <w:p w14:paraId="41371755" w14:textId="77777777" w:rsidR="00F3493C" w:rsidRDefault="00773B7C" w:rsidP="00801840">
      <w:pPr>
        <w:widowControl/>
        <w:adjustRightInd/>
        <w:spacing w:line="240" w:lineRule="auto"/>
      </w:pPr>
      <w:r>
        <w:t>Návrh smernice prináša niekoľko kľúčových zmien a</w:t>
      </w:r>
      <w:r w:rsidR="00A70E4F">
        <w:t> </w:t>
      </w:r>
      <w:r>
        <w:t>úprav</w:t>
      </w:r>
      <w:r w:rsidR="00A70E4F">
        <w:t xml:space="preserve">. Prináša skvalitnenie zásady proporcionality najmä tým, že zavádza nový koncept </w:t>
      </w:r>
      <w:r w:rsidR="00A70E4F" w:rsidRPr="00A70E4F">
        <w:t>podnikov s nízkym rizikovým profilom s cieľom najmä objasniť uplatniteľnosť zásady proporcionality pokiaľ ide o delegované a vykonávacie akty.</w:t>
      </w:r>
      <w:r w:rsidR="005741FA">
        <w:t xml:space="preserve"> Zároveň stanovuje kritéria na identifikáciu podnikov s nízkym rizikovým profilom. Návrh smernice uvádza opatrenia v oblasti proporcionality, ktoré sú „automaticky“ sprístupnené podnikom s nízkym rizikovým profilom a stanovuje pravidlá v prípade zmeny rizikového profilu. </w:t>
      </w:r>
      <w:r w:rsidR="005741FA" w:rsidRPr="00047EF5">
        <w:t xml:space="preserve">Cieľom zavedenia nového konceptu podnikov s nízkym rizikovým profilom je </w:t>
      </w:r>
      <w:r w:rsidR="00047EF5" w:rsidRPr="00047EF5">
        <w:t xml:space="preserve">zavedenie výnimiek, ktoré sa budú aplikovať na takéto podniky v súvislosti s pôsobnosťou smernice Solventnosť II. </w:t>
      </w:r>
      <w:r w:rsidR="005741FA">
        <w:t xml:space="preserve">Zároveň návrh smernice zavádza aj nový koncept skupín s nízkym rizikovým profilom. </w:t>
      </w:r>
    </w:p>
    <w:p w14:paraId="321A772E" w14:textId="271FD37B" w:rsidR="00F3493C" w:rsidRDefault="00DE06E1" w:rsidP="00801840">
      <w:pPr>
        <w:widowControl/>
        <w:adjustRightInd/>
        <w:spacing w:line="240" w:lineRule="auto"/>
      </w:pPr>
      <w:r>
        <w:t xml:space="preserve">Návrh smernice prináša vylepšenia v oblasti </w:t>
      </w:r>
      <w:r w:rsidR="00801840">
        <w:t xml:space="preserve">kvality dohľadu. Každé neudelenie povolenia vrátane dôvodu sa oznámi </w:t>
      </w:r>
      <w:r w:rsidR="00265FB1" w:rsidRPr="00265FB1">
        <w:t>Európskemu orgánu dohľadu (Európskemu orgánu pre poisťovníctvo a dôchodkové poistenie zamestnancov) (ďalej len „orgán EIOPA“)</w:t>
      </w:r>
      <w:r w:rsidR="00801840">
        <w:t xml:space="preserve"> a zaznamená sa v databáze, do ktorej môžu orgány dohľadu nahliadnuť. </w:t>
      </w:r>
      <w:r w:rsidR="00922C54">
        <w:t>Z</w:t>
      </w:r>
      <w:r w:rsidR="00801840">
        <w:t>avádza</w:t>
      </w:r>
      <w:r w:rsidR="00922C54">
        <w:t xml:space="preserve"> sa</w:t>
      </w:r>
      <w:r w:rsidR="00801840">
        <w:t xml:space="preserve"> možnosť spoločného posúdenia žiadosti o povolenie na požiadanie jedného z orgánov dohľadu, s ktorým sa musí poradiť orgán doh</w:t>
      </w:r>
      <w:r w:rsidR="00922C54">
        <w:t>ľadu domovského členského štátu a posilňuje sa</w:t>
      </w:r>
      <w:r w:rsidR="00801840">
        <w:t xml:space="preserve"> monitorovanie dodržiavania požiadaviek na odbornosť a vhodnosť, pokiaľ ide o členov správneho, riadiaceho alebo kontrolného orgánu</w:t>
      </w:r>
      <w:r w:rsidR="00F3493C">
        <w:t xml:space="preserve"> </w:t>
      </w:r>
      <w:r w:rsidR="00801840">
        <w:t xml:space="preserve">alebo osoby, ktoré majú iné kľúčové funkcie v poisťovni alebo zaisťovni. </w:t>
      </w:r>
    </w:p>
    <w:p w14:paraId="08D9AB43" w14:textId="77777777" w:rsidR="00F3493C" w:rsidRDefault="004A5AA1" w:rsidP="00801840">
      <w:pPr>
        <w:widowControl/>
        <w:adjustRightInd/>
        <w:spacing w:line="240" w:lineRule="auto"/>
      </w:pPr>
      <w:r>
        <w:t>Do návrhu smernice boli zahrnuté zmeny týkajúce sa predkladania informácií a to najmä v súvislosti s podnikmi s nízkym rizikovým profilom. P</w:t>
      </w:r>
      <w:r w:rsidRPr="004A5AA1">
        <w:t>ožiadavky na predkladanie informácií</w:t>
      </w:r>
      <w:r>
        <w:t xml:space="preserve"> sa upravujú</w:t>
      </w:r>
      <w:r w:rsidRPr="004A5AA1">
        <w:t xml:space="preserve"> pre podn</w:t>
      </w:r>
      <w:r>
        <w:t>iky s nízkym rizikovým profilom</w:t>
      </w:r>
      <w:r w:rsidRPr="004A5AA1">
        <w:t xml:space="preserve"> najmä s cieľom uľahčiť týmto subjektom prístup k výnimkám z predkladania informácií a k obmedzeniam týkajúcim sa predkladania informácií.</w:t>
      </w:r>
      <w:r w:rsidR="00811CA6">
        <w:t xml:space="preserve"> </w:t>
      </w:r>
    </w:p>
    <w:p w14:paraId="6698CB47" w14:textId="218BD46D" w:rsidR="00F3493C" w:rsidRDefault="00811CA6" w:rsidP="00801840">
      <w:pPr>
        <w:widowControl/>
        <w:adjustRightInd/>
        <w:spacing w:line="240" w:lineRule="auto"/>
      </w:pPr>
      <w:r>
        <w:t>Návrh smernice zavádza zmeny v opatreniach týkajúcich sa dlhodobých záruk. Zmenami týkajúcich</w:t>
      </w:r>
      <w:r w:rsidRPr="00811CA6">
        <w:t xml:space="preserve"> sa </w:t>
      </w:r>
      <w:proofErr w:type="spellStart"/>
      <w:r w:rsidRPr="00811CA6">
        <w:t>extrapolácie</w:t>
      </w:r>
      <w:proofErr w:type="spellEnd"/>
      <w:r w:rsidRPr="00811CA6">
        <w:t xml:space="preserve"> príslušnej časovej štruktú</w:t>
      </w:r>
      <w:r>
        <w:t xml:space="preserve">ry bezrizikovej úrokovej miery </w:t>
      </w:r>
      <w:r w:rsidRPr="00811CA6">
        <w:t xml:space="preserve">sa požaduje, aby sa pri </w:t>
      </w:r>
      <w:proofErr w:type="spellStart"/>
      <w:r w:rsidRPr="00811CA6">
        <w:t>extrapolácii</w:t>
      </w:r>
      <w:proofErr w:type="spellEnd"/>
      <w:r w:rsidRPr="00811CA6">
        <w:t xml:space="preserve"> zohľadnili informácie z finančných trhov v prípade splatností, keď je časová štruktúra </w:t>
      </w:r>
      <w:proofErr w:type="spellStart"/>
      <w:r w:rsidRPr="00811CA6">
        <w:t>extrapolovaná</w:t>
      </w:r>
      <w:proofErr w:type="spellEnd"/>
      <w:r w:rsidRPr="00811CA6">
        <w:t xml:space="preserve">, ak sú takéto informácie k dispozícii. Výsledná nová metóda </w:t>
      </w:r>
      <w:proofErr w:type="spellStart"/>
      <w:r w:rsidRPr="00811CA6">
        <w:t>extrapolácie</w:t>
      </w:r>
      <w:proofErr w:type="spellEnd"/>
      <w:r w:rsidRPr="00811CA6">
        <w:t xml:space="preserve"> sa postupne zavádza lineárnym spôsobom počas obdobia, ktoré trvá do roku 2032 a v ktorom poisťovatelia budú musieť zverejniť informácie o vplyve novej metódy </w:t>
      </w:r>
      <w:proofErr w:type="spellStart"/>
      <w:r w:rsidRPr="00811CA6">
        <w:t>extrapolácie</w:t>
      </w:r>
      <w:proofErr w:type="spellEnd"/>
      <w:r w:rsidRPr="00811CA6">
        <w:t xml:space="preserve"> bez postupného zavádzania.</w:t>
      </w:r>
      <w:r>
        <w:t xml:space="preserve"> </w:t>
      </w:r>
    </w:p>
    <w:p w14:paraId="7E21F7FB" w14:textId="0EBB4447" w:rsidR="00F3493C" w:rsidRDefault="00811CA6" w:rsidP="00801840">
      <w:pPr>
        <w:widowControl/>
        <w:adjustRightInd/>
        <w:spacing w:line="240" w:lineRule="auto"/>
      </w:pPr>
      <w:r>
        <w:t xml:space="preserve">Zmeny sa týkajú aj korekcie volatility. </w:t>
      </w:r>
      <w:r w:rsidRPr="00811CA6">
        <w:t xml:space="preserve">Nové prípady používania korekcie volatility budú podmienené získaním povolenia od orgánov dohľadu. Okrem toho sa pri korekcii volatility zohľadňuje vyšší percentuálny podiel 85 % rizikovo upravenej prirážky. S cieľom zmierniť riziko, že korekciou volatility sa nebudú kompenzovať len straty z investícií zo zvýšenia kreditnej prirážky, sa zavádza „miera citlivosti kreditnej prirážky“ špecifická pre podniky. Zložka korekcie volatility špecifická pre konkrétnu krajinu sa napokon nahrádza </w:t>
      </w:r>
      <w:proofErr w:type="spellStart"/>
      <w:r w:rsidRPr="00811CA6">
        <w:t>makrokorekciou</w:t>
      </w:r>
      <w:proofErr w:type="spellEnd"/>
      <w:r w:rsidRPr="00811CA6">
        <w:t xml:space="preserve"> volatility pre členské štáty, ktorých menou je euro, s cieľom zmierniť vplyv kríz týkajúcich sa prirážok na úrovni krajín a zároveň zabrániť kaskádovým efektom.</w:t>
      </w:r>
      <w:r w:rsidR="008964BE">
        <w:t xml:space="preserve"> Návrh smernica umožní</w:t>
      </w:r>
      <w:r w:rsidR="008964BE" w:rsidRPr="008964BE">
        <w:t xml:space="preserve"> sym</w:t>
      </w:r>
      <w:r w:rsidR="008964BE">
        <w:t>etrickú úpravu akciového rizika</w:t>
      </w:r>
      <w:r w:rsidR="008964BE" w:rsidRPr="008964BE">
        <w:t xml:space="preserve"> </w:t>
      </w:r>
      <w:r w:rsidR="008964BE">
        <w:t xml:space="preserve">s cieľom, </w:t>
      </w:r>
      <w:r w:rsidR="008964BE" w:rsidRPr="008964BE">
        <w:t>aby sa zvýšili alebo znížili kapitálové požiadavky maximálne o 17 % namiesto 10 %.</w:t>
      </w:r>
      <w:r w:rsidR="00F3493C">
        <w:t xml:space="preserve"> </w:t>
      </w:r>
    </w:p>
    <w:p w14:paraId="6F6E0B2B" w14:textId="78336439" w:rsidR="005741FA" w:rsidRDefault="00F3493C" w:rsidP="00801840">
      <w:pPr>
        <w:widowControl/>
        <w:adjustRightInd/>
        <w:spacing w:line="240" w:lineRule="auto"/>
      </w:pPr>
      <w:r>
        <w:lastRenderedPageBreak/>
        <w:t>Návrhom smernice sa o</w:t>
      </w:r>
      <w:r w:rsidRPr="00F3493C">
        <w:t>d poisťova</w:t>
      </w:r>
      <w:r>
        <w:t>teľov</w:t>
      </w:r>
      <w:r w:rsidRPr="00F3493C">
        <w:t xml:space="preserve"> bude požadovať, aby posúdili vplyv predpokladaného makroekonomického vývoja a vývoja na finančných trhoch vrátane nepriaznivých hospodárskych scenárov na svoj osobitný rizikový profil, obchodné rozhodnutia a potreby solventnosti a recipročne spôsob, akým ich činnosti môžu ovplyvňovať hnacie sily na trhu. Od orgánov dohľadu sa bude požadovať, aby poskytli podklady konkrétnym podnikom, najmä vzhľadom na </w:t>
      </w:r>
      <w:proofErr w:type="spellStart"/>
      <w:r w:rsidRPr="00F3493C">
        <w:t>makroprudenciálne</w:t>
      </w:r>
      <w:proofErr w:type="spellEnd"/>
      <w:r w:rsidRPr="00F3493C">
        <w:t xml:space="preserve"> riziká a aspekty, ktoré vyplývajú z ich analýzy.</w:t>
      </w:r>
      <w:r>
        <w:t xml:space="preserve"> Návrhom smernice sa od poisťovateľov </w:t>
      </w:r>
      <w:r w:rsidRPr="00F3493C">
        <w:t xml:space="preserve">bude vyžadovať, aby vo svojej investičnej stratégii zohľadnili predpokladaný makroekonomický vývoj a vývoj na finančných trhoch a posúdili, do akej miery môžu ich investície zvýšiť systémové riziko. Od orgánov dohľadu sa bude vyžadovať, aby poskytli podklady konkrétnym podnikom vzhľadom na osobitné </w:t>
      </w:r>
      <w:proofErr w:type="spellStart"/>
      <w:r w:rsidRPr="00F3493C">
        <w:t>makroprudenciálne</w:t>
      </w:r>
      <w:proofErr w:type="spellEnd"/>
      <w:r w:rsidRPr="00F3493C">
        <w:t xml:space="preserve"> aspekty.</w:t>
      </w:r>
    </w:p>
    <w:p w14:paraId="61E565CB" w14:textId="5C5DB5B2" w:rsidR="00F3493C" w:rsidRDefault="00F3493C" w:rsidP="00801840">
      <w:pPr>
        <w:widowControl/>
        <w:adjustRightInd/>
        <w:spacing w:line="240" w:lineRule="auto"/>
      </w:pPr>
      <w:r>
        <w:t xml:space="preserve">Návrh smernice prináša aj zmeny </w:t>
      </w:r>
      <w:r w:rsidRPr="00F3493C">
        <w:t>týkajúce sa Európskej zelenej dohody</w:t>
      </w:r>
      <w:r>
        <w:t xml:space="preserve">. </w:t>
      </w:r>
      <w:r w:rsidRPr="00F3493C">
        <w:t>Poisťovatel</w:t>
      </w:r>
      <w:r>
        <w:t>ia budú musieť identifikovať akúkoľvek významnú expozíciu</w:t>
      </w:r>
      <w:r w:rsidRPr="00F3493C">
        <w:t xml:space="preserve"> voči rizikám spojeným so zmenou klímy a v príslušných prípadoch posúdiť vplyv dlhodobých klimatických scenárov na svoje podnikanie. Poisťovatelia klasifikovaní ako podniky s nízkym rizikovým profilom sú vyňatí z analýz scenára.</w:t>
      </w:r>
      <w:r w:rsidR="00D7295D" w:rsidRPr="00D7295D">
        <w:t xml:space="preserve"> Orgán EIOPA je poverený do roku 2023 preskúmať osobitné </w:t>
      </w:r>
      <w:proofErr w:type="spellStart"/>
      <w:r w:rsidR="00D7295D" w:rsidRPr="00D7295D">
        <w:t>prudenciálne</w:t>
      </w:r>
      <w:proofErr w:type="spellEnd"/>
      <w:r w:rsidR="00D7295D" w:rsidRPr="00D7295D">
        <w:t xml:space="preserve"> zaobchádzanie s expozíciami spojenými s aktívami alebo činnosťami, ktoré súvisia v značnej miere s environmentálnymi a/alebo sociálnymi cieľmi, a pravidelne preskúmavať rozsah a kalibráciu parametrov štandardného vzorca týkajúceho sa rizika prírodnej katastrofy.</w:t>
      </w:r>
    </w:p>
    <w:p w14:paraId="22AA7FEE" w14:textId="1583BBC8" w:rsidR="00F01AE8" w:rsidRDefault="00D7295D" w:rsidP="00801840">
      <w:pPr>
        <w:widowControl/>
        <w:adjustRightInd/>
        <w:spacing w:line="240" w:lineRule="auto"/>
      </w:pPr>
      <w:r>
        <w:t xml:space="preserve">Návrh smernice </w:t>
      </w:r>
      <w:r w:rsidR="00F01AE8">
        <w:t>prináša zmeny aj v oblasti dohľadu nad skupinou. Uľahčuje sa identifikácia</w:t>
      </w:r>
      <w:r w:rsidR="00F01AE8" w:rsidRPr="00F01AE8">
        <w:t xml:space="preserve"> </w:t>
      </w:r>
      <w:r w:rsidR="00F01AE8">
        <w:t>podnikov, ktoré tvoria skupinu. D</w:t>
      </w:r>
      <w:r w:rsidR="00F01AE8" w:rsidRPr="00F01AE8">
        <w:t xml:space="preserve">o rozsahu pôsobnosti </w:t>
      </w:r>
      <w:proofErr w:type="spellStart"/>
      <w:r w:rsidR="00F01AE8" w:rsidRPr="00F01AE8">
        <w:t>prudenciálneho</w:t>
      </w:r>
      <w:proofErr w:type="spellEnd"/>
      <w:r w:rsidR="00F01AE8" w:rsidRPr="00F01AE8">
        <w:t xml:space="preserve"> rámca EÚ </w:t>
      </w:r>
      <w:r w:rsidR="00F01AE8">
        <w:t>sa priamo začleňujú</w:t>
      </w:r>
      <w:r w:rsidR="00F01AE8" w:rsidRPr="00F01AE8">
        <w:t xml:space="preserve"> holdingové poisťovne a zmiešané </w:t>
      </w:r>
      <w:r w:rsidR="00F01AE8">
        <w:t>finančné holdingové spoločnosti. Z</w:t>
      </w:r>
      <w:r w:rsidR="00F01AE8" w:rsidRPr="00F01AE8">
        <w:t xml:space="preserve">avádza </w:t>
      </w:r>
      <w:r w:rsidR="00F01AE8">
        <w:t xml:space="preserve">sa </w:t>
      </w:r>
      <w:r w:rsidR="00F01AE8" w:rsidRPr="00F01AE8">
        <w:t>minimálny súbor právomocí, ktoré možno uplatňovať na holdingové poisťovne a zmiešané finančné holdingové spoločnosti</w:t>
      </w:r>
      <w:r w:rsidR="00F01AE8">
        <w:t>. Z</w:t>
      </w:r>
      <w:r w:rsidR="00F01AE8" w:rsidRPr="00F01AE8">
        <w:t>avádza</w:t>
      </w:r>
      <w:r w:rsidR="00F01AE8">
        <w:t xml:space="preserve"> sa</w:t>
      </w:r>
      <w:r w:rsidR="00F01AE8" w:rsidRPr="00F01AE8">
        <w:t xml:space="preserve"> upravená „minimálna konsolidovaná kapitálová požiadavka na solventnosť skupiny“, ktorá odzrkadľuje pravidlá týkajúce sa minimálnej kapitálovej požiadavky na individuálnej úrovni.</w:t>
      </w:r>
      <w:r w:rsidR="00F01AE8">
        <w:t xml:space="preserve"> Návrh smernice sa dotýka aj dohľadu nad cezhraničnými poisťovacími činnosťami.  </w:t>
      </w:r>
    </w:p>
    <w:p w14:paraId="79C79403" w14:textId="77777777" w:rsidR="00F01AE8" w:rsidRDefault="00F01AE8" w:rsidP="00801840">
      <w:pPr>
        <w:widowControl/>
        <w:adjustRightInd/>
        <w:spacing w:line="240" w:lineRule="auto"/>
      </w:pPr>
    </w:p>
    <w:p w14:paraId="606C078D" w14:textId="093F5036" w:rsidR="00C64E17" w:rsidRDefault="00F01AE8" w:rsidP="00C64E17">
      <w:pPr>
        <w:widowControl/>
        <w:adjustRightInd/>
        <w:spacing w:line="240" w:lineRule="auto"/>
      </w:pPr>
      <w:r>
        <w:t xml:space="preserve">Prostredníctvom zmien a opatrení zahrnutých v návrhu smernice sa očakáva </w:t>
      </w:r>
      <w:r w:rsidR="005D6A85">
        <w:t xml:space="preserve">zlepšenie proporcionality smernice Solventnosť II a vylepšenie </w:t>
      </w:r>
      <w:r w:rsidR="005D6A85" w:rsidRPr="005D6A85">
        <w:t>kľúčových zložiek smernice Solventnosť II</w:t>
      </w:r>
      <w:r w:rsidR="005D6A85">
        <w:t xml:space="preserve">, najmä s cieľom ochrany poistencov. </w:t>
      </w:r>
    </w:p>
    <w:p w14:paraId="07D10B2E" w14:textId="77777777" w:rsidR="00B77261" w:rsidRPr="00B77261" w:rsidRDefault="00B77261" w:rsidP="00B77261">
      <w:pPr>
        <w:widowControl/>
        <w:adjustRightInd/>
        <w:spacing w:line="240" w:lineRule="auto"/>
      </w:pPr>
    </w:p>
    <w:p w14:paraId="79A69A2E" w14:textId="77777777" w:rsidR="00761780" w:rsidRDefault="00761780" w:rsidP="00761780">
      <w:pPr>
        <w:widowControl/>
        <w:numPr>
          <w:ilvl w:val="0"/>
          <w:numId w:val="24"/>
        </w:numPr>
        <w:overflowPunct w:val="0"/>
        <w:autoSpaceDE w:val="0"/>
        <w:autoSpaceDN w:val="0"/>
        <w:adjustRightInd/>
        <w:spacing w:line="240" w:lineRule="auto"/>
        <w:ind w:hanging="720"/>
        <w:jc w:val="left"/>
        <w:textAlignment w:val="auto"/>
        <w:rPr>
          <w:b/>
        </w:rPr>
      </w:pPr>
      <w:r>
        <w:rPr>
          <w:b/>
        </w:rPr>
        <w:t>Právna analýza návrhu</w:t>
      </w:r>
    </w:p>
    <w:p w14:paraId="0775D8F1" w14:textId="77777777" w:rsidR="00761780" w:rsidRDefault="00761780" w:rsidP="003A653D">
      <w:pPr>
        <w:widowControl/>
        <w:adjustRightInd/>
        <w:spacing w:line="240" w:lineRule="auto"/>
        <w:ind w:left="720"/>
        <w:jc w:val="left"/>
        <w:rPr>
          <w:rFonts w:ascii="Calibri" w:eastAsia="Calibri" w:hAnsi="Calibri"/>
          <w:b/>
          <w:sz w:val="22"/>
          <w:szCs w:val="22"/>
          <w:lang w:eastAsia="en-US"/>
        </w:rPr>
      </w:pPr>
    </w:p>
    <w:p w14:paraId="4F103D56" w14:textId="77777777" w:rsidR="00761780" w:rsidRDefault="00761780" w:rsidP="003A653D">
      <w:pPr>
        <w:widowControl/>
        <w:numPr>
          <w:ilvl w:val="0"/>
          <w:numId w:val="25"/>
        </w:numPr>
        <w:overflowPunct w:val="0"/>
        <w:autoSpaceDE w:val="0"/>
        <w:autoSpaceDN w:val="0"/>
        <w:adjustRightInd/>
        <w:spacing w:after="200" w:line="240" w:lineRule="auto"/>
        <w:ind w:left="1077" w:hanging="357"/>
        <w:jc w:val="left"/>
        <w:textAlignment w:val="auto"/>
        <w:rPr>
          <w:b/>
        </w:rPr>
      </w:pPr>
      <w:r>
        <w:rPr>
          <w:b/>
        </w:rPr>
        <w:t>Právny základ predkladaného návrhu</w:t>
      </w:r>
    </w:p>
    <w:p w14:paraId="2A0423E7" w14:textId="52707BEE" w:rsidR="005E7E4D" w:rsidRDefault="005E7E4D" w:rsidP="00D4758E">
      <w:pPr>
        <w:widowControl/>
        <w:overflowPunct w:val="0"/>
        <w:autoSpaceDE w:val="0"/>
        <w:autoSpaceDN w:val="0"/>
        <w:adjustRightInd/>
        <w:spacing w:after="200" w:line="240" w:lineRule="auto"/>
        <w:textAlignment w:val="auto"/>
      </w:pPr>
      <w:r w:rsidRPr="005E7E4D">
        <w:t xml:space="preserve">Smernica Solventnosť II poskytuje komplexný regulačný rámec pre začatie a vykonávanie poisťovacej činnosti v rámci EÚ. Právnym základom súčasnej smernice je článok 53 ods. 1 a článok 62 </w:t>
      </w:r>
      <w:r>
        <w:t>ZFEÚ</w:t>
      </w:r>
      <w:r w:rsidRPr="005E7E4D">
        <w:t>. Opatrenia EÚ v súlade s týmito článkami sú potrebné pre pokračovanie v zosúlaďovaní súčasných pravidiel alebo na zavádzanie nových štandardizovaných pravidiel.</w:t>
      </w:r>
    </w:p>
    <w:p w14:paraId="5BD8876D" w14:textId="77777777" w:rsidR="00761780" w:rsidRDefault="00761780" w:rsidP="00761780">
      <w:pPr>
        <w:widowControl/>
        <w:numPr>
          <w:ilvl w:val="0"/>
          <w:numId w:val="25"/>
        </w:numPr>
        <w:overflowPunct w:val="0"/>
        <w:autoSpaceDE w:val="0"/>
        <w:autoSpaceDN w:val="0"/>
        <w:adjustRightInd/>
        <w:spacing w:line="240" w:lineRule="auto"/>
        <w:jc w:val="left"/>
        <w:textAlignment w:val="auto"/>
        <w:rPr>
          <w:b/>
        </w:rPr>
      </w:pPr>
      <w:r>
        <w:rPr>
          <w:b/>
        </w:rPr>
        <w:t>Zásada subsidiarity a zásada proporcionality</w:t>
      </w:r>
    </w:p>
    <w:p w14:paraId="1CD0411C" w14:textId="77777777" w:rsidR="00D4758E" w:rsidRDefault="00D4758E" w:rsidP="00D4758E">
      <w:pPr>
        <w:widowControl/>
        <w:overflowPunct w:val="0"/>
        <w:autoSpaceDE w:val="0"/>
        <w:autoSpaceDN w:val="0"/>
        <w:adjustRightInd/>
        <w:spacing w:line="240" w:lineRule="auto"/>
        <w:jc w:val="left"/>
        <w:textAlignment w:val="auto"/>
        <w:rPr>
          <w:b/>
        </w:rPr>
      </w:pPr>
    </w:p>
    <w:p w14:paraId="7C5E80D9" w14:textId="77777777" w:rsidR="00D4758E" w:rsidRDefault="00D4758E" w:rsidP="00D4758E">
      <w:pPr>
        <w:pStyle w:val="Odsekzoznamu"/>
        <w:widowControl/>
        <w:numPr>
          <w:ilvl w:val="0"/>
          <w:numId w:val="28"/>
        </w:numPr>
        <w:overflowPunct w:val="0"/>
        <w:autoSpaceDE w:val="0"/>
        <w:autoSpaceDN w:val="0"/>
        <w:adjustRightInd/>
        <w:spacing w:line="240" w:lineRule="auto"/>
        <w:jc w:val="left"/>
        <w:textAlignment w:val="auto"/>
        <w:rPr>
          <w:b/>
        </w:rPr>
      </w:pPr>
      <w:r>
        <w:rPr>
          <w:b/>
        </w:rPr>
        <w:t>k zásade subsidiarity:</w:t>
      </w:r>
    </w:p>
    <w:p w14:paraId="5081EF14" w14:textId="77777777" w:rsidR="00D4758E" w:rsidRPr="00D4758E" w:rsidRDefault="00D4758E" w:rsidP="00D4758E">
      <w:pPr>
        <w:widowControl/>
        <w:overflowPunct w:val="0"/>
        <w:autoSpaceDE w:val="0"/>
        <w:autoSpaceDN w:val="0"/>
        <w:adjustRightInd/>
        <w:spacing w:line="240" w:lineRule="auto"/>
        <w:ind w:left="60"/>
        <w:textAlignment w:val="auto"/>
      </w:pPr>
      <w:r w:rsidRPr="00D4758E">
        <w:t>Ciele navrhovaného opatrenia nie je možné uspokojivo dosiahnuť na úrovni jednotlivých členských štátov a vzhľadom na rozsah alebo účinky navrhovaného opatrenia ich preto možno lepšie dosiahnuť na úrovni EÚ.</w:t>
      </w:r>
    </w:p>
    <w:p w14:paraId="0E3998BD" w14:textId="77777777" w:rsidR="005E7E4D" w:rsidRDefault="005E7E4D" w:rsidP="00D4758E">
      <w:pPr>
        <w:widowControl/>
        <w:overflowPunct w:val="0"/>
        <w:autoSpaceDE w:val="0"/>
        <w:autoSpaceDN w:val="0"/>
        <w:adjustRightInd/>
        <w:spacing w:line="240" w:lineRule="auto"/>
        <w:ind w:left="60"/>
        <w:textAlignment w:val="auto"/>
      </w:pPr>
    </w:p>
    <w:p w14:paraId="23BDC1FC" w14:textId="1B2D2DB4" w:rsidR="00D4758E" w:rsidRDefault="005E7E4D" w:rsidP="00D4758E">
      <w:pPr>
        <w:widowControl/>
        <w:overflowPunct w:val="0"/>
        <w:autoSpaceDE w:val="0"/>
        <w:autoSpaceDN w:val="0"/>
        <w:adjustRightInd/>
        <w:spacing w:line="240" w:lineRule="auto"/>
        <w:ind w:left="60"/>
        <w:textAlignment w:val="auto"/>
      </w:pPr>
      <w:r w:rsidRPr="005E7E4D">
        <w:t xml:space="preserve">Podľa zásady subsidiarity je možné opatrenia EÚ prijať iba vtedy, ak plánované ciele nemožno dosiahnuť len na úrovni členských štátov. Regulácia poistenia na európskej úrovni je zavedená dlhodobo, pretože iba opatreniami EÚ sa môže stanoviť spoločný regulačný rámec pre poisťovateľov, ktorí ťažia zo slobody usadiť sa a slobody poskytovať služby. V tejto súvislosti </w:t>
      </w:r>
      <w:r w:rsidRPr="005E7E4D">
        <w:lastRenderedPageBreak/>
        <w:t>je návrh smernice, podobne ako legislatíva, ktorú sa snaží zmeniť, v úplnom súlade so zásadou subsidiarity.</w:t>
      </w:r>
    </w:p>
    <w:p w14:paraId="16E0F3FD" w14:textId="77777777" w:rsidR="00D4758E" w:rsidRPr="00D4758E" w:rsidRDefault="00D4758E" w:rsidP="005E7E4D">
      <w:pPr>
        <w:widowControl/>
        <w:overflowPunct w:val="0"/>
        <w:autoSpaceDE w:val="0"/>
        <w:autoSpaceDN w:val="0"/>
        <w:adjustRightInd/>
        <w:spacing w:line="240" w:lineRule="auto"/>
        <w:jc w:val="left"/>
        <w:textAlignment w:val="auto"/>
        <w:rPr>
          <w:b/>
        </w:rPr>
      </w:pPr>
    </w:p>
    <w:p w14:paraId="4EFCDE2B" w14:textId="77777777" w:rsidR="00D4758E" w:rsidRDefault="00D4758E" w:rsidP="00D4758E">
      <w:pPr>
        <w:pStyle w:val="Odsekzoznamu"/>
        <w:widowControl/>
        <w:numPr>
          <w:ilvl w:val="0"/>
          <w:numId w:val="28"/>
        </w:numPr>
        <w:overflowPunct w:val="0"/>
        <w:autoSpaceDE w:val="0"/>
        <w:autoSpaceDN w:val="0"/>
        <w:adjustRightInd/>
        <w:spacing w:line="240" w:lineRule="auto"/>
        <w:jc w:val="left"/>
        <w:textAlignment w:val="auto"/>
        <w:rPr>
          <w:b/>
        </w:rPr>
      </w:pPr>
      <w:r>
        <w:rPr>
          <w:b/>
        </w:rPr>
        <w:t>k zásade proporcionality:</w:t>
      </w:r>
    </w:p>
    <w:p w14:paraId="1F0A903F" w14:textId="77777777" w:rsidR="00050E3E" w:rsidRDefault="00050E3E" w:rsidP="00D4758E">
      <w:pPr>
        <w:widowControl/>
        <w:overflowPunct w:val="0"/>
        <w:autoSpaceDE w:val="0"/>
        <w:autoSpaceDN w:val="0"/>
        <w:adjustRightInd/>
        <w:spacing w:line="240" w:lineRule="auto"/>
        <w:ind w:left="60"/>
        <w:textAlignment w:val="auto"/>
      </w:pPr>
    </w:p>
    <w:p w14:paraId="734C83B8" w14:textId="4AADECD0" w:rsidR="00050E3E" w:rsidRDefault="00050E3E" w:rsidP="00D4758E">
      <w:pPr>
        <w:widowControl/>
        <w:overflowPunct w:val="0"/>
        <w:autoSpaceDE w:val="0"/>
        <w:autoSpaceDN w:val="0"/>
        <w:adjustRightInd/>
        <w:spacing w:line="240" w:lineRule="auto"/>
        <w:ind w:left="60"/>
        <w:textAlignment w:val="auto"/>
      </w:pPr>
      <w:r w:rsidRPr="00050E3E">
        <w:t>Cieľom návrhu smernice je zmeniť a doplniť niektoré ustanovenia smernice Solventnosť II, najmä ustanovenia o kapitálových požiadavkách, o oceňovaní poistných záväzkov voči poistencom a o cezhraničnom dohľade. Zavádza tiež potrebné objasnenia a zmeny ustanovení, ktorými sa vykonáva zásada proporcionality. Tieto zmeny sú nevyhnutné a primerané na zlepšenie fungovania regulačného rámca pre poisťovateľov a na dosiahnutie cieľov Solventnosti II.</w:t>
      </w:r>
    </w:p>
    <w:p w14:paraId="3C68C4E5" w14:textId="77777777" w:rsidR="00761780" w:rsidRDefault="00761780" w:rsidP="00761780">
      <w:pPr>
        <w:widowControl/>
        <w:overflowPunct w:val="0"/>
        <w:autoSpaceDE w:val="0"/>
        <w:autoSpaceDN w:val="0"/>
        <w:adjustRightInd/>
        <w:spacing w:line="240" w:lineRule="auto"/>
        <w:ind w:left="1080"/>
        <w:jc w:val="left"/>
        <w:rPr>
          <w:b/>
        </w:rPr>
      </w:pPr>
    </w:p>
    <w:p w14:paraId="1A56676D" w14:textId="77777777" w:rsidR="00761780" w:rsidRDefault="00761780" w:rsidP="00761780">
      <w:pPr>
        <w:widowControl/>
        <w:numPr>
          <w:ilvl w:val="0"/>
          <w:numId w:val="24"/>
        </w:numPr>
        <w:overflowPunct w:val="0"/>
        <w:autoSpaceDE w:val="0"/>
        <w:autoSpaceDN w:val="0"/>
        <w:adjustRightInd/>
        <w:spacing w:line="240" w:lineRule="auto"/>
        <w:ind w:hanging="720"/>
        <w:jc w:val="left"/>
        <w:textAlignment w:val="auto"/>
        <w:rPr>
          <w:b/>
        </w:rPr>
      </w:pPr>
      <w:r>
        <w:rPr>
          <w:b/>
        </w:rPr>
        <w:t>Analýza jednotlivých ustanovení predkladaného návrhu</w:t>
      </w:r>
    </w:p>
    <w:p w14:paraId="7FCA7917" w14:textId="77777777" w:rsidR="00D4758E" w:rsidRDefault="00D4758E" w:rsidP="00D4758E">
      <w:pPr>
        <w:widowControl/>
        <w:adjustRightInd/>
        <w:spacing w:line="240" w:lineRule="auto"/>
      </w:pPr>
    </w:p>
    <w:p w14:paraId="54D9D6B5" w14:textId="440EAEE7" w:rsidR="004706EA" w:rsidRDefault="004706EA" w:rsidP="00D4758E">
      <w:pPr>
        <w:widowControl/>
        <w:adjustRightInd/>
        <w:spacing w:line="240" w:lineRule="auto"/>
        <w:rPr>
          <w:b/>
        </w:rPr>
      </w:pPr>
      <w:r>
        <w:rPr>
          <w:b/>
        </w:rPr>
        <w:t>KAPITOLA I</w:t>
      </w:r>
    </w:p>
    <w:p w14:paraId="0258A2E5" w14:textId="1A54D9FE" w:rsidR="004706EA" w:rsidRDefault="004706EA" w:rsidP="00D4758E">
      <w:pPr>
        <w:widowControl/>
        <w:adjustRightInd/>
        <w:spacing w:line="240" w:lineRule="auto"/>
        <w:rPr>
          <w:b/>
        </w:rPr>
      </w:pPr>
      <w:r>
        <w:rPr>
          <w:b/>
        </w:rPr>
        <w:t>Článok 1 návrhu smernice</w:t>
      </w:r>
    </w:p>
    <w:p w14:paraId="1D6DEFE7" w14:textId="77777777" w:rsidR="004706EA" w:rsidRDefault="004706EA" w:rsidP="00D4758E">
      <w:pPr>
        <w:widowControl/>
        <w:adjustRightInd/>
        <w:spacing w:line="240" w:lineRule="auto"/>
        <w:rPr>
          <w:b/>
        </w:rPr>
      </w:pPr>
    </w:p>
    <w:p w14:paraId="29B1E79A" w14:textId="290EC9A7" w:rsidR="00E00BFD" w:rsidRPr="004706EA" w:rsidRDefault="00E00BFD" w:rsidP="004706EA">
      <w:pPr>
        <w:pStyle w:val="Odsekzoznamu"/>
        <w:widowControl/>
        <w:numPr>
          <w:ilvl w:val="0"/>
          <w:numId w:val="31"/>
        </w:numPr>
        <w:adjustRightInd/>
        <w:spacing w:line="240" w:lineRule="auto"/>
        <w:rPr>
          <w:b/>
        </w:rPr>
      </w:pPr>
      <w:r w:rsidRPr="004706EA">
        <w:rPr>
          <w:b/>
        </w:rPr>
        <w:t>Proporcionalita</w:t>
      </w:r>
    </w:p>
    <w:p w14:paraId="79166D8A" w14:textId="77777777" w:rsidR="00292457" w:rsidRDefault="00292457" w:rsidP="00D4758E">
      <w:pPr>
        <w:widowControl/>
        <w:adjustRightInd/>
        <w:spacing w:line="240" w:lineRule="auto"/>
      </w:pPr>
    </w:p>
    <w:p w14:paraId="15613FEC" w14:textId="12D82190" w:rsidR="00E00BFD" w:rsidRDefault="005812AA" w:rsidP="00E00BFD">
      <w:pPr>
        <w:widowControl/>
        <w:adjustRightInd/>
        <w:spacing w:line="240" w:lineRule="auto"/>
      </w:pPr>
      <w:r>
        <w:t>Článok 1</w:t>
      </w:r>
      <w:r w:rsidR="00CD239E">
        <w:t xml:space="preserve"> návrhu smernice</w:t>
      </w:r>
      <w:r>
        <w:t xml:space="preserve"> mení článok 4 smernice Solventnosť II tak, že</w:t>
      </w:r>
      <w:r w:rsidR="00E00BFD">
        <w:t xml:space="preserve"> </w:t>
      </w:r>
      <w:r>
        <w:t>zvyšuje</w:t>
      </w:r>
      <w:r w:rsidR="006A5EAE">
        <w:t xml:space="preserve"> prahové hodnoty pre vylúčenie z rozsahu pôsobnosti smernice Solventnosť II s cieľom </w:t>
      </w:r>
      <w:r>
        <w:t>umožniť vylúčenie</w:t>
      </w:r>
      <w:r w:rsidR="006A5EAE">
        <w:t xml:space="preserve"> väčšieho počtu malých podnikov.</w:t>
      </w:r>
      <w:r>
        <w:t xml:space="preserve"> </w:t>
      </w:r>
      <w:r w:rsidR="006A5EAE">
        <w:t xml:space="preserve">Zavádza sa nový koncept podnikov s nízkym rizikovým profilom s cieľom najmä objasniť uplatniteľnosť zásady proporcionality pokiaľ ide o delegované a vykonávacie akty. V súvislosti so zavedením novej koncepcie podnikov s nízkym rizikovým profilom </w:t>
      </w:r>
      <w:r>
        <w:t>č</w:t>
      </w:r>
      <w:r w:rsidRPr="005812AA">
        <w:t xml:space="preserve">lánok 1 zavádza nové články </w:t>
      </w:r>
      <w:r>
        <w:t>29a až 29e. Článok 29a</w:t>
      </w:r>
      <w:r w:rsidRPr="005812AA">
        <w:t xml:space="preserve"> </w:t>
      </w:r>
      <w:r>
        <w:t>stanovuje</w:t>
      </w:r>
      <w:r w:rsidR="006A5EAE">
        <w:t xml:space="preserve"> kritéria na identifikáciu podnikov</w:t>
      </w:r>
      <w:r>
        <w:t xml:space="preserve"> s nízkym rizikovým profilom, ktoré možno doplniť delegovanými aktmi. V článku 29b sa stanovuje proces </w:t>
      </w:r>
      <w:r w:rsidR="006A5EAE">
        <w:t xml:space="preserve">  </w:t>
      </w:r>
      <w:r>
        <w:t>klasifikácie podnikov ako podnikov s nízkym rizikovým profilom. Článok 29c uvádza</w:t>
      </w:r>
      <w:r w:rsidR="00E00BFD">
        <w:t xml:space="preserve"> opatrenia v oblasti proporcionality, ktoré sú „automaticky“ sprístupnené podnikom s nízkym</w:t>
      </w:r>
      <w:r>
        <w:t xml:space="preserve"> rizikovým profilom, a stanovuje </w:t>
      </w:r>
      <w:r w:rsidR="00E00BFD">
        <w:t xml:space="preserve">pravidlá v prípade zmeny rizikového profilu. </w:t>
      </w:r>
      <w:r w:rsidR="000702B9">
        <w:t>Článok 29d upravuje p</w:t>
      </w:r>
      <w:r w:rsidR="000702B9" w:rsidRPr="000702B9">
        <w:t>oužívanie opatrení v oblasti proporcionality poisťovňami a zaisťovňami, ktoré nie sú klasifikované ako podniky s nízkym rizikovým profilom</w:t>
      </w:r>
      <w:r w:rsidR="000702B9">
        <w:t>. Článok 29e upravuje m</w:t>
      </w:r>
      <w:r w:rsidR="000702B9" w:rsidRPr="000702B9">
        <w:t>onitorovanie používania opatrení v oblasti proporcionality</w:t>
      </w:r>
      <w:r w:rsidR="000702B9">
        <w:t xml:space="preserve"> a </w:t>
      </w:r>
      <w:r w:rsidR="00E00BFD">
        <w:t>podnikom s ní</w:t>
      </w:r>
      <w:r w:rsidR="000702B9">
        <w:t>zkym rizikovým profilom ukladá</w:t>
      </w:r>
      <w:r w:rsidR="00E00BFD">
        <w:t xml:space="preserve"> povinnosti predkladať informácie.</w:t>
      </w:r>
      <w:r w:rsidR="000702B9">
        <w:t xml:space="preserve"> Článok 1 zavádza nový článok 213a, v ktorom sa ustanovuje p</w:t>
      </w:r>
      <w:r w:rsidR="000702B9" w:rsidRPr="000702B9">
        <w:t>oužívanie opatrení v oblasti proporcionality na úrovni skupiny</w:t>
      </w:r>
      <w:r w:rsidR="000702B9">
        <w:t xml:space="preserve"> a zároveň sa v ňom stanovujú </w:t>
      </w:r>
      <w:r w:rsidR="00E00BFD">
        <w:t>kritériá identifikácie skup</w:t>
      </w:r>
      <w:r w:rsidR="000702B9">
        <w:t>ín s nízkym rizikovým profilom. Článok 1 upravuje článok 41</w:t>
      </w:r>
      <w:r w:rsidR="00CD239E">
        <w:t xml:space="preserve"> smernice Solventnosť II</w:t>
      </w:r>
      <w:r w:rsidR="000702B9">
        <w:t xml:space="preserve"> </w:t>
      </w:r>
      <w:r w:rsidR="00E00BFD">
        <w:t>s cieľom umožniť podnikom s nízkym rizikovým profilom</w:t>
      </w:r>
      <w:r w:rsidR="00CD239E">
        <w:t xml:space="preserve"> za splnenia stanovených podmienok</w:t>
      </w:r>
      <w:r w:rsidR="00E00BFD">
        <w:t xml:space="preserve"> poveriť jednu osobu, aby zastávala niekoľko kľúčových funkcií. </w:t>
      </w:r>
      <w:r w:rsidR="00CD239E">
        <w:t xml:space="preserve">Článok 1 mení článok 45 smernice Solventnosť II </w:t>
      </w:r>
      <w:r w:rsidR="00E00BFD">
        <w:t xml:space="preserve">s cieľom umožniť podnikom s nízkym rizikovým profilom, </w:t>
      </w:r>
      <w:proofErr w:type="spellStart"/>
      <w:r w:rsidR="00E00BFD">
        <w:t>kaptívnym</w:t>
      </w:r>
      <w:proofErr w:type="spellEnd"/>
      <w:r w:rsidR="00E00BFD">
        <w:t xml:space="preserve"> poisťovniam a </w:t>
      </w:r>
      <w:proofErr w:type="spellStart"/>
      <w:r w:rsidR="00E00BFD">
        <w:t>kaptívnym</w:t>
      </w:r>
      <w:proofErr w:type="spellEnd"/>
      <w:r w:rsidR="00E00BFD">
        <w:t xml:space="preserve"> zaisťovniam,</w:t>
      </w:r>
      <w:r w:rsidR="00CD239E">
        <w:t xml:space="preserve"> ktoré spĺňajú určité kritériá</w:t>
      </w:r>
      <w:r w:rsidR="00E00BFD">
        <w:t>, vykonávať vlastné posúdenie rizika a solventnosti každé dva roky a nie minimálne raz za rok.</w:t>
      </w:r>
    </w:p>
    <w:p w14:paraId="678F7ED2" w14:textId="77777777" w:rsidR="00D4758E" w:rsidRPr="00D4758E" w:rsidRDefault="00D4758E" w:rsidP="00D4758E">
      <w:pPr>
        <w:widowControl/>
        <w:adjustRightInd/>
        <w:spacing w:line="240" w:lineRule="auto"/>
      </w:pPr>
    </w:p>
    <w:p w14:paraId="1C6827CF" w14:textId="62CBF8A7" w:rsidR="00CD239E" w:rsidRPr="004706EA" w:rsidRDefault="00CD239E" w:rsidP="004706EA">
      <w:pPr>
        <w:pStyle w:val="Odsekzoznamu"/>
        <w:widowControl/>
        <w:numPr>
          <w:ilvl w:val="0"/>
          <w:numId w:val="31"/>
        </w:numPr>
        <w:adjustRightInd/>
        <w:spacing w:line="240" w:lineRule="auto"/>
        <w:rPr>
          <w:b/>
        </w:rPr>
      </w:pPr>
      <w:r w:rsidRPr="004706EA">
        <w:rPr>
          <w:b/>
        </w:rPr>
        <w:t>Kvalita dohľadu</w:t>
      </w:r>
    </w:p>
    <w:p w14:paraId="53D8CFB0" w14:textId="77777777" w:rsidR="00292457" w:rsidRDefault="00292457" w:rsidP="00D4758E">
      <w:pPr>
        <w:widowControl/>
        <w:adjustRightInd/>
        <w:spacing w:line="240" w:lineRule="auto"/>
      </w:pPr>
    </w:p>
    <w:p w14:paraId="44F52567" w14:textId="4726B071" w:rsidR="003612B0" w:rsidRDefault="00917A17" w:rsidP="00CD239E">
      <w:pPr>
        <w:widowControl/>
        <w:adjustRightInd/>
        <w:spacing w:line="240" w:lineRule="auto"/>
      </w:pPr>
      <w:r>
        <w:t>Návrh smernice v článku 1 mení článok 25 smernice Solventnosť II</w:t>
      </w:r>
      <w:r w:rsidR="003612B0">
        <w:t xml:space="preserve">, v ktorom ustanovuje povinnosť oznámiť každé neudelenie </w:t>
      </w:r>
      <w:r w:rsidR="003612B0" w:rsidRPr="003612B0">
        <w:t>povolenia vrátane identifikácie žiadajúceho podniku a dôvodov neudelenia</w:t>
      </w:r>
      <w:r w:rsidR="00265FB1">
        <w:t xml:space="preserve"> orgánu EIOPA</w:t>
      </w:r>
      <w:r w:rsidR="003612B0">
        <w:t xml:space="preserve">. Zmenou článku 26 smernice Solventnosť II sa zavádza možnosť </w:t>
      </w:r>
      <w:r w:rsidR="003612B0" w:rsidRPr="003612B0">
        <w:t>spoločného posúdenia žiadosti o povolenie na požiadanie jedného z orgánov dohľadu, s ktorým sa musí poradiť orgán dohľadu domovského členského štátu.</w:t>
      </w:r>
      <w:r w:rsidR="003612B0">
        <w:t xml:space="preserve"> </w:t>
      </w:r>
      <w:r w:rsidR="00CD239E">
        <w:t xml:space="preserve">Cieľom zmien článkov 30, 36 a 42 je posilniť monitorovanie dodržiavania požiadaviek na odbornosť a vhodnosť, pokiaľ ide o členov správneho, riadiaceho alebo kontrolného orgánu alebo osoby, ktoré majú </w:t>
      </w:r>
      <w:r w:rsidR="00CD239E">
        <w:lastRenderedPageBreak/>
        <w:t>iné kľúčové funkcie v poisťovni alebo zaisťovni. Článkom 42 ods. 4 sa orgány dohľadu splnomocňujú požiadať o odvolanie člena správneho orgánu, riadiaceho orgánu alebo kontrolného orgánu alebo osoby v kľúčovej funkcii.</w:t>
      </w:r>
    </w:p>
    <w:p w14:paraId="249A0130" w14:textId="77777777" w:rsidR="00292457" w:rsidRDefault="00292457" w:rsidP="00292457">
      <w:pPr>
        <w:widowControl/>
        <w:adjustRightInd/>
        <w:spacing w:line="240" w:lineRule="auto"/>
        <w:rPr>
          <w:b/>
        </w:rPr>
      </w:pPr>
    </w:p>
    <w:p w14:paraId="62BC2A9F" w14:textId="32873A3A" w:rsidR="003612B0" w:rsidRPr="004706EA" w:rsidRDefault="003612B0" w:rsidP="004706EA">
      <w:pPr>
        <w:pStyle w:val="Odsekzoznamu"/>
        <w:widowControl/>
        <w:numPr>
          <w:ilvl w:val="0"/>
          <w:numId w:val="31"/>
        </w:numPr>
        <w:adjustRightInd/>
        <w:spacing w:line="240" w:lineRule="auto"/>
        <w:rPr>
          <w:b/>
        </w:rPr>
      </w:pPr>
      <w:r w:rsidRPr="004706EA">
        <w:rPr>
          <w:b/>
        </w:rPr>
        <w:t>Predkladanie informácií</w:t>
      </w:r>
    </w:p>
    <w:p w14:paraId="165663C0" w14:textId="77777777" w:rsidR="00D4758E" w:rsidRPr="00D4758E" w:rsidRDefault="00D4758E" w:rsidP="00D4758E">
      <w:pPr>
        <w:widowControl/>
        <w:adjustRightInd/>
        <w:spacing w:line="240" w:lineRule="auto"/>
      </w:pPr>
    </w:p>
    <w:p w14:paraId="687EEEB8" w14:textId="178F072E" w:rsidR="003612B0" w:rsidRDefault="00B95F5A" w:rsidP="003612B0">
      <w:pPr>
        <w:widowControl/>
        <w:adjustRightInd/>
        <w:spacing w:line="240" w:lineRule="auto"/>
      </w:pPr>
      <w:r>
        <w:t xml:space="preserve">V článku 1 návrhu smernice sa mení článok 35 smernice Solventnosť II, ustanovuje sa povinnosť pre poisťovne a zaisťovne predkladať orgánom dohľadu informácie potrebné na účely dohľadu, povinnosť predkladať pravidelnú správu orgánom dohľadu, </w:t>
      </w:r>
      <w:r w:rsidRPr="00B95F5A">
        <w:t>ktorá obsahuje informácie o činnosti a výkonnosti poisťovne a zaisťovne, systéme správy a riadenia, rizikovom profile, oceňovania na účely solventnosti a riadení kapitálu za obdobie, o ktorom sa podáva správa</w:t>
      </w:r>
      <w:r>
        <w:t>. Zároveň sa stanovuje periodicita predkladania pravidelnej správy. V novom článku 35a smernice Solventnosť II sa ustanovujú v</w:t>
      </w:r>
      <w:r w:rsidRPr="00B95F5A">
        <w:t>ýnimky a obmedzenia týkajúce sa pravidelného kvantitatívneho predkladania informácií orgánom dohľadu udelené orgánmi dohľadu</w:t>
      </w:r>
      <w:r>
        <w:t xml:space="preserve">. V novom článku 35b smernice Solventnosť II sa určujú lehoty na predkladanie informácií a možnosť zmeny týchto lehôt. Zmenou článku 51 smernice Solventnosť II sa ustanovuje povinnosť pre poisťovne a zaisťovne, aby </w:t>
      </w:r>
      <w:r w:rsidRPr="00B95F5A">
        <w:t>každoročne uverejnili správu o svojej</w:t>
      </w:r>
      <w:r>
        <w:t xml:space="preserve"> solventnosti a finančnom stave a</w:t>
      </w:r>
      <w:r w:rsidR="00F2613B">
        <w:t> </w:t>
      </w:r>
      <w:r>
        <w:t>upravuje</w:t>
      </w:r>
      <w:r w:rsidR="00F2613B">
        <w:t xml:space="preserve"> čo má byť obsahom tejto správy. Zmenou článku 256 smernice Solventnosť II sa ustanovuje povinnosť pre </w:t>
      </w:r>
      <w:r w:rsidR="00F2613B" w:rsidRPr="00F2613B">
        <w:t>poisťovne a zaisťovne s účasťou, holdingovej poisťovne a zmiešanej finančnej holdingovej spoločnosti, aby každoročne zverejnila správu o solventnosti a finančnom stave na úrovni skupiny.</w:t>
      </w:r>
      <w:r w:rsidR="00F2613B">
        <w:t xml:space="preserve"> Článok 1 návrhu smernice v odseku 27 upravuje nový článok 51a smernice Solventnosť II a v odseku 84 upravuje nový článok 256c smernice Solventnosť II, ktorých obsahom sú požiadavky na audit. </w:t>
      </w:r>
    </w:p>
    <w:p w14:paraId="4DCB00F8" w14:textId="77777777" w:rsidR="00D4758E" w:rsidRDefault="00D4758E" w:rsidP="00D4758E">
      <w:pPr>
        <w:widowControl/>
        <w:adjustRightInd/>
        <w:spacing w:line="240" w:lineRule="auto"/>
      </w:pPr>
    </w:p>
    <w:p w14:paraId="2C9B1EB2" w14:textId="6CC32823" w:rsidR="00F2613B" w:rsidRPr="004706EA" w:rsidRDefault="00F2613B" w:rsidP="004706EA">
      <w:pPr>
        <w:pStyle w:val="Odsekzoznamu"/>
        <w:widowControl/>
        <w:numPr>
          <w:ilvl w:val="0"/>
          <w:numId w:val="31"/>
        </w:numPr>
        <w:adjustRightInd/>
        <w:spacing w:line="240" w:lineRule="auto"/>
        <w:rPr>
          <w:b/>
        </w:rPr>
      </w:pPr>
      <w:r w:rsidRPr="004706EA">
        <w:rPr>
          <w:b/>
        </w:rPr>
        <w:t>Opatrenia týkajúce sa dlhodobých záruk</w:t>
      </w:r>
    </w:p>
    <w:p w14:paraId="12D48E2C" w14:textId="77777777" w:rsidR="0050083C" w:rsidRDefault="0050083C" w:rsidP="00D4758E">
      <w:pPr>
        <w:widowControl/>
        <w:adjustRightInd/>
        <w:spacing w:line="240" w:lineRule="auto"/>
        <w:rPr>
          <w:b/>
        </w:rPr>
      </w:pPr>
    </w:p>
    <w:p w14:paraId="7F5EF131" w14:textId="6FE1CA28" w:rsidR="0050083C" w:rsidRPr="0050083C" w:rsidRDefault="0050083C" w:rsidP="0050083C">
      <w:pPr>
        <w:widowControl/>
        <w:adjustRightInd/>
        <w:spacing w:line="240" w:lineRule="auto"/>
      </w:pPr>
      <w:r>
        <w:t xml:space="preserve">V článku 1 návrhu smernice v odseku 37 sa nahrádza článok 77a smernice Solventnosť II a ustanovuje sa </w:t>
      </w:r>
      <w:proofErr w:type="spellStart"/>
      <w:r>
        <w:t>e</w:t>
      </w:r>
      <w:r w:rsidRPr="0050083C">
        <w:t>xtrapolácia</w:t>
      </w:r>
      <w:proofErr w:type="spellEnd"/>
      <w:r w:rsidRPr="0050083C">
        <w:t xml:space="preserve"> príslušnej časovej štruktúry bezrizikovej úrokovej miery</w:t>
      </w:r>
      <w:r>
        <w:t>. V odseku 38 sa mení článok 77d, ktorý upravuje korekciu volatility. V odseku 44 článku 1 návrhu smernice sa mení článok 106 smernice Solventnosť II s cieľom aby s</w:t>
      </w:r>
      <w:r w:rsidRPr="0050083C">
        <w:t xml:space="preserve">ymetrická úprava štandardnej kapitálovej požiadavky pokrývajúcej riziká vyplývajúce z úrovne cien akcií </w:t>
      </w:r>
      <w:r>
        <w:t>nemala</w:t>
      </w:r>
      <w:r w:rsidRPr="0050083C">
        <w:t xml:space="preserve"> za následok uplatňovanie kapitálovej požiadavky zmenenej o viac ako 17 percentuálnych bodov oproti štandardnej kapitálovej požiadavke</w:t>
      </w:r>
      <w:r>
        <w:t>. Odsekmi 39, 40 a 46 sa zosúlaďujú články 77e, 86 a 111 týkajúce sa splnomocnení prijímať delegované a vykonávacie akty s uvedenými zmenami. Odsekom 40 sa navyše zavádza nové splnomocnenie prijímať delegované akty týkajúce sa kritérií použiteľnosti aktív v kontexte párovacej korekcie.</w:t>
      </w:r>
    </w:p>
    <w:p w14:paraId="7857E261" w14:textId="77777777" w:rsidR="0050083C" w:rsidRDefault="0050083C" w:rsidP="00D4758E">
      <w:pPr>
        <w:widowControl/>
        <w:adjustRightInd/>
        <w:spacing w:line="240" w:lineRule="auto"/>
        <w:rPr>
          <w:b/>
        </w:rPr>
      </w:pPr>
    </w:p>
    <w:p w14:paraId="0AC07208" w14:textId="13E3522F" w:rsidR="0050083C" w:rsidRPr="004706EA" w:rsidRDefault="0050083C" w:rsidP="004706EA">
      <w:pPr>
        <w:pStyle w:val="Odsekzoznamu"/>
        <w:widowControl/>
        <w:numPr>
          <w:ilvl w:val="0"/>
          <w:numId w:val="31"/>
        </w:numPr>
        <w:adjustRightInd/>
        <w:spacing w:line="240" w:lineRule="auto"/>
        <w:rPr>
          <w:b/>
        </w:rPr>
      </w:pPr>
      <w:proofErr w:type="spellStart"/>
      <w:r w:rsidRPr="004706EA">
        <w:rPr>
          <w:b/>
        </w:rPr>
        <w:t>Makroprudenciálne</w:t>
      </w:r>
      <w:proofErr w:type="spellEnd"/>
      <w:r w:rsidRPr="004706EA">
        <w:rPr>
          <w:b/>
        </w:rPr>
        <w:t xml:space="preserve"> nástroje</w:t>
      </w:r>
    </w:p>
    <w:p w14:paraId="55F54E62" w14:textId="77777777" w:rsidR="00F2613B" w:rsidRPr="00F2613B" w:rsidRDefault="00F2613B" w:rsidP="00D4758E">
      <w:pPr>
        <w:widowControl/>
        <w:adjustRightInd/>
        <w:spacing w:line="240" w:lineRule="auto"/>
        <w:rPr>
          <w:b/>
        </w:rPr>
      </w:pPr>
    </w:p>
    <w:p w14:paraId="6EBD3C67" w14:textId="01CA469B" w:rsidR="00F2613B" w:rsidRDefault="00AB0CE2" w:rsidP="00F2613B">
      <w:pPr>
        <w:widowControl/>
        <w:adjustRightInd/>
        <w:spacing w:line="240" w:lineRule="auto"/>
      </w:pPr>
      <w:r>
        <w:t xml:space="preserve">V odseku 45 článku 1 návrhu smernice sa do článku 45 smernice Solventnosť II dopĺňajú </w:t>
      </w:r>
      <w:r w:rsidR="00F2613B">
        <w:t xml:space="preserve">makroekonomické hľadiská a analýza vlastného posúdenia rizika a solventnosti poisťovateľmi. Od poisťovateľov sa bude požadovať, aby posúdili vplyv predpokladaného makroekonomického vývoja a vývoja na finančných trhoch vrátane nepriaznivých hospodárskych scenárov na svoj osobitný rizikový profil, obchodné rozhodnutia a potreby solventnosti a recipročne spôsob, akým ich činnosti môžu ovplyvňovať hnacie sily na trhu. Od orgánov dohľadu sa bude požadovať, aby poskytli podklady konkrétnym podnikom, najmä vzhľadom na </w:t>
      </w:r>
      <w:proofErr w:type="spellStart"/>
      <w:r w:rsidR="00F2613B">
        <w:t>makroprudenciálne</w:t>
      </w:r>
      <w:proofErr w:type="spellEnd"/>
      <w:r w:rsidR="00F2613B">
        <w:t xml:space="preserve"> riziká a aspekty, ktoré vyplývajú z ich analýzy.</w:t>
      </w:r>
      <w:r>
        <w:t xml:space="preserve"> Článok 132 smernice Solventnosť II sa dopĺňa povinnosť členských štátov zabezpečiť, aby poisťovne a zaisťovne pri rozhodovaní o svojej investičnej stratégii zohľadňovali možný makroekonomický vývoj a vývoj na finančných trhoch a na žiadosť orgánu dohľadu aj </w:t>
      </w:r>
      <w:proofErr w:type="spellStart"/>
      <w:r>
        <w:t>makroprudenciálne</w:t>
      </w:r>
      <w:proofErr w:type="spellEnd"/>
      <w:r>
        <w:t xml:space="preserve"> aspekty a poisťovniam a zaisťovniam sa ustanovuje povinnosť posúdiť mieru, do akej môže ich </w:t>
      </w:r>
      <w:r>
        <w:lastRenderedPageBreak/>
        <w:t>investičná stratégia ovplyvniť makroekonomický vývoj a vývoj na finančných trhoch. Návrhom smernice sa v odseku 54 zavádzajú nové články 144a až 144c. Článok 144a upravuje riadenie rizika kvality. V článku 144b sú ustanovené p</w:t>
      </w:r>
      <w:r w:rsidRPr="00AB0CE2">
        <w:t>rávomoci dohľadu na nápravu zraniteľností súvisiacich s likviditou za výnimočných okolností</w:t>
      </w:r>
      <w:r>
        <w:t>. Článok 144c sa týka opatrení dohľadu na zachovaním</w:t>
      </w:r>
      <w:r w:rsidRPr="00AB0CE2">
        <w:t xml:space="preserve"> finančnej situácie poisťovní a zaisťovní počas výnimočných </w:t>
      </w:r>
      <w:proofErr w:type="spellStart"/>
      <w:r w:rsidRPr="00AB0CE2">
        <w:t>celotrhových</w:t>
      </w:r>
      <w:proofErr w:type="spellEnd"/>
      <w:r w:rsidRPr="00AB0CE2">
        <w:t xml:space="preserve"> otrasov</w:t>
      </w:r>
      <w:r>
        <w:t>.</w:t>
      </w:r>
    </w:p>
    <w:p w14:paraId="492872BC" w14:textId="77777777" w:rsidR="00D4758E" w:rsidRDefault="00D4758E" w:rsidP="00D4758E">
      <w:pPr>
        <w:widowControl/>
        <w:adjustRightInd/>
        <w:spacing w:line="240" w:lineRule="auto"/>
      </w:pPr>
    </w:p>
    <w:p w14:paraId="0C322008" w14:textId="741C1136" w:rsidR="00491FD9" w:rsidRPr="004706EA" w:rsidRDefault="00491FD9" w:rsidP="004706EA">
      <w:pPr>
        <w:pStyle w:val="Odsekzoznamu"/>
        <w:widowControl/>
        <w:numPr>
          <w:ilvl w:val="0"/>
          <w:numId w:val="31"/>
        </w:numPr>
        <w:adjustRightInd/>
        <w:spacing w:line="240" w:lineRule="auto"/>
        <w:rPr>
          <w:b/>
        </w:rPr>
      </w:pPr>
      <w:r w:rsidRPr="004706EA">
        <w:rPr>
          <w:b/>
        </w:rPr>
        <w:t>Zmeny týkajúce sa Európskej zelenej dohody</w:t>
      </w:r>
    </w:p>
    <w:p w14:paraId="68789B07" w14:textId="77777777" w:rsidR="00292457" w:rsidRPr="00D4758E" w:rsidRDefault="00292457" w:rsidP="00D4758E">
      <w:pPr>
        <w:widowControl/>
        <w:adjustRightInd/>
        <w:spacing w:line="240" w:lineRule="auto"/>
      </w:pPr>
    </w:p>
    <w:p w14:paraId="2E259FFE" w14:textId="5E0C90FE" w:rsidR="00491FD9" w:rsidRDefault="00491FD9" w:rsidP="00491FD9">
      <w:pPr>
        <w:widowControl/>
        <w:adjustRightInd/>
        <w:spacing w:line="240" w:lineRule="auto"/>
      </w:pPr>
      <w:r>
        <w:t>Odsek 25</w:t>
      </w:r>
      <w:r w:rsidR="004706EA">
        <w:t xml:space="preserve"> článku 1 návrhu smernice</w:t>
      </w:r>
      <w:r>
        <w:t xml:space="preserve"> zavádza nový článok 45a, ktorý sa týka analýzy klimatického scenára. Stanovuje sa povinnosť poisťovniam a zaisťovniam</w:t>
      </w:r>
      <w:r w:rsidRPr="00491FD9">
        <w:t xml:space="preserve"> posúdi</w:t>
      </w:r>
      <w:r>
        <w:t>ť, či majú</w:t>
      </w:r>
      <w:r w:rsidRPr="00491FD9">
        <w:t xml:space="preserve"> nejaké významné expozície voči ri</w:t>
      </w:r>
      <w:r>
        <w:t>zikám spojeným so zmenou klímy a závažnosť expozície</w:t>
      </w:r>
      <w:r w:rsidRPr="00491FD9">
        <w:t xml:space="preserve"> voči rizikám spojeným so zmenou klímy</w:t>
      </w:r>
      <w:r>
        <w:t xml:space="preserve"> musí preukázať. </w:t>
      </w:r>
      <w:r w:rsidRPr="00491FD9">
        <w:t>Poisťovatelia klasifikovaní ako podniky s nízkym rizikovým profilom sú vyňatí z analýz scenára.</w:t>
      </w:r>
      <w:r>
        <w:t xml:space="preserve"> Zavádza sa nový článok 304a obsahom ktorého sú p</w:t>
      </w:r>
      <w:r w:rsidRPr="00491FD9">
        <w:t>reskúmania týkajúce sa rizika ohrozujúceho udržateľnosť</w:t>
      </w:r>
      <w:r w:rsidR="007441BB">
        <w:t xml:space="preserve"> a ktorý udeľuje orgánu EIOPA dva mandáty pokiaľ ide o riziká ohrozujúce udržateľnosť. </w:t>
      </w:r>
    </w:p>
    <w:p w14:paraId="0174FB53" w14:textId="77777777" w:rsidR="00491FD9" w:rsidRPr="00491FD9" w:rsidRDefault="00491FD9" w:rsidP="00491FD9">
      <w:pPr>
        <w:widowControl/>
        <w:adjustRightInd/>
        <w:spacing w:line="240" w:lineRule="auto"/>
      </w:pPr>
    </w:p>
    <w:p w14:paraId="00E6A26A" w14:textId="38BCD5ED" w:rsidR="00D4758E" w:rsidRPr="004706EA" w:rsidRDefault="005171CB" w:rsidP="004706EA">
      <w:pPr>
        <w:pStyle w:val="Odsekzoznamu"/>
        <w:widowControl/>
        <w:numPr>
          <w:ilvl w:val="0"/>
          <w:numId w:val="31"/>
        </w:numPr>
        <w:adjustRightInd/>
        <w:spacing w:line="240" w:lineRule="auto"/>
        <w:rPr>
          <w:b/>
        </w:rPr>
      </w:pPr>
      <w:r w:rsidRPr="004706EA">
        <w:rPr>
          <w:b/>
        </w:rPr>
        <w:t>Dohľad nad skupinou</w:t>
      </w:r>
    </w:p>
    <w:p w14:paraId="2AF1626C" w14:textId="77777777" w:rsidR="00292457" w:rsidRPr="00D4758E" w:rsidRDefault="00292457" w:rsidP="00D4758E">
      <w:pPr>
        <w:widowControl/>
        <w:adjustRightInd/>
        <w:spacing w:line="240" w:lineRule="auto"/>
      </w:pPr>
    </w:p>
    <w:p w14:paraId="52E17293" w14:textId="0872D6F7" w:rsidR="005171CB" w:rsidRDefault="002F55DA" w:rsidP="005171CB">
      <w:pPr>
        <w:widowControl/>
        <w:adjustRightInd/>
        <w:spacing w:line="240" w:lineRule="auto"/>
      </w:pPr>
      <w:r>
        <w:t xml:space="preserve">V návrhu smernice sa </w:t>
      </w:r>
      <w:r w:rsidR="004706EA">
        <w:t xml:space="preserve">v článku 1 </w:t>
      </w:r>
      <w:r>
        <w:t>mení článok 212 smernice Solventnosť II</w:t>
      </w:r>
      <w:r w:rsidR="0022291D">
        <w:t xml:space="preserve"> pre lepšiu identifikáciu podnikov, ktoré tvoria skupiny, vymedzuje sa pojem holdingová spoločnosť a pojem </w:t>
      </w:r>
      <w:r w:rsidR="0022291D" w:rsidRPr="0022291D">
        <w:t>holdingová spoločnosť poisťovní a zaisťovní z tretej krajiny</w:t>
      </w:r>
      <w:r w:rsidR="0022291D">
        <w:t xml:space="preserve">. </w:t>
      </w:r>
      <w:r w:rsidR="005171CB">
        <w:t xml:space="preserve">Článok 213 </w:t>
      </w:r>
      <w:r w:rsidR="0022291D">
        <w:t xml:space="preserve">smernice Solventnosť II </w:t>
      </w:r>
      <w:r w:rsidR="005171CB">
        <w:t xml:space="preserve">sa mení s cieľom priamo začleniť holdingové poisťovne a zmiešané finančné holdingové spoločnosti do rozsahu pôsobnosti </w:t>
      </w:r>
      <w:proofErr w:type="spellStart"/>
      <w:r w:rsidR="005171CB">
        <w:t>prudenciálneho</w:t>
      </w:r>
      <w:proofErr w:type="spellEnd"/>
      <w:r w:rsidR="005171CB">
        <w:t xml:space="preserve"> rámca EÚ. </w:t>
      </w:r>
      <w:r w:rsidR="00057582">
        <w:t>Nový článok 213a smernice Solventnosť ustanovuje p</w:t>
      </w:r>
      <w:r w:rsidR="00057582" w:rsidRPr="00057582">
        <w:t>oužívanie opatrení v oblasti proporcionality na úrovni skupiny</w:t>
      </w:r>
      <w:r w:rsidR="00057582">
        <w:t xml:space="preserve">. </w:t>
      </w:r>
      <w:r w:rsidR="005171CB">
        <w:t xml:space="preserve">Odsekom 64 sa mení článok 214 s cieľom objasniť, kedy môže byť podnik vylúčený z rozsahu pôsobnosti dohľadu nad skupinou, kedy sa od dohľadu nad skupinou môže upustiť alebo kedy sa dohľad nad skupinou môže uplatniť na úrovni </w:t>
      </w:r>
      <w:proofErr w:type="spellStart"/>
      <w:r w:rsidR="005171CB">
        <w:t>prostredníckeho</w:t>
      </w:r>
      <w:proofErr w:type="spellEnd"/>
      <w:r w:rsidR="005171CB">
        <w:t xml:space="preserve"> materského podniku.</w:t>
      </w:r>
    </w:p>
    <w:p w14:paraId="2DF54626" w14:textId="366FB662" w:rsidR="005171CB" w:rsidRDefault="005171CB" w:rsidP="005171CB">
      <w:pPr>
        <w:widowControl/>
        <w:adjustRightInd/>
        <w:spacing w:line="240" w:lineRule="auto"/>
      </w:pPr>
      <w:r>
        <w:t xml:space="preserve">Články 244, 245 a 265 sa menia s cieľom rozšíriť zoznam ukazovateľov, na základe ktorých môžu orgány dohľadu nad skupinou vymedziť významné </w:t>
      </w:r>
      <w:proofErr w:type="spellStart"/>
      <w:r>
        <w:t>vnútroskupinové</w:t>
      </w:r>
      <w:proofErr w:type="spellEnd"/>
      <w:r>
        <w:t xml:space="preserve"> transakcie a koncentrácie rizík, a objasniť rozsah vykazovania </w:t>
      </w:r>
      <w:proofErr w:type="spellStart"/>
      <w:r>
        <w:t>vnútroskupinových</w:t>
      </w:r>
      <w:proofErr w:type="spellEnd"/>
      <w:r>
        <w:t xml:space="preserve"> transakcií.</w:t>
      </w:r>
      <w:r w:rsidR="00057582">
        <w:t xml:space="preserve"> Nový článok 229a ustanovuje možnosť pre orgán dohľadu </w:t>
      </w:r>
      <w:r w:rsidR="00057582" w:rsidRPr="00057582">
        <w:t>nad skupinou po konzultácii s inými dotknutými orgánmi dohľadu povoliť poisťovni alebo zaisťovni s účasťou uplatniť zjednodušený postup pri účastiach v prepojených podnikoch, ktoré sú nevýznamné.</w:t>
      </w:r>
    </w:p>
    <w:p w14:paraId="3FAAD40B" w14:textId="77777777" w:rsidR="00057582" w:rsidRDefault="00057582" w:rsidP="00D4758E">
      <w:pPr>
        <w:widowControl/>
        <w:adjustRightInd/>
        <w:spacing w:line="240" w:lineRule="auto"/>
      </w:pPr>
    </w:p>
    <w:p w14:paraId="179590F3" w14:textId="5FE683C8" w:rsidR="00057582" w:rsidRPr="004706EA" w:rsidRDefault="00057582" w:rsidP="004706EA">
      <w:pPr>
        <w:pStyle w:val="Odsekzoznamu"/>
        <w:widowControl/>
        <w:numPr>
          <w:ilvl w:val="0"/>
          <w:numId w:val="31"/>
        </w:numPr>
        <w:adjustRightInd/>
        <w:spacing w:line="240" w:lineRule="auto"/>
        <w:rPr>
          <w:b/>
        </w:rPr>
      </w:pPr>
      <w:r w:rsidRPr="004706EA">
        <w:rPr>
          <w:b/>
        </w:rPr>
        <w:t>Dohľad nad cezhraničnými poisťovacími činnosťami</w:t>
      </w:r>
    </w:p>
    <w:p w14:paraId="4E5C5287" w14:textId="77777777" w:rsidR="00057582" w:rsidRDefault="00057582" w:rsidP="00057582">
      <w:pPr>
        <w:widowControl/>
        <w:adjustRightInd/>
        <w:spacing w:line="240" w:lineRule="auto"/>
      </w:pPr>
    </w:p>
    <w:p w14:paraId="5F6CF0F4" w14:textId="7DA51E12" w:rsidR="00380B44" w:rsidRDefault="00380B44" w:rsidP="00A473B0">
      <w:pPr>
        <w:widowControl/>
        <w:adjustRightInd/>
        <w:spacing w:line="240" w:lineRule="auto"/>
      </w:pPr>
      <w:r>
        <w:t>Odsekom 6 článku 1 návrhu smernice sa mení článok 18 smernice Solventnosť II s cieľom aby žiadatelia o udelenie povolenia uviedli informáciu</w:t>
      </w:r>
      <w:r w:rsidRPr="00380B44">
        <w:t>, či bola žiadosť v inom členskom štáte o povolenie na začatie činnosti priameho poistenia alebo zaistenia alebo na začatie činnosti iného regulovaného podniku alebo distribútora poistenia zamietnutá alebo odňatá, a dôvody zamietnutia alebo odňatia</w:t>
      </w:r>
      <w:r>
        <w:t xml:space="preserve">. Návrh smernice do článku 23 smernice Solventnosť II zavádza povinnosť aby poisťovňa alebo zaisťovňa v súvislosti s procesom o udelenie povolenia informovala orgán dohľadu o </w:t>
      </w:r>
      <w:r w:rsidRPr="00380B44">
        <w:t>zamýšľanom vykonávaní cezhraničných poisťovacích činností</w:t>
      </w:r>
      <w:r>
        <w:t>. Nový článok 33a zavádza spoluprácu orgánu domovského členského štátu a hostiteľského členského štátu v</w:t>
      </w:r>
      <w:r w:rsidRPr="00380B44">
        <w:t xml:space="preserve"> prípade významných cezhraničných činností vykonávaných poisťovňami a zaisťovňami na základe práva usadiť sa alebo slobody poskytovať služby</w:t>
      </w:r>
      <w:r>
        <w:t>.</w:t>
      </w:r>
      <w:r w:rsidR="00A473B0">
        <w:t xml:space="preserve"> Nový článok 159a ustanovuje dodatočné požiadavky súvisiace s významnými cezhraničnými činnosťami, najmä upravuje aké informácie je orgánu dohľadu domovského členského štátu na žiadosť orgánu dohľadu hostiteľského členského štátu povinný predložiť v súvislosti s poisťovňami alebo </w:t>
      </w:r>
      <w:r w:rsidR="00A473B0">
        <w:lastRenderedPageBreak/>
        <w:t>zaisťovňami s významnými cezhraničnými činnosťami na území daného hostiteľského členského štátu.</w:t>
      </w:r>
    </w:p>
    <w:p w14:paraId="313833FC" w14:textId="77777777" w:rsidR="00D4758E" w:rsidRDefault="00D4758E" w:rsidP="00D4758E">
      <w:pPr>
        <w:widowControl/>
        <w:adjustRightInd/>
        <w:spacing w:line="240" w:lineRule="auto"/>
      </w:pPr>
    </w:p>
    <w:p w14:paraId="04FD1DBF" w14:textId="13F54295" w:rsidR="00D4758E" w:rsidRDefault="004706EA" w:rsidP="00D4758E">
      <w:pPr>
        <w:widowControl/>
        <w:adjustRightInd/>
        <w:spacing w:line="240" w:lineRule="auto"/>
      </w:pPr>
      <w:r>
        <w:rPr>
          <w:b/>
        </w:rPr>
        <w:t>KAPITOLA II</w:t>
      </w:r>
    </w:p>
    <w:p w14:paraId="07C95BBA" w14:textId="77777777" w:rsidR="00292457" w:rsidRPr="00D4758E" w:rsidRDefault="00292457" w:rsidP="00D4758E">
      <w:pPr>
        <w:widowControl/>
        <w:adjustRightInd/>
        <w:spacing w:line="240" w:lineRule="auto"/>
      </w:pPr>
    </w:p>
    <w:p w14:paraId="52D0ADBC" w14:textId="18773109" w:rsidR="00761780" w:rsidRPr="00D4758E" w:rsidRDefault="008D3637" w:rsidP="00D4758E">
      <w:pPr>
        <w:widowControl/>
        <w:adjustRightInd/>
        <w:spacing w:line="240" w:lineRule="auto"/>
      </w:pPr>
      <w:r>
        <w:t xml:space="preserve">V článkoch </w:t>
      </w:r>
      <w:r w:rsidR="004706EA">
        <w:t>2, 3 a 4</w:t>
      </w:r>
      <w:r>
        <w:t xml:space="preserve"> </w:t>
      </w:r>
      <w:r w:rsidR="00D4758E" w:rsidRPr="00D4758E">
        <w:t>sa uvádzajú štandardné ustanovenia a znenie, ktoré si nevyžadujú osobitné poznámky.</w:t>
      </w:r>
    </w:p>
    <w:p w14:paraId="2AA5E3DC" w14:textId="77777777" w:rsidR="00D4758E" w:rsidRDefault="00D4758E" w:rsidP="00D4758E">
      <w:pPr>
        <w:widowControl/>
        <w:adjustRightInd/>
        <w:spacing w:line="240" w:lineRule="auto"/>
        <w:jc w:val="left"/>
        <w:rPr>
          <w:b/>
        </w:rPr>
      </w:pPr>
    </w:p>
    <w:p w14:paraId="39232B3D" w14:textId="77777777" w:rsidR="00761780" w:rsidRDefault="00761780" w:rsidP="00761780">
      <w:pPr>
        <w:widowControl/>
        <w:adjustRightInd/>
        <w:spacing w:line="240" w:lineRule="auto"/>
        <w:jc w:val="left"/>
        <w:rPr>
          <w:b/>
        </w:rPr>
      </w:pPr>
      <w:r>
        <w:rPr>
          <w:b/>
        </w:rPr>
        <w:t>13.</w:t>
      </w:r>
      <w:r>
        <w:rPr>
          <w:b/>
        </w:rPr>
        <w:tab/>
      </w:r>
      <w:r w:rsidRPr="00244EE6">
        <w:rPr>
          <w:b/>
        </w:rPr>
        <w:t>Pozícia/vyjednávacia inštrukcia k predkladanému návrhu</w:t>
      </w:r>
    </w:p>
    <w:p w14:paraId="153EA578" w14:textId="77777777" w:rsidR="00761780" w:rsidRDefault="00761780" w:rsidP="00447444">
      <w:pPr>
        <w:widowControl/>
        <w:adjustRightInd/>
        <w:spacing w:line="240" w:lineRule="auto"/>
        <w:rPr>
          <w:b/>
          <w:u w:val="single"/>
        </w:rPr>
      </w:pPr>
    </w:p>
    <w:p w14:paraId="56020D6C" w14:textId="588B303A" w:rsidR="006448DE" w:rsidRDefault="006448DE" w:rsidP="00447444">
      <w:pPr>
        <w:widowControl/>
        <w:adjustRightInd/>
        <w:spacing w:line="240" w:lineRule="auto"/>
      </w:pPr>
      <w:r>
        <w:t>Slovenská republika vo všeobecnosti podporuje náv</w:t>
      </w:r>
      <w:r w:rsidR="008E424F">
        <w:t>rh smernice a jej ciele, ktorým je</w:t>
      </w:r>
      <w:r>
        <w:t xml:space="preserve"> </w:t>
      </w:r>
      <w:r w:rsidR="008E424F">
        <w:t>okrem iného</w:t>
      </w:r>
      <w:r>
        <w:t xml:space="preserve"> skvalitnenie zásady proporcionality tým, že zavádza nový koncept podnikov s nízkym rizikovým profilom s cieľom zavedenia výnimiek, ktoré sa budú aplikovať na takéto podniky v súvislosti s pôsobnosťou smernice Solventnosť II. Návrh smernice Slovenská republika podporuje aj v oblasti vylepšenia kvality dohľadu, zmien týkajúcich sa predkladania informácií a to najmä v súvislosti s podnikmi s nízkym rizikovým profilom, zmien v opatreniach týkajúcich sa dlhodobých záruk, zmien týkajúcich sa </w:t>
      </w:r>
      <w:proofErr w:type="spellStart"/>
      <w:r>
        <w:t>extrapolácie</w:t>
      </w:r>
      <w:proofErr w:type="spellEnd"/>
      <w:r>
        <w:t xml:space="preserve"> a korekcie volatility.</w:t>
      </w:r>
    </w:p>
    <w:p w14:paraId="70C3A318" w14:textId="77777777" w:rsidR="006448DE" w:rsidRDefault="006448DE" w:rsidP="00447444">
      <w:pPr>
        <w:widowControl/>
        <w:adjustRightInd/>
        <w:spacing w:line="240" w:lineRule="auto"/>
      </w:pPr>
    </w:p>
    <w:p w14:paraId="098470E8" w14:textId="12FC4EF1" w:rsidR="006448DE" w:rsidRDefault="006448DE" w:rsidP="00447444">
      <w:pPr>
        <w:widowControl/>
        <w:adjustRightInd/>
        <w:spacing w:line="240" w:lineRule="auto"/>
      </w:pPr>
      <w:r>
        <w:t>Slovenská republika súhlasí s potrebou vyjasnenia</w:t>
      </w:r>
      <w:r w:rsidR="00447444">
        <w:t xml:space="preserve"> a pozmenenia </w:t>
      </w:r>
      <w:r>
        <w:t xml:space="preserve">znení niektorých ustanovení predchádzajúcej smernice. </w:t>
      </w:r>
      <w:r w:rsidR="00447444">
        <w:t>Zmeny a ciele v návrhu smernice</w:t>
      </w:r>
      <w:r>
        <w:t xml:space="preserve"> </w:t>
      </w:r>
      <w:r w:rsidR="00447444">
        <w:t xml:space="preserve">prispejú k </w:t>
      </w:r>
      <w:r w:rsidR="00447444" w:rsidRPr="00447444">
        <w:t>fungovani</w:t>
      </w:r>
      <w:r w:rsidR="00447444">
        <w:t>u</w:t>
      </w:r>
      <w:r w:rsidR="00447444" w:rsidRPr="00447444">
        <w:t xml:space="preserve"> jednotného trhu poisťo</w:t>
      </w:r>
      <w:r w:rsidR="00447444">
        <w:t>vacích služieb a zároveň ochrane</w:t>
      </w:r>
      <w:r w:rsidR="00447444" w:rsidRPr="00447444">
        <w:t xml:space="preserve"> poistencov</w:t>
      </w:r>
      <w:r w:rsidR="00447444">
        <w:t>.</w:t>
      </w:r>
      <w:r w:rsidR="00447444" w:rsidRPr="00447444">
        <w:t xml:space="preserve"> </w:t>
      </w:r>
      <w:r>
        <w:t>Slovenská republika sa teda prikláňa k návrhu smernice, do ktorej sa začleňujú nové ustanovenia</w:t>
      </w:r>
      <w:r w:rsidR="00447444">
        <w:t xml:space="preserve"> a pozmeňujú sa pôvodné ustanovenia</w:t>
      </w:r>
      <w:r>
        <w:t xml:space="preserve"> v súlade s existujúcim právom EÚ.</w:t>
      </w:r>
    </w:p>
    <w:p w14:paraId="16E0806E" w14:textId="77777777" w:rsidR="006448DE" w:rsidRDefault="006448DE" w:rsidP="00447444">
      <w:pPr>
        <w:widowControl/>
        <w:adjustRightInd/>
        <w:spacing w:line="240" w:lineRule="auto"/>
      </w:pPr>
    </w:p>
    <w:p w14:paraId="2F368728" w14:textId="1E503643" w:rsidR="006448DE" w:rsidRDefault="006448DE" w:rsidP="00447444">
      <w:pPr>
        <w:widowControl/>
        <w:adjustRightInd/>
        <w:spacing w:line="240" w:lineRule="auto"/>
      </w:pPr>
      <w:r w:rsidRPr="006448DE">
        <w:t xml:space="preserve">Počas rokovaní bude potrebné objasnenie viacerých otázok, zadefinovanie presného rozsahu smernice a smerovanie pripomienok k návrhu tak, aby bola dosiahnutá čo najvyššia miera ochrany </w:t>
      </w:r>
      <w:r>
        <w:t>poistencov</w:t>
      </w:r>
      <w:r w:rsidRPr="006448DE">
        <w:t xml:space="preserve"> a aby sa udržal súlad s národnou legislatívou členských štátov. </w:t>
      </w:r>
    </w:p>
    <w:p w14:paraId="560E71EE" w14:textId="77777777" w:rsidR="006448DE" w:rsidRPr="00145987" w:rsidRDefault="006448DE" w:rsidP="006448DE">
      <w:pPr>
        <w:widowControl/>
        <w:adjustRightInd/>
        <w:spacing w:line="240" w:lineRule="auto"/>
        <w:jc w:val="left"/>
      </w:pPr>
    </w:p>
    <w:p w14:paraId="0DEE3F67" w14:textId="77777777" w:rsidR="00761780" w:rsidRDefault="00761780" w:rsidP="00761780">
      <w:pPr>
        <w:widowControl/>
        <w:numPr>
          <w:ilvl w:val="0"/>
          <w:numId w:val="23"/>
        </w:numPr>
        <w:overflowPunct w:val="0"/>
        <w:autoSpaceDE w:val="0"/>
        <w:autoSpaceDN w:val="0"/>
        <w:adjustRightInd/>
        <w:spacing w:line="240" w:lineRule="auto"/>
        <w:ind w:left="284" w:hanging="284"/>
        <w:jc w:val="left"/>
        <w:textAlignment w:val="auto"/>
        <w:rPr>
          <w:b/>
          <w:u w:val="single"/>
        </w:rPr>
      </w:pPr>
      <w:r>
        <w:rPr>
          <w:b/>
          <w:u w:val="single"/>
        </w:rPr>
        <w:t>DÔSLEDKY NA LEGISLATÍVU SR A ADMINISTRATÍVNU PRAX SR</w:t>
      </w:r>
    </w:p>
    <w:p w14:paraId="0802F99C" w14:textId="77777777" w:rsidR="0092707F" w:rsidRDefault="0092707F" w:rsidP="0092707F">
      <w:pPr>
        <w:widowControl/>
        <w:overflowPunct w:val="0"/>
        <w:autoSpaceDE w:val="0"/>
        <w:autoSpaceDN w:val="0"/>
        <w:adjustRightInd/>
        <w:spacing w:line="240" w:lineRule="auto"/>
      </w:pPr>
    </w:p>
    <w:p w14:paraId="752E8912" w14:textId="62A6A11F" w:rsidR="00761780" w:rsidRPr="0092707F" w:rsidRDefault="0092707F" w:rsidP="0092707F">
      <w:pPr>
        <w:widowControl/>
        <w:overflowPunct w:val="0"/>
        <w:autoSpaceDE w:val="0"/>
        <w:autoSpaceDN w:val="0"/>
        <w:adjustRightInd/>
        <w:spacing w:line="240" w:lineRule="auto"/>
      </w:pPr>
      <w:r w:rsidRPr="0092707F">
        <w:t>Návrh smernice si vyžiada prevzatie do príslušnej legislatívy v</w:t>
      </w:r>
      <w:r w:rsidR="00EC3537">
        <w:t> </w:t>
      </w:r>
      <w:r w:rsidRPr="0092707F">
        <w:t>oblasti</w:t>
      </w:r>
      <w:r w:rsidR="00EC3537">
        <w:t xml:space="preserve"> </w:t>
      </w:r>
      <w:r w:rsidR="00603A11">
        <w:t>poisťovníctva, t. j. zákona č. 39/2015</w:t>
      </w:r>
      <w:r w:rsidR="00EC3537">
        <w:t xml:space="preserve"> Z. z. </w:t>
      </w:r>
      <w:r w:rsidR="00603A11" w:rsidRPr="00603A11">
        <w:t>o poisťovníctve a o zmene a doplnení niektorých zákonov</w:t>
      </w:r>
      <w:r w:rsidR="00EC3537">
        <w:t xml:space="preserve">. </w:t>
      </w:r>
    </w:p>
    <w:p w14:paraId="154D689C" w14:textId="77777777" w:rsidR="00761780" w:rsidRDefault="00761780" w:rsidP="00761780">
      <w:pPr>
        <w:widowControl/>
        <w:overflowPunct w:val="0"/>
        <w:autoSpaceDE w:val="0"/>
        <w:autoSpaceDN w:val="0"/>
        <w:adjustRightInd/>
        <w:spacing w:line="240" w:lineRule="auto"/>
        <w:ind w:left="284"/>
        <w:jc w:val="left"/>
        <w:rPr>
          <w:b/>
          <w:u w:val="single"/>
        </w:rPr>
      </w:pPr>
    </w:p>
    <w:p w14:paraId="55B2DFE5" w14:textId="77777777" w:rsidR="00761780" w:rsidRDefault="00761780" w:rsidP="00761780">
      <w:pPr>
        <w:widowControl/>
        <w:numPr>
          <w:ilvl w:val="0"/>
          <w:numId w:val="23"/>
        </w:numPr>
        <w:overflowPunct w:val="0"/>
        <w:autoSpaceDE w:val="0"/>
        <w:autoSpaceDN w:val="0"/>
        <w:adjustRightInd/>
        <w:spacing w:line="240" w:lineRule="auto"/>
        <w:ind w:left="284" w:hanging="284"/>
        <w:jc w:val="left"/>
        <w:textAlignment w:val="auto"/>
        <w:rPr>
          <w:b/>
          <w:u w:val="single"/>
        </w:rPr>
      </w:pPr>
      <w:r>
        <w:rPr>
          <w:rStyle w:val="Vrazn"/>
          <w:color w:val="000000"/>
          <w:u w:val="single"/>
        </w:rPr>
        <w:t>VPLYVY NA VYBRAN</w:t>
      </w:r>
      <w:r w:rsidR="00BF3FF2">
        <w:rPr>
          <w:rStyle w:val="Vrazn"/>
          <w:color w:val="000000"/>
          <w:u w:val="single"/>
        </w:rPr>
        <w:t>É</w:t>
      </w:r>
      <w:r>
        <w:rPr>
          <w:rStyle w:val="Vrazn"/>
          <w:color w:val="000000"/>
          <w:u w:val="single"/>
        </w:rPr>
        <w:t xml:space="preserve"> OBLASTI</w:t>
      </w:r>
    </w:p>
    <w:p w14:paraId="4A442903" w14:textId="77777777" w:rsidR="00761780" w:rsidRDefault="00761780" w:rsidP="00761780">
      <w:pPr>
        <w:widowControl/>
        <w:adjustRightInd/>
        <w:spacing w:line="240" w:lineRule="auto"/>
        <w:ind w:left="284"/>
        <w:jc w:val="left"/>
        <w:rPr>
          <w:b/>
          <w:u w:val="single"/>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569"/>
        <w:gridCol w:w="1133"/>
        <w:gridCol w:w="547"/>
        <w:gridCol w:w="1297"/>
      </w:tblGrid>
      <w:tr w:rsidR="00761780" w:rsidRPr="00761780" w14:paraId="1EE2E27C" w14:textId="77777777" w:rsidTr="00761780">
        <w:trPr>
          <w:trHeight w:val="577"/>
        </w:trPr>
        <w:tc>
          <w:tcPr>
            <w:tcW w:w="9180" w:type="dxa"/>
            <w:gridSpan w:val="7"/>
            <w:tcBorders>
              <w:top w:val="single" w:sz="4" w:space="0" w:color="auto"/>
              <w:left w:val="single" w:sz="4" w:space="0" w:color="auto"/>
              <w:bottom w:val="single" w:sz="4" w:space="0" w:color="FFFFFF"/>
              <w:right w:val="single" w:sz="4" w:space="0" w:color="auto"/>
            </w:tcBorders>
            <w:shd w:val="clear" w:color="auto" w:fill="E2E2E2"/>
            <w:vAlign w:val="center"/>
            <w:hideMark/>
          </w:tcPr>
          <w:p w14:paraId="33E6233E" w14:textId="77777777" w:rsidR="00761780" w:rsidRDefault="00761780">
            <w:pPr>
              <w:widowControl/>
              <w:adjustRightInd/>
              <w:spacing w:line="240" w:lineRule="auto"/>
              <w:jc w:val="left"/>
              <w:rPr>
                <w:rFonts w:eastAsia="Calibri"/>
                <w:b/>
                <w:sz w:val="22"/>
                <w:szCs w:val="22"/>
                <w:lang w:eastAsia="en-US"/>
              </w:rPr>
            </w:pPr>
            <w:r>
              <w:rPr>
                <w:rFonts w:eastAsia="Calibri"/>
                <w:b/>
                <w:sz w:val="22"/>
                <w:szCs w:val="22"/>
                <w:lang w:eastAsia="en-US"/>
              </w:rPr>
              <w:t>Vplyvy navrhovaného materiálu</w:t>
            </w:r>
          </w:p>
        </w:tc>
      </w:tr>
      <w:tr w:rsidR="00957139" w:rsidRPr="00761780" w14:paraId="57FDDEE6" w14:textId="77777777" w:rsidTr="00761780">
        <w:tc>
          <w:tcPr>
            <w:tcW w:w="3812" w:type="dxa"/>
            <w:tcBorders>
              <w:top w:val="single" w:sz="4" w:space="0" w:color="auto"/>
              <w:left w:val="single" w:sz="4" w:space="0" w:color="auto"/>
              <w:bottom w:val="nil"/>
              <w:right w:val="single" w:sz="4" w:space="0" w:color="auto"/>
            </w:tcBorders>
            <w:shd w:val="clear" w:color="auto" w:fill="E2E2E2"/>
            <w:hideMark/>
          </w:tcPr>
          <w:p w14:paraId="0117642D" w14:textId="77777777" w:rsidR="00957139" w:rsidRDefault="00957139">
            <w:pPr>
              <w:widowControl/>
              <w:adjustRightInd/>
              <w:spacing w:line="240" w:lineRule="auto"/>
              <w:jc w:val="left"/>
              <w:rPr>
                <w:b/>
                <w:sz w:val="20"/>
                <w:szCs w:val="20"/>
                <w:lang w:eastAsia="en-US"/>
              </w:rPr>
            </w:pPr>
            <w:r>
              <w:rPr>
                <w:b/>
                <w:sz w:val="20"/>
                <w:szCs w:val="20"/>
                <w:lang w:eastAsia="en-US"/>
              </w:rPr>
              <w:t>Vplyvy na rozpočet verejnej správy</w:t>
            </w:r>
          </w:p>
        </w:tc>
        <w:sdt>
          <w:sdtPr>
            <w:rPr>
              <w:b/>
              <w:sz w:val="20"/>
            </w:rPr>
            <w:id w:val="1121575439"/>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hideMark/>
              </w:tcPr>
              <w:p w14:paraId="796ABD81" w14:textId="77777777" w:rsidR="00957139" w:rsidRPr="006B155A" w:rsidRDefault="00572D06" w:rsidP="005C7118">
                <w:pPr>
                  <w:jc w:val="center"/>
                  <w:rPr>
                    <w:b/>
                    <w:sz w:val="20"/>
                  </w:rPr>
                </w:pPr>
                <w:r>
                  <w:rPr>
                    <w:rFonts w:ascii="MS Gothic" w:eastAsia="MS Gothic" w:hAnsi="MS Gothic" w:hint="eastAsia"/>
                    <w:b/>
                    <w:sz w:val="20"/>
                  </w:rPr>
                  <w:t>☐</w:t>
                </w:r>
              </w:p>
            </w:tc>
          </w:sdtContent>
        </w:sdt>
        <w:tc>
          <w:tcPr>
            <w:tcW w:w="1281" w:type="dxa"/>
            <w:tcBorders>
              <w:top w:val="single" w:sz="4" w:space="0" w:color="auto"/>
              <w:left w:val="nil"/>
              <w:bottom w:val="single" w:sz="4" w:space="0" w:color="auto"/>
              <w:right w:val="nil"/>
            </w:tcBorders>
            <w:hideMark/>
          </w:tcPr>
          <w:p w14:paraId="0EF4EFAF" w14:textId="77777777" w:rsidR="00957139" w:rsidRPr="006B155A" w:rsidRDefault="00957139" w:rsidP="005C7118">
            <w:pPr>
              <w:rPr>
                <w:b/>
                <w:sz w:val="20"/>
              </w:rPr>
            </w:pPr>
            <w:r w:rsidRPr="006B155A">
              <w:rPr>
                <w:b/>
                <w:sz w:val="20"/>
              </w:rPr>
              <w:t>Pozitívne</w:t>
            </w:r>
          </w:p>
        </w:tc>
        <w:sdt>
          <w:sdtPr>
            <w:rPr>
              <w:b/>
              <w:sz w:val="20"/>
            </w:rPr>
            <w:id w:val="1425071132"/>
            <w14:checkbox>
              <w14:checked w14:val="1"/>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hideMark/>
              </w:tcPr>
              <w:p w14:paraId="659BC84A" w14:textId="77777777" w:rsidR="00957139" w:rsidRPr="006B155A" w:rsidRDefault="00040166" w:rsidP="005C7118">
                <w:pPr>
                  <w:jc w:val="center"/>
                  <w:rPr>
                    <w:b/>
                    <w:sz w:val="20"/>
                  </w:rPr>
                </w:pPr>
                <w:r>
                  <w:rPr>
                    <w:rFonts w:ascii="MS Gothic" w:eastAsia="MS Gothic" w:hAnsi="MS Gothic" w:hint="eastAsia"/>
                    <w:b/>
                    <w:sz w:val="20"/>
                  </w:rPr>
                  <w:t>☒</w:t>
                </w:r>
              </w:p>
            </w:tc>
          </w:sdtContent>
        </w:sdt>
        <w:tc>
          <w:tcPr>
            <w:tcW w:w="1133" w:type="dxa"/>
            <w:tcBorders>
              <w:top w:val="single" w:sz="4" w:space="0" w:color="auto"/>
              <w:left w:val="nil"/>
              <w:bottom w:val="single" w:sz="4" w:space="0" w:color="auto"/>
              <w:right w:val="nil"/>
            </w:tcBorders>
            <w:hideMark/>
          </w:tcPr>
          <w:p w14:paraId="245FB62C" w14:textId="77777777" w:rsidR="00957139" w:rsidRPr="006B155A" w:rsidRDefault="00957139" w:rsidP="005C7118">
            <w:pPr>
              <w:rPr>
                <w:b/>
                <w:sz w:val="20"/>
              </w:rPr>
            </w:pPr>
            <w:r w:rsidRPr="006B155A">
              <w:rPr>
                <w:b/>
                <w:sz w:val="20"/>
              </w:rPr>
              <w:t>Žiadne</w:t>
            </w:r>
          </w:p>
        </w:tc>
        <w:sdt>
          <w:sdtPr>
            <w:rPr>
              <w:b/>
              <w:sz w:val="20"/>
            </w:rPr>
            <w:id w:val="-853649096"/>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hideMark/>
              </w:tcPr>
              <w:p w14:paraId="06DC700F" w14:textId="77777777" w:rsidR="00957139" w:rsidRPr="006B155A" w:rsidRDefault="00957139" w:rsidP="005C7118">
                <w:pPr>
                  <w:ind w:left="-107" w:right="-108"/>
                  <w:jc w:val="center"/>
                  <w:rPr>
                    <w:b/>
                    <w:sz w:val="20"/>
                  </w:rPr>
                </w:pPr>
                <w:r w:rsidRPr="006B155A">
                  <w:rPr>
                    <w:rFonts w:ascii="MS Mincho" w:eastAsia="MS Mincho" w:hAnsi="MS Mincho" w:cs="MS Mincho" w:hint="eastAsia"/>
                    <w:b/>
                    <w:sz w:val="20"/>
                  </w:rPr>
                  <w:t>☐</w:t>
                </w:r>
              </w:p>
            </w:tc>
          </w:sdtContent>
        </w:sdt>
        <w:tc>
          <w:tcPr>
            <w:tcW w:w="1297" w:type="dxa"/>
            <w:tcBorders>
              <w:top w:val="single" w:sz="4" w:space="0" w:color="auto"/>
              <w:left w:val="nil"/>
              <w:bottom w:val="single" w:sz="4" w:space="0" w:color="auto"/>
              <w:right w:val="single" w:sz="4" w:space="0" w:color="auto"/>
            </w:tcBorders>
            <w:hideMark/>
          </w:tcPr>
          <w:p w14:paraId="51C39A28" w14:textId="77777777" w:rsidR="00957139" w:rsidRPr="006B155A" w:rsidRDefault="00957139" w:rsidP="005C7118">
            <w:pPr>
              <w:ind w:left="34"/>
              <w:rPr>
                <w:b/>
                <w:sz w:val="20"/>
              </w:rPr>
            </w:pPr>
            <w:r w:rsidRPr="006B155A">
              <w:rPr>
                <w:b/>
                <w:sz w:val="20"/>
              </w:rPr>
              <w:t>Negatívne</w:t>
            </w:r>
          </w:p>
        </w:tc>
      </w:tr>
      <w:tr w:rsidR="00957139" w:rsidRPr="00761780" w14:paraId="56DC26C6" w14:textId="77777777" w:rsidTr="00761780">
        <w:tc>
          <w:tcPr>
            <w:tcW w:w="3812" w:type="dxa"/>
            <w:tcBorders>
              <w:top w:val="nil"/>
              <w:left w:val="single" w:sz="4" w:space="0" w:color="auto"/>
              <w:bottom w:val="single" w:sz="4" w:space="0" w:color="000000"/>
              <w:right w:val="single" w:sz="4" w:space="0" w:color="auto"/>
            </w:tcBorders>
            <w:shd w:val="clear" w:color="auto" w:fill="E2E2E2"/>
            <w:hideMark/>
          </w:tcPr>
          <w:p w14:paraId="415D0CC0" w14:textId="77777777" w:rsidR="00957139" w:rsidRDefault="00957139">
            <w:pPr>
              <w:widowControl/>
              <w:adjustRightInd/>
              <w:spacing w:line="240" w:lineRule="auto"/>
              <w:jc w:val="left"/>
              <w:rPr>
                <w:sz w:val="20"/>
                <w:szCs w:val="20"/>
                <w:lang w:eastAsia="en-US"/>
              </w:rPr>
            </w:pPr>
            <w:r>
              <w:rPr>
                <w:sz w:val="20"/>
                <w:szCs w:val="20"/>
                <w:lang w:eastAsia="en-US"/>
              </w:rPr>
              <w:t xml:space="preserve">    z toho rozpočtovo zabezpečené vplyvy</w:t>
            </w:r>
          </w:p>
        </w:tc>
        <w:sdt>
          <w:sdtPr>
            <w:rPr>
              <w:sz w:val="20"/>
            </w:rPr>
            <w:id w:val="-5438887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hideMark/>
              </w:tcPr>
              <w:p w14:paraId="29BEEA82" w14:textId="77777777" w:rsidR="00957139" w:rsidRPr="00957139" w:rsidRDefault="007D3D61" w:rsidP="005C7118">
                <w:pPr>
                  <w:jc w:val="center"/>
                  <w:rPr>
                    <w:sz w:val="20"/>
                  </w:rPr>
                </w:pPr>
                <w:r>
                  <w:rPr>
                    <w:rFonts w:ascii="MS Gothic" w:eastAsia="MS Gothic" w:hAnsi="MS Gothic" w:hint="eastAsia"/>
                    <w:sz w:val="20"/>
                  </w:rPr>
                  <w:t>☐</w:t>
                </w:r>
              </w:p>
            </w:tc>
          </w:sdtContent>
        </w:sdt>
        <w:tc>
          <w:tcPr>
            <w:tcW w:w="1281" w:type="dxa"/>
            <w:tcBorders>
              <w:top w:val="single" w:sz="4" w:space="0" w:color="auto"/>
              <w:left w:val="nil"/>
              <w:bottom w:val="single" w:sz="4" w:space="0" w:color="auto"/>
              <w:right w:val="nil"/>
            </w:tcBorders>
            <w:hideMark/>
          </w:tcPr>
          <w:p w14:paraId="1C373F04" w14:textId="77777777" w:rsidR="00957139" w:rsidRPr="00140533" w:rsidRDefault="00957139" w:rsidP="00CC3B18">
            <w:pPr>
              <w:rPr>
                <w:sz w:val="20"/>
              </w:rPr>
            </w:pPr>
            <w:r w:rsidRPr="00140533">
              <w:rPr>
                <w:sz w:val="20"/>
              </w:rPr>
              <w:t>Áno</w:t>
            </w:r>
          </w:p>
        </w:tc>
        <w:sdt>
          <w:sdtPr>
            <w:rPr>
              <w:sz w:val="20"/>
            </w:rPr>
            <w:id w:val="1430004482"/>
            <w14:checkbox>
              <w14:checked w14:val="0"/>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hideMark/>
              </w:tcPr>
              <w:p w14:paraId="0E79425D" w14:textId="1D136842" w:rsidR="00957139" w:rsidRPr="00957139" w:rsidRDefault="00131589" w:rsidP="005C7118">
                <w:pPr>
                  <w:jc w:val="center"/>
                  <w:rPr>
                    <w:sz w:val="20"/>
                  </w:rPr>
                </w:pPr>
                <w:r>
                  <w:rPr>
                    <w:rFonts w:ascii="MS Gothic" w:eastAsia="MS Gothic" w:hAnsi="MS Gothic" w:hint="eastAsia"/>
                    <w:sz w:val="20"/>
                  </w:rPr>
                  <w:t>☐</w:t>
                </w:r>
              </w:p>
            </w:tc>
          </w:sdtContent>
        </w:sdt>
        <w:tc>
          <w:tcPr>
            <w:tcW w:w="1133" w:type="dxa"/>
            <w:tcBorders>
              <w:top w:val="single" w:sz="4" w:space="0" w:color="auto"/>
              <w:left w:val="nil"/>
              <w:bottom w:val="single" w:sz="4" w:space="0" w:color="auto"/>
              <w:right w:val="nil"/>
            </w:tcBorders>
            <w:hideMark/>
          </w:tcPr>
          <w:p w14:paraId="5CF3AF51" w14:textId="77777777" w:rsidR="00957139" w:rsidRPr="00140533" w:rsidRDefault="00957139" w:rsidP="00CC3B18">
            <w:pPr>
              <w:rPr>
                <w:sz w:val="20"/>
              </w:rPr>
            </w:pPr>
            <w:r w:rsidRPr="00140533">
              <w:rPr>
                <w:sz w:val="20"/>
              </w:rPr>
              <w:t>Nie</w:t>
            </w:r>
          </w:p>
        </w:tc>
        <w:sdt>
          <w:sdtPr>
            <w:rPr>
              <w:sz w:val="20"/>
            </w:rPr>
            <w:id w:val="907426424"/>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hideMark/>
              </w:tcPr>
              <w:p w14:paraId="0B99A5D9" w14:textId="77777777" w:rsidR="00957139" w:rsidRPr="00957139" w:rsidRDefault="00957139" w:rsidP="005C7118">
                <w:pPr>
                  <w:jc w:val="center"/>
                  <w:rPr>
                    <w:sz w:val="20"/>
                  </w:rPr>
                </w:pPr>
                <w:r w:rsidRPr="00957139">
                  <w:rPr>
                    <w:rFonts w:ascii="MS Mincho" w:eastAsia="MS Mincho" w:hAnsi="MS Mincho" w:cs="MS Mincho" w:hint="eastAsia"/>
                    <w:sz w:val="20"/>
                  </w:rPr>
                  <w:t>☐</w:t>
                </w:r>
              </w:p>
            </w:tc>
          </w:sdtContent>
        </w:sdt>
        <w:tc>
          <w:tcPr>
            <w:tcW w:w="1297" w:type="dxa"/>
            <w:tcBorders>
              <w:top w:val="single" w:sz="4" w:space="0" w:color="auto"/>
              <w:left w:val="nil"/>
              <w:bottom w:val="single" w:sz="4" w:space="0" w:color="auto"/>
              <w:right w:val="single" w:sz="4" w:space="0" w:color="auto"/>
            </w:tcBorders>
            <w:hideMark/>
          </w:tcPr>
          <w:p w14:paraId="207C2D22" w14:textId="77777777" w:rsidR="00957139" w:rsidRPr="00140533" w:rsidRDefault="00957139" w:rsidP="00CC3B18">
            <w:pPr>
              <w:ind w:left="34"/>
              <w:rPr>
                <w:sz w:val="20"/>
              </w:rPr>
            </w:pPr>
            <w:r w:rsidRPr="00140533">
              <w:rPr>
                <w:sz w:val="20"/>
              </w:rPr>
              <w:t>Čiastočne</w:t>
            </w:r>
          </w:p>
        </w:tc>
      </w:tr>
      <w:tr w:rsidR="00957139" w:rsidRPr="00761780" w14:paraId="40B4247F" w14:textId="77777777" w:rsidTr="00761780">
        <w:tc>
          <w:tcPr>
            <w:tcW w:w="3812" w:type="dxa"/>
            <w:tcBorders>
              <w:top w:val="single" w:sz="4" w:space="0" w:color="000000"/>
              <w:left w:val="single" w:sz="4" w:space="0" w:color="auto"/>
              <w:bottom w:val="nil"/>
              <w:right w:val="single" w:sz="4" w:space="0" w:color="auto"/>
            </w:tcBorders>
            <w:shd w:val="clear" w:color="auto" w:fill="E2E2E2"/>
            <w:hideMark/>
          </w:tcPr>
          <w:p w14:paraId="56C86753" w14:textId="77777777" w:rsidR="00957139" w:rsidRDefault="00957139">
            <w:pPr>
              <w:widowControl/>
              <w:adjustRightInd/>
              <w:spacing w:line="240" w:lineRule="auto"/>
              <w:jc w:val="left"/>
              <w:rPr>
                <w:b/>
                <w:sz w:val="20"/>
                <w:szCs w:val="20"/>
                <w:lang w:eastAsia="en-US"/>
              </w:rPr>
            </w:pPr>
            <w:r>
              <w:rPr>
                <w:b/>
                <w:sz w:val="20"/>
                <w:szCs w:val="20"/>
                <w:lang w:eastAsia="en-US"/>
              </w:rPr>
              <w:t>Vplyvy na podnikateľské prostredie</w:t>
            </w:r>
          </w:p>
        </w:tc>
        <w:sdt>
          <w:sdtPr>
            <w:rPr>
              <w:b/>
              <w:sz w:val="20"/>
            </w:rPr>
            <w:id w:val="-918561924"/>
            <w14:checkbox>
              <w14:checked w14:val="1"/>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hideMark/>
              </w:tcPr>
              <w:p w14:paraId="6130BC7C" w14:textId="6DCCAC18" w:rsidR="00957139" w:rsidRPr="006B155A" w:rsidRDefault="00533AE3" w:rsidP="005C7118">
                <w:pPr>
                  <w:jc w:val="center"/>
                  <w:rPr>
                    <w:b/>
                    <w:sz w:val="20"/>
                  </w:rPr>
                </w:pPr>
                <w:r>
                  <w:rPr>
                    <w:rFonts w:ascii="MS Gothic" w:eastAsia="MS Gothic" w:hAnsi="MS Gothic" w:hint="eastAsia"/>
                    <w:b/>
                    <w:sz w:val="20"/>
                  </w:rPr>
                  <w:t>☒</w:t>
                </w:r>
              </w:p>
            </w:tc>
          </w:sdtContent>
        </w:sdt>
        <w:tc>
          <w:tcPr>
            <w:tcW w:w="1281" w:type="dxa"/>
            <w:tcBorders>
              <w:top w:val="single" w:sz="4" w:space="0" w:color="auto"/>
              <w:left w:val="nil"/>
              <w:bottom w:val="single" w:sz="4" w:space="0" w:color="auto"/>
              <w:right w:val="nil"/>
            </w:tcBorders>
            <w:hideMark/>
          </w:tcPr>
          <w:p w14:paraId="25BBB904" w14:textId="77777777" w:rsidR="00957139" w:rsidRPr="00140533" w:rsidRDefault="00957139" w:rsidP="00CC3B18">
            <w:pPr>
              <w:rPr>
                <w:b/>
                <w:sz w:val="20"/>
              </w:rPr>
            </w:pPr>
            <w:r w:rsidRPr="00140533">
              <w:rPr>
                <w:b/>
                <w:sz w:val="20"/>
              </w:rPr>
              <w:t>Pozitívne</w:t>
            </w:r>
          </w:p>
        </w:tc>
        <w:sdt>
          <w:sdtPr>
            <w:rPr>
              <w:b/>
              <w:sz w:val="20"/>
            </w:rPr>
            <w:id w:val="2027368553"/>
            <w14:checkbox>
              <w14:checked w14:val="0"/>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hideMark/>
              </w:tcPr>
              <w:p w14:paraId="2DB58B5F" w14:textId="08B3534D" w:rsidR="00957139" w:rsidRPr="006B155A" w:rsidRDefault="00533AE3" w:rsidP="005C7118">
                <w:pPr>
                  <w:jc w:val="center"/>
                  <w:rPr>
                    <w:b/>
                    <w:sz w:val="20"/>
                  </w:rPr>
                </w:pPr>
                <w:r>
                  <w:rPr>
                    <w:rFonts w:ascii="MS Gothic" w:eastAsia="MS Gothic" w:hAnsi="MS Gothic" w:hint="eastAsia"/>
                    <w:b/>
                    <w:sz w:val="20"/>
                  </w:rPr>
                  <w:t>☐</w:t>
                </w:r>
              </w:p>
            </w:tc>
          </w:sdtContent>
        </w:sdt>
        <w:tc>
          <w:tcPr>
            <w:tcW w:w="1133" w:type="dxa"/>
            <w:tcBorders>
              <w:top w:val="single" w:sz="4" w:space="0" w:color="auto"/>
              <w:left w:val="nil"/>
              <w:bottom w:val="single" w:sz="4" w:space="0" w:color="auto"/>
              <w:right w:val="nil"/>
            </w:tcBorders>
            <w:hideMark/>
          </w:tcPr>
          <w:p w14:paraId="28B088D7" w14:textId="77777777" w:rsidR="00957139" w:rsidRPr="00140533" w:rsidRDefault="00957139" w:rsidP="00CC3B18">
            <w:pPr>
              <w:rPr>
                <w:b/>
                <w:sz w:val="20"/>
              </w:rPr>
            </w:pPr>
            <w:r w:rsidRPr="00140533">
              <w:rPr>
                <w:b/>
                <w:sz w:val="20"/>
              </w:rPr>
              <w:t>Žiadne</w:t>
            </w:r>
          </w:p>
        </w:tc>
        <w:sdt>
          <w:sdtPr>
            <w:rPr>
              <w:b/>
              <w:sz w:val="20"/>
            </w:rPr>
            <w:id w:val="611021819"/>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hideMark/>
              </w:tcPr>
              <w:p w14:paraId="177E64F8" w14:textId="77777777" w:rsidR="00957139" w:rsidRPr="006B155A" w:rsidRDefault="00CA25D7" w:rsidP="005C7118">
                <w:pPr>
                  <w:jc w:val="center"/>
                  <w:rPr>
                    <w:b/>
                    <w:sz w:val="20"/>
                  </w:rPr>
                </w:pPr>
                <w:r>
                  <w:rPr>
                    <w:rFonts w:ascii="MS Gothic" w:eastAsia="MS Gothic" w:hAnsi="MS Gothic" w:hint="eastAsia"/>
                    <w:b/>
                    <w:sz w:val="20"/>
                  </w:rPr>
                  <w:t>☐</w:t>
                </w:r>
              </w:p>
            </w:tc>
          </w:sdtContent>
        </w:sdt>
        <w:tc>
          <w:tcPr>
            <w:tcW w:w="1297" w:type="dxa"/>
            <w:tcBorders>
              <w:top w:val="single" w:sz="4" w:space="0" w:color="auto"/>
              <w:left w:val="nil"/>
              <w:bottom w:val="single" w:sz="4" w:space="0" w:color="auto"/>
              <w:right w:val="single" w:sz="4" w:space="0" w:color="auto"/>
            </w:tcBorders>
            <w:hideMark/>
          </w:tcPr>
          <w:p w14:paraId="66F42ECC" w14:textId="77777777" w:rsidR="00957139" w:rsidRPr="00140533" w:rsidRDefault="00957139" w:rsidP="00CC3B18">
            <w:pPr>
              <w:ind w:left="34"/>
              <w:rPr>
                <w:b/>
                <w:sz w:val="20"/>
              </w:rPr>
            </w:pPr>
            <w:r w:rsidRPr="00140533">
              <w:rPr>
                <w:b/>
                <w:sz w:val="20"/>
              </w:rPr>
              <w:t>Negatívne</w:t>
            </w:r>
          </w:p>
        </w:tc>
      </w:tr>
      <w:tr w:rsidR="00957139" w:rsidRPr="00761780" w14:paraId="12CD8B53" w14:textId="77777777" w:rsidTr="00761780">
        <w:tc>
          <w:tcPr>
            <w:tcW w:w="3812" w:type="dxa"/>
            <w:tcBorders>
              <w:top w:val="nil"/>
              <w:left w:val="single" w:sz="4" w:space="0" w:color="000000"/>
              <w:bottom w:val="single" w:sz="4" w:space="0" w:color="000000"/>
              <w:right w:val="single" w:sz="4" w:space="0" w:color="000000"/>
            </w:tcBorders>
            <w:shd w:val="clear" w:color="auto" w:fill="E2E2E2"/>
            <w:hideMark/>
          </w:tcPr>
          <w:p w14:paraId="59E8F48D" w14:textId="77777777" w:rsidR="00957139" w:rsidRDefault="00957139">
            <w:pPr>
              <w:widowControl/>
              <w:adjustRightInd/>
              <w:spacing w:line="240" w:lineRule="auto"/>
              <w:jc w:val="left"/>
              <w:rPr>
                <w:sz w:val="20"/>
                <w:szCs w:val="20"/>
                <w:lang w:eastAsia="en-US"/>
              </w:rPr>
            </w:pPr>
            <w:r>
              <w:rPr>
                <w:sz w:val="20"/>
                <w:szCs w:val="20"/>
                <w:lang w:eastAsia="en-US"/>
              </w:rPr>
              <w:t xml:space="preserve">    z toho vplyvy na MSP</w:t>
            </w:r>
          </w:p>
        </w:tc>
        <w:sdt>
          <w:sdtPr>
            <w:rPr>
              <w:sz w:val="20"/>
            </w:rPr>
            <w:id w:val="-163631517"/>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000000"/>
                  <w:bottom w:val="single" w:sz="4" w:space="0" w:color="auto"/>
                  <w:right w:val="nil"/>
                </w:tcBorders>
                <w:hideMark/>
              </w:tcPr>
              <w:p w14:paraId="58FAABF3" w14:textId="77777777" w:rsidR="00957139" w:rsidRPr="00957139" w:rsidRDefault="00CA25D7" w:rsidP="005C7118">
                <w:pPr>
                  <w:jc w:val="center"/>
                  <w:rPr>
                    <w:sz w:val="20"/>
                  </w:rPr>
                </w:pPr>
                <w:r>
                  <w:rPr>
                    <w:rFonts w:ascii="MS Gothic" w:eastAsia="MS Gothic" w:hAnsi="MS Gothic" w:hint="eastAsia"/>
                    <w:sz w:val="20"/>
                  </w:rPr>
                  <w:t>☐</w:t>
                </w:r>
              </w:p>
            </w:tc>
          </w:sdtContent>
        </w:sdt>
        <w:tc>
          <w:tcPr>
            <w:tcW w:w="1281" w:type="dxa"/>
            <w:tcBorders>
              <w:top w:val="single" w:sz="4" w:space="0" w:color="auto"/>
              <w:left w:val="nil"/>
              <w:bottom w:val="single" w:sz="4" w:space="0" w:color="auto"/>
              <w:right w:val="nil"/>
            </w:tcBorders>
            <w:hideMark/>
          </w:tcPr>
          <w:p w14:paraId="23A3643E" w14:textId="77777777" w:rsidR="00957139" w:rsidRPr="00140533" w:rsidRDefault="00C32B52" w:rsidP="00CC3B18">
            <w:pPr>
              <w:rPr>
                <w:sz w:val="20"/>
              </w:rPr>
            </w:pPr>
            <w:r>
              <w:rPr>
                <w:sz w:val="20"/>
              </w:rPr>
              <w:t>Pozitívne</w:t>
            </w:r>
          </w:p>
        </w:tc>
        <w:sdt>
          <w:sdtPr>
            <w:rPr>
              <w:sz w:val="20"/>
            </w:rPr>
            <w:id w:val="1595129085"/>
            <w14:checkbox>
              <w14:checked w14:val="0"/>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hideMark/>
              </w:tcPr>
              <w:p w14:paraId="4E4965A1" w14:textId="607604E9" w:rsidR="00957139" w:rsidRPr="00957139" w:rsidRDefault="00533AE3" w:rsidP="005C7118">
                <w:pPr>
                  <w:jc w:val="center"/>
                  <w:rPr>
                    <w:sz w:val="20"/>
                  </w:rPr>
                </w:pPr>
                <w:r>
                  <w:rPr>
                    <w:rFonts w:ascii="MS Gothic" w:eastAsia="MS Gothic" w:hAnsi="MS Gothic" w:hint="eastAsia"/>
                    <w:sz w:val="20"/>
                  </w:rPr>
                  <w:t>☐</w:t>
                </w:r>
              </w:p>
            </w:tc>
          </w:sdtContent>
        </w:sdt>
        <w:tc>
          <w:tcPr>
            <w:tcW w:w="1133" w:type="dxa"/>
            <w:tcBorders>
              <w:top w:val="single" w:sz="4" w:space="0" w:color="auto"/>
              <w:left w:val="nil"/>
              <w:bottom w:val="single" w:sz="4" w:space="0" w:color="auto"/>
              <w:right w:val="nil"/>
            </w:tcBorders>
            <w:hideMark/>
          </w:tcPr>
          <w:p w14:paraId="70CCB9C9" w14:textId="77777777" w:rsidR="00957139" w:rsidRPr="00140533" w:rsidRDefault="00C32B52" w:rsidP="00CC3B18">
            <w:pPr>
              <w:rPr>
                <w:sz w:val="20"/>
              </w:rPr>
            </w:pPr>
            <w:r>
              <w:rPr>
                <w:sz w:val="20"/>
              </w:rPr>
              <w:t>Žiadne</w:t>
            </w:r>
          </w:p>
        </w:tc>
        <w:sdt>
          <w:sdtPr>
            <w:rPr>
              <w:sz w:val="20"/>
            </w:rPr>
            <w:id w:val="-498040493"/>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hideMark/>
              </w:tcPr>
              <w:p w14:paraId="79004E39" w14:textId="77777777" w:rsidR="00957139" w:rsidRPr="00957139" w:rsidRDefault="00B739D6" w:rsidP="005C7118">
                <w:pPr>
                  <w:jc w:val="center"/>
                  <w:rPr>
                    <w:sz w:val="20"/>
                  </w:rPr>
                </w:pPr>
                <w:r>
                  <w:rPr>
                    <w:rFonts w:ascii="MS Gothic" w:eastAsia="MS Gothic" w:hAnsi="MS Gothic" w:hint="eastAsia"/>
                    <w:sz w:val="20"/>
                  </w:rPr>
                  <w:t>☐</w:t>
                </w:r>
              </w:p>
            </w:tc>
          </w:sdtContent>
        </w:sdt>
        <w:tc>
          <w:tcPr>
            <w:tcW w:w="1297" w:type="dxa"/>
            <w:tcBorders>
              <w:top w:val="single" w:sz="4" w:space="0" w:color="auto"/>
              <w:left w:val="nil"/>
              <w:bottom w:val="single" w:sz="4" w:space="0" w:color="auto"/>
              <w:right w:val="single" w:sz="4" w:space="0" w:color="auto"/>
            </w:tcBorders>
            <w:hideMark/>
          </w:tcPr>
          <w:p w14:paraId="1BC5EACD" w14:textId="77777777" w:rsidR="00957139" w:rsidRPr="00140533" w:rsidRDefault="00C32B52" w:rsidP="00CC3B18">
            <w:pPr>
              <w:ind w:left="34"/>
              <w:rPr>
                <w:sz w:val="20"/>
              </w:rPr>
            </w:pPr>
            <w:r>
              <w:rPr>
                <w:sz w:val="20"/>
              </w:rPr>
              <w:t>Negatívne</w:t>
            </w:r>
          </w:p>
        </w:tc>
      </w:tr>
      <w:tr w:rsidR="00957139" w:rsidRPr="00761780" w14:paraId="532315E7" w14:textId="77777777" w:rsidTr="00761780">
        <w:tc>
          <w:tcPr>
            <w:tcW w:w="3812" w:type="dxa"/>
            <w:tcBorders>
              <w:top w:val="single" w:sz="4" w:space="0" w:color="000000"/>
              <w:left w:val="single" w:sz="4" w:space="0" w:color="auto"/>
              <w:bottom w:val="single" w:sz="4" w:space="0" w:color="auto"/>
              <w:right w:val="single" w:sz="4" w:space="0" w:color="auto"/>
            </w:tcBorders>
            <w:shd w:val="clear" w:color="auto" w:fill="E2E2E2"/>
            <w:hideMark/>
          </w:tcPr>
          <w:p w14:paraId="7266A240" w14:textId="77777777" w:rsidR="00957139" w:rsidRDefault="00957139">
            <w:pPr>
              <w:widowControl/>
              <w:adjustRightInd/>
              <w:spacing w:line="240" w:lineRule="auto"/>
              <w:jc w:val="left"/>
              <w:rPr>
                <w:b/>
                <w:sz w:val="20"/>
                <w:szCs w:val="20"/>
                <w:lang w:eastAsia="en-US"/>
              </w:rPr>
            </w:pPr>
            <w:r>
              <w:rPr>
                <w:b/>
                <w:sz w:val="20"/>
                <w:szCs w:val="20"/>
                <w:lang w:eastAsia="en-US"/>
              </w:rPr>
              <w:t>Sociálne vplyvy</w:t>
            </w:r>
          </w:p>
        </w:tc>
        <w:sdt>
          <w:sdtPr>
            <w:rPr>
              <w:b/>
              <w:sz w:val="20"/>
            </w:rPr>
            <w:id w:val="267205313"/>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hideMark/>
              </w:tcPr>
              <w:p w14:paraId="666B6CCE" w14:textId="77777777" w:rsidR="00957139" w:rsidRPr="006B155A" w:rsidRDefault="00CA25D7" w:rsidP="005C7118">
                <w:pPr>
                  <w:jc w:val="center"/>
                  <w:rPr>
                    <w:b/>
                    <w:sz w:val="20"/>
                  </w:rPr>
                </w:pPr>
                <w:r>
                  <w:rPr>
                    <w:rFonts w:ascii="MS Gothic" w:eastAsia="MS Gothic" w:hAnsi="MS Gothic" w:hint="eastAsia"/>
                    <w:b/>
                    <w:sz w:val="20"/>
                  </w:rPr>
                  <w:t>☐</w:t>
                </w:r>
              </w:p>
            </w:tc>
          </w:sdtContent>
        </w:sdt>
        <w:tc>
          <w:tcPr>
            <w:tcW w:w="1281" w:type="dxa"/>
            <w:tcBorders>
              <w:top w:val="single" w:sz="4" w:space="0" w:color="auto"/>
              <w:left w:val="nil"/>
              <w:bottom w:val="single" w:sz="4" w:space="0" w:color="auto"/>
              <w:right w:val="nil"/>
            </w:tcBorders>
            <w:hideMark/>
          </w:tcPr>
          <w:p w14:paraId="423A08E8" w14:textId="77777777" w:rsidR="00957139" w:rsidRPr="00140533" w:rsidRDefault="00957139" w:rsidP="00CC3B18">
            <w:pPr>
              <w:rPr>
                <w:b/>
                <w:sz w:val="20"/>
              </w:rPr>
            </w:pPr>
            <w:r w:rsidRPr="00140533">
              <w:rPr>
                <w:b/>
                <w:sz w:val="20"/>
              </w:rPr>
              <w:t>Pozitívne</w:t>
            </w:r>
          </w:p>
        </w:tc>
        <w:sdt>
          <w:sdtPr>
            <w:rPr>
              <w:b/>
              <w:sz w:val="20"/>
            </w:rPr>
            <w:id w:val="376358871"/>
            <w14:checkbox>
              <w14:checked w14:val="1"/>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hideMark/>
              </w:tcPr>
              <w:p w14:paraId="47747F9A" w14:textId="77777777" w:rsidR="00957139" w:rsidRPr="006B155A" w:rsidRDefault="00CA25D7" w:rsidP="005C7118">
                <w:pPr>
                  <w:jc w:val="center"/>
                  <w:rPr>
                    <w:b/>
                    <w:sz w:val="20"/>
                  </w:rPr>
                </w:pPr>
                <w:r>
                  <w:rPr>
                    <w:rFonts w:ascii="MS Gothic" w:eastAsia="MS Gothic" w:hAnsi="MS Gothic" w:hint="eastAsia"/>
                    <w:b/>
                    <w:sz w:val="20"/>
                  </w:rPr>
                  <w:t>☒</w:t>
                </w:r>
              </w:p>
            </w:tc>
          </w:sdtContent>
        </w:sdt>
        <w:tc>
          <w:tcPr>
            <w:tcW w:w="1133" w:type="dxa"/>
            <w:tcBorders>
              <w:top w:val="single" w:sz="4" w:space="0" w:color="auto"/>
              <w:left w:val="nil"/>
              <w:bottom w:val="single" w:sz="4" w:space="0" w:color="auto"/>
              <w:right w:val="nil"/>
            </w:tcBorders>
            <w:hideMark/>
          </w:tcPr>
          <w:p w14:paraId="5B50102F" w14:textId="77777777" w:rsidR="00957139" w:rsidRPr="00140533" w:rsidRDefault="00957139" w:rsidP="00CC3B18">
            <w:pPr>
              <w:rPr>
                <w:b/>
                <w:sz w:val="20"/>
              </w:rPr>
            </w:pPr>
            <w:r w:rsidRPr="00140533">
              <w:rPr>
                <w:b/>
                <w:sz w:val="20"/>
              </w:rPr>
              <w:t>Žiadne</w:t>
            </w:r>
          </w:p>
        </w:tc>
        <w:sdt>
          <w:sdtPr>
            <w:rPr>
              <w:b/>
              <w:sz w:val="20"/>
            </w:rPr>
            <w:id w:val="-133506310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hideMark/>
              </w:tcPr>
              <w:p w14:paraId="2989C1BA" w14:textId="77777777" w:rsidR="00957139" w:rsidRPr="006B155A" w:rsidRDefault="00957139" w:rsidP="005C7118">
                <w:pPr>
                  <w:jc w:val="center"/>
                  <w:rPr>
                    <w:b/>
                    <w:sz w:val="20"/>
                  </w:rPr>
                </w:pPr>
                <w:r w:rsidRPr="006B155A">
                  <w:rPr>
                    <w:rFonts w:ascii="MS Gothic" w:eastAsia="MS Gothic" w:hAnsi="MS Gothic" w:hint="eastAsia"/>
                    <w:b/>
                    <w:sz w:val="20"/>
                  </w:rPr>
                  <w:t>☐</w:t>
                </w:r>
              </w:p>
            </w:tc>
          </w:sdtContent>
        </w:sdt>
        <w:tc>
          <w:tcPr>
            <w:tcW w:w="1297" w:type="dxa"/>
            <w:tcBorders>
              <w:top w:val="single" w:sz="4" w:space="0" w:color="auto"/>
              <w:left w:val="nil"/>
              <w:bottom w:val="single" w:sz="4" w:space="0" w:color="auto"/>
              <w:right w:val="single" w:sz="4" w:space="0" w:color="auto"/>
            </w:tcBorders>
            <w:hideMark/>
          </w:tcPr>
          <w:p w14:paraId="24D9D091" w14:textId="77777777" w:rsidR="00957139" w:rsidRPr="00140533" w:rsidRDefault="00957139" w:rsidP="00CC3B18">
            <w:pPr>
              <w:ind w:left="34"/>
              <w:rPr>
                <w:b/>
                <w:sz w:val="20"/>
              </w:rPr>
            </w:pPr>
            <w:r w:rsidRPr="00140533">
              <w:rPr>
                <w:b/>
                <w:sz w:val="20"/>
              </w:rPr>
              <w:t>Negatívne</w:t>
            </w:r>
          </w:p>
        </w:tc>
      </w:tr>
      <w:tr w:rsidR="00957139" w:rsidRPr="00761780" w14:paraId="7D1510DC" w14:textId="77777777" w:rsidTr="00761780">
        <w:tc>
          <w:tcPr>
            <w:tcW w:w="3812" w:type="dxa"/>
            <w:tcBorders>
              <w:top w:val="single" w:sz="4" w:space="0" w:color="auto"/>
              <w:left w:val="single" w:sz="4" w:space="0" w:color="auto"/>
              <w:bottom w:val="single" w:sz="4" w:space="0" w:color="auto"/>
              <w:right w:val="single" w:sz="4" w:space="0" w:color="auto"/>
            </w:tcBorders>
            <w:shd w:val="clear" w:color="auto" w:fill="E2E2E2"/>
            <w:hideMark/>
          </w:tcPr>
          <w:p w14:paraId="040C26D9" w14:textId="77777777" w:rsidR="00957139" w:rsidRDefault="00957139">
            <w:pPr>
              <w:widowControl/>
              <w:adjustRightInd/>
              <w:spacing w:line="240" w:lineRule="auto"/>
              <w:jc w:val="left"/>
              <w:rPr>
                <w:b/>
                <w:sz w:val="20"/>
                <w:szCs w:val="20"/>
                <w:lang w:eastAsia="en-US"/>
              </w:rPr>
            </w:pPr>
            <w:r>
              <w:rPr>
                <w:b/>
                <w:sz w:val="20"/>
                <w:szCs w:val="20"/>
                <w:lang w:eastAsia="en-US"/>
              </w:rPr>
              <w:t>Vplyvy na životné prostredie</w:t>
            </w:r>
          </w:p>
        </w:tc>
        <w:sdt>
          <w:sdtPr>
            <w:rPr>
              <w:b/>
              <w:sz w:val="20"/>
            </w:rPr>
            <w:id w:val="683409884"/>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hideMark/>
              </w:tcPr>
              <w:p w14:paraId="613B03D5" w14:textId="77777777" w:rsidR="00957139" w:rsidRPr="006B155A" w:rsidRDefault="00957139" w:rsidP="005C7118">
                <w:pPr>
                  <w:jc w:val="center"/>
                  <w:rPr>
                    <w:b/>
                    <w:sz w:val="20"/>
                  </w:rPr>
                </w:pPr>
                <w:r w:rsidRPr="006B155A">
                  <w:rPr>
                    <w:rFonts w:ascii="MS Gothic" w:eastAsia="MS Gothic" w:hAnsi="MS Gothic" w:hint="eastAsia"/>
                    <w:b/>
                    <w:sz w:val="20"/>
                  </w:rPr>
                  <w:t>☐</w:t>
                </w:r>
              </w:p>
            </w:tc>
          </w:sdtContent>
        </w:sdt>
        <w:tc>
          <w:tcPr>
            <w:tcW w:w="1281" w:type="dxa"/>
            <w:tcBorders>
              <w:top w:val="single" w:sz="4" w:space="0" w:color="auto"/>
              <w:left w:val="nil"/>
              <w:bottom w:val="single" w:sz="4" w:space="0" w:color="auto"/>
              <w:right w:val="nil"/>
            </w:tcBorders>
            <w:hideMark/>
          </w:tcPr>
          <w:p w14:paraId="300EFAA4" w14:textId="77777777" w:rsidR="00957139" w:rsidRPr="00140533" w:rsidRDefault="00957139" w:rsidP="00CC3B18">
            <w:pPr>
              <w:rPr>
                <w:b/>
                <w:sz w:val="20"/>
              </w:rPr>
            </w:pPr>
            <w:r w:rsidRPr="00140533">
              <w:rPr>
                <w:b/>
                <w:sz w:val="20"/>
              </w:rPr>
              <w:t>Pozitívne</w:t>
            </w:r>
          </w:p>
        </w:tc>
        <w:sdt>
          <w:sdtPr>
            <w:rPr>
              <w:b/>
              <w:sz w:val="20"/>
            </w:rPr>
            <w:id w:val="-512142308"/>
            <w14:checkbox>
              <w14:checked w14:val="1"/>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hideMark/>
              </w:tcPr>
              <w:p w14:paraId="49B22D82" w14:textId="77777777" w:rsidR="00957139" w:rsidRPr="006B155A" w:rsidRDefault="00CA25D7" w:rsidP="005C7118">
                <w:pPr>
                  <w:jc w:val="center"/>
                  <w:rPr>
                    <w:b/>
                    <w:sz w:val="20"/>
                  </w:rPr>
                </w:pPr>
                <w:r>
                  <w:rPr>
                    <w:rFonts w:ascii="MS Gothic" w:eastAsia="MS Gothic" w:hAnsi="MS Gothic" w:hint="eastAsia"/>
                    <w:b/>
                    <w:sz w:val="20"/>
                  </w:rPr>
                  <w:t>☒</w:t>
                </w:r>
              </w:p>
            </w:tc>
          </w:sdtContent>
        </w:sdt>
        <w:tc>
          <w:tcPr>
            <w:tcW w:w="1133" w:type="dxa"/>
            <w:tcBorders>
              <w:top w:val="single" w:sz="4" w:space="0" w:color="auto"/>
              <w:left w:val="nil"/>
              <w:bottom w:val="single" w:sz="4" w:space="0" w:color="auto"/>
              <w:right w:val="nil"/>
            </w:tcBorders>
            <w:hideMark/>
          </w:tcPr>
          <w:p w14:paraId="5388BC73" w14:textId="77777777" w:rsidR="00957139" w:rsidRPr="00140533" w:rsidRDefault="00957139" w:rsidP="00CC3B18">
            <w:pPr>
              <w:rPr>
                <w:b/>
                <w:sz w:val="20"/>
              </w:rPr>
            </w:pPr>
            <w:r w:rsidRPr="00140533">
              <w:rPr>
                <w:b/>
                <w:sz w:val="20"/>
              </w:rPr>
              <w:t>Žiadne</w:t>
            </w:r>
          </w:p>
        </w:tc>
        <w:sdt>
          <w:sdtPr>
            <w:rPr>
              <w:b/>
              <w:sz w:val="20"/>
            </w:rPr>
            <w:id w:val="-1960947090"/>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hideMark/>
              </w:tcPr>
              <w:p w14:paraId="3FB27B04" w14:textId="77777777" w:rsidR="00957139" w:rsidRPr="006B155A" w:rsidRDefault="00957139" w:rsidP="005C7118">
                <w:pPr>
                  <w:jc w:val="center"/>
                  <w:rPr>
                    <w:b/>
                    <w:sz w:val="20"/>
                  </w:rPr>
                </w:pPr>
                <w:r w:rsidRPr="006B155A">
                  <w:rPr>
                    <w:rFonts w:ascii="MS Gothic" w:eastAsia="MS Gothic" w:hAnsi="MS Gothic" w:hint="eastAsia"/>
                    <w:b/>
                    <w:sz w:val="20"/>
                  </w:rPr>
                  <w:t>☐</w:t>
                </w:r>
              </w:p>
            </w:tc>
          </w:sdtContent>
        </w:sdt>
        <w:tc>
          <w:tcPr>
            <w:tcW w:w="1297" w:type="dxa"/>
            <w:tcBorders>
              <w:top w:val="single" w:sz="4" w:space="0" w:color="auto"/>
              <w:left w:val="nil"/>
              <w:bottom w:val="single" w:sz="4" w:space="0" w:color="auto"/>
              <w:right w:val="single" w:sz="4" w:space="0" w:color="auto"/>
            </w:tcBorders>
            <w:hideMark/>
          </w:tcPr>
          <w:p w14:paraId="3D26303B" w14:textId="77777777" w:rsidR="00957139" w:rsidRPr="00140533" w:rsidRDefault="00957139" w:rsidP="00CC3B18">
            <w:pPr>
              <w:ind w:left="34"/>
              <w:rPr>
                <w:b/>
                <w:sz w:val="20"/>
              </w:rPr>
            </w:pPr>
            <w:r w:rsidRPr="00140533">
              <w:rPr>
                <w:b/>
                <w:sz w:val="20"/>
              </w:rPr>
              <w:t>Negatívne</w:t>
            </w:r>
          </w:p>
        </w:tc>
      </w:tr>
      <w:tr w:rsidR="00957139" w:rsidRPr="00761780" w14:paraId="289B9A9E" w14:textId="77777777" w:rsidTr="00761780">
        <w:tc>
          <w:tcPr>
            <w:tcW w:w="3812" w:type="dxa"/>
            <w:tcBorders>
              <w:top w:val="single" w:sz="4" w:space="0" w:color="auto"/>
              <w:left w:val="single" w:sz="4" w:space="0" w:color="auto"/>
              <w:bottom w:val="single" w:sz="4" w:space="0" w:color="auto"/>
              <w:right w:val="single" w:sz="4" w:space="0" w:color="auto"/>
            </w:tcBorders>
            <w:shd w:val="clear" w:color="auto" w:fill="E2E2E2"/>
            <w:hideMark/>
          </w:tcPr>
          <w:p w14:paraId="2C34C86D" w14:textId="77777777" w:rsidR="00957139" w:rsidRDefault="00957139">
            <w:pPr>
              <w:widowControl/>
              <w:adjustRightInd/>
              <w:spacing w:line="240" w:lineRule="auto"/>
              <w:jc w:val="left"/>
              <w:rPr>
                <w:b/>
                <w:sz w:val="20"/>
                <w:szCs w:val="20"/>
                <w:lang w:eastAsia="en-US"/>
              </w:rPr>
            </w:pPr>
            <w:r>
              <w:rPr>
                <w:b/>
                <w:sz w:val="20"/>
                <w:szCs w:val="20"/>
                <w:lang w:eastAsia="en-US"/>
              </w:rPr>
              <w:t>Vplyvy na informatizáciu</w:t>
            </w:r>
          </w:p>
        </w:tc>
        <w:sdt>
          <w:sdtPr>
            <w:rPr>
              <w:b/>
              <w:sz w:val="20"/>
            </w:rPr>
            <w:id w:val="1418829004"/>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hideMark/>
              </w:tcPr>
              <w:p w14:paraId="7FF9C4DA" w14:textId="77777777" w:rsidR="00957139" w:rsidRPr="006B155A" w:rsidRDefault="00040166" w:rsidP="005C7118">
                <w:pPr>
                  <w:jc w:val="center"/>
                  <w:rPr>
                    <w:b/>
                    <w:sz w:val="20"/>
                  </w:rPr>
                </w:pPr>
                <w:r>
                  <w:rPr>
                    <w:rFonts w:ascii="MS Gothic" w:eastAsia="MS Gothic" w:hAnsi="MS Gothic" w:hint="eastAsia"/>
                    <w:b/>
                    <w:sz w:val="20"/>
                  </w:rPr>
                  <w:t>☐</w:t>
                </w:r>
              </w:p>
            </w:tc>
          </w:sdtContent>
        </w:sdt>
        <w:tc>
          <w:tcPr>
            <w:tcW w:w="1281" w:type="dxa"/>
            <w:tcBorders>
              <w:top w:val="single" w:sz="4" w:space="0" w:color="auto"/>
              <w:left w:val="nil"/>
              <w:bottom w:val="single" w:sz="4" w:space="0" w:color="auto"/>
              <w:right w:val="nil"/>
            </w:tcBorders>
            <w:hideMark/>
          </w:tcPr>
          <w:p w14:paraId="2C01D56F" w14:textId="77777777" w:rsidR="00957139" w:rsidRPr="00140533" w:rsidRDefault="00957139" w:rsidP="00CC3B18">
            <w:pPr>
              <w:rPr>
                <w:b/>
                <w:sz w:val="20"/>
              </w:rPr>
            </w:pPr>
            <w:r w:rsidRPr="00140533">
              <w:rPr>
                <w:b/>
                <w:sz w:val="20"/>
              </w:rPr>
              <w:t>Pozitívne</w:t>
            </w:r>
          </w:p>
        </w:tc>
        <w:sdt>
          <w:sdtPr>
            <w:rPr>
              <w:b/>
              <w:sz w:val="20"/>
            </w:rPr>
            <w:id w:val="1744292219"/>
            <w14:checkbox>
              <w14:checked w14:val="1"/>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hideMark/>
              </w:tcPr>
              <w:p w14:paraId="5D65CF13" w14:textId="77777777" w:rsidR="00957139" w:rsidRPr="006B155A" w:rsidRDefault="00040166" w:rsidP="005C7118">
                <w:pPr>
                  <w:jc w:val="center"/>
                  <w:rPr>
                    <w:b/>
                    <w:sz w:val="20"/>
                  </w:rPr>
                </w:pPr>
                <w:r>
                  <w:rPr>
                    <w:rFonts w:ascii="MS Gothic" w:eastAsia="MS Gothic" w:hAnsi="MS Gothic" w:hint="eastAsia"/>
                    <w:b/>
                    <w:sz w:val="20"/>
                  </w:rPr>
                  <w:t>☒</w:t>
                </w:r>
              </w:p>
            </w:tc>
          </w:sdtContent>
        </w:sdt>
        <w:tc>
          <w:tcPr>
            <w:tcW w:w="1133" w:type="dxa"/>
            <w:tcBorders>
              <w:top w:val="single" w:sz="4" w:space="0" w:color="auto"/>
              <w:left w:val="nil"/>
              <w:bottom w:val="single" w:sz="4" w:space="0" w:color="auto"/>
              <w:right w:val="nil"/>
            </w:tcBorders>
            <w:hideMark/>
          </w:tcPr>
          <w:p w14:paraId="25C5FE3F" w14:textId="77777777" w:rsidR="00957139" w:rsidRPr="00140533" w:rsidRDefault="00957139" w:rsidP="00CC3B18">
            <w:pPr>
              <w:rPr>
                <w:b/>
                <w:sz w:val="20"/>
              </w:rPr>
            </w:pPr>
            <w:r w:rsidRPr="00140533">
              <w:rPr>
                <w:b/>
                <w:sz w:val="20"/>
              </w:rPr>
              <w:t>Žiadne</w:t>
            </w:r>
          </w:p>
        </w:tc>
        <w:sdt>
          <w:sdtPr>
            <w:rPr>
              <w:b/>
              <w:sz w:val="20"/>
            </w:rPr>
            <w:id w:val="1813827867"/>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hideMark/>
              </w:tcPr>
              <w:p w14:paraId="37B77168" w14:textId="77777777" w:rsidR="00957139" w:rsidRPr="006B155A" w:rsidRDefault="00957139" w:rsidP="005C7118">
                <w:pPr>
                  <w:jc w:val="center"/>
                  <w:rPr>
                    <w:b/>
                    <w:sz w:val="20"/>
                  </w:rPr>
                </w:pPr>
                <w:r w:rsidRPr="006B155A">
                  <w:rPr>
                    <w:rFonts w:ascii="MS Gothic" w:eastAsia="MS Gothic" w:hAnsi="MS Gothic" w:hint="eastAsia"/>
                    <w:b/>
                    <w:sz w:val="20"/>
                  </w:rPr>
                  <w:t>☐</w:t>
                </w:r>
              </w:p>
            </w:tc>
          </w:sdtContent>
        </w:sdt>
        <w:tc>
          <w:tcPr>
            <w:tcW w:w="1297" w:type="dxa"/>
            <w:tcBorders>
              <w:top w:val="single" w:sz="4" w:space="0" w:color="auto"/>
              <w:left w:val="nil"/>
              <w:bottom w:val="single" w:sz="4" w:space="0" w:color="auto"/>
              <w:right w:val="single" w:sz="4" w:space="0" w:color="auto"/>
            </w:tcBorders>
            <w:hideMark/>
          </w:tcPr>
          <w:p w14:paraId="1386774E" w14:textId="77777777" w:rsidR="00957139" w:rsidRPr="00140533" w:rsidRDefault="00957139" w:rsidP="00CC3B18">
            <w:pPr>
              <w:ind w:left="34"/>
              <w:rPr>
                <w:b/>
                <w:sz w:val="20"/>
              </w:rPr>
            </w:pPr>
            <w:r w:rsidRPr="00140533">
              <w:rPr>
                <w:b/>
                <w:sz w:val="20"/>
              </w:rPr>
              <w:t>Negatívne</w:t>
            </w:r>
          </w:p>
        </w:tc>
      </w:tr>
      <w:tr w:rsidR="00040166" w:rsidRPr="00761780" w14:paraId="204D238B" w14:textId="77777777" w:rsidTr="00761780">
        <w:tc>
          <w:tcPr>
            <w:tcW w:w="3812" w:type="dxa"/>
            <w:tcBorders>
              <w:top w:val="single" w:sz="4" w:space="0" w:color="auto"/>
              <w:left w:val="single" w:sz="4" w:space="0" w:color="auto"/>
              <w:bottom w:val="single" w:sz="4" w:space="0" w:color="auto"/>
              <w:right w:val="single" w:sz="4" w:space="0" w:color="auto"/>
            </w:tcBorders>
            <w:shd w:val="clear" w:color="auto" w:fill="E2E2E2"/>
          </w:tcPr>
          <w:p w14:paraId="74876A79" w14:textId="77777777" w:rsidR="00040166" w:rsidRDefault="00040166" w:rsidP="00040166">
            <w:pPr>
              <w:widowControl/>
              <w:adjustRightInd/>
              <w:spacing w:line="240" w:lineRule="auto"/>
              <w:jc w:val="left"/>
              <w:rPr>
                <w:b/>
                <w:sz w:val="20"/>
                <w:szCs w:val="20"/>
                <w:lang w:eastAsia="en-US"/>
              </w:rPr>
            </w:pPr>
            <w:r>
              <w:rPr>
                <w:b/>
                <w:sz w:val="20"/>
                <w:szCs w:val="20"/>
                <w:lang w:eastAsia="en-US"/>
              </w:rPr>
              <w:t>Vplyvy na manželstvo, rodičovstvo a</w:t>
            </w:r>
            <w:r w:rsidR="00C57B1E">
              <w:rPr>
                <w:b/>
                <w:sz w:val="20"/>
                <w:szCs w:val="20"/>
                <w:lang w:eastAsia="en-US"/>
              </w:rPr>
              <w:t> </w:t>
            </w:r>
            <w:r>
              <w:rPr>
                <w:b/>
                <w:sz w:val="20"/>
                <w:szCs w:val="20"/>
                <w:lang w:eastAsia="en-US"/>
              </w:rPr>
              <w:t>rodinu</w:t>
            </w:r>
          </w:p>
        </w:tc>
        <w:sdt>
          <w:sdtPr>
            <w:rPr>
              <w:b/>
              <w:sz w:val="20"/>
            </w:rPr>
            <w:id w:val="1230506787"/>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tcPr>
              <w:p w14:paraId="0A0CA450" w14:textId="77777777" w:rsidR="00040166" w:rsidRPr="006B155A" w:rsidRDefault="00040166" w:rsidP="00040166">
                <w:pPr>
                  <w:jc w:val="center"/>
                  <w:rPr>
                    <w:b/>
                    <w:sz w:val="20"/>
                  </w:rPr>
                </w:pPr>
                <w:r>
                  <w:rPr>
                    <w:rFonts w:ascii="MS Gothic" w:eastAsia="MS Gothic" w:hAnsi="MS Gothic" w:hint="eastAsia"/>
                    <w:b/>
                    <w:sz w:val="20"/>
                  </w:rPr>
                  <w:t>☐</w:t>
                </w:r>
              </w:p>
            </w:tc>
          </w:sdtContent>
        </w:sdt>
        <w:tc>
          <w:tcPr>
            <w:tcW w:w="1281" w:type="dxa"/>
            <w:tcBorders>
              <w:top w:val="single" w:sz="4" w:space="0" w:color="auto"/>
              <w:left w:val="nil"/>
              <w:bottom w:val="single" w:sz="4" w:space="0" w:color="auto"/>
              <w:right w:val="nil"/>
            </w:tcBorders>
          </w:tcPr>
          <w:p w14:paraId="22084A63" w14:textId="77777777" w:rsidR="00040166" w:rsidRPr="00140533" w:rsidRDefault="00040166" w:rsidP="00040166">
            <w:pPr>
              <w:rPr>
                <w:b/>
                <w:sz w:val="20"/>
              </w:rPr>
            </w:pPr>
            <w:r w:rsidRPr="00140533">
              <w:rPr>
                <w:b/>
                <w:sz w:val="20"/>
              </w:rPr>
              <w:t>Pozitívne</w:t>
            </w:r>
          </w:p>
        </w:tc>
        <w:sdt>
          <w:sdtPr>
            <w:rPr>
              <w:b/>
              <w:sz w:val="20"/>
            </w:rPr>
            <w:id w:val="-1745104660"/>
            <w14:checkbox>
              <w14:checked w14:val="1"/>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tcPr>
              <w:p w14:paraId="331A69B8" w14:textId="77777777" w:rsidR="00040166" w:rsidRPr="006B155A" w:rsidRDefault="00040166" w:rsidP="00040166">
                <w:pPr>
                  <w:jc w:val="center"/>
                  <w:rPr>
                    <w:b/>
                    <w:sz w:val="20"/>
                  </w:rPr>
                </w:pPr>
                <w:r>
                  <w:rPr>
                    <w:rFonts w:ascii="MS Gothic" w:eastAsia="MS Gothic" w:hAnsi="MS Gothic" w:hint="eastAsia"/>
                    <w:b/>
                    <w:sz w:val="20"/>
                  </w:rPr>
                  <w:t>☒</w:t>
                </w:r>
              </w:p>
            </w:tc>
          </w:sdtContent>
        </w:sdt>
        <w:tc>
          <w:tcPr>
            <w:tcW w:w="1133" w:type="dxa"/>
            <w:tcBorders>
              <w:top w:val="single" w:sz="4" w:space="0" w:color="auto"/>
              <w:left w:val="nil"/>
              <w:bottom w:val="single" w:sz="4" w:space="0" w:color="auto"/>
              <w:right w:val="nil"/>
            </w:tcBorders>
          </w:tcPr>
          <w:p w14:paraId="175682B3" w14:textId="77777777" w:rsidR="00040166" w:rsidRPr="00140533" w:rsidRDefault="00040166" w:rsidP="00040166">
            <w:pPr>
              <w:rPr>
                <w:b/>
                <w:sz w:val="20"/>
              </w:rPr>
            </w:pPr>
            <w:r w:rsidRPr="00140533">
              <w:rPr>
                <w:b/>
                <w:sz w:val="20"/>
              </w:rPr>
              <w:t>Žiadne</w:t>
            </w:r>
          </w:p>
        </w:tc>
        <w:sdt>
          <w:sdtPr>
            <w:rPr>
              <w:b/>
              <w:sz w:val="20"/>
            </w:rPr>
            <w:id w:val="1664816814"/>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tcPr>
              <w:p w14:paraId="6CE0D21C" w14:textId="77777777" w:rsidR="00040166" w:rsidRPr="006B155A" w:rsidRDefault="00040166" w:rsidP="00040166">
                <w:pPr>
                  <w:jc w:val="center"/>
                  <w:rPr>
                    <w:b/>
                    <w:sz w:val="20"/>
                  </w:rPr>
                </w:pPr>
                <w:r w:rsidRPr="006B155A">
                  <w:rPr>
                    <w:rFonts w:ascii="MS Gothic" w:eastAsia="MS Gothic" w:hAnsi="MS Gothic" w:hint="eastAsia"/>
                    <w:b/>
                    <w:sz w:val="20"/>
                  </w:rPr>
                  <w:t>☐</w:t>
                </w:r>
              </w:p>
            </w:tc>
          </w:sdtContent>
        </w:sdt>
        <w:tc>
          <w:tcPr>
            <w:tcW w:w="1297" w:type="dxa"/>
            <w:tcBorders>
              <w:top w:val="single" w:sz="4" w:space="0" w:color="auto"/>
              <w:left w:val="nil"/>
              <w:bottom w:val="single" w:sz="4" w:space="0" w:color="auto"/>
              <w:right w:val="single" w:sz="4" w:space="0" w:color="auto"/>
            </w:tcBorders>
          </w:tcPr>
          <w:p w14:paraId="07E96826" w14:textId="77777777" w:rsidR="00040166" w:rsidRPr="00140533" w:rsidRDefault="00040166" w:rsidP="00040166">
            <w:pPr>
              <w:ind w:left="34"/>
              <w:rPr>
                <w:b/>
                <w:sz w:val="20"/>
              </w:rPr>
            </w:pPr>
            <w:r w:rsidRPr="00140533">
              <w:rPr>
                <w:b/>
                <w:sz w:val="20"/>
              </w:rPr>
              <w:t>Negatívne</w:t>
            </w:r>
          </w:p>
        </w:tc>
      </w:tr>
      <w:tr w:rsidR="00040166" w:rsidRPr="00A179AE" w14:paraId="73A44D23" w14:textId="77777777" w:rsidTr="008D3F6A">
        <w:tc>
          <w:tcPr>
            <w:tcW w:w="3812" w:type="dxa"/>
            <w:tcBorders>
              <w:top w:val="single" w:sz="4" w:space="0" w:color="auto"/>
              <w:left w:val="single" w:sz="4" w:space="0" w:color="auto"/>
              <w:bottom w:val="nil"/>
              <w:right w:val="single" w:sz="4" w:space="0" w:color="auto"/>
            </w:tcBorders>
            <w:shd w:val="clear" w:color="auto" w:fill="E2E2E2"/>
          </w:tcPr>
          <w:p w14:paraId="4A5945A4" w14:textId="77777777" w:rsidR="00040166" w:rsidRPr="00653ADA" w:rsidRDefault="00040166" w:rsidP="00040166">
            <w:pPr>
              <w:spacing w:line="240" w:lineRule="auto"/>
              <w:rPr>
                <w:b/>
                <w:sz w:val="20"/>
                <w:szCs w:val="20"/>
              </w:rPr>
            </w:pPr>
            <w:r>
              <w:rPr>
                <w:rFonts w:eastAsia="Calibri"/>
                <w:b/>
                <w:sz w:val="20"/>
                <w:szCs w:val="20"/>
                <w:lang w:eastAsia="en-US"/>
              </w:rPr>
              <w:t>V</w:t>
            </w:r>
            <w:r w:rsidRPr="00127DAC">
              <w:rPr>
                <w:rFonts w:eastAsia="Calibri"/>
                <w:b/>
                <w:sz w:val="20"/>
                <w:szCs w:val="20"/>
                <w:lang w:eastAsia="en-US"/>
              </w:rPr>
              <w:t>plyv</w:t>
            </w:r>
            <w:r>
              <w:rPr>
                <w:rFonts w:eastAsia="Calibri"/>
                <w:b/>
                <w:sz w:val="20"/>
                <w:szCs w:val="20"/>
                <w:lang w:eastAsia="en-US"/>
              </w:rPr>
              <w:t>y</w:t>
            </w:r>
            <w:r w:rsidRPr="00127DAC">
              <w:rPr>
                <w:rFonts w:eastAsia="Calibri"/>
                <w:b/>
                <w:sz w:val="20"/>
                <w:szCs w:val="20"/>
                <w:lang w:eastAsia="en-US"/>
              </w:rPr>
              <w:t xml:space="preserve"> na služby verejnej správy pre občana</w:t>
            </w:r>
            <w:r>
              <w:rPr>
                <w:rFonts w:eastAsia="Calibri"/>
                <w:b/>
                <w:sz w:val="20"/>
                <w:szCs w:val="20"/>
                <w:lang w:eastAsia="en-US"/>
              </w:rPr>
              <w:t>, z</w:t>
            </w:r>
            <w:r w:rsidR="00C57B1E">
              <w:rPr>
                <w:rFonts w:eastAsia="Calibri"/>
                <w:b/>
                <w:sz w:val="20"/>
                <w:szCs w:val="20"/>
                <w:lang w:eastAsia="en-US"/>
              </w:rPr>
              <w:t> </w:t>
            </w:r>
            <w:r>
              <w:rPr>
                <w:rFonts w:eastAsia="Calibri"/>
                <w:b/>
                <w:sz w:val="20"/>
                <w:szCs w:val="20"/>
                <w:lang w:eastAsia="en-US"/>
              </w:rPr>
              <w:t>toho</w:t>
            </w:r>
          </w:p>
        </w:tc>
        <w:tc>
          <w:tcPr>
            <w:tcW w:w="541" w:type="dxa"/>
            <w:tcBorders>
              <w:top w:val="single" w:sz="4" w:space="0" w:color="auto"/>
              <w:left w:val="single" w:sz="4" w:space="0" w:color="auto"/>
              <w:bottom w:val="nil"/>
              <w:right w:val="nil"/>
            </w:tcBorders>
            <w:shd w:val="clear" w:color="auto" w:fill="auto"/>
          </w:tcPr>
          <w:p w14:paraId="5DD17C9E" w14:textId="77777777" w:rsidR="00040166" w:rsidRPr="00653ADA" w:rsidRDefault="00040166" w:rsidP="00040166">
            <w:pPr>
              <w:spacing w:line="240" w:lineRule="auto"/>
              <w:jc w:val="center"/>
              <w:rPr>
                <w:rFonts w:eastAsia="MS Mincho"/>
                <w:b/>
                <w:sz w:val="20"/>
                <w:szCs w:val="20"/>
              </w:rPr>
            </w:pPr>
          </w:p>
        </w:tc>
        <w:tc>
          <w:tcPr>
            <w:tcW w:w="1281" w:type="dxa"/>
            <w:tcBorders>
              <w:top w:val="single" w:sz="4" w:space="0" w:color="auto"/>
              <w:left w:val="nil"/>
              <w:bottom w:val="nil"/>
              <w:right w:val="nil"/>
            </w:tcBorders>
            <w:shd w:val="clear" w:color="auto" w:fill="auto"/>
          </w:tcPr>
          <w:p w14:paraId="48A6A3A6" w14:textId="77777777" w:rsidR="00040166" w:rsidRPr="00653ADA" w:rsidRDefault="00040166" w:rsidP="00040166">
            <w:pPr>
              <w:spacing w:line="240" w:lineRule="auto"/>
              <w:ind w:right="-108"/>
              <w:rPr>
                <w:b/>
                <w:sz w:val="20"/>
                <w:szCs w:val="20"/>
              </w:rPr>
            </w:pPr>
          </w:p>
        </w:tc>
        <w:tc>
          <w:tcPr>
            <w:tcW w:w="569" w:type="dxa"/>
            <w:tcBorders>
              <w:top w:val="single" w:sz="4" w:space="0" w:color="auto"/>
              <w:left w:val="nil"/>
              <w:bottom w:val="nil"/>
              <w:right w:val="nil"/>
            </w:tcBorders>
            <w:shd w:val="clear" w:color="auto" w:fill="auto"/>
          </w:tcPr>
          <w:p w14:paraId="3BE0E083" w14:textId="77777777" w:rsidR="00040166" w:rsidRPr="00653ADA" w:rsidRDefault="00040166" w:rsidP="00040166">
            <w:pPr>
              <w:spacing w:line="240" w:lineRule="auto"/>
              <w:jc w:val="center"/>
              <w:rPr>
                <w:rFonts w:eastAsia="MS Mincho"/>
                <w:b/>
                <w:sz w:val="20"/>
                <w:szCs w:val="20"/>
              </w:rPr>
            </w:pPr>
          </w:p>
        </w:tc>
        <w:tc>
          <w:tcPr>
            <w:tcW w:w="1133" w:type="dxa"/>
            <w:tcBorders>
              <w:top w:val="single" w:sz="4" w:space="0" w:color="auto"/>
              <w:left w:val="nil"/>
              <w:bottom w:val="nil"/>
              <w:right w:val="nil"/>
            </w:tcBorders>
            <w:shd w:val="clear" w:color="auto" w:fill="auto"/>
          </w:tcPr>
          <w:p w14:paraId="3D11C6D3" w14:textId="77777777" w:rsidR="00040166" w:rsidRPr="00653ADA" w:rsidRDefault="00040166" w:rsidP="00040166">
            <w:pPr>
              <w:spacing w:line="240" w:lineRule="auto"/>
              <w:rPr>
                <w:b/>
                <w:sz w:val="20"/>
                <w:szCs w:val="20"/>
              </w:rPr>
            </w:pPr>
          </w:p>
        </w:tc>
        <w:tc>
          <w:tcPr>
            <w:tcW w:w="547" w:type="dxa"/>
            <w:tcBorders>
              <w:top w:val="single" w:sz="4" w:space="0" w:color="auto"/>
              <w:left w:val="nil"/>
              <w:bottom w:val="nil"/>
              <w:right w:val="nil"/>
            </w:tcBorders>
            <w:shd w:val="clear" w:color="auto" w:fill="auto"/>
          </w:tcPr>
          <w:p w14:paraId="6E056032" w14:textId="77777777" w:rsidR="00040166" w:rsidRPr="00653ADA" w:rsidRDefault="00040166" w:rsidP="00040166">
            <w:pPr>
              <w:spacing w:line="240" w:lineRule="auto"/>
              <w:jc w:val="center"/>
              <w:rPr>
                <w:rFonts w:eastAsia="MS Mincho"/>
                <w:b/>
                <w:sz w:val="20"/>
                <w:szCs w:val="20"/>
              </w:rPr>
            </w:pPr>
          </w:p>
        </w:tc>
        <w:tc>
          <w:tcPr>
            <w:tcW w:w="1297" w:type="dxa"/>
            <w:tcBorders>
              <w:top w:val="single" w:sz="4" w:space="0" w:color="auto"/>
              <w:left w:val="nil"/>
              <w:bottom w:val="nil"/>
              <w:right w:val="single" w:sz="4" w:space="0" w:color="auto"/>
            </w:tcBorders>
            <w:shd w:val="clear" w:color="auto" w:fill="auto"/>
          </w:tcPr>
          <w:p w14:paraId="5F484C4F" w14:textId="77777777" w:rsidR="00040166" w:rsidRPr="00653ADA" w:rsidRDefault="00040166" w:rsidP="00040166">
            <w:pPr>
              <w:spacing w:line="240" w:lineRule="auto"/>
              <w:ind w:left="54"/>
              <w:rPr>
                <w:b/>
                <w:sz w:val="20"/>
                <w:szCs w:val="20"/>
              </w:rPr>
            </w:pPr>
          </w:p>
        </w:tc>
      </w:tr>
      <w:tr w:rsidR="00040166" w:rsidRPr="00A179AE" w14:paraId="04953DDE" w14:textId="77777777" w:rsidTr="008D3F6A">
        <w:tc>
          <w:tcPr>
            <w:tcW w:w="3812" w:type="dxa"/>
            <w:tcBorders>
              <w:top w:val="nil"/>
              <w:left w:val="single" w:sz="4" w:space="0" w:color="auto"/>
              <w:bottom w:val="nil"/>
              <w:right w:val="single" w:sz="4" w:space="0" w:color="auto"/>
            </w:tcBorders>
            <w:shd w:val="clear" w:color="auto" w:fill="E2E2E2"/>
          </w:tcPr>
          <w:p w14:paraId="01301AC6" w14:textId="77777777" w:rsidR="00040166" w:rsidRPr="00E57B5B" w:rsidRDefault="00040166" w:rsidP="00040166">
            <w:pPr>
              <w:spacing w:line="240" w:lineRule="auto"/>
              <w:ind w:left="196" w:hanging="196"/>
              <w:rPr>
                <w:rFonts w:eastAsia="Calibri"/>
                <w:b/>
                <w:sz w:val="20"/>
                <w:szCs w:val="20"/>
                <w:lang w:eastAsia="en-US"/>
              </w:rPr>
            </w:pPr>
            <w:r w:rsidRPr="00E57B5B">
              <w:rPr>
                <w:rFonts w:eastAsia="Calibri"/>
                <w:b/>
                <w:sz w:val="20"/>
                <w:szCs w:val="20"/>
                <w:lang w:eastAsia="en-US"/>
              </w:rPr>
              <w:t xml:space="preserve">    vplyv</w:t>
            </w:r>
            <w:r>
              <w:rPr>
                <w:rFonts w:eastAsia="Calibri"/>
                <w:b/>
                <w:sz w:val="20"/>
                <w:szCs w:val="20"/>
                <w:lang w:eastAsia="en-US"/>
              </w:rPr>
              <w:t>y</w:t>
            </w:r>
            <w:r w:rsidRPr="00E57B5B">
              <w:rPr>
                <w:rFonts w:eastAsia="Calibri"/>
                <w:b/>
                <w:sz w:val="20"/>
                <w:szCs w:val="20"/>
                <w:lang w:eastAsia="en-US"/>
              </w:rPr>
              <w:t xml:space="preserve"> služ</w:t>
            </w:r>
            <w:r>
              <w:rPr>
                <w:rFonts w:eastAsia="Calibri"/>
                <w:b/>
                <w:sz w:val="20"/>
                <w:szCs w:val="20"/>
                <w:lang w:eastAsia="en-US"/>
              </w:rPr>
              <w:t>ieb</w:t>
            </w:r>
            <w:r w:rsidRPr="00E57B5B">
              <w:rPr>
                <w:rFonts w:eastAsia="Calibri"/>
                <w:b/>
                <w:sz w:val="20"/>
                <w:szCs w:val="20"/>
                <w:lang w:eastAsia="en-US"/>
              </w:rPr>
              <w:t xml:space="preserve"> verejnej správy </w:t>
            </w:r>
            <w:r>
              <w:rPr>
                <w:rFonts w:eastAsia="Calibri"/>
                <w:b/>
                <w:sz w:val="20"/>
                <w:szCs w:val="20"/>
                <w:lang w:eastAsia="en-US"/>
              </w:rPr>
              <w:t>na</w:t>
            </w:r>
            <w:r w:rsidRPr="00E57B5B">
              <w:rPr>
                <w:rFonts w:eastAsia="Calibri"/>
                <w:b/>
                <w:sz w:val="20"/>
                <w:szCs w:val="20"/>
                <w:lang w:eastAsia="en-US"/>
              </w:rPr>
              <w:t xml:space="preserve"> </w:t>
            </w:r>
            <w:r w:rsidRPr="00E57B5B">
              <w:rPr>
                <w:rFonts w:eastAsia="Calibri"/>
                <w:b/>
                <w:sz w:val="20"/>
                <w:szCs w:val="20"/>
                <w:lang w:eastAsia="en-US"/>
              </w:rPr>
              <w:lastRenderedPageBreak/>
              <w:t>občana</w:t>
            </w:r>
          </w:p>
        </w:tc>
        <w:sdt>
          <w:sdtPr>
            <w:rPr>
              <w:b/>
              <w:sz w:val="20"/>
            </w:rPr>
            <w:id w:val="-1940285632"/>
            <w14:checkbox>
              <w14:checked w14:val="0"/>
              <w14:checkedState w14:val="2612" w14:font="MS Gothic"/>
              <w14:uncheckedState w14:val="2610" w14:font="MS Gothic"/>
            </w14:checkbox>
          </w:sdtPr>
          <w:sdtEndPr/>
          <w:sdtContent>
            <w:tc>
              <w:tcPr>
                <w:tcW w:w="541" w:type="dxa"/>
                <w:tcBorders>
                  <w:top w:val="nil"/>
                  <w:left w:val="single" w:sz="4" w:space="0" w:color="auto"/>
                  <w:bottom w:val="nil"/>
                  <w:right w:val="nil"/>
                </w:tcBorders>
                <w:shd w:val="clear" w:color="auto" w:fill="auto"/>
              </w:tcPr>
              <w:p w14:paraId="2D7FD681" w14:textId="77777777" w:rsidR="00040166" w:rsidRPr="006B155A" w:rsidRDefault="00040166" w:rsidP="00040166">
                <w:pPr>
                  <w:jc w:val="center"/>
                  <w:rPr>
                    <w:b/>
                    <w:sz w:val="20"/>
                  </w:rPr>
                </w:pPr>
                <w:r w:rsidRPr="006B155A">
                  <w:rPr>
                    <w:rFonts w:ascii="MS Gothic" w:eastAsia="MS Gothic" w:hAnsi="MS Gothic" w:hint="eastAsia"/>
                    <w:b/>
                    <w:sz w:val="20"/>
                  </w:rPr>
                  <w:t>☐</w:t>
                </w:r>
              </w:p>
            </w:tc>
          </w:sdtContent>
        </w:sdt>
        <w:tc>
          <w:tcPr>
            <w:tcW w:w="1281" w:type="dxa"/>
            <w:tcBorders>
              <w:top w:val="nil"/>
              <w:left w:val="nil"/>
              <w:bottom w:val="nil"/>
              <w:right w:val="nil"/>
            </w:tcBorders>
            <w:shd w:val="clear" w:color="auto" w:fill="auto"/>
          </w:tcPr>
          <w:p w14:paraId="1C54CBAA" w14:textId="77777777" w:rsidR="00040166" w:rsidRPr="00140533" w:rsidRDefault="00040166" w:rsidP="00040166">
            <w:pPr>
              <w:rPr>
                <w:b/>
                <w:sz w:val="20"/>
              </w:rPr>
            </w:pPr>
            <w:r w:rsidRPr="00140533">
              <w:rPr>
                <w:b/>
                <w:sz w:val="20"/>
              </w:rPr>
              <w:t>Pozitívne</w:t>
            </w:r>
          </w:p>
        </w:tc>
        <w:sdt>
          <w:sdtPr>
            <w:rPr>
              <w:b/>
              <w:sz w:val="20"/>
            </w:rPr>
            <w:id w:val="-1270237900"/>
            <w14:checkbox>
              <w14:checked w14:val="1"/>
              <w14:checkedState w14:val="2612" w14:font="MS Gothic"/>
              <w14:uncheckedState w14:val="2610" w14:font="MS Gothic"/>
            </w14:checkbox>
          </w:sdtPr>
          <w:sdtEndPr/>
          <w:sdtContent>
            <w:tc>
              <w:tcPr>
                <w:tcW w:w="569" w:type="dxa"/>
                <w:tcBorders>
                  <w:top w:val="nil"/>
                  <w:left w:val="nil"/>
                  <w:bottom w:val="nil"/>
                  <w:right w:val="nil"/>
                </w:tcBorders>
                <w:shd w:val="clear" w:color="auto" w:fill="auto"/>
              </w:tcPr>
              <w:p w14:paraId="7C15EB98" w14:textId="77777777" w:rsidR="00040166" w:rsidRPr="006B155A" w:rsidRDefault="00040166" w:rsidP="00040166">
                <w:pPr>
                  <w:jc w:val="center"/>
                  <w:rPr>
                    <w:b/>
                    <w:sz w:val="20"/>
                  </w:rPr>
                </w:pPr>
                <w:r>
                  <w:rPr>
                    <w:rFonts w:ascii="MS Gothic" w:eastAsia="MS Gothic" w:hAnsi="MS Gothic" w:hint="eastAsia"/>
                    <w:b/>
                    <w:sz w:val="20"/>
                  </w:rPr>
                  <w:t>☒</w:t>
                </w:r>
              </w:p>
            </w:tc>
          </w:sdtContent>
        </w:sdt>
        <w:tc>
          <w:tcPr>
            <w:tcW w:w="1133" w:type="dxa"/>
            <w:tcBorders>
              <w:top w:val="nil"/>
              <w:left w:val="nil"/>
              <w:bottom w:val="nil"/>
              <w:right w:val="nil"/>
            </w:tcBorders>
            <w:shd w:val="clear" w:color="auto" w:fill="auto"/>
          </w:tcPr>
          <w:p w14:paraId="6FFC1C91" w14:textId="77777777" w:rsidR="00040166" w:rsidRPr="00140533" w:rsidRDefault="00040166" w:rsidP="00040166">
            <w:pPr>
              <w:rPr>
                <w:b/>
                <w:sz w:val="20"/>
              </w:rPr>
            </w:pPr>
            <w:r w:rsidRPr="00140533">
              <w:rPr>
                <w:b/>
                <w:sz w:val="20"/>
              </w:rPr>
              <w:t>Žiadne</w:t>
            </w:r>
          </w:p>
        </w:tc>
        <w:sdt>
          <w:sdtPr>
            <w:rPr>
              <w:b/>
              <w:sz w:val="20"/>
            </w:rPr>
            <w:id w:val="-1358033384"/>
            <w14:checkbox>
              <w14:checked w14:val="0"/>
              <w14:checkedState w14:val="2612" w14:font="MS Gothic"/>
              <w14:uncheckedState w14:val="2610" w14:font="MS Gothic"/>
            </w14:checkbox>
          </w:sdtPr>
          <w:sdtEndPr/>
          <w:sdtContent>
            <w:tc>
              <w:tcPr>
                <w:tcW w:w="547" w:type="dxa"/>
                <w:tcBorders>
                  <w:top w:val="nil"/>
                  <w:left w:val="nil"/>
                  <w:bottom w:val="nil"/>
                  <w:right w:val="nil"/>
                </w:tcBorders>
                <w:shd w:val="clear" w:color="auto" w:fill="auto"/>
              </w:tcPr>
              <w:p w14:paraId="35E0CFF3" w14:textId="77777777" w:rsidR="00040166" w:rsidRPr="006B155A" w:rsidRDefault="00040166" w:rsidP="00040166">
                <w:pPr>
                  <w:jc w:val="center"/>
                  <w:rPr>
                    <w:b/>
                    <w:sz w:val="20"/>
                  </w:rPr>
                </w:pPr>
                <w:r w:rsidRPr="006B155A">
                  <w:rPr>
                    <w:rFonts w:ascii="MS Gothic" w:eastAsia="MS Gothic" w:hAnsi="MS Gothic" w:hint="eastAsia"/>
                    <w:b/>
                    <w:sz w:val="20"/>
                  </w:rPr>
                  <w:t>☐</w:t>
                </w:r>
              </w:p>
            </w:tc>
          </w:sdtContent>
        </w:sdt>
        <w:tc>
          <w:tcPr>
            <w:tcW w:w="1297" w:type="dxa"/>
            <w:tcBorders>
              <w:top w:val="nil"/>
              <w:left w:val="nil"/>
              <w:bottom w:val="nil"/>
              <w:right w:val="single" w:sz="4" w:space="0" w:color="auto"/>
            </w:tcBorders>
            <w:shd w:val="clear" w:color="auto" w:fill="auto"/>
          </w:tcPr>
          <w:p w14:paraId="0C967F10" w14:textId="77777777" w:rsidR="00040166" w:rsidRPr="00140533" w:rsidRDefault="00040166" w:rsidP="00040166">
            <w:pPr>
              <w:ind w:left="34"/>
              <w:rPr>
                <w:b/>
                <w:sz w:val="20"/>
              </w:rPr>
            </w:pPr>
            <w:r w:rsidRPr="00140533">
              <w:rPr>
                <w:b/>
                <w:sz w:val="20"/>
              </w:rPr>
              <w:t>Negatívne</w:t>
            </w:r>
          </w:p>
        </w:tc>
      </w:tr>
      <w:tr w:rsidR="00040166" w:rsidRPr="00A179AE" w14:paraId="3D821EF0" w14:textId="77777777" w:rsidTr="008D3F6A">
        <w:tc>
          <w:tcPr>
            <w:tcW w:w="3812" w:type="dxa"/>
            <w:tcBorders>
              <w:top w:val="nil"/>
              <w:left w:val="single" w:sz="4" w:space="0" w:color="auto"/>
              <w:bottom w:val="single" w:sz="4" w:space="0" w:color="auto"/>
              <w:right w:val="single" w:sz="4" w:space="0" w:color="auto"/>
            </w:tcBorders>
            <w:shd w:val="clear" w:color="auto" w:fill="E2E2E2"/>
          </w:tcPr>
          <w:p w14:paraId="6C7311D6" w14:textId="77777777" w:rsidR="00040166" w:rsidRPr="00E57B5B" w:rsidRDefault="00040166" w:rsidP="00040166">
            <w:pPr>
              <w:spacing w:line="240" w:lineRule="auto"/>
              <w:ind w:left="168" w:hanging="168"/>
              <w:rPr>
                <w:rFonts w:eastAsia="Calibri"/>
                <w:b/>
                <w:sz w:val="20"/>
                <w:szCs w:val="20"/>
                <w:lang w:eastAsia="en-US"/>
              </w:rPr>
            </w:pPr>
            <w:r w:rsidRPr="00E57B5B">
              <w:rPr>
                <w:rFonts w:eastAsia="Calibri"/>
                <w:b/>
                <w:sz w:val="20"/>
                <w:szCs w:val="20"/>
                <w:lang w:eastAsia="en-US"/>
              </w:rPr>
              <w:t>....vplyv</w:t>
            </w:r>
            <w:r>
              <w:rPr>
                <w:rFonts w:eastAsia="Calibri"/>
                <w:b/>
                <w:sz w:val="20"/>
                <w:szCs w:val="20"/>
                <w:lang w:eastAsia="en-US"/>
              </w:rPr>
              <w:t>y</w:t>
            </w:r>
            <w:r w:rsidRPr="00E57B5B">
              <w:rPr>
                <w:rFonts w:eastAsia="Calibri"/>
                <w:b/>
                <w:sz w:val="20"/>
                <w:szCs w:val="20"/>
                <w:lang w:eastAsia="en-US"/>
              </w:rPr>
              <w:t xml:space="preserve"> na procesy služieb vo verejnej správe</w:t>
            </w:r>
          </w:p>
        </w:tc>
        <w:sdt>
          <w:sdtPr>
            <w:rPr>
              <w:b/>
              <w:sz w:val="20"/>
            </w:rPr>
            <w:id w:val="-1115671161"/>
            <w14:checkbox>
              <w14:checked w14:val="0"/>
              <w14:checkedState w14:val="2612" w14:font="MS Gothic"/>
              <w14:uncheckedState w14:val="2610" w14:font="MS Gothic"/>
            </w14:checkbox>
          </w:sdtPr>
          <w:sdtEndPr/>
          <w:sdtContent>
            <w:tc>
              <w:tcPr>
                <w:tcW w:w="541" w:type="dxa"/>
                <w:tcBorders>
                  <w:top w:val="nil"/>
                  <w:left w:val="single" w:sz="4" w:space="0" w:color="auto"/>
                  <w:bottom w:val="single" w:sz="4" w:space="0" w:color="auto"/>
                  <w:right w:val="nil"/>
                </w:tcBorders>
                <w:shd w:val="clear" w:color="auto" w:fill="auto"/>
              </w:tcPr>
              <w:p w14:paraId="158034AF" w14:textId="77777777" w:rsidR="00040166" w:rsidRPr="006B155A" w:rsidRDefault="00040166" w:rsidP="00040166">
                <w:pPr>
                  <w:jc w:val="center"/>
                  <w:rPr>
                    <w:b/>
                    <w:sz w:val="20"/>
                  </w:rPr>
                </w:pPr>
                <w:r w:rsidRPr="006B155A">
                  <w:rPr>
                    <w:rFonts w:ascii="MS Gothic" w:eastAsia="MS Gothic" w:hAnsi="MS Gothic" w:hint="eastAsia"/>
                    <w:b/>
                    <w:sz w:val="20"/>
                  </w:rPr>
                  <w:t>☐</w:t>
                </w:r>
              </w:p>
            </w:tc>
          </w:sdtContent>
        </w:sdt>
        <w:tc>
          <w:tcPr>
            <w:tcW w:w="1281" w:type="dxa"/>
            <w:tcBorders>
              <w:top w:val="nil"/>
              <w:left w:val="nil"/>
              <w:bottom w:val="single" w:sz="4" w:space="0" w:color="auto"/>
              <w:right w:val="nil"/>
            </w:tcBorders>
            <w:shd w:val="clear" w:color="auto" w:fill="auto"/>
          </w:tcPr>
          <w:p w14:paraId="7271CD73" w14:textId="77777777" w:rsidR="00040166" w:rsidRPr="00140533" w:rsidRDefault="00040166" w:rsidP="00040166">
            <w:pPr>
              <w:rPr>
                <w:b/>
                <w:sz w:val="20"/>
              </w:rPr>
            </w:pPr>
            <w:r w:rsidRPr="00140533">
              <w:rPr>
                <w:b/>
                <w:sz w:val="20"/>
              </w:rPr>
              <w:t>Pozitívne</w:t>
            </w:r>
          </w:p>
        </w:tc>
        <w:sdt>
          <w:sdtPr>
            <w:rPr>
              <w:b/>
              <w:sz w:val="20"/>
            </w:rPr>
            <w:id w:val="-220295070"/>
            <w14:checkbox>
              <w14:checked w14:val="1"/>
              <w14:checkedState w14:val="2612" w14:font="MS Gothic"/>
              <w14:uncheckedState w14:val="2610" w14:font="MS Gothic"/>
            </w14:checkbox>
          </w:sdtPr>
          <w:sdtEndPr/>
          <w:sdtContent>
            <w:tc>
              <w:tcPr>
                <w:tcW w:w="569" w:type="dxa"/>
                <w:tcBorders>
                  <w:top w:val="nil"/>
                  <w:left w:val="nil"/>
                  <w:bottom w:val="single" w:sz="4" w:space="0" w:color="auto"/>
                  <w:right w:val="nil"/>
                </w:tcBorders>
                <w:shd w:val="clear" w:color="auto" w:fill="auto"/>
              </w:tcPr>
              <w:p w14:paraId="12E3B79B" w14:textId="77777777" w:rsidR="00040166" w:rsidRPr="006B155A" w:rsidRDefault="00040166" w:rsidP="00040166">
                <w:pPr>
                  <w:jc w:val="center"/>
                  <w:rPr>
                    <w:b/>
                    <w:sz w:val="20"/>
                  </w:rPr>
                </w:pPr>
                <w:r>
                  <w:rPr>
                    <w:rFonts w:ascii="MS Gothic" w:eastAsia="MS Gothic" w:hAnsi="MS Gothic" w:hint="eastAsia"/>
                    <w:b/>
                    <w:sz w:val="20"/>
                  </w:rPr>
                  <w:t>☒</w:t>
                </w:r>
              </w:p>
            </w:tc>
          </w:sdtContent>
        </w:sdt>
        <w:tc>
          <w:tcPr>
            <w:tcW w:w="1133" w:type="dxa"/>
            <w:tcBorders>
              <w:top w:val="nil"/>
              <w:left w:val="nil"/>
              <w:bottom w:val="single" w:sz="4" w:space="0" w:color="auto"/>
              <w:right w:val="nil"/>
            </w:tcBorders>
            <w:shd w:val="clear" w:color="auto" w:fill="auto"/>
          </w:tcPr>
          <w:p w14:paraId="45076E7B" w14:textId="77777777" w:rsidR="00040166" w:rsidRPr="00140533" w:rsidRDefault="00040166" w:rsidP="00040166">
            <w:pPr>
              <w:rPr>
                <w:b/>
                <w:sz w:val="20"/>
              </w:rPr>
            </w:pPr>
            <w:r w:rsidRPr="00140533">
              <w:rPr>
                <w:b/>
                <w:sz w:val="20"/>
              </w:rPr>
              <w:t>Žiadne</w:t>
            </w:r>
          </w:p>
        </w:tc>
        <w:sdt>
          <w:sdtPr>
            <w:rPr>
              <w:b/>
              <w:sz w:val="20"/>
            </w:rPr>
            <w:id w:val="-229854382"/>
            <w14:checkbox>
              <w14:checked w14:val="0"/>
              <w14:checkedState w14:val="2612" w14:font="MS Gothic"/>
              <w14:uncheckedState w14:val="2610" w14:font="MS Gothic"/>
            </w14:checkbox>
          </w:sdtPr>
          <w:sdtEndPr/>
          <w:sdtContent>
            <w:tc>
              <w:tcPr>
                <w:tcW w:w="547" w:type="dxa"/>
                <w:tcBorders>
                  <w:top w:val="nil"/>
                  <w:left w:val="nil"/>
                  <w:bottom w:val="single" w:sz="4" w:space="0" w:color="auto"/>
                  <w:right w:val="nil"/>
                </w:tcBorders>
                <w:shd w:val="clear" w:color="auto" w:fill="auto"/>
              </w:tcPr>
              <w:p w14:paraId="49262EDD" w14:textId="77777777" w:rsidR="00040166" w:rsidRPr="006B155A" w:rsidRDefault="00040166" w:rsidP="00040166">
                <w:pPr>
                  <w:jc w:val="center"/>
                  <w:rPr>
                    <w:b/>
                    <w:sz w:val="20"/>
                  </w:rPr>
                </w:pPr>
                <w:r w:rsidRPr="006B155A">
                  <w:rPr>
                    <w:rFonts w:ascii="MS Gothic" w:eastAsia="MS Gothic" w:hAnsi="MS Gothic" w:hint="eastAsia"/>
                    <w:b/>
                    <w:sz w:val="20"/>
                  </w:rPr>
                  <w:t>☐</w:t>
                </w:r>
              </w:p>
            </w:tc>
          </w:sdtContent>
        </w:sdt>
        <w:tc>
          <w:tcPr>
            <w:tcW w:w="1297" w:type="dxa"/>
            <w:tcBorders>
              <w:top w:val="nil"/>
              <w:left w:val="nil"/>
              <w:bottom w:val="single" w:sz="4" w:space="0" w:color="auto"/>
              <w:right w:val="single" w:sz="4" w:space="0" w:color="auto"/>
            </w:tcBorders>
            <w:shd w:val="clear" w:color="auto" w:fill="auto"/>
          </w:tcPr>
          <w:p w14:paraId="58E0A761" w14:textId="77777777" w:rsidR="00040166" w:rsidRPr="00140533" w:rsidRDefault="00040166" w:rsidP="00040166">
            <w:pPr>
              <w:ind w:left="34"/>
              <w:rPr>
                <w:b/>
                <w:sz w:val="20"/>
              </w:rPr>
            </w:pPr>
            <w:r w:rsidRPr="00140533">
              <w:rPr>
                <w:b/>
                <w:sz w:val="20"/>
              </w:rPr>
              <w:t>Negatívne</w:t>
            </w:r>
          </w:p>
        </w:tc>
      </w:tr>
    </w:tbl>
    <w:p w14:paraId="43E9A9D7" w14:textId="77777777" w:rsidR="00CA25D7" w:rsidRDefault="00CA25D7" w:rsidP="00761780">
      <w:pPr>
        <w:widowControl/>
        <w:adjustRightInd/>
        <w:spacing w:line="240" w:lineRule="auto"/>
        <w:jc w:val="left"/>
      </w:pPr>
    </w:p>
    <w:p w14:paraId="2F1CA7B1" w14:textId="05EFDF2A" w:rsidR="00020B46" w:rsidRDefault="00020B46" w:rsidP="00CA25D7">
      <w:pPr>
        <w:widowControl/>
        <w:adjustRightInd/>
        <w:spacing w:line="240" w:lineRule="auto"/>
      </w:pPr>
      <w:r w:rsidRPr="00020B46">
        <w:t>V tejto fáze návrhu právneho aktu EÚ nie je možné uskutočniť detailné posúdenie vplyvov, ani ich kvantifikáciu (ani vo forme expertného odhadu) v zmysle aktualizovanej Jednotnej</w:t>
      </w:r>
      <w:r>
        <w:t xml:space="preserve"> metodiky posudzovania vplyvov. A</w:t>
      </w:r>
      <w:r w:rsidRPr="00020B46">
        <w:t xml:space="preserve">ko nasvedčujú aj prvé rokovania </w:t>
      </w:r>
      <w:r>
        <w:t xml:space="preserve">o návrhu v pracovných skupinách, </w:t>
      </w:r>
      <w:r w:rsidRPr="00020B46">
        <w:t xml:space="preserve">gestor očakáva, že návrh prejde počas zákonodarného procesu </w:t>
      </w:r>
      <w:r>
        <w:t>určitými obsahovými zmenami</w:t>
      </w:r>
      <w:r w:rsidRPr="00020B46">
        <w:t>. Aj malá zmena v niektorom zo základných parametrov návrhu môže priniesť zmeny pokiaľ ide o posudzované vplyvy.</w:t>
      </w:r>
    </w:p>
    <w:p w14:paraId="15459F9E" w14:textId="77777777" w:rsidR="00F14AA6" w:rsidRDefault="00F14AA6" w:rsidP="00CA25D7">
      <w:pPr>
        <w:widowControl/>
        <w:adjustRightInd/>
        <w:spacing w:line="240" w:lineRule="auto"/>
      </w:pPr>
    </w:p>
    <w:p w14:paraId="162D0CD8" w14:textId="31640D7E" w:rsidR="00E00122" w:rsidRDefault="00E00122" w:rsidP="00CA25D7">
      <w:pPr>
        <w:widowControl/>
        <w:adjustRightInd/>
        <w:spacing w:line="240" w:lineRule="auto"/>
      </w:pPr>
      <w:r>
        <w:t xml:space="preserve">Gestor návrhu očakáva pozitívne vplyvy na podnikateľské prostredie. Návrh smernice zlepšuje a rozširuje princíp proporcionality a to najmä tým, </w:t>
      </w:r>
      <w:r w:rsidR="002B1F2C">
        <w:t xml:space="preserve">že zavádza nový koncept </w:t>
      </w:r>
      <w:r>
        <w:t xml:space="preserve">podnikov s nízkym </w:t>
      </w:r>
      <w:r w:rsidR="00896308">
        <w:t>rizikovým profilom a</w:t>
      </w:r>
      <w:r w:rsidR="00CB735E">
        <w:t xml:space="preserve"> zároveň</w:t>
      </w:r>
      <w:r w:rsidR="00896308">
        <w:t xml:space="preserve"> zavádza výnimky, ktoré sa budú na tieto podniky aplikovať v súvislosti s pôsobnosťou smernice Solventnosť II. </w:t>
      </w:r>
      <w:r w:rsidR="00CB735E">
        <w:t>V návrhu smernice sa zvyšujú</w:t>
      </w:r>
      <w:r w:rsidR="00CB735E" w:rsidRPr="00CB735E">
        <w:t xml:space="preserve"> prahové hodnoty pre vylúčenie z rozsahu pôsobnosti smernice Solventnosť II s cieľom umožniť vylúčenie väčšieho počtu malých podnikov. </w:t>
      </w:r>
      <w:r w:rsidR="00CB735E">
        <w:t xml:space="preserve">Uvedené zmeny budú mať za následok, že </w:t>
      </w:r>
      <w:r>
        <w:t>viac poisťovní bude mimo režimu smernice Solventnosť II</w:t>
      </w:r>
      <w:r w:rsidR="00CB735E">
        <w:t xml:space="preserve"> a tie na ktoré sa režim smernice Solventnosť II bude naďalej aplikovať budú mať jednoduchšie zaobchádzanie. Tieto zmeny prinesú najmä zníženie</w:t>
      </w:r>
      <w:r>
        <w:t xml:space="preserve"> </w:t>
      </w:r>
      <w:r w:rsidR="00CB735E">
        <w:t>administratívnej záťaže, čo bude mať na poisťovne významný pozitívny vplyv.</w:t>
      </w:r>
      <w:r w:rsidR="00643DF1" w:rsidRPr="00643DF1">
        <w:t xml:space="preserve"> </w:t>
      </w:r>
      <w:r w:rsidR="003D0954">
        <w:t>Predpokladá sa</w:t>
      </w:r>
      <w:r w:rsidR="00643DF1" w:rsidRPr="00643DF1">
        <w:t xml:space="preserve">, že po prijatí návrhu smernice a následnej transpozície do slovenského právneho poriadku </w:t>
      </w:r>
      <w:r w:rsidR="000A44CC">
        <w:t>sa budú</w:t>
      </w:r>
      <w:r w:rsidR="00643DF1" w:rsidRPr="00643DF1">
        <w:t xml:space="preserve"> vedieť</w:t>
      </w:r>
      <w:r w:rsidR="00643DF1">
        <w:t xml:space="preserve"> jednoznačnejšie </w:t>
      </w:r>
      <w:r w:rsidR="00643DF1" w:rsidRPr="00643DF1">
        <w:t>identifikovať a vyčísliť vplyvy na podnikateľské prostredie</w:t>
      </w:r>
    </w:p>
    <w:p w14:paraId="4F02890B" w14:textId="77777777" w:rsidR="002B1F2C" w:rsidRDefault="002B1F2C" w:rsidP="00CA25D7">
      <w:pPr>
        <w:widowControl/>
        <w:adjustRightInd/>
        <w:spacing w:line="240" w:lineRule="auto"/>
      </w:pPr>
    </w:p>
    <w:p w14:paraId="694D7362" w14:textId="0DC96B43" w:rsidR="00643DF1" w:rsidRDefault="00643DF1" w:rsidP="00CA25D7">
      <w:pPr>
        <w:widowControl/>
        <w:adjustRightInd/>
        <w:spacing w:line="240" w:lineRule="auto"/>
      </w:pPr>
      <w:r>
        <w:t xml:space="preserve">Gestor návrhu nepredpokladá, že pri transpozícii smernice identifikuje vplyvy </w:t>
      </w:r>
      <w:r w:rsidRPr="00643DF1">
        <w:t>na rozpočet verejnej správy,</w:t>
      </w:r>
      <w:r>
        <w:t xml:space="preserve"> sociálne vplyvy,</w:t>
      </w:r>
      <w:r w:rsidRPr="00643DF1">
        <w:t xml:space="preserve"> vplyvy na životné prostredie, vplyvy na informatizáciu, vplyvy na manželstvo, rodičovstvo a rodinu a ani vplyvy na služby verejnej správy pre občana.</w:t>
      </w:r>
    </w:p>
    <w:p w14:paraId="032494F4" w14:textId="77777777" w:rsidR="00643DF1" w:rsidRDefault="00643DF1" w:rsidP="00CA25D7">
      <w:pPr>
        <w:widowControl/>
        <w:adjustRightInd/>
        <w:spacing w:line="240" w:lineRule="auto"/>
      </w:pPr>
    </w:p>
    <w:p w14:paraId="18955B58" w14:textId="77777777" w:rsidR="004173E0" w:rsidRDefault="004173E0" w:rsidP="00CA25D7">
      <w:pPr>
        <w:widowControl/>
        <w:adjustRightInd/>
        <w:spacing w:line="240" w:lineRule="auto"/>
      </w:pPr>
    </w:p>
    <w:p w14:paraId="5E213579" w14:textId="77777777" w:rsidR="003D7C35" w:rsidRDefault="003D7C35" w:rsidP="00CA25D7">
      <w:pPr>
        <w:widowControl/>
        <w:adjustRightInd/>
        <w:spacing w:line="240" w:lineRule="auto"/>
      </w:pPr>
    </w:p>
    <w:p w14:paraId="3B0D5D8A" w14:textId="77777777" w:rsidR="003D7C35" w:rsidRDefault="003D7C35" w:rsidP="00CA25D7">
      <w:pPr>
        <w:widowControl/>
        <w:adjustRightInd/>
        <w:spacing w:line="240" w:lineRule="auto"/>
      </w:pPr>
    </w:p>
    <w:p w14:paraId="6E9E704E" w14:textId="77777777" w:rsidR="00296798" w:rsidRDefault="00296798" w:rsidP="00CA25D7">
      <w:pPr>
        <w:widowControl/>
        <w:adjustRightInd/>
        <w:spacing w:line="240" w:lineRule="auto"/>
      </w:pPr>
    </w:p>
    <w:p w14:paraId="4F475633" w14:textId="77777777" w:rsidR="00296798" w:rsidRDefault="00296798" w:rsidP="00CA25D7">
      <w:pPr>
        <w:widowControl/>
        <w:adjustRightInd/>
        <w:spacing w:line="240" w:lineRule="auto"/>
      </w:pPr>
    </w:p>
    <w:sectPr w:rsidR="00296798" w:rsidSect="00033F71">
      <w:footerReference w:type="default" r:id="rId12"/>
      <w:pgSz w:w="11906" w:h="16838"/>
      <w:pgMar w:top="1178" w:right="1418" w:bottom="96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BDC8C" w14:textId="77777777" w:rsidR="006E3831" w:rsidRDefault="006E3831">
      <w:r>
        <w:separator/>
      </w:r>
    </w:p>
  </w:endnote>
  <w:endnote w:type="continuationSeparator" w:id="0">
    <w:p w14:paraId="70BD074D" w14:textId="77777777" w:rsidR="006E3831" w:rsidRDefault="006E3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oronto">
    <w:altName w:val="Times New Roman"/>
    <w:charset w:val="00"/>
    <w:family w:val="auto"/>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364B9" w14:textId="77777777" w:rsidR="00033F71" w:rsidRDefault="00033F71">
    <w:pPr>
      <w:pStyle w:val="Pta"/>
      <w:jc w:val="right"/>
    </w:pPr>
    <w:r>
      <w:fldChar w:fldCharType="begin"/>
    </w:r>
    <w:r>
      <w:instrText>PAGE   \* MERGEFORMAT</w:instrText>
    </w:r>
    <w:r>
      <w:fldChar w:fldCharType="separate"/>
    </w:r>
    <w:r w:rsidR="009D7F11">
      <w:rPr>
        <w:noProof/>
      </w:rPr>
      <w:t>1</w:t>
    </w:r>
    <w:r>
      <w:fldChar w:fldCharType="end"/>
    </w:r>
  </w:p>
  <w:p w14:paraId="2CCBE9E5" w14:textId="77777777" w:rsidR="009C2704" w:rsidRPr="00DA3A35" w:rsidRDefault="009C2704" w:rsidP="00F15ABC">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7AC34" w14:textId="77777777" w:rsidR="006E3831" w:rsidRDefault="006E3831">
      <w:r>
        <w:separator/>
      </w:r>
    </w:p>
  </w:footnote>
  <w:footnote w:type="continuationSeparator" w:id="0">
    <w:p w14:paraId="16F04A07" w14:textId="77777777" w:rsidR="006E3831" w:rsidRDefault="006E38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9"/>
    <w:lvl w:ilvl="0">
      <w:start w:val="10"/>
      <w:numFmt w:val="bullet"/>
      <w:lvlText w:val="-"/>
      <w:lvlJc w:val="left"/>
      <w:pPr>
        <w:tabs>
          <w:tab w:val="num" w:pos="0"/>
        </w:tabs>
        <w:ind w:left="720" w:hanging="360"/>
      </w:pPr>
      <w:rPr>
        <w:rFonts w:ascii="Times New Roman" w:hAnsi="Times New Roman"/>
      </w:rPr>
    </w:lvl>
  </w:abstractNum>
  <w:abstractNum w:abstractNumId="1" w15:restartNumberingAfterBreak="0">
    <w:nsid w:val="019F5FEC"/>
    <w:multiLevelType w:val="hybridMultilevel"/>
    <w:tmpl w:val="5CF482D2"/>
    <w:lvl w:ilvl="0" w:tplc="F2C4CBB2">
      <w:start w:val="1"/>
      <w:numFmt w:val="decimal"/>
      <w:pStyle w:val="qwe"/>
      <w:lvlText w:val="%1."/>
      <w:lvlJc w:val="left"/>
      <w:pPr>
        <w:tabs>
          <w:tab w:val="num" w:pos="360"/>
        </w:tabs>
        <w:ind w:left="360" w:hanging="360"/>
      </w:pPr>
      <w:rPr>
        <w:rFonts w:ascii="Times New Roman" w:hAnsi="Times New Roman" w:cs="Times New Roman" w:hint="default"/>
        <w:b w:val="0"/>
        <w:i w:val="0"/>
        <w:color w:val="auto"/>
        <w:sz w:val="22"/>
        <w:szCs w:val="22"/>
      </w:rPr>
    </w:lvl>
    <w:lvl w:ilvl="1" w:tplc="FFFFFFFF">
      <w:start w:val="1"/>
      <w:numFmt w:val="bullet"/>
      <w:lvlText w:val=""/>
      <w:lvlJc w:val="left"/>
      <w:pPr>
        <w:tabs>
          <w:tab w:val="num" w:pos="1440"/>
        </w:tabs>
        <w:ind w:left="1440" w:hanging="360"/>
      </w:pPr>
      <w:rPr>
        <w:rFonts w:ascii="Symbol" w:hAnsi="Symbol" w:hint="default"/>
        <w:sz w:val="18"/>
        <w:szCs w:val="18"/>
      </w:rPr>
    </w:lvl>
    <w:lvl w:ilvl="2" w:tplc="FFFFFFFF">
      <w:start w:val="1"/>
      <w:numFmt w:val="decimal"/>
      <w:lvlText w:val="%3)"/>
      <w:lvlJc w:val="left"/>
      <w:pPr>
        <w:tabs>
          <w:tab w:val="num" w:pos="2340"/>
        </w:tabs>
        <w:ind w:left="2340" w:hanging="360"/>
      </w:pPr>
      <w:rPr>
        <w:rFonts w:hint="default"/>
        <w:u w:val="none"/>
      </w:rPr>
    </w:lvl>
    <w:lvl w:ilvl="3" w:tplc="FFFFFFFF">
      <w:numFmt w:val="bullet"/>
      <w:lvlText w:val="-"/>
      <w:lvlJc w:val="left"/>
      <w:pPr>
        <w:tabs>
          <w:tab w:val="num" w:pos="2880"/>
        </w:tabs>
        <w:ind w:left="2880" w:hanging="360"/>
      </w:pPr>
      <w:rPr>
        <w:rFonts w:ascii="Times New Roman" w:eastAsia="MS Mincho" w:hAnsi="Times New Roman" w:cs="Times New Roman"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CEB556E"/>
    <w:multiLevelType w:val="hybridMultilevel"/>
    <w:tmpl w:val="5E02DA36"/>
    <w:lvl w:ilvl="0" w:tplc="12BC3B38">
      <w:start w:val="1"/>
      <w:numFmt w:val="lowerLetter"/>
      <w:lvlText w:val="%1)"/>
      <w:lvlJc w:val="left"/>
      <w:pPr>
        <w:ind w:left="1080" w:hanging="360"/>
      </w:pPr>
      <w:rPr>
        <w:rFonts w:cs="Times New Roman"/>
      </w:rPr>
    </w:lvl>
    <w:lvl w:ilvl="1" w:tplc="041B0019">
      <w:start w:val="1"/>
      <w:numFmt w:val="lowerLetter"/>
      <w:lvlText w:val="%2."/>
      <w:lvlJc w:val="left"/>
      <w:pPr>
        <w:ind w:left="1800" w:hanging="360"/>
      </w:pPr>
      <w:rPr>
        <w:rFonts w:cs="Times New Roman"/>
      </w:rPr>
    </w:lvl>
    <w:lvl w:ilvl="2" w:tplc="041B001B">
      <w:start w:val="1"/>
      <w:numFmt w:val="lowerRoman"/>
      <w:lvlText w:val="%3."/>
      <w:lvlJc w:val="right"/>
      <w:pPr>
        <w:ind w:left="2520" w:hanging="180"/>
      </w:pPr>
      <w:rPr>
        <w:rFonts w:cs="Times New Roman"/>
      </w:rPr>
    </w:lvl>
    <w:lvl w:ilvl="3" w:tplc="041B000F">
      <w:start w:val="1"/>
      <w:numFmt w:val="decimal"/>
      <w:lvlText w:val="%4."/>
      <w:lvlJc w:val="left"/>
      <w:pPr>
        <w:ind w:left="3240" w:hanging="360"/>
      </w:pPr>
      <w:rPr>
        <w:rFonts w:cs="Times New Roman"/>
      </w:rPr>
    </w:lvl>
    <w:lvl w:ilvl="4" w:tplc="041B0019">
      <w:start w:val="1"/>
      <w:numFmt w:val="lowerLetter"/>
      <w:lvlText w:val="%5."/>
      <w:lvlJc w:val="left"/>
      <w:pPr>
        <w:ind w:left="3960" w:hanging="360"/>
      </w:pPr>
      <w:rPr>
        <w:rFonts w:cs="Times New Roman"/>
      </w:rPr>
    </w:lvl>
    <w:lvl w:ilvl="5" w:tplc="041B001B">
      <w:start w:val="1"/>
      <w:numFmt w:val="lowerRoman"/>
      <w:lvlText w:val="%6."/>
      <w:lvlJc w:val="right"/>
      <w:pPr>
        <w:ind w:left="4680" w:hanging="180"/>
      </w:pPr>
      <w:rPr>
        <w:rFonts w:cs="Times New Roman"/>
      </w:rPr>
    </w:lvl>
    <w:lvl w:ilvl="6" w:tplc="041B000F">
      <w:start w:val="1"/>
      <w:numFmt w:val="decimal"/>
      <w:lvlText w:val="%7."/>
      <w:lvlJc w:val="left"/>
      <w:pPr>
        <w:ind w:left="5400" w:hanging="360"/>
      </w:pPr>
      <w:rPr>
        <w:rFonts w:cs="Times New Roman"/>
      </w:rPr>
    </w:lvl>
    <w:lvl w:ilvl="7" w:tplc="041B0019">
      <w:start w:val="1"/>
      <w:numFmt w:val="lowerLetter"/>
      <w:lvlText w:val="%8."/>
      <w:lvlJc w:val="left"/>
      <w:pPr>
        <w:ind w:left="6120" w:hanging="360"/>
      </w:pPr>
      <w:rPr>
        <w:rFonts w:cs="Times New Roman"/>
      </w:rPr>
    </w:lvl>
    <w:lvl w:ilvl="8" w:tplc="041B001B">
      <w:start w:val="1"/>
      <w:numFmt w:val="lowerRoman"/>
      <w:lvlText w:val="%9."/>
      <w:lvlJc w:val="right"/>
      <w:pPr>
        <w:ind w:left="6840" w:hanging="180"/>
      </w:pPr>
      <w:rPr>
        <w:rFonts w:cs="Times New Roman"/>
      </w:rPr>
    </w:lvl>
  </w:abstractNum>
  <w:abstractNum w:abstractNumId="3" w15:restartNumberingAfterBreak="0">
    <w:nsid w:val="13351786"/>
    <w:multiLevelType w:val="hybridMultilevel"/>
    <w:tmpl w:val="518E2A8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3A7151A"/>
    <w:multiLevelType w:val="hybridMultilevel"/>
    <w:tmpl w:val="555E73C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4571510"/>
    <w:multiLevelType w:val="hybridMultilevel"/>
    <w:tmpl w:val="85F2FB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B8442D4"/>
    <w:multiLevelType w:val="multilevel"/>
    <w:tmpl w:val="3346623E"/>
    <w:lvl w:ilvl="0">
      <w:start w:val="1"/>
      <w:numFmt w:val="upperLetter"/>
      <w:pStyle w:val="Heading1orobas"/>
      <w:lvlText w:val="%1."/>
      <w:lvlJc w:val="left"/>
      <w:pPr>
        <w:tabs>
          <w:tab w:val="num" w:pos="567"/>
        </w:tabs>
        <w:ind w:left="567" w:hanging="567"/>
      </w:pPr>
      <w:rPr>
        <w:rFonts w:ascii="Times New Roman" w:hAnsi="Times New Roman" w:cs="Times New Roman" w:hint="default"/>
        <w:b w:val="0"/>
        <w:bCs/>
        <w:i w:val="0"/>
        <w:iCs w:val="0"/>
        <w:sz w:val="24"/>
        <w:szCs w:val="24"/>
      </w:rPr>
    </w:lvl>
    <w:lvl w:ilvl="1">
      <w:start w:val="1"/>
      <w:numFmt w:val="decimal"/>
      <w:pStyle w:val="Heading2loha"/>
      <w:lvlText w:val="%1.%2."/>
      <w:lvlJc w:val="left"/>
      <w:pPr>
        <w:tabs>
          <w:tab w:val="num" w:pos="1418"/>
        </w:tabs>
        <w:ind w:left="1418" w:hanging="851"/>
      </w:pPr>
      <w:rPr>
        <w:rFonts w:ascii="Times New Roman" w:hAnsi="Times New Roman" w:cs="Times New Roman" w:hint="default"/>
        <w:b w:val="0"/>
        <w:bCs w:val="0"/>
        <w:i w:val="0"/>
        <w:iCs w:val="0"/>
        <w:sz w:val="24"/>
        <w:szCs w:val="24"/>
      </w:rPr>
    </w:lvl>
    <w:lvl w:ilvl="2">
      <w:start w:val="1"/>
      <w:numFmt w:val="none"/>
      <w:lvlRestart w:val="0"/>
      <w:lvlText w:val=""/>
      <w:lvlJc w:val="left"/>
      <w:pPr>
        <w:tabs>
          <w:tab w:val="num" w:pos="1418"/>
        </w:tabs>
        <w:ind w:left="1418" w:hanging="851"/>
      </w:pPr>
      <w:rPr>
        <w:rFonts w:ascii="Times New Roman" w:hAnsi="Times New Roman" w:cs="Times New Roman" w:hint="default"/>
        <w:b w:val="0"/>
        <w:bCs w:val="0"/>
        <w:i w:val="0"/>
        <w:iCs w:val="0"/>
        <w:sz w:val="24"/>
        <w:szCs w:val="24"/>
      </w:rPr>
    </w:lvl>
    <w:lvl w:ilvl="3">
      <w:start w:val="1"/>
      <w:numFmt w:val="none"/>
      <w:lvlText w:val="%4"/>
      <w:lvlJc w:val="left"/>
      <w:pPr>
        <w:tabs>
          <w:tab w:val="num" w:pos="1418"/>
        </w:tabs>
        <w:ind w:left="1418" w:hanging="1418"/>
      </w:pPr>
      <w:rPr>
        <w:rFonts w:ascii="Times New Roman" w:hAnsi="Times New Roman" w:cs="Times New Roman" w:hint="default"/>
        <w:b w:val="0"/>
        <w:bCs w:val="0"/>
        <w:i/>
        <w:iCs/>
        <w:sz w:val="24"/>
        <w:szCs w:val="24"/>
      </w:rPr>
    </w:lvl>
    <w:lvl w:ilvl="4">
      <w:start w:val="1"/>
      <w:numFmt w:val="decimal"/>
      <w:lvlText w:val="(%5)"/>
      <w:lvlJc w:val="left"/>
      <w:pPr>
        <w:tabs>
          <w:tab w:val="num" w:pos="3240"/>
        </w:tabs>
        <w:ind w:left="2880"/>
      </w:pPr>
      <w:rPr>
        <w:rFonts w:hint="default"/>
      </w:rPr>
    </w:lvl>
    <w:lvl w:ilvl="5">
      <w:start w:val="1"/>
      <w:numFmt w:val="lowerLetter"/>
      <w:pStyle w:val="Nadpis6"/>
      <w:lvlText w:val="(%6)"/>
      <w:lvlJc w:val="left"/>
      <w:pPr>
        <w:tabs>
          <w:tab w:val="num" w:pos="3960"/>
        </w:tabs>
        <w:ind w:left="3600"/>
      </w:pPr>
      <w:rPr>
        <w:rFonts w:hint="default"/>
      </w:rPr>
    </w:lvl>
    <w:lvl w:ilvl="6">
      <w:start w:val="1"/>
      <w:numFmt w:val="lowerRoman"/>
      <w:pStyle w:val="Nadpis7"/>
      <w:lvlText w:val="(%7)"/>
      <w:lvlJc w:val="left"/>
      <w:pPr>
        <w:tabs>
          <w:tab w:val="num" w:pos="360"/>
        </w:tabs>
        <w:ind w:left="0"/>
      </w:pPr>
      <w:rPr>
        <w:rFonts w:hint="default"/>
      </w:rPr>
    </w:lvl>
    <w:lvl w:ilvl="7">
      <w:start w:val="1"/>
      <w:numFmt w:val="lowerLetter"/>
      <w:pStyle w:val="Nadpis8"/>
      <w:lvlText w:val="(%8)"/>
      <w:lvlJc w:val="left"/>
      <w:pPr>
        <w:tabs>
          <w:tab w:val="num" w:pos="5400"/>
        </w:tabs>
        <w:ind w:left="5040"/>
      </w:pPr>
      <w:rPr>
        <w:rFonts w:hint="default"/>
      </w:rPr>
    </w:lvl>
    <w:lvl w:ilvl="8">
      <w:start w:val="1"/>
      <w:numFmt w:val="lowerRoman"/>
      <w:pStyle w:val="Nadpis9"/>
      <w:lvlText w:val="(%9)"/>
      <w:lvlJc w:val="left"/>
      <w:pPr>
        <w:tabs>
          <w:tab w:val="num" w:pos="6120"/>
        </w:tabs>
        <w:ind w:left="5760"/>
      </w:pPr>
      <w:rPr>
        <w:rFonts w:hint="default"/>
      </w:rPr>
    </w:lvl>
  </w:abstractNum>
  <w:abstractNum w:abstractNumId="7" w15:restartNumberingAfterBreak="0">
    <w:nsid w:val="239244ED"/>
    <w:multiLevelType w:val="hybridMultilevel"/>
    <w:tmpl w:val="658C1562"/>
    <w:lvl w:ilvl="0" w:tplc="041B000F">
      <w:start w:val="1"/>
      <w:numFmt w:val="decimal"/>
      <w:lvlText w:val="%1."/>
      <w:lvlJc w:val="left"/>
      <w:pPr>
        <w:ind w:left="36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24BB5B09"/>
    <w:multiLevelType w:val="hybridMultilevel"/>
    <w:tmpl w:val="D3367F28"/>
    <w:lvl w:ilvl="0" w:tplc="AF7214CA">
      <w:numFmt w:val="bullet"/>
      <w:lvlText w:val="-"/>
      <w:lvlJc w:val="left"/>
      <w:pPr>
        <w:ind w:left="420" w:hanging="360"/>
      </w:pPr>
      <w:rPr>
        <w:rFonts w:ascii="Times New Roman" w:eastAsia="Times New Roman" w:hAnsi="Times New Roman" w:cs="Times New Roman" w:hint="default"/>
      </w:rPr>
    </w:lvl>
    <w:lvl w:ilvl="1" w:tplc="041B0003" w:tentative="1">
      <w:start w:val="1"/>
      <w:numFmt w:val="bullet"/>
      <w:lvlText w:val="o"/>
      <w:lvlJc w:val="left"/>
      <w:pPr>
        <w:ind w:left="1140" w:hanging="360"/>
      </w:pPr>
      <w:rPr>
        <w:rFonts w:ascii="Courier New" w:hAnsi="Courier New" w:cs="Courier New" w:hint="default"/>
      </w:rPr>
    </w:lvl>
    <w:lvl w:ilvl="2" w:tplc="041B0005" w:tentative="1">
      <w:start w:val="1"/>
      <w:numFmt w:val="bullet"/>
      <w:lvlText w:val=""/>
      <w:lvlJc w:val="left"/>
      <w:pPr>
        <w:ind w:left="1860" w:hanging="360"/>
      </w:pPr>
      <w:rPr>
        <w:rFonts w:ascii="Wingdings" w:hAnsi="Wingdings" w:hint="default"/>
      </w:rPr>
    </w:lvl>
    <w:lvl w:ilvl="3" w:tplc="041B0001" w:tentative="1">
      <w:start w:val="1"/>
      <w:numFmt w:val="bullet"/>
      <w:lvlText w:val=""/>
      <w:lvlJc w:val="left"/>
      <w:pPr>
        <w:ind w:left="2580" w:hanging="360"/>
      </w:pPr>
      <w:rPr>
        <w:rFonts w:ascii="Symbol" w:hAnsi="Symbol" w:hint="default"/>
      </w:rPr>
    </w:lvl>
    <w:lvl w:ilvl="4" w:tplc="041B0003" w:tentative="1">
      <w:start w:val="1"/>
      <w:numFmt w:val="bullet"/>
      <w:lvlText w:val="o"/>
      <w:lvlJc w:val="left"/>
      <w:pPr>
        <w:ind w:left="3300" w:hanging="360"/>
      </w:pPr>
      <w:rPr>
        <w:rFonts w:ascii="Courier New" w:hAnsi="Courier New" w:cs="Courier New" w:hint="default"/>
      </w:rPr>
    </w:lvl>
    <w:lvl w:ilvl="5" w:tplc="041B0005" w:tentative="1">
      <w:start w:val="1"/>
      <w:numFmt w:val="bullet"/>
      <w:lvlText w:val=""/>
      <w:lvlJc w:val="left"/>
      <w:pPr>
        <w:ind w:left="4020" w:hanging="360"/>
      </w:pPr>
      <w:rPr>
        <w:rFonts w:ascii="Wingdings" w:hAnsi="Wingdings" w:hint="default"/>
      </w:rPr>
    </w:lvl>
    <w:lvl w:ilvl="6" w:tplc="041B0001" w:tentative="1">
      <w:start w:val="1"/>
      <w:numFmt w:val="bullet"/>
      <w:lvlText w:val=""/>
      <w:lvlJc w:val="left"/>
      <w:pPr>
        <w:ind w:left="4740" w:hanging="360"/>
      </w:pPr>
      <w:rPr>
        <w:rFonts w:ascii="Symbol" w:hAnsi="Symbol" w:hint="default"/>
      </w:rPr>
    </w:lvl>
    <w:lvl w:ilvl="7" w:tplc="041B0003" w:tentative="1">
      <w:start w:val="1"/>
      <w:numFmt w:val="bullet"/>
      <w:lvlText w:val="o"/>
      <w:lvlJc w:val="left"/>
      <w:pPr>
        <w:ind w:left="5460" w:hanging="360"/>
      </w:pPr>
      <w:rPr>
        <w:rFonts w:ascii="Courier New" w:hAnsi="Courier New" w:cs="Courier New" w:hint="default"/>
      </w:rPr>
    </w:lvl>
    <w:lvl w:ilvl="8" w:tplc="041B0005" w:tentative="1">
      <w:start w:val="1"/>
      <w:numFmt w:val="bullet"/>
      <w:lvlText w:val=""/>
      <w:lvlJc w:val="left"/>
      <w:pPr>
        <w:ind w:left="6180" w:hanging="360"/>
      </w:pPr>
      <w:rPr>
        <w:rFonts w:ascii="Wingdings" w:hAnsi="Wingdings" w:hint="default"/>
      </w:rPr>
    </w:lvl>
  </w:abstractNum>
  <w:abstractNum w:abstractNumId="9" w15:restartNumberingAfterBreak="0">
    <w:nsid w:val="2F5B6855"/>
    <w:multiLevelType w:val="hybridMultilevel"/>
    <w:tmpl w:val="10F4E21A"/>
    <w:lvl w:ilvl="0" w:tplc="DD5A69BE">
      <w:start w:val="7"/>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0" w15:restartNumberingAfterBreak="0">
    <w:nsid w:val="317B7DB9"/>
    <w:multiLevelType w:val="hybridMultilevel"/>
    <w:tmpl w:val="B5B0AA4E"/>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15:restartNumberingAfterBreak="0">
    <w:nsid w:val="35CB5FA4"/>
    <w:multiLevelType w:val="multilevel"/>
    <w:tmpl w:val="7A8CB59A"/>
    <w:lvl w:ilvl="0">
      <w:start w:val="1"/>
      <w:numFmt w:val="decimal"/>
      <w:lvlText w:val="%1."/>
      <w:lvlJc w:val="left"/>
      <w:pPr>
        <w:ind w:left="360" w:hanging="360"/>
      </w:pPr>
      <w:rPr>
        <w:rFonts w:ascii="Times New Roman" w:eastAsia="Calibri" w:hAnsi="Times New Roman" w:cs="Times New Roman"/>
        <w:b/>
      </w:rPr>
    </w:lvl>
    <w:lvl w:ilvl="1">
      <w:start w:val="1"/>
      <w:numFmt w:val="decimal"/>
      <w:lvlText w:val="%1.%2."/>
      <w:lvlJc w:val="left"/>
      <w:pPr>
        <w:ind w:left="716"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67A1F46"/>
    <w:multiLevelType w:val="hybridMultilevel"/>
    <w:tmpl w:val="EB36F5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9B46573"/>
    <w:multiLevelType w:val="hybridMultilevel"/>
    <w:tmpl w:val="AC6C1B1C"/>
    <w:lvl w:ilvl="0" w:tplc="33BE4752">
      <w:start w:val="1"/>
      <w:numFmt w:val="upperRoman"/>
      <w:lvlText w:val="%1."/>
      <w:lvlJc w:val="left"/>
      <w:pPr>
        <w:ind w:left="1080" w:hanging="72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4" w15:restartNumberingAfterBreak="0">
    <w:nsid w:val="39C61603"/>
    <w:multiLevelType w:val="hybridMultilevel"/>
    <w:tmpl w:val="A41671E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43B416F"/>
    <w:multiLevelType w:val="hybridMultilevel"/>
    <w:tmpl w:val="715AE3B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4C353FF1"/>
    <w:multiLevelType w:val="hybridMultilevel"/>
    <w:tmpl w:val="0CAC6626"/>
    <w:lvl w:ilvl="0" w:tplc="8E8E8466">
      <w:start w:val="1"/>
      <w:numFmt w:val="bullet"/>
      <w:pStyle w:val="IDRRecommendationsBulletPoints"/>
      <w:lvlText w:val=""/>
      <w:lvlJc w:val="left"/>
      <w:pPr>
        <w:ind w:left="1721" w:hanging="360"/>
      </w:pPr>
      <w:rPr>
        <w:rFonts w:ascii="Wingdings" w:hAnsi="Wingdings" w:hint="default"/>
      </w:rPr>
    </w:lvl>
    <w:lvl w:ilvl="1" w:tplc="6F14CC94">
      <w:start w:val="1"/>
      <w:numFmt w:val="bullet"/>
      <w:lvlText w:val=""/>
      <w:lvlJc w:val="left"/>
      <w:pPr>
        <w:tabs>
          <w:tab w:val="num" w:pos="1421"/>
        </w:tabs>
        <w:ind w:left="1421" w:hanging="397"/>
      </w:pPr>
      <w:rPr>
        <w:rFonts w:ascii="Symbol" w:hAnsi="Symbol" w:hint="default"/>
        <w:color w:val="auto"/>
      </w:rPr>
    </w:lvl>
    <w:lvl w:ilvl="2" w:tplc="08090005" w:tentative="1">
      <w:start w:val="1"/>
      <w:numFmt w:val="bullet"/>
      <w:lvlText w:val=""/>
      <w:lvlJc w:val="left"/>
      <w:pPr>
        <w:ind w:left="2104" w:hanging="360"/>
      </w:pPr>
      <w:rPr>
        <w:rFonts w:ascii="Wingdings" w:hAnsi="Wingdings" w:hint="default"/>
      </w:rPr>
    </w:lvl>
    <w:lvl w:ilvl="3" w:tplc="08090001" w:tentative="1">
      <w:start w:val="1"/>
      <w:numFmt w:val="bullet"/>
      <w:lvlText w:val=""/>
      <w:lvlJc w:val="left"/>
      <w:pPr>
        <w:ind w:left="2824" w:hanging="360"/>
      </w:pPr>
      <w:rPr>
        <w:rFonts w:ascii="Symbol" w:hAnsi="Symbol" w:hint="default"/>
      </w:rPr>
    </w:lvl>
    <w:lvl w:ilvl="4" w:tplc="08090003" w:tentative="1">
      <w:start w:val="1"/>
      <w:numFmt w:val="bullet"/>
      <w:lvlText w:val="o"/>
      <w:lvlJc w:val="left"/>
      <w:pPr>
        <w:ind w:left="3544" w:hanging="360"/>
      </w:pPr>
      <w:rPr>
        <w:rFonts w:ascii="Courier New" w:hAnsi="Courier New" w:cs="Courier New" w:hint="default"/>
      </w:rPr>
    </w:lvl>
    <w:lvl w:ilvl="5" w:tplc="08090005" w:tentative="1">
      <w:start w:val="1"/>
      <w:numFmt w:val="bullet"/>
      <w:lvlText w:val=""/>
      <w:lvlJc w:val="left"/>
      <w:pPr>
        <w:ind w:left="4264" w:hanging="360"/>
      </w:pPr>
      <w:rPr>
        <w:rFonts w:ascii="Wingdings" w:hAnsi="Wingdings" w:hint="default"/>
      </w:rPr>
    </w:lvl>
    <w:lvl w:ilvl="6" w:tplc="08090001" w:tentative="1">
      <w:start w:val="1"/>
      <w:numFmt w:val="bullet"/>
      <w:lvlText w:val=""/>
      <w:lvlJc w:val="left"/>
      <w:pPr>
        <w:ind w:left="4984" w:hanging="360"/>
      </w:pPr>
      <w:rPr>
        <w:rFonts w:ascii="Symbol" w:hAnsi="Symbol" w:hint="default"/>
      </w:rPr>
    </w:lvl>
    <w:lvl w:ilvl="7" w:tplc="08090003" w:tentative="1">
      <w:start w:val="1"/>
      <w:numFmt w:val="bullet"/>
      <w:lvlText w:val="o"/>
      <w:lvlJc w:val="left"/>
      <w:pPr>
        <w:ind w:left="5704" w:hanging="360"/>
      </w:pPr>
      <w:rPr>
        <w:rFonts w:ascii="Courier New" w:hAnsi="Courier New" w:cs="Courier New" w:hint="default"/>
      </w:rPr>
    </w:lvl>
    <w:lvl w:ilvl="8" w:tplc="08090005" w:tentative="1">
      <w:start w:val="1"/>
      <w:numFmt w:val="bullet"/>
      <w:lvlText w:val=""/>
      <w:lvlJc w:val="left"/>
      <w:pPr>
        <w:ind w:left="6424" w:hanging="360"/>
      </w:pPr>
      <w:rPr>
        <w:rFonts w:ascii="Wingdings" w:hAnsi="Wingdings" w:hint="default"/>
      </w:rPr>
    </w:lvl>
  </w:abstractNum>
  <w:abstractNum w:abstractNumId="17" w15:restartNumberingAfterBreak="0">
    <w:nsid w:val="4E166E26"/>
    <w:multiLevelType w:val="hybridMultilevel"/>
    <w:tmpl w:val="DBFA83A8"/>
    <w:lvl w:ilvl="0" w:tplc="DD5A69BE">
      <w:start w:val="7"/>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F042164"/>
    <w:multiLevelType w:val="hybridMultilevel"/>
    <w:tmpl w:val="974A640E"/>
    <w:lvl w:ilvl="0" w:tplc="041B0015">
      <w:start w:val="1"/>
      <w:numFmt w:val="upp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15:restartNumberingAfterBreak="0">
    <w:nsid w:val="53F640EA"/>
    <w:multiLevelType w:val="hybridMultilevel"/>
    <w:tmpl w:val="3E1AF0D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58B84D72"/>
    <w:multiLevelType w:val="hybridMultilevel"/>
    <w:tmpl w:val="3340AC1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A3320AF"/>
    <w:multiLevelType w:val="hybridMultilevel"/>
    <w:tmpl w:val="B08A2BEE"/>
    <w:lvl w:ilvl="0" w:tplc="52D8900C">
      <w:numFmt w:val="bullet"/>
      <w:lvlText w:val="-"/>
      <w:lvlJc w:val="left"/>
      <w:pPr>
        <w:ind w:left="420" w:hanging="360"/>
      </w:pPr>
      <w:rPr>
        <w:rFonts w:ascii="Times New Roman" w:eastAsia="Times New Roman" w:hAnsi="Times New Roman" w:cs="Times New Roman" w:hint="default"/>
      </w:rPr>
    </w:lvl>
    <w:lvl w:ilvl="1" w:tplc="041B0003" w:tentative="1">
      <w:start w:val="1"/>
      <w:numFmt w:val="bullet"/>
      <w:lvlText w:val="o"/>
      <w:lvlJc w:val="left"/>
      <w:pPr>
        <w:ind w:left="1140" w:hanging="360"/>
      </w:pPr>
      <w:rPr>
        <w:rFonts w:ascii="Courier New" w:hAnsi="Courier New" w:cs="Courier New" w:hint="default"/>
      </w:rPr>
    </w:lvl>
    <w:lvl w:ilvl="2" w:tplc="041B0005" w:tentative="1">
      <w:start w:val="1"/>
      <w:numFmt w:val="bullet"/>
      <w:lvlText w:val=""/>
      <w:lvlJc w:val="left"/>
      <w:pPr>
        <w:ind w:left="1860" w:hanging="360"/>
      </w:pPr>
      <w:rPr>
        <w:rFonts w:ascii="Wingdings" w:hAnsi="Wingdings" w:hint="default"/>
      </w:rPr>
    </w:lvl>
    <w:lvl w:ilvl="3" w:tplc="041B0001" w:tentative="1">
      <w:start w:val="1"/>
      <w:numFmt w:val="bullet"/>
      <w:lvlText w:val=""/>
      <w:lvlJc w:val="left"/>
      <w:pPr>
        <w:ind w:left="2580" w:hanging="360"/>
      </w:pPr>
      <w:rPr>
        <w:rFonts w:ascii="Symbol" w:hAnsi="Symbol" w:hint="default"/>
      </w:rPr>
    </w:lvl>
    <w:lvl w:ilvl="4" w:tplc="041B0003" w:tentative="1">
      <w:start w:val="1"/>
      <w:numFmt w:val="bullet"/>
      <w:lvlText w:val="o"/>
      <w:lvlJc w:val="left"/>
      <w:pPr>
        <w:ind w:left="3300" w:hanging="360"/>
      </w:pPr>
      <w:rPr>
        <w:rFonts w:ascii="Courier New" w:hAnsi="Courier New" w:cs="Courier New" w:hint="default"/>
      </w:rPr>
    </w:lvl>
    <w:lvl w:ilvl="5" w:tplc="041B0005" w:tentative="1">
      <w:start w:val="1"/>
      <w:numFmt w:val="bullet"/>
      <w:lvlText w:val=""/>
      <w:lvlJc w:val="left"/>
      <w:pPr>
        <w:ind w:left="4020" w:hanging="360"/>
      </w:pPr>
      <w:rPr>
        <w:rFonts w:ascii="Wingdings" w:hAnsi="Wingdings" w:hint="default"/>
      </w:rPr>
    </w:lvl>
    <w:lvl w:ilvl="6" w:tplc="041B0001" w:tentative="1">
      <w:start w:val="1"/>
      <w:numFmt w:val="bullet"/>
      <w:lvlText w:val=""/>
      <w:lvlJc w:val="left"/>
      <w:pPr>
        <w:ind w:left="4740" w:hanging="360"/>
      </w:pPr>
      <w:rPr>
        <w:rFonts w:ascii="Symbol" w:hAnsi="Symbol" w:hint="default"/>
      </w:rPr>
    </w:lvl>
    <w:lvl w:ilvl="7" w:tplc="041B0003" w:tentative="1">
      <w:start w:val="1"/>
      <w:numFmt w:val="bullet"/>
      <w:lvlText w:val="o"/>
      <w:lvlJc w:val="left"/>
      <w:pPr>
        <w:ind w:left="5460" w:hanging="360"/>
      </w:pPr>
      <w:rPr>
        <w:rFonts w:ascii="Courier New" w:hAnsi="Courier New" w:cs="Courier New" w:hint="default"/>
      </w:rPr>
    </w:lvl>
    <w:lvl w:ilvl="8" w:tplc="041B0005" w:tentative="1">
      <w:start w:val="1"/>
      <w:numFmt w:val="bullet"/>
      <w:lvlText w:val=""/>
      <w:lvlJc w:val="left"/>
      <w:pPr>
        <w:ind w:left="6180" w:hanging="360"/>
      </w:pPr>
      <w:rPr>
        <w:rFonts w:ascii="Wingdings" w:hAnsi="Wingdings" w:hint="default"/>
      </w:rPr>
    </w:lvl>
  </w:abstractNum>
  <w:abstractNum w:abstractNumId="22" w15:restartNumberingAfterBreak="0">
    <w:nsid w:val="5E8738A7"/>
    <w:multiLevelType w:val="hybridMultilevel"/>
    <w:tmpl w:val="CCE2A82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61BA6827"/>
    <w:multiLevelType w:val="hybridMultilevel"/>
    <w:tmpl w:val="9E5A8B30"/>
    <w:lvl w:ilvl="0" w:tplc="041B0017">
      <w:start w:val="1"/>
      <w:numFmt w:val="lowerLetter"/>
      <w:lvlText w:val="%1)"/>
      <w:lvlJc w:val="left"/>
      <w:pPr>
        <w:ind w:left="928" w:hanging="360"/>
      </w:pPr>
    </w:lvl>
    <w:lvl w:ilvl="1" w:tplc="041B0019">
      <w:start w:val="1"/>
      <w:numFmt w:val="lowerLetter"/>
      <w:lvlText w:val="%2."/>
      <w:lvlJc w:val="left"/>
      <w:pPr>
        <w:ind w:left="2232" w:hanging="360"/>
      </w:pPr>
    </w:lvl>
    <w:lvl w:ilvl="2" w:tplc="041B001B" w:tentative="1">
      <w:start w:val="1"/>
      <w:numFmt w:val="lowerRoman"/>
      <w:lvlText w:val="%3."/>
      <w:lvlJc w:val="right"/>
      <w:pPr>
        <w:ind w:left="2952" w:hanging="180"/>
      </w:pPr>
    </w:lvl>
    <w:lvl w:ilvl="3" w:tplc="041B000F" w:tentative="1">
      <w:start w:val="1"/>
      <w:numFmt w:val="decimal"/>
      <w:lvlText w:val="%4."/>
      <w:lvlJc w:val="left"/>
      <w:pPr>
        <w:ind w:left="3672" w:hanging="360"/>
      </w:pPr>
    </w:lvl>
    <w:lvl w:ilvl="4" w:tplc="041B0019" w:tentative="1">
      <w:start w:val="1"/>
      <w:numFmt w:val="lowerLetter"/>
      <w:lvlText w:val="%5."/>
      <w:lvlJc w:val="left"/>
      <w:pPr>
        <w:ind w:left="4392" w:hanging="360"/>
      </w:pPr>
    </w:lvl>
    <w:lvl w:ilvl="5" w:tplc="041B001B" w:tentative="1">
      <w:start w:val="1"/>
      <w:numFmt w:val="lowerRoman"/>
      <w:lvlText w:val="%6."/>
      <w:lvlJc w:val="right"/>
      <w:pPr>
        <w:ind w:left="5112" w:hanging="180"/>
      </w:pPr>
    </w:lvl>
    <w:lvl w:ilvl="6" w:tplc="041B000F" w:tentative="1">
      <w:start w:val="1"/>
      <w:numFmt w:val="decimal"/>
      <w:lvlText w:val="%7."/>
      <w:lvlJc w:val="left"/>
      <w:pPr>
        <w:ind w:left="5832" w:hanging="360"/>
      </w:pPr>
    </w:lvl>
    <w:lvl w:ilvl="7" w:tplc="041B0019" w:tentative="1">
      <w:start w:val="1"/>
      <w:numFmt w:val="lowerLetter"/>
      <w:lvlText w:val="%8."/>
      <w:lvlJc w:val="left"/>
      <w:pPr>
        <w:ind w:left="6552" w:hanging="360"/>
      </w:pPr>
    </w:lvl>
    <w:lvl w:ilvl="8" w:tplc="041B001B" w:tentative="1">
      <w:start w:val="1"/>
      <w:numFmt w:val="lowerRoman"/>
      <w:lvlText w:val="%9."/>
      <w:lvlJc w:val="right"/>
      <w:pPr>
        <w:ind w:left="7272" w:hanging="180"/>
      </w:pPr>
    </w:lvl>
  </w:abstractNum>
  <w:abstractNum w:abstractNumId="24" w15:restartNumberingAfterBreak="0">
    <w:nsid w:val="67A43B5B"/>
    <w:multiLevelType w:val="hybridMultilevel"/>
    <w:tmpl w:val="98160516"/>
    <w:lvl w:ilvl="0" w:tplc="E85A4956">
      <w:start w:val="1"/>
      <w:numFmt w:val="bullet"/>
      <w:lvlText w:val="­"/>
      <w:lvlJc w:val="left"/>
      <w:pPr>
        <w:ind w:left="1512" w:hanging="360"/>
      </w:pPr>
      <w:rPr>
        <w:rFonts w:ascii="Times New Roman" w:hAnsi="Times New Roman" w:cs="Times New Roman" w:hint="default"/>
      </w:rPr>
    </w:lvl>
    <w:lvl w:ilvl="1" w:tplc="041B0003" w:tentative="1">
      <w:start w:val="1"/>
      <w:numFmt w:val="bullet"/>
      <w:lvlText w:val="o"/>
      <w:lvlJc w:val="left"/>
      <w:pPr>
        <w:ind w:left="2232" w:hanging="360"/>
      </w:pPr>
      <w:rPr>
        <w:rFonts w:ascii="Courier New" w:hAnsi="Courier New" w:cs="Courier New" w:hint="default"/>
      </w:rPr>
    </w:lvl>
    <w:lvl w:ilvl="2" w:tplc="041B0005" w:tentative="1">
      <w:start w:val="1"/>
      <w:numFmt w:val="bullet"/>
      <w:lvlText w:val=""/>
      <w:lvlJc w:val="left"/>
      <w:pPr>
        <w:ind w:left="2952" w:hanging="360"/>
      </w:pPr>
      <w:rPr>
        <w:rFonts w:ascii="Wingdings" w:hAnsi="Wingdings" w:hint="default"/>
      </w:rPr>
    </w:lvl>
    <w:lvl w:ilvl="3" w:tplc="041B0001" w:tentative="1">
      <w:start w:val="1"/>
      <w:numFmt w:val="bullet"/>
      <w:lvlText w:val=""/>
      <w:lvlJc w:val="left"/>
      <w:pPr>
        <w:ind w:left="3672" w:hanging="360"/>
      </w:pPr>
      <w:rPr>
        <w:rFonts w:ascii="Symbol" w:hAnsi="Symbol" w:hint="default"/>
      </w:rPr>
    </w:lvl>
    <w:lvl w:ilvl="4" w:tplc="041B0003" w:tentative="1">
      <w:start w:val="1"/>
      <w:numFmt w:val="bullet"/>
      <w:lvlText w:val="o"/>
      <w:lvlJc w:val="left"/>
      <w:pPr>
        <w:ind w:left="4392" w:hanging="360"/>
      </w:pPr>
      <w:rPr>
        <w:rFonts w:ascii="Courier New" w:hAnsi="Courier New" w:cs="Courier New" w:hint="default"/>
      </w:rPr>
    </w:lvl>
    <w:lvl w:ilvl="5" w:tplc="041B0005" w:tentative="1">
      <w:start w:val="1"/>
      <w:numFmt w:val="bullet"/>
      <w:lvlText w:val=""/>
      <w:lvlJc w:val="left"/>
      <w:pPr>
        <w:ind w:left="5112" w:hanging="360"/>
      </w:pPr>
      <w:rPr>
        <w:rFonts w:ascii="Wingdings" w:hAnsi="Wingdings" w:hint="default"/>
      </w:rPr>
    </w:lvl>
    <w:lvl w:ilvl="6" w:tplc="041B0001" w:tentative="1">
      <w:start w:val="1"/>
      <w:numFmt w:val="bullet"/>
      <w:lvlText w:val=""/>
      <w:lvlJc w:val="left"/>
      <w:pPr>
        <w:ind w:left="5832" w:hanging="360"/>
      </w:pPr>
      <w:rPr>
        <w:rFonts w:ascii="Symbol" w:hAnsi="Symbol" w:hint="default"/>
      </w:rPr>
    </w:lvl>
    <w:lvl w:ilvl="7" w:tplc="041B0003" w:tentative="1">
      <w:start w:val="1"/>
      <w:numFmt w:val="bullet"/>
      <w:lvlText w:val="o"/>
      <w:lvlJc w:val="left"/>
      <w:pPr>
        <w:ind w:left="6552" w:hanging="360"/>
      </w:pPr>
      <w:rPr>
        <w:rFonts w:ascii="Courier New" w:hAnsi="Courier New" w:cs="Courier New" w:hint="default"/>
      </w:rPr>
    </w:lvl>
    <w:lvl w:ilvl="8" w:tplc="041B0005" w:tentative="1">
      <w:start w:val="1"/>
      <w:numFmt w:val="bullet"/>
      <w:lvlText w:val=""/>
      <w:lvlJc w:val="left"/>
      <w:pPr>
        <w:ind w:left="7272" w:hanging="360"/>
      </w:pPr>
      <w:rPr>
        <w:rFonts w:ascii="Wingdings" w:hAnsi="Wingdings" w:hint="default"/>
      </w:rPr>
    </w:lvl>
  </w:abstractNum>
  <w:abstractNum w:abstractNumId="25" w15:restartNumberingAfterBreak="0">
    <w:nsid w:val="67D92DB1"/>
    <w:multiLevelType w:val="hybridMultilevel"/>
    <w:tmpl w:val="9C9EF54A"/>
    <w:lvl w:ilvl="0" w:tplc="9EDA7A56">
      <w:start w:val="1"/>
      <w:numFmt w:val="lowerLetter"/>
      <w:lvlText w:val="%1)"/>
      <w:lvlJc w:val="left"/>
      <w:pPr>
        <w:ind w:left="420" w:hanging="360"/>
      </w:pPr>
      <w:rPr>
        <w:rFonts w:eastAsia="Times New Roman" w:cs="Calibri" w:hint="default"/>
        <w:color w:val="auto"/>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26" w15:restartNumberingAfterBreak="0">
    <w:nsid w:val="6B394947"/>
    <w:multiLevelType w:val="hybridMultilevel"/>
    <w:tmpl w:val="3E6AF55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6FF55FE2"/>
    <w:multiLevelType w:val="hybridMultilevel"/>
    <w:tmpl w:val="6870F4E6"/>
    <w:lvl w:ilvl="0" w:tplc="F8CEBD84">
      <w:numFmt w:val="bullet"/>
      <w:pStyle w:val="tlZkladntextVavo"/>
      <w:lvlText w:val="-"/>
      <w:lvlJc w:val="left"/>
      <w:pPr>
        <w:tabs>
          <w:tab w:val="num" w:pos="360"/>
        </w:tabs>
        <w:ind w:left="36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Times New Roman" w:hint="default"/>
      </w:rPr>
    </w:lvl>
    <w:lvl w:ilvl="3" w:tplc="041B0001">
      <w:start w:val="1"/>
      <w:numFmt w:val="bullet"/>
      <w:lvlText w:val=""/>
      <w:lvlJc w:val="left"/>
      <w:pPr>
        <w:tabs>
          <w:tab w:val="num" w:pos="2880"/>
        </w:tabs>
        <w:ind w:left="2880" w:hanging="360"/>
      </w:pPr>
      <w:rPr>
        <w:rFonts w:ascii="Symbol" w:hAnsi="Symbol" w:cs="Times New Roman"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Times New Roman" w:hint="default"/>
      </w:rPr>
    </w:lvl>
    <w:lvl w:ilvl="6" w:tplc="041B0001">
      <w:start w:val="1"/>
      <w:numFmt w:val="bullet"/>
      <w:lvlText w:val=""/>
      <w:lvlJc w:val="left"/>
      <w:pPr>
        <w:tabs>
          <w:tab w:val="num" w:pos="5040"/>
        </w:tabs>
        <w:ind w:left="5040" w:hanging="360"/>
      </w:pPr>
      <w:rPr>
        <w:rFonts w:ascii="Symbol" w:hAnsi="Symbol" w:cs="Times New Roman"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Times New Roman" w:hint="default"/>
      </w:rPr>
    </w:lvl>
  </w:abstractNum>
  <w:abstractNum w:abstractNumId="28" w15:restartNumberingAfterBreak="0">
    <w:nsid w:val="76D33FB6"/>
    <w:multiLevelType w:val="hybridMultilevel"/>
    <w:tmpl w:val="EEEEB9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797D0001"/>
    <w:multiLevelType w:val="singleLevel"/>
    <w:tmpl w:val="0405000F"/>
    <w:lvl w:ilvl="0">
      <w:start w:val="1"/>
      <w:numFmt w:val="decimal"/>
      <w:pStyle w:val="Heading2lohaKomu"/>
      <w:lvlText w:val="%1."/>
      <w:lvlJc w:val="left"/>
      <w:pPr>
        <w:tabs>
          <w:tab w:val="num" w:pos="720"/>
        </w:tabs>
        <w:ind w:left="720" w:hanging="360"/>
      </w:pPr>
    </w:lvl>
  </w:abstractNum>
  <w:abstractNum w:abstractNumId="30"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29"/>
    <w:lvlOverride w:ilvl="0">
      <w:startOverride w:val="1"/>
    </w:lvlOverride>
  </w:num>
  <w:num w:numId="2">
    <w:abstractNumId w:val="6"/>
  </w:num>
  <w:num w:numId="3">
    <w:abstractNumId w:val="18"/>
  </w:num>
  <w:num w:numId="4">
    <w:abstractNumId w:val="27"/>
  </w:num>
  <w:num w:numId="5">
    <w:abstractNumId w:val="1"/>
  </w:num>
  <w:num w:numId="6">
    <w:abstractNumId w:val="16"/>
  </w:num>
  <w:num w:numId="7">
    <w:abstractNumId w:val="7"/>
  </w:num>
  <w:num w:numId="8">
    <w:abstractNumId w:val="26"/>
  </w:num>
  <w:num w:numId="9">
    <w:abstractNumId w:val="5"/>
  </w:num>
  <w:num w:numId="10">
    <w:abstractNumId w:val="4"/>
  </w:num>
  <w:num w:numId="11">
    <w:abstractNumId w:val="28"/>
  </w:num>
  <w:num w:numId="12">
    <w:abstractNumId w:val="9"/>
  </w:num>
  <w:num w:numId="13">
    <w:abstractNumId w:val="19"/>
  </w:num>
  <w:num w:numId="14">
    <w:abstractNumId w:val="3"/>
  </w:num>
  <w:num w:numId="15">
    <w:abstractNumId w:val="12"/>
  </w:num>
  <w:num w:numId="16">
    <w:abstractNumId w:val="17"/>
  </w:num>
  <w:num w:numId="17">
    <w:abstractNumId w:val="30"/>
  </w:num>
  <w:num w:numId="18">
    <w:abstractNumId w:val="11"/>
  </w:num>
  <w:num w:numId="19">
    <w:abstractNumId w:val="20"/>
  </w:num>
  <w:num w:numId="20">
    <w:abstractNumId w:val="25"/>
  </w:num>
  <w:num w:numId="21">
    <w:abstractNumId w:val="24"/>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2"/>
  </w:num>
  <w:num w:numId="28">
    <w:abstractNumId w:val="21"/>
  </w:num>
  <w:num w:numId="29">
    <w:abstractNumId w:val="8"/>
  </w:num>
  <w:num w:numId="30">
    <w:abstractNumId w:val="14"/>
  </w:num>
  <w:num w:numId="31">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D86"/>
    <w:rsid w:val="00000019"/>
    <w:rsid w:val="0000008D"/>
    <w:rsid w:val="000000D9"/>
    <w:rsid w:val="00000129"/>
    <w:rsid w:val="000001B7"/>
    <w:rsid w:val="00000409"/>
    <w:rsid w:val="00000FEE"/>
    <w:rsid w:val="00001519"/>
    <w:rsid w:val="0000154E"/>
    <w:rsid w:val="00001D75"/>
    <w:rsid w:val="0000248A"/>
    <w:rsid w:val="00002B0C"/>
    <w:rsid w:val="00002C16"/>
    <w:rsid w:val="00003646"/>
    <w:rsid w:val="000036C5"/>
    <w:rsid w:val="00003703"/>
    <w:rsid w:val="00003FAE"/>
    <w:rsid w:val="000042AC"/>
    <w:rsid w:val="000042B9"/>
    <w:rsid w:val="000054C3"/>
    <w:rsid w:val="000054DF"/>
    <w:rsid w:val="00007275"/>
    <w:rsid w:val="00007AD4"/>
    <w:rsid w:val="00007F49"/>
    <w:rsid w:val="0001028F"/>
    <w:rsid w:val="0001033D"/>
    <w:rsid w:val="00010BB3"/>
    <w:rsid w:val="00010C9C"/>
    <w:rsid w:val="00012A2E"/>
    <w:rsid w:val="00012F3B"/>
    <w:rsid w:val="00013651"/>
    <w:rsid w:val="0001556F"/>
    <w:rsid w:val="00015F8A"/>
    <w:rsid w:val="000171B6"/>
    <w:rsid w:val="000175C2"/>
    <w:rsid w:val="000177B3"/>
    <w:rsid w:val="000204EC"/>
    <w:rsid w:val="00020B46"/>
    <w:rsid w:val="000213FA"/>
    <w:rsid w:val="000215A8"/>
    <w:rsid w:val="0002215E"/>
    <w:rsid w:val="00022980"/>
    <w:rsid w:val="00022C4D"/>
    <w:rsid w:val="000233A8"/>
    <w:rsid w:val="0002347F"/>
    <w:rsid w:val="00024408"/>
    <w:rsid w:val="000244D2"/>
    <w:rsid w:val="000256DB"/>
    <w:rsid w:val="00025A4B"/>
    <w:rsid w:val="00026283"/>
    <w:rsid w:val="00026A70"/>
    <w:rsid w:val="00027368"/>
    <w:rsid w:val="0002758D"/>
    <w:rsid w:val="000275EE"/>
    <w:rsid w:val="00027C7D"/>
    <w:rsid w:val="00030D7B"/>
    <w:rsid w:val="00030F28"/>
    <w:rsid w:val="00031DE0"/>
    <w:rsid w:val="00032058"/>
    <w:rsid w:val="000328DC"/>
    <w:rsid w:val="000337D8"/>
    <w:rsid w:val="000338BD"/>
    <w:rsid w:val="00033F71"/>
    <w:rsid w:val="0003420D"/>
    <w:rsid w:val="00034881"/>
    <w:rsid w:val="00034B52"/>
    <w:rsid w:val="00035C70"/>
    <w:rsid w:val="000361C8"/>
    <w:rsid w:val="00036309"/>
    <w:rsid w:val="000364FC"/>
    <w:rsid w:val="00036601"/>
    <w:rsid w:val="0003791A"/>
    <w:rsid w:val="00037A9A"/>
    <w:rsid w:val="00037EFF"/>
    <w:rsid w:val="00040166"/>
    <w:rsid w:val="00040384"/>
    <w:rsid w:val="00041640"/>
    <w:rsid w:val="000416E2"/>
    <w:rsid w:val="0004203A"/>
    <w:rsid w:val="00042050"/>
    <w:rsid w:val="00042799"/>
    <w:rsid w:val="00042B1F"/>
    <w:rsid w:val="00042C2F"/>
    <w:rsid w:val="00042C9A"/>
    <w:rsid w:val="00042F79"/>
    <w:rsid w:val="000438F3"/>
    <w:rsid w:val="0004515E"/>
    <w:rsid w:val="00045A72"/>
    <w:rsid w:val="00045A79"/>
    <w:rsid w:val="000465E1"/>
    <w:rsid w:val="00046690"/>
    <w:rsid w:val="0004721E"/>
    <w:rsid w:val="00047EF5"/>
    <w:rsid w:val="00047F2C"/>
    <w:rsid w:val="000502E3"/>
    <w:rsid w:val="000507B3"/>
    <w:rsid w:val="00050E3E"/>
    <w:rsid w:val="000517AD"/>
    <w:rsid w:val="00051D74"/>
    <w:rsid w:val="0005247E"/>
    <w:rsid w:val="000528CF"/>
    <w:rsid w:val="00052904"/>
    <w:rsid w:val="00052B59"/>
    <w:rsid w:val="0005382F"/>
    <w:rsid w:val="00053CB9"/>
    <w:rsid w:val="00055382"/>
    <w:rsid w:val="00055AD0"/>
    <w:rsid w:val="00056463"/>
    <w:rsid w:val="0005698D"/>
    <w:rsid w:val="00056BC3"/>
    <w:rsid w:val="00056CF6"/>
    <w:rsid w:val="0005720D"/>
    <w:rsid w:val="00057582"/>
    <w:rsid w:val="00060058"/>
    <w:rsid w:val="00060BCF"/>
    <w:rsid w:val="0006114B"/>
    <w:rsid w:val="00061516"/>
    <w:rsid w:val="00062601"/>
    <w:rsid w:val="0006262D"/>
    <w:rsid w:val="00062719"/>
    <w:rsid w:val="000627BD"/>
    <w:rsid w:val="00062B02"/>
    <w:rsid w:val="000639F2"/>
    <w:rsid w:val="00064679"/>
    <w:rsid w:val="00064F09"/>
    <w:rsid w:val="0006560B"/>
    <w:rsid w:val="000657F6"/>
    <w:rsid w:val="00065CFD"/>
    <w:rsid w:val="00066BDF"/>
    <w:rsid w:val="00067128"/>
    <w:rsid w:val="00067332"/>
    <w:rsid w:val="000674C9"/>
    <w:rsid w:val="00067B7D"/>
    <w:rsid w:val="00067BBC"/>
    <w:rsid w:val="00067DDC"/>
    <w:rsid w:val="000702B9"/>
    <w:rsid w:val="000706CF"/>
    <w:rsid w:val="00070B09"/>
    <w:rsid w:val="0007147D"/>
    <w:rsid w:val="00072222"/>
    <w:rsid w:val="00073253"/>
    <w:rsid w:val="000734B8"/>
    <w:rsid w:val="00073807"/>
    <w:rsid w:val="00073816"/>
    <w:rsid w:val="00073B25"/>
    <w:rsid w:val="000748E0"/>
    <w:rsid w:val="000757AB"/>
    <w:rsid w:val="00075ABF"/>
    <w:rsid w:val="00075C81"/>
    <w:rsid w:val="00076806"/>
    <w:rsid w:val="00076BE4"/>
    <w:rsid w:val="00076E32"/>
    <w:rsid w:val="00077190"/>
    <w:rsid w:val="000773D2"/>
    <w:rsid w:val="00077A04"/>
    <w:rsid w:val="00077EEE"/>
    <w:rsid w:val="000807F3"/>
    <w:rsid w:val="00080D88"/>
    <w:rsid w:val="00081AA3"/>
    <w:rsid w:val="00081AD5"/>
    <w:rsid w:val="00081B84"/>
    <w:rsid w:val="00082082"/>
    <w:rsid w:val="00082397"/>
    <w:rsid w:val="00082474"/>
    <w:rsid w:val="00082517"/>
    <w:rsid w:val="00082738"/>
    <w:rsid w:val="000828E3"/>
    <w:rsid w:val="00082C0B"/>
    <w:rsid w:val="00082FBA"/>
    <w:rsid w:val="00083261"/>
    <w:rsid w:val="000835B4"/>
    <w:rsid w:val="000848E4"/>
    <w:rsid w:val="00085766"/>
    <w:rsid w:val="000859EB"/>
    <w:rsid w:val="00086EF6"/>
    <w:rsid w:val="00087521"/>
    <w:rsid w:val="00091190"/>
    <w:rsid w:val="00091DA3"/>
    <w:rsid w:val="00092AAC"/>
    <w:rsid w:val="00092C23"/>
    <w:rsid w:val="00092D6C"/>
    <w:rsid w:val="000934F9"/>
    <w:rsid w:val="000934FE"/>
    <w:rsid w:val="00093BF3"/>
    <w:rsid w:val="0009404D"/>
    <w:rsid w:val="00094E0E"/>
    <w:rsid w:val="000957FC"/>
    <w:rsid w:val="00095A96"/>
    <w:rsid w:val="00095DE6"/>
    <w:rsid w:val="0009658A"/>
    <w:rsid w:val="00096C3F"/>
    <w:rsid w:val="00096FD3"/>
    <w:rsid w:val="0009778A"/>
    <w:rsid w:val="000A015C"/>
    <w:rsid w:val="000A08C8"/>
    <w:rsid w:val="000A0EF4"/>
    <w:rsid w:val="000A199D"/>
    <w:rsid w:val="000A1C7E"/>
    <w:rsid w:val="000A1D43"/>
    <w:rsid w:val="000A22B4"/>
    <w:rsid w:val="000A29EF"/>
    <w:rsid w:val="000A346D"/>
    <w:rsid w:val="000A3490"/>
    <w:rsid w:val="000A3554"/>
    <w:rsid w:val="000A378D"/>
    <w:rsid w:val="000A3916"/>
    <w:rsid w:val="000A4438"/>
    <w:rsid w:val="000A44CC"/>
    <w:rsid w:val="000A4751"/>
    <w:rsid w:val="000A4931"/>
    <w:rsid w:val="000A5CB8"/>
    <w:rsid w:val="000A602F"/>
    <w:rsid w:val="000A6C96"/>
    <w:rsid w:val="000A78BE"/>
    <w:rsid w:val="000A78F9"/>
    <w:rsid w:val="000A7C03"/>
    <w:rsid w:val="000A7F2F"/>
    <w:rsid w:val="000B0017"/>
    <w:rsid w:val="000B0231"/>
    <w:rsid w:val="000B04B3"/>
    <w:rsid w:val="000B077A"/>
    <w:rsid w:val="000B10E1"/>
    <w:rsid w:val="000B12EB"/>
    <w:rsid w:val="000B19CC"/>
    <w:rsid w:val="000B1ACE"/>
    <w:rsid w:val="000B29A0"/>
    <w:rsid w:val="000B2DCC"/>
    <w:rsid w:val="000B3B88"/>
    <w:rsid w:val="000B4248"/>
    <w:rsid w:val="000B5B60"/>
    <w:rsid w:val="000B6796"/>
    <w:rsid w:val="000B6C00"/>
    <w:rsid w:val="000B73D1"/>
    <w:rsid w:val="000B7529"/>
    <w:rsid w:val="000B7AD6"/>
    <w:rsid w:val="000C023B"/>
    <w:rsid w:val="000C040C"/>
    <w:rsid w:val="000C05C2"/>
    <w:rsid w:val="000C088F"/>
    <w:rsid w:val="000C1257"/>
    <w:rsid w:val="000C13ED"/>
    <w:rsid w:val="000C15DF"/>
    <w:rsid w:val="000C161D"/>
    <w:rsid w:val="000C18E7"/>
    <w:rsid w:val="000C1DBD"/>
    <w:rsid w:val="000C26E1"/>
    <w:rsid w:val="000C2EE2"/>
    <w:rsid w:val="000C323A"/>
    <w:rsid w:val="000C3985"/>
    <w:rsid w:val="000C464F"/>
    <w:rsid w:val="000C4F88"/>
    <w:rsid w:val="000C54F2"/>
    <w:rsid w:val="000C6BE1"/>
    <w:rsid w:val="000C6BE8"/>
    <w:rsid w:val="000C75C7"/>
    <w:rsid w:val="000C78A8"/>
    <w:rsid w:val="000D0C59"/>
    <w:rsid w:val="000D0C90"/>
    <w:rsid w:val="000D0E60"/>
    <w:rsid w:val="000D1867"/>
    <w:rsid w:val="000D1AD8"/>
    <w:rsid w:val="000D1C17"/>
    <w:rsid w:val="000D20FA"/>
    <w:rsid w:val="000D2C44"/>
    <w:rsid w:val="000D339C"/>
    <w:rsid w:val="000D3A52"/>
    <w:rsid w:val="000D4307"/>
    <w:rsid w:val="000D494A"/>
    <w:rsid w:val="000D4AA4"/>
    <w:rsid w:val="000D5796"/>
    <w:rsid w:val="000D6767"/>
    <w:rsid w:val="000D694F"/>
    <w:rsid w:val="000D6F70"/>
    <w:rsid w:val="000D731F"/>
    <w:rsid w:val="000D7E2B"/>
    <w:rsid w:val="000E070F"/>
    <w:rsid w:val="000E0D33"/>
    <w:rsid w:val="000E0F2F"/>
    <w:rsid w:val="000E224C"/>
    <w:rsid w:val="000E262F"/>
    <w:rsid w:val="000E27B3"/>
    <w:rsid w:val="000E2C7A"/>
    <w:rsid w:val="000E2D04"/>
    <w:rsid w:val="000E34E7"/>
    <w:rsid w:val="000E39BC"/>
    <w:rsid w:val="000E3A58"/>
    <w:rsid w:val="000E3B25"/>
    <w:rsid w:val="000E3FF5"/>
    <w:rsid w:val="000E4CC8"/>
    <w:rsid w:val="000E4E95"/>
    <w:rsid w:val="000E5EB9"/>
    <w:rsid w:val="000E6C6C"/>
    <w:rsid w:val="000E6CE5"/>
    <w:rsid w:val="000E7BCC"/>
    <w:rsid w:val="000F0765"/>
    <w:rsid w:val="000F0B0E"/>
    <w:rsid w:val="000F0ED5"/>
    <w:rsid w:val="000F0F86"/>
    <w:rsid w:val="000F162C"/>
    <w:rsid w:val="000F16FC"/>
    <w:rsid w:val="000F1741"/>
    <w:rsid w:val="000F1FC1"/>
    <w:rsid w:val="000F2880"/>
    <w:rsid w:val="000F385C"/>
    <w:rsid w:val="000F3D92"/>
    <w:rsid w:val="000F43E4"/>
    <w:rsid w:val="000F4BE1"/>
    <w:rsid w:val="000F4CBA"/>
    <w:rsid w:val="000F4E53"/>
    <w:rsid w:val="000F51DB"/>
    <w:rsid w:val="000F5264"/>
    <w:rsid w:val="000F537D"/>
    <w:rsid w:val="000F5419"/>
    <w:rsid w:val="000F5959"/>
    <w:rsid w:val="000F6037"/>
    <w:rsid w:val="000F6556"/>
    <w:rsid w:val="000F6B6D"/>
    <w:rsid w:val="000F7294"/>
    <w:rsid w:val="000F756D"/>
    <w:rsid w:val="000F7618"/>
    <w:rsid w:val="000F793C"/>
    <w:rsid w:val="000F7976"/>
    <w:rsid w:val="000F7A14"/>
    <w:rsid w:val="0010038A"/>
    <w:rsid w:val="00100517"/>
    <w:rsid w:val="00100AE6"/>
    <w:rsid w:val="00100E00"/>
    <w:rsid w:val="00100F53"/>
    <w:rsid w:val="001011CE"/>
    <w:rsid w:val="0010127C"/>
    <w:rsid w:val="00102CEE"/>
    <w:rsid w:val="00102FC7"/>
    <w:rsid w:val="0010328D"/>
    <w:rsid w:val="0010331B"/>
    <w:rsid w:val="00103426"/>
    <w:rsid w:val="001039D8"/>
    <w:rsid w:val="00103E89"/>
    <w:rsid w:val="0010484D"/>
    <w:rsid w:val="00104E77"/>
    <w:rsid w:val="0010523C"/>
    <w:rsid w:val="00105C30"/>
    <w:rsid w:val="00105CD9"/>
    <w:rsid w:val="00106109"/>
    <w:rsid w:val="001069FF"/>
    <w:rsid w:val="00106E23"/>
    <w:rsid w:val="00106E2A"/>
    <w:rsid w:val="00107133"/>
    <w:rsid w:val="0010714E"/>
    <w:rsid w:val="001077F8"/>
    <w:rsid w:val="00107AF8"/>
    <w:rsid w:val="00107E1C"/>
    <w:rsid w:val="00110181"/>
    <w:rsid w:val="00110383"/>
    <w:rsid w:val="0011134F"/>
    <w:rsid w:val="00111B19"/>
    <w:rsid w:val="00112905"/>
    <w:rsid w:val="00112D60"/>
    <w:rsid w:val="00112F45"/>
    <w:rsid w:val="00113292"/>
    <w:rsid w:val="001132BA"/>
    <w:rsid w:val="001137E2"/>
    <w:rsid w:val="00113C7A"/>
    <w:rsid w:val="00113F99"/>
    <w:rsid w:val="0011460E"/>
    <w:rsid w:val="00114A0A"/>
    <w:rsid w:val="00114ABB"/>
    <w:rsid w:val="00114B65"/>
    <w:rsid w:val="00114C74"/>
    <w:rsid w:val="001160EE"/>
    <w:rsid w:val="0011762F"/>
    <w:rsid w:val="001176B9"/>
    <w:rsid w:val="001207DB"/>
    <w:rsid w:val="00120C26"/>
    <w:rsid w:val="00121532"/>
    <w:rsid w:val="00121916"/>
    <w:rsid w:val="00121D08"/>
    <w:rsid w:val="001222E3"/>
    <w:rsid w:val="0012289E"/>
    <w:rsid w:val="0012295F"/>
    <w:rsid w:val="00122E80"/>
    <w:rsid w:val="00123476"/>
    <w:rsid w:val="001242B2"/>
    <w:rsid w:val="00124529"/>
    <w:rsid w:val="001249C4"/>
    <w:rsid w:val="00124A79"/>
    <w:rsid w:val="00125454"/>
    <w:rsid w:val="00125FF4"/>
    <w:rsid w:val="00126004"/>
    <w:rsid w:val="0012651D"/>
    <w:rsid w:val="0012739E"/>
    <w:rsid w:val="001276E4"/>
    <w:rsid w:val="00127DAC"/>
    <w:rsid w:val="00130297"/>
    <w:rsid w:val="00130B4E"/>
    <w:rsid w:val="00131503"/>
    <w:rsid w:val="00131589"/>
    <w:rsid w:val="001319D5"/>
    <w:rsid w:val="0013214E"/>
    <w:rsid w:val="00132FB6"/>
    <w:rsid w:val="00133693"/>
    <w:rsid w:val="001341C5"/>
    <w:rsid w:val="0013518B"/>
    <w:rsid w:val="001354F4"/>
    <w:rsid w:val="00135D08"/>
    <w:rsid w:val="0013610F"/>
    <w:rsid w:val="00136F99"/>
    <w:rsid w:val="001370AB"/>
    <w:rsid w:val="001379D8"/>
    <w:rsid w:val="001401E4"/>
    <w:rsid w:val="00140494"/>
    <w:rsid w:val="00140533"/>
    <w:rsid w:val="001408D6"/>
    <w:rsid w:val="00140D07"/>
    <w:rsid w:val="0014150F"/>
    <w:rsid w:val="00141688"/>
    <w:rsid w:val="00141A3A"/>
    <w:rsid w:val="00142231"/>
    <w:rsid w:val="00142389"/>
    <w:rsid w:val="0014284C"/>
    <w:rsid w:val="00142F28"/>
    <w:rsid w:val="00142FF9"/>
    <w:rsid w:val="001431F4"/>
    <w:rsid w:val="00143406"/>
    <w:rsid w:val="001434B5"/>
    <w:rsid w:val="001438B6"/>
    <w:rsid w:val="00144B85"/>
    <w:rsid w:val="00144CE2"/>
    <w:rsid w:val="00144DA0"/>
    <w:rsid w:val="00144FDC"/>
    <w:rsid w:val="00145765"/>
    <w:rsid w:val="00145987"/>
    <w:rsid w:val="00145D17"/>
    <w:rsid w:val="00145D9C"/>
    <w:rsid w:val="001470CF"/>
    <w:rsid w:val="0014717F"/>
    <w:rsid w:val="00147433"/>
    <w:rsid w:val="00147CB2"/>
    <w:rsid w:val="00147F56"/>
    <w:rsid w:val="0015001A"/>
    <w:rsid w:val="00150187"/>
    <w:rsid w:val="00151B77"/>
    <w:rsid w:val="00151DBD"/>
    <w:rsid w:val="00152114"/>
    <w:rsid w:val="001522A6"/>
    <w:rsid w:val="00152909"/>
    <w:rsid w:val="0015344A"/>
    <w:rsid w:val="0015346B"/>
    <w:rsid w:val="001534D2"/>
    <w:rsid w:val="00153871"/>
    <w:rsid w:val="0015392B"/>
    <w:rsid w:val="0015436C"/>
    <w:rsid w:val="00154D30"/>
    <w:rsid w:val="00155D48"/>
    <w:rsid w:val="00156435"/>
    <w:rsid w:val="0015648F"/>
    <w:rsid w:val="00156A44"/>
    <w:rsid w:val="00156B0D"/>
    <w:rsid w:val="00156C97"/>
    <w:rsid w:val="00156D2C"/>
    <w:rsid w:val="001575E5"/>
    <w:rsid w:val="001578C4"/>
    <w:rsid w:val="001579EA"/>
    <w:rsid w:val="00157C66"/>
    <w:rsid w:val="0016031C"/>
    <w:rsid w:val="00162184"/>
    <w:rsid w:val="001621B1"/>
    <w:rsid w:val="00162ACF"/>
    <w:rsid w:val="00162B8C"/>
    <w:rsid w:val="00163103"/>
    <w:rsid w:val="00163146"/>
    <w:rsid w:val="00163869"/>
    <w:rsid w:val="00164490"/>
    <w:rsid w:val="0016459C"/>
    <w:rsid w:val="0016465F"/>
    <w:rsid w:val="00165756"/>
    <w:rsid w:val="0016582F"/>
    <w:rsid w:val="00165C55"/>
    <w:rsid w:val="00165C96"/>
    <w:rsid w:val="00166522"/>
    <w:rsid w:val="001665DC"/>
    <w:rsid w:val="0016704C"/>
    <w:rsid w:val="001671EA"/>
    <w:rsid w:val="0016730A"/>
    <w:rsid w:val="00171591"/>
    <w:rsid w:val="00172A10"/>
    <w:rsid w:val="00172EEC"/>
    <w:rsid w:val="00173579"/>
    <w:rsid w:val="00173C67"/>
    <w:rsid w:val="00175C1C"/>
    <w:rsid w:val="001760DE"/>
    <w:rsid w:val="00176424"/>
    <w:rsid w:val="0017667A"/>
    <w:rsid w:val="00177161"/>
    <w:rsid w:val="0017761F"/>
    <w:rsid w:val="001802E2"/>
    <w:rsid w:val="001803C1"/>
    <w:rsid w:val="00180CFA"/>
    <w:rsid w:val="00180F31"/>
    <w:rsid w:val="00181183"/>
    <w:rsid w:val="00181586"/>
    <w:rsid w:val="00181785"/>
    <w:rsid w:val="00181797"/>
    <w:rsid w:val="00181804"/>
    <w:rsid w:val="00181BC0"/>
    <w:rsid w:val="00181F8A"/>
    <w:rsid w:val="00182189"/>
    <w:rsid w:val="00182E25"/>
    <w:rsid w:val="00182E99"/>
    <w:rsid w:val="0018325B"/>
    <w:rsid w:val="0018357C"/>
    <w:rsid w:val="001838EB"/>
    <w:rsid w:val="00183F36"/>
    <w:rsid w:val="00184025"/>
    <w:rsid w:val="00184FCC"/>
    <w:rsid w:val="00185979"/>
    <w:rsid w:val="00185B52"/>
    <w:rsid w:val="001864A0"/>
    <w:rsid w:val="00186EB7"/>
    <w:rsid w:val="00190644"/>
    <w:rsid w:val="00190946"/>
    <w:rsid w:val="00190A39"/>
    <w:rsid w:val="00190B5A"/>
    <w:rsid w:val="00190EF3"/>
    <w:rsid w:val="00190F80"/>
    <w:rsid w:val="00191805"/>
    <w:rsid w:val="001926AA"/>
    <w:rsid w:val="00193697"/>
    <w:rsid w:val="0019370B"/>
    <w:rsid w:val="00193E5B"/>
    <w:rsid w:val="00194180"/>
    <w:rsid w:val="001948FC"/>
    <w:rsid w:val="00194AFB"/>
    <w:rsid w:val="00195376"/>
    <w:rsid w:val="001953DE"/>
    <w:rsid w:val="00195ACB"/>
    <w:rsid w:val="00195BFF"/>
    <w:rsid w:val="0019660E"/>
    <w:rsid w:val="00196A39"/>
    <w:rsid w:val="0019705B"/>
    <w:rsid w:val="00197569"/>
    <w:rsid w:val="001978F0"/>
    <w:rsid w:val="00197FA8"/>
    <w:rsid w:val="001A05FC"/>
    <w:rsid w:val="001A10D9"/>
    <w:rsid w:val="001A1769"/>
    <w:rsid w:val="001A1AA5"/>
    <w:rsid w:val="001A1D68"/>
    <w:rsid w:val="001A1DF1"/>
    <w:rsid w:val="001A27F4"/>
    <w:rsid w:val="001A2810"/>
    <w:rsid w:val="001A32CD"/>
    <w:rsid w:val="001A3310"/>
    <w:rsid w:val="001A3BE8"/>
    <w:rsid w:val="001A46D0"/>
    <w:rsid w:val="001A5487"/>
    <w:rsid w:val="001A6168"/>
    <w:rsid w:val="001A7205"/>
    <w:rsid w:val="001A7551"/>
    <w:rsid w:val="001A758F"/>
    <w:rsid w:val="001A7A79"/>
    <w:rsid w:val="001B0120"/>
    <w:rsid w:val="001B03A8"/>
    <w:rsid w:val="001B0BDC"/>
    <w:rsid w:val="001B0E96"/>
    <w:rsid w:val="001B1311"/>
    <w:rsid w:val="001B1C7E"/>
    <w:rsid w:val="001B236E"/>
    <w:rsid w:val="001B2422"/>
    <w:rsid w:val="001B26AE"/>
    <w:rsid w:val="001B2921"/>
    <w:rsid w:val="001B2DE9"/>
    <w:rsid w:val="001B2F11"/>
    <w:rsid w:val="001B39E5"/>
    <w:rsid w:val="001B3CB8"/>
    <w:rsid w:val="001B4DF7"/>
    <w:rsid w:val="001B4EC8"/>
    <w:rsid w:val="001B557A"/>
    <w:rsid w:val="001B5A9F"/>
    <w:rsid w:val="001B5FF5"/>
    <w:rsid w:val="001B6B90"/>
    <w:rsid w:val="001B74B8"/>
    <w:rsid w:val="001B7EE7"/>
    <w:rsid w:val="001C05F1"/>
    <w:rsid w:val="001C0826"/>
    <w:rsid w:val="001C0B43"/>
    <w:rsid w:val="001C0CF9"/>
    <w:rsid w:val="001C1C95"/>
    <w:rsid w:val="001C257F"/>
    <w:rsid w:val="001C3172"/>
    <w:rsid w:val="001C3A5F"/>
    <w:rsid w:val="001C3C82"/>
    <w:rsid w:val="001C3C9B"/>
    <w:rsid w:val="001C3EE2"/>
    <w:rsid w:val="001C4129"/>
    <w:rsid w:val="001C41F0"/>
    <w:rsid w:val="001C4654"/>
    <w:rsid w:val="001C51DE"/>
    <w:rsid w:val="001C5EA9"/>
    <w:rsid w:val="001C615F"/>
    <w:rsid w:val="001C737D"/>
    <w:rsid w:val="001C73FC"/>
    <w:rsid w:val="001C7772"/>
    <w:rsid w:val="001C79D0"/>
    <w:rsid w:val="001C7FE9"/>
    <w:rsid w:val="001D02A6"/>
    <w:rsid w:val="001D02CB"/>
    <w:rsid w:val="001D0337"/>
    <w:rsid w:val="001D0DB9"/>
    <w:rsid w:val="001D0E93"/>
    <w:rsid w:val="001D2392"/>
    <w:rsid w:val="001D2CE4"/>
    <w:rsid w:val="001D2DB7"/>
    <w:rsid w:val="001D2E3E"/>
    <w:rsid w:val="001D3DFD"/>
    <w:rsid w:val="001D4C1B"/>
    <w:rsid w:val="001D55AB"/>
    <w:rsid w:val="001D5797"/>
    <w:rsid w:val="001D5C4A"/>
    <w:rsid w:val="001D64B4"/>
    <w:rsid w:val="001D6EDC"/>
    <w:rsid w:val="001D7DDB"/>
    <w:rsid w:val="001E0B1C"/>
    <w:rsid w:val="001E0EAB"/>
    <w:rsid w:val="001E11C3"/>
    <w:rsid w:val="001E1312"/>
    <w:rsid w:val="001E18EE"/>
    <w:rsid w:val="001E1E73"/>
    <w:rsid w:val="001E24B9"/>
    <w:rsid w:val="001E2F11"/>
    <w:rsid w:val="001E3700"/>
    <w:rsid w:val="001E4423"/>
    <w:rsid w:val="001E4B49"/>
    <w:rsid w:val="001E4EAB"/>
    <w:rsid w:val="001E5054"/>
    <w:rsid w:val="001E5982"/>
    <w:rsid w:val="001E5BE2"/>
    <w:rsid w:val="001E5E4B"/>
    <w:rsid w:val="001E626B"/>
    <w:rsid w:val="001E688E"/>
    <w:rsid w:val="001E6C57"/>
    <w:rsid w:val="001E71AE"/>
    <w:rsid w:val="001E7B86"/>
    <w:rsid w:val="001F0F13"/>
    <w:rsid w:val="001F0FE2"/>
    <w:rsid w:val="001F10C7"/>
    <w:rsid w:val="001F1805"/>
    <w:rsid w:val="001F18F5"/>
    <w:rsid w:val="001F1A67"/>
    <w:rsid w:val="001F1C7F"/>
    <w:rsid w:val="001F1D14"/>
    <w:rsid w:val="001F2133"/>
    <w:rsid w:val="001F2544"/>
    <w:rsid w:val="001F26B4"/>
    <w:rsid w:val="001F2BCF"/>
    <w:rsid w:val="001F2ED7"/>
    <w:rsid w:val="001F2EE4"/>
    <w:rsid w:val="001F37C0"/>
    <w:rsid w:val="001F479E"/>
    <w:rsid w:val="001F5121"/>
    <w:rsid w:val="001F5953"/>
    <w:rsid w:val="001F5970"/>
    <w:rsid w:val="001F5D3E"/>
    <w:rsid w:val="001F5F50"/>
    <w:rsid w:val="001F62BA"/>
    <w:rsid w:val="001F7174"/>
    <w:rsid w:val="001F7292"/>
    <w:rsid w:val="001F748A"/>
    <w:rsid w:val="0020078B"/>
    <w:rsid w:val="00200B26"/>
    <w:rsid w:val="00200C32"/>
    <w:rsid w:val="0020119A"/>
    <w:rsid w:val="002013A5"/>
    <w:rsid w:val="00201692"/>
    <w:rsid w:val="00201700"/>
    <w:rsid w:val="00202285"/>
    <w:rsid w:val="002024B1"/>
    <w:rsid w:val="00202AA8"/>
    <w:rsid w:val="00203096"/>
    <w:rsid w:val="002031EB"/>
    <w:rsid w:val="00203562"/>
    <w:rsid w:val="00203A36"/>
    <w:rsid w:val="0020460D"/>
    <w:rsid w:val="00204687"/>
    <w:rsid w:val="00205114"/>
    <w:rsid w:val="0020531D"/>
    <w:rsid w:val="0020548D"/>
    <w:rsid w:val="00205654"/>
    <w:rsid w:val="00206000"/>
    <w:rsid w:val="00206103"/>
    <w:rsid w:val="002063D7"/>
    <w:rsid w:val="00206701"/>
    <w:rsid w:val="002068F7"/>
    <w:rsid w:val="00207642"/>
    <w:rsid w:val="002078D8"/>
    <w:rsid w:val="00207EBB"/>
    <w:rsid w:val="00210007"/>
    <w:rsid w:val="00210343"/>
    <w:rsid w:val="00210418"/>
    <w:rsid w:val="002105C5"/>
    <w:rsid w:val="002109B8"/>
    <w:rsid w:val="00210C9A"/>
    <w:rsid w:val="002110CA"/>
    <w:rsid w:val="00211B04"/>
    <w:rsid w:val="0021265F"/>
    <w:rsid w:val="00213991"/>
    <w:rsid w:val="002144C1"/>
    <w:rsid w:val="00214A92"/>
    <w:rsid w:val="00215DF9"/>
    <w:rsid w:val="00215F1F"/>
    <w:rsid w:val="00216168"/>
    <w:rsid w:val="002164F4"/>
    <w:rsid w:val="002166BC"/>
    <w:rsid w:val="00216B5A"/>
    <w:rsid w:val="00217851"/>
    <w:rsid w:val="00217F0D"/>
    <w:rsid w:val="00217F47"/>
    <w:rsid w:val="00220099"/>
    <w:rsid w:val="002201EA"/>
    <w:rsid w:val="00220980"/>
    <w:rsid w:val="002211C7"/>
    <w:rsid w:val="00221467"/>
    <w:rsid w:val="00221A41"/>
    <w:rsid w:val="00221ACC"/>
    <w:rsid w:val="00221E99"/>
    <w:rsid w:val="00221F0A"/>
    <w:rsid w:val="00222903"/>
    <w:rsid w:val="0022291D"/>
    <w:rsid w:val="00223162"/>
    <w:rsid w:val="00223319"/>
    <w:rsid w:val="00223CA2"/>
    <w:rsid w:val="00223F05"/>
    <w:rsid w:val="002247F4"/>
    <w:rsid w:val="002253B9"/>
    <w:rsid w:val="00225591"/>
    <w:rsid w:val="00225CAC"/>
    <w:rsid w:val="00226A3F"/>
    <w:rsid w:val="00227233"/>
    <w:rsid w:val="0022749A"/>
    <w:rsid w:val="00227E0F"/>
    <w:rsid w:val="00227F50"/>
    <w:rsid w:val="00230385"/>
    <w:rsid w:val="0023055F"/>
    <w:rsid w:val="00231207"/>
    <w:rsid w:val="00231917"/>
    <w:rsid w:val="00231942"/>
    <w:rsid w:val="0023217D"/>
    <w:rsid w:val="0023250D"/>
    <w:rsid w:val="00232553"/>
    <w:rsid w:val="0023394C"/>
    <w:rsid w:val="00233B82"/>
    <w:rsid w:val="00233C6D"/>
    <w:rsid w:val="0023413F"/>
    <w:rsid w:val="00234CDF"/>
    <w:rsid w:val="002355DF"/>
    <w:rsid w:val="00235712"/>
    <w:rsid w:val="00235777"/>
    <w:rsid w:val="00235804"/>
    <w:rsid w:val="00235D42"/>
    <w:rsid w:val="0023605A"/>
    <w:rsid w:val="00236235"/>
    <w:rsid w:val="00236C01"/>
    <w:rsid w:val="00236C4E"/>
    <w:rsid w:val="00236DC5"/>
    <w:rsid w:val="002371C0"/>
    <w:rsid w:val="00237AF8"/>
    <w:rsid w:val="00237D1A"/>
    <w:rsid w:val="00237E8D"/>
    <w:rsid w:val="00240287"/>
    <w:rsid w:val="002405AB"/>
    <w:rsid w:val="0024064C"/>
    <w:rsid w:val="00240F4D"/>
    <w:rsid w:val="00241365"/>
    <w:rsid w:val="002415F8"/>
    <w:rsid w:val="002417F8"/>
    <w:rsid w:val="00241DC8"/>
    <w:rsid w:val="00242642"/>
    <w:rsid w:val="00242BAE"/>
    <w:rsid w:val="00242D6E"/>
    <w:rsid w:val="00242DA9"/>
    <w:rsid w:val="00243654"/>
    <w:rsid w:val="002438DF"/>
    <w:rsid w:val="00244118"/>
    <w:rsid w:val="002441F4"/>
    <w:rsid w:val="00244705"/>
    <w:rsid w:val="0024489C"/>
    <w:rsid w:val="0024491C"/>
    <w:rsid w:val="00244C9F"/>
    <w:rsid w:val="00244EE6"/>
    <w:rsid w:val="00245485"/>
    <w:rsid w:val="002457CB"/>
    <w:rsid w:val="00245DDC"/>
    <w:rsid w:val="00245FD5"/>
    <w:rsid w:val="00246AA4"/>
    <w:rsid w:val="00246E2E"/>
    <w:rsid w:val="0024770D"/>
    <w:rsid w:val="00247774"/>
    <w:rsid w:val="002505C3"/>
    <w:rsid w:val="002506D5"/>
    <w:rsid w:val="00251CC4"/>
    <w:rsid w:val="00251F6D"/>
    <w:rsid w:val="00252688"/>
    <w:rsid w:val="00252878"/>
    <w:rsid w:val="00254396"/>
    <w:rsid w:val="002543BE"/>
    <w:rsid w:val="00254BBC"/>
    <w:rsid w:val="00255171"/>
    <w:rsid w:val="0025578D"/>
    <w:rsid w:val="00255A52"/>
    <w:rsid w:val="00255B56"/>
    <w:rsid w:val="00255D0B"/>
    <w:rsid w:val="00255F34"/>
    <w:rsid w:val="0025627C"/>
    <w:rsid w:val="002567AB"/>
    <w:rsid w:val="0025693F"/>
    <w:rsid w:val="002572FF"/>
    <w:rsid w:val="00257E1D"/>
    <w:rsid w:val="00260205"/>
    <w:rsid w:val="002607B3"/>
    <w:rsid w:val="00260B1F"/>
    <w:rsid w:val="002619FB"/>
    <w:rsid w:val="00261AD4"/>
    <w:rsid w:val="00261DAB"/>
    <w:rsid w:val="002625F0"/>
    <w:rsid w:val="00262674"/>
    <w:rsid w:val="0026271A"/>
    <w:rsid w:val="00262B4B"/>
    <w:rsid w:val="00262ED8"/>
    <w:rsid w:val="0026302B"/>
    <w:rsid w:val="002634B4"/>
    <w:rsid w:val="00263979"/>
    <w:rsid w:val="00263B30"/>
    <w:rsid w:val="00263EE5"/>
    <w:rsid w:val="00264424"/>
    <w:rsid w:val="00264A74"/>
    <w:rsid w:val="00264D65"/>
    <w:rsid w:val="002656AD"/>
    <w:rsid w:val="00265773"/>
    <w:rsid w:val="0026581B"/>
    <w:rsid w:val="00265F7D"/>
    <w:rsid w:val="00265FB1"/>
    <w:rsid w:val="002662CC"/>
    <w:rsid w:val="0026660C"/>
    <w:rsid w:val="00266B9D"/>
    <w:rsid w:val="00267090"/>
    <w:rsid w:val="002671A7"/>
    <w:rsid w:val="002677EB"/>
    <w:rsid w:val="00267D11"/>
    <w:rsid w:val="00267FD7"/>
    <w:rsid w:val="00270461"/>
    <w:rsid w:val="00270492"/>
    <w:rsid w:val="0027091A"/>
    <w:rsid w:val="00270D77"/>
    <w:rsid w:val="00270DDD"/>
    <w:rsid w:val="0027119C"/>
    <w:rsid w:val="00271548"/>
    <w:rsid w:val="00271A2A"/>
    <w:rsid w:val="00271A36"/>
    <w:rsid w:val="00271FD3"/>
    <w:rsid w:val="00274128"/>
    <w:rsid w:val="002748F2"/>
    <w:rsid w:val="002754AF"/>
    <w:rsid w:val="00275546"/>
    <w:rsid w:val="002765D7"/>
    <w:rsid w:val="002768CB"/>
    <w:rsid w:val="00276A83"/>
    <w:rsid w:val="002804CB"/>
    <w:rsid w:val="0028092C"/>
    <w:rsid w:val="00280C02"/>
    <w:rsid w:val="00280CBC"/>
    <w:rsid w:val="002811AD"/>
    <w:rsid w:val="00281447"/>
    <w:rsid w:val="00281482"/>
    <w:rsid w:val="00281494"/>
    <w:rsid w:val="00281540"/>
    <w:rsid w:val="00281735"/>
    <w:rsid w:val="00282701"/>
    <w:rsid w:val="00282B50"/>
    <w:rsid w:val="00282DED"/>
    <w:rsid w:val="0028313D"/>
    <w:rsid w:val="00283658"/>
    <w:rsid w:val="00283A17"/>
    <w:rsid w:val="00283EF6"/>
    <w:rsid w:val="00284AC1"/>
    <w:rsid w:val="002852D5"/>
    <w:rsid w:val="002852E7"/>
    <w:rsid w:val="002853E2"/>
    <w:rsid w:val="0028547B"/>
    <w:rsid w:val="00285DA0"/>
    <w:rsid w:val="00285F6B"/>
    <w:rsid w:val="00286594"/>
    <w:rsid w:val="00286D38"/>
    <w:rsid w:val="00286E2D"/>
    <w:rsid w:val="002871DF"/>
    <w:rsid w:val="00287C56"/>
    <w:rsid w:val="00287D21"/>
    <w:rsid w:val="0029031B"/>
    <w:rsid w:val="00290886"/>
    <w:rsid w:val="002913BD"/>
    <w:rsid w:val="002916BC"/>
    <w:rsid w:val="00291A55"/>
    <w:rsid w:val="00291B6E"/>
    <w:rsid w:val="00291FA1"/>
    <w:rsid w:val="00292098"/>
    <w:rsid w:val="00292457"/>
    <w:rsid w:val="002934D0"/>
    <w:rsid w:val="002934EB"/>
    <w:rsid w:val="00294228"/>
    <w:rsid w:val="00294771"/>
    <w:rsid w:val="002949DF"/>
    <w:rsid w:val="00294C70"/>
    <w:rsid w:val="002952D4"/>
    <w:rsid w:val="00295BD5"/>
    <w:rsid w:val="00295D05"/>
    <w:rsid w:val="0029639B"/>
    <w:rsid w:val="00296455"/>
    <w:rsid w:val="00296798"/>
    <w:rsid w:val="002969C1"/>
    <w:rsid w:val="002A1B58"/>
    <w:rsid w:val="002A1CFB"/>
    <w:rsid w:val="002A24CE"/>
    <w:rsid w:val="002A2A2F"/>
    <w:rsid w:val="002A3022"/>
    <w:rsid w:val="002A3097"/>
    <w:rsid w:val="002A3440"/>
    <w:rsid w:val="002A357B"/>
    <w:rsid w:val="002A3784"/>
    <w:rsid w:val="002A413B"/>
    <w:rsid w:val="002A4761"/>
    <w:rsid w:val="002A4877"/>
    <w:rsid w:val="002A4C15"/>
    <w:rsid w:val="002A4C2A"/>
    <w:rsid w:val="002A4F67"/>
    <w:rsid w:val="002A5393"/>
    <w:rsid w:val="002A6270"/>
    <w:rsid w:val="002A6CB0"/>
    <w:rsid w:val="002A6F71"/>
    <w:rsid w:val="002A7155"/>
    <w:rsid w:val="002A720C"/>
    <w:rsid w:val="002B0393"/>
    <w:rsid w:val="002B08C2"/>
    <w:rsid w:val="002B0FEE"/>
    <w:rsid w:val="002B162A"/>
    <w:rsid w:val="002B1F2C"/>
    <w:rsid w:val="002B26F3"/>
    <w:rsid w:val="002B2756"/>
    <w:rsid w:val="002B3C46"/>
    <w:rsid w:val="002B48CC"/>
    <w:rsid w:val="002B498A"/>
    <w:rsid w:val="002B4B24"/>
    <w:rsid w:val="002B4BD6"/>
    <w:rsid w:val="002B4BE1"/>
    <w:rsid w:val="002B5408"/>
    <w:rsid w:val="002B5C4A"/>
    <w:rsid w:val="002B60AC"/>
    <w:rsid w:val="002B6F83"/>
    <w:rsid w:val="002B77F5"/>
    <w:rsid w:val="002B7E97"/>
    <w:rsid w:val="002C00A6"/>
    <w:rsid w:val="002C0261"/>
    <w:rsid w:val="002C0391"/>
    <w:rsid w:val="002C1039"/>
    <w:rsid w:val="002C1460"/>
    <w:rsid w:val="002C272F"/>
    <w:rsid w:val="002C2959"/>
    <w:rsid w:val="002C2C6F"/>
    <w:rsid w:val="002C3515"/>
    <w:rsid w:val="002C3F09"/>
    <w:rsid w:val="002C466B"/>
    <w:rsid w:val="002C46BF"/>
    <w:rsid w:val="002C48D2"/>
    <w:rsid w:val="002C5105"/>
    <w:rsid w:val="002C5E79"/>
    <w:rsid w:val="002C5F94"/>
    <w:rsid w:val="002C66AF"/>
    <w:rsid w:val="002C67FB"/>
    <w:rsid w:val="002C68D3"/>
    <w:rsid w:val="002C755B"/>
    <w:rsid w:val="002C77FB"/>
    <w:rsid w:val="002C7CE3"/>
    <w:rsid w:val="002D072C"/>
    <w:rsid w:val="002D10BA"/>
    <w:rsid w:val="002D1425"/>
    <w:rsid w:val="002D1EC3"/>
    <w:rsid w:val="002D22F2"/>
    <w:rsid w:val="002D242F"/>
    <w:rsid w:val="002D2A92"/>
    <w:rsid w:val="002D2E1C"/>
    <w:rsid w:val="002D33DA"/>
    <w:rsid w:val="002D34AD"/>
    <w:rsid w:val="002D41A0"/>
    <w:rsid w:val="002D443B"/>
    <w:rsid w:val="002D4A02"/>
    <w:rsid w:val="002D4BB0"/>
    <w:rsid w:val="002D4F50"/>
    <w:rsid w:val="002D589A"/>
    <w:rsid w:val="002D5E06"/>
    <w:rsid w:val="002D6391"/>
    <w:rsid w:val="002D6BBE"/>
    <w:rsid w:val="002D6FFC"/>
    <w:rsid w:val="002D7640"/>
    <w:rsid w:val="002D7BC6"/>
    <w:rsid w:val="002E06E0"/>
    <w:rsid w:val="002E0A4E"/>
    <w:rsid w:val="002E0FDA"/>
    <w:rsid w:val="002E1084"/>
    <w:rsid w:val="002E1E1F"/>
    <w:rsid w:val="002E2043"/>
    <w:rsid w:val="002E204E"/>
    <w:rsid w:val="002E2F7C"/>
    <w:rsid w:val="002E3885"/>
    <w:rsid w:val="002E394A"/>
    <w:rsid w:val="002E3AE5"/>
    <w:rsid w:val="002E4303"/>
    <w:rsid w:val="002E440B"/>
    <w:rsid w:val="002E4976"/>
    <w:rsid w:val="002E4CF0"/>
    <w:rsid w:val="002E500C"/>
    <w:rsid w:val="002E50F3"/>
    <w:rsid w:val="002E5268"/>
    <w:rsid w:val="002E5A02"/>
    <w:rsid w:val="002E5FAA"/>
    <w:rsid w:val="002E6470"/>
    <w:rsid w:val="002E7119"/>
    <w:rsid w:val="002E714E"/>
    <w:rsid w:val="002E74C0"/>
    <w:rsid w:val="002E7BEE"/>
    <w:rsid w:val="002F01CE"/>
    <w:rsid w:val="002F0300"/>
    <w:rsid w:val="002F082D"/>
    <w:rsid w:val="002F0A96"/>
    <w:rsid w:val="002F0C55"/>
    <w:rsid w:val="002F0C5A"/>
    <w:rsid w:val="002F1576"/>
    <w:rsid w:val="002F1C0D"/>
    <w:rsid w:val="002F209D"/>
    <w:rsid w:val="002F2127"/>
    <w:rsid w:val="002F2433"/>
    <w:rsid w:val="002F2443"/>
    <w:rsid w:val="002F2A55"/>
    <w:rsid w:val="002F2DAC"/>
    <w:rsid w:val="002F378D"/>
    <w:rsid w:val="002F4872"/>
    <w:rsid w:val="002F4C07"/>
    <w:rsid w:val="002F4C81"/>
    <w:rsid w:val="002F509E"/>
    <w:rsid w:val="002F55B7"/>
    <w:rsid w:val="002F55DA"/>
    <w:rsid w:val="002F57B0"/>
    <w:rsid w:val="002F5B71"/>
    <w:rsid w:val="002F68D1"/>
    <w:rsid w:val="002F6CDA"/>
    <w:rsid w:val="002F6DDF"/>
    <w:rsid w:val="002F75D4"/>
    <w:rsid w:val="002F75EA"/>
    <w:rsid w:val="002F7EF7"/>
    <w:rsid w:val="002F7FE1"/>
    <w:rsid w:val="0030091C"/>
    <w:rsid w:val="00301F5E"/>
    <w:rsid w:val="00302445"/>
    <w:rsid w:val="00302564"/>
    <w:rsid w:val="00302A8C"/>
    <w:rsid w:val="003031B8"/>
    <w:rsid w:val="003031D3"/>
    <w:rsid w:val="00304456"/>
    <w:rsid w:val="00304B04"/>
    <w:rsid w:val="00304FB9"/>
    <w:rsid w:val="0030584E"/>
    <w:rsid w:val="00305C0C"/>
    <w:rsid w:val="00306B7E"/>
    <w:rsid w:val="00306CF9"/>
    <w:rsid w:val="00306FFF"/>
    <w:rsid w:val="00307EB2"/>
    <w:rsid w:val="00310849"/>
    <w:rsid w:val="00311DD3"/>
    <w:rsid w:val="00311E9B"/>
    <w:rsid w:val="0031216D"/>
    <w:rsid w:val="00312CE7"/>
    <w:rsid w:val="003130C4"/>
    <w:rsid w:val="003134F8"/>
    <w:rsid w:val="00313645"/>
    <w:rsid w:val="003137A5"/>
    <w:rsid w:val="003141E7"/>
    <w:rsid w:val="0031596F"/>
    <w:rsid w:val="00315AFF"/>
    <w:rsid w:val="00315B43"/>
    <w:rsid w:val="0031613D"/>
    <w:rsid w:val="003167F9"/>
    <w:rsid w:val="00316A80"/>
    <w:rsid w:val="00316D1D"/>
    <w:rsid w:val="00316E43"/>
    <w:rsid w:val="003173BD"/>
    <w:rsid w:val="00317477"/>
    <w:rsid w:val="003174F6"/>
    <w:rsid w:val="00317FF1"/>
    <w:rsid w:val="0032001E"/>
    <w:rsid w:val="003201FC"/>
    <w:rsid w:val="00320C39"/>
    <w:rsid w:val="00320C76"/>
    <w:rsid w:val="00320DD2"/>
    <w:rsid w:val="00320E97"/>
    <w:rsid w:val="0032104B"/>
    <w:rsid w:val="00321ACE"/>
    <w:rsid w:val="00321D6F"/>
    <w:rsid w:val="00322960"/>
    <w:rsid w:val="00323222"/>
    <w:rsid w:val="0032444A"/>
    <w:rsid w:val="00324499"/>
    <w:rsid w:val="00325B4A"/>
    <w:rsid w:val="00326087"/>
    <w:rsid w:val="003265C5"/>
    <w:rsid w:val="00326BB4"/>
    <w:rsid w:val="00326DC1"/>
    <w:rsid w:val="00326E2A"/>
    <w:rsid w:val="00326E61"/>
    <w:rsid w:val="00327135"/>
    <w:rsid w:val="00327562"/>
    <w:rsid w:val="00330802"/>
    <w:rsid w:val="00330C7F"/>
    <w:rsid w:val="00331663"/>
    <w:rsid w:val="00331751"/>
    <w:rsid w:val="00331A41"/>
    <w:rsid w:val="003322A2"/>
    <w:rsid w:val="00332378"/>
    <w:rsid w:val="00332706"/>
    <w:rsid w:val="00332769"/>
    <w:rsid w:val="003346F3"/>
    <w:rsid w:val="00334717"/>
    <w:rsid w:val="00334BFE"/>
    <w:rsid w:val="00334CDD"/>
    <w:rsid w:val="00335717"/>
    <w:rsid w:val="0033605A"/>
    <w:rsid w:val="003362BE"/>
    <w:rsid w:val="00336636"/>
    <w:rsid w:val="00336BD8"/>
    <w:rsid w:val="003370EF"/>
    <w:rsid w:val="0033731D"/>
    <w:rsid w:val="00337467"/>
    <w:rsid w:val="00337789"/>
    <w:rsid w:val="00337DF7"/>
    <w:rsid w:val="00340BAE"/>
    <w:rsid w:val="003412EC"/>
    <w:rsid w:val="00341AFC"/>
    <w:rsid w:val="00341C76"/>
    <w:rsid w:val="00341F30"/>
    <w:rsid w:val="00343551"/>
    <w:rsid w:val="003436C7"/>
    <w:rsid w:val="0034389F"/>
    <w:rsid w:val="003442EA"/>
    <w:rsid w:val="003444EE"/>
    <w:rsid w:val="003455C8"/>
    <w:rsid w:val="00345C0B"/>
    <w:rsid w:val="003461D1"/>
    <w:rsid w:val="00346DDC"/>
    <w:rsid w:val="003470E8"/>
    <w:rsid w:val="003476E5"/>
    <w:rsid w:val="003511BB"/>
    <w:rsid w:val="00352750"/>
    <w:rsid w:val="0035299C"/>
    <w:rsid w:val="003532BD"/>
    <w:rsid w:val="0035340D"/>
    <w:rsid w:val="0035345D"/>
    <w:rsid w:val="00353D43"/>
    <w:rsid w:val="00353DA1"/>
    <w:rsid w:val="003550A6"/>
    <w:rsid w:val="003565B5"/>
    <w:rsid w:val="003570DC"/>
    <w:rsid w:val="00357421"/>
    <w:rsid w:val="00357FB4"/>
    <w:rsid w:val="00357FF1"/>
    <w:rsid w:val="00360119"/>
    <w:rsid w:val="0036027F"/>
    <w:rsid w:val="00361086"/>
    <w:rsid w:val="003612B0"/>
    <w:rsid w:val="003613B2"/>
    <w:rsid w:val="00361AA1"/>
    <w:rsid w:val="00361CB9"/>
    <w:rsid w:val="00362E9A"/>
    <w:rsid w:val="00363983"/>
    <w:rsid w:val="00363BD9"/>
    <w:rsid w:val="00364BFC"/>
    <w:rsid w:val="00364F9A"/>
    <w:rsid w:val="00365077"/>
    <w:rsid w:val="00365119"/>
    <w:rsid w:val="00365167"/>
    <w:rsid w:val="0036563B"/>
    <w:rsid w:val="0036570B"/>
    <w:rsid w:val="00365B41"/>
    <w:rsid w:val="00365DB4"/>
    <w:rsid w:val="00365FFB"/>
    <w:rsid w:val="00366A8A"/>
    <w:rsid w:val="00366F7B"/>
    <w:rsid w:val="00371115"/>
    <w:rsid w:val="00371800"/>
    <w:rsid w:val="00371BED"/>
    <w:rsid w:val="00372638"/>
    <w:rsid w:val="00372654"/>
    <w:rsid w:val="00372D80"/>
    <w:rsid w:val="003737B7"/>
    <w:rsid w:val="003740D6"/>
    <w:rsid w:val="0037444B"/>
    <w:rsid w:val="00374463"/>
    <w:rsid w:val="003744D3"/>
    <w:rsid w:val="00374532"/>
    <w:rsid w:val="00374B21"/>
    <w:rsid w:val="0037568E"/>
    <w:rsid w:val="00375CC9"/>
    <w:rsid w:val="003768E7"/>
    <w:rsid w:val="0037691B"/>
    <w:rsid w:val="00377322"/>
    <w:rsid w:val="0037742D"/>
    <w:rsid w:val="00377910"/>
    <w:rsid w:val="00377D8E"/>
    <w:rsid w:val="00377E9C"/>
    <w:rsid w:val="00380370"/>
    <w:rsid w:val="00380B44"/>
    <w:rsid w:val="00380B96"/>
    <w:rsid w:val="00381228"/>
    <w:rsid w:val="00381255"/>
    <w:rsid w:val="0038167C"/>
    <w:rsid w:val="00381723"/>
    <w:rsid w:val="00381755"/>
    <w:rsid w:val="00381986"/>
    <w:rsid w:val="00381B3E"/>
    <w:rsid w:val="00383C32"/>
    <w:rsid w:val="00383D81"/>
    <w:rsid w:val="003848CB"/>
    <w:rsid w:val="003850F9"/>
    <w:rsid w:val="003855B8"/>
    <w:rsid w:val="00385F3E"/>
    <w:rsid w:val="003861B1"/>
    <w:rsid w:val="00386207"/>
    <w:rsid w:val="003862BC"/>
    <w:rsid w:val="003868DC"/>
    <w:rsid w:val="00386E4C"/>
    <w:rsid w:val="00386FBA"/>
    <w:rsid w:val="00387FC6"/>
    <w:rsid w:val="00391A62"/>
    <w:rsid w:val="00391D77"/>
    <w:rsid w:val="00392859"/>
    <w:rsid w:val="00392CB1"/>
    <w:rsid w:val="00393037"/>
    <w:rsid w:val="0039338B"/>
    <w:rsid w:val="003936E2"/>
    <w:rsid w:val="00393B1A"/>
    <w:rsid w:val="00394368"/>
    <w:rsid w:val="00394472"/>
    <w:rsid w:val="0039449E"/>
    <w:rsid w:val="00394D63"/>
    <w:rsid w:val="00395010"/>
    <w:rsid w:val="003954FA"/>
    <w:rsid w:val="00395ACB"/>
    <w:rsid w:val="00395B3E"/>
    <w:rsid w:val="00395E93"/>
    <w:rsid w:val="00396061"/>
    <w:rsid w:val="00396634"/>
    <w:rsid w:val="00396ED7"/>
    <w:rsid w:val="0039766E"/>
    <w:rsid w:val="003A0956"/>
    <w:rsid w:val="003A0E2C"/>
    <w:rsid w:val="003A1158"/>
    <w:rsid w:val="003A13A6"/>
    <w:rsid w:val="003A17B0"/>
    <w:rsid w:val="003A17E3"/>
    <w:rsid w:val="003A27E9"/>
    <w:rsid w:val="003A2944"/>
    <w:rsid w:val="003A3C86"/>
    <w:rsid w:val="003A51E8"/>
    <w:rsid w:val="003A5892"/>
    <w:rsid w:val="003A63DC"/>
    <w:rsid w:val="003A64DC"/>
    <w:rsid w:val="003A653D"/>
    <w:rsid w:val="003A6585"/>
    <w:rsid w:val="003A7649"/>
    <w:rsid w:val="003A7B74"/>
    <w:rsid w:val="003A7F93"/>
    <w:rsid w:val="003B00B1"/>
    <w:rsid w:val="003B0241"/>
    <w:rsid w:val="003B05E4"/>
    <w:rsid w:val="003B0977"/>
    <w:rsid w:val="003B0C33"/>
    <w:rsid w:val="003B22DF"/>
    <w:rsid w:val="003B2779"/>
    <w:rsid w:val="003B2FF0"/>
    <w:rsid w:val="003B4A4F"/>
    <w:rsid w:val="003B4A6D"/>
    <w:rsid w:val="003B4E8E"/>
    <w:rsid w:val="003B4FA1"/>
    <w:rsid w:val="003B56DF"/>
    <w:rsid w:val="003B5A1B"/>
    <w:rsid w:val="003B5B68"/>
    <w:rsid w:val="003B5C4E"/>
    <w:rsid w:val="003B6455"/>
    <w:rsid w:val="003B6F55"/>
    <w:rsid w:val="003B73EB"/>
    <w:rsid w:val="003B7A96"/>
    <w:rsid w:val="003C052B"/>
    <w:rsid w:val="003C0A51"/>
    <w:rsid w:val="003C0E85"/>
    <w:rsid w:val="003C124B"/>
    <w:rsid w:val="003C146D"/>
    <w:rsid w:val="003C1B8F"/>
    <w:rsid w:val="003C20A5"/>
    <w:rsid w:val="003C20D8"/>
    <w:rsid w:val="003C24EA"/>
    <w:rsid w:val="003C32CD"/>
    <w:rsid w:val="003C34C9"/>
    <w:rsid w:val="003C3F94"/>
    <w:rsid w:val="003C4667"/>
    <w:rsid w:val="003C5227"/>
    <w:rsid w:val="003C536A"/>
    <w:rsid w:val="003C6037"/>
    <w:rsid w:val="003C6B29"/>
    <w:rsid w:val="003C7027"/>
    <w:rsid w:val="003D0954"/>
    <w:rsid w:val="003D1A5B"/>
    <w:rsid w:val="003D240E"/>
    <w:rsid w:val="003D24DF"/>
    <w:rsid w:val="003D29FD"/>
    <w:rsid w:val="003D2BB2"/>
    <w:rsid w:val="003D2D6D"/>
    <w:rsid w:val="003D4DC1"/>
    <w:rsid w:val="003D500A"/>
    <w:rsid w:val="003D52DD"/>
    <w:rsid w:val="003D5850"/>
    <w:rsid w:val="003D59C2"/>
    <w:rsid w:val="003D6395"/>
    <w:rsid w:val="003D6405"/>
    <w:rsid w:val="003D67B7"/>
    <w:rsid w:val="003D72CC"/>
    <w:rsid w:val="003D78EB"/>
    <w:rsid w:val="003D7A47"/>
    <w:rsid w:val="003D7C24"/>
    <w:rsid w:val="003D7C35"/>
    <w:rsid w:val="003D7CDA"/>
    <w:rsid w:val="003D7FB1"/>
    <w:rsid w:val="003D7FC1"/>
    <w:rsid w:val="003E090A"/>
    <w:rsid w:val="003E276A"/>
    <w:rsid w:val="003E2D35"/>
    <w:rsid w:val="003E312A"/>
    <w:rsid w:val="003E3509"/>
    <w:rsid w:val="003E3F1D"/>
    <w:rsid w:val="003E4BEA"/>
    <w:rsid w:val="003E50E0"/>
    <w:rsid w:val="003E518F"/>
    <w:rsid w:val="003E531D"/>
    <w:rsid w:val="003E5ABA"/>
    <w:rsid w:val="003E5F46"/>
    <w:rsid w:val="003E6392"/>
    <w:rsid w:val="003E6756"/>
    <w:rsid w:val="003E6779"/>
    <w:rsid w:val="003E679E"/>
    <w:rsid w:val="003E6923"/>
    <w:rsid w:val="003E6FBB"/>
    <w:rsid w:val="003E70A6"/>
    <w:rsid w:val="003E732B"/>
    <w:rsid w:val="003E7B0E"/>
    <w:rsid w:val="003E7B15"/>
    <w:rsid w:val="003E7C37"/>
    <w:rsid w:val="003E7D76"/>
    <w:rsid w:val="003F025C"/>
    <w:rsid w:val="003F0519"/>
    <w:rsid w:val="003F0BA7"/>
    <w:rsid w:val="003F14AB"/>
    <w:rsid w:val="003F1835"/>
    <w:rsid w:val="003F198F"/>
    <w:rsid w:val="003F1B88"/>
    <w:rsid w:val="003F1D6A"/>
    <w:rsid w:val="003F3396"/>
    <w:rsid w:val="003F3511"/>
    <w:rsid w:val="003F3C13"/>
    <w:rsid w:val="003F3FD1"/>
    <w:rsid w:val="003F40C9"/>
    <w:rsid w:val="003F44B7"/>
    <w:rsid w:val="003F5D67"/>
    <w:rsid w:val="003F5E0E"/>
    <w:rsid w:val="003F5FAE"/>
    <w:rsid w:val="003F6106"/>
    <w:rsid w:val="003F6139"/>
    <w:rsid w:val="003F6299"/>
    <w:rsid w:val="003F64AB"/>
    <w:rsid w:val="003F662D"/>
    <w:rsid w:val="003F67FA"/>
    <w:rsid w:val="003F6F0B"/>
    <w:rsid w:val="003F7AE8"/>
    <w:rsid w:val="003F7EE8"/>
    <w:rsid w:val="00400B08"/>
    <w:rsid w:val="004010B4"/>
    <w:rsid w:val="00401482"/>
    <w:rsid w:val="00401A99"/>
    <w:rsid w:val="0040204B"/>
    <w:rsid w:val="0040205A"/>
    <w:rsid w:val="004024E3"/>
    <w:rsid w:val="00402557"/>
    <w:rsid w:val="00402AB0"/>
    <w:rsid w:val="00402E1F"/>
    <w:rsid w:val="004032A5"/>
    <w:rsid w:val="00403403"/>
    <w:rsid w:val="00403467"/>
    <w:rsid w:val="00403EF6"/>
    <w:rsid w:val="004046B6"/>
    <w:rsid w:val="0040484D"/>
    <w:rsid w:val="0040616B"/>
    <w:rsid w:val="004062D9"/>
    <w:rsid w:val="004069AE"/>
    <w:rsid w:val="00406F06"/>
    <w:rsid w:val="004072DE"/>
    <w:rsid w:val="00407980"/>
    <w:rsid w:val="004079BE"/>
    <w:rsid w:val="004102D8"/>
    <w:rsid w:val="00410BAB"/>
    <w:rsid w:val="004115A3"/>
    <w:rsid w:val="00411B67"/>
    <w:rsid w:val="004120AF"/>
    <w:rsid w:val="00412A3C"/>
    <w:rsid w:val="00412A65"/>
    <w:rsid w:val="00412F11"/>
    <w:rsid w:val="0041387F"/>
    <w:rsid w:val="00414021"/>
    <w:rsid w:val="00414190"/>
    <w:rsid w:val="00414D9E"/>
    <w:rsid w:val="00416A34"/>
    <w:rsid w:val="00416DF5"/>
    <w:rsid w:val="004172AF"/>
    <w:rsid w:val="004173BD"/>
    <w:rsid w:val="004173E0"/>
    <w:rsid w:val="00417D6E"/>
    <w:rsid w:val="00417E3F"/>
    <w:rsid w:val="00417FB3"/>
    <w:rsid w:val="00417FB5"/>
    <w:rsid w:val="00420445"/>
    <w:rsid w:val="0042051F"/>
    <w:rsid w:val="004210A1"/>
    <w:rsid w:val="004210FD"/>
    <w:rsid w:val="00421390"/>
    <w:rsid w:val="00421F2D"/>
    <w:rsid w:val="00422131"/>
    <w:rsid w:val="0042251B"/>
    <w:rsid w:val="00422570"/>
    <w:rsid w:val="00422C1E"/>
    <w:rsid w:val="00422F8B"/>
    <w:rsid w:val="00423082"/>
    <w:rsid w:val="00423607"/>
    <w:rsid w:val="00423711"/>
    <w:rsid w:val="0042406D"/>
    <w:rsid w:val="00424368"/>
    <w:rsid w:val="004244A6"/>
    <w:rsid w:val="004246DA"/>
    <w:rsid w:val="00424776"/>
    <w:rsid w:val="00424B41"/>
    <w:rsid w:val="00424D59"/>
    <w:rsid w:val="00424F7B"/>
    <w:rsid w:val="00425512"/>
    <w:rsid w:val="00426003"/>
    <w:rsid w:val="004260B1"/>
    <w:rsid w:val="00426BD4"/>
    <w:rsid w:val="00426FD0"/>
    <w:rsid w:val="00427B1D"/>
    <w:rsid w:val="00427D5A"/>
    <w:rsid w:val="00427EAD"/>
    <w:rsid w:val="00427EF4"/>
    <w:rsid w:val="004309BE"/>
    <w:rsid w:val="00431504"/>
    <w:rsid w:val="00431577"/>
    <w:rsid w:val="004317B7"/>
    <w:rsid w:val="00431F2D"/>
    <w:rsid w:val="00432361"/>
    <w:rsid w:val="004325A5"/>
    <w:rsid w:val="00432C9F"/>
    <w:rsid w:val="00433033"/>
    <w:rsid w:val="004330A8"/>
    <w:rsid w:val="004333A4"/>
    <w:rsid w:val="004338D6"/>
    <w:rsid w:val="004343C6"/>
    <w:rsid w:val="00434895"/>
    <w:rsid w:val="00434BF4"/>
    <w:rsid w:val="00434D12"/>
    <w:rsid w:val="00434E35"/>
    <w:rsid w:val="004353A0"/>
    <w:rsid w:val="0043551A"/>
    <w:rsid w:val="004355CE"/>
    <w:rsid w:val="004359C4"/>
    <w:rsid w:val="00435BBC"/>
    <w:rsid w:val="00436B84"/>
    <w:rsid w:val="004405D1"/>
    <w:rsid w:val="0044071C"/>
    <w:rsid w:val="00440981"/>
    <w:rsid w:val="004409FC"/>
    <w:rsid w:val="004424C9"/>
    <w:rsid w:val="0044272C"/>
    <w:rsid w:val="0044279A"/>
    <w:rsid w:val="00442E68"/>
    <w:rsid w:val="004435B4"/>
    <w:rsid w:val="00443968"/>
    <w:rsid w:val="00443A95"/>
    <w:rsid w:val="00443B8C"/>
    <w:rsid w:val="00443D95"/>
    <w:rsid w:val="00444249"/>
    <w:rsid w:val="004444A7"/>
    <w:rsid w:val="004450BD"/>
    <w:rsid w:val="004451F3"/>
    <w:rsid w:val="00445754"/>
    <w:rsid w:val="004468F8"/>
    <w:rsid w:val="004469DE"/>
    <w:rsid w:val="00446AE9"/>
    <w:rsid w:val="00447444"/>
    <w:rsid w:val="00447530"/>
    <w:rsid w:val="004476D6"/>
    <w:rsid w:val="0044789C"/>
    <w:rsid w:val="00447983"/>
    <w:rsid w:val="00447F0F"/>
    <w:rsid w:val="00450252"/>
    <w:rsid w:val="004505E1"/>
    <w:rsid w:val="00451B03"/>
    <w:rsid w:val="00451FEC"/>
    <w:rsid w:val="004520CD"/>
    <w:rsid w:val="00452138"/>
    <w:rsid w:val="00452C93"/>
    <w:rsid w:val="0045326D"/>
    <w:rsid w:val="0045358E"/>
    <w:rsid w:val="00453CBA"/>
    <w:rsid w:val="00453FF2"/>
    <w:rsid w:val="00454450"/>
    <w:rsid w:val="00454B01"/>
    <w:rsid w:val="00454BB1"/>
    <w:rsid w:val="00455BD1"/>
    <w:rsid w:val="00455C65"/>
    <w:rsid w:val="004569B7"/>
    <w:rsid w:val="0046010F"/>
    <w:rsid w:val="0046035E"/>
    <w:rsid w:val="0046085D"/>
    <w:rsid w:val="004614CF"/>
    <w:rsid w:val="004615BC"/>
    <w:rsid w:val="00461970"/>
    <w:rsid w:val="00461AFD"/>
    <w:rsid w:val="004620DD"/>
    <w:rsid w:val="004625E9"/>
    <w:rsid w:val="0046292E"/>
    <w:rsid w:val="00462952"/>
    <w:rsid w:val="00462C67"/>
    <w:rsid w:val="00463188"/>
    <w:rsid w:val="00463233"/>
    <w:rsid w:val="004634E8"/>
    <w:rsid w:val="004638B1"/>
    <w:rsid w:val="00465780"/>
    <w:rsid w:val="00466115"/>
    <w:rsid w:val="004661F5"/>
    <w:rsid w:val="00466407"/>
    <w:rsid w:val="00466D8B"/>
    <w:rsid w:val="00466F86"/>
    <w:rsid w:val="004672CA"/>
    <w:rsid w:val="00467A5F"/>
    <w:rsid w:val="00467EC4"/>
    <w:rsid w:val="00470397"/>
    <w:rsid w:val="00470647"/>
    <w:rsid w:val="004706EA"/>
    <w:rsid w:val="004717D8"/>
    <w:rsid w:val="004718B4"/>
    <w:rsid w:val="004719B4"/>
    <w:rsid w:val="00471A53"/>
    <w:rsid w:val="00472650"/>
    <w:rsid w:val="004731A0"/>
    <w:rsid w:val="00473929"/>
    <w:rsid w:val="00473984"/>
    <w:rsid w:val="00473FC6"/>
    <w:rsid w:val="00474355"/>
    <w:rsid w:val="0047489A"/>
    <w:rsid w:val="00474BBB"/>
    <w:rsid w:val="00474DF5"/>
    <w:rsid w:val="00474FE7"/>
    <w:rsid w:val="00475194"/>
    <w:rsid w:val="004751BC"/>
    <w:rsid w:val="0047551C"/>
    <w:rsid w:val="004761BE"/>
    <w:rsid w:val="00476CDE"/>
    <w:rsid w:val="00476DE4"/>
    <w:rsid w:val="00477015"/>
    <w:rsid w:val="00477433"/>
    <w:rsid w:val="00480E1C"/>
    <w:rsid w:val="00481220"/>
    <w:rsid w:val="00481319"/>
    <w:rsid w:val="00481817"/>
    <w:rsid w:val="00481A9A"/>
    <w:rsid w:val="00481FA7"/>
    <w:rsid w:val="004820A9"/>
    <w:rsid w:val="00482D4E"/>
    <w:rsid w:val="00483681"/>
    <w:rsid w:val="004838BA"/>
    <w:rsid w:val="00484224"/>
    <w:rsid w:val="00484991"/>
    <w:rsid w:val="00484B28"/>
    <w:rsid w:val="00484E4E"/>
    <w:rsid w:val="004852FE"/>
    <w:rsid w:val="004856CB"/>
    <w:rsid w:val="00485AB6"/>
    <w:rsid w:val="00485BCB"/>
    <w:rsid w:val="00485DD8"/>
    <w:rsid w:val="00485F36"/>
    <w:rsid w:val="004867F0"/>
    <w:rsid w:val="00490870"/>
    <w:rsid w:val="00490B79"/>
    <w:rsid w:val="0049185D"/>
    <w:rsid w:val="00491921"/>
    <w:rsid w:val="00491A4E"/>
    <w:rsid w:val="00491FD9"/>
    <w:rsid w:val="00492417"/>
    <w:rsid w:val="004925AE"/>
    <w:rsid w:val="004925B7"/>
    <w:rsid w:val="00493207"/>
    <w:rsid w:val="00493826"/>
    <w:rsid w:val="00493996"/>
    <w:rsid w:val="00493A03"/>
    <w:rsid w:val="00493F91"/>
    <w:rsid w:val="00494352"/>
    <w:rsid w:val="00494AF3"/>
    <w:rsid w:val="00494D02"/>
    <w:rsid w:val="0049523F"/>
    <w:rsid w:val="004952CA"/>
    <w:rsid w:val="00496026"/>
    <w:rsid w:val="00496681"/>
    <w:rsid w:val="00496779"/>
    <w:rsid w:val="0049699A"/>
    <w:rsid w:val="00496A07"/>
    <w:rsid w:val="00496C0D"/>
    <w:rsid w:val="00497D54"/>
    <w:rsid w:val="004A0398"/>
    <w:rsid w:val="004A1E01"/>
    <w:rsid w:val="004A1F5B"/>
    <w:rsid w:val="004A2A90"/>
    <w:rsid w:val="004A321B"/>
    <w:rsid w:val="004A3DFA"/>
    <w:rsid w:val="004A50D0"/>
    <w:rsid w:val="004A53DB"/>
    <w:rsid w:val="004A55AE"/>
    <w:rsid w:val="004A59F5"/>
    <w:rsid w:val="004A5AA1"/>
    <w:rsid w:val="004A69A8"/>
    <w:rsid w:val="004A7332"/>
    <w:rsid w:val="004A7C0A"/>
    <w:rsid w:val="004B050E"/>
    <w:rsid w:val="004B0746"/>
    <w:rsid w:val="004B08F4"/>
    <w:rsid w:val="004B23A1"/>
    <w:rsid w:val="004B2691"/>
    <w:rsid w:val="004B2732"/>
    <w:rsid w:val="004B2B3A"/>
    <w:rsid w:val="004B2B69"/>
    <w:rsid w:val="004B3120"/>
    <w:rsid w:val="004B403A"/>
    <w:rsid w:val="004B415E"/>
    <w:rsid w:val="004B439D"/>
    <w:rsid w:val="004B4BF1"/>
    <w:rsid w:val="004B5202"/>
    <w:rsid w:val="004B5D0E"/>
    <w:rsid w:val="004B5ED0"/>
    <w:rsid w:val="004B604E"/>
    <w:rsid w:val="004B642A"/>
    <w:rsid w:val="004B6712"/>
    <w:rsid w:val="004B690B"/>
    <w:rsid w:val="004B6A5F"/>
    <w:rsid w:val="004B6B7C"/>
    <w:rsid w:val="004B6D27"/>
    <w:rsid w:val="004B72BC"/>
    <w:rsid w:val="004C002F"/>
    <w:rsid w:val="004C0371"/>
    <w:rsid w:val="004C0A4B"/>
    <w:rsid w:val="004C0FF6"/>
    <w:rsid w:val="004C11C9"/>
    <w:rsid w:val="004C173B"/>
    <w:rsid w:val="004C1950"/>
    <w:rsid w:val="004C1B0D"/>
    <w:rsid w:val="004C1CC8"/>
    <w:rsid w:val="004C1EF2"/>
    <w:rsid w:val="004C25F4"/>
    <w:rsid w:val="004C37E5"/>
    <w:rsid w:val="004C38B3"/>
    <w:rsid w:val="004C3AF7"/>
    <w:rsid w:val="004C3E8B"/>
    <w:rsid w:val="004C40DD"/>
    <w:rsid w:val="004C4130"/>
    <w:rsid w:val="004C4CF7"/>
    <w:rsid w:val="004C4DBC"/>
    <w:rsid w:val="004C5A04"/>
    <w:rsid w:val="004C5D55"/>
    <w:rsid w:val="004C61AC"/>
    <w:rsid w:val="004C649D"/>
    <w:rsid w:val="004C64B0"/>
    <w:rsid w:val="004D00B4"/>
    <w:rsid w:val="004D058D"/>
    <w:rsid w:val="004D076B"/>
    <w:rsid w:val="004D0B6C"/>
    <w:rsid w:val="004D1466"/>
    <w:rsid w:val="004D190E"/>
    <w:rsid w:val="004D26D9"/>
    <w:rsid w:val="004D32B7"/>
    <w:rsid w:val="004D32BF"/>
    <w:rsid w:val="004D3C1F"/>
    <w:rsid w:val="004D3C2D"/>
    <w:rsid w:val="004D4172"/>
    <w:rsid w:val="004D4414"/>
    <w:rsid w:val="004D476D"/>
    <w:rsid w:val="004D4889"/>
    <w:rsid w:val="004D4CEE"/>
    <w:rsid w:val="004D5E23"/>
    <w:rsid w:val="004D6039"/>
    <w:rsid w:val="004D67E5"/>
    <w:rsid w:val="004D6AA7"/>
    <w:rsid w:val="004D6CA2"/>
    <w:rsid w:val="004D7C2D"/>
    <w:rsid w:val="004D7D2A"/>
    <w:rsid w:val="004E0005"/>
    <w:rsid w:val="004E026E"/>
    <w:rsid w:val="004E0E57"/>
    <w:rsid w:val="004E11F1"/>
    <w:rsid w:val="004E18E5"/>
    <w:rsid w:val="004E2287"/>
    <w:rsid w:val="004E2644"/>
    <w:rsid w:val="004E2F1B"/>
    <w:rsid w:val="004E3086"/>
    <w:rsid w:val="004E3334"/>
    <w:rsid w:val="004E4E78"/>
    <w:rsid w:val="004E4EA4"/>
    <w:rsid w:val="004E55FC"/>
    <w:rsid w:val="004E59D9"/>
    <w:rsid w:val="004E5F2B"/>
    <w:rsid w:val="004E60A5"/>
    <w:rsid w:val="004E6178"/>
    <w:rsid w:val="004E64EA"/>
    <w:rsid w:val="004E6F0D"/>
    <w:rsid w:val="004E7999"/>
    <w:rsid w:val="004E7B26"/>
    <w:rsid w:val="004E7B5F"/>
    <w:rsid w:val="004F006C"/>
    <w:rsid w:val="004F07F5"/>
    <w:rsid w:val="004F1224"/>
    <w:rsid w:val="004F1585"/>
    <w:rsid w:val="004F169E"/>
    <w:rsid w:val="004F17D2"/>
    <w:rsid w:val="004F1824"/>
    <w:rsid w:val="004F20B3"/>
    <w:rsid w:val="004F2A2B"/>
    <w:rsid w:val="004F40C8"/>
    <w:rsid w:val="004F4134"/>
    <w:rsid w:val="004F4221"/>
    <w:rsid w:val="004F4ABF"/>
    <w:rsid w:val="004F4E78"/>
    <w:rsid w:val="004F4F68"/>
    <w:rsid w:val="004F559B"/>
    <w:rsid w:val="004F5C7F"/>
    <w:rsid w:val="004F5E0B"/>
    <w:rsid w:val="004F5F52"/>
    <w:rsid w:val="004F619C"/>
    <w:rsid w:val="004F6B55"/>
    <w:rsid w:val="004F7465"/>
    <w:rsid w:val="004F7CE7"/>
    <w:rsid w:val="005001EC"/>
    <w:rsid w:val="00500679"/>
    <w:rsid w:val="005007DB"/>
    <w:rsid w:val="0050083C"/>
    <w:rsid w:val="00500882"/>
    <w:rsid w:val="005009ED"/>
    <w:rsid w:val="00500AE4"/>
    <w:rsid w:val="00500BB0"/>
    <w:rsid w:val="0050112F"/>
    <w:rsid w:val="005011E9"/>
    <w:rsid w:val="005011F9"/>
    <w:rsid w:val="005013FC"/>
    <w:rsid w:val="00501513"/>
    <w:rsid w:val="00501A02"/>
    <w:rsid w:val="00501FE0"/>
    <w:rsid w:val="005021C6"/>
    <w:rsid w:val="00502306"/>
    <w:rsid w:val="005023BA"/>
    <w:rsid w:val="00502966"/>
    <w:rsid w:val="00502F17"/>
    <w:rsid w:val="005038FA"/>
    <w:rsid w:val="00503B57"/>
    <w:rsid w:val="00504085"/>
    <w:rsid w:val="005045F3"/>
    <w:rsid w:val="00504915"/>
    <w:rsid w:val="00505178"/>
    <w:rsid w:val="005067EB"/>
    <w:rsid w:val="005068D5"/>
    <w:rsid w:val="0050752B"/>
    <w:rsid w:val="00507557"/>
    <w:rsid w:val="005076CB"/>
    <w:rsid w:val="00507B9F"/>
    <w:rsid w:val="00510C34"/>
    <w:rsid w:val="00510EE8"/>
    <w:rsid w:val="005117DD"/>
    <w:rsid w:val="00511BF0"/>
    <w:rsid w:val="00512307"/>
    <w:rsid w:val="00512365"/>
    <w:rsid w:val="00512B3C"/>
    <w:rsid w:val="00512CEE"/>
    <w:rsid w:val="0051315F"/>
    <w:rsid w:val="00513362"/>
    <w:rsid w:val="0051361D"/>
    <w:rsid w:val="00513A6B"/>
    <w:rsid w:val="0051457A"/>
    <w:rsid w:val="00514EDA"/>
    <w:rsid w:val="005155B6"/>
    <w:rsid w:val="00515A8C"/>
    <w:rsid w:val="00516099"/>
    <w:rsid w:val="005169B0"/>
    <w:rsid w:val="005171CB"/>
    <w:rsid w:val="005178EB"/>
    <w:rsid w:val="00517A5B"/>
    <w:rsid w:val="00517BA6"/>
    <w:rsid w:val="00517C76"/>
    <w:rsid w:val="00517E92"/>
    <w:rsid w:val="00517EAC"/>
    <w:rsid w:val="005202DA"/>
    <w:rsid w:val="005203D7"/>
    <w:rsid w:val="00520437"/>
    <w:rsid w:val="00520441"/>
    <w:rsid w:val="005208B9"/>
    <w:rsid w:val="00520CFE"/>
    <w:rsid w:val="00521D2D"/>
    <w:rsid w:val="005223E6"/>
    <w:rsid w:val="0052291D"/>
    <w:rsid w:val="0052367D"/>
    <w:rsid w:val="00523776"/>
    <w:rsid w:val="00523EB4"/>
    <w:rsid w:val="005241D8"/>
    <w:rsid w:val="005244ED"/>
    <w:rsid w:val="005245B4"/>
    <w:rsid w:val="00524A33"/>
    <w:rsid w:val="00524D76"/>
    <w:rsid w:val="0052549C"/>
    <w:rsid w:val="00525B7B"/>
    <w:rsid w:val="00525DE5"/>
    <w:rsid w:val="00525E28"/>
    <w:rsid w:val="0052611B"/>
    <w:rsid w:val="00526D62"/>
    <w:rsid w:val="00526EEB"/>
    <w:rsid w:val="0052708E"/>
    <w:rsid w:val="0052725D"/>
    <w:rsid w:val="005277E5"/>
    <w:rsid w:val="00527C19"/>
    <w:rsid w:val="00527FE7"/>
    <w:rsid w:val="005306C6"/>
    <w:rsid w:val="00530D76"/>
    <w:rsid w:val="00531339"/>
    <w:rsid w:val="00531AAE"/>
    <w:rsid w:val="00531B5C"/>
    <w:rsid w:val="00531C72"/>
    <w:rsid w:val="00531D98"/>
    <w:rsid w:val="00532B35"/>
    <w:rsid w:val="00533AE3"/>
    <w:rsid w:val="00534223"/>
    <w:rsid w:val="00534EB6"/>
    <w:rsid w:val="00534F15"/>
    <w:rsid w:val="00535045"/>
    <w:rsid w:val="005350A8"/>
    <w:rsid w:val="0053595F"/>
    <w:rsid w:val="00535BDD"/>
    <w:rsid w:val="00535C1F"/>
    <w:rsid w:val="00535DFB"/>
    <w:rsid w:val="00536123"/>
    <w:rsid w:val="0053680B"/>
    <w:rsid w:val="00536C7A"/>
    <w:rsid w:val="00537D44"/>
    <w:rsid w:val="0054037F"/>
    <w:rsid w:val="0054046A"/>
    <w:rsid w:val="00540527"/>
    <w:rsid w:val="005408EE"/>
    <w:rsid w:val="00540A75"/>
    <w:rsid w:val="00540F0B"/>
    <w:rsid w:val="0054100E"/>
    <w:rsid w:val="00541CF0"/>
    <w:rsid w:val="00541FFE"/>
    <w:rsid w:val="00542154"/>
    <w:rsid w:val="00542BBF"/>
    <w:rsid w:val="00543029"/>
    <w:rsid w:val="0054320F"/>
    <w:rsid w:val="005433EA"/>
    <w:rsid w:val="0054374C"/>
    <w:rsid w:val="005438BF"/>
    <w:rsid w:val="005438CC"/>
    <w:rsid w:val="005439F9"/>
    <w:rsid w:val="00544CF6"/>
    <w:rsid w:val="00545175"/>
    <w:rsid w:val="00545647"/>
    <w:rsid w:val="00546920"/>
    <w:rsid w:val="00546948"/>
    <w:rsid w:val="00546A6F"/>
    <w:rsid w:val="0054706E"/>
    <w:rsid w:val="00547B8F"/>
    <w:rsid w:val="00547BDD"/>
    <w:rsid w:val="005505E1"/>
    <w:rsid w:val="00550DE8"/>
    <w:rsid w:val="00550DF3"/>
    <w:rsid w:val="0055183D"/>
    <w:rsid w:val="00551C7C"/>
    <w:rsid w:val="0055267B"/>
    <w:rsid w:val="0055278F"/>
    <w:rsid w:val="00553329"/>
    <w:rsid w:val="0055361C"/>
    <w:rsid w:val="00553D34"/>
    <w:rsid w:val="00554900"/>
    <w:rsid w:val="005557D8"/>
    <w:rsid w:val="005558CB"/>
    <w:rsid w:val="00555A12"/>
    <w:rsid w:val="00555DAC"/>
    <w:rsid w:val="00555DB8"/>
    <w:rsid w:val="00556125"/>
    <w:rsid w:val="005562B7"/>
    <w:rsid w:val="00556456"/>
    <w:rsid w:val="00556502"/>
    <w:rsid w:val="00556CF6"/>
    <w:rsid w:val="00556EAE"/>
    <w:rsid w:val="00556FAA"/>
    <w:rsid w:val="005573C1"/>
    <w:rsid w:val="005573FF"/>
    <w:rsid w:val="005574BF"/>
    <w:rsid w:val="00557977"/>
    <w:rsid w:val="00560E8C"/>
    <w:rsid w:val="00560EA9"/>
    <w:rsid w:val="00561081"/>
    <w:rsid w:val="0056133D"/>
    <w:rsid w:val="0056210C"/>
    <w:rsid w:val="00562387"/>
    <w:rsid w:val="005624BA"/>
    <w:rsid w:val="005627F7"/>
    <w:rsid w:val="00562E89"/>
    <w:rsid w:val="005643E8"/>
    <w:rsid w:val="00564D4E"/>
    <w:rsid w:val="00564E43"/>
    <w:rsid w:val="0056502C"/>
    <w:rsid w:val="0056537C"/>
    <w:rsid w:val="00565494"/>
    <w:rsid w:val="0056589D"/>
    <w:rsid w:val="00565E32"/>
    <w:rsid w:val="00565E34"/>
    <w:rsid w:val="00566146"/>
    <w:rsid w:val="00566314"/>
    <w:rsid w:val="00566703"/>
    <w:rsid w:val="0056724C"/>
    <w:rsid w:val="00567781"/>
    <w:rsid w:val="0057008C"/>
    <w:rsid w:val="0057039B"/>
    <w:rsid w:val="005706E8"/>
    <w:rsid w:val="0057070D"/>
    <w:rsid w:val="00571561"/>
    <w:rsid w:val="005716CF"/>
    <w:rsid w:val="005719C5"/>
    <w:rsid w:val="00571C5C"/>
    <w:rsid w:val="005721C7"/>
    <w:rsid w:val="00572A7B"/>
    <w:rsid w:val="00572D06"/>
    <w:rsid w:val="00572D93"/>
    <w:rsid w:val="00573013"/>
    <w:rsid w:val="00573676"/>
    <w:rsid w:val="00573DB5"/>
    <w:rsid w:val="00573DF4"/>
    <w:rsid w:val="005741FA"/>
    <w:rsid w:val="0057509E"/>
    <w:rsid w:val="00575C0B"/>
    <w:rsid w:val="00575C3F"/>
    <w:rsid w:val="00575DB5"/>
    <w:rsid w:val="00575ED0"/>
    <w:rsid w:val="00577061"/>
    <w:rsid w:val="00577108"/>
    <w:rsid w:val="0057725B"/>
    <w:rsid w:val="00577BA6"/>
    <w:rsid w:val="005801F4"/>
    <w:rsid w:val="005802BC"/>
    <w:rsid w:val="005802E1"/>
    <w:rsid w:val="0058033D"/>
    <w:rsid w:val="0058105D"/>
    <w:rsid w:val="005812AA"/>
    <w:rsid w:val="005825F4"/>
    <w:rsid w:val="00582A33"/>
    <w:rsid w:val="005834F3"/>
    <w:rsid w:val="0058401B"/>
    <w:rsid w:val="0058415C"/>
    <w:rsid w:val="00584607"/>
    <w:rsid w:val="0058475D"/>
    <w:rsid w:val="00584E97"/>
    <w:rsid w:val="00585298"/>
    <w:rsid w:val="0058565F"/>
    <w:rsid w:val="0058568D"/>
    <w:rsid w:val="00585E30"/>
    <w:rsid w:val="005860EB"/>
    <w:rsid w:val="0058650A"/>
    <w:rsid w:val="00586D56"/>
    <w:rsid w:val="00586D9A"/>
    <w:rsid w:val="00586E7D"/>
    <w:rsid w:val="00587127"/>
    <w:rsid w:val="00587967"/>
    <w:rsid w:val="00587E46"/>
    <w:rsid w:val="00587F5A"/>
    <w:rsid w:val="0059001A"/>
    <w:rsid w:val="005900DF"/>
    <w:rsid w:val="0059057C"/>
    <w:rsid w:val="00590633"/>
    <w:rsid w:val="00591009"/>
    <w:rsid w:val="00591017"/>
    <w:rsid w:val="0059118E"/>
    <w:rsid w:val="005919BC"/>
    <w:rsid w:val="00591A1D"/>
    <w:rsid w:val="00591B60"/>
    <w:rsid w:val="00591B93"/>
    <w:rsid w:val="00591E20"/>
    <w:rsid w:val="005923D9"/>
    <w:rsid w:val="005940C5"/>
    <w:rsid w:val="0059442C"/>
    <w:rsid w:val="00594A1B"/>
    <w:rsid w:val="00594A65"/>
    <w:rsid w:val="00595176"/>
    <w:rsid w:val="005951C8"/>
    <w:rsid w:val="00596BBB"/>
    <w:rsid w:val="00596E6B"/>
    <w:rsid w:val="00597504"/>
    <w:rsid w:val="005976AF"/>
    <w:rsid w:val="00597CE1"/>
    <w:rsid w:val="005A063D"/>
    <w:rsid w:val="005A0942"/>
    <w:rsid w:val="005A0AA8"/>
    <w:rsid w:val="005A0DE9"/>
    <w:rsid w:val="005A12F4"/>
    <w:rsid w:val="005A173E"/>
    <w:rsid w:val="005A1767"/>
    <w:rsid w:val="005A2582"/>
    <w:rsid w:val="005A332D"/>
    <w:rsid w:val="005A359C"/>
    <w:rsid w:val="005A3ACF"/>
    <w:rsid w:val="005A4A9E"/>
    <w:rsid w:val="005A518C"/>
    <w:rsid w:val="005A52A5"/>
    <w:rsid w:val="005A6880"/>
    <w:rsid w:val="005A7823"/>
    <w:rsid w:val="005B09C8"/>
    <w:rsid w:val="005B16F6"/>
    <w:rsid w:val="005B1776"/>
    <w:rsid w:val="005B192E"/>
    <w:rsid w:val="005B3A07"/>
    <w:rsid w:val="005B3A0F"/>
    <w:rsid w:val="005B3B53"/>
    <w:rsid w:val="005B4119"/>
    <w:rsid w:val="005B43AD"/>
    <w:rsid w:val="005B4A09"/>
    <w:rsid w:val="005B5F42"/>
    <w:rsid w:val="005B6131"/>
    <w:rsid w:val="005B62F5"/>
    <w:rsid w:val="005B64E4"/>
    <w:rsid w:val="005B6C34"/>
    <w:rsid w:val="005B6DC1"/>
    <w:rsid w:val="005B711F"/>
    <w:rsid w:val="005B734B"/>
    <w:rsid w:val="005B756E"/>
    <w:rsid w:val="005B788F"/>
    <w:rsid w:val="005B7A55"/>
    <w:rsid w:val="005B7BB1"/>
    <w:rsid w:val="005C0A27"/>
    <w:rsid w:val="005C1156"/>
    <w:rsid w:val="005C18B3"/>
    <w:rsid w:val="005C1BAE"/>
    <w:rsid w:val="005C1F40"/>
    <w:rsid w:val="005C22EC"/>
    <w:rsid w:val="005C2C1A"/>
    <w:rsid w:val="005C3012"/>
    <w:rsid w:val="005C398F"/>
    <w:rsid w:val="005C4415"/>
    <w:rsid w:val="005C4D42"/>
    <w:rsid w:val="005C4D59"/>
    <w:rsid w:val="005C5560"/>
    <w:rsid w:val="005C5AEF"/>
    <w:rsid w:val="005C5F1D"/>
    <w:rsid w:val="005C6586"/>
    <w:rsid w:val="005C6742"/>
    <w:rsid w:val="005C6979"/>
    <w:rsid w:val="005C7805"/>
    <w:rsid w:val="005C79A9"/>
    <w:rsid w:val="005C7C94"/>
    <w:rsid w:val="005D0520"/>
    <w:rsid w:val="005D053B"/>
    <w:rsid w:val="005D0A71"/>
    <w:rsid w:val="005D0B18"/>
    <w:rsid w:val="005D14F6"/>
    <w:rsid w:val="005D1764"/>
    <w:rsid w:val="005D1D22"/>
    <w:rsid w:val="005D1F30"/>
    <w:rsid w:val="005D1FA4"/>
    <w:rsid w:val="005D23E1"/>
    <w:rsid w:val="005D253D"/>
    <w:rsid w:val="005D2552"/>
    <w:rsid w:val="005D2ED1"/>
    <w:rsid w:val="005D3B5A"/>
    <w:rsid w:val="005D3F57"/>
    <w:rsid w:val="005D41BE"/>
    <w:rsid w:val="005D4D06"/>
    <w:rsid w:val="005D504D"/>
    <w:rsid w:val="005D53DD"/>
    <w:rsid w:val="005D53EC"/>
    <w:rsid w:val="005D5849"/>
    <w:rsid w:val="005D5AE2"/>
    <w:rsid w:val="005D5B6B"/>
    <w:rsid w:val="005D5F31"/>
    <w:rsid w:val="005D6A85"/>
    <w:rsid w:val="005D70E2"/>
    <w:rsid w:val="005D7650"/>
    <w:rsid w:val="005D7675"/>
    <w:rsid w:val="005D7B06"/>
    <w:rsid w:val="005E0A9D"/>
    <w:rsid w:val="005E0C3A"/>
    <w:rsid w:val="005E14F1"/>
    <w:rsid w:val="005E156B"/>
    <w:rsid w:val="005E1E78"/>
    <w:rsid w:val="005E27CA"/>
    <w:rsid w:val="005E2857"/>
    <w:rsid w:val="005E29DD"/>
    <w:rsid w:val="005E2B15"/>
    <w:rsid w:val="005E3146"/>
    <w:rsid w:val="005E3365"/>
    <w:rsid w:val="005E33DB"/>
    <w:rsid w:val="005E3D7B"/>
    <w:rsid w:val="005E3D9C"/>
    <w:rsid w:val="005E501C"/>
    <w:rsid w:val="005E5525"/>
    <w:rsid w:val="005E63CF"/>
    <w:rsid w:val="005E69C6"/>
    <w:rsid w:val="005E6ED5"/>
    <w:rsid w:val="005E7834"/>
    <w:rsid w:val="005E7854"/>
    <w:rsid w:val="005E7E4D"/>
    <w:rsid w:val="005F033E"/>
    <w:rsid w:val="005F0372"/>
    <w:rsid w:val="005F04D7"/>
    <w:rsid w:val="005F0655"/>
    <w:rsid w:val="005F069A"/>
    <w:rsid w:val="005F0CCB"/>
    <w:rsid w:val="005F19CA"/>
    <w:rsid w:val="005F1B83"/>
    <w:rsid w:val="005F1E95"/>
    <w:rsid w:val="005F23F2"/>
    <w:rsid w:val="005F2A56"/>
    <w:rsid w:val="005F2C68"/>
    <w:rsid w:val="005F2EED"/>
    <w:rsid w:val="005F2FC4"/>
    <w:rsid w:val="005F3038"/>
    <w:rsid w:val="005F3227"/>
    <w:rsid w:val="005F37FF"/>
    <w:rsid w:val="005F3C46"/>
    <w:rsid w:val="005F502A"/>
    <w:rsid w:val="005F5A57"/>
    <w:rsid w:val="005F5B0F"/>
    <w:rsid w:val="005F5DF8"/>
    <w:rsid w:val="005F5ED3"/>
    <w:rsid w:val="005F60E2"/>
    <w:rsid w:val="005F7DE2"/>
    <w:rsid w:val="006000D9"/>
    <w:rsid w:val="00600222"/>
    <w:rsid w:val="00600788"/>
    <w:rsid w:val="00600958"/>
    <w:rsid w:val="00600EB4"/>
    <w:rsid w:val="00600ED8"/>
    <w:rsid w:val="00600FEA"/>
    <w:rsid w:val="0060120D"/>
    <w:rsid w:val="00601BC7"/>
    <w:rsid w:val="00602B2A"/>
    <w:rsid w:val="0060399D"/>
    <w:rsid w:val="00603A11"/>
    <w:rsid w:val="00603D2D"/>
    <w:rsid w:val="00604FD8"/>
    <w:rsid w:val="006053EF"/>
    <w:rsid w:val="00605CD6"/>
    <w:rsid w:val="006063C8"/>
    <w:rsid w:val="00606CA1"/>
    <w:rsid w:val="00606E0E"/>
    <w:rsid w:val="00607966"/>
    <w:rsid w:val="00607AE9"/>
    <w:rsid w:val="00607C42"/>
    <w:rsid w:val="00607DBE"/>
    <w:rsid w:val="00607DE7"/>
    <w:rsid w:val="00607E8C"/>
    <w:rsid w:val="00610591"/>
    <w:rsid w:val="00610926"/>
    <w:rsid w:val="00610C2F"/>
    <w:rsid w:val="00610D0A"/>
    <w:rsid w:val="00610F6E"/>
    <w:rsid w:val="00610FBF"/>
    <w:rsid w:val="00611193"/>
    <w:rsid w:val="0061179E"/>
    <w:rsid w:val="00612571"/>
    <w:rsid w:val="006125FD"/>
    <w:rsid w:val="006135BA"/>
    <w:rsid w:val="0061390F"/>
    <w:rsid w:val="006142D4"/>
    <w:rsid w:val="006142ED"/>
    <w:rsid w:val="00614BFA"/>
    <w:rsid w:val="00615396"/>
    <w:rsid w:val="00615791"/>
    <w:rsid w:val="0061591A"/>
    <w:rsid w:val="0061615E"/>
    <w:rsid w:val="00616B9D"/>
    <w:rsid w:val="006171DC"/>
    <w:rsid w:val="00617427"/>
    <w:rsid w:val="00617647"/>
    <w:rsid w:val="006179FD"/>
    <w:rsid w:val="006200D9"/>
    <w:rsid w:val="006203EB"/>
    <w:rsid w:val="006207C4"/>
    <w:rsid w:val="00620CB3"/>
    <w:rsid w:val="00620CE6"/>
    <w:rsid w:val="00620D19"/>
    <w:rsid w:val="00621126"/>
    <w:rsid w:val="0062149B"/>
    <w:rsid w:val="00621A16"/>
    <w:rsid w:val="00621DBA"/>
    <w:rsid w:val="00621E11"/>
    <w:rsid w:val="00622BF9"/>
    <w:rsid w:val="00623D48"/>
    <w:rsid w:val="00624920"/>
    <w:rsid w:val="00624B52"/>
    <w:rsid w:val="00624D6F"/>
    <w:rsid w:val="00624D86"/>
    <w:rsid w:val="0062642D"/>
    <w:rsid w:val="006266C4"/>
    <w:rsid w:val="00626AA5"/>
    <w:rsid w:val="00627257"/>
    <w:rsid w:val="0062742C"/>
    <w:rsid w:val="00630757"/>
    <w:rsid w:val="0063167C"/>
    <w:rsid w:val="006316BA"/>
    <w:rsid w:val="0063180C"/>
    <w:rsid w:val="0063207E"/>
    <w:rsid w:val="00632085"/>
    <w:rsid w:val="0063223B"/>
    <w:rsid w:val="00632815"/>
    <w:rsid w:val="00632C8D"/>
    <w:rsid w:val="00633200"/>
    <w:rsid w:val="00633327"/>
    <w:rsid w:val="006338ED"/>
    <w:rsid w:val="0063395B"/>
    <w:rsid w:val="006341A7"/>
    <w:rsid w:val="00634BFD"/>
    <w:rsid w:val="00635DFC"/>
    <w:rsid w:val="00635E2E"/>
    <w:rsid w:val="00635F11"/>
    <w:rsid w:val="00636A05"/>
    <w:rsid w:val="00636D5C"/>
    <w:rsid w:val="00637D3A"/>
    <w:rsid w:val="00640A9E"/>
    <w:rsid w:val="00641314"/>
    <w:rsid w:val="006416EC"/>
    <w:rsid w:val="00641E3A"/>
    <w:rsid w:val="00641F03"/>
    <w:rsid w:val="0064205F"/>
    <w:rsid w:val="00642D14"/>
    <w:rsid w:val="006432CB"/>
    <w:rsid w:val="00643DF1"/>
    <w:rsid w:val="006448DE"/>
    <w:rsid w:val="006452A6"/>
    <w:rsid w:val="0064672D"/>
    <w:rsid w:val="00646E5E"/>
    <w:rsid w:val="0064727E"/>
    <w:rsid w:val="006472CF"/>
    <w:rsid w:val="00647649"/>
    <w:rsid w:val="0064782E"/>
    <w:rsid w:val="00647BBF"/>
    <w:rsid w:val="00647FAF"/>
    <w:rsid w:val="00650F94"/>
    <w:rsid w:val="0065109B"/>
    <w:rsid w:val="00651336"/>
    <w:rsid w:val="00651C34"/>
    <w:rsid w:val="00651C61"/>
    <w:rsid w:val="006527F7"/>
    <w:rsid w:val="00652F10"/>
    <w:rsid w:val="00653748"/>
    <w:rsid w:val="0065379D"/>
    <w:rsid w:val="00653ADA"/>
    <w:rsid w:val="00653FB8"/>
    <w:rsid w:val="006545C8"/>
    <w:rsid w:val="00655E97"/>
    <w:rsid w:val="006564E4"/>
    <w:rsid w:val="00656AE5"/>
    <w:rsid w:val="006577E4"/>
    <w:rsid w:val="00657901"/>
    <w:rsid w:val="00657F64"/>
    <w:rsid w:val="00660930"/>
    <w:rsid w:val="00660A4D"/>
    <w:rsid w:val="00660B12"/>
    <w:rsid w:val="00660BAF"/>
    <w:rsid w:val="00660CDA"/>
    <w:rsid w:val="00661552"/>
    <w:rsid w:val="00661ADA"/>
    <w:rsid w:val="00661B20"/>
    <w:rsid w:val="00661BFE"/>
    <w:rsid w:val="00661D5F"/>
    <w:rsid w:val="006620D8"/>
    <w:rsid w:val="00662336"/>
    <w:rsid w:val="00662403"/>
    <w:rsid w:val="006627B1"/>
    <w:rsid w:val="00662DA7"/>
    <w:rsid w:val="00663366"/>
    <w:rsid w:val="00663704"/>
    <w:rsid w:val="00663880"/>
    <w:rsid w:val="006639A8"/>
    <w:rsid w:val="00663C45"/>
    <w:rsid w:val="00663CE4"/>
    <w:rsid w:val="00664FA7"/>
    <w:rsid w:val="006651A1"/>
    <w:rsid w:val="006652C2"/>
    <w:rsid w:val="00665C8A"/>
    <w:rsid w:val="00665DDC"/>
    <w:rsid w:val="0066631D"/>
    <w:rsid w:val="00666588"/>
    <w:rsid w:val="006665A1"/>
    <w:rsid w:val="00667439"/>
    <w:rsid w:val="00667684"/>
    <w:rsid w:val="00670349"/>
    <w:rsid w:val="00671693"/>
    <w:rsid w:val="00671940"/>
    <w:rsid w:val="00671EE8"/>
    <w:rsid w:val="0067315F"/>
    <w:rsid w:val="00673762"/>
    <w:rsid w:val="00673FEB"/>
    <w:rsid w:val="0067417F"/>
    <w:rsid w:val="006748B0"/>
    <w:rsid w:val="006748FE"/>
    <w:rsid w:val="00674934"/>
    <w:rsid w:val="00674E09"/>
    <w:rsid w:val="00674E35"/>
    <w:rsid w:val="00676EA4"/>
    <w:rsid w:val="00676FE0"/>
    <w:rsid w:val="0067723D"/>
    <w:rsid w:val="006776E5"/>
    <w:rsid w:val="0067770A"/>
    <w:rsid w:val="00677C00"/>
    <w:rsid w:val="0068034A"/>
    <w:rsid w:val="0068058B"/>
    <w:rsid w:val="00680A36"/>
    <w:rsid w:val="00680FE5"/>
    <w:rsid w:val="0068137A"/>
    <w:rsid w:val="00681605"/>
    <w:rsid w:val="0068183E"/>
    <w:rsid w:val="00681ADA"/>
    <w:rsid w:val="006821D1"/>
    <w:rsid w:val="00683F38"/>
    <w:rsid w:val="0068424E"/>
    <w:rsid w:val="00684A21"/>
    <w:rsid w:val="00685A06"/>
    <w:rsid w:val="00685A92"/>
    <w:rsid w:val="00685E41"/>
    <w:rsid w:val="00685FEE"/>
    <w:rsid w:val="00686CF4"/>
    <w:rsid w:val="00686F6C"/>
    <w:rsid w:val="006871D4"/>
    <w:rsid w:val="006871D5"/>
    <w:rsid w:val="00687427"/>
    <w:rsid w:val="006902F2"/>
    <w:rsid w:val="0069081F"/>
    <w:rsid w:val="006912AB"/>
    <w:rsid w:val="00691386"/>
    <w:rsid w:val="006920A2"/>
    <w:rsid w:val="00692528"/>
    <w:rsid w:val="00692904"/>
    <w:rsid w:val="00692D42"/>
    <w:rsid w:val="006934A2"/>
    <w:rsid w:val="006934C7"/>
    <w:rsid w:val="00693F45"/>
    <w:rsid w:val="0069423B"/>
    <w:rsid w:val="0069469D"/>
    <w:rsid w:val="00694C53"/>
    <w:rsid w:val="0069568A"/>
    <w:rsid w:val="006958C8"/>
    <w:rsid w:val="006958D9"/>
    <w:rsid w:val="00695E38"/>
    <w:rsid w:val="00696015"/>
    <w:rsid w:val="0069603F"/>
    <w:rsid w:val="00696F35"/>
    <w:rsid w:val="00697734"/>
    <w:rsid w:val="00697E1A"/>
    <w:rsid w:val="006A0000"/>
    <w:rsid w:val="006A03A1"/>
    <w:rsid w:val="006A0708"/>
    <w:rsid w:val="006A0822"/>
    <w:rsid w:val="006A1267"/>
    <w:rsid w:val="006A17BD"/>
    <w:rsid w:val="006A2231"/>
    <w:rsid w:val="006A2B21"/>
    <w:rsid w:val="006A2B80"/>
    <w:rsid w:val="006A3189"/>
    <w:rsid w:val="006A337A"/>
    <w:rsid w:val="006A3427"/>
    <w:rsid w:val="006A3AFA"/>
    <w:rsid w:val="006A4314"/>
    <w:rsid w:val="006A4A6D"/>
    <w:rsid w:val="006A4D06"/>
    <w:rsid w:val="006A4D6D"/>
    <w:rsid w:val="006A4D9B"/>
    <w:rsid w:val="006A5C32"/>
    <w:rsid w:val="006A5EAE"/>
    <w:rsid w:val="006A64D7"/>
    <w:rsid w:val="006A66CF"/>
    <w:rsid w:val="006A67EA"/>
    <w:rsid w:val="006A7458"/>
    <w:rsid w:val="006A7705"/>
    <w:rsid w:val="006A7AC4"/>
    <w:rsid w:val="006A7FBD"/>
    <w:rsid w:val="006B0889"/>
    <w:rsid w:val="006B0980"/>
    <w:rsid w:val="006B0F22"/>
    <w:rsid w:val="006B155A"/>
    <w:rsid w:val="006B1759"/>
    <w:rsid w:val="006B18A8"/>
    <w:rsid w:val="006B1E10"/>
    <w:rsid w:val="006B1E18"/>
    <w:rsid w:val="006B2358"/>
    <w:rsid w:val="006B2451"/>
    <w:rsid w:val="006B28C5"/>
    <w:rsid w:val="006B30B8"/>
    <w:rsid w:val="006B3641"/>
    <w:rsid w:val="006B3E7E"/>
    <w:rsid w:val="006B42C6"/>
    <w:rsid w:val="006B4D41"/>
    <w:rsid w:val="006B4DE8"/>
    <w:rsid w:val="006B5FA6"/>
    <w:rsid w:val="006B60E3"/>
    <w:rsid w:val="006B6342"/>
    <w:rsid w:val="006B65A4"/>
    <w:rsid w:val="006B7071"/>
    <w:rsid w:val="006C0318"/>
    <w:rsid w:val="006C0803"/>
    <w:rsid w:val="006C0A08"/>
    <w:rsid w:val="006C0D83"/>
    <w:rsid w:val="006C1223"/>
    <w:rsid w:val="006C14DD"/>
    <w:rsid w:val="006C1795"/>
    <w:rsid w:val="006C2091"/>
    <w:rsid w:val="006C2B45"/>
    <w:rsid w:val="006C35AD"/>
    <w:rsid w:val="006C3B71"/>
    <w:rsid w:val="006C4101"/>
    <w:rsid w:val="006C4438"/>
    <w:rsid w:val="006C50B0"/>
    <w:rsid w:val="006C58B9"/>
    <w:rsid w:val="006C5D3F"/>
    <w:rsid w:val="006C5E9F"/>
    <w:rsid w:val="006C5F29"/>
    <w:rsid w:val="006C617C"/>
    <w:rsid w:val="006C636D"/>
    <w:rsid w:val="006C6997"/>
    <w:rsid w:val="006C6C9F"/>
    <w:rsid w:val="006C7BAB"/>
    <w:rsid w:val="006C7BF4"/>
    <w:rsid w:val="006D0432"/>
    <w:rsid w:val="006D054B"/>
    <w:rsid w:val="006D0F70"/>
    <w:rsid w:val="006D0FC7"/>
    <w:rsid w:val="006D1255"/>
    <w:rsid w:val="006D14C7"/>
    <w:rsid w:val="006D150B"/>
    <w:rsid w:val="006D1A82"/>
    <w:rsid w:val="006D236B"/>
    <w:rsid w:val="006D37F3"/>
    <w:rsid w:val="006D3AEA"/>
    <w:rsid w:val="006D50BD"/>
    <w:rsid w:val="006D51D9"/>
    <w:rsid w:val="006D5441"/>
    <w:rsid w:val="006D5578"/>
    <w:rsid w:val="006D55FD"/>
    <w:rsid w:val="006D5E5A"/>
    <w:rsid w:val="006D62B9"/>
    <w:rsid w:val="006D677B"/>
    <w:rsid w:val="006D6CC7"/>
    <w:rsid w:val="006D6E33"/>
    <w:rsid w:val="006D6E6D"/>
    <w:rsid w:val="006D6E95"/>
    <w:rsid w:val="006D70E1"/>
    <w:rsid w:val="006D73AE"/>
    <w:rsid w:val="006D77A9"/>
    <w:rsid w:val="006E041C"/>
    <w:rsid w:val="006E0805"/>
    <w:rsid w:val="006E091B"/>
    <w:rsid w:val="006E0E91"/>
    <w:rsid w:val="006E0F2A"/>
    <w:rsid w:val="006E1043"/>
    <w:rsid w:val="006E17CA"/>
    <w:rsid w:val="006E302D"/>
    <w:rsid w:val="006E31A1"/>
    <w:rsid w:val="006E3517"/>
    <w:rsid w:val="006E3831"/>
    <w:rsid w:val="006E3A55"/>
    <w:rsid w:val="006E3D64"/>
    <w:rsid w:val="006E4451"/>
    <w:rsid w:val="006E5130"/>
    <w:rsid w:val="006E52E3"/>
    <w:rsid w:val="006E576A"/>
    <w:rsid w:val="006E59F9"/>
    <w:rsid w:val="006E615E"/>
    <w:rsid w:val="006E61A4"/>
    <w:rsid w:val="006E634B"/>
    <w:rsid w:val="006E6728"/>
    <w:rsid w:val="006E6B40"/>
    <w:rsid w:val="006E7187"/>
    <w:rsid w:val="006E7611"/>
    <w:rsid w:val="006E7AF4"/>
    <w:rsid w:val="006F0622"/>
    <w:rsid w:val="006F190D"/>
    <w:rsid w:val="006F1931"/>
    <w:rsid w:val="006F19F6"/>
    <w:rsid w:val="006F1A56"/>
    <w:rsid w:val="006F1BA0"/>
    <w:rsid w:val="006F1E05"/>
    <w:rsid w:val="006F23DC"/>
    <w:rsid w:val="006F2A94"/>
    <w:rsid w:val="006F2CF1"/>
    <w:rsid w:val="006F3447"/>
    <w:rsid w:val="006F3762"/>
    <w:rsid w:val="006F3BDC"/>
    <w:rsid w:val="006F4139"/>
    <w:rsid w:val="006F4405"/>
    <w:rsid w:val="006F46D2"/>
    <w:rsid w:val="006F4717"/>
    <w:rsid w:val="006F4A93"/>
    <w:rsid w:val="006F5314"/>
    <w:rsid w:val="006F53C1"/>
    <w:rsid w:val="006F56CA"/>
    <w:rsid w:val="006F5A0C"/>
    <w:rsid w:val="006F5C44"/>
    <w:rsid w:val="006F5E88"/>
    <w:rsid w:val="006F625E"/>
    <w:rsid w:val="006F73E3"/>
    <w:rsid w:val="006F7863"/>
    <w:rsid w:val="007004F8"/>
    <w:rsid w:val="0070083E"/>
    <w:rsid w:val="007008FB"/>
    <w:rsid w:val="00700A14"/>
    <w:rsid w:val="00700D71"/>
    <w:rsid w:val="0070198A"/>
    <w:rsid w:val="00701C42"/>
    <w:rsid w:val="007022A3"/>
    <w:rsid w:val="007028E0"/>
    <w:rsid w:val="00702F41"/>
    <w:rsid w:val="007045A0"/>
    <w:rsid w:val="0070463B"/>
    <w:rsid w:val="0070470C"/>
    <w:rsid w:val="00704A74"/>
    <w:rsid w:val="00704F77"/>
    <w:rsid w:val="00705467"/>
    <w:rsid w:val="007056E2"/>
    <w:rsid w:val="00705965"/>
    <w:rsid w:val="00705A07"/>
    <w:rsid w:val="0070688C"/>
    <w:rsid w:val="00706AC8"/>
    <w:rsid w:val="00706D36"/>
    <w:rsid w:val="007073D3"/>
    <w:rsid w:val="007075BE"/>
    <w:rsid w:val="007079EF"/>
    <w:rsid w:val="0071048D"/>
    <w:rsid w:val="007106A8"/>
    <w:rsid w:val="00710824"/>
    <w:rsid w:val="00710F2A"/>
    <w:rsid w:val="007112C5"/>
    <w:rsid w:val="007114C6"/>
    <w:rsid w:val="0071182E"/>
    <w:rsid w:val="00711B6B"/>
    <w:rsid w:val="00711D06"/>
    <w:rsid w:val="00712C93"/>
    <w:rsid w:val="007138F0"/>
    <w:rsid w:val="00713CF1"/>
    <w:rsid w:val="007149BA"/>
    <w:rsid w:val="00714FF8"/>
    <w:rsid w:val="00715999"/>
    <w:rsid w:val="00715B0F"/>
    <w:rsid w:val="0071646B"/>
    <w:rsid w:val="0071746D"/>
    <w:rsid w:val="00717A12"/>
    <w:rsid w:val="00720638"/>
    <w:rsid w:val="00721125"/>
    <w:rsid w:val="00721812"/>
    <w:rsid w:val="0072199C"/>
    <w:rsid w:val="00721C98"/>
    <w:rsid w:val="00722302"/>
    <w:rsid w:val="00722595"/>
    <w:rsid w:val="007228B4"/>
    <w:rsid w:val="00722930"/>
    <w:rsid w:val="0072296F"/>
    <w:rsid w:val="00722B45"/>
    <w:rsid w:val="00722B50"/>
    <w:rsid w:val="0072342A"/>
    <w:rsid w:val="00723CDB"/>
    <w:rsid w:val="0072472B"/>
    <w:rsid w:val="00724B7C"/>
    <w:rsid w:val="00724F81"/>
    <w:rsid w:val="007250E2"/>
    <w:rsid w:val="00727948"/>
    <w:rsid w:val="007303F1"/>
    <w:rsid w:val="007304AB"/>
    <w:rsid w:val="007308FF"/>
    <w:rsid w:val="007310C7"/>
    <w:rsid w:val="0073111F"/>
    <w:rsid w:val="00731976"/>
    <w:rsid w:val="00731977"/>
    <w:rsid w:val="007323C8"/>
    <w:rsid w:val="0073262C"/>
    <w:rsid w:val="00732705"/>
    <w:rsid w:val="007329B8"/>
    <w:rsid w:val="00732E57"/>
    <w:rsid w:val="00733181"/>
    <w:rsid w:val="007337EE"/>
    <w:rsid w:val="00733B8C"/>
    <w:rsid w:val="007341D8"/>
    <w:rsid w:val="00735779"/>
    <w:rsid w:val="00735F0B"/>
    <w:rsid w:val="00736EBF"/>
    <w:rsid w:val="0073712E"/>
    <w:rsid w:val="00737682"/>
    <w:rsid w:val="007376C5"/>
    <w:rsid w:val="00737DB7"/>
    <w:rsid w:val="00740603"/>
    <w:rsid w:val="0074065D"/>
    <w:rsid w:val="00740C26"/>
    <w:rsid w:val="00740EE1"/>
    <w:rsid w:val="0074166E"/>
    <w:rsid w:val="00741D29"/>
    <w:rsid w:val="00742486"/>
    <w:rsid w:val="007428D9"/>
    <w:rsid w:val="00742B96"/>
    <w:rsid w:val="00743280"/>
    <w:rsid w:val="00743437"/>
    <w:rsid w:val="00743BA5"/>
    <w:rsid w:val="007441BB"/>
    <w:rsid w:val="00744355"/>
    <w:rsid w:val="0074479E"/>
    <w:rsid w:val="00745296"/>
    <w:rsid w:val="007455BD"/>
    <w:rsid w:val="00745767"/>
    <w:rsid w:val="007469DE"/>
    <w:rsid w:val="00746F32"/>
    <w:rsid w:val="00747359"/>
    <w:rsid w:val="00747D19"/>
    <w:rsid w:val="00747D6C"/>
    <w:rsid w:val="00750C27"/>
    <w:rsid w:val="007516CF"/>
    <w:rsid w:val="007519DB"/>
    <w:rsid w:val="00751B3B"/>
    <w:rsid w:val="0075224D"/>
    <w:rsid w:val="00752923"/>
    <w:rsid w:val="00753149"/>
    <w:rsid w:val="00753482"/>
    <w:rsid w:val="00753BDB"/>
    <w:rsid w:val="00753EDB"/>
    <w:rsid w:val="00754369"/>
    <w:rsid w:val="007546B4"/>
    <w:rsid w:val="00755226"/>
    <w:rsid w:val="00755956"/>
    <w:rsid w:val="007561D3"/>
    <w:rsid w:val="00756B9F"/>
    <w:rsid w:val="00756C2D"/>
    <w:rsid w:val="00756C58"/>
    <w:rsid w:val="007575EC"/>
    <w:rsid w:val="007575F5"/>
    <w:rsid w:val="007577D8"/>
    <w:rsid w:val="00757C23"/>
    <w:rsid w:val="00760161"/>
    <w:rsid w:val="0076067E"/>
    <w:rsid w:val="007607F2"/>
    <w:rsid w:val="0076117B"/>
    <w:rsid w:val="007611D5"/>
    <w:rsid w:val="0076159A"/>
    <w:rsid w:val="00761780"/>
    <w:rsid w:val="0076216B"/>
    <w:rsid w:val="0076229F"/>
    <w:rsid w:val="00762D5D"/>
    <w:rsid w:val="00763519"/>
    <w:rsid w:val="00763590"/>
    <w:rsid w:val="00763C5F"/>
    <w:rsid w:val="00763CBE"/>
    <w:rsid w:val="00763D35"/>
    <w:rsid w:val="007646A5"/>
    <w:rsid w:val="007652A6"/>
    <w:rsid w:val="00765A09"/>
    <w:rsid w:val="007660E1"/>
    <w:rsid w:val="00766785"/>
    <w:rsid w:val="00767454"/>
    <w:rsid w:val="007676D7"/>
    <w:rsid w:val="00767A9D"/>
    <w:rsid w:val="00770593"/>
    <w:rsid w:val="007706DD"/>
    <w:rsid w:val="00771129"/>
    <w:rsid w:val="007714CF"/>
    <w:rsid w:val="00771526"/>
    <w:rsid w:val="00771E12"/>
    <w:rsid w:val="00771E4E"/>
    <w:rsid w:val="007722E1"/>
    <w:rsid w:val="00772807"/>
    <w:rsid w:val="00772D08"/>
    <w:rsid w:val="00773B7C"/>
    <w:rsid w:val="00774B27"/>
    <w:rsid w:val="007753CD"/>
    <w:rsid w:val="007759FA"/>
    <w:rsid w:val="00775A77"/>
    <w:rsid w:val="00775B15"/>
    <w:rsid w:val="00776317"/>
    <w:rsid w:val="00776682"/>
    <w:rsid w:val="0077675B"/>
    <w:rsid w:val="007775E6"/>
    <w:rsid w:val="007776CE"/>
    <w:rsid w:val="0077780A"/>
    <w:rsid w:val="00777AF9"/>
    <w:rsid w:val="00777EBC"/>
    <w:rsid w:val="00777FF8"/>
    <w:rsid w:val="007800B0"/>
    <w:rsid w:val="00780893"/>
    <w:rsid w:val="00780B58"/>
    <w:rsid w:val="00780E36"/>
    <w:rsid w:val="00781C11"/>
    <w:rsid w:val="00781D7E"/>
    <w:rsid w:val="00781E3E"/>
    <w:rsid w:val="00782131"/>
    <w:rsid w:val="0078262C"/>
    <w:rsid w:val="00782F57"/>
    <w:rsid w:val="007832AF"/>
    <w:rsid w:val="00783461"/>
    <w:rsid w:val="0078389B"/>
    <w:rsid w:val="00783E56"/>
    <w:rsid w:val="007840A9"/>
    <w:rsid w:val="0078437D"/>
    <w:rsid w:val="007846FF"/>
    <w:rsid w:val="00784ABA"/>
    <w:rsid w:val="00784C21"/>
    <w:rsid w:val="00785512"/>
    <w:rsid w:val="0078585D"/>
    <w:rsid w:val="00785A07"/>
    <w:rsid w:val="00785DC9"/>
    <w:rsid w:val="00785EA4"/>
    <w:rsid w:val="00786170"/>
    <w:rsid w:val="0078648E"/>
    <w:rsid w:val="00786ADE"/>
    <w:rsid w:val="00786AE6"/>
    <w:rsid w:val="00786AEF"/>
    <w:rsid w:val="007877CD"/>
    <w:rsid w:val="007879E3"/>
    <w:rsid w:val="00790042"/>
    <w:rsid w:val="00790323"/>
    <w:rsid w:val="007906CA"/>
    <w:rsid w:val="007924F1"/>
    <w:rsid w:val="007929F6"/>
    <w:rsid w:val="0079319F"/>
    <w:rsid w:val="00793D6E"/>
    <w:rsid w:val="00795162"/>
    <w:rsid w:val="00795686"/>
    <w:rsid w:val="00795AFD"/>
    <w:rsid w:val="007962CD"/>
    <w:rsid w:val="00796788"/>
    <w:rsid w:val="00797687"/>
    <w:rsid w:val="0079774B"/>
    <w:rsid w:val="00797FA2"/>
    <w:rsid w:val="00797FCD"/>
    <w:rsid w:val="007A11EF"/>
    <w:rsid w:val="007A132C"/>
    <w:rsid w:val="007A1AA6"/>
    <w:rsid w:val="007A1E4B"/>
    <w:rsid w:val="007A22E0"/>
    <w:rsid w:val="007A234B"/>
    <w:rsid w:val="007A236F"/>
    <w:rsid w:val="007A2C66"/>
    <w:rsid w:val="007A342A"/>
    <w:rsid w:val="007A399D"/>
    <w:rsid w:val="007A39ED"/>
    <w:rsid w:val="007A3AC6"/>
    <w:rsid w:val="007A40B9"/>
    <w:rsid w:val="007A504B"/>
    <w:rsid w:val="007A5353"/>
    <w:rsid w:val="007A57AB"/>
    <w:rsid w:val="007A5841"/>
    <w:rsid w:val="007A5DCF"/>
    <w:rsid w:val="007A5DFE"/>
    <w:rsid w:val="007A5F93"/>
    <w:rsid w:val="007A69A1"/>
    <w:rsid w:val="007A6E59"/>
    <w:rsid w:val="007A6E9C"/>
    <w:rsid w:val="007A6FA4"/>
    <w:rsid w:val="007A727C"/>
    <w:rsid w:val="007A7673"/>
    <w:rsid w:val="007A7BAD"/>
    <w:rsid w:val="007B0081"/>
    <w:rsid w:val="007B0C04"/>
    <w:rsid w:val="007B1246"/>
    <w:rsid w:val="007B15BA"/>
    <w:rsid w:val="007B187A"/>
    <w:rsid w:val="007B250F"/>
    <w:rsid w:val="007B3191"/>
    <w:rsid w:val="007B3546"/>
    <w:rsid w:val="007B35AA"/>
    <w:rsid w:val="007B3F15"/>
    <w:rsid w:val="007B4142"/>
    <w:rsid w:val="007B4979"/>
    <w:rsid w:val="007B4C1A"/>
    <w:rsid w:val="007B4D6B"/>
    <w:rsid w:val="007B4EDA"/>
    <w:rsid w:val="007B4F1E"/>
    <w:rsid w:val="007B5722"/>
    <w:rsid w:val="007B5A73"/>
    <w:rsid w:val="007B5CE2"/>
    <w:rsid w:val="007B65A7"/>
    <w:rsid w:val="007B66BA"/>
    <w:rsid w:val="007B6770"/>
    <w:rsid w:val="007B69DE"/>
    <w:rsid w:val="007B6C60"/>
    <w:rsid w:val="007B7F0D"/>
    <w:rsid w:val="007C0172"/>
    <w:rsid w:val="007C07A2"/>
    <w:rsid w:val="007C08F1"/>
    <w:rsid w:val="007C148D"/>
    <w:rsid w:val="007C2195"/>
    <w:rsid w:val="007C3B6B"/>
    <w:rsid w:val="007C3BBF"/>
    <w:rsid w:val="007C3C13"/>
    <w:rsid w:val="007C42A9"/>
    <w:rsid w:val="007C4462"/>
    <w:rsid w:val="007C4575"/>
    <w:rsid w:val="007C4BB6"/>
    <w:rsid w:val="007C4E2E"/>
    <w:rsid w:val="007C686D"/>
    <w:rsid w:val="007C6A98"/>
    <w:rsid w:val="007C6ACF"/>
    <w:rsid w:val="007C6ADF"/>
    <w:rsid w:val="007C757E"/>
    <w:rsid w:val="007C772D"/>
    <w:rsid w:val="007C7F8B"/>
    <w:rsid w:val="007D00F1"/>
    <w:rsid w:val="007D0276"/>
    <w:rsid w:val="007D0988"/>
    <w:rsid w:val="007D0F77"/>
    <w:rsid w:val="007D10C7"/>
    <w:rsid w:val="007D129F"/>
    <w:rsid w:val="007D177A"/>
    <w:rsid w:val="007D1F8F"/>
    <w:rsid w:val="007D2001"/>
    <w:rsid w:val="007D22E7"/>
    <w:rsid w:val="007D2D27"/>
    <w:rsid w:val="007D38F9"/>
    <w:rsid w:val="007D3D61"/>
    <w:rsid w:val="007D40CD"/>
    <w:rsid w:val="007D41F2"/>
    <w:rsid w:val="007D4C2B"/>
    <w:rsid w:val="007D4D6C"/>
    <w:rsid w:val="007D529E"/>
    <w:rsid w:val="007D5AB5"/>
    <w:rsid w:val="007D5AB6"/>
    <w:rsid w:val="007D6751"/>
    <w:rsid w:val="007D6F30"/>
    <w:rsid w:val="007D7537"/>
    <w:rsid w:val="007D7A1A"/>
    <w:rsid w:val="007E0513"/>
    <w:rsid w:val="007E19FF"/>
    <w:rsid w:val="007E1A35"/>
    <w:rsid w:val="007E1B72"/>
    <w:rsid w:val="007E23CB"/>
    <w:rsid w:val="007E23DE"/>
    <w:rsid w:val="007E25CC"/>
    <w:rsid w:val="007E2903"/>
    <w:rsid w:val="007E2954"/>
    <w:rsid w:val="007E2D1E"/>
    <w:rsid w:val="007E2EF1"/>
    <w:rsid w:val="007E3191"/>
    <w:rsid w:val="007E3226"/>
    <w:rsid w:val="007E3676"/>
    <w:rsid w:val="007E4335"/>
    <w:rsid w:val="007E54DA"/>
    <w:rsid w:val="007E569E"/>
    <w:rsid w:val="007E576E"/>
    <w:rsid w:val="007E5E36"/>
    <w:rsid w:val="007E6424"/>
    <w:rsid w:val="007E67D3"/>
    <w:rsid w:val="007E6DC0"/>
    <w:rsid w:val="007E775D"/>
    <w:rsid w:val="007E78F5"/>
    <w:rsid w:val="007E7E6D"/>
    <w:rsid w:val="007F0784"/>
    <w:rsid w:val="007F0865"/>
    <w:rsid w:val="007F0B73"/>
    <w:rsid w:val="007F10C9"/>
    <w:rsid w:val="007F1438"/>
    <w:rsid w:val="007F17CE"/>
    <w:rsid w:val="007F2517"/>
    <w:rsid w:val="007F2BD9"/>
    <w:rsid w:val="007F2DB0"/>
    <w:rsid w:val="007F3258"/>
    <w:rsid w:val="007F4853"/>
    <w:rsid w:val="007F4BA7"/>
    <w:rsid w:val="007F55AE"/>
    <w:rsid w:val="007F5817"/>
    <w:rsid w:val="007F58C0"/>
    <w:rsid w:val="007F6E1F"/>
    <w:rsid w:val="007F75D8"/>
    <w:rsid w:val="007F7694"/>
    <w:rsid w:val="008000EC"/>
    <w:rsid w:val="00800C94"/>
    <w:rsid w:val="00800E69"/>
    <w:rsid w:val="008014AD"/>
    <w:rsid w:val="00801840"/>
    <w:rsid w:val="00801977"/>
    <w:rsid w:val="00801BB4"/>
    <w:rsid w:val="00801D58"/>
    <w:rsid w:val="008029FA"/>
    <w:rsid w:val="00802AFA"/>
    <w:rsid w:val="00802F3D"/>
    <w:rsid w:val="0080301C"/>
    <w:rsid w:val="008033C3"/>
    <w:rsid w:val="00804024"/>
    <w:rsid w:val="0080462B"/>
    <w:rsid w:val="0080474E"/>
    <w:rsid w:val="00804C07"/>
    <w:rsid w:val="00805822"/>
    <w:rsid w:val="008059E2"/>
    <w:rsid w:val="00805B34"/>
    <w:rsid w:val="00805E97"/>
    <w:rsid w:val="00806C9B"/>
    <w:rsid w:val="008105F8"/>
    <w:rsid w:val="00811CA6"/>
    <w:rsid w:val="008120E7"/>
    <w:rsid w:val="00812534"/>
    <w:rsid w:val="00812BF5"/>
    <w:rsid w:val="00812DE0"/>
    <w:rsid w:val="008130EE"/>
    <w:rsid w:val="00814429"/>
    <w:rsid w:val="0081608E"/>
    <w:rsid w:val="00816591"/>
    <w:rsid w:val="0081662E"/>
    <w:rsid w:val="0081763F"/>
    <w:rsid w:val="00817C32"/>
    <w:rsid w:val="00817D9F"/>
    <w:rsid w:val="00821359"/>
    <w:rsid w:val="00822A84"/>
    <w:rsid w:val="00822CD6"/>
    <w:rsid w:val="00823082"/>
    <w:rsid w:val="00823353"/>
    <w:rsid w:val="008236A5"/>
    <w:rsid w:val="00823A7E"/>
    <w:rsid w:val="008242C9"/>
    <w:rsid w:val="00824377"/>
    <w:rsid w:val="00824395"/>
    <w:rsid w:val="00824429"/>
    <w:rsid w:val="008245F5"/>
    <w:rsid w:val="0082483B"/>
    <w:rsid w:val="0082495B"/>
    <w:rsid w:val="00824FFC"/>
    <w:rsid w:val="00825914"/>
    <w:rsid w:val="00825C6B"/>
    <w:rsid w:val="00825FAE"/>
    <w:rsid w:val="0082654F"/>
    <w:rsid w:val="0082679F"/>
    <w:rsid w:val="0082707A"/>
    <w:rsid w:val="00827408"/>
    <w:rsid w:val="008316CD"/>
    <w:rsid w:val="0083170C"/>
    <w:rsid w:val="008317D6"/>
    <w:rsid w:val="0083195C"/>
    <w:rsid w:val="00831AC2"/>
    <w:rsid w:val="00832C8D"/>
    <w:rsid w:val="00833FFD"/>
    <w:rsid w:val="008343FA"/>
    <w:rsid w:val="00834C0E"/>
    <w:rsid w:val="00835557"/>
    <w:rsid w:val="0083581A"/>
    <w:rsid w:val="0083584F"/>
    <w:rsid w:val="008359EA"/>
    <w:rsid w:val="00836B21"/>
    <w:rsid w:val="00836E95"/>
    <w:rsid w:val="00836F4D"/>
    <w:rsid w:val="0083707A"/>
    <w:rsid w:val="00837EF3"/>
    <w:rsid w:val="00840960"/>
    <w:rsid w:val="00840CAB"/>
    <w:rsid w:val="008410C9"/>
    <w:rsid w:val="00841449"/>
    <w:rsid w:val="008419A3"/>
    <w:rsid w:val="00842447"/>
    <w:rsid w:val="0084278B"/>
    <w:rsid w:val="00842F19"/>
    <w:rsid w:val="00842F45"/>
    <w:rsid w:val="008433D5"/>
    <w:rsid w:val="00843C07"/>
    <w:rsid w:val="00843F47"/>
    <w:rsid w:val="00843FB7"/>
    <w:rsid w:val="00844602"/>
    <w:rsid w:val="008448B4"/>
    <w:rsid w:val="008448CA"/>
    <w:rsid w:val="00844FD7"/>
    <w:rsid w:val="008454EC"/>
    <w:rsid w:val="00845E20"/>
    <w:rsid w:val="0084605F"/>
    <w:rsid w:val="008467BF"/>
    <w:rsid w:val="00847B4F"/>
    <w:rsid w:val="00850700"/>
    <w:rsid w:val="00850B97"/>
    <w:rsid w:val="008519D1"/>
    <w:rsid w:val="00851EBA"/>
    <w:rsid w:val="00851FE9"/>
    <w:rsid w:val="0085281B"/>
    <w:rsid w:val="00852D73"/>
    <w:rsid w:val="0085391C"/>
    <w:rsid w:val="00853FFD"/>
    <w:rsid w:val="00854155"/>
    <w:rsid w:val="008546EC"/>
    <w:rsid w:val="0085488F"/>
    <w:rsid w:val="008549A2"/>
    <w:rsid w:val="00855501"/>
    <w:rsid w:val="0085599C"/>
    <w:rsid w:val="00855A80"/>
    <w:rsid w:val="008561CB"/>
    <w:rsid w:val="008563C0"/>
    <w:rsid w:val="00856602"/>
    <w:rsid w:val="00856954"/>
    <w:rsid w:val="00856C14"/>
    <w:rsid w:val="008572B4"/>
    <w:rsid w:val="00857C21"/>
    <w:rsid w:val="00857EC9"/>
    <w:rsid w:val="0086038D"/>
    <w:rsid w:val="008604DF"/>
    <w:rsid w:val="00860A71"/>
    <w:rsid w:val="008612F1"/>
    <w:rsid w:val="008621AE"/>
    <w:rsid w:val="00862645"/>
    <w:rsid w:val="0086289B"/>
    <w:rsid w:val="00862E12"/>
    <w:rsid w:val="008632F0"/>
    <w:rsid w:val="00863406"/>
    <w:rsid w:val="00863BE1"/>
    <w:rsid w:val="00864B9E"/>
    <w:rsid w:val="00865D6C"/>
    <w:rsid w:val="00865F1B"/>
    <w:rsid w:val="00866207"/>
    <w:rsid w:val="00866A60"/>
    <w:rsid w:val="00866EC0"/>
    <w:rsid w:val="00867155"/>
    <w:rsid w:val="00867AF1"/>
    <w:rsid w:val="00870110"/>
    <w:rsid w:val="0087086D"/>
    <w:rsid w:val="008710D4"/>
    <w:rsid w:val="008711AB"/>
    <w:rsid w:val="0087150C"/>
    <w:rsid w:val="00871537"/>
    <w:rsid w:val="0087179C"/>
    <w:rsid w:val="008728A3"/>
    <w:rsid w:val="00872A0D"/>
    <w:rsid w:val="00872A7F"/>
    <w:rsid w:val="00872F3D"/>
    <w:rsid w:val="00873E6B"/>
    <w:rsid w:val="0087496C"/>
    <w:rsid w:val="00874C95"/>
    <w:rsid w:val="008750DF"/>
    <w:rsid w:val="008752C1"/>
    <w:rsid w:val="00875B38"/>
    <w:rsid w:val="00875F10"/>
    <w:rsid w:val="00876485"/>
    <w:rsid w:val="0087652E"/>
    <w:rsid w:val="0087726B"/>
    <w:rsid w:val="008772E8"/>
    <w:rsid w:val="00880035"/>
    <w:rsid w:val="008801FB"/>
    <w:rsid w:val="00880950"/>
    <w:rsid w:val="008814D5"/>
    <w:rsid w:val="008817D3"/>
    <w:rsid w:val="008821CB"/>
    <w:rsid w:val="008822AA"/>
    <w:rsid w:val="0088297F"/>
    <w:rsid w:val="0088306F"/>
    <w:rsid w:val="00883236"/>
    <w:rsid w:val="008841F4"/>
    <w:rsid w:val="00884650"/>
    <w:rsid w:val="00884B66"/>
    <w:rsid w:val="00884C93"/>
    <w:rsid w:val="008859D6"/>
    <w:rsid w:val="00885DBF"/>
    <w:rsid w:val="00885F05"/>
    <w:rsid w:val="00886160"/>
    <w:rsid w:val="00886E7A"/>
    <w:rsid w:val="008876E4"/>
    <w:rsid w:val="00887814"/>
    <w:rsid w:val="008904BA"/>
    <w:rsid w:val="008907A6"/>
    <w:rsid w:val="00890CB6"/>
    <w:rsid w:val="00891CAC"/>
    <w:rsid w:val="00891D2F"/>
    <w:rsid w:val="0089285C"/>
    <w:rsid w:val="0089380A"/>
    <w:rsid w:val="00893976"/>
    <w:rsid w:val="00893DD4"/>
    <w:rsid w:val="00893F7F"/>
    <w:rsid w:val="00894F0F"/>
    <w:rsid w:val="00895AC4"/>
    <w:rsid w:val="00895CF9"/>
    <w:rsid w:val="00895EA4"/>
    <w:rsid w:val="0089606C"/>
    <w:rsid w:val="00896308"/>
    <w:rsid w:val="008964BE"/>
    <w:rsid w:val="0089697C"/>
    <w:rsid w:val="00897829"/>
    <w:rsid w:val="008A0674"/>
    <w:rsid w:val="008A06ED"/>
    <w:rsid w:val="008A0922"/>
    <w:rsid w:val="008A0EF5"/>
    <w:rsid w:val="008A1D2A"/>
    <w:rsid w:val="008A1D69"/>
    <w:rsid w:val="008A3050"/>
    <w:rsid w:val="008A36C6"/>
    <w:rsid w:val="008A473E"/>
    <w:rsid w:val="008A4757"/>
    <w:rsid w:val="008A4B06"/>
    <w:rsid w:val="008A4C1A"/>
    <w:rsid w:val="008A4E4A"/>
    <w:rsid w:val="008A5A1A"/>
    <w:rsid w:val="008A5AEB"/>
    <w:rsid w:val="008A6EF1"/>
    <w:rsid w:val="008A7A5F"/>
    <w:rsid w:val="008B021F"/>
    <w:rsid w:val="008B0375"/>
    <w:rsid w:val="008B04CD"/>
    <w:rsid w:val="008B08EB"/>
    <w:rsid w:val="008B0DA1"/>
    <w:rsid w:val="008B19D0"/>
    <w:rsid w:val="008B27EC"/>
    <w:rsid w:val="008B2C82"/>
    <w:rsid w:val="008B3716"/>
    <w:rsid w:val="008B3A44"/>
    <w:rsid w:val="008B3B20"/>
    <w:rsid w:val="008B44CC"/>
    <w:rsid w:val="008B47B8"/>
    <w:rsid w:val="008B47E2"/>
    <w:rsid w:val="008B4C1E"/>
    <w:rsid w:val="008B5D91"/>
    <w:rsid w:val="008B65A8"/>
    <w:rsid w:val="008B65B8"/>
    <w:rsid w:val="008B67FC"/>
    <w:rsid w:val="008B6F3A"/>
    <w:rsid w:val="008B72E4"/>
    <w:rsid w:val="008B7396"/>
    <w:rsid w:val="008B79AD"/>
    <w:rsid w:val="008C01A6"/>
    <w:rsid w:val="008C03EC"/>
    <w:rsid w:val="008C0F80"/>
    <w:rsid w:val="008C25C7"/>
    <w:rsid w:val="008C29DD"/>
    <w:rsid w:val="008C30D4"/>
    <w:rsid w:val="008C311B"/>
    <w:rsid w:val="008C3398"/>
    <w:rsid w:val="008C3643"/>
    <w:rsid w:val="008C3D7F"/>
    <w:rsid w:val="008C413C"/>
    <w:rsid w:val="008C4180"/>
    <w:rsid w:val="008C44D6"/>
    <w:rsid w:val="008C4ADE"/>
    <w:rsid w:val="008C4C52"/>
    <w:rsid w:val="008C4EBC"/>
    <w:rsid w:val="008C519E"/>
    <w:rsid w:val="008C543D"/>
    <w:rsid w:val="008C5621"/>
    <w:rsid w:val="008C5BC7"/>
    <w:rsid w:val="008C5CDD"/>
    <w:rsid w:val="008C5DF0"/>
    <w:rsid w:val="008C6CE0"/>
    <w:rsid w:val="008C726C"/>
    <w:rsid w:val="008C7357"/>
    <w:rsid w:val="008C7809"/>
    <w:rsid w:val="008D055F"/>
    <w:rsid w:val="008D0957"/>
    <w:rsid w:val="008D1202"/>
    <w:rsid w:val="008D12DC"/>
    <w:rsid w:val="008D17CA"/>
    <w:rsid w:val="008D1BB8"/>
    <w:rsid w:val="008D2927"/>
    <w:rsid w:val="008D2B36"/>
    <w:rsid w:val="008D33B5"/>
    <w:rsid w:val="008D3637"/>
    <w:rsid w:val="008D3680"/>
    <w:rsid w:val="008D3F6A"/>
    <w:rsid w:val="008D498A"/>
    <w:rsid w:val="008D4B29"/>
    <w:rsid w:val="008D4D70"/>
    <w:rsid w:val="008D5300"/>
    <w:rsid w:val="008D5311"/>
    <w:rsid w:val="008D57B2"/>
    <w:rsid w:val="008D5F07"/>
    <w:rsid w:val="008D6355"/>
    <w:rsid w:val="008D65E9"/>
    <w:rsid w:val="008D67FB"/>
    <w:rsid w:val="008D6C5A"/>
    <w:rsid w:val="008D6F44"/>
    <w:rsid w:val="008D73BE"/>
    <w:rsid w:val="008D782B"/>
    <w:rsid w:val="008D7BA0"/>
    <w:rsid w:val="008E01D6"/>
    <w:rsid w:val="008E0388"/>
    <w:rsid w:val="008E063C"/>
    <w:rsid w:val="008E0F2B"/>
    <w:rsid w:val="008E1162"/>
    <w:rsid w:val="008E250B"/>
    <w:rsid w:val="008E265C"/>
    <w:rsid w:val="008E2714"/>
    <w:rsid w:val="008E2BEC"/>
    <w:rsid w:val="008E2EE7"/>
    <w:rsid w:val="008E32EA"/>
    <w:rsid w:val="008E3FBD"/>
    <w:rsid w:val="008E4079"/>
    <w:rsid w:val="008E424F"/>
    <w:rsid w:val="008E4482"/>
    <w:rsid w:val="008E49D2"/>
    <w:rsid w:val="008E4FCA"/>
    <w:rsid w:val="008E544F"/>
    <w:rsid w:val="008E57D7"/>
    <w:rsid w:val="008E593D"/>
    <w:rsid w:val="008E611C"/>
    <w:rsid w:val="008E63D3"/>
    <w:rsid w:val="008E6869"/>
    <w:rsid w:val="008E689D"/>
    <w:rsid w:val="008E6945"/>
    <w:rsid w:val="008E6C8E"/>
    <w:rsid w:val="008E7137"/>
    <w:rsid w:val="008E7373"/>
    <w:rsid w:val="008E7790"/>
    <w:rsid w:val="008F010A"/>
    <w:rsid w:val="008F06D3"/>
    <w:rsid w:val="008F0C14"/>
    <w:rsid w:val="008F16F2"/>
    <w:rsid w:val="008F1E62"/>
    <w:rsid w:val="008F2408"/>
    <w:rsid w:val="008F25F5"/>
    <w:rsid w:val="008F27C3"/>
    <w:rsid w:val="008F2AAF"/>
    <w:rsid w:val="008F2B22"/>
    <w:rsid w:val="008F2BDA"/>
    <w:rsid w:val="008F31A4"/>
    <w:rsid w:val="008F3324"/>
    <w:rsid w:val="008F3378"/>
    <w:rsid w:val="008F38A1"/>
    <w:rsid w:val="008F393D"/>
    <w:rsid w:val="008F3ADF"/>
    <w:rsid w:val="008F47E1"/>
    <w:rsid w:val="008F48B1"/>
    <w:rsid w:val="008F4A48"/>
    <w:rsid w:val="008F4DB7"/>
    <w:rsid w:val="008F54C6"/>
    <w:rsid w:val="008F5602"/>
    <w:rsid w:val="008F5B83"/>
    <w:rsid w:val="008F5D03"/>
    <w:rsid w:val="008F5EFA"/>
    <w:rsid w:val="008F64BE"/>
    <w:rsid w:val="008F6D10"/>
    <w:rsid w:val="008F7F69"/>
    <w:rsid w:val="00900A8E"/>
    <w:rsid w:val="00902521"/>
    <w:rsid w:val="00902589"/>
    <w:rsid w:val="00902D6A"/>
    <w:rsid w:val="00903249"/>
    <w:rsid w:val="009036CA"/>
    <w:rsid w:val="00904A16"/>
    <w:rsid w:val="00904C13"/>
    <w:rsid w:val="00904D57"/>
    <w:rsid w:val="0090543D"/>
    <w:rsid w:val="009054B2"/>
    <w:rsid w:val="009065AC"/>
    <w:rsid w:val="00906BC7"/>
    <w:rsid w:val="00906DBD"/>
    <w:rsid w:val="00906F3C"/>
    <w:rsid w:val="0090725B"/>
    <w:rsid w:val="00907A05"/>
    <w:rsid w:val="00907B48"/>
    <w:rsid w:val="00907D09"/>
    <w:rsid w:val="00910332"/>
    <w:rsid w:val="009105D4"/>
    <w:rsid w:val="00911154"/>
    <w:rsid w:val="0091179E"/>
    <w:rsid w:val="0091259A"/>
    <w:rsid w:val="0091449F"/>
    <w:rsid w:val="0091490F"/>
    <w:rsid w:val="009149C4"/>
    <w:rsid w:val="00914DDD"/>
    <w:rsid w:val="00914FE0"/>
    <w:rsid w:val="00915D1B"/>
    <w:rsid w:val="00915E22"/>
    <w:rsid w:val="009162D1"/>
    <w:rsid w:val="00916C41"/>
    <w:rsid w:val="00917936"/>
    <w:rsid w:val="00917A17"/>
    <w:rsid w:val="00920572"/>
    <w:rsid w:val="0092083E"/>
    <w:rsid w:val="00920903"/>
    <w:rsid w:val="0092187E"/>
    <w:rsid w:val="00922B43"/>
    <w:rsid w:val="00922C54"/>
    <w:rsid w:val="009240E8"/>
    <w:rsid w:val="009244B0"/>
    <w:rsid w:val="00924BE1"/>
    <w:rsid w:val="00924FEB"/>
    <w:rsid w:val="00925F4D"/>
    <w:rsid w:val="0092707F"/>
    <w:rsid w:val="00927BCA"/>
    <w:rsid w:val="00927E69"/>
    <w:rsid w:val="00927F9F"/>
    <w:rsid w:val="0093019F"/>
    <w:rsid w:val="0093058F"/>
    <w:rsid w:val="00930A62"/>
    <w:rsid w:val="009313AA"/>
    <w:rsid w:val="0093183F"/>
    <w:rsid w:val="00931F0E"/>
    <w:rsid w:val="00932458"/>
    <w:rsid w:val="00932816"/>
    <w:rsid w:val="00933331"/>
    <w:rsid w:val="009336CF"/>
    <w:rsid w:val="00933A84"/>
    <w:rsid w:val="00933C47"/>
    <w:rsid w:val="00933C76"/>
    <w:rsid w:val="009341F8"/>
    <w:rsid w:val="009344FB"/>
    <w:rsid w:val="00934DC2"/>
    <w:rsid w:val="00935702"/>
    <w:rsid w:val="00935F6D"/>
    <w:rsid w:val="00937018"/>
    <w:rsid w:val="00937231"/>
    <w:rsid w:val="009378B5"/>
    <w:rsid w:val="00937E8E"/>
    <w:rsid w:val="00937FFE"/>
    <w:rsid w:val="0094057B"/>
    <w:rsid w:val="00940B08"/>
    <w:rsid w:val="00940E29"/>
    <w:rsid w:val="00940EC6"/>
    <w:rsid w:val="009416DA"/>
    <w:rsid w:val="009418AB"/>
    <w:rsid w:val="009418B6"/>
    <w:rsid w:val="00941F42"/>
    <w:rsid w:val="00941F4B"/>
    <w:rsid w:val="00942AA4"/>
    <w:rsid w:val="009433D3"/>
    <w:rsid w:val="00943B4F"/>
    <w:rsid w:val="00943C85"/>
    <w:rsid w:val="00945EC8"/>
    <w:rsid w:val="009461BA"/>
    <w:rsid w:val="0094665F"/>
    <w:rsid w:val="00946E52"/>
    <w:rsid w:val="009472E8"/>
    <w:rsid w:val="009475B8"/>
    <w:rsid w:val="00947950"/>
    <w:rsid w:val="00950136"/>
    <w:rsid w:val="00950392"/>
    <w:rsid w:val="0095087C"/>
    <w:rsid w:val="009509A9"/>
    <w:rsid w:val="009512F6"/>
    <w:rsid w:val="0095177F"/>
    <w:rsid w:val="0095185C"/>
    <w:rsid w:val="00951FA0"/>
    <w:rsid w:val="009527E0"/>
    <w:rsid w:val="009529AE"/>
    <w:rsid w:val="00952CA9"/>
    <w:rsid w:val="009534B1"/>
    <w:rsid w:val="00954357"/>
    <w:rsid w:val="009543EE"/>
    <w:rsid w:val="009547FF"/>
    <w:rsid w:val="00954C0A"/>
    <w:rsid w:val="0095528E"/>
    <w:rsid w:val="00955451"/>
    <w:rsid w:val="00955693"/>
    <w:rsid w:val="009556E2"/>
    <w:rsid w:val="00955EF0"/>
    <w:rsid w:val="009566C3"/>
    <w:rsid w:val="00956DDB"/>
    <w:rsid w:val="00956E25"/>
    <w:rsid w:val="00957139"/>
    <w:rsid w:val="0095756C"/>
    <w:rsid w:val="00960ACD"/>
    <w:rsid w:val="00960AFB"/>
    <w:rsid w:val="00960EEA"/>
    <w:rsid w:val="0096122B"/>
    <w:rsid w:val="0096174D"/>
    <w:rsid w:val="00961CB6"/>
    <w:rsid w:val="009628B9"/>
    <w:rsid w:val="00962987"/>
    <w:rsid w:val="00962BDA"/>
    <w:rsid w:val="00962CD6"/>
    <w:rsid w:val="009631E4"/>
    <w:rsid w:val="009634B3"/>
    <w:rsid w:val="009636E6"/>
    <w:rsid w:val="009636F2"/>
    <w:rsid w:val="009639B4"/>
    <w:rsid w:val="00963D36"/>
    <w:rsid w:val="00964399"/>
    <w:rsid w:val="009645D9"/>
    <w:rsid w:val="009647FC"/>
    <w:rsid w:val="00964BAB"/>
    <w:rsid w:val="00964DDF"/>
    <w:rsid w:val="009703EA"/>
    <w:rsid w:val="0097110D"/>
    <w:rsid w:val="0097189C"/>
    <w:rsid w:val="00971EC3"/>
    <w:rsid w:val="00972398"/>
    <w:rsid w:val="00972638"/>
    <w:rsid w:val="009729F8"/>
    <w:rsid w:val="00972A09"/>
    <w:rsid w:val="00972F26"/>
    <w:rsid w:val="0097398E"/>
    <w:rsid w:val="00974480"/>
    <w:rsid w:val="00974606"/>
    <w:rsid w:val="009747DE"/>
    <w:rsid w:val="00974DD1"/>
    <w:rsid w:val="009759E3"/>
    <w:rsid w:val="00975A93"/>
    <w:rsid w:val="009760E4"/>
    <w:rsid w:val="009761C9"/>
    <w:rsid w:val="00976664"/>
    <w:rsid w:val="00976CCC"/>
    <w:rsid w:val="00976F64"/>
    <w:rsid w:val="0097706C"/>
    <w:rsid w:val="0097717F"/>
    <w:rsid w:val="0097766D"/>
    <w:rsid w:val="00977E33"/>
    <w:rsid w:val="00977F9D"/>
    <w:rsid w:val="009803AD"/>
    <w:rsid w:val="00980ED3"/>
    <w:rsid w:val="00981216"/>
    <w:rsid w:val="0098126A"/>
    <w:rsid w:val="009818BE"/>
    <w:rsid w:val="00981CE1"/>
    <w:rsid w:val="0098233C"/>
    <w:rsid w:val="00982A6B"/>
    <w:rsid w:val="00982DE0"/>
    <w:rsid w:val="00982ED2"/>
    <w:rsid w:val="00983487"/>
    <w:rsid w:val="00984167"/>
    <w:rsid w:val="009843AC"/>
    <w:rsid w:val="009848D4"/>
    <w:rsid w:val="009849CE"/>
    <w:rsid w:val="00985781"/>
    <w:rsid w:val="009867D9"/>
    <w:rsid w:val="00986D3B"/>
    <w:rsid w:val="0098784C"/>
    <w:rsid w:val="009879F8"/>
    <w:rsid w:val="00987D78"/>
    <w:rsid w:val="00990C29"/>
    <w:rsid w:val="00990C9A"/>
    <w:rsid w:val="00990FCF"/>
    <w:rsid w:val="00991538"/>
    <w:rsid w:val="009916F2"/>
    <w:rsid w:val="00991D31"/>
    <w:rsid w:val="009921AA"/>
    <w:rsid w:val="00992A67"/>
    <w:rsid w:val="0099303B"/>
    <w:rsid w:val="009938E0"/>
    <w:rsid w:val="00993B87"/>
    <w:rsid w:val="00993C9A"/>
    <w:rsid w:val="00993CC1"/>
    <w:rsid w:val="009940E9"/>
    <w:rsid w:val="0099412B"/>
    <w:rsid w:val="00994B15"/>
    <w:rsid w:val="00994CBE"/>
    <w:rsid w:val="00995110"/>
    <w:rsid w:val="009952F6"/>
    <w:rsid w:val="0099531E"/>
    <w:rsid w:val="0099535E"/>
    <w:rsid w:val="00995862"/>
    <w:rsid w:val="00996535"/>
    <w:rsid w:val="0099662A"/>
    <w:rsid w:val="009968EB"/>
    <w:rsid w:val="00997224"/>
    <w:rsid w:val="009974D7"/>
    <w:rsid w:val="0099789A"/>
    <w:rsid w:val="009978D5"/>
    <w:rsid w:val="009A029C"/>
    <w:rsid w:val="009A0477"/>
    <w:rsid w:val="009A063A"/>
    <w:rsid w:val="009A0B3B"/>
    <w:rsid w:val="009A0DA1"/>
    <w:rsid w:val="009A0DAA"/>
    <w:rsid w:val="009A1888"/>
    <w:rsid w:val="009A1AD1"/>
    <w:rsid w:val="009A1DFA"/>
    <w:rsid w:val="009A23F9"/>
    <w:rsid w:val="009A3A02"/>
    <w:rsid w:val="009A3A79"/>
    <w:rsid w:val="009A3BD0"/>
    <w:rsid w:val="009A4DEC"/>
    <w:rsid w:val="009A53C0"/>
    <w:rsid w:val="009A5938"/>
    <w:rsid w:val="009A6009"/>
    <w:rsid w:val="009A6427"/>
    <w:rsid w:val="009A69A6"/>
    <w:rsid w:val="009A6E0F"/>
    <w:rsid w:val="009A7532"/>
    <w:rsid w:val="009A76DE"/>
    <w:rsid w:val="009A7B22"/>
    <w:rsid w:val="009B027B"/>
    <w:rsid w:val="009B159F"/>
    <w:rsid w:val="009B1BE3"/>
    <w:rsid w:val="009B20A0"/>
    <w:rsid w:val="009B27CD"/>
    <w:rsid w:val="009B2A45"/>
    <w:rsid w:val="009B2AD8"/>
    <w:rsid w:val="009B2B0D"/>
    <w:rsid w:val="009B2B64"/>
    <w:rsid w:val="009B2F01"/>
    <w:rsid w:val="009B3E78"/>
    <w:rsid w:val="009B451A"/>
    <w:rsid w:val="009B4695"/>
    <w:rsid w:val="009B47D0"/>
    <w:rsid w:val="009B4D95"/>
    <w:rsid w:val="009B52FB"/>
    <w:rsid w:val="009B56A3"/>
    <w:rsid w:val="009B5797"/>
    <w:rsid w:val="009B6824"/>
    <w:rsid w:val="009B6A8C"/>
    <w:rsid w:val="009B6B0C"/>
    <w:rsid w:val="009B6EC7"/>
    <w:rsid w:val="009B7177"/>
    <w:rsid w:val="009C041A"/>
    <w:rsid w:val="009C096D"/>
    <w:rsid w:val="009C0E23"/>
    <w:rsid w:val="009C1175"/>
    <w:rsid w:val="009C1822"/>
    <w:rsid w:val="009C1A90"/>
    <w:rsid w:val="009C1BE9"/>
    <w:rsid w:val="009C23EC"/>
    <w:rsid w:val="009C2704"/>
    <w:rsid w:val="009C2915"/>
    <w:rsid w:val="009C2EDF"/>
    <w:rsid w:val="009C2FB8"/>
    <w:rsid w:val="009C31E3"/>
    <w:rsid w:val="009C3255"/>
    <w:rsid w:val="009C4113"/>
    <w:rsid w:val="009C4AE9"/>
    <w:rsid w:val="009C4FCC"/>
    <w:rsid w:val="009C5EF6"/>
    <w:rsid w:val="009C6910"/>
    <w:rsid w:val="009D0089"/>
    <w:rsid w:val="009D0C3B"/>
    <w:rsid w:val="009D13BD"/>
    <w:rsid w:val="009D1408"/>
    <w:rsid w:val="009D194A"/>
    <w:rsid w:val="009D2CEA"/>
    <w:rsid w:val="009D2F32"/>
    <w:rsid w:val="009D32E1"/>
    <w:rsid w:val="009D3351"/>
    <w:rsid w:val="009D3519"/>
    <w:rsid w:val="009D3C8E"/>
    <w:rsid w:val="009D3D07"/>
    <w:rsid w:val="009D4C76"/>
    <w:rsid w:val="009D4E3B"/>
    <w:rsid w:val="009D4E96"/>
    <w:rsid w:val="009D50C0"/>
    <w:rsid w:val="009D60A3"/>
    <w:rsid w:val="009D67EC"/>
    <w:rsid w:val="009D774B"/>
    <w:rsid w:val="009D7F11"/>
    <w:rsid w:val="009E036B"/>
    <w:rsid w:val="009E081A"/>
    <w:rsid w:val="009E1607"/>
    <w:rsid w:val="009E1B05"/>
    <w:rsid w:val="009E2958"/>
    <w:rsid w:val="009E35A2"/>
    <w:rsid w:val="009E3725"/>
    <w:rsid w:val="009E38DB"/>
    <w:rsid w:val="009E39E0"/>
    <w:rsid w:val="009E3C0C"/>
    <w:rsid w:val="009E41C3"/>
    <w:rsid w:val="009E4E5C"/>
    <w:rsid w:val="009E4E8C"/>
    <w:rsid w:val="009E4F99"/>
    <w:rsid w:val="009E562E"/>
    <w:rsid w:val="009E56F8"/>
    <w:rsid w:val="009E6466"/>
    <w:rsid w:val="009E6905"/>
    <w:rsid w:val="009E6B25"/>
    <w:rsid w:val="009E6EA4"/>
    <w:rsid w:val="009E7041"/>
    <w:rsid w:val="009E783D"/>
    <w:rsid w:val="009E78BD"/>
    <w:rsid w:val="009F05EF"/>
    <w:rsid w:val="009F06DE"/>
    <w:rsid w:val="009F0D83"/>
    <w:rsid w:val="009F14C6"/>
    <w:rsid w:val="009F1543"/>
    <w:rsid w:val="009F1624"/>
    <w:rsid w:val="009F1A79"/>
    <w:rsid w:val="009F234F"/>
    <w:rsid w:val="009F2711"/>
    <w:rsid w:val="009F28B8"/>
    <w:rsid w:val="009F36F6"/>
    <w:rsid w:val="009F37EA"/>
    <w:rsid w:val="009F3D5D"/>
    <w:rsid w:val="009F50D3"/>
    <w:rsid w:val="009F50E2"/>
    <w:rsid w:val="009F51E5"/>
    <w:rsid w:val="009F5798"/>
    <w:rsid w:val="009F5820"/>
    <w:rsid w:val="009F59E5"/>
    <w:rsid w:val="009F5A29"/>
    <w:rsid w:val="009F6605"/>
    <w:rsid w:val="009F6C43"/>
    <w:rsid w:val="009F70AB"/>
    <w:rsid w:val="009F73F2"/>
    <w:rsid w:val="009F76DD"/>
    <w:rsid w:val="00A005C1"/>
    <w:rsid w:val="00A00FA1"/>
    <w:rsid w:val="00A0170B"/>
    <w:rsid w:val="00A01EB1"/>
    <w:rsid w:val="00A026F4"/>
    <w:rsid w:val="00A02E28"/>
    <w:rsid w:val="00A02EB2"/>
    <w:rsid w:val="00A02FE6"/>
    <w:rsid w:val="00A03352"/>
    <w:rsid w:val="00A03386"/>
    <w:rsid w:val="00A037D7"/>
    <w:rsid w:val="00A03865"/>
    <w:rsid w:val="00A03BE5"/>
    <w:rsid w:val="00A03E01"/>
    <w:rsid w:val="00A043E3"/>
    <w:rsid w:val="00A04DD0"/>
    <w:rsid w:val="00A05120"/>
    <w:rsid w:val="00A063B6"/>
    <w:rsid w:val="00A06868"/>
    <w:rsid w:val="00A06C28"/>
    <w:rsid w:val="00A073E1"/>
    <w:rsid w:val="00A074CC"/>
    <w:rsid w:val="00A079CC"/>
    <w:rsid w:val="00A10380"/>
    <w:rsid w:val="00A109CA"/>
    <w:rsid w:val="00A10D84"/>
    <w:rsid w:val="00A11062"/>
    <w:rsid w:val="00A11134"/>
    <w:rsid w:val="00A1123F"/>
    <w:rsid w:val="00A11B48"/>
    <w:rsid w:val="00A12202"/>
    <w:rsid w:val="00A125C0"/>
    <w:rsid w:val="00A12E16"/>
    <w:rsid w:val="00A1335D"/>
    <w:rsid w:val="00A13D7C"/>
    <w:rsid w:val="00A14223"/>
    <w:rsid w:val="00A14B3F"/>
    <w:rsid w:val="00A15109"/>
    <w:rsid w:val="00A15F01"/>
    <w:rsid w:val="00A16D20"/>
    <w:rsid w:val="00A16D27"/>
    <w:rsid w:val="00A16D2A"/>
    <w:rsid w:val="00A17F61"/>
    <w:rsid w:val="00A20A12"/>
    <w:rsid w:val="00A20AFA"/>
    <w:rsid w:val="00A20C74"/>
    <w:rsid w:val="00A21894"/>
    <w:rsid w:val="00A21CCD"/>
    <w:rsid w:val="00A21F1B"/>
    <w:rsid w:val="00A22647"/>
    <w:rsid w:val="00A22C24"/>
    <w:rsid w:val="00A22E2E"/>
    <w:rsid w:val="00A231AC"/>
    <w:rsid w:val="00A23235"/>
    <w:rsid w:val="00A232EF"/>
    <w:rsid w:val="00A232F6"/>
    <w:rsid w:val="00A23C20"/>
    <w:rsid w:val="00A23DF6"/>
    <w:rsid w:val="00A24DA5"/>
    <w:rsid w:val="00A2551B"/>
    <w:rsid w:val="00A2564D"/>
    <w:rsid w:val="00A25A46"/>
    <w:rsid w:val="00A261F5"/>
    <w:rsid w:val="00A2633A"/>
    <w:rsid w:val="00A27ED3"/>
    <w:rsid w:val="00A302D5"/>
    <w:rsid w:val="00A3056A"/>
    <w:rsid w:val="00A318FE"/>
    <w:rsid w:val="00A31C7D"/>
    <w:rsid w:val="00A31EFB"/>
    <w:rsid w:val="00A320FE"/>
    <w:rsid w:val="00A32292"/>
    <w:rsid w:val="00A32304"/>
    <w:rsid w:val="00A32309"/>
    <w:rsid w:val="00A3327C"/>
    <w:rsid w:val="00A33BA9"/>
    <w:rsid w:val="00A33E70"/>
    <w:rsid w:val="00A3437F"/>
    <w:rsid w:val="00A3512A"/>
    <w:rsid w:val="00A35338"/>
    <w:rsid w:val="00A361B9"/>
    <w:rsid w:val="00A36405"/>
    <w:rsid w:val="00A36671"/>
    <w:rsid w:val="00A37899"/>
    <w:rsid w:val="00A37DE5"/>
    <w:rsid w:val="00A40CF3"/>
    <w:rsid w:val="00A40D36"/>
    <w:rsid w:val="00A4110F"/>
    <w:rsid w:val="00A413DC"/>
    <w:rsid w:val="00A41B56"/>
    <w:rsid w:val="00A41C8F"/>
    <w:rsid w:val="00A41DA7"/>
    <w:rsid w:val="00A42636"/>
    <w:rsid w:val="00A42B5E"/>
    <w:rsid w:val="00A430BB"/>
    <w:rsid w:val="00A4391E"/>
    <w:rsid w:val="00A43C22"/>
    <w:rsid w:val="00A43FD5"/>
    <w:rsid w:val="00A44119"/>
    <w:rsid w:val="00A44123"/>
    <w:rsid w:val="00A448B7"/>
    <w:rsid w:val="00A44BBB"/>
    <w:rsid w:val="00A44C7A"/>
    <w:rsid w:val="00A45102"/>
    <w:rsid w:val="00A45D4A"/>
    <w:rsid w:val="00A473B0"/>
    <w:rsid w:val="00A47920"/>
    <w:rsid w:val="00A47A0B"/>
    <w:rsid w:val="00A47E67"/>
    <w:rsid w:val="00A51522"/>
    <w:rsid w:val="00A51587"/>
    <w:rsid w:val="00A52685"/>
    <w:rsid w:val="00A52C92"/>
    <w:rsid w:val="00A538C1"/>
    <w:rsid w:val="00A53D74"/>
    <w:rsid w:val="00A53FF2"/>
    <w:rsid w:val="00A54159"/>
    <w:rsid w:val="00A542A5"/>
    <w:rsid w:val="00A548FB"/>
    <w:rsid w:val="00A54A16"/>
    <w:rsid w:val="00A54F34"/>
    <w:rsid w:val="00A555AD"/>
    <w:rsid w:val="00A564C9"/>
    <w:rsid w:val="00A56D1E"/>
    <w:rsid w:val="00A56E1E"/>
    <w:rsid w:val="00A571CD"/>
    <w:rsid w:val="00A57878"/>
    <w:rsid w:val="00A57D70"/>
    <w:rsid w:val="00A60C32"/>
    <w:rsid w:val="00A611C4"/>
    <w:rsid w:val="00A61227"/>
    <w:rsid w:val="00A616C5"/>
    <w:rsid w:val="00A62950"/>
    <w:rsid w:val="00A63879"/>
    <w:rsid w:val="00A6400A"/>
    <w:rsid w:val="00A64281"/>
    <w:rsid w:val="00A64335"/>
    <w:rsid w:val="00A64752"/>
    <w:rsid w:val="00A6496A"/>
    <w:rsid w:val="00A649CE"/>
    <w:rsid w:val="00A64ECC"/>
    <w:rsid w:val="00A65970"/>
    <w:rsid w:val="00A65B9B"/>
    <w:rsid w:val="00A65E9B"/>
    <w:rsid w:val="00A66FD4"/>
    <w:rsid w:val="00A67391"/>
    <w:rsid w:val="00A700BE"/>
    <w:rsid w:val="00A70654"/>
    <w:rsid w:val="00A70A2E"/>
    <w:rsid w:val="00A70E4F"/>
    <w:rsid w:val="00A71562"/>
    <w:rsid w:val="00A71B0B"/>
    <w:rsid w:val="00A71C64"/>
    <w:rsid w:val="00A729CB"/>
    <w:rsid w:val="00A7313F"/>
    <w:rsid w:val="00A7350C"/>
    <w:rsid w:val="00A735A6"/>
    <w:rsid w:val="00A744F0"/>
    <w:rsid w:val="00A7597E"/>
    <w:rsid w:val="00A75D6C"/>
    <w:rsid w:val="00A75FA2"/>
    <w:rsid w:val="00A760EE"/>
    <w:rsid w:val="00A765FA"/>
    <w:rsid w:val="00A76C36"/>
    <w:rsid w:val="00A76C75"/>
    <w:rsid w:val="00A77D6C"/>
    <w:rsid w:val="00A77E1E"/>
    <w:rsid w:val="00A80288"/>
    <w:rsid w:val="00A8104C"/>
    <w:rsid w:val="00A81A97"/>
    <w:rsid w:val="00A81B16"/>
    <w:rsid w:val="00A8234B"/>
    <w:rsid w:val="00A83461"/>
    <w:rsid w:val="00A83907"/>
    <w:rsid w:val="00A84E2C"/>
    <w:rsid w:val="00A85368"/>
    <w:rsid w:val="00A8540E"/>
    <w:rsid w:val="00A854F4"/>
    <w:rsid w:val="00A857DB"/>
    <w:rsid w:val="00A85877"/>
    <w:rsid w:val="00A862AF"/>
    <w:rsid w:val="00A862D3"/>
    <w:rsid w:val="00A8637A"/>
    <w:rsid w:val="00A867E9"/>
    <w:rsid w:val="00A868D4"/>
    <w:rsid w:val="00A86A32"/>
    <w:rsid w:val="00A8735A"/>
    <w:rsid w:val="00A87780"/>
    <w:rsid w:val="00A87E65"/>
    <w:rsid w:val="00A87F14"/>
    <w:rsid w:val="00A90022"/>
    <w:rsid w:val="00A90737"/>
    <w:rsid w:val="00A91210"/>
    <w:rsid w:val="00A91BFE"/>
    <w:rsid w:val="00A9241C"/>
    <w:rsid w:val="00A92A3B"/>
    <w:rsid w:val="00A93254"/>
    <w:rsid w:val="00A9347F"/>
    <w:rsid w:val="00A9368F"/>
    <w:rsid w:val="00A93A94"/>
    <w:rsid w:val="00A93ACE"/>
    <w:rsid w:val="00A940AD"/>
    <w:rsid w:val="00A94506"/>
    <w:rsid w:val="00A94865"/>
    <w:rsid w:val="00A94C7A"/>
    <w:rsid w:val="00A950E2"/>
    <w:rsid w:val="00A95298"/>
    <w:rsid w:val="00A954BE"/>
    <w:rsid w:val="00A956B1"/>
    <w:rsid w:val="00A95BD5"/>
    <w:rsid w:val="00A96724"/>
    <w:rsid w:val="00A96DBD"/>
    <w:rsid w:val="00A97874"/>
    <w:rsid w:val="00A97C43"/>
    <w:rsid w:val="00AA039A"/>
    <w:rsid w:val="00AA0698"/>
    <w:rsid w:val="00AA16A0"/>
    <w:rsid w:val="00AA1B1E"/>
    <w:rsid w:val="00AA1B70"/>
    <w:rsid w:val="00AA1E51"/>
    <w:rsid w:val="00AA2B8D"/>
    <w:rsid w:val="00AA2D6B"/>
    <w:rsid w:val="00AA30F9"/>
    <w:rsid w:val="00AA37D3"/>
    <w:rsid w:val="00AA39D4"/>
    <w:rsid w:val="00AA3C4E"/>
    <w:rsid w:val="00AA43A9"/>
    <w:rsid w:val="00AA54EE"/>
    <w:rsid w:val="00AA5E4F"/>
    <w:rsid w:val="00AA71B6"/>
    <w:rsid w:val="00AA77BE"/>
    <w:rsid w:val="00AA798B"/>
    <w:rsid w:val="00AA7A50"/>
    <w:rsid w:val="00AB0BD9"/>
    <w:rsid w:val="00AB0CE2"/>
    <w:rsid w:val="00AB17CF"/>
    <w:rsid w:val="00AB1807"/>
    <w:rsid w:val="00AB1B8A"/>
    <w:rsid w:val="00AB26C2"/>
    <w:rsid w:val="00AB2825"/>
    <w:rsid w:val="00AB2E94"/>
    <w:rsid w:val="00AB30C1"/>
    <w:rsid w:val="00AB342E"/>
    <w:rsid w:val="00AB36F5"/>
    <w:rsid w:val="00AB37AE"/>
    <w:rsid w:val="00AB3977"/>
    <w:rsid w:val="00AB40C2"/>
    <w:rsid w:val="00AB411A"/>
    <w:rsid w:val="00AB4649"/>
    <w:rsid w:val="00AB46AA"/>
    <w:rsid w:val="00AB4D16"/>
    <w:rsid w:val="00AB5DB8"/>
    <w:rsid w:val="00AB5E7C"/>
    <w:rsid w:val="00AB60AF"/>
    <w:rsid w:val="00AB65B5"/>
    <w:rsid w:val="00AB6618"/>
    <w:rsid w:val="00AB677E"/>
    <w:rsid w:val="00AB6795"/>
    <w:rsid w:val="00AB6B19"/>
    <w:rsid w:val="00AB6C82"/>
    <w:rsid w:val="00AB7361"/>
    <w:rsid w:val="00AB75A4"/>
    <w:rsid w:val="00AB796D"/>
    <w:rsid w:val="00AC0592"/>
    <w:rsid w:val="00AC0728"/>
    <w:rsid w:val="00AC08BD"/>
    <w:rsid w:val="00AC0B23"/>
    <w:rsid w:val="00AC11CD"/>
    <w:rsid w:val="00AC1B1D"/>
    <w:rsid w:val="00AC1D97"/>
    <w:rsid w:val="00AC22CC"/>
    <w:rsid w:val="00AC231B"/>
    <w:rsid w:val="00AC297A"/>
    <w:rsid w:val="00AC2AD6"/>
    <w:rsid w:val="00AC3A7B"/>
    <w:rsid w:val="00AC4E7B"/>
    <w:rsid w:val="00AC523B"/>
    <w:rsid w:val="00AC5536"/>
    <w:rsid w:val="00AC5D0D"/>
    <w:rsid w:val="00AC64D3"/>
    <w:rsid w:val="00AC6546"/>
    <w:rsid w:val="00AC6FF1"/>
    <w:rsid w:val="00AC718C"/>
    <w:rsid w:val="00AC7F92"/>
    <w:rsid w:val="00AD024F"/>
    <w:rsid w:val="00AD0364"/>
    <w:rsid w:val="00AD135B"/>
    <w:rsid w:val="00AD2243"/>
    <w:rsid w:val="00AD2255"/>
    <w:rsid w:val="00AD25A1"/>
    <w:rsid w:val="00AD27BD"/>
    <w:rsid w:val="00AD27C4"/>
    <w:rsid w:val="00AD2DFA"/>
    <w:rsid w:val="00AD38AA"/>
    <w:rsid w:val="00AD3B6B"/>
    <w:rsid w:val="00AD3C60"/>
    <w:rsid w:val="00AD45AB"/>
    <w:rsid w:val="00AD4AF8"/>
    <w:rsid w:val="00AD55C9"/>
    <w:rsid w:val="00AD5F86"/>
    <w:rsid w:val="00AD6610"/>
    <w:rsid w:val="00AD664C"/>
    <w:rsid w:val="00AD68DD"/>
    <w:rsid w:val="00AD69B5"/>
    <w:rsid w:val="00AD776F"/>
    <w:rsid w:val="00AD7780"/>
    <w:rsid w:val="00AD7B38"/>
    <w:rsid w:val="00AE004B"/>
    <w:rsid w:val="00AE0567"/>
    <w:rsid w:val="00AE0881"/>
    <w:rsid w:val="00AE1D0F"/>
    <w:rsid w:val="00AE224F"/>
    <w:rsid w:val="00AE2866"/>
    <w:rsid w:val="00AE2A72"/>
    <w:rsid w:val="00AE3CED"/>
    <w:rsid w:val="00AE4149"/>
    <w:rsid w:val="00AE43AF"/>
    <w:rsid w:val="00AE462C"/>
    <w:rsid w:val="00AE4D5C"/>
    <w:rsid w:val="00AE5565"/>
    <w:rsid w:val="00AE5DE6"/>
    <w:rsid w:val="00AE7845"/>
    <w:rsid w:val="00AF0575"/>
    <w:rsid w:val="00AF0824"/>
    <w:rsid w:val="00AF0935"/>
    <w:rsid w:val="00AF0B06"/>
    <w:rsid w:val="00AF0B47"/>
    <w:rsid w:val="00AF14DA"/>
    <w:rsid w:val="00AF2180"/>
    <w:rsid w:val="00AF2301"/>
    <w:rsid w:val="00AF2601"/>
    <w:rsid w:val="00AF29EE"/>
    <w:rsid w:val="00AF30A1"/>
    <w:rsid w:val="00AF32D4"/>
    <w:rsid w:val="00AF3507"/>
    <w:rsid w:val="00AF3F05"/>
    <w:rsid w:val="00AF4191"/>
    <w:rsid w:val="00AF4754"/>
    <w:rsid w:val="00AF48D1"/>
    <w:rsid w:val="00AF49BD"/>
    <w:rsid w:val="00AF510E"/>
    <w:rsid w:val="00AF5188"/>
    <w:rsid w:val="00AF524C"/>
    <w:rsid w:val="00AF5665"/>
    <w:rsid w:val="00AF5F7A"/>
    <w:rsid w:val="00AF63DB"/>
    <w:rsid w:val="00AF7123"/>
    <w:rsid w:val="00AF7555"/>
    <w:rsid w:val="00AF767F"/>
    <w:rsid w:val="00B00398"/>
    <w:rsid w:val="00B007DF"/>
    <w:rsid w:val="00B008C2"/>
    <w:rsid w:val="00B00DC5"/>
    <w:rsid w:val="00B01132"/>
    <w:rsid w:val="00B01AAB"/>
    <w:rsid w:val="00B01BA6"/>
    <w:rsid w:val="00B02332"/>
    <w:rsid w:val="00B02BBC"/>
    <w:rsid w:val="00B02ECA"/>
    <w:rsid w:val="00B04DAE"/>
    <w:rsid w:val="00B04F73"/>
    <w:rsid w:val="00B0528B"/>
    <w:rsid w:val="00B05423"/>
    <w:rsid w:val="00B058DD"/>
    <w:rsid w:val="00B05F9C"/>
    <w:rsid w:val="00B060CF"/>
    <w:rsid w:val="00B064AD"/>
    <w:rsid w:val="00B06D48"/>
    <w:rsid w:val="00B06E53"/>
    <w:rsid w:val="00B06EF3"/>
    <w:rsid w:val="00B0728B"/>
    <w:rsid w:val="00B07D27"/>
    <w:rsid w:val="00B07ECE"/>
    <w:rsid w:val="00B101EA"/>
    <w:rsid w:val="00B105C9"/>
    <w:rsid w:val="00B114E7"/>
    <w:rsid w:val="00B11F5E"/>
    <w:rsid w:val="00B12A3F"/>
    <w:rsid w:val="00B12B73"/>
    <w:rsid w:val="00B12C95"/>
    <w:rsid w:val="00B12DA5"/>
    <w:rsid w:val="00B13EE8"/>
    <w:rsid w:val="00B14184"/>
    <w:rsid w:val="00B14558"/>
    <w:rsid w:val="00B14D26"/>
    <w:rsid w:val="00B15829"/>
    <w:rsid w:val="00B15A12"/>
    <w:rsid w:val="00B15A8E"/>
    <w:rsid w:val="00B16042"/>
    <w:rsid w:val="00B160E7"/>
    <w:rsid w:val="00B1655B"/>
    <w:rsid w:val="00B16993"/>
    <w:rsid w:val="00B16CBF"/>
    <w:rsid w:val="00B16EEE"/>
    <w:rsid w:val="00B173DC"/>
    <w:rsid w:val="00B20069"/>
    <w:rsid w:val="00B20416"/>
    <w:rsid w:val="00B20462"/>
    <w:rsid w:val="00B20D7B"/>
    <w:rsid w:val="00B2140F"/>
    <w:rsid w:val="00B21B7F"/>
    <w:rsid w:val="00B21D6E"/>
    <w:rsid w:val="00B22744"/>
    <w:rsid w:val="00B23BE9"/>
    <w:rsid w:val="00B244BC"/>
    <w:rsid w:val="00B245FB"/>
    <w:rsid w:val="00B2507E"/>
    <w:rsid w:val="00B250D6"/>
    <w:rsid w:val="00B251E7"/>
    <w:rsid w:val="00B25D91"/>
    <w:rsid w:val="00B25F2D"/>
    <w:rsid w:val="00B2649F"/>
    <w:rsid w:val="00B26BB3"/>
    <w:rsid w:val="00B27169"/>
    <w:rsid w:val="00B2751D"/>
    <w:rsid w:val="00B2794C"/>
    <w:rsid w:val="00B27B5C"/>
    <w:rsid w:val="00B27C76"/>
    <w:rsid w:val="00B30A28"/>
    <w:rsid w:val="00B314A9"/>
    <w:rsid w:val="00B3228C"/>
    <w:rsid w:val="00B32362"/>
    <w:rsid w:val="00B3250D"/>
    <w:rsid w:val="00B33B96"/>
    <w:rsid w:val="00B33CA9"/>
    <w:rsid w:val="00B33FD3"/>
    <w:rsid w:val="00B34316"/>
    <w:rsid w:val="00B3543E"/>
    <w:rsid w:val="00B354EE"/>
    <w:rsid w:val="00B35641"/>
    <w:rsid w:val="00B36361"/>
    <w:rsid w:val="00B36698"/>
    <w:rsid w:val="00B36C99"/>
    <w:rsid w:val="00B36D5A"/>
    <w:rsid w:val="00B37A9A"/>
    <w:rsid w:val="00B37C06"/>
    <w:rsid w:val="00B37C5A"/>
    <w:rsid w:val="00B37DB5"/>
    <w:rsid w:val="00B37E80"/>
    <w:rsid w:val="00B40B35"/>
    <w:rsid w:val="00B4189F"/>
    <w:rsid w:val="00B425B0"/>
    <w:rsid w:val="00B42928"/>
    <w:rsid w:val="00B4318C"/>
    <w:rsid w:val="00B43694"/>
    <w:rsid w:val="00B444DC"/>
    <w:rsid w:val="00B4453C"/>
    <w:rsid w:val="00B4494F"/>
    <w:rsid w:val="00B449FE"/>
    <w:rsid w:val="00B44E36"/>
    <w:rsid w:val="00B45299"/>
    <w:rsid w:val="00B454FA"/>
    <w:rsid w:val="00B457F6"/>
    <w:rsid w:val="00B46447"/>
    <w:rsid w:val="00B465AF"/>
    <w:rsid w:val="00B46A84"/>
    <w:rsid w:val="00B46D11"/>
    <w:rsid w:val="00B4718C"/>
    <w:rsid w:val="00B471F2"/>
    <w:rsid w:val="00B47FA1"/>
    <w:rsid w:val="00B50E1F"/>
    <w:rsid w:val="00B51254"/>
    <w:rsid w:val="00B5126E"/>
    <w:rsid w:val="00B51B2F"/>
    <w:rsid w:val="00B51C6D"/>
    <w:rsid w:val="00B52449"/>
    <w:rsid w:val="00B52CAF"/>
    <w:rsid w:val="00B53BEC"/>
    <w:rsid w:val="00B53CB6"/>
    <w:rsid w:val="00B54216"/>
    <w:rsid w:val="00B54895"/>
    <w:rsid w:val="00B549FE"/>
    <w:rsid w:val="00B54A35"/>
    <w:rsid w:val="00B54D80"/>
    <w:rsid w:val="00B55222"/>
    <w:rsid w:val="00B555BF"/>
    <w:rsid w:val="00B55A1D"/>
    <w:rsid w:val="00B560AF"/>
    <w:rsid w:val="00B560FC"/>
    <w:rsid w:val="00B56192"/>
    <w:rsid w:val="00B56A93"/>
    <w:rsid w:val="00B56CF1"/>
    <w:rsid w:val="00B5704E"/>
    <w:rsid w:val="00B57185"/>
    <w:rsid w:val="00B57280"/>
    <w:rsid w:val="00B574E1"/>
    <w:rsid w:val="00B57D76"/>
    <w:rsid w:val="00B57E61"/>
    <w:rsid w:val="00B6009C"/>
    <w:rsid w:val="00B60DBB"/>
    <w:rsid w:val="00B610AB"/>
    <w:rsid w:val="00B616F7"/>
    <w:rsid w:val="00B61AA7"/>
    <w:rsid w:val="00B61CE1"/>
    <w:rsid w:val="00B620DB"/>
    <w:rsid w:val="00B627F2"/>
    <w:rsid w:val="00B62E41"/>
    <w:rsid w:val="00B63473"/>
    <w:rsid w:val="00B6369B"/>
    <w:rsid w:val="00B637F3"/>
    <w:rsid w:val="00B650E9"/>
    <w:rsid w:val="00B651EE"/>
    <w:rsid w:val="00B657A9"/>
    <w:rsid w:val="00B66410"/>
    <w:rsid w:val="00B67CA4"/>
    <w:rsid w:val="00B702E1"/>
    <w:rsid w:val="00B71967"/>
    <w:rsid w:val="00B71ED5"/>
    <w:rsid w:val="00B722D8"/>
    <w:rsid w:val="00B7243A"/>
    <w:rsid w:val="00B72AC6"/>
    <w:rsid w:val="00B72D51"/>
    <w:rsid w:val="00B73641"/>
    <w:rsid w:val="00B7381A"/>
    <w:rsid w:val="00B739D6"/>
    <w:rsid w:val="00B73C0B"/>
    <w:rsid w:val="00B744C4"/>
    <w:rsid w:val="00B74EFF"/>
    <w:rsid w:val="00B75603"/>
    <w:rsid w:val="00B75E4B"/>
    <w:rsid w:val="00B7706F"/>
    <w:rsid w:val="00B77261"/>
    <w:rsid w:val="00B77314"/>
    <w:rsid w:val="00B77A3A"/>
    <w:rsid w:val="00B80CB0"/>
    <w:rsid w:val="00B8103C"/>
    <w:rsid w:val="00B81B34"/>
    <w:rsid w:val="00B81C32"/>
    <w:rsid w:val="00B82642"/>
    <w:rsid w:val="00B826E2"/>
    <w:rsid w:val="00B82C4A"/>
    <w:rsid w:val="00B8312F"/>
    <w:rsid w:val="00B834E5"/>
    <w:rsid w:val="00B83669"/>
    <w:rsid w:val="00B84B1C"/>
    <w:rsid w:val="00B84B36"/>
    <w:rsid w:val="00B8568F"/>
    <w:rsid w:val="00B85BF3"/>
    <w:rsid w:val="00B86089"/>
    <w:rsid w:val="00B862BA"/>
    <w:rsid w:val="00B866C0"/>
    <w:rsid w:val="00B86870"/>
    <w:rsid w:val="00B86A67"/>
    <w:rsid w:val="00B86C7F"/>
    <w:rsid w:val="00B8740E"/>
    <w:rsid w:val="00B87AF8"/>
    <w:rsid w:val="00B87DEE"/>
    <w:rsid w:val="00B90331"/>
    <w:rsid w:val="00B9047A"/>
    <w:rsid w:val="00B90936"/>
    <w:rsid w:val="00B90986"/>
    <w:rsid w:val="00B90B74"/>
    <w:rsid w:val="00B91704"/>
    <w:rsid w:val="00B9189A"/>
    <w:rsid w:val="00B9196F"/>
    <w:rsid w:val="00B919B1"/>
    <w:rsid w:val="00B92E7F"/>
    <w:rsid w:val="00B9335F"/>
    <w:rsid w:val="00B9376A"/>
    <w:rsid w:val="00B937E9"/>
    <w:rsid w:val="00B93E6C"/>
    <w:rsid w:val="00B94083"/>
    <w:rsid w:val="00B94443"/>
    <w:rsid w:val="00B94806"/>
    <w:rsid w:val="00B94831"/>
    <w:rsid w:val="00B94BDF"/>
    <w:rsid w:val="00B952AB"/>
    <w:rsid w:val="00B953E1"/>
    <w:rsid w:val="00B95492"/>
    <w:rsid w:val="00B95606"/>
    <w:rsid w:val="00B95D68"/>
    <w:rsid w:val="00B95E52"/>
    <w:rsid w:val="00B95F5A"/>
    <w:rsid w:val="00B9611D"/>
    <w:rsid w:val="00B9644B"/>
    <w:rsid w:val="00B965F7"/>
    <w:rsid w:val="00B967C2"/>
    <w:rsid w:val="00B9710A"/>
    <w:rsid w:val="00B9768A"/>
    <w:rsid w:val="00B977D6"/>
    <w:rsid w:val="00BA0160"/>
    <w:rsid w:val="00BA0174"/>
    <w:rsid w:val="00BA0395"/>
    <w:rsid w:val="00BA0501"/>
    <w:rsid w:val="00BA0B62"/>
    <w:rsid w:val="00BA1722"/>
    <w:rsid w:val="00BA1772"/>
    <w:rsid w:val="00BA17F0"/>
    <w:rsid w:val="00BA1FDD"/>
    <w:rsid w:val="00BA24EA"/>
    <w:rsid w:val="00BA2C8D"/>
    <w:rsid w:val="00BA2CAC"/>
    <w:rsid w:val="00BA3535"/>
    <w:rsid w:val="00BA3B3C"/>
    <w:rsid w:val="00BA3F15"/>
    <w:rsid w:val="00BA4097"/>
    <w:rsid w:val="00BA4739"/>
    <w:rsid w:val="00BA4B1B"/>
    <w:rsid w:val="00BA4CD4"/>
    <w:rsid w:val="00BA506A"/>
    <w:rsid w:val="00BA5515"/>
    <w:rsid w:val="00BA55FF"/>
    <w:rsid w:val="00BA5A95"/>
    <w:rsid w:val="00BA5EBB"/>
    <w:rsid w:val="00BA5FEA"/>
    <w:rsid w:val="00BA7996"/>
    <w:rsid w:val="00BA7C7E"/>
    <w:rsid w:val="00BB0AC9"/>
    <w:rsid w:val="00BB0CCD"/>
    <w:rsid w:val="00BB232A"/>
    <w:rsid w:val="00BB2785"/>
    <w:rsid w:val="00BB2DBC"/>
    <w:rsid w:val="00BB33EC"/>
    <w:rsid w:val="00BB5412"/>
    <w:rsid w:val="00BB5FA2"/>
    <w:rsid w:val="00BB617B"/>
    <w:rsid w:val="00BB66D2"/>
    <w:rsid w:val="00BB6866"/>
    <w:rsid w:val="00BB721B"/>
    <w:rsid w:val="00BB74DD"/>
    <w:rsid w:val="00BC0159"/>
    <w:rsid w:val="00BC0407"/>
    <w:rsid w:val="00BC0798"/>
    <w:rsid w:val="00BC13F5"/>
    <w:rsid w:val="00BC15B6"/>
    <w:rsid w:val="00BC2076"/>
    <w:rsid w:val="00BC222A"/>
    <w:rsid w:val="00BC2A62"/>
    <w:rsid w:val="00BC2B16"/>
    <w:rsid w:val="00BC2C63"/>
    <w:rsid w:val="00BC2F6C"/>
    <w:rsid w:val="00BC30F9"/>
    <w:rsid w:val="00BC3125"/>
    <w:rsid w:val="00BC39D4"/>
    <w:rsid w:val="00BC3EE8"/>
    <w:rsid w:val="00BC441F"/>
    <w:rsid w:val="00BC45DD"/>
    <w:rsid w:val="00BC4A9D"/>
    <w:rsid w:val="00BC4B4B"/>
    <w:rsid w:val="00BC4DBB"/>
    <w:rsid w:val="00BC5B87"/>
    <w:rsid w:val="00BC5C21"/>
    <w:rsid w:val="00BC5D81"/>
    <w:rsid w:val="00BC61D6"/>
    <w:rsid w:val="00BC67C0"/>
    <w:rsid w:val="00BC6D3F"/>
    <w:rsid w:val="00BC6FEB"/>
    <w:rsid w:val="00BC70D3"/>
    <w:rsid w:val="00BC720D"/>
    <w:rsid w:val="00BC7F1E"/>
    <w:rsid w:val="00BC7FAF"/>
    <w:rsid w:val="00BC7FF9"/>
    <w:rsid w:val="00BD0230"/>
    <w:rsid w:val="00BD0AFE"/>
    <w:rsid w:val="00BD1815"/>
    <w:rsid w:val="00BD1C9D"/>
    <w:rsid w:val="00BD1CED"/>
    <w:rsid w:val="00BD2287"/>
    <w:rsid w:val="00BD38D2"/>
    <w:rsid w:val="00BD3AE9"/>
    <w:rsid w:val="00BD411C"/>
    <w:rsid w:val="00BD46DC"/>
    <w:rsid w:val="00BD4898"/>
    <w:rsid w:val="00BD49CF"/>
    <w:rsid w:val="00BD4C88"/>
    <w:rsid w:val="00BD4CDD"/>
    <w:rsid w:val="00BD4CF7"/>
    <w:rsid w:val="00BD50F7"/>
    <w:rsid w:val="00BD54C1"/>
    <w:rsid w:val="00BD5573"/>
    <w:rsid w:val="00BD5975"/>
    <w:rsid w:val="00BD5A0C"/>
    <w:rsid w:val="00BD6041"/>
    <w:rsid w:val="00BD683D"/>
    <w:rsid w:val="00BD6A8C"/>
    <w:rsid w:val="00BD6FB9"/>
    <w:rsid w:val="00BD6FD3"/>
    <w:rsid w:val="00BD7435"/>
    <w:rsid w:val="00BD78B1"/>
    <w:rsid w:val="00BE03F5"/>
    <w:rsid w:val="00BE0B76"/>
    <w:rsid w:val="00BE173A"/>
    <w:rsid w:val="00BE2ABD"/>
    <w:rsid w:val="00BE2DCE"/>
    <w:rsid w:val="00BE3312"/>
    <w:rsid w:val="00BE370A"/>
    <w:rsid w:val="00BE3A6A"/>
    <w:rsid w:val="00BE3E43"/>
    <w:rsid w:val="00BE4BCF"/>
    <w:rsid w:val="00BE5334"/>
    <w:rsid w:val="00BE5FAC"/>
    <w:rsid w:val="00BE60E6"/>
    <w:rsid w:val="00BE6136"/>
    <w:rsid w:val="00BE653A"/>
    <w:rsid w:val="00BE661F"/>
    <w:rsid w:val="00BE6FDE"/>
    <w:rsid w:val="00BE744A"/>
    <w:rsid w:val="00BE796D"/>
    <w:rsid w:val="00BF0441"/>
    <w:rsid w:val="00BF0F7C"/>
    <w:rsid w:val="00BF1186"/>
    <w:rsid w:val="00BF1236"/>
    <w:rsid w:val="00BF2842"/>
    <w:rsid w:val="00BF29B8"/>
    <w:rsid w:val="00BF3B31"/>
    <w:rsid w:val="00BF3F81"/>
    <w:rsid w:val="00BF3FF2"/>
    <w:rsid w:val="00BF46C1"/>
    <w:rsid w:val="00BF4D5B"/>
    <w:rsid w:val="00BF4EC3"/>
    <w:rsid w:val="00BF521C"/>
    <w:rsid w:val="00BF52DB"/>
    <w:rsid w:val="00BF53DE"/>
    <w:rsid w:val="00BF58C5"/>
    <w:rsid w:val="00BF5CC0"/>
    <w:rsid w:val="00BF7135"/>
    <w:rsid w:val="00C000A3"/>
    <w:rsid w:val="00C000EA"/>
    <w:rsid w:val="00C000F4"/>
    <w:rsid w:val="00C012FD"/>
    <w:rsid w:val="00C01EBC"/>
    <w:rsid w:val="00C02302"/>
    <w:rsid w:val="00C031B3"/>
    <w:rsid w:val="00C0337C"/>
    <w:rsid w:val="00C03936"/>
    <w:rsid w:val="00C03E7D"/>
    <w:rsid w:val="00C04205"/>
    <w:rsid w:val="00C044CC"/>
    <w:rsid w:val="00C05567"/>
    <w:rsid w:val="00C0575B"/>
    <w:rsid w:val="00C067EE"/>
    <w:rsid w:val="00C0750D"/>
    <w:rsid w:val="00C075BB"/>
    <w:rsid w:val="00C0765E"/>
    <w:rsid w:val="00C10139"/>
    <w:rsid w:val="00C10598"/>
    <w:rsid w:val="00C1084F"/>
    <w:rsid w:val="00C10A68"/>
    <w:rsid w:val="00C1126E"/>
    <w:rsid w:val="00C11607"/>
    <w:rsid w:val="00C11743"/>
    <w:rsid w:val="00C11C26"/>
    <w:rsid w:val="00C11F83"/>
    <w:rsid w:val="00C127C7"/>
    <w:rsid w:val="00C12DE0"/>
    <w:rsid w:val="00C1336F"/>
    <w:rsid w:val="00C1460A"/>
    <w:rsid w:val="00C14654"/>
    <w:rsid w:val="00C14748"/>
    <w:rsid w:val="00C14E5B"/>
    <w:rsid w:val="00C151C3"/>
    <w:rsid w:val="00C156C9"/>
    <w:rsid w:val="00C158FC"/>
    <w:rsid w:val="00C15ACE"/>
    <w:rsid w:val="00C15B34"/>
    <w:rsid w:val="00C15B8C"/>
    <w:rsid w:val="00C1640F"/>
    <w:rsid w:val="00C16E39"/>
    <w:rsid w:val="00C17730"/>
    <w:rsid w:val="00C17A80"/>
    <w:rsid w:val="00C17C79"/>
    <w:rsid w:val="00C17DD3"/>
    <w:rsid w:val="00C201E2"/>
    <w:rsid w:val="00C204AB"/>
    <w:rsid w:val="00C204C2"/>
    <w:rsid w:val="00C20672"/>
    <w:rsid w:val="00C2112C"/>
    <w:rsid w:val="00C215CC"/>
    <w:rsid w:val="00C2296E"/>
    <w:rsid w:val="00C22B2C"/>
    <w:rsid w:val="00C22CB7"/>
    <w:rsid w:val="00C23038"/>
    <w:rsid w:val="00C236A4"/>
    <w:rsid w:val="00C23BE3"/>
    <w:rsid w:val="00C24139"/>
    <w:rsid w:val="00C24210"/>
    <w:rsid w:val="00C242EC"/>
    <w:rsid w:val="00C2450C"/>
    <w:rsid w:val="00C248CB"/>
    <w:rsid w:val="00C249E3"/>
    <w:rsid w:val="00C2560C"/>
    <w:rsid w:val="00C256B3"/>
    <w:rsid w:val="00C264BB"/>
    <w:rsid w:val="00C267A5"/>
    <w:rsid w:val="00C2697A"/>
    <w:rsid w:val="00C26A71"/>
    <w:rsid w:val="00C276A5"/>
    <w:rsid w:val="00C27736"/>
    <w:rsid w:val="00C30504"/>
    <w:rsid w:val="00C306FA"/>
    <w:rsid w:val="00C30805"/>
    <w:rsid w:val="00C30B47"/>
    <w:rsid w:val="00C30CCC"/>
    <w:rsid w:val="00C31433"/>
    <w:rsid w:val="00C314B5"/>
    <w:rsid w:val="00C31DB4"/>
    <w:rsid w:val="00C32B52"/>
    <w:rsid w:val="00C33B94"/>
    <w:rsid w:val="00C33F3D"/>
    <w:rsid w:val="00C341FA"/>
    <w:rsid w:val="00C34520"/>
    <w:rsid w:val="00C35093"/>
    <w:rsid w:val="00C35F1A"/>
    <w:rsid w:val="00C3616A"/>
    <w:rsid w:val="00C3682A"/>
    <w:rsid w:val="00C368DA"/>
    <w:rsid w:val="00C370B4"/>
    <w:rsid w:val="00C3776E"/>
    <w:rsid w:val="00C405E4"/>
    <w:rsid w:val="00C4081A"/>
    <w:rsid w:val="00C418FB"/>
    <w:rsid w:val="00C42614"/>
    <w:rsid w:val="00C428CE"/>
    <w:rsid w:val="00C42EC2"/>
    <w:rsid w:val="00C44132"/>
    <w:rsid w:val="00C44774"/>
    <w:rsid w:val="00C44E76"/>
    <w:rsid w:val="00C4531C"/>
    <w:rsid w:val="00C453A2"/>
    <w:rsid w:val="00C453C4"/>
    <w:rsid w:val="00C45722"/>
    <w:rsid w:val="00C457CB"/>
    <w:rsid w:val="00C459E9"/>
    <w:rsid w:val="00C4610E"/>
    <w:rsid w:val="00C46855"/>
    <w:rsid w:val="00C4694A"/>
    <w:rsid w:val="00C46A6C"/>
    <w:rsid w:val="00C4709E"/>
    <w:rsid w:val="00C4791F"/>
    <w:rsid w:val="00C47EC3"/>
    <w:rsid w:val="00C50075"/>
    <w:rsid w:val="00C51312"/>
    <w:rsid w:val="00C51474"/>
    <w:rsid w:val="00C516F1"/>
    <w:rsid w:val="00C5173B"/>
    <w:rsid w:val="00C51841"/>
    <w:rsid w:val="00C518FF"/>
    <w:rsid w:val="00C52754"/>
    <w:rsid w:val="00C52BDA"/>
    <w:rsid w:val="00C52FA4"/>
    <w:rsid w:val="00C532B4"/>
    <w:rsid w:val="00C533AF"/>
    <w:rsid w:val="00C53447"/>
    <w:rsid w:val="00C53AB3"/>
    <w:rsid w:val="00C54460"/>
    <w:rsid w:val="00C54733"/>
    <w:rsid w:val="00C55647"/>
    <w:rsid w:val="00C557BF"/>
    <w:rsid w:val="00C55A17"/>
    <w:rsid w:val="00C55A25"/>
    <w:rsid w:val="00C55E40"/>
    <w:rsid w:val="00C56509"/>
    <w:rsid w:val="00C566C5"/>
    <w:rsid w:val="00C567CE"/>
    <w:rsid w:val="00C569E8"/>
    <w:rsid w:val="00C5737E"/>
    <w:rsid w:val="00C578F6"/>
    <w:rsid w:val="00C57B1E"/>
    <w:rsid w:val="00C57D3B"/>
    <w:rsid w:val="00C57FB9"/>
    <w:rsid w:val="00C60175"/>
    <w:rsid w:val="00C61143"/>
    <w:rsid w:val="00C614D3"/>
    <w:rsid w:val="00C621ED"/>
    <w:rsid w:val="00C6370B"/>
    <w:rsid w:val="00C642DE"/>
    <w:rsid w:val="00C643FD"/>
    <w:rsid w:val="00C644DB"/>
    <w:rsid w:val="00C64E17"/>
    <w:rsid w:val="00C6513B"/>
    <w:rsid w:val="00C65196"/>
    <w:rsid w:val="00C65422"/>
    <w:rsid w:val="00C65A78"/>
    <w:rsid w:val="00C665AA"/>
    <w:rsid w:val="00C66730"/>
    <w:rsid w:val="00C66C58"/>
    <w:rsid w:val="00C67020"/>
    <w:rsid w:val="00C67E01"/>
    <w:rsid w:val="00C67F91"/>
    <w:rsid w:val="00C70085"/>
    <w:rsid w:val="00C715A2"/>
    <w:rsid w:val="00C71759"/>
    <w:rsid w:val="00C717E9"/>
    <w:rsid w:val="00C71E3C"/>
    <w:rsid w:val="00C71EF5"/>
    <w:rsid w:val="00C71FCE"/>
    <w:rsid w:val="00C7243E"/>
    <w:rsid w:val="00C7247E"/>
    <w:rsid w:val="00C72B4B"/>
    <w:rsid w:val="00C72F5B"/>
    <w:rsid w:val="00C73018"/>
    <w:rsid w:val="00C73205"/>
    <w:rsid w:val="00C73876"/>
    <w:rsid w:val="00C73B1D"/>
    <w:rsid w:val="00C741BD"/>
    <w:rsid w:val="00C74642"/>
    <w:rsid w:val="00C74724"/>
    <w:rsid w:val="00C74BD4"/>
    <w:rsid w:val="00C75473"/>
    <w:rsid w:val="00C75D18"/>
    <w:rsid w:val="00C7653E"/>
    <w:rsid w:val="00C7731B"/>
    <w:rsid w:val="00C77483"/>
    <w:rsid w:val="00C77DDA"/>
    <w:rsid w:val="00C77F7A"/>
    <w:rsid w:val="00C77FB5"/>
    <w:rsid w:val="00C81032"/>
    <w:rsid w:val="00C8172F"/>
    <w:rsid w:val="00C81745"/>
    <w:rsid w:val="00C8228D"/>
    <w:rsid w:val="00C825C8"/>
    <w:rsid w:val="00C826CA"/>
    <w:rsid w:val="00C828A8"/>
    <w:rsid w:val="00C82AE3"/>
    <w:rsid w:val="00C82DB5"/>
    <w:rsid w:val="00C82DDB"/>
    <w:rsid w:val="00C8472D"/>
    <w:rsid w:val="00C84BE5"/>
    <w:rsid w:val="00C84C2E"/>
    <w:rsid w:val="00C85784"/>
    <w:rsid w:val="00C85DCA"/>
    <w:rsid w:val="00C85F12"/>
    <w:rsid w:val="00C86A13"/>
    <w:rsid w:val="00C86B18"/>
    <w:rsid w:val="00C86C56"/>
    <w:rsid w:val="00C86D73"/>
    <w:rsid w:val="00C877E8"/>
    <w:rsid w:val="00C87FCA"/>
    <w:rsid w:val="00C90C6E"/>
    <w:rsid w:val="00C924D9"/>
    <w:rsid w:val="00C93721"/>
    <w:rsid w:val="00C93DEE"/>
    <w:rsid w:val="00C94331"/>
    <w:rsid w:val="00C9443C"/>
    <w:rsid w:val="00C94572"/>
    <w:rsid w:val="00C94F48"/>
    <w:rsid w:val="00C95B73"/>
    <w:rsid w:val="00C95D6A"/>
    <w:rsid w:val="00C96493"/>
    <w:rsid w:val="00C96EF0"/>
    <w:rsid w:val="00C970E2"/>
    <w:rsid w:val="00C97EF0"/>
    <w:rsid w:val="00CA0B6F"/>
    <w:rsid w:val="00CA1029"/>
    <w:rsid w:val="00CA1032"/>
    <w:rsid w:val="00CA131D"/>
    <w:rsid w:val="00CA19A9"/>
    <w:rsid w:val="00CA1ED3"/>
    <w:rsid w:val="00CA1F7B"/>
    <w:rsid w:val="00CA2011"/>
    <w:rsid w:val="00CA23DF"/>
    <w:rsid w:val="00CA25D7"/>
    <w:rsid w:val="00CA2709"/>
    <w:rsid w:val="00CA2FA6"/>
    <w:rsid w:val="00CA30DC"/>
    <w:rsid w:val="00CA31A5"/>
    <w:rsid w:val="00CA3500"/>
    <w:rsid w:val="00CA37E4"/>
    <w:rsid w:val="00CA385C"/>
    <w:rsid w:val="00CA3DA4"/>
    <w:rsid w:val="00CA3E08"/>
    <w:rsid w:val="00CA46AD"/>
    <w:rsid w:val="00CA4AE7"/>
    <w:rsid w:val="00CA4B7D"/>
    <w:rsid w:val="00CA51F8"/>
    <w:rsid w:val="00CA6136"/>
    <w:rsid w:val="00CA6196"/>
    <w:rsid w:val="00CA6377"/>
    <w:rsid w:val="00CA694D"/>
    <w:rsid w:val="00CA74AE"/>
    <w:rsid w:val="00CA7882"/>
    <w:rsid w:val="00CA78FF"/>
    <w:rsid w:val="00CA7AD7"/>
    <w:rsid w:val="00CA7D95"/>
    <w:rsid w:val="00CA7E64"/>
    <w:rsid w:val="00CB017B"/>
    <w:rsid w:val="00CB03ED"/>
    <w:rsid w:val="00CB0989"/>
    <w:rsid w:val="00CB1094"/>
    <w:rsid w:val="00CB1571"/>
    <w:rsid w:val="00CB1606"/>
    <w:rsid w:val="00CB1924"/>
    <w:rsid w:val="00CB1D58"/>
    <w:rsid w:val="00CB217C"/>
    <w:rsid w:val="00CB2EDE"/>
    <w:rsid w:val="00CB3150"/>
    <w:rsid w:val="00CB3541"/>
    <w:rsid w:val="00CB370E"/>
    <w:rsid w:val="00CB3A82"/>
    <w:rsid w:val="00CB3B4F"/>
    <w:rsid w:val="00CB3F61"/>
    <w:rsid w:val="00CB4060"/>
    <w:rsid w:val="00CB45E8"/>
    <w:rsid w:val="00CB4930"/>
    <w:rsid w:val="00CB580F"/>
    <w:rsid w:val="00CB5E01"/>
    <w:rsid w:val="00CB606F"/>
    <w:rsid w:val="00CB63BA"/>
    <w:rsid w:val="00CB66C3"/>
    <w:rsid w:val="00CB68D1"/>
    <w:rsid w:val="00CB6A9B"/>
    <w:rsid w:val="00CB6AB6"/>
    <w:rsid w:val="00CB6F1A"/>
    <w:rsid w:val="00CB6F24"/>
    <w:rsid w:val="00CB735E"/>
    <w:rsid w:val="00CC0CBC"/>
    <w:rsid w:val="00CC274F"/>
    <w:rsid w:val="00CC29B2"/>
    <w:rsid w:val="00CC3361"/>
    <w:rsid w:val="00CC375C"/>
    <w:rsid w:val="00CC3995"/>
    <w:rsid w:val="00CC3B18"/>
    <w:rsid w:val="00CC3BA4"/>
    <w:rsid w:val="00CC3D4C"/>
    <w:rsid w:val="00CC3FCD"/>
    <w:rsid w:val="00CC4348"/>
    <w:rsid w:val="00CC4BA2"/>
    <w:rsid w:val="00CC5788"/>
    <w:rsid w:val="00CC58E8"/>
    <w:rsid w:val="00CC5BA6"/>
    <w:rsid w:val="00CC6152"/>
    <w:rsid w:val="00CC6A50"/>
    <w:rsid w:val="00CC6B78"/>
    <w:rsid w:val="00CC6B7A"/>
    <w:rsid w:val="00CC6BDE"/>
    <w:rsid w:val="00CC6EAB"/>
    <w:rsid w:val="00CC79EB"/>
    <w:rsid w:val="00CC7BFE"/>
    <w:rsid w:val="00CC7EF2"/>
    <w:rsid w:val="00CD07EE"/>
    <w:rsid w:val="00CD099E"/>
    <w:rsid w:val="00CD0A69"/>
    <w:rsid w:val="00CD0F05"/>
    <w:rsid w:val="00CD16B8"/>
    <w:rsid w:val="00CD20E3"/>
    <w:rsid w:val="00CD239E"/>
    <w:rsid w:val="00CD267F"/>
    <w:rsid w:val="00CD3285"/>
    <w:rsid w:val="00CD3860"/>
    <w:rsid w:val="00CD4161"/>
    <w:rsid w:val="00CD419B"/>
    <w:rsid w:val="00CD4349"/>
    <w:rsid w:val="00CD477A"/>
    <w:rsid w:val="00CD48A6"/>
    <w:rsid w:val="00CD567B"/>
    <w:rsid w:val="00CD5A38"/>
    <w:rsid w:val="00CD5DE0"/>
    <w:rsid w:val="00CD653F"/>
    <w:rsid w:val="00CD668E"/>
    <w:rsid w:val="00CD7512"/>
    <w:rsid w:val="00CD759B"/>
    <w:rsid w:val="00CD7D58"/>
    <w:rsid w:val="00CE05F2"/>
    <w:rsid w:val="00CE1402"/>
    <w:rsid w:val="00CE1634"/>
    <w:rsid w:val="00CE1924"/>
    <w:rsid w:val="00CE204B"/>
    <w:rsid w:val="00CE2403"/>
    <w:rsid w:val="00CE292A"/>
    <w:rsid w:val="00CE2986"/>
    <w:rsid w:val="00CE2DA4"/>
    <w:rsid w:val="00CE314E"/>
    <w:rsid w:val="00CE33AA"/>
    <w:rsid w:val="00CE3500"/>
    <w:rsid w:val="00CE422A"/>
    <w:rsid w:val="00CE469F"/>
    <w:rsid w:val="00CE494E"/>
    <w:rsid w:val="00CE55D6"/>
    <w:rsid w:val="00CE57D0"/>
    <w:rsid w:val="00CE57D9"/>
    <w:rsid w:val="00CE61B2"/>
    <w:rsid w:val="00CE6D76"/>
    <w:rsid w:val="00CE771E"/>
    <w:rsid w:val="00CE7855"/>
    <w:rsid w:val="00CE7F10"/>
    <w:rsid w:val="00CF1F30"/>
    <w:rsid w:val="00CF2095"/>
    <w:rsid w:val="00CF20CA"/>
    <w:rsid w:val="00CF2329"/>
    <w:rsid w:val="00CF29D2"/>
    <w:rsid w:val="00CF3E0B"/>
    <w:rsid w:val="00CF40B4"/>
    <w:rsid w:val="00CF50DC"/>
    <w:rsid w:val="00CF53CE"/>
    <w:rsid w:val="00CF5BC0"/>
    <w:rsid w:val="00CF5D2D"/>
    <w:rsid w:val="00CF6C50"/>
    <w:rsid w:val="00CF6E55"/>
    <w:rsid w:val="00CF79A9"/>
    <w:rsid w:val="00D00946"/>
    <w:rsid w:val="00D009F3"/>
    <w:rsid w:val="00D00BE3"/>
    <w:rsid w:val="00D00DF8"/>
    <w:rsid w:val="00D012F2"/>
    <w:rsid w:val="00D0184F"/>
    <w:rsid w:val="00D019DE"/>
    <w:rsid w:val="00D02221"/>
    <w:rsid w:val="00D023C1"/>
    <w:rsid w:val="00D0451F"/>
    <w:rsid w:val="00D045E0"/>
    <w:rsid w:val="00D057DD"/>
    <w:rsid w:val="00D05871"/>
    <w:rsid w:val="00D06142"/>
    <w:rsid w:val="00D06664"/>
    <w:rsid w:val="00D0701A"/>
    <w:rsid w:val="00D10538"/>
    <w:rsid w:val="00D105C5"/>
    <w:rsid w:val="00D11076"/>
    <w:rsid w:val="00D12499"/>
    <w:rsid w:val="00D126D1"/>
    <w:rsid w:val="00D12955"/>
    <w:rsid w:val="00D12D1C"/>
    <w:rsid w:val="00D1581A"/>
    <w:rsid w:val="00D15A62"/>
    <w:rsid w:val="00D16240"/>
    <w:rsid w:val="00D165C8"/>
    <w:rsid w:val="00D1729C"/>
    <w:rsid w:val="00D17F14"/>
    <w:rsid w:val="00D203BF"/>
    <w:rsid w:val="00D20C53"/>
    <w:rsid w:val="00D21630"/>
    <w:rsid w:val="00D21812"/>
    <w:rsid w:val="00D21DD8"/>
    <w:rsid w:val="00D21F4F"/>
    <w:rsid w:val="00D2222E"/>
    <w:rsid w:val="00D2282F"/>
    <w:rsid w:val="00D22AAB"/>
    <w:rsid w:val="00D22AEB"/>
    <w:rsid w:val="00D231DF"/>
    <w:rsid w:val="00D2349B"/>
    <w:rsid w:val="00D23584"/>
    <w:rsid w:val="00D23F6C"/>
    <w:rsid w:val="00D242BA"/>
    <w:rsid w:val="00D24A8B"/>
    <w:rsid w:val="00D24DE7"/>
    <w:rsid w:val="00D24ECF"/>
    <w:rsid w:val="00D2542A"/>
    <w:rsid w:val="00D25686"/>
    <w:rsid w:val="00D258C0"/>
    <w:rsid w:val="00D25D10"/>
    <w:rsid w:val="00D26692"/>
    <w:rsid w:val="00D27F11"/>
    <w:rsid w:val="00D307D1"/>
    <w:rsid w:val="00D30AB1"/>
    <w:rsid w:val="00D31205"/>
    <w:rsid w:val="00D3128C"/>
    <w:rsid w:val="00D3163C"/>
    <w:rsid w:val="00D32D4A"/>
    <w:rsid w:val="00D345BF"/>
    <w:rsid w:val="00D34A01"/>
    <w:rsid w:val="00D34FF9"/>
    <w:rsid w:val="00D35158"/>
    <w:rsid w:val="00D35350"/>
    <w:rsid w:val="00D35CAA"/>
    <w:rsid w:val="00D3656F"/>
    <w:rsid w:val="00D36F3F"/>
    <w:rsid w:val="00D36FE1"/>
    <w:rsid w:val="00D372F0"/>
    <w:rsid w:val="00D373CE"/>
    <w:rsid w:val="00D374C2"/>
    <w:rsid w:val="00D3773F"/>
    <w:rsid w:val="00D37907"/>
    <w:rsid w:val="00D379C9"/>
    <w:rsid w:val="00D37B0E"/>
    <w:rsid w:val="00D4022C"/>
    <w:rsid w:val="00D40288"/>
    <w:rsid w:val="00D403ED"/>
    <w:rsid w:val="00D406C0"/>
    <w:rsid w:val="00D4106B"/>
    <w:rsid w:val="00D41A6B"/>
    <w:rsid w:val="00D41C41"/>
    <w:rsid w:val="00D41C7D"/>
    <w:rsid w:val="00D41EF1"/>
    <w:rsid w:val="00D41FAD"/>
    <w:rsid w:val="00D41FC1"/>
    <w:rsid w:val="00D421AE"/>
    <w:rsid w:val="00D424D9"/>
    <w:rsid w:val="00D4251F"/>
    <w:rsid w:val="00D42785"/>
    <w:rsid w:val="00D43281"/>
    <w:rsid w:val="00D43A48"/>
    <w:rsid w:val="00D43A8A"/>
    <w:rsid w:val="00D44873"/>
    <w:rsid w:val="00D45AFF"/>
    <w:rsid w:val="00D4665F"/>
    <w:rsid w:val="00D47239"/>
    <w:rsid w:val="00D4758E"/>
    <w:rsid w:val="00D47EAE"/>
    <w:rsid w:val="00D505BD"/>
    <w:rsid w:val="00D50CC4"/>
    <w:rsid w:val="00D5119F"/>
    <w:rsid w:val="00D514AA"/>
    <w:rsid w:val="00D5189C"/>
    <w:rsid w:val="00D51B34"/>
    <w:rsid w:val="00D51EEC"/>
    <w:rsid w:val="00D51EF9"/>
    <w:rsid w:val="00D523B5"/>
    <w:rsid w:val="00D52E57"/>
    <w:rsid w:val="00D5306A"/>
    <w:rsid w:val="00D533AC"/>
    <w:rsid w:val="00D53D9B"/>
    <w:rsid w:val="00D54085"/>
    <w:rsid w:val="00D54B46"/>
    <w:rsid w:val="00D54DB3"/>
    <w:rsid w:val="00D552AC"/>
    <w:rsid w:val="00D55A0A"/>
    <w:rsid w:val="00D564C7"/>
    <w:rsid w:val="00D56707"/>
    <w:rsid w:val="00D56954"/>
    <w:rsid w:val="00D5736C"/>
    <w:rsid w:val="00D57DCE"/>
    <w:rsid w:val="00D60168"/>
    <w:rsid w:val="00D60D68"/>
    <w:rsid w:val="00D61461"/>
    <w:rsid w:val="00D61ECF"/>
    <w:rsid w:val="00D6246D"/>
    <w:rsid w:val="00D62B5F"/>
    <w:rsid w:val="00D62D17"/>
    <w:rsid w:val="00D62EF2"/>
    <w:rsid w:val="00D633B8"/>
    <w:rsid w:val="00D635DB"/>
    <w:rsid w:val="00D645E3"/>
    <w:rsid w:val="00D64B63"/>
    <w:rsid w:val="00D64FB8"/>
    <w:rsid w:val="00D6578F"/>
    <w:rsid w:val="00D65DCD"/>
    <w:rsid w:val="00D664B3"/>
    <w:rsid w:val="00D6658B"/>
    <w:rsid w:val="00D66B51"/>
    <w:rsid w:val="00D66E9D"/>
    <w:rsid w:val="00D6774B"/>
    <w:rsid w:val="00D701C7"/>
    <w:rsid w:val="00D70B17"/>
    <w:rsid w:val="00D71DD6"/>
    <w:rsid w:val="00D72144"/>
    <w:rsid w:val="00D72201"/>
    <w:rsid w:val="00D723C7"/>
    <w:rsid w:val="00D72510"/>
    <w:rsid w:val="00D7295D"/>
    <w:rsid w:val="00D72EBC"/>
    <w:rsid w:val="00D73707"/>
    <w:rsid w:val="00D73713"/>
    <w:rsid w:val="00D7413D"/>
    <w:rsid w:val="00D743BB"/>
    <w:rsid w:val="00D744EE"/>
    <w:rsid w:val="00D74530"/>
    <w:rsid w:val="00D7486B"/>
    <w:rsid w:val="00D74BA9"/>
    <w:rsid w:val="00D755AE"/>
    <w:rsid w:val="00D76355"/>
    <w:rsid w:val="00D76B6A"/>
    <w:rsid w:val="00D77BA5"/>
    <w:rsid w:val="00D77C92"/>
    <w:rsid w:val="00D80E4A"/>
    <w:rsid w:val="00D810E9"/>
    <w:rsid w:val="00D8139B"/>
    <w:rsid w:val="00D8139F"/>
    <w:rsid w:val="00D81419"/>
    <w:rsid w:val="00D81754"/>
    <w:rsid w:val="00D81BE8"/>
    <w:rsid w:val="00D8218E"/>
    <w:rsid w:val="00D821A8"/>
    <w:rsid w:val="00D82636"/>
    <w:rsid w:val="00D82735"/>
    <w:rsid w:val="00D82A99"/>
    <w:rsid w:val="00D82B9C"/>
    <w:rsid w:val="00D833CF"/>
    <w:rsid w:val="00D8393E"/>
    <w:rsid w:val="00D83A15"/>
    <w:rsid w:val="00D84365"/>
    <w:rsid w:val="00D84467"/>
    <w:rsid w:val="00D84976"/>
    <w:rsid w:val="00D84D1A"/>
    <w:rsid w:val="00D86490"/>
    <w:rsid w:val="00D8697C"/>
    <w:rsid w:val="00D86BE9"/>
    <w:rsid w:val="00D87149"/>
    <w:rsid w:val="00D8729C"/>
    <w:rsid w:val="00D873AF"/>
    <w:rsid w:val="00D87A3D"/>
    <w:rsid w:val="00D9006D"/>
    <w:rsid w:val="00D9019C"/>
    <w:rsid w:val="00D90DD2"/>
    <w:rsid w:val="00D910B6"/>
    <w:rsid w:val="00D91371"/>
    <w:rsid w:val="00D921C6"/>
    <w:rsid w:val="00D93380"/>
    <w:rsid w:val="00D9343A"/>
    <w:rsid w:val="00D948E7"/>
    <w:rsid w:val="00D94BBF"/>
    <w:rsid w:val="00D94F1C"/>
    <w:rsid w:val="00D95701"/>
    <w:rsid w:val="00D959A9"/>
    <w:rsid w:val="00D9753D"/>
    <w:rsid w:val="00D979A9"/>
    <w:rsid w:val="00D97E66"/>
    <w:rsid w:val="00DA007B"/>
    <w:rsid w:val="00DA0677"/>
    <w:rsid w:val="00DA0823"/>
    <w:rsid w:val="00DA0E73"/>
    <w:rsid w:val="00DA1DC6"/>
    <w:rsid w:val="00DA1E4D"/>
    <w:rsid w:val="00DA1ECE"/>
    <w:rsid w:val="00DA2169"/>
    <w:rsid w:val="00DA235D"/>
    <w:rsid w:val="00DA256C"/>
    <w:rsid w:val="00DA2A9E"/>
    <w:rsid w:val="00DA2DC9"/>
    <w:rsid w:val="00DA36FD"/>
    <w:rsid w:val="00DA3A1A"/>
    <w:rsid w:val="00DA3B39"/>
    <w:rsid w:val="00DA404F"/>
    <w:rsid w:val="00DA42F8"/>
    <w:rsid w:val="00DA47E9"/>
    <w:rsid w:val="00DA4D34"/>
    <w:rsid w:val="00DA50D2"/>
    <w:rsid w:val="00DA592E"/>
    <w:rsid w:val="00DA616B"/>
    <w:rsid w:val="00DA669A"/>
    <w:rsid w:val="00DA7ADE"/>
    <w:rsid w:val="00DA7E27"/>
    <w:rsid w:val="00DB00D3"/>
    <w:rsid w:val="00DB082C"/>
    <w:rsid w:val="00DB0885"/>
    <w:rsid w:val="00DB0890"/>
    <w:rsid w:val="00DB0ECA"/>
    <w:rsid w:val="00DB1F92"/>
    <w:rsid w:val="00DB2BEE"/>
    <w:rsid w:val="00DB2CC7"/>
    <w:rsid w:val="00DB2D45"/>
    <w:rsid w:val="00DB3374"/>
    <w:rsid w:val="00DB34D5"/>
    <w:rsid w:val="00DB35E9"/>
    <w:rsid w:val="00DB38C7"/>
    <w:rsid w:val="00DB3B53"/>
    <w:rsid w:val="00DB493E"/>
    <w:rsid w:val="00DB4A13"/>
    <w:rsid w:val="00DB4B91"/>
    <w:rsid w:val="00DB4F30"/>
    <w:rsid w:val="00DB595D"/>
    <w:rsid w:val="00DB5A06"/>
    <w:rsid w:val="00DB615E"/>
    <w:rsid w:val="00DB66CF"/>
    <w:rsid w:val="00DB6DAA"/>
    <w:rsid w:val="00DB6F26"/>
    <w:rsid w:val="00DB7B04"/>
    <w:rsid w:val="00DB7CAE"/>
    <w:rsid w:val="00DC05E5"/>
    <w:rsid w:val="00DC065A"/>
    <w:rsid w:val="00DC0878"/>
    <w:rsid w:val="00DC0FA7"/>
    <w:rsid w:val="00DC1B61"/>
    <w:rsid w:val="00DC1E60"/>
    <w:rsid w:val="00DC25C0"/>
    <w:rsid w:val="00DC2678"/>
    <w:rsid w:val="00DC289E"/>
    <w:rsid w:val="00DC295A"/>
    <w:rsid w:val="00DC2B0F"/>
    <w:rsid w:val="00DC2CFF"/>
    <w:rsid w:val="00DC5520"/>
    <w:rsid w:val="00DC74DD"/>
    <w:rsid w:val="00DC7DF7"/>
    <w:rsid w:val="00DD08CF"/>
    <w:rsid w:val="00DD0B96"/>
    <w:rsid w:val="00DD0D9C"/>
    <w:rsid w:val="00DD0E68"/>
    <w:rsid w:val="00DD0EF5"/>
    <w:rsid w:val="00DD1081"/>
    <w:rsid w:val="00DD12E9"/>
    <w:rsid w:val="00DD1358"/>
    <w:rsid w:val="00DD13D7"/>
    <w:rsid w:val="00DD140F"/>
    <w:rsid w:val="00DD1CBB"/>
    <w:rsid w:val="00DD25DC"/>
    <w:rsid w:val="00DD2C2D"/>
    <w:rsid w:val="00DD300A"/>
    <w:rsid w:val="00DD3162"/>
    <w:rsid w:val="00DD3226"/>
    <w:rsid w:val="00DD478C"/>
    <w:rsid w:val="00DD501E"/>
    <w:rsid w:val="00DD5285"/>
    <w:rsid w:val="00DD5AD0"/>
    <w:rsid w:val="00DD5D78"/>
    <w:rsid w:val="00DD6124"/>
    <w:rsid w:val="00DD7D26"/>
    <w:rsid w:val="00DE00A0"/>
    <w:rsid w:val="00DE06E1"/>
    <w:rsid w:val="00DE0A2A"/>
    <w:rsid w:val="00DE1246"/>
    <w:rsid w:val="00DE1DCC"/>
    <w:rsid w:val="00DE29A9"/>
    <w:rsid w:val="00DE30C2"/>
    <w:rsid w:val="00DE35D6"/>
    <w:rsid w:val="00DE3642"/>
    <w:rsid w:val="00DE3BAE"/>
    <w:rsid w:val="00DE3C8C"/>
    <w:rsid w:val="00DE5501"/>
    <w:rsid w:val="00DE58A7"/>
    <w:rsid w:val="00DE6968"/>
    <w:rsid w:val="00DE6BD3"/>
    <w:rsid w:val="00DF007B"/>
    <w:rsid w:val="00DF00E2"/>
    <w:rsid w:val="00DF0528"/>
    <w:rsid w:val="00DF0723"/>
    <w:rsid w:val="00DF0DE1"/>
    <w:rsid w:val="00DF1010"/>
    <w:rsid w:val="00DF1349"/>
    <w:rsid w:val="00DF20BD"/>
    <w:rsid w:val="00DF268D"/>
    <w:rsid w:val="00DF28D7"/>
    <w:rsid w:val="00DF2B0D"/>
    <w:rsid w:val="00DF2B64"/>
    <w:rsid w:val="00DF3601"/>
    <w:rsid w:val="00DF4023"/>
    <w:rsid w:val="00DF454D"/>
    <w:rsid w:val="00DF47DF"/>
    <w:rsid w:val="00DF487A"/>
    <w:rsid w:val="00DF49F7"/>
    <w:rsid w:val="00DF4DAC"/>
    <w:rsid w:val="00DF4FC4"/>
    <w:rsid w:val="00DF54B7"/>
    <w:rsid w:val="00DF56B2"/>
    <w:rsid w:val="00DF5B9A"/>
    <w:rsid w:val="00DF5D08"/>
    <w:rsid w:val="00DF5F25"/>
    <w:rsid w:val="00DF5F4E"/>
    <w:rsid w:val="00DF6912"/>
    <w:rsid w:val="00DF6B3A"/>
    <w:rsid w:val="00DF6CEA"/>
    <w:rsid w:val="00DF724A"/>
    <w:rsid w:val="00DF7429"/>
    <w:rsid w:val="00DF78AC"/>
    <w:rsid w:val="00DF7A5B"/>
    <w:rsid w:val="00DF7E6A"/>
    <w:rsid w:val="00E00122"/>
    <w:rsid w:val="00E00396"/>
    <w:rsid w:val="00E00AFB"/>
    <w:rsid w:val="00E00BFD"/>
    <w:rsid w:val="00E00DE4"/>
    <w:rsid w:val="00E00E67"/>
    <w:rsid w:val="00E00F37"/>
    <w:rsid w:val="00E00FF0"/>
    <w:rsid w:val="00E01C39"/>
    <w:rsid w:val="00E021C8"/>
    <w:rsid w:val="00E02564"/>
    <w:rsid w:val="00E02BB0"/>
    <w:rsid w:val="00E036E4"/>
    <w:rsid w:val="00E042BD"/>
    <w:rsid w:val="00E048DA"/>
    <w:rsid w:val="00E049A0"/>
    <w:rsid w:val="00E04EEF"/>
    <w:rsid w:val="00E05C77"/>
    <w:rsid w:val="00E05CEB"/>
    <w:rsid w:val="00E05D5F"/>
    <w:rsid w:val="00E06116"/>
    <w:rsid w:val="00E06F45"/>
    <w:rsid w:val="00E0728B"/>
    <w:rsid w:val="00E072C6"/>
    <w:rsid w:val="00E07584"/>
    <w:rsid w:val="00E07A13"/>
    <w:rsid w:val="00E07E34"/>
    <w:rsid w:val="00E106C4"/>
    <w:rsid w:val="00E10D4F"/>
    <w:rsid w:val="00E10D86"/>
    <w:rsid w:val="00E1228D"/>
    <w:rsid w:val="00E1272B"/>
    <w:rsid w:val="00E12F32"/>
    <w:rsid w:val="00E13594"/>
    <w:rsid w:val="00E13E31"/>
    <w:rsid w:val="00E1402C"/>
    <w:rsid w:val="00E14A3D"/>
    <w:rsid w:val="00E15728"/>
    <w:rsid w:val="00E1588A"/>
    <w:rsid w:val="00E158CC"/>
    <w:rsid w:val="00E15C41"/>
    <w:rsid w:val="00E1656F"/>
    <w:rsid w:val="00E166FF"/>
    <w:rsid w:val="00E17830"/>
    <w:rsid w:val="00E17918"/>
    <w:rsid w:val="00E17DF0"/>
    <w:rsid w:val="00E17F13"/>
    <w:rsid w:val="00E17FE5"/>
    <w:rsid w:val="00E20093"/>
    <w:rsid w:val="00E20408"/>
    <w:rsid w:val="00E208AC"/>
    <w:rsid w:val="00E21027"/>
    <w:rsid w:val="00E2131E"/>
    <w:rsid w:val="00E2170D"/>
    <w:rsid w:val="00E218C7"/>
    <w:rsid w:val="00E21D8E"/>
    <w:rsid w:val="00E21DA5"/>
    <w:rsid w:val="00E22011"/>
    <w:rsid w:val="00E2294C"/>
    <w:rsid w:val="00E235D3"/>
    <w:rsid w:val="00E23926"/>
    <w:rsid w:val="00E24386"/>
    <w:rsid w:val="00E247E3"/>
    <w:rsid w:val="00E24EF0"/>
    <w:rsid w:val="00E2593E"/>
    <w:rsid w:val="00E25E37"/>
    <w:rsid w:val="00E25EEA"/>
    <w:rsid w:val="00E26211"/>
    <w:rsid w:val="00E263C2"/>
    <w:rsid w:val="00E27A68"/>
    <w:rsid w:val="00E27D08"/>
    <w:rsid w:val="00E302C4"/>
    <w:rsid w:val="00E30D80"/>
    <w:rsid w:val="00E314E9"/>
    <w:rsid w:val="00E31764"/>
    <w:rsid w:val="00E318F8"/>
    <w:rsid w:val="00E31A3A"/>
    <w:rsid w:val="00E31A74"/>
    <w:rsid w:val="00E3383D"/>
    <w:rsid w:val="00E343A0"/>
    <w:rsid w:val="00E34783"/>
    <w:rsid w:val="00E34B4D"/>
    <w:rsid w:val="00E34D7F"/>
    <w:rsid w:val="00E350DB"/>
    <w:rsid w:val="00E35561"/>
    <w:rsid w:val="00E355A4"/>
    <w:rsid w:val="00E35B31"/>
    <w:rsid w:val="00E35C99"/>
    <w:rsid w:val="00E35E8A"/>
    <w:rsid w:val="00E35EA7"/>
    <w:rsid w:val="00E36081"/>
    <w:rsid w:val="00E362AA"/>
    <w:rsid w:val="00E368EB"/>
    <w:rsid w:val="00E3698B"/>
    <w:rsid w:val="00E40177"/>
    <w:rsid w:val="00E40ABB"/>
    <w:rsid w:val="00E40C98"/>
    <w:rsid w:val="00E40D2A"/>
    <w:rsid w:val="00E421E7"/>
    <w:rsid w:val="00E424D0"/>
    <w:rsid w:val="00E424EF"/>
    <w:rsid w:val="00E42BB5"/>
    <w:rsid w:val="00E42BFD"/>
    <w:rsid w:val="00E42CA4"/>
    <w:rsid w:val="00E42F4B"/>
    <w:rsid w:val="00E430AD"/>
    <w:rsid w:val="00E43CCD"/>
    <w:rsid w:val="00E43F4E"/>
    <w:rsid w:val="00E44516"/>
    <w:rsid w:val="00E456BF"/>
    <w:rsid w:val="00E45B33"/>
    <w:rsid w:val="00E46015"/>
    <w:rsid w:val="00E46299"/>
    <w:rsid w:val="00E469EE"/>
    <w:rsid w:val="00E46DC3"/>
    <w:rsid w:val="00E46FA3"/>
    <w:rsid w:val="00E4716C"/>
    <w:rsid w:val="00E476CC"/>
    <w:rsid w:val="00E50602"/>
    <w:rsid w:val="00E50A26"/>
    <w:rsid w:val="00E50BF6"/>
    <w:rsid w:val="00E513B4"/>
    <w:rsid w:val="00E51448"/>
    <w:rsid w:val="00E517A8"/>
    <w:rsid w:val="00E51B61"/>
    <w:rsid w:val="00E51E01"/>
    <w:rsid w:val="00E5228F"/>
    <w:rsid w:val="00E526ED"/>
    <w:rsid w:val="00E532AE"/>
    <w:rsid w:val="00E5347A"/>
    <w:rsid w:val="00E534CA"/>
    <w:rsid w:val="00E53532"/>
    <w:rsid w:val="00E53A73"/>
    <w:rsid w:val="00E53F18"/>
    <w:rsid w:val="00E5432F"/>
    <w:rsid w:val="00E544AB"/>
    <w:rsid w:val="00E546CB"/>
    <w:rsid w:val="00E5514A"/>
    <w:rsid w:val="00E55474"/>
    <w:rsid w:val="00E55795"/>
    <w:rsid w:val="00E5580A"/>
    <w:rsid w:val="00E55D14"/>
    <w:rsid w:val="00E55D40"/>
    <w:rsid w:val="00E55DE4"/>
    <w:rsid w:val="00E561B0"/>
    <w:rsid w:val="00E563FA"/>
    <w:rsid w:val="00E56651"/>
    <w:rsid w:val="00E569AE"/>
    <w:rsid w:val="00E57323"/>
    <w:rsid w:val="00E57506"/>
    <w:rsid w:val="00E57A26"/>
    <w:rsid w:val="00E57B5B"/>
    <w:rsid w:val="00E60724"/>
    <w:rsid w:val="00E60CC0"/>
    <w:rsid w:val="00E60CFD"/>
    <w:rsid w:val="00E61A79"/>
    <w:rsid w:val="00E61D1A"/>
    <w:rsid w:val="00E61DD7"/>
    <w:rsid w:val="00E61DF8"/>
    <w:rsid w:val="00E620B3"/>
    <w:rsid w:val="00E62A38"/>
    <w:rsid w:val="00E62CC2"/>
    <w:rsid w:val="00E630D7"/>
    <w:rsid w:val="00E63BC5"/>
    <w:rsid w:val="00E63CD8"/>
    <w:rsid w:val="00E63F5E"/>
    <w:rsid w:val="00E65C63"/>
    <w:rsid w:val="00E65EF2"/>
    <w:rsid w:val="00E6678B"/>
    <w:rsid w:val="00E667C9"/>
    <w:rsid w:val="00E66B55"/>
    <w:rsid w:val="00E66F93"/>
    <w:rsid w:val="00E67217"/>
    <w:rsid w:val="00E6746F"/>
    <w:rsid w:val="00E704BF"/>
    <w:rsid w:val="00E70C53"/>
    <w:rsid w:val="00E710C3"/>
    <w:rsid w:val="00E71585"/>
    <w:rsid w:val="00E71D51"/>
    <w:rsid w:val="00E7221B"/>
    <w:rsid w:val="00E72AC2"/>
    <w:rsid w:val="00E72CB0"/>
    <w:rsid w:val="00E72EC6"/>
    <w:rsid w:val="00E733BF"/>
    <w:rsid w:val="00E73522"/>
    <w:rsid w:val="00E73F2F"/>
    <w:rsid w:val="00E74380"/>
    <w:rsid w:val="00E7456F"/>
    <w:rsid w:val="00E749BD"/>
    <w:rsid w:val="00E7520A"/>
    <w:rsid w:val="00E75BA7"/>
    <w:rsid w:val="00E76362"/>
    <w:rsid w:val="00E764F7"/>
    <w:rsid w:val="00E76545"/>
    <w:rsid w:val="00E76755"/>
    <w:rsid w:val="00E76961"/>
    <w:rsid w:val="00E769D0"/>
    <w:rsid w:val="00E76DBC"/>
    <w:rsid w:val="00E772F4"/>
    <w:rsid w:val="00E77434"/>
    <w:rsid w:val="00E80196"/>
    <w:rsid w:val="00E80282"/>
    <w:rsid w:val="00E80EF4"/>
    <w:rsid w:val="00E81269"/>
    <w:rsid w:val="00E81ADB"/>
    <w:rsid w:val="00E82300"/>
    <w:rsid w:val="00E82637"/>
    <w:rsid w:val="00E82726"/>
    <w:rsid w:val="00E82AC6"/>
    <w:rsid w:val="00E82C76"/>
    <w:rsid w:val="00E82D6F"/>
    <w:rsid w:val="00E82FE8"/>
    <w:rsid w:val="00E83C43"/>
    <w:rsid w:val="00E8440D"/>
    <w:rsid w:val="00E84A24"/>
    <w:rsid w:val="00E84DDF"/>
    <w:rsid w:val="00E84F06"/>
    <w:rsid w:val="00E8531D"/>
    <w:rsid w:val="00E859E4"/>
    <w:rsid w:val="00E85B3E"/>
    <w:rsid w:val="00E85DBE"/>
    <w:rsid w:val="00E86573"/>
    <w:rsid w:val="00E86682"/>
    <w:rsid w:val="00E8674A"/>
    <w:rsid w:val="00E8690A"/>
    <w:rsid w:val="00E86A75"/>
    <w:rsid w:val="00E86D1F"/>
    <w:rsid w:val="00E876F8"/>
    <w:rsid w:val="00E87816"/>
    <w:rsid w:val="00E8783B"/>
    <w:rsid w:val="00E87C80"/>
    <w:rsid w:val="00E87E25"/>
    <w:rsid w:val="00E90059"/>
    <w:rsid w:val="00E901E7"/>
    <w:rsid w:val="00E9044D"/>
    <w:rsid w:val="00E90637"/>
    <w:rsid w:val="00E90677"/>
    <w:rsid w:val="00E91905"/>
    <w:rsid w:val="00E91F18"/>
    <w:rsid w:val="00E9213F"/>
    <w:rsid w:val="00E92627"/>
    <w:rsid w:val="00E926B0"/>
    <w:rsid w:val="00E92757"/>
    <w:rsid w:val="00E92A7E"/>
    <w:rsid w:val="00E92E56"/>
    <w:rsid w:val="00E94CF5"/>
    <w:rsid w:val="00E94DA8"/>
    <w:rsid w:val="00E958A6"/>
    <w:rsid w:val="00E958BB"/>
    <w:rsid w:val="00E95966"/>
    <w:rsid w:val="00E95FA7"/>
    <w:rsid w:val="00E9611C"/>
    <w:rsid w:val="00E96169"/>
    <w:rsid w:val="00E96BF4"/>
    <w:rsid w:val="00E97A2D"/>
    <w:rsid w:val="00EA0547"/>
    <w:rsid w:val="00EA0F68"/>
    <w:rsid w:val="00EA1122"/>
    <w:rsid w:val="00EA1258"/>
    <w:rsid w:val="00EA22D7"/>
    <w:rsid w:val="00EA2322"/>
    <w:rsid w:val="00EA276B"/>
    <w:rsid w:val="00EA295F"/>
    <w:rsid w:val="00EA2C94"/>
    <w:rsid w:val="00EA2F66"/>
    <w:rsid w:val="00EA3556"/>
    <w:rsid w:val="00EA36E2"/>
    <w:rsid w:val="00EA40AB"/>
    <w:rsid w:val="00EA4E73"/>
    <w:rsid w:val="00EA4E8E"/>
    <w:rsid w:val="00EA555B"/>
    <w:rsid w:val="00EA5DA8"/>
    <w:rsid w:val="00EA6464"/>
    <w:rsid w:val="00EA66DA"/>
    <w:rsid w:val="00EA727A"/>
    <w:rsid w:val="00EA75D5"/>
    <w:rsid w:val="00EB066F"/>
    <w:rsid w:val="00EB077A"/>
    <w:rsid w:val="00EB11C4"/>
    <w:rsid w:val="00EB145F"/>
    <w:rsid w:val="00EB2022"/>
    <w:rsid w:val="00EB2D24"/>
    <w:rsid w:val="00EB450D"/>
    <w:rsid w:val="00EB4C6A"/>
    <w:rsid w:val="00EB5BB8"/>
    <w:rsid w:val="00EB5FC9"/>
    <w:rsid w:val="00EB602C"/>
    <w:rsid w:val="00EB6AF2"/>
    <w:rsid w:val="00EB6DAC"/>
    <w:rsid w:val="00EB6EE7"/>
    <w:rsid w:val="00EB7A45"/>
    <w:rsid w:val="00EB7B96"/>
    <w:rsid w:val="00EB7FD7"/>
    <w:rsid w:val="00EC0653"/>
    <w:rsid w:val="00EC07CA"/>
    <w:rsid w:val="00EC0DC4"/>
    <w:rsid w:val="00EC19A6"/>
    <w:rsid w:val="00EC1DD8"/>
    <w:rsid w:val="00EC29A9"/>
    <w:rsid w:val="00EC3537"/>
    <w:rsid w:val="00EC3721"/>
    <w:rsid w:val="00EC4FA5"/>
    <w:rsid w:val="00EC5189"/>
    <w:rsid w:val="00EC557B"/>
    <w:rsid w:val="00EC58A5"/>
    <w:rsid w:val="00EC5B1E"/>
    <w:rsid w:val="00EC69A3"/>
    <w:rsid w:val="00EC69BA"/>
    <w:rsid w:val="00EC6C58"/>
    <w:rsid w:val="00ED09AA"/>
    <w:rsid w:val="00ED1380"/>
    <w:rsid w:val="00ED2285"/>
    <w:rsid w:val="00ED33FF"/>
    <w:rsid w:val="00ED3A46"/>
    <w:rsid w:val="00ED3ED0"/>
    <w:rsid w:val="00ED44CA"/>
    <w:rsid w:val="00ED55D0"/>
    <w:rsid w:val="00ED5912"/>
    <w:rsid w:val="00ED6128"/>
    <w:rsid w:val="00ED63DC"/>
    <w:rsid w:val="00ED6D13"/>
    <w:rsid w:val="00ED72C3"/>
    <w:rsid w:val="00ED75A3"/>
    <w:rsid w:val="00ED76A1"/>
    <w:rsid w:val="00ED7952"/>
    <w:rsid w:val="00ED7A3F"/>
    <w:rsid w:val="00ED7B67"/>
    <w:rsid w:val="00EE09BB"/>
    <w:rsid w:val="00EE0A89"/>
    <w:rsid w:val="00EE1175"/>
    <w:rsid w:val="00EE1478"/>
    <w:rsid w:val="00EE171E"/>
    <w:rsid w:val="00EE1991"/>
    <w:rsid w:val="00EE1F5E"/>
    <w:rsid w:val="00EE28CA"/>
    <w:rsid w:val="00EE2D76"/>
    <w:rsid w:val="00EE327C"/>
    <w:rsid w:val="00EE32AB"/>
    <w:rsid w:val="00EE334D"/>
    <w:rsid w:val="00EE34A4"/>
    <w:rsid w:val="00EE366B"/>
    <w:rsid w:val="00EE4756"/>
    <w:rsid w:val="00EE483C"/>
    <w:rsid w:val="00EE4967"/>
    <w:rsid w:val="00EE4C22"/>
    <w:rsid w:val="00EE4DE3"/>
    <w:rsid w:val="00EE55B8"/>
    <w:rsid w:val="00EE56B3"/>
    <w:rsid w:val="00EE64A6"/>
    <w:rsid w:val="00EE699D"/>
    <w:rsid w:val="00EE76F7"/>
    <w:rsid w:val="00EE770D"/>
    <w:rsid w:val="00EE782E"/>
    <w:rsid w:val="00EF1887"/>
    <w:rsid w:val="00EF2A7B"/>
    <w:rsid w:val="00EF2DB0"/>
    <w:rsid w:val="00EF302F"/>
    <w:rsid w:val="00EF3085"/>
    <w:rsid w:val="00EF4879"/>
    <w:rsid w:val="00EF5131"/>
    <w:rsid w:val="00EF53F0"/>
    <w:rsid w:val="00EF556A"/>
    <w:rsid w:val="00EF57E3"/>
    <w:rsid w:val="00EF5FB3"/>
    <w:rsid w:val="00EF734A"/>
    <w:rsid w:val="00F00968"/>
    <w:rsid w:val="00F00C8B"/>
    <w:rsid w:val="00F014DD"/>
    <w:rsid w:val="00F017EE"/>
    <w:rsid w:val="00F01AE8"/>
    <w:rsid w:val="00F01D05"/>
    <w:rsid w:val="00F02297"/>
    <w:rsid w:val="00F0273C"/>
    <w:rsid w:val="00F02F61"/>
    <w:rsid w:val="00F0313D"/>
    <w:rsid w:val="00F0350D"/>
    <w:rsid w:val="00F0371A"/>
    <w:rsid w:val="00F040E3"/>
    <w:rsid w:val="00F0469D"/>
    <w:rsid w:val="00F04CE7"/>
    <w:rsid w:val="00F04F22"/>
    <w:rsid w:val="00F05588"/>
    <w:rsid w:val="00F059CE"/>
    <w:rsid w:val="00F05A58"/>
    <w:rsid w:val="00F05C59"/>
    <w:rsid w:val="00F06B1A"/>
    <w:rsid w:val="00F0701C"/>
    <w:rsid w:val="00F07551"/>
    <w:rsid w:val="00F07824"/>
    <w:rsid w:val="00F07898"/>
    <w:rsid w:val="00F07E88"/>
    <w:rsid w:val="00F07EAD"/>
    <w:rsid w:val="00F07EEB"/>
    <w:rsid w:val="00F10C2D"/>
    <w:rsid w:val="00F10DAF"/>
    <w:rsid w:val="00F11272"/>
    <w:rsid w:val="00F11560"/>
    <w:rsid w:val="00F11D41"/>
    <w:rsid w:val="00F122EF"/>
    <w:rsid w:val="00F1283E"/>
    <w:rsid w:val="00F12A66"/>
    <w:rsid w:val="00F12A6F"/>
    <w:rsid w:val="00F12DF9"/>
    <w:rsid w:val="00F13136"/>
    <w:rsid w:val="00F13B6F"/>
    <w:rsid w:val="00F13F6A"/>
    <w:rsid w:val="00F14247"/>
    <w:rsid w:val="00F14558"/>
    <w:rsid w:val="00F14A81"/>
    <w:rsid w:val="00F14AA6"/>
    <w:rsid w:val="00F14F45"/>
    <w:rsid w:val="00F15ABC"/>
    <w:rsid w:val="00F15AF8"/>
    <w:rsid w:val="00F160B7"/>
    <w:rsid w:val="00F16735"/>
    <w:rsid w:val="00F16ABE"/>
    <w:rsid w:val="00F16D4E"/>
    <w:rsid w:val="00F16E4A"/>
    <w:rsid w:val="00F173AB"/>
    <w:rsid w:val="00F175AB"/>
    <w:rsid w:val="00F17612"/>
    <w:rsid w:val="00F17AB8"/>
    <w:rsid w:val="00F17BB1"/>
    <w:rsid w:val="00F20BBC"/>
    <w:rsid w:val="00F20BFE"/>
    <w:rsid w:val="00F20CE2"/>
    <w:rsid w:val="00F20FE0"/>
    <w:rsid w:val="00F217F8"/>
    <w:rsid w:val="00F21C5D"/>
    <w:rsid w:val="00F21E24"/>
    <w:rsid w:val="00F2317C"/>
    <w:rsid w:val="00F238B7"/>
    <w:rsid w:val="00F239A1"/>
    <w:rsid w:val="00F23B8A"/>
    <w:rsid w:val="00F240F5"/>
    <w:rsid w:val="00F24451"/>
    <w:rsid w:val="00F24DCD"/>
    <w:rsid w:val="00F24FD1"/>
    <w:rsid w:val="00F25263"/>
    <w:rsid w:val="00F25469"/>
    <w:rsid w:val="00F259B0"/>
    <w:rsid w:val="00F25C46"/>
    <w:rsid w:val="00F25EF2"/>
    <w:rsid w:val="00F2613B"/>
    <w:rsid w:val="00F261BF"/>
    <w:rsid w:val="00F269A6"/>
    <w:rsid w:val="00F26EC2"/>
    <w:rsid w:val="00F27532"/>
    <w:rsid w:val="00F27904"/>
    <w:rsid w:val="00F279B8"/>
    <w:rsid w:val="00F27B2F"/>
    <w:rsid w:val="00F30011"/>
    <w:rsid w:val="00F301A9"/>
    <w:rsid w:val="00F309E4"/>
    <w:rsid w:val="00F313B6"/>
    <w:rsid w:val="00F317BF"/>
    <w:rsid w:val="00F31849"/>
    <w:rsid w:val="00F31CC7"/>
    <w:rsid w:val="00F3200B"/>
    <w:rsid w:val="00F32018"/>
    <w:rsid w:val="00F32282"/>
    <w:rsid w:val="00F327E8"/>
    <w:rsid w:val="00F3359C"/>
    <w:rsid w:val="00F3394D"/>
    <w:rsid w:val="00F33F12"/>
    <w:rsid w:val="00F34590"/>
    <w:rsid w:val="00F3493C"/>
    <w:rsid w:val="00F34CEE"/>
    <w:rsid w:val="00F36417"/>
    <w:rsid w:val="00F36A73"/>
    <w:rsid w:val="00F37BA5"/>
    <w:rsid w:val="00F37CC3"/>
    <w:rsid w:val="00F37FE5"/>
    <w:rsid w:val="00F401EB"/>
    <w:rsid w:val="00F402B6"/>
    <w:rsid w:val="00F40A4D"/>
    <w:rsid w:val="00F41303"/>
    <w:rsid w:val="00F41544"/>
    <w:rsid w:val="00F41A4C"/>
    <w:rsid w:val="00F42474"/>
    <w:rsid w:val="00F42E5D"/>
    <w:rsid w:val="00F43019"/>
    <w:rsid w:val="00F4373A"/>
    <w:rsid w:val="00F43890"/>
    <w:rsid w:val="00F43AE9"/>
    <w:rsid w:val="00F43C89"/>
    <w:rsid w:val="00F43EB6"/>
    <w:rsid w:val="00F44316"/>
    <w:rsid w:val="00F44D72"/>
    <w:rsid w:val="00F45002"/>
    <w:rsid w:val="00F45960"/>
    <w:rsid w:val="00F45BB3"/>
    <w:rsid w:val="00F46128"/>
    <w:rsid w:val="00F461B8"/>
    <w:rsid w:val="00F46871"/>
    <w:rsid w:val="00F46E1A"/>
    <w:rsid w:val="00F46E22"/>
    <w:rsid w:val="00F4782F"/>
    <w:rsid w:val="00F478FF"/>
    <w:rsid w:val="00F501B7"/>
    <w:rsid w:val="00F506BF"/>
    <w:rsid w:val="00F50947"/>
    <w:rsid w:val="00F5098C"/>
    <w:rsid w:val="00F50C17"/>
    <w:rsid w:val="00F512C5"/>
    <w:rsid w:val="00F51958"/>
    <w:rsid w:val="00F51E45"/>
    <w:rsid w:val="00F5228E"/>
    <w:rsid w:val="00F53DCE"/>
    <w:rsid w:val="00F54207"/>
    <w:rsid w:val="00F54D05"/>
    <w:rsid w:val="00F55302"/>
    <w:rsid w:val="00F55360"/>
    <w:rsid w:val="00F56006"/>
    <w:rsid w:val="00F561F5"/>
    <w:rsid w:val="00F56C8F"/>
    <w:rsid w:val="00F608E7"/>
    <w:rsid w:val="00F60A58"/>
    <w:rsid w:val="00F60C51"/>
    <w:rsid w:val="00F61033"/>
    <w:rsid w:val="00F61CCB"/>
    <w:rsid w:val="00F62BFC"/>
    <w:rsid w:val="00F63277"/>
    <w:rsid w:val="00F63285"/>
    <w:rsid w:val="00F638FA"/>
    <w:rsid w:val="00F63CF2"/>
    <w:rsid w:val="00F65240"/>
    <w:rsid w:val="00F65905"/>
    <w:rsid w:val="00F65952"/>
    <w:rsid w:val="00F65D11"/>
    <w:rsid w:val="00F65EB9"/>
    <w:rsid w:val="00F662D8"/>
    <w:rsid w:val="00F66346"/>
    <w:rsid w:val="00F664A7"/>
    <w:rsid w:val="00F66778"/>
    <w:rsid w:val="00F667C8"/>
    <w:rsid w:val="00F668BE"/>
    <w:rsid w:val="00F66AD5"/>
    <w:rsid w:val="00F67739"/>
    <w:rsid w:val="00F70600"/>
    <w:rsid w:val="00F7189D"/>
    <w:rsid w:val="00F71A2B"/>
    <w:rsid w:val="00F721B3"/>
    <w:rsid w:val="00F7241E"/>
    <w:rsid w:val="00F725AE"/>
    <w:rsid w:val="00F725E6"/>
    <w:rsid w:val="00F72D38"/>
    <w:rsid w:val="00F73F3E"/>
    <w:rsid w:val="00F7437C"/>
    <w:rsid w:val="00F7444E"/>
    <w:rsid w:val="00F74878"/>
    <w:rsid w:val="00F75815"/>
    <w:rsid w:val="00F762BD"/>
    <w:rsid w:val="00F76C80"/>
    <w:rsid w:val="00F80B44"/>
    <w:rsid w:val="00F80C82"/>
    <w:rsid w:val="00F80F38"/>
    <w:rsid w:val="00F822FE"/>
    <w:rsid w:val="00F8256E"/>
    <w:rsid w:val="00F82876"/>
    <w:rsid w:val="00F82CED"/>
    <w:rsid w:val="00F83171"/>
    <w:rsid w:val="00F831BB"/>
    <w:rsid w:val="00F83ADE"/>
    <w:rsid w:val="00F83DA8"/>
    <w:rsid w:val="00F83E50"/>
    <w:rsid w:val="00F84E6F"/>
    <w:rsid w:val="00F85823"/>
    <w:rsid w:val="00F85D8E"/>
    <w:rsid w:val="00F85F73"/>
    <w:rsid w:val="00F862CB"/>
    <w:rsid w:val="00F87407"/>
    <w:rsid w:val="00F8743B"/>
    <w:rsid w:val="00F87ABA"/>
    <w:rsid w:val="00F87B1B"/>
    <w:rsid w:val="00F90A56"/>
    <w:rsid w:val="00F90D37"/>
    <w:rsid w:val="00F919CF"/>
    <w:rsid w:val="00F91A97"/>
    <w:rsid w:val="00F9287C"/>
    <w:rsid w:val="00F92DAE"/>
    <w:rsid w:val="00F92E24"/>
    <w:rsid w:val="00F92FF3"/>
    <w:rsid w:val="00F9311E"/>
    <w:rsid w:val="00F93150"/>
    <w:rsid w:val="00F9331F"/>
    <w:rsid w:val="00F937EE"/>
    <w:rsid w:val="00F93B12"/>
    <w:rsid w:val="00F9406E"/>
    <w:rsid w:val="00F94294"/>
    <w:rsid w:val="00F94C6E"/>
    <w:rsid w:val="00F9505B"/>
    <w:rsid w:val="00F95177"/>
    <w:rsid w:val="00F95B9B"/>
    <w:rsid w:val="00F96B89"/>
    <w:rsid w:val="00F96C8E"/>
    <w:rsid w:val="00F971D7"/>
    <w:rsid w:val="00F97FDE"/>
    <w:rsid w:val="00FA07C6"/>
    <w:rsid w:val="00FA0E7D"/>
    <w:rsid w:val="00FA0F39"/>
    <w:rsid w:val="00FA1648"/>
    <w:rsid w:val="00FA2214"/>
    <w:rsid w:val="00FA282A"/>
    <w:rsid w:val="00FA28C5"/>
    <w:rsid w:val="00FA2BA5"/>
    <w:rsid w:val="00FA3140"/>
    <w:rsid w:val="00FA36A9"/>
    <w:rsid w:val="00FA3CCA"/>
    <w:rsid w:val="00FA415A"/>
    <w:rsid w:val="00FA41D5"/>
    <w:rsid w:val="00FA4835"/>
    <w:rsid w:val="00FA5698"/>
    <w:rsid w:val="00FA57E2"/>
    <w:rsid w:val="00FA6D3C"/>
    <w:rsid w:val="00FA7807"/>
    <w:rsid w:val="00FA7FA5"/>
    <w:rsid w:val="00FB0135"/>
    <w:rsid w:val="00FB0B2D"/>
    <w:rsid w:val="00FB0CBE"/>
    <w:rsid w:val="00FB1F25"/>
    <w:rsid w:val="00FB2D85"/>
    <w:rsid w:val="00FB2FAE"/>
    <w:rsid w:val="00FB31AA"/>
    <w:rsid w:val="00FB4032"/>
    <w:rsid w:val="00FB4915"/>
    <w:rsid w:val="00FB49BF"/>
    <w:rsid w:val="00FB4AB4"/>
    <w:rsid w:val="00FB4C41"/>
    <w:rsid w:val="00FB4EF3"/>
    <w:rsid w:val="00FB5254"/>
    <w:rsid w:val="00FB5927"/>
    <w:rsid w:val="00FB5C98"/>
    <w:rsid w:val="00FB5FC5"/>
    <w:rsid w:val="00FB63A9"/>
    <w:rsid w:val="00FB6B5A"/>
    <w:rsid w:val="00FB71AF"/>
    <w:rsid w:val="00FB7F47"/>
    <w:rsid w:val="00FC01FA"/>
    <w:rsid w:val="00FC0633"/>
    <w:rsid w:val="00FC1079"/>
    <w:rsid w:val="00FC15DE"/>
    <w:rsid w:val="00FC1B2F"/>
    <w:rsid w:val="00FC1B81"/>
    <w:rsid w:val="00FC1C9B"/>
    <w:rsid w:val="00FC1CAE"/>
    <w:rsid w:val="00FC1CEE"/>
    <w:rsid w:val="00FC2452"/>
    <w:rsid w:val="00FC398F"/>
    <w:rsid w:val="00FC3C04"/>
    <w:rsid w:val="00FC3E3A"/>
    <w:rsid w:val="00FC3F8A"/>
    <w:rsid w:val="00FC47A4"/>
    <w:rsid w:val="00FC4BA5"/>
    <w:rsid w:val="00FC4DAA"/>
    <w:rsid w:val="00FC52F6"/>
    <w:rsid w:val="00FC5803"/>
    <w:rsid w:val="00FC58C8"/>
    <w:rsid w:val="00FC6143"/>
    <w:rsid w:val="00FC64CF"/>
    <w:rsid w:val="00FC697D"/>
    <w:rsid w:val="00FC6C69"/>
    <w:rsid w:val="00FC72B4"/>
    <w:rsid w:val="00FC7622"/>
    <w:rsid w:val="00FC7792"/>
    <w:rsid w:val="00FC7AFD"/>
    <w:rsid w:val="00FC7F60"/>
    <w:rsid w:val="00FD07A7"/>
    <w:rsid w:val="00FD08C9"/>
    <w:rsid w:val="00FD0FBC"/>
    <w:rsid w:val="00FD1C05"/>
    <w:rsid w:val="00FD1C60"/>
    <w:rsid w:val="00FD1DD5"/>
    <w:rsid w:val="00FD2557"/>
    <w:rsid w:val="00FD2763"/>
    <w:rsid w:val="00FD28D5"/>
    <w:rsid w:val="00FD29B4"/>
    <w:rsid w:val="00FD4025"/>
    <w:rsid w:val="00FD44A0"/>
    <w:rsid w:val="00FD47A3"/>
    <w:rsid w:val="00FD5A8E"/>
    <w:rsid w:val="00FD6203"/>
    <w:rsid w:val="00FD6450"/>
    <w:rsid w:val="00FD71E3"/>
    <w:rsid w:val="00FD726C"/>
    <w:rsid w:val="00FD7BA6"/>
    <w:rsid w:val="00FE03A5"/>
    <w:rsid w:val="00FE059C"/>
    <w:rsid w:val="00FE086B"/>
    <w:rsid w:val="00FE1737"/>
    <w:rsid w:val="00FE176D"/>
    <w:rsid w:val="00FE19EA"/>
    <w:rsid w:val="00FE226C"/>
    <w:rsid w:val="00FE23F7"/>
    <w:rsid w:val="00FE297B"/>
    <w:rsid w:val="00FE3410"/>
    <w:rsid w:val="00FE3844"/>
    <w:rsid w:val="00FE3E2E"/>
    <w:rsid w:val="00FE3F0F"/>
    <w:rsid w:val="00FE45F2"/>
    <w:rsid w:val="00FE4645"/>
    <w:rsid w:val="00FE4A84"/>
    <w:rsid w:val="00FE4B31"/>
    <w:rsid w:val="00FE4DFA"/>
    <w:rsid w:val="00FE4F65"/>
    <w:rsid w:val="00FE5566"/>
    <w:rsid w:val="00FE612E"/>
    <w:rsid w:val="00FE6197"/>
    <w:rsid w:val="00FE624F"/>
    <w:rsid w:val="00FE62B6"/>
    <w:rsid w:val="00FE6C97"/>
    <w:rsid w:val="00FE79CC"/>
    <w:rsid w:val="00FF0BFA"/>
    <w:rsid w:val="00FF0DE7"/>
    <w:rsid w:val="00FF14BB"/>
    <w:rsid w:val="00FF1562"/>
    <w:rsid w:val="00FF1A7C"/>
    <w:rsid w:val="00FF1CF4"/>
    <w:rsid w:val="00FF1D99"/>
    <w:rsid w:val="00FF2227"/>
    <w:rsid w:val="00FF2790"/>
    <w:rsid w:val="00FF2F74"/>
    <w:rsid w:val="00FF3E66"/>
    <w:rsid w:val="00FF437F"/>
    <w:rsid w:val="00FF4A7F"/>
    <w:rsid w:val="00FF4B15"/>
    <w:rsid w:val="00FF4B3B"/>
    <w:rsid w:val="00FF506F"/>
    <w:rsid w:val="00FF5275"/>
    <w:rsid w:val="00FF599F"/>
    <w:rsid w:val="00FF5CA7"/>
    <w:rsid w:val="00FF5E40"/>
    <w:rsid w:val="00FF5E62"/>
    <w:rsid w:val="00FF6217"/>
    <w:rsid w:val="00FF6927"/>
    <w:rsid w:val="00FF6AF2"/>
    <w:rsid w:val="00FF6EDB"/>
    <w:rsid w:val="00FF6F2D"/>
    <w:rsid w:val="00FF6F2E"/>
    <w:rsid w:val="00FF7399"/>
    <w:rsid w:val="00FF795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21BB84"/>
  <w15:docId w15:val="{F767F6BF-A194-42F6-BCB1-F924A201A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pPr>
      <w:widowControl w:val="0"/>
      <w:adjustRightInd w:val="0"/>
      <w:spacing w:line="360" w:lineRule="atLeast"/>
      <w:jc w:val="both"/>
      <w:textAlignment w:val="baseline"/>
    </w:pPr>
    <w:rPr>
      <w:sz w:val="24"/>
      <w:szCs w:val="24"/>
    </w:rPr>
  </w:style>
  <w:style w:type="paragraph" w:styleId="Nadpis1">
    <w:name w:val="heading 1"/>
    <w:aliases w:val="Čo robí (časť)"/>
    <w:basedOn w:val="Normlny"/>
    <w:next w:val="Normlny"/>
    <w:link w:val="Nadpis1Char"/>
    <w:qFormat/>
    <w:pPr>
      <w:keepNext/>
      <w:jc w:val="center"/>
      <w:outlineLvl w:val="0"/>
    </w:pPr>
    <w:rPr>
      <w:rFonts w:eastAsia="Arial Unicode MS"/>
      <w:b/>
      <w:sz w:val="28"/>
      <w:szCs w:val="20"/>
    </w:rPr>
  </w:style>
  <w:style w:type="paragraph" w:styleId="Nadpis2">
    <w:name w:val="heading 2"/>
    <w:aliases w:val="Úloha"/>
    <w:basedOn w:val="Normlny"/>
    <w:next w:val="Normlny"/>
    <w:qFormat/>
    <w:pPr>
      <w:keepNext/>
      <w:jc w:val="center"/>
      <w:outlineLvl w:val="1"/>
    </w:pPr>
    <w:rPr>
      <w:rFonts w:eastAsia="Arial Unicode MS"/>
      <w:b/>
      <w:szCs w:val="20"/>
    </w:rPr>
  </w:style>
  <w:style w:type="paragraph" w:styleId="Nadpis3">
    <w:name w:val="heading 3"/>
    <w:basedOn w:val="Normlny"/>
    <w:next w:val="Normlny"/>
    <w:link w:val="Nadpis3Char"/>
    <w:qFormat/>
    <w:pPr>
      <w:keepNext/>
      <w:outlineLvl w:val="2"/>
    </w:pPr>
    <w:rPr>
      <w:rFonts w:eastAsia="Arial Unicode MS"/>
      <w:b/>
      <w:i/>
      <w:sz w:val="28"/>
      <w:szCs w:val="20"/>
    </w:rPr>
  </w:style>
  <w:style w:type="paragraph" w:styleId="Nadpis4">
    <w:name w:val="heading 4"/>
    <w:aliases w:val="Termín"/>
    <w:basedOn w:val="Normlny"/>
    <w:next w:val="Normlny"/>
    <w:qFormat/>
    <w:pPr>
      <w:keepNext/>
      <w:outlineLvl w:val="3"/>
    </w:pPr>
    <w:rPr>
      <w:rFonts w:eastAsia="Arial Unicode MS"/>
      <w:szCs w:val="20"/>
    </w:rPr>
  </w:style>
  <w:style w:type="paragraph" w:styleId="Nadpis5">
    <w:name w:val="heading 5"/>
    <w:basedOn w:val="Normlny"/>
    <w:next w:val="Normlny"/>
    <w:qFormat/>
    <w:pPr>
      <w:keepNext/>
      <w:outlineLvl w:val="4"/>
    </w:pPr>
    <w:rPr>
      <w:rFonts w:eastAsia="Arial Unicode MS"/>
      <w:b/>
      <w:sz w:val="28"/>
      <w:szCs w:val="20"/>
    </w:rPr>
  </w:style>
  <w:style w:type="paragraph" w:styleId="Nadpis6">
    <w:name w:val="heading 6"/>
    <w:basedOn w:val="Normlny"/>
    <w:next w:val="Normlny"/>
    <w:qFormat/>
    <w:pPr>
      <w:numPr>
        <w:ilvl w:val="5"/>
        <w:numId w:val="2"/>
      </w:numPr>
      <w:spacing w:before="240" w:after="60"/>
      <w:outlineLvl w:val="5"/>
    </w:pPr>
    <w:rPr>
      <w:b/>
      <w:bCs/>
      <w:sz w:val="22"/>
      <w:szCs w:val="22"/>
    </w:rPr>
  </w:style>
  <w:style w:type="paragraph" w:styleId="Nadpis7">
    <w:name w:val="heading 7"/>
    <w:basedOn w:val="Normlny"/>
    <w:next w:val="Normlny"/>
    <w:qFormat/>
    <w:pPr>
      <w:numPr>
        <w:ilvl w:val="6"/>
        <w:numId w:val="2"/>
      </w:numPr>
      <w:spacing w:before="240" w:after="60"/>
      <w:outlineLvl w:val="6"/>
    </w:pPr>
  </w:style>
  <w:style w:type="paragraph" w:styleId="Nadpis8">
    <w:name w:val="heading 8"/>
    <w:basedOn w:val="Normlny"/>
    <w:next w:val="Normlny"/>
    <w:qFormat/>
    <w:pPr>
      <w:numPr>
        <w:ilvl w:val="7"/>
        <w:numId w:val="2"/>
      </w:numPr>
      <w:spacing w:before="240" w:after="60"/>
      <w:outlineLvl w:val="7"/>
    </w:pPr>
    <w:rPr>
      <w:i/>
      <w:iCs/>
    </w:rPr>
  </w:style>
  <w:style w:type="paragraph" w:styleId="Nadpis9">
    <w:name w:val="heading 9"/>
    <w:basedOn w:val="Normlny"/>
    <w:next w:val="Normlny"/>
    <w:qFormat/>
    <w:pPr>
      <w:numPr>
        <w:ilvl w:val="8"/>
        <w:numId w:val="2"/>
      </w:numPr>
      <w:spacing w:before="240" w:after="60"/>
      <w:outlineLvl w:val="8"/>
    </w:pPr>
    <w:rPr>
      <w:rFonts w:ascii="Arial" w:hAnsi="Arial"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qFormat/>
    <w:pPr>
      <w:jc w:val="center"/>
    </w:pPr>
    <w:rPr>
      <w:sz w:val="28"/>
      <w:szCs w:val="20"/>
    </w:rPr>
  </w:style>
  <w:style w:type="paragraph" w:styleId="Zkladntext">
    <w:name w:val="Body Text"/>
    <w:aliases w:val="b,Základný text1"/>
    <w:basedOn w:val="Normlny"/>
    <w:link w:val="ZkladntextChar"/>
    <w:rPr>
      <w:b/>
      <w:szCs w:val="20"/>
    </w:rPr>
  </w:style>
  <w:style w:type="paragraph" w:styleId="Zkladntext2">
    <w:name w:val="Body Text 2"/>
    <w:basedOn w:val="Normlny"/>
    <w:pPr>
      <w:jc w:val="center"/>
    </w:pPr>
    <w:rPr>
      <w:b/>
      <w:szCs w:val="22"/>
    </w:rPr>
  </w:style>
  <w:style w:type="paragraph" w:styleId="Zarkazkladnhotextu">
    <w:name w:val="Body Text Indent"/>
    <w:basedOn w:val="Normlny"/>
    <w:pPr>
      <w:ind w:left="1440" w:hanging="731"/>
    </w:pPr>
    <w:rPr>
      <w:b/>
      <w:bCs/>
    </w:rPr>
  </w:style>
  <w:style w:type="paragraph" w:customStyle="1" w:styleId="Heading2lohaKomu">
    <w:name w:val="Heading 2.Úloha.Komu"/>
    <w:basedOn w:val="Normlny"/>
    <w:pPr>
      <w:numPr>
        <w:ilvl w:val="1"/>
        <w:numId w:val="1"/>
      </w:numPr>
      <w:tabs>
        <w:tab w:val="num" w:pos="1418"/>
      </w:tabs>
      <w:spacing w:before="120"/>
      <w:ind w:left="1418" w:hanging="851"/>
    </w:pPr>
    <w:rPr>
      <w:lang w:eastAsia="en-US"/>
    </w:rPr>
  </w:style>
  <w:style w:type="paragraph" w:customStyle="1" w:styleId="Vlada">
    <w:name w:val="Vlada"/>
    <w:basedOn w:val="Normlny"/>
    <w:pPr>
      <w:spacing w:before="480" w:after="120"/>
    </w:pPr>
    <w:rPr>
      <w:b/>
      <w:bCs/>
      <w:sz w:val="32"/>
      <w:szCs w:val="32"/>
      <w:lang w:eastAsia="en-US"/>
    </w:rPr>
  </w:style>
  <w:style w:type="paragraph" w:customStyle="1" w:styleId="Vykonaj">
    <w:name w:val="Vykonajú"/>
    <w:basedOn w:val="Normlny"/>
    <w:next w:val="Vykonajzoznam"/>
    <w:pPr>
      <w:keepNext/>
      <w:spacing w:before="360"/>
    </w:pPr>
    <w:rPr>
      <w:b/>
      <w:bCs/>
      <w:lang w:eastAsia="en-US"/>
    </w:rPr>
  </w:style>
  <w:style w:type="paragraph" w:customStyle="1" w:styleId="Vykonajzoznam">
    <w:name w:val="Vykonajú_zoznam"/>
    <w:basedOn w:val="Normlny"/>
    <w:pPr>
      <w:ind w:left="1418"/>
    </w:pPr>
    <w:rPr>
      <w:lang w:eastAsia="en-US"/>
    </w:rPr>
  </w:style>
  <w:style w:type="paragraph" w:customStyle="1" w:styleId="Navedomie">
    <w:name w:val="Na vedomie"/>
    <w:basedOn w:val="Vykonajzoznam"/>
    <w:next w:val="Normlny"/>
    <w:pPr>
      <w:spacing w:before="360"/>
      <w:ind w:left="0"/>
    </w:pPr>
    <w:rPr>
      <w:b/>
      <w:bCs/>
    </w:rPr>
  </w:style>
  <w:style w:type="paragraph" w:customStyle="1" w:styleId="Zakladnystyl">
    <w:name w:val="Zakladny styl"/>
    <w:pPr>
      <w:widowControl w:val="0"/>
      <w:adjustRightInd w:val="0"/>
      <w:spacing w:line="360" w:lineRule="atLeast"/>
      <w:jc w:val="both"/>
      <w:textAlignment w:val="baseline"/>
    </w:pPr>
    <w:rPr>
      <w:sz w:val="24"/>
      <w:szCs w:val="24"/>
      <w:lang w:eastAsia="en-US"/>
    </w:rPr>
  </w:style>
  <w:style w:type="paragraph" w:customStyle="1" w:styleId="Nosite">
    <w:name w:val="Nositeľ"/>
    <w:basedOn w:val="Zakladnystyl"/>
    <w:next w:val="Heading2lohaKomu"/>
    <w:pPr>
      <w:spacing w:before="240" w:after="120"/>
      <w:ind w:left="567"/>
    </w:pPr>
    <w:rPr>
      <w:b/>
      <w:bCs/>
    </w:rPr>
  </w:style>
  <w:style w:type="paragraph" w:customStyle="1" w:styleId="Heading1orobas">
    <w:name w:val="Heading 1.Čo robí (časť)"/>
    <w:basedOn w:val="Normlny"/>
    <w:next w:val="Nosite"/>
    <w:pPr>
      <w:keepNext/>
      <w:numPr>
        <w:numId w:val="2"/>
      </w:numPr>
      <w:spacing w:before="360"/>
    </w:pPr>
    <w:rPr>
      <w:b/>
      <w:bCs/>
      <w:kern w:val="32"/>
      <w:sz w:val="28"/>
      <w:szCs w:val="28"/>
      <w:lang w:eastAsia="en-US"/>
    </w:rPr>
  </w:style>
  <w:style w:type="paragraph" w:customStyle="1" w:styleId="Heading2loha">
    <w:name w:val="Heading 2.Úloha"/>
    <w:basedOn w:val="Normlny"/>
    <w:pPr>
      <w:numPr>
        <w:ilvl w:val="1"/>
        <w:numId w:val="2"/>
      </w:numPr>
      <w:spacing w:before="120"/>
    </w:pPr>
    <w:rPr>
      <w:lang w:eastAsia="en-US"/>
    </w:rPr>
  </w:style>
  <w:style w:type="paragraph" w:styleId="Zarkazkladnhotextu2">
    <w:name w:val="Body Text Indent 2"/>
    <w:basedOn w:val="Normlny"/>
    <w:pPr>
      <w:ind w:left="900" w:hanging="900"/>
    </w:pPr>
    <w:rPr>
      <w:color w:val="000000"/>
      <w:szCs w:val="19"/>
    </w:rPr>
  </w:style>
  <w:style w:type="paragraph" w:styleId="Zarkazkladnhotextu3">
    <w:name w:val="Body Text Indent 3"/>
    <w:basedOn w:val="Normlny"/>
    <w:pPr>
      <w:ind w:firstLine="360"/>
    </w:pPr>
  </w:style>
  <w:style w:type="paragraph" w:customStyle="1" w:styleId="Zkladntextb">
    <w:name w:val="Základný text.b"/>
    <w:basedOn w:val="Normlny"/>
    <w:pPr>
      <w:jc w:val="center"/>
    </w:pPr>
    <w:rPr>
      <w:sz w:val="28"/>
      <w:szCs w:val="20"/>
    </w:rPr>
  </w:style>
  <w:style w:type="paragraph" w:styleId="Zkladntext3">
    <w:name w:val="Body Text 3"/>
    <w:basedOn w:val="Normlny"/>
    <w:pPr>
      <w:tabs>
        <w:tab w:val="left" w:pos="426"/>
        <w:tab w:val="left" w:pos="993"/>
      </w:tabs>
    </w:pPr>
    <w:rPr>
      <w:rFonts w:ascii="Toronto" w:hAnsi="Toronto"/>
      <w:szCs w:val="20"/>
    </w:rPr>
  </w:style>
  <w:style w:type="paragraph" w:styleId="Pta">
    <w:name w:val="footer"/>
    <w:basedOn w:val="Normlny"/>
    <w:link w:val="PtaChar"/>
    <w:uiPriority w:val="99"/>
    <w:pPr>
      <w:tabs>
        <w:tab w:val="center" w:pos="4536"/>
        <w:tab w:val="right" w:pos="9072"/>
      </w:tabs>
    </w:pPr>
  </w:style>
  <w:style w:type="paragraph" w:styleId="Textpoznmkypodiarou">
    <w:name w:val="footnote text"/>
    <w:aliases w:val="Text poznámky pod čiarou 007"/>
    <w:basedOn w:val="Normlny"/>
    <w:link w:val="TextpoznmkypodiarouChar"/>
    <w:uiPriority w:val="99"/>
    <w:rPr>
      <w:sz w:val="20"/>
      <w:szCs w:val="20"/>
    </w:rPr>
  </w:style>
  <w:style w:type="paragraph" w:customStyle="1" w:styleId="Body1">
    <w:name w:val="Body 1"/>
    <w:basedOn w:val="Normlny"/>
    <w:pPr>
      <w:spacing w:after="140" w:line="290" w:lineRule="auto"/>
      <w:ind w:left="680"/>
    </w:pPr>
    <w:rPr>
      <w:rFonts w:ascii="Arial" w:hAnsi="Arial" w:cs="Arial"/>
      <w:kern w:val="20"/>
      <w:sz w:val="20"/>
      <w:szCs w:val="20"/>
      <w:lang w:eastAsia="en-US"/>
    </w:rPr>
  </w:style>
  <w:style w:type="paragraph" w:styleId="Normlnywebov">
    <w:name w:val="Normal (Web)"/>
    <w:basedOn w:val="Normlny"/>
    <w:uiPriority w:val="99"/>
    <w:pPr>
      <w:spacing w:before="100" w:beforeAutospacing="1" w:after="100" w:afterAutospacing="1"/>
    </w:pPr>
  </w:style>
  <w:style w:type="paragraph" w:customStyle="1" w:styleId="dotaznikmonostiodpovede">
    <w:name w:val="dotaznik možnosti odpovede"/>
    <w:basedOn w:val="Normlny"/>
    <w:pPr>
      <w:spacing w:before="120" w:line="288" w:lineRule="auto"/>
    </w:pPr>
    <w:rPr>
      <w:rFonts w:ascii="Arial" w:hAnsi="Arial"/>
      <w:szCs w:val="20"/>
    </w:rPr>
  </w:style>
  <w:style w:type="paragraph" w:customStyle="1" w:styleId="BodyText21">
    <w:name w:val="Body Text 21"/>
    <w:pPr>
      <w:widowControl w:val="0"/>
      <w:adjustRightInd w:val="0"/>
      <w:spacing w:line="360" w:lineRule="atLeast"/>
      <w:jc w:val="both"/>
      <w:textAlignment w:val="baseline"/>
    </w:pPr>
    <w:rPr>
      <w:sz w:val="24"/>
    </w:rPr>
  </w:style>
  <w:style w:type="paragraph" w:styleId="Oznaitext">
    <w:name w:val="Block Text"/>
    <w:basedOn w:val="Normlny"/>
    <w:pPr>
      <w:autoSpaceDE w:val="0"/>
      <w:autoSpaceDN w:val="0"/>
      <w:ind w:left="720" w:right="-2" w:hanging="360"/>
    </w:pPr>
  </w:style>
  <w:style w:type="character" w:styleId="Odkaznapoznmkupodiarou">
    <w:name w:val="footnote reference"/>
    <w:uiPriority w:val="99"/>
    <w:rPr>
      <w:vertAlign w:val="superscript"/>
    </w:rPr>
  </w:style>
  <w:style w:type="character" w:styleId="PsacstrojHTML">
    <w:name w:val="HTML Typewriter"/>
    <w:rPr>
      <w:rFonts w:ascii="Courier New" w:eastAsia="Times New Roman" w:hAnsi="Courier New" w:cs="Courier New"/>
      <w:sz w:val="20"/>
      <w:szCs w:val="20"/>
    </w:rPr>
  </w:style>
  <w:style w:type="paragraph" w:styleId="Textbubliny">
    <w:name w:val="Balloon Text"/>
    <w:basedOn w:val="Normlny"/>
    <w:link w:val="TextbublinyChar"/>
    <w:rPr>
      <w:rFonts w:ascii="Tahoma" w:hAnsi="Tahoma" w:cs="Tahoma"/>
      <w:sz w:val="16"/>
      <w:szCs w:val="16"/>
    </w:rPr>
  </w:style>
  <w:style w:type="character" w:styleId="Odkaznakomentr">
    <w:name w:val="annotation reference"/>
    <w:uiPriority w:val="99"/>
    <w:semiHidden/>
    <w:rPr>
      <w:sz w:val="16"/>
      <w:szCs w:val="16"/>
    </w:rPr>
  </w:style>
  <w:style w:type="paragraph" w:styleId="Textkomentra">
    <w:name w:val="annotation text"/>
    <w:basedOn w:val="Normlny"/>
    <w:link w:val="TextkomentraChar"/>
    <w:uiPriority w:val="99"/>
    <w:semiHidden/>
    <w:rPr>
      <w:sz w:val="20"/>
      <w:szCs w:val="20"/>
    </w:rPr>
  </w:style>
  <w:style w:type="paragraph" w:customStyle="1" w:styleId="Predmetkomentra1">
    <w:name w:val="Predmet komentára1"/>
    <w:basedOn w:val="Textkomentra"/>
    <w:next w:val="Textkomentra"/>
    <w:semiHidden/>
    <w:rPr>
      <w:b/>
      <w:bCs/>
    </w:rPr>
  </w:style>
  <w:style w:type="paragraph" w:styleId="truktradokumentu">
    <w:name w:val="Document Map"/>
    <w:basedOn w:val="Normlny"/>
    <w:semiHidden/>
    <w:pPr>
      <w:shd w:val="clear" w:color="auto" w:fill="000080"/>
    </w:pPr>
    <w:rPr>
      <w:rFonts w:ascii="Tahoma" w:hAnsi="Tahoma" w:cs="Tahoma"/>
    </w:rPr>
  </w:style>
  <w:style w:type="paragraph" w:customStyle="1" w:styleId="Char1">
    <w:name w:val="Char1"/>
    <w:basedOn w:val="Normlny"/>
    <w:pPr>
      <w:tabs>
        <w:tab w:val="num" w:pos="567"/>
      </w:tabs>
      <w:spacing w:line="240" w:lineRule="exact"/>
      <w:ind w:left="567" w:hanging="567"/>
    </w:pPr>
    <w:rPr>
      <w:rFonts w:ascii="Times New Roman Bold" w:hAnsi="Times New Roman Bold"/>
      <w:b/>
      <w:sz w:val="26"/>
      <w:szCs w:val="26"/>
      <w:lang w:eastAsia="en-US"/>
    </w:rPr>
  </w:style>
  <w:style w:type="paragraph" w:customStyle="1" w:styleId="CharChar1Char">
    <w:name w:val="Char Char1 Char"/>
    <w:basedOn w:val="Normlny"/>
    <w:pPr>
      <w:tabs>
        <w:tab w:val="num" w:pos="567"/>
      </w:tabs>
      <w:spacing w:line="240" w:lineRule="exact"/>
      <w:ind w:left="567" w:hanging="567"/>
    </w:pPr>
    <w:rPr>
      <w:rFonts w:ascii="Times New Roman Bold" w:hAnsi="Times New Roman Bold"/>
      <w:b/>
      <w:sz w:val="26"/>
      <w:szCs w:val="26"/>
      <w:lang w:eastAsia="en-US"/>
    </w:rPr>
  </w:style>
  <w:style w:type="paragraph" w:customStyle="1" w:styleId="tlZkladntextVavo">
    <w:name w:val="Štýl Základný text + Vľavo"/>
    <w:basedOn w:val="Normlny"/>
    <w:pPr>
      <w:numPr>
        <w:numId w:val="4"/>
      </w:numPr>
    </w:pPr>
  </w:style>
  <w:style w:type="paragraph" w:customStyle="1" w:styleId="CharCharCharCharCharChar">
    <w:name w:val="Char Char Char Char Char Char"/>
    <w:basedOn w:val="Normlny"/>
    <w:pPr>
      <w:tabs>
        <w:tab w:val="num" w:pos="567"/>
      </w:tabs>
      <w:spacing w:line="240" w:lineRule="exact"/>
      <w:ind w:left="567" w:hanging="567"/>
    </w:pPr>
    <w:rPr>
      <w:rFonts w:ascii="Times New Roman Bold" w:hAnsi="Times New Roman Bold"/>
      <w:b/>
      <w:sz w:val="26"/>
      <w:szCs w:val="26"/>
      <w:lang w:eastAsia="en-US"/>
    </w:rPr>
  </w:style>
  <w:style w:type="paragraph" w:customStyle="1" w:styleId="Document1">
    <w:name w:val="Document 1"/>
    <w:pPr>
      <w:keepNext/>
      <w:keepLines/>
      <w:widowControl w:val="0"/>
      <w:tabs>
        <w:tab w:val="left" w:pos="-720"/>
      </w:tabs>
      <w:suppressAutoHyphens/>
      <w:adjustRightInd w:val="0"/>
      <w:spacing w:line="360" w:lineRule="atLeast"/>
      <w:jc w:val="both"/>
      <w:textAlignment w:val="baseline"/>
    </w:pPr>
    <w:rPr>
      <w:rFonts w:ascii="Courier New" w:hAnsi="Courier New"/>
      <w:sz w:val="24"/>
      <w:lang w:val="en-US"/>
    </w:rPr>
  </w:style>
  <w:style w:type="paragraph" w:customStyle="1" w:styleId="CharChar1">
    <w:name w:val="Char Char1"/>
    <w:basedOn w:val="Normlny"/>
    <w:pPr>
      <w:tabs>
        <w:tab w:val="num" w:pos="567"/>
      </w:tabs>
      <w:spacing w:line="240" w:lineRule="exact"/>
      <w:ind w:left="567" w:hanging="567"/>
    </w:pPr>
    <w:rPr>
      <w:rFonts w:ascii="Times New Roman Bold" w:hAnsi="Times New Roman Bold"/>
      <w:b/>
      <w:sz w:val="26"/>
      <w:szCs w:val="26"/>
      <w:lang w:eastAsia="en-US"/>
    </w:rPr>
  </w:style>
  <w:style w:type="paragraph" w:customStyle="1" w:styleId="CharChar">
    <w:name w:val="Char Char"/>
    <w:basedOn w:val="Normlny"/>
    <w:pPr>
      <w:tabs>
        <w:tab w:val="num" w:pos="567"/>
      </w:tabs>
      <w:spacing w:line="240" w:lineRule="exact"/>
      <w:ind w:left="567" w:hanging="567"/>
    </w:pPr>
    <w:rPr>
      <w:rFonts w:ascii="Times New Roman Bold" w:hAnsi="Times New Roman Bold"/>
      <w:b/>
      <w:sz w:val="26"/>
      <w:szCs w:val="26"/>
      <w:lang w:eastAsia="en-US"/>
    </w:rPr>
  </w:style>
  <w:style w:type="paragraph" w:styleId="Hlavika">
    <w:name w:val="header"/>
    <w:basedOn w:val="Normlny"/>
    <w:link w:val="HlavikaChar"/>
    <w:uiPriority w:val="99"/>
    <w:pPr>
      <w:tabs>
        <w:tab w:val="center" w:pos="4536"/>
        <w:tab w:val="right" w:pos="9072"/>
      </w:tabs>
    </w:pPr>
    <w:rPr>
      <w:lang w:eastAsia="en-US"/>
    </w:rPr>
  </w:style>
  <w:style w:type="character" w:styleId="Vrazn">
    <w:name w:val="Strong"/>
    <w:uiPriority w:val="22"/>
    <w:qFormat/>
    <w:rPr>
      <w:b/>
      <w:bCs/>
    </w:rPr>
  </w:style>
  <w:style w:type="paragraph" w:customStyle="1" w:styleId="NormlnyWWW">
    <w:name w:val="Normálny (WWW)"/>
    <w:basedOn w:val="Normlny"/>
    <w:rsid w:val="00BE2ABD"/>
    <w:pPr>
      <w:spacing w:before="100" w:beforeAutospacing="1" w:after="100" w:afterAutospacing="1"/>
    </w:pPr>
  </w:style>
  <w:style w:type="paragraph" w:customStyle="1" w:styleId="bodytext">
    <w:name w:val="bodytext"/>
    <w:basedOn w:val="Normlny"/>
    <w:rsid w:val="00B54895"/>
    <w:pPr>
      <w:spacing w:before="150" w:after="150"/>
    </w:pPr>
  </w:style>
  <w:style w:type="paragraph" w:styleId="Odsekzoznamu">
    <w:name w:val="List Paragraph"/>
    <w:basedOn w:val="Normlny"/>
    <w:uiPriority w:val="34"/>
    <w:qFormat/>
    <w:rsid w:val="0070198A"/>
    <w:pPr>
      <w:ind w:left="720"/>
    </w:pPr>
  </w:style>
  <w:style w:type="paragraph" w:customStyle="1" w:styleId="CharChar3CharCharCharChar">
    <w:name w:val="Char Char3 Char Char Char Char"/>
    <w:basedOn w:val="Normlny"/>
    <w:rsid w:val="008A6EF1"/>
    <w:pPr>
      <w:tabs>
        <w:tab w:val="num" w:pos="567"/>
      </w:tabs>
      <w:spacing w:line="240" w:lineRule="exact"/>
      <w:ind w:left="567" w:hanging="567"/>
    </w:pPr>
    <w:rPr>
      <w:rFonts w:ascii="Times New Roman Bold" w:hAnsi="Times New Roman Bold"/>
      <w:b/>
      <w:sz w:val="26"/>
      <w:szCs w:val="26"/>
      <w:lang w:eastAsia="en-US"/>
    </w:rPr>
  </w:style>
  <w:style w:type="character" w:styleId="slostrany">
    <w:name w:val="page number"/>
    <w:basedOn w:val="Predvolenpsmoodseku"/>
    <w:rsid w:val="00994CBE"/>
  </w:style>
  <w:style w:type="paragraph" w:customStyle="1" w:styleId="CharChar2">
    <w:name w:val="Char Char2"/>
    <w:basedOn w:val="Normlny"/>
    <w:rsid w:val="007B66BA"/>
    <w:pPr>
      <w:tabs>
        <w:tab w:val="num" w:pos="567"/>
      </w:tabs>
      <w:spacing w:line="240" w:lineRule="exact"/>
      <w:ind w:left="567" w:hanging="567"/>
    </w:pPr>
    <w:rPr>
      <w:rFonts w:ascii="Times New Roman Bold" w:hAnsi="Times New Roman Bold"/>
      <w:b/>
      <w:sz w:val="26"/>
      <w:szCs w:val="26"/>
      <w:lang w:eastAsia="en-US"/>
    </w:rPr>
  </w:style>
  <w:style w:type="character" w:customStyle="1" w:styleId="sermekova">
    <w:name w:val="sermekova"/>
    <w:semiHidden/>
    <w:rsid w:val="005068D5"/>
    <w:rPr>
      <w:rFonts w:ascii="Arial" w:hAnsi="Arial" w:cs="Arial"/>
      <w:color w:val="auto"/>
      <w:sz w:val="20"/>
      <w:szCs w:val="20"/>
    </w:rPr>
  </w:style>
  <w:style w:type="paragraph" w:customStyle="1" w:styleId="CharChar2CharCharChar">
    <w:name w:val="Char Char2 Char Char Char"/>
    <w:basedOn w:val="Normlny"/>
    <w:rsid w:val="004731A0"/>
    <w:pPr>
      <w:spacing w:after="160" w:line="240" w:lineRule="exact"/>
      <w:ind w:firstLine="720"/>
    </w:pPr>
    <w:rPr>
      <w:rFonts w:ascii="Tahoma" w:hAnsi="Tahoma"/>
      <w:sz w:val="20"/>
      <w:szCs w:val="20"/>
      <w:lang w:eastAsia="en-US"/>
    </w:rPr>
  </w:style>
  <w:style w:type="character" w:styleId="Hypertextovprepojenie">
    <w:name w:val="Hyperlink"/>
    <w:rsid w:val="00517E92"/>
    <w:rPr>
      <w:color w:val="0000FF"/>
      <w:u w:val="single"/>
    </w:rPr>
  </w:style>
  <w:style w:type="character" w:styleId="PouitHypertextovPrepojenie">
    <w:name w:val="FollowedHyperlink"/>
    <w:rsid w:val="00517E92"/>
    <w:rPr>
      <w:color w:val="606420"/>
      <w:u w:val="single"/>
    </w:rPr>
  </w:style>
  <w:style w:type="paragraph" w:styleId="Predmetkomentra">
    <w:name w:val="annotation subject"/>
    <w:basedOn w:val="Textkomentra"/>
    <w:next w:val="Textkomentra"/>
    <w:semiHidden/>
    <w:rsid w:val="00496A07"/>
    <w:rPr>
      <w:b/>
      <w:bCs/>
    </w:rPr>
  </w:style>
  <w:style w:type="paragraph" w:customStyle="1" w:styleId="CharChar3Char">
    <w:name w:val="Char Char3 Char"/>
    <w:basedOn w:val="Normlny"/>
    <w:rsid w:val="009803AD"/>
    <w:pPr>
      <w:tabs>
        <w:tab w:val="num" w:pos="567"/>
      </w:tabs>
      <w:spacing w:line="240" w:lineRule="exact"/>
      <w:ind w:left="567" w:hanging="567"/>
    </w:pPr>
    <w:rPr>
      <w:rFonts w:ascii="Times New Roman Bold" w:hAnsi="Times New Roman Bold"/>
      <w:b/>
      <w:sz w:val="26"/>
      <w:szCs w:val="26"/>
      <w:lang w:eastAsia="en-US"/>
    </w:rPr>
  </w:style>
  <w:style w:type="character" w:customStyle="1" w:styleId="hurinek">
    <w:name w:val="hurinek"/>
    <w:semiHidden/>
    <w:rsid w:val="00F74878"/>
    <w:rPr>
      <w:rFonts w:ascii="Arial" w:hAnsi="Arial" w:cs="Arial"/>
      <w:color w:val="auto"/>
      <w:sz w:val="20"/>
      <w:szCs w:val="20"/>
    </w:rPr>
  </w:style>
  <w:style w:type="paragraph" w:customStyle="1" w:styleId="contents">
    <w:name w:val="contents"/>
    <w:basedOn w:val="Normlny"/>
    <w:rsid w:val="004A0398"/>
    <w:pPr>
      <w:spacing w:before="100" w:beforeAutospacing="1" w:after="100" w:afterAutospacing="1"/>
    </w:pPr>
  </w:style>
  <w:style w:type="paragraph" w:customStyle="1" w:styleId="Odsekzoznamu1">
    <w:name w:val="Odsek zoznamu1"/>
    <w:basedOn w:val="Normlny"/>
    <w:qFormat/>
    <w:rsid w:val="00400B08"/>
    <w:pPr>
      <w:spacing w:after="200" w:line="276" w:lineRule="auto"/>
      <w:ind w:left="720"/>
    </w:pPr>
    <w:rPr>
      <w:rFonts w:ascii="Calibri" w:eastAsia="Calibri" w:hAnsi="Calibri" w:cs="Calibri"/>
      <w:sz w:val="22"/>
      <w:szCs w:val="22"/>
      <w:lang w:eastAsia="en-US"/>
    </w:rPr>
  </w:style>
  <w:style w:type="paragraph" w:styleId="Zoznam">
    <w:name w:val="List"/>
    <w:basedOn w:val="Normlny"/>
    <w:rsid w:val="004450BD"/>
    <w:pPr>
      <w:ind w:left="283" w:hanging="283"/>
    </w:pPr>
    <w:rPr>
      <w:sz w:val="20"/>
      <w:szCs w:val="20"/>
      <w:lang w:eastAsia="cs-CZ"/>
    </w:rPr>
  </w:style>
  <w:style w:type="paragraph" w:customStyle="1" w:styleId="CharChar10">
    <w:name w:val="Char Char1"/>
    <w:basedOn w:val="Normlny"/>
    <w:rsid w:val="006E5130"/>
    <w:pPr>
      <w:spacing w:after="160" w:line="240" w:lineRule="exact"/>
    </w:pPr>
    <w:rPr>
      <w:rFonts w:ascii="Tahoma" w:hAnsi="Tahoma" w:cs="Tahoma"/>
      <w:sz w:val="20"/>
      <w:szCs w:val="20"/>
      <w:lang w:eastAsia="en-US"/>
    </w:rPr>
  </w:style>
  <w:style w:type="paragraph" w:customStyle="1" w:styleId="CharCharCharCharCharCharCharChar1CharCharCharCharCharChar">
    <w:name w:val="Char Char Char Char Char Char Char Char1 Char Char Char Char Char Char"/>
    <w:basedOn w:val="Normlny"/>
    <w:rsid w:val="0015001A"/>
    <w:pPr>
      <w:spacing w:after="160" w:line="240" w:lineRule="exact"/>
    </w:pPr>
    <w:rPr>
      <w:rFonts w:ascii="Tahoma" w:hAnsi="Tahoma" w:cs="Tahoma"/>
      <w:sz w:val="20"/>
      <w:szCs w:val="20"/>
      <w:lang w:val="en-US" w:eastAsia="en-US"/>
    </w:rPr>
  </w:style>
  <w:style w:type="paragraph" w:customStyle="1" w:styleId="CharCharCharCharChar">
    <w:name w:val="Char Char Char Char Char"/>
    <w:basedOn w:val="Normlny"/>
    <w:rsid w:val="0015001A"/>
    <w:pPr>
      <w:spacing w:after="160" w:line="240" w:lineRule="exact"/>
    </w:pPr>
    <w:rPr>
      <w:rFonts w:ascii="Tahoma" w:hAnsi="Tahoma" w:cs="Tahoma"/>
      <w:sz w:val="20"/>
      <w:szCs w:val="20"/>
      <w:lang w:val="en-US" w:eastAsia="en-US"/>
    </w:rPr>
  </w:style>
  <w:style w:type="paragraph" w:customStyle="1" w:styleId="CarCharCharCharCharCharCharCharCharChar2CharCharCharCharCharCharCharCharCharCharCharCharCharCharCharCharCharCharCharCharChar">
    <w:name w:val="Car Char Char Char Char Char Char Char Char Char2 Char Char Char Char Char Char Char Char Char Char Char Char Char Char Char Char Char Char Char Char Char"/>
    <w:basedOn w:val="Normlny"/>
    <w:rsid w:val="006527F7"/>
    <w:pPr>
      <w:tabs>
        <w:tab w:val="num" w:pos="567"/>
      </w:tabs>
      <w:spacing w:line="240" w:lineRule="exact"/>
      <w:ind w:left="567" w:hanging="567"/>
    </w:pPr>
    <w:rPr>
      <w:rFonts w:ascii="Times New Roman Bold" w:hAnsi="Times New Roman Bold" w:cs="Times New Roman Bold"/>
      <w:b/>
      <w:bCs/>
      <w:color w:val="000000"/>
      <w:sz w:val="26"/>
      <w:szCs w:val="26"/>
      <w:lang w:eastAsia="en-US"/>
    </w:rPr>
  </w:style>
  <w:style w:type="table" w:styleId="Mriekatabuky">
    <w:name w:val="Table Grid"/>
    <w:basedOn w:val="Normlnatabuka"/>
    <w:uiPriority w:val="59"/>
    <w:rsid w:val="008A0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nabsatz">
    <w:name w:val="listenabsatz"/>
    <w:basedOn w:val="Normlny"/>
    <w:rsid w:val="00206103"/>
    <w:pPr>
      <w:suppressAutoHyphens/>
      <w:spacing w:after="280" w:line="240" w:lineRule="atLeast"/>
      <w:ind w:left="720"/>
    </w:pPr>
    <w:rPr>
      <w:rFonts w:ascii="Calibri" w:hAnsi="Calibri" w:cs="Calibri"/>
      <w:sz w:val="22"/>
      <w:szCs w:val="22"/>
      <w:lang w:eastAsia="ar-SA"/>
    </w:rPr>
  </w:style>
  <w:style w:type="paragraph" w:customStyle="1" w:styleId="qwe">
    <w:name w:val="qwe"/>
    <w:basedOn w:val="Normlny"/>
    <w:rsid w:val="00AB5E7C"/>
    <w:pPr>
      <w:numPr>
        <w:numId w:val="5"/>
      </w:numPr>
      <w:spacing w:line="288" w:lineRule="auto"/>
    </w:pPr>
    <w:rPr>
      <w:rFonts w:eastAsia="MS Mincho"/>
      <w:sz w:val="22"/>
      <w:lang w:val="en-GB" w:eastAsia="ja-JP"/>
    </w:rPr>
  </w:style>
  <w:style w:type="paragraph" w:customStyle="1" w:styleId="para">
    <w:name w:val="para"/>
    <w:basedOn w:val="qwe"/>
    <w:link w:val="paraChar"/>
    <w:rsid w:val="00AB5E7C"/>
    <w:rPr>
      <w:lang w:val="x-none"/>
    </w:rPr>
  </w:style>
  <w:style w:type="character" w:customStyle="1" w:styleId="paraChar">
    <w:name w:val="para Char"/>
    <w:link w:val="para"/>
    <w:rsid w:val="00AB5E7C"/>
    <w:rPr>
      <w:rFonts w:eastAsia="MS Mincho"/>
      <w:sz w:val="22"/>
      <w:szCs w:val="24"/>
      <w:lang w:val="x-none" w:eastAsia="ja-JP"/>
    </w:rPr>
  </w:style>
  <w:style w:type="character" w:customStyle="1" w:styleId="spanr">
    <w:name w:val="span_r"/>
    <w:basedOn w:val="Predvolenpsmoodseku"/>
    <w:rsid w:val="00CB68D1"/>
  </w:style>
  <w:style w:type="character" w:customStyle="1" w:styleId="Textzstupnhosymbolu1">
    <w:name w:val="Text zástupného symbolu1"/>
    <w:rsid w:val="00C1084F"/>
    <w:rPr>
      <w:rFonts w:ascii="Times New Roman" w:hAnsi="Times New Roman" w:cs="Times New Roman"/>
      <w:color w:val="808080"/>
    </w:rPr>
  </w:style>
  <w:style w:type="paragraph" w:styleId="Obyajntext">
    <w:name w:val="Plain Text"/>
    <w:basedOn w:val="Normlny"/>
    <w:link w:val="ObyajntextChar"/>
    <w:uiPriority w:val="99"/>
    <w:rsid w:val="00907B48"/>
    <w:rPr>
      <w:rFonts w:ascii="Courier New" w:hAnsi="Courier New" w:cs="Courier New"/>
      <w:sz w:val="20"/>
      <w:szCs w:val="20"/>
    </w:rPr>
  </w:style>
  <w:style w:type="paragraph" w:customStyle="1" w:styleId="Odsekzoznamu10">
    <w:name w:val="Odsek zoznamu1"/>
    <w:basedOn w:val="Normlny"/>
    <w:qFormat/>
    <w:rsid w:val="00A01EB1"/>
    <w:pPr>
      <w:spacing w:after="200" w:line="276" w:lineRule="auto"/>
      <w:ind w:left="720"/>
      <w:contextualSpacing/>
    </w:pPr>
    <w:rPr>
      <w:rFonts w:ascii="Calibri" w:eastAsia="Calibri" w:hAnsi="Calibri"/>
      <w:sz w:val="22"/>
      <w:szCs w:val="22"/>
      <w:lang w:eastAsia="en-US"/>
    </w:rPr>
  </w:style>
  <w:style w:type="character" w:customStyle="1" w:styleId="Textzstupnhosymbolu10">
    <w:name w:val="Text zástupného symbolu1"/>
    <w:rsid w:val="00A01EB1"/>
    <w:rPr>
      <w:rFonts w:ascii="Times New Roman" w:hAnsi="Times New Roman" w:cs="Times New Roman"/>
      <w:color w:val="808080"/>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Normlny"/>
    <w:next w:val="Normlny"/>
    <w:rsid w:val="00924FEB"/>
    <w:pPr>
      <w:spacing w:after="160" w:line="240" w:lineRule="exact"/>
    </w:pPr>
    <w:rPr>
      <w:rFonts w:ascii="Tahoma" w:hAnsi="Tahoma" w:cs="Tahoma"/>
      <w:lang w:val="en-US" w:eastAsia="en-US"/>
    </w:rPr>
  </w:style>
  <w:style w:type="character" w:styleId="Zstupntext">
    <w:name w:val="Placeholder Text"/>
    <w:uiPriority w:val="99"/>
    <w:semiHidden/>
    <w:rsid w:val="009843AC"/>
    <w:rPr>
      <w:rFonts w:ascii="Times New Roman" w:hAnsi="Times New Roman" w:cs="Times New Roman"/>
      <w:color w:val="808080"/>
    </w:rPr>
  </w:style>
  <w:style w:type="paragraph" w:customStyle="1" w:styleId="CharChar1CharChar">
    <w:name w:val="Char Char1 Char Char"/>
    <w:basedOn w:val="Normlny"/>
    <w:rsid w:val="00C46855"/>
    <w:pPr>
      <w:tabs>
        <w:tab w:val="num" w:pos="567"/>
      </w:tabs>
      <w:spacing w:line="240" w:lineRule="exact"/>
      <w:ind w:left="567" w:hanging="567"/>
    </w:pPr>
    <w:rPr>
      <w:rFonts w:ascii="Times New Roman Bold" w:hAnsi="Times New Roman Bold" w:cs="Times New Roman Bold"/>
      <w:b/>
      <w:bCs/>
      <w:color w:val="000000"/>
      <w:sz w:val="26"/>
      <w:szCs w:val="26"/>
      <w:lang w:eastAsia="en-US"/>
    </w:rPr>
  </w:style>
  <w:style w:type="character" w:customStyle="1" w:styleId="HlavikaChar">
    <w:name w:val="Hlavička Char"/>
    <w:link w:val="Hlavika"/>
    <w:uiPriority w:val="99"/>
    <w:rsid w:val="00271A36"/>
    <w:rPr>
      <w:sz w:val="24"/>
      <w:szCs w:val="24"/>
      <w:lang w:eastAsia="en-US"/>
    </w:rPr>
  </w:style>
  <w:style w:type="paragraph" w:customStyle="1" w:styleId="Zarkazkladnhotextu31">
    <w:name w:val="Zarážka základného textu 31"/>
    <w:basedOn w:val="Normlny"/>
    <w:rsid w:val="00076806"/>
    <w:pPr>
      <w:suppressAutoHyphens/>
      <w:spacing w:after="120"/>
      <w:ind w:left="283"/>
    </w:pPr>
    <w:rPr>
      <w:sz w:val="16"/>
      <w:szCs w:val="16"/>
      <w:lang w:eastAsia="ar-SA"/>
    </w:rPr>
  </w:style>
  <w:style w:type="paragraph" w:customStyle="1" w:styleId="IDRRecommendationsBulletPoints">
    <w:name w:val="IDR Recommendations Bullet Points"/>
    <w:basedOn w:val="Normlny"/>
    <w:qFormat/>
    <w:rsid w:val="00076806"/>
    <w:pPr>
      <w:numPr>
        <w:numId w:val="6"/>
      </w:numPr>
      <w:spacing w:after="120"/>
    </w:pPr>
    <w:rPr>
      <w:rFonts w:ascii="Calibri" w:hAnsi="Calibri"/>
      <w:i/>
      <w:sz w:val="21"/>
      <w:szCs w:val="22"/>
      <w:lang w:val="en-GB" w:eastAsia="en-US"/>
    </w:rPr>
  </w:style>
  <w:style w:type="paragraph" w:customStyle="1" w:styleId="mesgcontent">
    <w:name w:val="mesg_content"/>
    <w:basedOn w:val="Normlny"/>
    <w:rsid w:val="00076806"/>
    <w:pPr>
      <w:spacing w:before="144" w:after="144"/>
      <w:ind w:firstLine="480"/>
    </w:pPr>
    <w:rPr>
      <w:sz w:val="16"/>
      <w:szCs w:val="16"/>
    </w:rPr>
  </w:style>
  <w:style w:type="character" w:customStyle="1" w:styleId="TextbublinyChar">
    <w:name w:val="Text bubliny Char"/>
    <w:link w:val="Textbubliny"/>
    <w:rsid w:val="00622BF9"/>
    <w:rPr>
      <w:rFonts w:ascii="Tahoma" w:hAnsi="Tahoma" w:cs="Tahoma"/>
      <w:sz w:val="16"/>
      <w:szCs w:val="16"/>
    </w:rPr>
  </w:style>
  <w:style w:type="character" w:customStyle="1" w:styleId="Nadpis1Char">
    <w:name w:val="Nadpis 1 Char"/>
    <w:aliases w:val="Čo robí (časť) Char"/>
    <w:link w:val="Nadpis1"/>
    <w:rsid w:val="003E276A"/>
    <w:rPr>
      <w:rFonts w:eastAsia="Arial Unicode MS"/>
      <w:b/>
      <w:sz w:val="28"/>
    </w:rPr>
  </w:style>
  <w:style w:type="character" w:customStyle="1" w:styleId="FontStyle36">
    <w:name w:val="Font Style36"/>
    <w:uiPriority w:val="99"/>
    <w:rsid w:val="003470E8"/>
    <w:rPr>
      <w:rFonts w:ascii="Verdana" w:hAnsi="Verdana" w:cs="Verdana"/>
      <w:b/>
      <w:bCs/>
      <w:sz w:val="20"/>
      <w:szCs w:val="20"/>
    </w:rPr>
  </w:style>
  <w:style w:type="paragraph" w:customStyle="1" w:styleId="Style10">
    <w:name w:val="Style10"/>
    <w:basedOn w:val="Normlny"/>
    <w:uiPriority w:val="99"/>
    <w:rsid w:val="003470E8"/>
    <w:pPr>
      <w:autoSpaceDE w:val="0"/>
      <w:autoSpaceDN w:val="0"/>
    </w:pPr>
    <w:rPr>
      <w:rFonts w:ascii="Verdana" w:hAnsi="Verdana"/>
    </w:rPr>
  </w:style>
  <w:style w:type="paragraph" w:customStyle="1" w:styleId="Style6">
    <w:name w:val="Style6"/>
    <w:basedOn w:val="Normlny"/>
    <w:uiPriority w:val="99"/>
    <w:rsid w:val="003470E8"/>
    <w:pPr>
      <w:autoSpaceDE w:val="0"/>
      <w:autoSpaceDN w:val="0"/>
      <w:spacing w:line="144" w:lineRule="exact"/>
      <w:jc w:val="center"/>
    </w:pPr>
    <w:rPr>
      <w:rFonts w:ascii="Calibri" w:hAnsi="Calibri"/>
    </w:rPr>
  </w:style>
  <w:style w:type="character" w:customStyle="1" w:styleId="FontStyle29">
    <w:name w:val="Font Style29"/>
    <w:uiPriority w:val="99"/>
    <w:rsid w:val="003470E8"/>
    <w:rPr>
      <w:rFonts w:ascii="Calibri" w:hAnsi="Calibri" w:cs="Calibri"/>
      <w:sz w:val="12"/>
      <w:szCs w:val="12"/>
    </w:rPr>
  </w:style>
  <w:style w:type="paragraph" w:customStyle="1" w:styleId="ListParagraph1">
    <w:name w:val="List Paragraph1"/>
    <w:basedOn w:val="Normlny"/>
    <w:rsid w:val="00203A36"/>
    <w:pPr>
      <w:suppressAutoHyphens/>
      <w:spacing w:after="200" w:line="276" w:lineRule="auto"/>
      <w:ind w:left="720"/>
    </w:pPr>
    <w:rPr>
      <w:rFonts w:ascii="Calibri" w:eastAsia="Calibri" w:hAnsi="Calibri"/>
      <w:sz w:val="22"/>
      <w:szCs w:val="22"/>
      <w:lang w:eastAsia="ar-SA"/>
    </w:rPr>
  </w:style>
  <w:style w:type="paragraph" w:customStyle="1" w:styleId="Default">
    <w:name w:val="Default"/>
    <w:rsid w:val="00236C01"/>
    <w:pPr>
      <w:widowControl w:val="0"/>
      <w:autoSpaceDE w:val="0"/>
      <w:autoSpaceDN w:val="0"/>
      <w:adjustRightInd w:val="0"/>
      <w:spacing w:line="360" w:lineRule="atLeast"/>
      <w:jc w:val="both"/>
      <w:textAlignment w:val="baseline"/>
    </w:pPr>
    <w:rPr>
      <w:color w:val="000000"/>
      <w:sz w:val="24"/>
      <w:szCs w:val="24"/>
      <w:lang w:eastAsia="en-US"/>
    </w:rPr>
  </w:style>
  <w:style w:type="character" w:customStyle="1" w:styleId="lib-item">
    <w:name w:val="lib-item"/>
    <w:basedOn w:val="Predvolenpsmoodseku"/>
    <w:rsid w:val="00DF487A"/>
  </w:style>
  <w:style w:type="paragraph" w:customStyle="1" w:styleId="CharChar1CharCharCharCharCharCharCharCharCharCharCharChar">
    <w:name w:val="Char Char1 Char Char Char Char Char Char Char Char Char Char Char Char"/>
    <w:basedOn w:val="Normlny"/>
    <w:rsid w:val="00DB2BEE"/>
    <w:pPr>
      <w:tabs>
        <w:tab w:val="num" w:pos="567"/>
      </w:tabs>
      <w:spacing w:line="240" w:lineRule="exact"/>
      <w:ind w:left="567" w:hanging="567"/>
    </w:pPr>
    <w:rPr>
      <w:rFonts w:ascii="Times New Roman Bold" w:hAnsi="Times New Roman Bold" w:cs="Times New Roman Bold"/>
      <w:b/>
      <w:bCs/>
      <w:color w:val="000000"/>
      <w:sz w:val="26"/>
      <w:szCs w:val="26"/>
      <w:lang w:eastAsia="en-US"/>
    </w:rPr>
  </w:style>
  <w:style w:type="character" w:customStyle="1" w:styleId="ZkladntextChar">
    <w:name w:val="Základný text Char"/>
    <w:aliases w:val="b Char,Základný text1 Char"/>
    <w:link w:val="Zkladntext"/>
    <w:rsid w:val="00311DD3"/>
    <w:rPr>
      <w:b/>
      <w:sz w:val="24"/>
    </w:rPr>
  </w:style>
  <w:style w:type="character" w:customStyle="1" w:styleId="FontStyle18">
    <w:name w:val="Font Style18"/>
    <w:uiPriority w:val="99"/>
    <w:rsid w:val="000528CF"/>
    <w:rPr>
      <w:rFonts w:ascii="Times New Roman" w:hAnsi="Times New Roman" w:cs="Times New Roman" w:hint="default"/>
      <w:sz w:val="22"/>
      <w:szCs w:val="22"/>
    </w:rPr>
  </w:style>
  <w:style w:type="character" w:customStyle="1" w:styleId="ObyajntextChar">
    <w:name w:val="Obyčajný text Char"/>
    <w:link w:val="Obyajntext"/>
    <w:uiPriority w:val="99"/>
    <w:rsid w:val="002A357B"/>
    <w:rPr>
      <w:rFonts w:ascii="Courier New" w:hAnsi="Courier New" w:cs="Courier New"/>
    </w:rPr>
  </w:style>
  <w:style w:type="character" w:customStyle="1" w:styleId="columnr">
    <w:name w:val="column_r"/>
    <w:rsid w:val="005573C1"/>
  </w:style>
  <w:style w:type="character" w:customStyle="1" w:styleId="CharStyle7">
    <w:name w:val="Char Style 7"/>
    <w:link w:val="Style60"/>
    <w:uiPriority w:val="99"/>
    <w:locked/>
    <w:rsid w:val="002F4C81"/>
    <w:rPr>
      <w:sz w:val="23"/>
      <w:szCs w:val="23"/>
      <w:shd w:val="clear" w:color="auto" w:fill="FFFFFF"/>
    </w:rPr>
  </w:style>
  <w:style w:type="paragraph" w:customStyle="1" w:styleId="Style60">
    <w:name w:val="Style 6"/>
    <w:basedOn w:val="Normlny"/>
    <w:link w:val="CharStyle7"/>
    <w:uiPriority w:val="99"/>
    <w:rsid w:val="002F4C81"/>
    <w:pPr>
      <w:shd w:val="clear" w:color="auto" w:fill="FFFFFF"/>
      <w:spacing w:before="180" w:after="420" w:line="274" w:lineRule="exact"/>
    </w:pPr>
    <w:rPr>
      <w:sz w:val="23"/>
      <w:szCs w:val="23"/>
    </w:rPr>
  </w:style>
  <w:style w:type="character" w:customStyle="1" w:styleId="TextkomentraChar">
    <w:name w:val="Text komentára Char"/>
    <w:link w:val="Textkomentra"/>
    <w:uiPriority w:val="99"/>
    <w:semiHidden/>
    <w:rsid w:val="004353A0"/>
  </w:style>
  <w:style w:type="character" w:customStyle="1" w:styleId="Nadpis3Char">
    <w:name w:val="Nadpis 3 Char"/>
    <w:link w:val="Nadpis3"/>
    <w:rsid w:val="00F53DCE"/>
    <w:rPr>
      <w:rFonts w:eastAsia="Arial Unicode MS"/>
      <w:b/>
      <w:i/>
      <w:sz w:val="28"/>
    </w:rPr>
  </w:style>
  <w:style w:type="paragraph" w:styleId="Bezriadkovania">
    <w:name w:val="No Spacing"/>
    <w:uiPriority w:val="1"/>
    <w:qFormat/>
    <w:rsid w:val="00DA1E4D"/>
    <w:pPr>
      <w:widowControl w:val="0"/>
      <w:adjustRightInd w:val="0"/>
      <w:spacing w:line="360" w:lineRule="atLeast"/>
      <w:jc w:val="both"/>
      <w:textAlignment w:val="baseline"/>
    </w:pPr>
    <w:rPr>
      <w:rFonts w:ascii="Calibri" w:eastAsia="Calibri" w:hAnsi="Calibri"/>
      <w:sz w:val="22"/>
      <w:szCs w:val="22"/>
      <w:lang w:eastAsia="en-US"/>
    </w:rPr>
  </w:style>
  <w:style w:type="table" w:customStyle="1" w:styleId="Mriekatabuky1">
    <w:name w:val="Mriežka tabuľky1"/>
    <w:basedOn w:val="Normlnatabuka"/>
    <w:next w:val="Mriekatabuky"/>
    <w:uiPriority w:val="59"/>
    <w:rsid w:val="00732E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poznmkypodiarouChar">
    <w:name w:val="Text poznámky pod čiarou Char"/>
    <w:aliases w:val="Text poznámky pod čiarou 007 Char"/>
    <w:link w:val="Textpoznmkypodiarou"/>
    <w:uiPriority w:val="99"/>
    <w:rsid w:val="00337789"/>
  </w:style>
  <w:style w:type="character" w:customStyle="1" w:styleId="PtaChar">
    <w:name w:val="Päta Char"/>
    <w:link w:val="Pta"/>
    <w:uiPriority w:val="99"/>
    <w:rsid w:val="003E679E"/>
    <w:rPr>
      <w:sz w:val="24"/>
      <w:szCs w:val="24"/>
    </w:rPr>
  </w:style>
  <w:style w:type="character" w:customStyle="1" w:styleId="ppp-input-value">
    <w:name w:val="ppp-input-value"/>
    <w:rsid w:val="0014150F"/>
  </w:style>
  <w:style w:type="paragraph" w:styleId="Revzia">
    <w:name w:val="Revision"/>
    <w:hidden/>
    <w:uiPriority w:val="99"/>
    <w:semiHidden/>
    <w:rsid w:val="00C30B47"/>
    <w:rPr>
      <w:sz w:val="24"/>
      <w:szCs w:val="24"/>
    </w:rPr>
  </w:style>
  <w:style w:type="table" w:customStyle="1" w:styleId="Mriekatabuky2">
    <w:name w:val="Mriežka tabuľky2"/>
    <w:basedOn w:val="Normlnatabuka"/>
    <w:next w:val="Mriekatabuky"/>
    <w:uiPriority w:val="39"/>
    <w:rsid w:val="002967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39"/>
    <w:rsid w:val="00A867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8847">
      <w:bodyDiv w:val="1"/>
      <w:marLeft w:val="0"/>
      <w:marRight w:val="0"/>
      <w:marTop w:val="0"/>
      <w:marBottom w:val="0"/>
      <w:divBdr>
        <w:top w:val="none" w:sz="0" w:space="0" w:color="auto"/>
        <w:left w:val="none" w:sz="0" w:space="0" w:color="auto"/>
        <w:bottom w:val="none" w:sz="0" w:space="0" w:color="auto"/>
        <w:right w:val="none" w:sz="0" w:space="0" w:color="auto"/>
      </w:divBdr>
      <w:divsChild>
        <w:div w:id="1572427475">
          <w:marLeft w:val="0"/>
          <w:marRight w:val="0"/>
          <w:marTop w:val="0"/>
          <w:marBottom w:val="0"/>
          <w:divBdr>
            <w:top w:val="none" w:sz="0" w:space="0" w:color="auto"/>
            <w:left w:val="none" w:sz="0" w:space="0" w:color="auto"/>
            <w:bottom w:val="none" w:sz="0" w:space="0" w:color="auto"/>
            <w:right w:val="none" w:sz="0" w:space="0" w:color="auto"/>
          </w:divBdr>
        </w:div>
      </w:divsChild>
    </w:div>
    <w:div w:id="46422118">
      <w:bodyDiv w:val="1"/>
      <w:marLeft w:val="0"/>
      <w:marRight w:val="0"/>
      <w:marTop w:val="0"/>
      <w:marBottom w:val="0"/>
      <w:divBdr>
        <w:top w:val="none" w:sz="0" w:space="0" w:color="auto"/>
        <w:left w:val="none" w:sz="0" w:space="0" w:color="auto"/>
        <w:bottom w:val="none" w:sz="0" w:space="0" w:color="auto"/>
        <w:right w:val="none" w:sz="0" w:space="0" w:color="auto"/>
      </w:divBdr>
      <w:divsChild>
        <w:div w:id="1432318554">
          <w:marLeft w:val="0"/>
          <w:marRight w:val="0"/>
          <w:marTop w:val="0"/>
          <w:marBottom w:val="0"/>
          <w:divBdr>
            <w:top w:val="none" w:sz="0" w:space="0" w:color="auto"/>
            <w:left w:val="none" w:sz="0" w:space="0" w:color="auto"/>
            <w:bottom w:val="none" w:sz="0" w:space="0" w:color="auto"/>
            <w:right w:val="none" w:sz="0" w:space="0" w:color="auto"/>
          </w:divBdr>
        </w:div>
      </w:divsChild>
    </w:div>
    <w:div w:id="65879840">
      <w:bodyDiv w:val="1"/>
      <w:marLeft w:val="0"/>
      <w:marRight w:val="0"/>
      <w:marTop w:val="0"/>
      <w:marBottom w:val="0"/>
      <w:divBdr>
        <w:top w:val="none" w:sz="0" w:space="0" w:color="auto"/>
        <w:left w:val="none" w:sz="0" w:space="0" w:color="auto"/>
        <w:bottom w:val="none" w:sz="0" w:space="0" w:color="auto"/>
        <w:right w:val="none" w:sz="0" w:space="0" w:color="auto"/>
      </w:divBdr>
    </w:div>
    <w:div w:id="68239925">
      <w:bodyDiv w:val="1"/>
      <w:marLeft w:val="0"/>
      <w:marRight w:val="0"/>
      <w:marTop w:val="0"/>
      <w:marBottom w:val="0"/>
      <w:divBdr>
        <w:top w:val="none" w:sz="0" w:space="0" w:color="auto"/>
        <w:left w:val="none" w:sz="0" w:space="0" w:color="auto"/>
        <w:bottom w:val="none" w:sz="0" w:space="0" w:color="auto"/>
        <w:right w:val="none" w:sz="0" w:space="0" w:color="auto"/>
      </w:divBdr>
    </w:div>
    <w:div w:id="69079796">
      <w:bodyDiv w:val="1"/>
      <w:marLeft w:val="0"/>
      <w:marRight w:val="0"/>
      <w:marTop w:val="0"/>
      <w:marBottom w:val="0"/>
      <w:divBdr>
        <w:top w:val="none" w:sz="0" w:space="0" w:color="auto"/>
        <w:left w:val="none" w:sz="0" w:space="0" w:color="auto"/>
        <w:bottom w:val="none" w:sz="0" w:space="0" w:color="auto"/>
        <w:right w:val="none" w:sz="0" w:space="0" w:color="auto"/>
      </w:divBdr>
    </w:div>
    <w:div w:id="173686678">
      <w:bodyDiv w:val="1"/>
      <w:marLeft w:val="0"/>
      <w:marRight w:val="0"/>
      <w:marTop w:val="0"/>
      <w:marBottom w:val="0"/>
      <w:divBdr>
        <w:top w:val="none" w:sz="0" w:space="0" w:color="auto"/>
        <w:left w:val="none" w:sz="0" w:space="0" w:color="auto"/>
        <w:bottom w:val="none" w:sz="0" w:space="0" w:color="auto"/>
        <w:right w:val="none" w:sz="0" w:space="0" w:color="auto"/>
      </w:divBdr>
    </w:div>
    <w:div w:id="183829324">
      <w:bodyDiv w:val="1"/>
      <w:marLeft w:val="0"/>
      <w:marRight w:val="0"/>
      <w:marTop w:val="0"/>
      <w:marBottom w:val="0"/>
      <w:divBdr>
        <w:top w:val="none" w:sz="0" w:space="0" w:color="auto"/>
        <w:left w:val="none" w:sz="0" w:space="0" w:color="auto"/>
        <w:bottom w:val="none" w:sz="0" w:space="0" w:color="auto"/>
        <w:right w:val="none" w:sz="0" w:space="0" w:color="auto"/>
      </w:divBdr>
      <w:divsChild>
        <w:div w:id="449472683">
          <w:marLeft w:val="0"/>
          <w:marRight w:val="0"/>
          <w:marTop w:val="0"/>
          <w:marBottom w:val="0"/>
          <w:divBdr>
            <w:top w:val="none" w:sz="0" w:space="0" w:color="auto"/>
            <w:left w:val="none" w:sz="0" w:space="0" w:color="auto"/>
            <w:bottom w:val="none" w:sz="0" w:space="0" w:color="auto"/>
            <w:right w:val="none" w:sz="0" w:space="0" w:color="auto"/>
          </w:divBdr>
        </w:div>
      </w:divsChild>
    </w:div>
    <w:div w:id="248851299">
      <w:bodyDiv w:val="1"/>
      <w:marLeft w:val="0"/>
      <w:marRight w:val="0"/>
      <w:marTop w:val="0"/>
      <w:marBottom w:val="0"/>
      <w:divBdr>
        <w:top w:val="none" w:sz="0" w:space="0" w:color="auto"/>
        <w:left w:val="none" w:sz="0" w:space="0" w:color="auto"/>
        <w:bottom w:val="none" w:sz="0" w:space="0" w:color="auto"/>
        <w:right w:val="none" w:sz="0" w:space="0" w:color="auto"/>
      </w:divBdr>
      <w:divsChild>
        <w:div w:id="2091150284">
          <w:marLeft w:val="0"/>
          <w:marRight w:val="0"/>
          <w:marTop w:val="0"/>
          <w:marBottom w:val="0"/>
          <w:divBdr>
            <w:top w:val="none" w:sz="0" w:space="0" w:color="auto"/>
            <w:left w:val="none" w:sz="0" w:space="0" w:color="auto"/>
            <w:bottom w:val="none" w:sz="0" w:space="0" w:color="auto"/>
            <w:right w:val="none" w:sz="0" w:space="0" w:color="auto"/>
          </w:divBdr>
        </w:div>
      </w:divsChild>
    </w:div>
    <w:div w:id="260769682">
      <w:bodyDiv w:val="1"/>
      <w:marLeft w:val="0"/>
      <w:marRight w:val="0"/>
      <w:marTop w:val="0"/>
      <w:marBottom w:val="0"/>
      <w:divBdr>
        <w:top w:val="none" w:sz="0" w:space="0" w:color="auto"/>
        <w:left w:val="none" w:sz="0" w:space="0" w:color="auto"/>
        <w:bottom w:val="none" w:sz="0" w:space="0" w:color="auto"/>
        <w:right w:val="none" w:sz="0" w:space="0" w:color="auto"/>
      </w:divBdr>
    </w:div>
    <w:div w:id="290981557">
      <w:bodyDiv w:val="1"/>
      <w:marLeft w:val="0"/>
      <w:marRight w:val="0"/>
      <w:marTop w:val="0"/>
      <w:marBottom w:val="0"/>
      <w:divBdr>
        <w:top w:val="none" w:sz="0" w:space="0" w:color="auto"/>
        <w:left w:val="none" w:sz="0" w:space="0" w:color="auto"/>
        <w:bottom w:val="none" w:sz="0" w:space="0" w:color="auto"/>
        <w:right w:val="none" w:sz="0" w:space="0" w:color="auto"/>
      </w:divBdr>
    </w:div>
    <w:div w:id="298919356">
      <w:bodyDiv w:val="1"/>
      <w:marLeft w:val="0"/>
      <w:marRight w:val="0"/>
      <w:marTop w:val="0"/>
      <w:marBottom w:val="0"/>
      <w:divBdr>
        <w:top w:val="none" w:sz="0" w:space="0" w:color="auto"/>
        <w:left w:val="none" w:sz="0" w:space="0" w:color="auto"/>
        <w:bottom w:val="none" w:sz="0" w:space="0" w:color="auto"/>
        <w:right w:val="none" w:sz="0" w:space="0" w:color="auto"/>
      </w:divBdr>
    </w:div>
    <w:div w:id="312179762">
      <w:bodyDiv w:val="1"/>
      <w:marLeft w:val="0"/>
      <w:marRight w:val="0"/>
      <w:marTop w:val="0"/>
      <w:marBottom w:val="0"/>
      <w:divBdr>
        <w:top w:val="none" w:sz="0" w:space="0" w:color="auto"/>
        <w:left w:val="none" w:sz="0" w:space="0" w:color="auto"/>
        <w:bottom w:val="none" w:sz="0" w:space="0" w:color="auto"/>
        <w:right w:val="none" w:sz="0" w:space="0" w:color="auto"/>
      </w:divBdr>
    </w:div>
    <w:div w:id="331031556">
      <w:bodyDiv w:val="1"/>
      <w:marLeft w:val="0"/>
      <w:marRight w:val="0"/>
      <w:marTop w:val="0"/>
      <w:marBottom w:val="0"/>
      <w:divBdr>
        <w:top w:val="none" w:sz="0" w:space="0" w:color="auto"/>
        <w:left w:val="none" w:sz="0" w:space="0" w:color="auto"/>
        <w:bottom w:val="none" w:sz="0" w:space="0" w:color="auto"/>
        <w:right w:val="none" w:sz="0" w:space="0" w:color="auto"/>
      </w:divBdr>
    </w:div>
    <w:div w:id="332997207">
      <w:bodyDiv w:val="1"/>
      <w:marLeft w:val="0"/>
      <w:marRight w:val="0"/>
      <w:marTop w:val="0"/>
      <w:marBottom w:val="0"/>
      <w:divBdr>
        <w:top w:val="none" w:sz="0" w:space="0" w:color="auto"/>
        <w:left w:val="none" w:sz="0" w:space="0" w:color="auto"/>
        <w:bottom w:val="none" w:sz="0" w:space="0" w:color="auto"/>
        <w:right w:val="none" w:sz="0" w:space="0" w:color="auto"/>
      </w:divBdr>
    </w:div>
    <w:div w:id="333652617">
      <w:bodyDiv w:val="1"/>
      <w:marLeft w:val="0"/>
      <w:marRight w:val="0"/>
      <w:marTop w:val="0"/>
      <w:marBottom w:val="0"/>
      <w:divBdr>
        <w:top w:val="none" w:sz="0" w:space="0" w:color="auto"/>
        <w:left w:val="none" w:sz="0" w:space="0" w:color="auto"/>
        <w:bottom w:val="none" w:sz="0" w:space="0" w:color="auto"/>
        <w:right w:val="none" w:sz="0" w:space="0" w:color="auto"/>
      </w:divBdr>
      <w:divsChild>
        <w:div w:id="192810926">
          <w:marLeft w:val="0"/>
          <w:marRight w:val="0"/>
          <w:marTop w:val="0"/>
          <w:marBottom w:val="0"/>
          <w:divBdr>
            <w:top w:val="none" w:sz="0" w:space="0" w:color="auto"/>
            <w:left w:val="none" w:sz="0" w:space="0" w:color="auto"/>
            <w:bottom w:val="none" w:sz="0" w:space="0" w:color="auto"/>
            <w:right w:val="none" w:sz="0" w:space="0" w:color="auto"/>
          </w:divBdr>
        </w:div>
      </w:divsChild>
    </w:div>
    <w:div w:id="405148091">
      <w:bodyDiv w:val="1"/>
      <w:marLeft w:val="0"/>
      <w:marRight w:val="0"/>
      <w:marTop w:val="0"/>
      <w:marBottom w:val="0"/>
      <w:divBdr>
        <w:top w:val="none" w:sz="0" w:space="0" w:color="auto"/>
        <w:left w:val="none" w:sz="0" w:space="0" w:color="auto"/>
        <w:bottom w:val="none" w:sz="0" w:space="0" w:color="auto"/>
        <w:right w:val="none" w:sz="0" w:space="0" w:color="auto"/>
      </w:divBdr>
    </w:div>
    <w:div w:id="472720234">
      <w:bodyDiv w:val="1"/>
      <w:marLeft w:val="0"/>
      <w:marRight w:val="0"/>
      <w:marTop w:val="0"/>
      <w:marBottom w:val="0"/>
      <w:divBdr>
        <w:top w:val="none" w:sz="0" w:space="0" w:color="auto"/>
        <w:left w:val="none" w:sz="0" w:space="0" w:color="auto"/>
        <w:bottom w:val="none" w:sz="0" w:space="0" w:color="auto"/>
        <w:right w:val="none" w:sz="0" w:space="0" w:color="auto"/>
      </w:divBdr>
    </w:div>
    <w:div w:id="484053424">
      <w:bodyDiv w:val="1"/>
      <w:marLeft w:val="0"/>
      <w:marRight w:val="0"/>
      <w:marTop w:val="0"/>
      <w:marBottom w:val="0"/>
      <w:divBdr>
        <w:top w:val="none" w:sz="0" w:space="0" w:color="auto"/>
        <w:left w:val="none" w:sz="0" w:space="0" w:color="auto"/>
        <w:bottom w:val="none" w:sz="0" w:space="0" w:color="auto"/>
        <w:right w:val="none" w:sz="0" w:space="0" w:color="auto"/>
      </w:divBdr>
    </w:div>
    <w:div w:id="513039425">
      <w:bodyDiv w:val="1"/>
      <w:marLeft w:val="0"/>
      <w:marRight w:val="0"/>
      <w:marTop w:val="0"/>
      <w:marBottom w:val="0"/>
      <w:divBdr>
        <w:top w:val="none" w:sz="0" w:space="0" w:color="auto"/>
        <w:left w:val="none" w:sz="0" w:space="0" w:color="auto"/>
        <w:bottom w:val="none" w:sz="0" w:space="0" w:color="auto"/>
        <w:right w:val="none" w:sz="0" w:space="0" w:color="auto"/>
      </w:divBdr>
      <w:divsChild>
        <w:div w:id="1615164455">
          <w:marLeft w:val="150"/>
          <w:marRight w:val="75"/>
          <w:marTop w:val="75"/>
          <w:marBottom w:val="75"/>
          <w:divBdr>
            <w:top w:val="none" w:sz="0" w:space="0" w:color="auto"/>
            <w:left w:val="none" w:sz="0" w:space="0" w:color="auto"/>
            <w:bottom w:val="none" w:sz="0" w:space="0" w:color="auto"/>
            <w:right w:val="none" w:sz="0" w:space="0" w:color="auto"/>
          </w:divBdr>
          <w:divsChild>
            <w:div w:id="128191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001308">
      <w:bodyDiv w:val="1"/>
      <w:marLeft w:val="0"/>
      <w:marRight w:val="0"/>
      <w:marTop w:val="0"/>
      <w:marBottom w:val="0"/>
      <w:divBdr>
        <w:top w:val="none" w:sz="0" w:space="0" w:color="auto"/>
        <w:left w:val="none" w:sz="0" w:space="0" w:color="auto"/>
        <w:bottom w:val="none" w:sz="0" w:space="0" w:color="auto"/>
        <w:right w:val="none" w:sz="0" w:space="0" w:color="auto"/>
      </w:divBdr>
    </w:div>
    <w:div w:id="650207848">
      <w:bodyDiv w:val="1"/>
      <w:marLeft w:val="0"/>
      <w:marRight w:val="0"/>
      <w:marTop w:val="0"/>
      <w:marBottom w:val="0"/>
      <w:divBdr>
        <w:top w:val="none" w:sz="0" w:space="0" w:color="auto"/>
        <w:left w:val="none" w:sz="0" w:space="0" w:color="auto"/>
        <w:bottom w:val="none" w:sz="0" w:space="0" w:color="auto"/>
        <w:right w:val="none" w:sz="0" w:space="0" w:color="auto"/>
      </w:divBdr>
    </w:div>
    <w:div w:id="666514821">
      <w:bodyDiv w:val="1"/>
      <w:marLeft w:val="0"/>
      <w:marRight w:val="0"/>
      <w:marTop w:val="0"/>
      <w:marBottom w:val="0"/>
      <w:divBdr>
        <w:top w:val="none" w:sz="0" w:space="0" w:color="auto"/>
        <w:left w:val="none" w:sz="0" w:space="0" w:color="auto"/>
        <w:bottom w:val="none" w:sz="0" w:space="0" w:color="auto"/>
        <w:right w:val="none" w:sz="0" w:space="0" w:color="auto"/>
      </w:divBdr>
    </w:div>
    <w:div w:id="677541423">
      <w:bodyDiv w:val="1"/>
      <w:marLeft w:val="0"/>
      <w:marRight w:val="0"/>
      <w:marTop w:val="0"/>
      <w:marBottom w:val="0"/>
      <w:divBdr>
        <w:top w:val="none" w:sz="0" w:space="0" w:color="auto"/>
        <w:left w:val="none" w:sz="0" w:space="0" w:color="auto"/>
        <w:bottom w:val="none" w:sz="0" w:space="0" w:color="auto"/>
        <w:right w:val="none" w:sz="0" w:space="0" w:color="auto"/>
      </w:divBdr>
    </w:div>
    <w:div w:id="704675424">
      <w:bodyDiv w:val="1"/>
      <w:marLeft w:val="0"/>
      <w:marRight w:val="0"/>
      <w:marTop w:val="0"/>
      <w:marBottom w:val="0"/>
      <w:divBdr>
        <w:top w:val="none" w:sz="0" w:space="0" w:color="auto"/>
        <w:left w:val="none" w:sz="0" w:space="0" w:color="auto"/>
        <w:bottom w:val="none" w:sz="0" w:space="0" w:color="auto"/>
        <w:right w:val="none" w:sz="0" w:space="0" w:color="auto"/>
      </w:divBdr>
    </w:div>
    <w:div w:id="738361225">
      <w:bodyDiv w:val="1"/>
      <w:marLeft w:val="0"/>
      <w:marRight w:val="0"/>
      <w:marTop w:val="0"/>
      <w:marBottom w:val="0"/>
      <w:divBdr>
        <w:top w:val="none" w:sz="0" w:space="0" w:color="auto"/>
        <w:left w:val="none" w:sz="0" w:space="0" w:color="auto"/>
        <w:bottom w:val="none" w:sz="0" w:space="0" w:color="auto"/>
        <w:right w:val="none" w:sz="0" w:space="0" w:color="auto"/>
      </w:divBdr>
      <w:divsChild>
        <w:div w:id="1020159761">
          <w:marLeft w:val="0"/>
          <w:marRight w:val="0"/>
          <w:marTop w:val="0"/>
          <w:marBottom w:val="0"/>
          <w:divBdr>
            <w:top w:val="none" w:sz="0" w:space="0" w:color="auto"/>
            <w:left w:val="none" w:sz="0" w:space="0" w:color="auto"/>
            <w:bottom w:val="none" w:sz="0" w:space="0" w:color="auto"/>
            <w:right w:val="none" w:sz="0" w:space="0" w:color="auto"/>
          </w:divBdr>
        </w:div>
      </w:divsChild>
    </w:div>
    <w:div w:id="800995435">
      <w:bodyDiv w:val="1"/>
      <w:marLeft w:val="0"/>
      <w:marRight w:val="0"/>
      <w:marTop w:val="0"/>
      <w:marBottom w:val="0"/>
      <w:divBdr>
        <w:top w:val="none" w:sz="0" w:space="0" w:color="auto"/>
        <w:left w:val="none" w:sz="0" w:space="0" w:color="auto"/>
        <w:bottom w:val="none" w:sz="0" w:space="0" w:color="auto"/>
        <w:right w:val="none" w:sz="0" w:space="0" w:color="auto"/>
      </w:divBdr>
    </w:div>
    <w:div w:id="808401571">
      <w:bodyDiv w:val="1"/>
      <w:marLeft w:val="0"/>
      <w:marRight w:val="0"/>
      <w:marTop w:val="0"/>
      <w:marBottom w:val="0"/>
      <w:divBdr>
        <w:top w:val="none" w:sz="0" w:space="0" w:color="auto"/>
        <w:left w:val="none" w:sz="0" w:space="0" w:color="auto"/>
        <w:bottom w:val="none" w:sz="0" w:space="0" w:color="auto"/>
        <w:right w:val="none" w:sz="0" w:space="0" w:color="auto"/>
      </w:divBdr>
    </w:div>
    <w:div w:id="821235208">
      <w:bodyDiv w:val="1"/>
      <w:marLeft w:val="0"/>
      <w:marRight w:val="0"/>
      <w:marTop w:val="0"/>
      <w:marBottom w:val="0"/>
      <w:divBdr>
        <w:top w:val="none" w:sz="0" w:space="0" w:color="auto"/>
        <w:left w:val="none" w:sz="0" w:space="0" w:color="auto"/>
        <w:bottom w:val="none" w:sz="0" w:space="0" w:color="auto"/>
        <w:right w:val="none" w:sz="0" w:space="0" w:color="auto"/>
      </w:divBdr>
    </w:div>
    <w:div w:id="837114163">
      <w:bodyDiv w:val="1"/>
      <w:marLeft w:val="0"/>
      <w:marRight w:val="0"/>
      <w:marTop w:val="0"/>
      <w:marBottom w:val="0"/>
      <w:divBdr>
        <w:top w:val="none" w:sz="0" w:space="0" w:color="auto"/>
        <w:left w:val="none" w:sz="0" w:space="0" w:color="auto"/>
        <w:bottom w:val="none" w:sz="0" w:space="0" w:color="auto"/>
        <w:right w:val="none" w:sz="0" w:space="0" w:color="auto"/>
      </w:divBdr>
    </w:div>
    <w:div w:id="871847337">
      <w:bodyDiv w:val="1"/>
      <w:marLeft w:val="0"/>
      <w:marRight w:val="0"/>
      <w:marTop w:val="0"/>
      <w:marBottom w:val="0"/>
      <w:divBdr>
        <w:top w:val="none" w:sz="0" w:space="0" w:color="auto"/>
        <w:left w:val="none" w:sz="0" w:space="0" w:color="auto"/>
        <w:bottom w:val="none" w:sz="0" w:space="0" w:color="auto"/>
        <w:right w:val="none" w:sz="0" w:space="0" w:color="auto"/>
      </w:divBdr>
    </w:div>
    <w:div w:id="890769998">
      <w:bodyDiv w:val="1"/>
      <w:marLeft w:val="0"/>
      <w:marRight w:val="0"/>
      <w:marTop w:val="0"/>
      <w:marBottom w:val="0"/>
      <w:divBdr>
        <w:top w:val="none" w:sz="0" w:space="0" w:color="auto"/>
        <w:left w:val="none" w:sz="0" w:space="0" w:color="auto"/>
        <w:bottom w:val="none" w:sz="0" w:space="0" w:color="auto"/>
        <w:right w:val="none" w:sz="0" w:space="0" w:color="auto"/>
      </w:divBdr>
    </w:div>
    <w:div w:id="916477729">
      <w:bodyDiv w:val="1"/>
      <w:marLeft w:val="0"/>
      <w:marRight w:val="0"/>
      <w:marTop w:val="0"/>
      <w:marBottom w:val="0"/>
      <w:divBdr>
        <w:top w:val="none" w:sz="0" w:space="0" w:color="auto"/>
        <w:left w:val="none" w:sz="0" w:space="0" w:color="auto"/>
        <w:bottom w:val="none" w:sz="0" w:space="0" w:color="auto"/>
        <w:right w:val="none" w:sz="0" w:space="0" w:color="auto"/>
      </w:divBdr>
    </w:div>
    <w:div w:id="917400017">
      <w:bodyDiv w:val="1"/>
      <w:marLeft w:val="0"/>
      <w:marRight w:val="0"/>
      <w:marTop w:val="0"/>
      <w:marBottom w:val="0"/>
      <w:divBdr>
        <w:top w:val="none" w:sz="0" w:space="0" w:color="auto"/>
        <w:left w:val="none" w:sz="0" w:space="0" w:color="auto"/>
        <w:bottom w:val="none" w:sz="0" w:space="0" w:color="auto"/>
        <w:right w:val="none" w:sz="0" w:space="0" w:color="auto"/>
      </w:divBdr>
    </w:div>
    <w:div w:id="937372804">
      <w:bodyDiv w:val="1"/>
      <w:marLeft w:val="0"/>
      <w:marRight w:val="0"/>
      <w:marTop w:val="0"/>
      <w:marBottom w:val="0"/>
      <w:divBdr>
        <w:top w:val="none" w:sz="0" w:space="0" w:color="auto"/>
        <w:left w:val="none" w:sz="0" w:space="0" w:color="auto"/>
        <w:bottom w:val="none" w:sz="0" w:space="0" w:color="auto"/>
        <w:right w:val="none" w:sz="0" w:space="0" w:color="auto"/>
      </w:divBdr>
    </w:div>
    <w:div w:id="992559780">
      <w:bodyDiv w:val="1"/>
      <w:marLeft w:val="0"/>
      <w:marRight w:val="0"/>
      <w:marTop w:val="0"/>
      <w:marBottom w:val="0"/>
      <w:divBdr>
        <w:top w:val="none" w:sz="0" w:space="0" w:color="auto"/>
        <w:left w:val="none" w:sz="0" w:space="0" w:color="auto"/>
        <w:bottom w:val="none" w:sz="0" w:space="0" w:color="auto"/>
        <w:right w:val="none" w:sz="0" w:space="0" w:color="auto"/>
      </w:divBdr>
    </w:div>
    <w:div w:id="1031492991">
      <w:bodyDiv w:val="1"/>
      <w:marLeft w:val="0"/>
      <w:marRight w:val="0"/>
      <w:marTop w:val="0"/>
      <w:marBottom w:val="0"/>
      <w:divBdr>
        <w:top w:val="none" w:sz="0" w:space="0" w:color="auto"/>
        <w:left w:val="none" w:sz="0" w:space="0" w:color="auto"/>
        <w:bottom w:val="none" w:sz="0" w:space="0" w:color="auto"/>
        <w:right w:val="none" w:sz="0" w:space="0" w:color="auto"/>
      </w:divBdr>
    </w:div>
    <w:div w:id="1056663261">
      <w:bodyDiv w:val="1"/>
      <w:marLeft w:val="0"/>
      <w:marRight w:val="0"/>
      <w:marTop w:val="0"/>
      <w:marBottom w:val="0"/>
      <w:divBdr>
        <w:top w:val="none" w:sz="0" w:space="0" w:color="auto"/>
        <w:left w:val="none" w:sz="0" w:space="0" w:color="auto"/>
        <w:bottom w:val="none" w:sz="0" w:space="0" w:color="auto"/>
        <w:right w:val="none" w:sz="0" w:space="0" w:color="auto"/>
      </w:divBdr>
    </w:div>
    <w:div w:id="1076437948">
      <w:bodyDiv w:val="1"/>
      <w:marLeft w:val="0"/>
      <w:marRight w:val="0"/>
      <w:marTop w:val="0"/>
      <w:marBottom w:val="0"/>
      <w:divBdr>
        <w:top w:val="none" w:sz="0" w:space="0" w:color="auto"/>
        <w:left w:val="none" w:sz="0" w:space="0" w:color="auto"/>
        <w:bottom w:val="none" w:sz="0" w:space="0" w:color="auto"/>
        <w:right w:val="none" w:sz="0" w:space="0" w:color="auto"/>
      </w:divBdr>
    </w:div>
    <w:div w:id="1096756705">
      <w:bodyDiv w:val="1"/>
      <w:marLeft w:val="0"/>
      <w:marRight w:val="0"/>
      <w:marTop w:val="0"/>
      <w:marBottom w:val="0"/>
      <w:divBdr>
        <w:top w:val="none" w:sz="0" w:space="0" w:color="auto"/>
        <w:left w:val="none" w:sz="0" w:space="0" w:color="auto"/>
        <w:bottom w:val="none" w:sz="0" w:space="0" w:color="auto"/>
        <w:right w:val="none" w:sz="0" w:space="0" w:color="auto"/>
      </w:divBdr>
    </w:div>
    <w:div w:id="1098526491">
      <w:bodyDiv w:val="1"/>
      <w:marLeft w:val="0"/>
      <w:marRight w:val="0"/>
      <w:marTop w:val="0"/>
      <w:marBottom w:val="0"/>
      <w:divBdr>
        <w:top w:val="none" w:sz="0" w:space="0" w:color="auto"/>
        <w:left w:val="none" w:sz="0" w:space="0" w:color="auto"/>
        <w:bottom w:val="none" w:sz="0" w:space="0" w:color="auto"/>
        <w:right w:val="none" w:sz="0" w:space="0" w:color="auto"/>
      </w:divBdr>
    </w:div>
    <w:div w:id="1126579595">
      <w:bodyDiv w:val="1"/>
      <w:marLeft w:val="0"/>
      <w:marRight w:val="0"/>
      <w:marTop w:val="0"/>
      <w:marBottom w:val="0"/>
      <w:divBdr>
        <w:top w:val="none" w:sz="0" w:space="0" w:color="auto"/>
        <w:left w:val="none" w:sz="0" w:space="0" w:color="auto"/>
        <w:bottom w:val="none" w:sz="0" w:space="0" w:color="auto"/>
        <w:right w:val="none" w:sz="0" w:space="0" w:color="auto"/>
      </w:divBdr>
    </w:div>
    <w:div w:id="1134257229">
      <w:bodyDiv w:val="1"/>
      <w:marLeft w:val="0"/>
      <w:marRight w:val="0"/>
      <w:marTop w:val="0"/>
      <w:marBottom w:val="0"/>
      <w:divBdr>
        <w:top w:val="none" w:sz="0" w:space="0" w:color="auto"/>
        <w:left w:val="none" w:sz="0" w:space="0" w:color="auto"/>
        <w:bottom w:val="none" w:sz="0" w:space="0" w:color="auto"/>
        <w:right w:val="none" w:sz="0" w:space="0" w:color="auto"/>
      </w:divBdr>
    </w:div>
    <w:div w:id="1188251984">
      <w:bodyDiv w:val="1"/>
      <w:marLeft w:val="0"/>
      <w:marRight w:val="0"/>
      <w:marTop w:val="0"/>
      <w:marBottom w:val="0"/>
      <w:divBdr>
        <w:top w:val="none" w:sz="0" w:space="0" w:color="auto"/>
        <w:left w:val="none" w:sz="0" w:space="0" w:color="auto"/>
        <w:bottom w:val="none" w:sz="0" w:space="0" w:color="auto"/>
        <w:right w:val="none" w:sz="0" w:space="0" w:color="auto"/>
      </w:divBdr>
      <w:divsChild>
        <w:div w:id="555050373">
          <w:marLeft w:val="0"/>
          <w:marRight w:val="0"/>
          <w:marTop w:val="0"/>
          <w:marBottom w:val="0"/>
          <w:divBdr>
            <w:top w:val="none" w:sz="0" w:space="0" w:color="auto"/>
            <w:left w:val="none" w:sz="0" w:space="0" w:color="auto"/>
            <w:bottom w:val="none" w:sz="0" w:space="0" w:color="auto"/>
            <w:right w:val="none" w:sz="0" w:space="0" w:color="auto"/>
          </w:divBdr>
        </w:div>
      </w:divsChild>
    </w:div>
    <w:div w:id="1193229036">
      <w:bodyDiv w:val="1"/>
      <w:marLeft w:val="0"/>
      <w:marRight w:val="0"/>
      <w:marTop w:val="0"/>
      <w:marBottom w:val="0"/>
      <w:divBdr>
        <w:top w:val="none" w:sz="0" w:space="0" w:color="auto"/>
        <w:left w:val="none" w:sz="0" w:space="0" w:color="auto"/>
        <w:bottom w:val="none" w:sz="0" w:space="0" w:color="auto"/>
        <w:right w:val="none" w:sz="0" w:space="0" w:color="auto"/>
      </w:divBdr>
    </w:div>
    <w:div w:id="1228297716">
      <w:bodyDiv w:val="1"/>
      <w:marLeft w:val="0"/>
      <w:marRight w:val="0"/>
      <w:marTop w:val="0"/>
      <w:marBottom w:val="0"/>
      <w:divBdr>
        <w:top w:val="none" w:sz="0" w:space="0" w:color="auto"/>
        <w:left w:val="none" w:sz="0" w:space="0" w:color="auto"/>
        <w:bottom w:val="none" w:sz="0" w:space="0" w:color="auto"/>
        <w:right w:val="none" w:sz="0" w:space="0" w:color="auto"/>
      </w:divBdr>
    </w:div>
    <w:div w:id="1231963597">
      <w:bodyDiv w:val="1"/>
      <w:marLeft w:val="0"/>
      <w:marRight w:val="0"/>
      <w:marTop w:val="0"/>
      <w:marBottom w:val="0"/>
      <w:divBdr>
        <w:top w:val="none" w:sz="0" w:space="0" w:color="auto"/>
        <w:left w:val="none" w:sz="0" w:space="0" w:color="auto"/>
        <w:bottom w:val="none" w:sz="0" w:space="0" w:color="auto"/>
        <w:right w:val="none" w:sz="0" w:space="0" w:color="auto"/>
      </w:divBdr>
    </w:div>
    <w:div w:id="1265723878">
      <w:bodyDiv w:val="1"/>
      <w:marLeft w:val="0"/>
      <w:marRight w:val="0"/>
      <w:marTop w:val="0"/>
      <w:marBottom w:val="0"/>
      <w:divBdr>
        <w:top w:val="none" w:sz="0" w:space="0" w:color="auto"/>
        <w:left w:val="none" w:sz="0" w:space="0" w:color="auto"/>
        <w:bottom w:val="none" w:sz="0" w:space="0" w:color="auto"/>
        <w:right w:val="none" w:sz="0" w:space="0" w:color="auto"/>
      </w:divBdr>
    </w:div>
    <w:div w:id="1293444151">
      <w:bodyDiv w:val="1"/>
      <w:marLeft w:val="0"/>
      <w:marRight w:val="0"/>
      <w:marTop w:val="0"/>
      <w:marBottom w:val="0"/>
      <w:divBdr>
        <w:top w:val="none" w:sz="0" w:space="0" w:color="auto"/>
        <w:left w:val="none" w:sz="0" w:space="0" w:color="auto"/>
        <w:bottom w:val="none" w:sz="0" w:space="0" w:color="auto"/>
        <w:right w:val="none" w:sz="0" w:space="0" w:color="auto"/>
      </w:divBdr>
    </w:div>
    <w:div w:id="1371301910">
      <w:bodyDiv w:val="1"/>
      <w:marLeft w:val="0"/>
      <w:marRight w:val="0"/>
      <w:marTop w:val="0"/>
      <w:marBottom w:val="0"/>
      <w:divBdr>
        <w:top w:val="none" w:sz="0" w:space="0" w:color="auto"/>
        <w:left w:val="none" w:sz="0" w:space="0" w:color="auto"/>
        <w:bottom w:val="none" w:sz="0" w:space="0" w:color="auto"/>
        <w:right w:val="none" w:sz="0" w:space="0" w:color="auto"/>
      </w:divBdr>
      <w:divsChild>
        <w:div w:id="140973923">
          <w:marLeft w:val="0"/>
          <w:marRight w:val="0"/>
          <w:marTop w:val="0"/>
          <w:marBottom w:val="0"/>
          <w:divBdr>
            <w:top w:val="none" w:sz="0" w:space="0" w:color="auto"/>
            <w:left w:val="none" w:sz="0" w:space="0" w:color="auto"/>
            <w:bottom w:val="none" w:sz="0" w:space="0" w:color="auto"/>
            <w:right w:val="none" w:sz="0" w:space="0" w:color="auto"/>
          </w:divBdr>
        </w:div>
      </w:divsChild>
    </w:div>
    <w:div w:id="1375694574">
      <w:bodyDiv w:val="1"/>
      <w:marLeft w:val="0"/>
      <w:marRight w:val="0"/>
      <w:marTop w:val="0"/>
      <w:marBottom w:val="0"/>
      <w:divBdr>
        <w:top w:val="none" w:sz="0" w:space="0" w:color="auto"/>
        <w:left w:val="none" w:sz="0" w:space="0" w:color="auto"/>
        <w:bottom w:val="none" w:sz="0" w:space="0" w:color="auto"/>
        <w:right w:val="none" w:sz="0" w:space="0" w:color="auto"/>
      </w:divBdr>
    </w:div>
    <w:div w:id="1384283885">
      <w:bodyDiv w:val="1"/>
      <w:marLeft w:val="0"/>
      <w:marRight w:val="0"/>
      <w:marTop w:val="0"/>
      <w:marBottom w:val="0"/>
      <w:divBdr>
        <w:top w:val="none" w:sz="0" w:space="0" w:color="auto"/>
        <w:left w:val="none" w:sz="0" w:space="0" w:color="auto"/>
        <w:bottom w:val="none" w:sz="0" w:space="0" w:color="auto"/>
        <w:right w:val="none" w:sz="0" w:space="0" w:color="auto"/>
      </w:divBdr>
    </w:div>
    <w:div w:id="1476946323">
      <w:bodyDiv w:val="1"/>
      <w:marLeft w:val="0"/>
      <w:marRight w:val="0"/>
      <w:marTop w:val="0"/>
      <w:marBottom w:val="0"/>
      <w:divBdr>
        <w:top w:val="none" w:sz="0" w:space="0" w:color="auto"/>
        <w:left w:val="none" w:sz="0" w:space="0" w:color="auto"/>
        <w:bottom w:val="none" w:sz="0" w:space="0" w:color="auto"/>
        <w:right w:val="none" w:sz="0" w:space="0" w:color="auto"/>
      </w:divBdr>
    </w:div>
    <w:div w:id="1522206679">
      <w:bodyDiv w:val="1"/>
      <w:marLeft w:val="0"/>
      <w:marRight w:val="0"/>
      <w:marTop w:val="0"/>
      <w:marBottom w:val="0"/>
      <w:divBdr>
        <w:top w:val="none" w:sz="0" w:space="0" w:color="auto"/>
        <w:left w:val="none" w:sz="0" w:space="0" w:color="auto"/>
        <w:bottom w:val="none" w:sz="0" w:space="0" w:color="auto"/>
        <w:right w:val="none" w:sz="0" w:space="0" w:color="auto"/>
      </w:divBdr>
    </w:div>
    <w:div w:id="1527980038">
      <w:bodyDiv w:val="1"/>
      <w:marLeft w:val="0"/>
      <w:marRight w:val="0"/>
      <w:marTop w:val="0"/>
      <w:marBottom w:val="0"/>
      <w:divBdr>
        <w:top w:val="none" w:sz="0" w:space="0" w:color="auto"/>
        <w:left w:val="none" w:sz="0" w:space="0" w:color="auto"/>
        <w:bottom w:val="none" w:sz="0" w:space="0" w:color="auto"/>
        <w:right w:val="none" w:sz="0" w:space="0" w:color="auto"/>
      </w:divBdr>
    </w:div>
    <w:div w:id="1543249725">
      <w:bodyDiv w:val="1"/>
      <w:marLeft w:val="0"/>
      <w:marRight w:val="0"/>
      <w:marTop w:val="0"/>
      <w:marBottom w:val="0"/>
      <w:divBdr>
        <w:top w:val="none" w:sz="0" w:space="0" w:color="auto"/>
        <w:left w:val="none" w:sz="0" w:space="0" w:color="auto"/>
        <w:bottom w:val="none" w:sz="0" w:space="0" w:color="auto"/>
        <w:right w:val="none" w:sz="0" w:space="0" w:color="auto"/>
      </w:divBdr>
    </w:div>
    <w:div w:id="1577089132">
      <w:bodyDiv w:val="1"/>
      <w:marLeft w:val="0"/>
      <w:marRight w:val="0"/>
      <w:marTop w:val="0"/>
      <w:marBottom w:val="0"/>
      <w:divBdr>
        <w:top w:val="none" w:sz="0" w:space="0" w:color="auto"/>
        <w:left w:val="none" w:sz="0" w:space="0" w:color="auto"/>
        <w:bottom w:val="none" w:sz="0" w:space="0" w:color="auto"/>
        <w:right w:val="none" w:sz="0" w:space="0" w:color="auto"/>
      </w:divBdr>
    </w:div>
    <w:div w:id="1661273406">
      <w:bodyDiv w:val="1"/>
      <w:marLeft w:val="0"/>
      <w:marRight w:val="0"/>
      <w:marTop w:val="0"/>
      <w:marBottom w:val="0"/>
      <w:divBdr>
        <w:top w:val="none" w:sz="0" w:space="0" w:color="auto"/>
        <w:left w:val="none" w:sz="0" w:space="0" w:color="auto"/>
        <w:bottom w:val="none" w:sz="0" w:space="0" w:color="auto"/>
        <w:right w:val="none" w:sz="0" w:space="0" w:color="auto"/>
      </w:divBdr>
      <w:divsChild>
        <w:div w:id="1146581426">
          <w:marLeft w:val="0"/>
          <w:marRight w:val="0"/>
          <w:marTop w:val="0"/>
          <w:marBottom w:val="0"/>
          <w:divBdr>
            <w:top w:val="none" w:sz="0" w:space="0" w:color="auto"/>
            <w:left w:val="none" w:sz="0" w:space="0" w:color="auto"/>
            <w:bottom w:val="none" w:sz="0" w:space="0" w:color="auto"/>
            <w:right w:val="none" w:sz="0" w:space="0" w:color="auto"/>
          </w:divBdr>
        </w:div>
      </w:divsChild>
    </w:div>
    <w:div w:id="1775830327">
      <w:bodyDiv w:val="1"/>
      <w:marLeft w:val="0"/>
      <w:marRight w:val="0"/>
      <w:marTop w:val="0"/>
      <w:marBottom w:val="0"/>
      <w:divBdr>
        <w:top w:val="none" w:sz="0" w:space="0" w:color="auto"/>
        <w:left w:val="none" w:sz="0" w:space="0" w:color="auto"/>
        <w:bottom w:val="none" w:sz="0" w:space="0" w:color="auto"/>
        <w:right w:val="none" w:sz="0" w:space="0" w:color="auto"/>
      </w:divBdr>
      <w:divsChild>
        <w:div w:id="960918045">
          <w:marLeft w:val="0"/>
          <w:marRight w:val="0"/>
          <w:marTop w:val="0"/>
          <w:marBottom w:val="0"/>
          <w:divBdr>
            <w:top w:val="none" w:sz="0" w:space="0" w:color="auto"/>
            <w:left w:val="none" w:sz="0" w:space="0" w:color="auto"/>
            <w:bottom w:val="none" w:sz="0" w:space="0" w:color="auto"/>
            <w:right w:val="none" w:sz="0" w:space="0" w:color="auto"/>
          </w:divBdr>
        </w:div>
      </w:divsChild>
    </w:div>
    <w:div w:id="1864784328">
      <w:bodyDiv w:val="1"/>
      <w:marLeft w:val="0"/>
      <w:marRight w:val="0"/>
      <w:marTop w:val="0"/>
      <w:marBottom w:val="0"/>
      <w:divBdr>
        <w:top w:val="none" w:sz="0" w:space="0" w:color="auto"/>
        <w:left w:val="none" w:sz="0" w:space="0" w:color="auto"/>
        <w:bottom w:val="none" w:sz="0" w:space="0" w:color="auto"/>
        <w:right w:val="none" w:sz="0" w:space="0" w:color="auto"/>
      </w:divBdr>
    </w:div>
    <w:div w:id="1865247207">
      <w:bodyDiv w:val="1"/>
      <w:marLeft w:val="0"/>
      <w:marRight w:val="0"/>
      <w:marTop w:val="0"/>
      <w:marBottom w:val="0"/>
      <w:divBdr>
        <w:top w:val="none" w:sz="0" w:space="0" w:color="auto"/>
        <w:left w:val="none" w:sz="0" w:space="0" w:color="auto"/>
        <w:bottom w:val="none" w:sz="0" w:space="0" w:color="auto"/>
        <w:right w:val="none" w:sz="0" w:space="0" w:color="auto"/>
      </w:divBdr>
      <w:divsChild>
        <w:div w:id="1289510751">
          <w:marLeft w:val="0"/>
          <w:marRight w:val="0"/>
          <w:marTop w:val="0"/>
          <w:marBottom w:val="0"/>
          <w:divBdr>
            <w:top w:val="none" w:sz="0" w:space="0" w:color="auto"/>
            <w:left w:val="none" w:sz="0" w:space="0" w:color="auto"/>
            <w:bottom w:val="none" w:sz="0" w:space="0" w:color="auto"/>
            <w:right w:val="none" w:sz="0" w:space="0" w:color="auto"/>
          </w:divBdr>
          <w:divsChild>
            <w:div w:id="432630817">
              <w:marLeft w:val="0"/>
              <w:marRight w:val="0"/>
              <w:marTop w:val="0"/>
              <w:marBottom w:val="0"/>
              <w:divBdr>
                <w:top w:val="none" w:sz="0" w:space="0" w:color="auto"/>
                <w:left w:val="none" w:sz="0" w:space="0" w:color="auto"/>
                <w:bottom w:val="none" w:sz="0" w:space="0" w:color="auto"/>
                <w:right w:val="none" w:sz="0" w:space="0" w:color="auto"/>
              </w:divBdr>
            </w:div>
            <w:div w:id="799616882">
              <w:marLeft w:val="0"/>
              <w:marRight w:val="0"/>
              <w:marTop w:val="0"/>
              <w:marBottom w:val="0"/>
              <w:divBdr>
                <w:top w:val="none" w:sz="0" w:space="0" w:color="auto"/>
                <w:left w:val="none" w:sz="0" w:space="0" w:color="auto"/>
                <w:bottom w:val="none" w:sz="0" w:space="0" w:color="auto"/>
                <w:right w:val="none" w:sz="0" w:space="0" w:color="auto"/>
              </w:divBdr>
            </w:div>
            <w:div w:id="1634561296">
              <w:marLeft w:val="0"/>
              <w:marRight w:val="0"/>
              <w:marTop w:val="0"/>
              <w:marBottom w:val="0"/>
              <w:divBdr>
                <w:top w:val="none" w:sz="0" w:space="0" w:color="auto"/>
                <w:left w:val="none" w:sz="0" w:space="0" w:color="auto"/>
                <w:bottom w:val="none" w:sz="0" w:space="0" w:color="auto"/>
                <w:right w:val="none" w:sz="0" w:space="0" w:color="auto"/>
              </w:divBdr>
            </w:div>
            <w:div w:id="170374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720529">
      <w:bodyDiv w:val="1"/>
      <w:marLeft w:val="0"/>
      <w:marRight w:val="0"/>
      <w:marTop w:val="0"/>
      <w:marBottom w:val="0"/>
      <w:divBdr>
        <w:top w:val="none" w:sz="0" w:space="0" w:color="auto"/>
        <w:left w:val="none" w:sz="0" w:space="0" w:color="auto"/>
        <w:bottom w:val="none" w:sz="0" w:space="0" w:color="auto"/>
        <w:right w:val="none" w:sz="0" w:space="0" w:color="auto"/>
      </w:divBdr>
    </w:div>
    <w:div w:id="1943805591">
      <w:bodyDiv w:val="1"/>
      <w:marLeft w:val="0"/>
      <w:marRight w:val="0"/>
      <w:marTop w:val="0"/>
      <w:marBottom w:val="0"/>
      <w:divBdr>
        <w:top w:val="none" w:sz="0" w:space="0" w:color="auto"/>
        <w:left w:val="none" w:sz="0" w:space="0" w:color="auto"/>
        <w:bottom w:val="none" w:sz="0" w:space="0" w:color="auto"/>
        <w:right w:val="none" w:sz="0" w:space="0" w:color="auto"/>
      </w:divBdr>
    </w:div>
    <w:div w:id="1947542417">
      <w:bodyDiv w:val="1"/>
      <w:marLeft w:val="0"/>
      <w:marRight w:val="0"/>
      <w:marTop w:val="0"/>
      <w:marBottom w:val="0"/>
      <w:divBdr>
        <w:top w:val="none" w:sz="0" w:space="0" w:color="auto"/>
        <w:left w:val="none" w:sz="0" w:space="0" w:color="auto"/>
        <w:bottom w:val="none" w:sz="0" w:space="0" w:color="auto"/>
        <w:right w:val="none" w:sz="0" w:space="0" w:color="auto"/>
      </w:divBdr>
    </w:div>
    <w:div w:id="2012875084">
      <w:bodyDiv w:val="1"/>
      <w:marLeft w:val="0"/>
      <w:marRight w:val="0"/>
      <w:marTop w:val="0"/>
      <w:marBottom w:val="0"/>
      <w:divBdr>
        <w:top w:val="none" w:sz="0" w:space="0" w:color="auto"/>
        <w:left w:val="none" w:sz="0" w:space="0" w:color="auto"/>
        <w:bottom w:val="none" w:sz="0" w:space="0" w:color="auto"/>
        <w:right w:val="none" w:sz="0" w:space="0" w:color="auto"/>
      </w:divBdr>
    </w:div>
    <w:div w:id="2028289314">
      <w:bodyDiv w:val="1"/>
      <w:marLeft w:val="0"/>
      <w:marRight w:val="0"/>
      <w:marTop w:val="0"/>
      <w:marBottom w:val="0"/>
      <w:divBdr>
        <w:top w:val="none" w:sz="0" w:space="0" w:color="auto"/>
        <w:left w:val="none" w:sz="0" w:space="0" w:color="auto"/>
        <w:bottom w:val="none" w:sz="0" w:space="0" w:color="auto"/>
        <w:right w:val="none" w:sz="0" w:space="0" w:color="auto"/>
      </w:divBdr>
    </w:div>
    <w:div w:id="2045206245">
      <w:bodyDiv w:val="1"/>
      <w:marLeft w:val="0"/>
      <w:marRight w:val="0"/>
      <w:marTop w:val="0"/>
      <w:marBottom w:val="0"/>
      <w:divBdr>
        <w:top w:val="none" w:sz="0" w:space="0" w:color="auto"/>
        <w:left w:val="none" w:sz="0" w:space="0" w:color="auto"/>
        <w:bottom w:val="none" w:sz="0" w:space="0" w:color="auto"/>
        <w:right w:val="none" w:sz="0" w:space="0" w:color="auto"/>
      </w:divBdr>
    </w:div>
    <w:div w:id="2106151864">
      <w:bodyDiv w:val="1"/>
      <w:marLeft w:val="0"/>
      <w:marRight w:val="0"/>
      <w:marTop w:val="0"/>
      <w:marBottom w:val="0"/>
      <w:divBdr>
        <w:top w:val="none" w:sz="0" w:space="0" w:color="auto"/>
        <w:left w:val="none" w:sz="0" w:space="0" w:color="auto"/>
        <w:bottom w:val="none" w:sz="0" w:space="0" w:color="auto"/>
        <w:right w:val="none" w:sz="0" w:space="0" w:color="auto"/>
      </w:divBdr>
    </w:div>
    <w:div w:id="2114812330">
      <w:bodyDiv w:val="1"/>
      <w:marLeft w:val="0"/>
      <w:marRight w:val="0"/>
      <w:marTop w:val="180"/>
      <w:marBottom w:val="0"/>
      <w:divBdr>
        <w:top w:val="none" w:sz="0" w:space="0" w:color="auto"/>
        <w:left w:val="none" w:sz="0" w:space="0" w:color="auto"/>
        <w:bottom w:val="none" w:sz="0" w:space="0" w:color="auto"/>
        <w:right w:val="none" w:sz="0" w:space="0" w:color="auto"/>
      </w:divBdr>
      <w:divsChild>
        <w:div w:id="637150410">
          <w:marLeft w:val="0"/>
          <w:marRight w:val="0"/>
          <w:marTop w:val="0"/>
          <w:marBottom w:val="0"/>
          <w:divBdr>
            <w:top w:val="none" w:sz="0" w:space="0" w:color="auto"/>
            <w:left w:val="none" w:sz="0" w:space="0" w:color="auto"/>
            <w:bottom w:val="none" w:sz="0" w:space="0" w:color="auto"/>
            <w:right w:val="none" w:sz="0" w:space="0" w:color="auto"/>
          </w:divBdr>
          <w:divsChild>
            <w:div w:id="126854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fields xmlns:f="http://schemas.fabasoft.com/folio/2007/fields">
  <f:record ref="">
    <f:field ref="objname" par="" edit="true" text="Predbežné-stanovisko-2009_138_ES"/>
    <f:field ref="objsubject" par="" edit="true" text=""/>
    <f:field ref="objcreatedby" par="" text="Rusnáková, Soňa, Mgr."/>
    <f:field ref="objcreatedat" par="" text="3.1.2022 12:05:41"/>
    <f:field ref="objchangedby" par="" text="Administrator, System"/>
    <f:field ref="objmodifiedat" par="" text="3.1.2022 12:05:41"/>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2A51CF-B558-452E-9A35-9356033A323A}">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79A7E76C-EBC5-400E-AE55-28EBC22997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E4E0B11-7074-4979-90B1-6E22985655F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EF5AFB7-03C0-479B-90E4-B57F71F264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4048</Words>
  <Characters>23077</Characters>
  <Application>Microsoft Office Word</Application>
  <DocSecurity>0</DocSecurity>
  <Lines>192</Lines>
  <Paragraphs>54</Paragraphs>
  <ScaleCrop>false</ScaleCrop>
  <HeadingPairs>
    <vt:vector size="2" baseType="variant">
      <vt:variant>
        <vt:lpstr>Názov</vt:lpstr>
      </vt:variant>
      <vt:variant>
        <vt:i4>1</vt:i4>
      </vt:variant>
    </vt:vector>
  </HeadingPairs>
  <TitlesOfParts>
    <vt:vector size="1" baseType="lpstr">
      <vt:lpstr>MINISTERSTVO   HOSPODÁRSTVA   SLOVENSKEJ   REPUBLIKY</vt:lpstr>
    </vt:vector>
  </TitlesOfParts>
  <Company>mh</Company>
  <LinksUpToDate>false</LinksUpToDate>
  <CharactersWithSpaces>27071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MINISTERSTVO   HOSPODÁRSTVA   SLOVENSKEJ   REPUBLIKY</dc:title>
  <dc:creator>lassova</dc:creator>
  <cp:lastModifiedBy>jozef.bachnicek</cp:lastModifiedBy>
  <cp:revision>2</cp:revision>
  <cp:lastPrinted>2021-07-13T06:13:00Z</cp:lastPrinted>
  <dcterms:created xsi:type="dcterms:W3CDTF">2022-01-10T08:43:00Z</dcterms:created>
  <dcterms:modified xsi:type="dcterms:W3CDTF">2022-01-10T08:43:00Z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Akt EÚ</vt:lpwstr>
  </property>
  <property fmtid="{D5CDD505-2E9C-101B-9397-08002B2CF9AE}" pid="4" name="FSC#SKEDITIONSLOVLEX@103.510:aktualnyrok">
    <vt:lpwstr>2022</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Soňa Rusnáková</vt:lpwstr>
  </property>
  <property fmtid="{D5CDD505-2E9C-101B-9397-08002B2CF9AE}" pid="12" name="FSC#SKEDITIONSLOVLEX@103.510:zodppredkladatel">
    <vt:lpwstr/>
  </property>
  <property fmtid="{D5CDD505-2E9C-101B-9397-08002B2CF9AE}" pid="13" name="FSC#SKEDITIONSLOVLEX@103.510:dalsipredkladatel">
    <vt:lpwstr/>
  </property>
  <property fmtid="{D5CDD505-2E9C-101B-9397-08002B2CF9AE}" pid="14" name="FSC#SKEDITIONSLOVLEX@103.510:nazovpredpis">
    <vt:lpwstr> COM(2021)581 Návrh SMERNICA EURÓPSKEHO PARLAMENTU A RADY, ktorou sa mení smernica 2009/138/ES, pokiaľ ide o proporcionalitu, kvalitu dohľadu, predkladanie informácií, opatrenia týkajúce sa dlhodobých záruk, makroprudenci...</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
  </property>
  <property fmtid="{D5CDD505-2E9C-101B-9397-08002B2CF9AE}" pid="23" name="FSC#SKEDITIONSLOVLEX@103.510:plnynazovpredpis">
    <vt:lpwstr> COM(2021)581 Návrh SMERNICA EURÓPSKEHO PARLAMENTU A RADY, ktorou sa mení smernica 2009/138/ES, pokiaľ ide o proporcionalitu, kvalitu dohľadu, predkladanie informácií, opatrenia týkajúce sa dlhodobých záruk, makroprudenci...</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LPEU/2021/595</vt:lpwstr>
  </property>
  <property fmtid="{D5CDD505-2E9C-101B-9397-08002B2CF9AE}" pid="37" name="FSC#SKEDITIONSLOVLEX@103.510:typsprievdok">
    <vt:lpwstr>Stanovisko</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
  </property>
  <property fmtid="{D5CDD505-2E9C-101B-9397-08002B2CF9AE}" pid="137" name="FSC#SKEDITIONSLOVLEX@103.510:AttrStrListDocPropUznesenieNaVedomie">
    <vt:lpwstr/>
  </property>
  <property fmtid="{D5CDD505-2E9C-101B-9397-08002B2CF9AE}" pid="138" name="FSC#SKEDITIONSLOVLEX@103.510:funkciaPred">
    <vt:lpwstr>referent</vt:lpwstr>
  </property>
  <property fmtid="{D5CDD505-2E9C-101B-9397-08002B2CF9AE}" pid="139" name="FSC#SKEDITIONSLOVLEX@103.510:funkciaPredAkuzativ">
    <vt:lpwstr>referenta</vt:lpwstr>
  </property>
  <property fmtid="{D5CDD505-2E9C-101B-9397-08002B2CF9AE}" pid="140" name="FSC#SKEDITIONSLOVLEX@103.510:funkciaPredDativ">
    <vt:lpwstr>referentovi</vt:lpwstr>
  </property>
  <property fmtid="{D5CDD505-2E9C-101B-9397-08002B2CF9AE}" pid="141" name="FSC#SKEDITIONSLOVLEX@103.510:funkciaZodpPred">
    <vt:lpwstr/>
  </property>
  <property fmtid="{D5CDD505-2E9C-101B-9397-08002B2CF9AE}" pid="142" name="FSC#SKEDITIONSLOVLEX@103.510:funkciaZodpPredAkuzativ">
    <vt:lpwstr/>
  </property>
  <property fmtid="{D5CDD505-2E9C-101B-9397-08002B2CF9AE}" pid="143" name="FSC#SKEDITIONSLOVLEX@103.510:funkciaZodpPredDativ">
    <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
  </property>
  <property fmtid="{D5CDD505-2E9C-101B-9397-08002B2CF9AE}" pid="150" name="FSC#SKEDITIONSLOVLEX@103.510:vytvorenedna">
    <vt:lpwstr>3. 1. 2022</vt:lpwstr>
  </property>
  <property fmtid="{D5CDD505-2E9C-101B-9397-08002B2CF9AE}" pid="151" name="FSC#COOSYSTEM@1.1:Container">
    <vt:lpwstr>COO.2145.1000.3.4774752</vt:lpwstr>
  </property>
  <property fmtid="{D5CDD505-2E9C-101B-9397-08002B2CF9AE}" pid="152" name="FSC#FSCFOLIO@1.1001:docpropproject">
    <vt:lpwstr/>
  </property>
</Properties>
</file>