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FB086" w14:textId="77777777" w:rsidR="008A61FD" w:rsidRDefault="008A61FD" w:rsidP="008A61FD">
      <w:pPr>
        <w:pStyle w:val="CEABullet-Level1"/>
        <w:numPr>
          <w:ilvl w:val="0"/>
          <w:numId w:val="0"/>
        </w:numPr>
        <w:rPr>
          <w:rFonts w:cs="Arial"/>
          <w:b/>
          <w:color w:val="002957"/>
          <w:sz w:val="19"/>
          <w:szCs w:val="19"/>
        </w:rPr>
      </w:pPr>
      <w:r>
        <w:rPr>
          <w:rFonts w:cs="Arial"/>
          <w:b/>
          <w:color w:val="002957"/>
          <w:sz w:val="19"/>
          <w:szCs w:val="19"/>
        </w:rPr>
        <w:t>Background</w:t>
      </w:r>
      <w:bookmarkStart w:id="0" w:name="_GoBack"/>
      <w:bookmarkEnd w:id="0"/>
    </w:p>
    <w:p w14:paraId="5AE3E410" w14:textId="2441B345" w:rsidR="008A61FD" w:rsidRDefault="008A61FD" w:rsidP="00784757">
      <w:pPr>
        <w:spacing w:line="240" w:lineRule="auto"/>
        <w:rPr>
          <w:sz w:val="17"/>
          <w:szCs w:val="17"/>
        </w:rPr>
      </w:pPr>
      <w:r>
        <w:rPr>
          <w:sz w:val="17"/>
          <w:szCs w:val="17"/>
        </w:rPr>
        <w:t xml:space="preserve">EIOPA publishes the technical information related to </w:t>
      </w:r>
      <w:hyperlink r:id="rId11" w:history="1">
        <w:r>
          <w:rPr>
            <w:rStyle w:val="Hypertextovprepojenie"/>
            <w:sz w:val="17"/>
            <w:szCs w:val="17"/>
          </w:rPr>
          <w:t>risk-free interest rate</w:t>
        </w:r>
      </w:hyperlink>
      <w:r>
        <w:rPr>
          <w:sz w:val="17"/>
          <w:szCs w:val="17"/>
        </w:rPr>
        <w:t xml:space="preserve"> (RFR) term structures for a wide range of currencies and the </w:t>
      </w:r>
      <w:hyperlink r:id="rId12" w:history="1">
        <w:r>
          <w:rPr>
            <w:rStyle w:val="Hypertextovprepojenie"/>
            <w:sz w:val="17"/>
            <w:szCs w:val="17"/>
          </w:rPr>
          <w:t>symmetric adjustment</w:t>
        </w:r>
      </w:hyperlink>
      <w:r>
        <w:rPr>
          <w:sz w:val="17"/>
          <w:szCs w:val="17"/>
        </w:rPr>
        <w:t xml:space="preserve"> of the equity capital charge monthly. The latest technical documentation for the RFR</w:t>
      </w:r>
      <w:r w:rsidR="00286E19">
        <w:rPr>
          <w:sz w:val="17"/>
          <w:szCs w:val="17"/>
        </w:rPr>
        <w:t xml:space="preserve"> which </w:t>
      </w:r>
      <w:r>
        <w:rPr>
          <w:sz w:val="17"/>
          <w:szCs w:val="17"/>
        </w:rPr>
        <w:t>provid</w:t>
      </w:r>
      <w:r w:rsidR="00286E19">
        <w:rPr>
          <w:sz w:val="17"/>
          <w:szCs w:val="17"/>
        </w:rPr>
        <w:t>es</w:t>
      </w:r>
      <w:r>
        <w:rPr>
          <w:sz w:val="17"/>
          <w:szCs w:val="17"/>
        </w:rPr>
        <w:t xml:space="preserve"> </w:t>
      </w:r>
      <w:r w:rsidR="00286E19">
        <w:rPr>
          <w:sz w:val="17"/>
          <w:szCs w:val="17"/>
        </w:rPr>
        <w:t xml:space="preserve">EIOPA’s </w:t>
      </w:r>
      <w:r>
        <w:rPr>
          <w:sz w:val="17"/>
          <w:szCs w:val="17"/>
        </w:rPr>
        <w:t xml:space="preserve">methodology for calculation can be found </w:t>
      </w:r>
      <w:hyperlink r:id="rId13" w:history="1">
        <w:r w:rsidRPr="007A2509">
          <w:rPr>
            <w:rStyle w:val="Hypertextovprepojenie"/>
            <w:sz w:val="17"/>
            <w:szCs w:val="17"/>
          </w:rPr>
          <w:t>here</w:t>
        </w:r>
      </w:hyperlink>
      <w:r>
        <w:rPr>
          <w:sz w:val="17"/>
          <w:szCs w:val="17"/>
        </w:rPr>
        <w:t>. The secretariat monitors EIOPA’s RFR curves published for the euro as well as the symmetric adjustment and provides below summary information for members (Source: EIOPA, Insurance Europe).</w:t>
      </w:r>
    </w:p>
    <w:p w14:paraId="07873656" w14:textId="19E599C1" w:rsidR="008F79E5" w:rsidRDefault="008F79E5" w:rsidP="00784757">
      <w:pPr>
        <w:spacing w:line="240" w:lineRule="auto"/>
        <w:rPr>
          <w:sz w:val="17"/>
          <w:szCs w:val="17"/>
        </w:rPr>
      </w:pPr>
    </w:p>
    <w:p w14:paraId="73B11C6A" w14:textId="77777777" w:rsidR="008A61FD" w:rsidRDefault="008A61FD" w:rsidP="008A61FD">
      <w:pPr>
        <w:rPr>
          <w:sz w:val="17"/>
          <w:szCs w:val="17"/>
          <w:lang w:val="en-US"/>
        </w:rPr>
      </w:pPr>
    </w:p>
    <w:p w14:paraId="6C9C1035" w14:textId="7402142C" w:rsidR="008A61FD" w:rsidRDefault="008A61FD" w:rsidP="008A61FD">
      <w:pPr>
        <w:pStyle w:val="CEAStandardHeading"/>
        <w:numPr>
          <w:ilvl w:val="0"/>
          <w:numId w:val="5"/>
        </w:numPr>
        <w:spacing w:after="120"/>
        <w:ind w:left="426"/>
        <w:textAlignment w:val="auto"/>
        <w:rPr>
          <w:b/>
          <w:sz w:val="17"/>
          <w:szCs w:val="17"/>
        </w:rPr>
      </w:pPr>
      <w:r>
        <w:rPr>
          <w:b/>
          <w:sz w:val="17"/>
          <w:szCs w:val="17"/>
        </w:rPr>
        <w:t xml:space="preserve">RFR curves with VA (euro) as at end of </w:t>
      </w:r>
      <w:r w:rsidR="00916400">
        <w:rPr>
          <w:b/>
          <w:sz w:val="17"/>
          <w:szCs w:val="17"/>
        </w:rPr>
        <w:t>August</w:t>
      </w:r>
      <w:r w:rsidR="00900576" w:rsidRPr="008F79E5">
        <w:rPr>
          <w:b/>
          <w:sz w:val="17"/>
          <w:szCs w:val="17"/>
        </w:rPr>
        <w:t xml:space="preserve"> </w:t>
      </w:r>
      <w:r w:rsidR="00633E20" w:rsidRPr="008F79E5">
        <w:rPr>
          <w:b/>
          <w:sz w:val="17"/>
          <w:szCs w:val="17"/>
        </w:rPr>
        <w:t>2018</w:t>
      </w:r>
      <w:r w:rsidRPr="008F79E5">
        <w:rPr>
          <w:b/>
          <w:sz w:val="17"/>
          <w:szCs w:val="17"/>
        </w:rPr>
        <w:t xml:space="preserve"> vs</w:t>
      </w:r>
      <w:r>
        <w:rPr>
          <w:b/>
          <w:sz w:val="17"/>
          <w:szCs w:val="17"/>
        </w:rPr>
        <w:t xml:space="preserve"> previous curve</w:t>
      </w:r>
    </w:p>
    <w:tbl>
      <w:tblPr>
        <w:tblStyle w:val="Mriekatabuky"/>
        <w:tblW w:w="99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38"/>
        <w:gridCol w:w="3792"/>
      </w:tblGrid>
      <w:tr w:rsidR="008A61FD" w14:paraId="38F942F9" w14:textId="77777777" w:rsidTr="00112F78">
        <w:tc>
          <w:tcPr>
            <w:tcW w:w="6138" w:type="dxa"/>
            <w:hideMark/>
          </w:tcPr>
          <w:p w14:paraId="3A26AB47" w14:textId="22D883EB" w:rsidR="008A61FD" w:rsidRDefault="00112F78">
            <w:pPr>
              <w:jc w:val="left"/>
              <w:rPr>
                <w:sz w:val="17"/>
                <w:szCs w:val="17"/>
              </w:rPr>
            </w:pPr>
            <w:r>
              <w:rPr>
                <w:noProof/>
                <w:lang w:val="sk-SK" w:eastAsia="sk-SK"/>
              </w:rPr>
              <w:drawing>
                <wp:inline distT="0" distB="0" distL="0" distR="0" wp14:anchorId="6749A2AA" wp14:editId="313EBFAA">
                  <wp:extent cx="3760470" cy="1850390"/>
                  <wp:effectExtent l="0" t="0" r="0" b="0"/>
                  <wp:docPr id="4" name="Chart 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E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3792" w:type="dxa"/>
            <w:hideMark/>
          </w:tcPr>
          <w:p w14:paraId="78859D87" w14:textId="07EA3465" w:rsidR="008A61FD" w:rsidRDefault="00112F78">
            <w:pPr>
              <w:spacing w:after="200"/>
              <w:jc w:val="left"/>
              <w:rPr>
                <w:sz w:val="17"/>
                <w:szCs w:val="17"/>
              </w:rPr>
            </w:pPr>
            <w:r>
              <w:rPr>
                <w:noProof/>
                <w:lang w:val="sk-SK" w:eastAsia="sk-SK"/>
              </w:rPr>
              <w:drawing>
                <wp:inline distT="0" distB="0" distL="0" distR="0" wp14:anchorId="3EE8AABB" wp14:editId="3015D1A2">
                  <wp:extent cx="2464704" cy="1162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67132" cy="1163195"/>
                          </a:xfrm>
                          <a:prstGeom prst="rect">
                            <a:avLst/>
                          </a:prstGeom>
                        </pic:spPr>
                      </pic:pic>
                    </a:graphicData>
                  </a:graphic>
                </wp:inline>
              </w:drawing>
            </w:r>
            <w:r w:rsidR="00D711A6" w:rsidDel="00D711A6">
              <w:rPr>
                <w:noProof/>
                <w:lang w:eastAsia="en-GB"/>
              </w:rPr>
              <w:t xml:space="preserve"> </w:t>
            </w:r>
          </w:p>
        </w:tc>
      </w:tr>
    </w:tbl>
    <w:p w14:paraId="4D8B18E8" w14:textId="77777777" w:rsidR="008A61FD" w:rsidRDefault="008A61FD" w:rsidP="008A61FD">
      <w:pPr>
        <w:pStyle w:val="CEAStandardHeading"/>
        <w:numPr>
          <w:ilvl w:val="0"/>
          <w:numId w:val="5"/>
        </w:numPr>
        <w:spacing w:before="120" w:after="120"/>
        <w:ind w:left="425" w:hanging="357"/>
        <w:textAlignment w:val="auto"/>
        <w:rPr>
          <w:b/>
          <w:sz w:val="17"/>
          <w:szCs w:val="17"/>
        </w:rPr>
      </w:pPr>
      <w:r>
        <w:rPr>
          <w:b/>
          <w:sz w:val="17"/>
          <w:szCs w:val="17"/>
        </w:rPr>
        <w:t>Change in Volatility Adjustment and Credit Risk Adjustment</w:t>
      </w:r>
      <w:r>
        <w:rPr>
          <w:noProof/>
          <w:lang w:val="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2680"/>
        <w:gridCol w:w="2680"/>
      </w:tblGrid>
      <w:tr w:rsidR="007A2509" w14:paraId="4A8A8487" w14:textId="77777777" w:rsidTr="007A2509">
        <w:trPr>
          <w:trHeight w:val="300"/>
          <w:jc w:val="center"/>
        </w:trPr>
        <w:tc>
          <w:tcPr>
            <w:tcW w:w="2244" w:type="pct"/>
            <w:tcBorders>
              <w:top w:val="nil"/>
              <w:left w:val="nil"/>
              <w:bottom w:val="single" w:sz="4" w:space="0" w:color="auto"/>
              <w:right w:val="single" w:sz="4" w:space="0" w:color="auto"/>
            </w:tcBorders>
            <w:noWrap/>
            <w:vAlign w:val="bottom"/>
            <w:hideMark/>
          </w:tcPr>
          <w:p w14:paraId="6C475CF0" w14:textId="77777777" w:rsidR="007A2509" w:rsidRDefault="007A2509" w:rsidP="007A2509">
            <w:pPr>
              <w:rPr>
                <w:b/>
                <w:sz w:val="17"/>
                <w:szCs w:val="17"/>
              </w:rPr>
            </w:pPr>
          </w:p>
        </w:tc>
        <w:tc>
          <w:tcPr>
            <w:tcW w:w="1378" w:type="pct"/>
            <w:tcBorders>
              <w:top w:val="single" w:sz="4" w:space="0" w:color="auto"/>
              <w:left w:val="single" w:sz="4" w:space="0" w:color="auto"/>
              <w:bottom w:val="single" w:sz="4" w:space="0" w:color="auto"/>
              <w:right w:val="single" w:sz="4" w:space="0" w:color="auto"/>
            </w:tcBorders>
            <w:vAlign w:val="bottom"/>
          </w:tcPr>
          <w:p w14:paraId="23094AC0" w14:textId="4145924D" w:rsidR="007A2509" w:rsidRDefault="00BC1C6C" w:rsidP="007A2509">
            <w:pPr>
              <w:pStyle w:val="CEABullet-Level1"/>
              <w:numPr>
                <w:ilvl w:val="0"/>
                <w:numId w:val="0"/>
              </w:numPr>
              <w:ind w:left="34"/>
              <w:jc w:val="center"/>
              <w:rPr>
                <w:b/>
                <w:sz w:val="16"/>
                <w:szCs w:val="16"/>
              </w:rPr>
            </w:pPr>
            <w:r>
              <w:rPr>
                <w:b/>
                <w:sz w:val="16"/>
                <w:szCs w:val="16"/>
              </w:rPr>
              <w:t>Ju</w:t>
            </w:r>
            <w:r w:rsidR="00112F78">
              <w:rPr>
                <w:b/>
                <w:sz w:val="16"/>
                <w:szCs w:val="16"/>
              </w:rPr>
              <w:t>ly</w:t>
            </w:r>
          </w:p>
        </w:tc>
        <w:tc>
          <w:tcPr>
            <w:tcW w:w="1378" w:type="pct"/>
            <w:tcBorders>
              <w:top w:val="single" w:sz="4" w:space="0" w:color="auto"/>
              <w:left w:val="single" w:sz="4" w:space="0" w:color="auto"/>
              <w:bottom w:val="single" w:sz="4" w:space="0" w:color="auto"/>
              <w:right w:val="single" w:sz="4" w:space="0" w:color="auto"/>
            </w:tcBorders>
            <w:vAlign w:val="bottom"/>
          </w:tcPr>
          <w:p w14:paraId="50B39211" w14:textId="67C15A41" w:rsidR="007A2509" w:rsidRDefault="00112F78" w:rsidP="007A2509">
            <w:pPr>
              <w:pStyle w:val="CEABullet-Level1"/>
              <w:numPr>
                <w:ilvl w:val="0"/>
                <w:numId w:val="0"/>
              </w:numPr>
              <w:ind w:left="34"/>
              <w:jc w:val="center"/>
              <w:rPr>
                <w:b/>
                <w:sz w:val="16"/>
                <w:szCs w:val="16"/>
              </w:rPr>
            </w:pPr>
            <w:r>
              <w:rPr>
                <w:b/>
                <w:sz w:val="16"/>
                <w:szCs w:val="16"/>
              </w:rPr>
              <w:t>August</w:t>
            </w:r>
          </w:p>
        </w:tc>
      </w:tr>
      <w:tr w:rsidR="007A2509" w14:paraId="3CD689DC" w14:textId="77777777" w:rsidTr="007A2509">
        <w:trPr>
          <w:trHeight w:val="300"/>
          <w:jc w:val="center"/>
        </w:trPr>
        <w:tc>
          <w:tcPr>
            <w:tcW w:w="2244" w:type="pct"/>
            <w:tcBorders>
              <w:top w:val="single" w:sz="4" w:space="0" w:color="auto"/>
              <w:left w:val="single" w:sz="4" w:space="0" w:color="auto"/>
              <w:bottom w:val="single" w:sz="4" w:space="0" w:color="auto"/>
              <w:right w:val="single" w:sz="4" w:space="0" w:color="auto"/>
            </w:tcBorders>
            <w:noWrap/>
            <w:vAlign w:val="bottom"/>
            <w:hideMark/>
          </w:tcPr>
          <w:p w14:paraId="3F0B0F7A" w14:textId="77777777" w:rsidR="007A2509" w:rsidRDefault="007A2509" w:rsidP="007A2509">
            <w:pPr>
              <w:pStyle w:val="CEABullet-Level1"/>
              <w:numPr>
                <w:ilvl w:val="0"/>
                <w:numId w:val="0"/>
              </w:numPr>
              <w:rPr>
                <w:b/>
                <w:sz w:val="16"/>
                <w:szCs w:val="16"/>
              </w:rPr>
            </w:pPr>
            <w:r>
              <w:rPr>
                <w:rFonts w:cs="Times New Roman"/>
                <w:b/>
                <w:color w:val="auto"/>
                <w:sz w:val="16"/>
                <w:szCs w:val="16"/>
              </w:rPr>
              <w:t>Volatility Adjustment</w:t>
            </w:r>
            <w:r>
              <w:rPr>
                <w:b/>
                <w:sz w:val="16"/>
                <w:szCs w:val="16"/>
              </w:rPr>
              <w:t xml:space="preserve"> (VA) (bps)</w:t>
            </w:r>
          </w:p>
        </w:tc>
        <w:tc>
          <w:tcPr>
            <w:tcW w:w="1378" w:type="pct"/>
            <w:tcBorders>
              <w:top w:val="single" w:sz="4" w:space="0" w:color="auto"/>
              <w:left w:val="single" w:sz="4" w:space="0" w:color="auto"/>
              <w:bottom w:val="single" w:sz="4" w:space="0" w:color="auto"/>
              <w:right w:val="single" w:sz="4" w:space="0" w:color="auto"/>
            </w:tcBorders>
            <w:vAlign w:val="bottom"/>
          </w:tcPr>
          <w:p w14:paraId="680EE8E5" w14:textId="2BEF69BA" w:rsidR="007A2509" w:rsidRDefault="00112F78" w:rsidP="007A2509">
            <w:pPr>
              <w:pStyle w:val="CEABullet-Level1"/>
              <w:numPr>
                <w:ilvl w:val="0"/>
                <w:numId w:val="0"/>
              </w:numPr>
              <w:ind w:left="34"/>
              <w:jc w:val="center"/>
              <w:rPr>
                <w:sz w:val="16"/>
                <w:szCs w:val="16"/>
              </w:rPr>
            </w:pPr>
            <w:r>
              <w:rPr>
                <w:sz w:val="16"/>
                <w:szCs w:val="16"/>
              </w:rPr>
              <w:t>8</w:t>
            </w:r>
          </w:p>
        </w:tc>
        <w:tc>
          <w:tcPr>
            <w:tcW w:w="1378" w:type="pct"/>
            <w:tcBorders>
              <w:top w:val="single" w:sz="4" w:space="0" w:color="auto"/>
              <w:left w:val="single" w:sz="4" w:space="0" w:color="auto"/>
              <w:bottom w:val="single" w:sz="4" w:space="0" w:color="auto"/>
              <w:right w:val="single" w:sz="4" w:space="0" w:color="auto"/>
            </w:tcBorders>
            <w:vAlign w:val="bottom"/>
          </w:tcPr>
          <w:p w14:paraId="66F3384E" w14:textId="06CC74E4" w:rsidR="007A2509" w:rsidRDefault="00112F78" w:rsidP="007A2509">
            <w:pPr>
              <w:pStyle w:val="CEABullet-Level1"/>
              <w:numPr>
                <w:ilvl w:val="0"/>
                <w:numId w:val="0"/>
              </w:numPr>
              <w:ind w:left="34"/>
              <w:jc w:val="center"/>
              <w:rPr>
                <w:sz w:val="16"/>
                <w:szCs w:val="16"/>
              </w:rPr>
            </w:pPr>
            <w:r>
              <w:rPr>
                <w:sz w:val="16"/>
                <w:szCs w:val="16"/>
              </w:rPr>
              <w:t>15</w:t>
            </w:r>
          </w:p>
        </w:tc>
      </w:tr>
      <w:tr w:rsidR="007A2509" w14:paraId="5DF9172D" w14:textId="77777777" w:rsidTr="007A2509">
        <w:trPr>
          <w:trHeight w:val="300"/>
          <w:jc w:val="center"/>
        </w:trPr>
        <w:tc>
          <w:tcPr>
            <w:tcW w:w="2244" w:type="pct"/>
            <w:tcBorders>
              <w:top w:val="single" w:sz="4" w:space="0" w:color="auto"/>
              <w:left w:val="single" w:sz="4" w:space="0" w:color="auto"/>
              <w:bottom w:val="single" w:sz="4" w:space="0" w:color="auto"/>
              <w:right w:val="single" w:sz="4" w:space="0" w:color="auto"/>
            </w:tcBorders>
            <w:noWrap/>
            <w:vAlign w:val="bottom"/>
            <w:hideMark/>
          </w:tcPr>
          <w:p w14:paraId="0D7385AE" w14:textId="77777777" w:rsidR="007A2509" w:rsidRDefault="007A2509" w:rsidP="007A2509">
            <w:pPr>
              <w:pStyle w:val="CEABullet-Level1"/>
              <w:numPr>
                <w:ilvl w:val="0"/>
                <w:numId w:val="0"/>
              </w:numPr>
              <w:rPr>
                <w:b/>
                <w:sz w:val="16"/>
                <w:szCs w:val="16"/>
              </w:rPr>
            </w:pPr>
            <w:r>
              <w:rPr>
                <w:b/>
                <w:sz w:val="16"/>
                <w:szCs w:val="16"/>
              </w:rPr>
              <w:t>Credit Risk Margin (bps)</w:t>
            </w:r>
          </w:p>
        </w:tc>
        <w:tc>
          <w:tcPr>
            <w:tcW w:w="1378" w:type="pct"/>
            <w:tcBorders>
              <w:top w:val="single" w:sz="4" w:space="0" w:color="auto"/>
              <w:left w:val="single" w:sz="4" w:space="0" w:color="auto"/>
              <w:bottom w:val="single" w:sz="4" w:space="0" w:color="auto"/>
              <w:right w:val="single" w:sz="4" w:space="0" w:color="auto"/>
            </w:tcBorders>
            <w:vAlign w:val="bottom"/>
          </w:tcPr>
          <w:p w14:paraId="06BF42DF" w14:textId="31511254" w:rsidR="007A2509" w:rsidRDefault="00F2059D" w:rsidP="007A2509">
            <w:pPr>
              <w:pStyle w:val="CEABullet-Level1"/>
              <w:numPr>
                <w:ilvl w:val="0"/>
                <w:numId w:val="0"/>
              </w:numPr>
              <w:ind w:left="34"/>
              <w:jc w:val="center"/>
              <w:rPr>
                <w:sz w:val="16"/>
                <w:szCs w:val="16"/>
              </w:rPr>
            </w:pPr>
            <w:r>
              <w:rPr>
                <w:sz w:val="16"/>
                <w:szCs w:val="16"/>
              </w:rPr>
              <w:t>10</w:t>
            </w:r>
          </w:p>
        </w:tc>
        <w:tc>
          <w:tcPr>
            <w:tcW w:w="1378" w:type="pct"/>
            <w:tcBorders>
              <w:top w:val="single" w:sz="4" w:space="0" w:color="auto"/>
              <w:left w:val="single" w:sz="4" w:space="0" w:color="auto"/>
              <w:bottom w:val="single" w:sz="4" w:space="0" w:color="auto"/>
              <w:right w:val="single" w:sz="4" w:space="0" w:color="auto"/>
            </w:tcBorders>
            <w:vAlign w:val="bottom"/>
          </w:tcPr>
          <w:p w14:paraId="2A1C91BE" w14:textId="6CACF903" w:rsidR="007A2509" w:rsidRDefault="00112F78" w:rsidP="007A2509">
            <w:pPr>
              <w:pStyle w:val="CEABullet-Level1"/>
              <w:numPr>
                <w:ilvl w:val="0"/>
                <w:numId w:val="0"/>
              </w:numPr>
              <w:ind w:left="34"/>
              <w:jc w:val="center"/>
              <w:rPr>
                <w:sz w:val="16"/>
                <w:szCs w:val="16"/>
              </w:rPr>
            </w:pPr>
            <w:r>
              <w:rPr>
                <w:sz w:val="16"/>
                <w:szCs w:val="16"/>
              </w:rPr>
              <w:t>10</w:t>
            </w:r>
          </w:p>
        </w:tc>
      </w:tr>
    </w:tbl>
    <w:p w14:paraId="37FB08C4" w14:textId="77777777" w:rsidR="008A61FD" w:rsidRDefault="008A61FD" w:rsidP="008A61FD">
      <w:pPr>
        <w:pStyle w:val="CEAStandardHeading"/>
        <w:rPr>
          <w:color w:val="auto"/>
          <w:sz w:val="18"/>
          <w:szCs w:val="17"/>
        </w:rPr>
      </w:pPr>
    </w:p>
    <w:p w14:paraId="348C24DD" w14:textId="77777777" w:rsidR="008A61FD" w:rsidRDefault="008A61FD" w:rsidP="008A61FD">
      <w:pPr>
        <w:pStyle w:val="CEAStandardHeading"/>
        <w:numPr>
          <w:ilvl w:val="0"/>
          <w:numId w:val="5"/>
        </w:numPr>
        <w:spacing w:after="120"/>
        <w:ind w:left="425" w:hanging="357"/>
        <w:textAlignment w:val="auto"/>
        <w:rPr>
          <w:b/>
          <w:sz w:val="17"/>
          <w:szCs w:val="17"/>
        </w:rPr>
      </w:pPr>
      <w:r>
        <w:rPr>
          <w:b/>
          <w:sz w:val="17"/>
          <w:szCs w:val="17"/>
        </w:rPr>
        <w:t>Impact on discounting</w:t>
      </w:r>
    </w:p>
    <w:p w14:paraId="7F6F0E12" w14:textId="77777777" w:rsidR="008A61FD" w:rsidRDefault="008A61FD" w:rsidP="008A61FD">
      <w:pPr>
        <w:rPr>
          <w:szCs w:val="17"/>
        </w:rPr>
      </w:pPr>
      <w:r>
        <w:rPr>
          <w:sz w:val="17"/>
          <w:szCs w:val="17"/>
        </w:rPr>
        <w:t xml:space="preserve">The value after discounting a 1,000 euro </w:t>
      </w:r>
      <w:proofErr w:type="spellStart"/>
      <w:r>
        <w:rPr>
          <w:sz w:val="17"/>
          <w:szCs w:val="17"/>
        </w:rPr>
        <w:t>cashflow</w:t>
      </w:r>
      <w:proofErr w:type="spellEnd"/>
      <w:r>
        <w:rPr>
          <w:sz w:val="17"/>
          <w:szCs w:val="17"/>
        </w:rPr>
        <w:t xml:space="preserve"> at different years in the future is shown below along with the impact of changes in RFR (with VA) on these valuations: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1802"/>
        <w:gridCol w:w="1666"/>
        <w:gridCol w:w="1663"/>
      </w:tblGrid>
      <w:tr w:rsidR="00633E20" w14:paraId="1C347A33" w14:textId="77777777" w:rsidTr="008A61FD">
        <w:trPr>
          <w:trHeight w:val="300"/>
          <w:jc w:val="center"/>
        </w:trPr>
        <w:tc>
          <w:tcPr>
            <w:tcW w:w="2321" w:type="pct"/>
            <w:tcBorders>
              <w:top w:val="nil"/>
              <w:left w:val="nil"/>
              <w:bottom w:val="single" w:sz="4" w:space="0" w:color="auto"/>
              <w:right w:val="single" w:sz="4" w:space="0" w:color="auto"/>
            </w:tcBorders>
            <w:noWrap/>
            <w:vAlign w:val="bottom"/>
            <w:hideMark/>
          </w:tcPr>
          <w:p w14:paraId="627BB5EF" w14:textId="77777777" w:rsidR="008A61FD" w:rsidRDefault="008A61FD">
            <w:pPr>
              <w:rPr>
                <w:szCs w:val="17"/>
              </w:rPr>
            </w:pPr>
            <w:bookmarkStart w:id="1" w:name="OLE_LINK1"/>
          </w:p>
        </w:tc>
        <w:tc>
          <w:tcPr>
            <w:tcW w:w="941" w:type="pct"/>
            <w:tcBorders>
              <w:top w:val="single" w:sz="4" w:space="0" w:color="auto"/>
              <w:left w:val="single" w:sz="4" w:space="0" w:color="auto"/>
              <w:bottom w:val="single" w:sz="4" w:space="0" w:color="auto"/>
              <w:right w:val="single" w:sz="4" w:space="0" w:color="auto"/>
            </w:tcBorders>
            <w:vAlign w:val="bottom"/>
            <w:hideMark/>
          </w:tcPr>
          <w:p w14:paraId="3EFF7328" w14:textId="77777777" w:rsidR="008A61FD" w:rsidRDefault="008A61FD">
            <w:pPr>
              <w:pStyle w:val="CEABullet-Level1"/>
              <w:numPr>
                <w:ilvl w:val="0"/>
                <w:numId w:val="0"/>
              </w:numPr>
              <w:ind w:left="34"/>
              <w:jc w:val="center"/>
              <w:rPr>
                <w:b/>
                <w:sz w:val="16"/>
                <w:szCs w:val="16"/>
              </w:rPr>
            </w:pPr>
            <w:r>
              <w:rPr>
                <w:b/>
                <w:sz w:val="16"/>
                <w:szCs w:val="16"/>
              </w:rPr>
              <w:t>10yrs</w:t>
            </w:r>
          </w:p>
        </w:tc>
        <w:tc>
          <w:tcPr>
            <w:tcW w:w="870" w:type="pct"/>
            <w:tcBorders>
              <w:top w:val="single" w:sz="4" w:space="0" w:color="auto"/>
              <w:left w:val="single" w:sz="4" w:space="0" w:color="auto"/>
              <w:bottom w:val="single" w:sz="4" w:space="0" w:color="auto"/>
              <w:right w:val="single" w:sz="4" w:space="0" w:color="auto"/>
            </w:tcBorders>
            <w:vAlign w:val="bottom"/>
            <w:hideMark/>
          </w:tcPr>
          <w:p w14:paraId="68F19D7F" w14:textId="77777777" w:rsidR="008A61FD" w:rsidRDefault="008A61FD">
            <w:pPr>
              <w:pStyle w:val="CEABullet-Level1"/>
              <w:numPr>
                <w:ilvl w:val="0"/>
                <w:numId w:val="0"/>
              </w:numPr>
              <w:ind w:left="34"/>
              <w:jc w:val="center"/>
              <w:rPr>
                <w:b/>
                <w:sz w:val="16"/>
                <w:szCs w:val="16"/>
              </w:rPr>
            </w:pPr>
            <w:r>
              <w:rPr>
                <w:b/>
                <w:sz w:val="16"/>
                <w:szCs w:val="16"/>
              </w:rPr>
              <w:t>20yrs</w:t>
            </w:r>
          </w:p>
        </w:tc>
        <w:tc>
          <w:tcPr>
            <w:tcW w:w="869" w:type="pct"/>
            <w:tcBorders>
              <w:top w:val="single" w:sz="4" w:space="0" w:color="auto"/>
              <w:left w:val="single" w:sz="4" w:space="0" w:color="auto"/>
              <w:bottom w:val="single" w:sz="4" w:space="0" w:color="auto"/>
              <w:right w:val="single" w:sz="4" w:space="0" w:color="auto"/>
            </w:tcBorders>
            <w:vAlign w:val="bottom"/>
            <w:hideMark/>
          </w:tcPr>
          <w:p w14:paraId="1833F46B" w14:textId="77777777" w:rsidR="008A61FD" w:rsidRDefault="008A61FD" w:rsidP="00633E20">
            <w:pPr>
              <w:pStyle w:val="CEABullet-Level1"/>
              <w:numPr>
                <w:ilvl w:val="0"/>
                <w:numId w:val="0"/>
              </w:numPr>
              <w:ind w:left="360"/>
              <w:rPr>
                <w:b/>
                <w:sz w:val="16"/>
                <w:szCs w:val="16"/>
              </w:rPr>
            </w:pPr>
            <w:r>
              <w:rPr>
                <w:b/>
                <w:sz w:val="16"/>
                <w:szCs w:val="16"/>
              </w:rPr>
              <w:t>60yrs</w:t>
            </w:r>
          </w:p>
        </w:tc>
      </w:tr>
      <w:tr w:rsidR="00633E20" w:rsidRPr="00900576" w14:paraId="17E8AE20" w14:textId="77777777" w:rsidTr="00C31CF4">
        <w:trPr>
          <w:trHeight w:val="300"/>
          <w:jc w:val="center"/>
        </w:trPr>
        <w:tc>
          <w:tcPr>
            <w:tcW w:w="2321" w:type="pct"/>
            <w:tcBorders>
              <w:top w:val="single" w:sz="4" w:space="0" w:color="auto"/>
              <w:left w:val="single" w:sz="4" w:space="0" w:color="auto"/>
              <w:bottom w:val="single" w:sz="4" w:space="0" w:color="auto"/>
              <w:right w:val="single" w:sz="4" w:space="0" w:color="auto"/>
            </w:tcBorders>
            <w:noWrap/>
            <w:vAlign w:val="bottom"/>
            <w:hideMark/>
          </w:tcPr>
          <w:p w14:paraId="2440BB63" w14:textId="214FA07C" w:rsidR="008A61FD" w:rsidRDefault="008A61FD">
            <w:pPr>
              <w:pStyle w:val="CEABullet-Level1"/>
              <w:numPr>
                <w:ilvl w:val="0"/>
                <w:numId w:val="0"/>
              </w:numPr>
              <w:rPr>
                <w:b/>
                <w:sz w:val="16"/>
                <w:szCs w:val="16"/>
              </w:rPr>
            </w:pPr>
            <w:r>
              <w:rPr>
                <w:b/>
                <w:sz w:val="16"/>
                <w:szCs w:val="16"/>
              </w:rPr>
              <w:t>Present Value using</w:t>
            </w:r>
            <w:r w:rsidR="007A2509">
              <w:rPr>
                <w:b/>
                <w:sz w:val="16"/>
                <w:szCs w:val="16"/>
              </w:rPr>
              <w:t xml:space="preserve"> </w:t>
            </w:r>
            <w:r w:rsidR="00112F78">
              <w:rPr>
                <w:b/>
                <w:sz w:val="16"/>
                <w:szCs w:val="16"/>
              </w:rPr>
              <w:t>August</w:t>
            </w:r>
            <w:r w:rsidR="00900576">
              <w:rPr>
                <w:b/>
                <w:sz w:val="16"/>
                <w:szCs w:val="16"/>
              </w:rPr>
              <w:t xml:space="preserve"> </w:t>
            </w:r>
            <w:r>
              <w:rPr>
                <w:b/>
                <w:sz w:val="16"/>
                <w:szCs w:val="16"/>
              </w:rPr>
              <w:t>201</w:t>
            </w:r>
            <w:r w:rsidR="00633E20">
              <w:rPr>
                <w:b/>
                <w:sz w:val="16"/>
                <w:szCs w:val="16"/>
              </w:rPr>
              <w:t>8</w:t>
            </w:r>
            <w:r>
              <w:rPr>
                <w:b/>
                <w:sz w:val="16"/>
                <w:szCs w:val="16"/>
              </w:rPr>
              <w:t xml:space="preserve"> RFR with VA</w:t>
            </w:r>
          </w:p>
        </w:tc>
        <w:tc>
          <w:tcPr>
            <w:tcW w:w="941" w:type="pct"/>
            <w:tcBorders>
              <w:top w:val="single" w:sz="4" w:space="0" w:color="auto"/>
              <w:left w:val="single" w:sz="4" w:space="0" w:color="auto"/>
              <w:bottom w:val="single" w:sz="4" w:space="0" w:color="auto"/>
              <w:right w:val="single" w:sz="4" w:space="0" w:color="auto"/>
            </w:tcBorders>
            <w:shd w:val="clear" w:color="auto" w:fill="auto"/>
            <w:vAlign w:val="bottom"/>
          </w:tcPr>
          <w:p w14:paraId="62619C08" w14:textId="4F98187F" w:rsidR="008A61FD" w:rsidRPr="00E955CC" w:rsidRDefault="00900576">
            <w:pPr>
              <w:pStyle w:val="CEABullet-Level1"/>
              <w:numPr>
                <w:ilvl w:val="0"/>
                <w:numId w:val="0"/>
              </w:numPr>
              <w:ind w:left="34"/>
              <w:jc w:val="center"/>
              <w:rPr>
                <w:szCs w:val="17"/>
              </w:rPr>
            </w:pPr>
            <w:r w:rsidRPr="00C31CF4">
              <w:rPr>
                <w:szCs w:val="17"/>
              </w:rPr>
              <w:t>91</w:t>
            </w:r>
            <w:r w:rsidR="00BC1C6C">
              <w:rPr>
                <w:szCs w:val="17"/>
              </w:rPr>
              <w:t>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bottom"/>
          </w:tcPr>
          <w:p w14:paraId="55ABBB4B" w14:textId="0ECC2DC2" w:rsidR="008A61FD" w:rsidRPr="00E955CC" w:rsidRDefault="00112F78">
            <w:pPr>
              <w:pStyle w:val="CEABullet-Level1"/>
              <w:numPr>
                <w:ilvl w:val="0"/>
                <w:numId w:val="0"/>
              </w:numPr>
              <w:ind w:left="34"/>
              <w:jc w:val="center"/>
              <w:rPr>
                <w:szCs w:val="17"/>
              </w:rPr>
            </w:pPr>
            <w:r>
              <w:rPr>
                <w:szCs w:val="17"/>
              </w:rPr>
              <w:t>743</w:t>
            </w:r>
          </w:p>
        </w:tc>
        <w:tc>
          <w:tcPr>
            <w:tcW w:w="869" w:type="pct"/>
            <w:tcBorders>
              <w:top w:val="single" w:sz="4" w:space="0" w:color="auto"/>
              <w:left w:val="single" w:sz="4" w:space="0" w:color="auto"/>
              <w:bottom w:val="single" w:sz="4" w:space="0" w:color="auto"/>
              <w:right w:val="single" w:sz="4" w:space="0" w:color="auto"/>
            </w:tcBorders>
            <w:shd w:val="clear" w:color="auto" w:fill="auto"/>
            <w:vAlign w:val="bottom"/>
          </w:tcPr>
          <w:p w14:paraId="383D04AA" w14:textId="36BB11C3" w:rsidR="008A61FD" w:rsidRPr="00E955CC" w:rsidRDefault="004C542F" w:rsidP="00633E20">
            <w:pPr>
              <w:pStyle w:val="CEABullet-Level1"/>
              <w:numPr>
                <w:ilvl w:val="0"/>
                <w:numId w:val="0"/>
              </w:numPr>
              <w:ind w:left="360"/>
              <w:rPr>
                <w:szCs w:val="17"/>
              </w:rPr>
            </w:pPr>
            <w:r>
              <w:rPr>
                <w:szCs w:val="17"/>
              </w:rPr>
              <w:t>17</w:t>
            </w:r>
            <w:r w:rsidR="00BC1C6C">
              <w:rPr>
                <w:szCs w:val="17"/>
              </w:rPr>
              <w:t>2</w:t>
            </w:r>
          </w:p>
        </w:tc>
      </w:tr>
      <w:tr w:rsidR="00633E20" w:rsidRPr="00900576" w14:paraId="4D9E3D89" w14:textId="77777777" w:rsidTr="00C31CF4">
        <w:trPr>
          <w:trHeight w:val="300"/>
          <w:jc w:val="center"/>
        </w:trPr>
        <w:tc>
          <w:tcPr>
            <w:tcW w:w="2321" w:type="pct"/>
            <w:tcBorders>
              <w:top w:val="single" w:sz="4" w:space="0" w:color="auto"/>
              <w:left w:val="single" w:sz="4" w:space="0" w:color="auto"/>
              <w:bottom w:val="single" w:sz="4" w:space="0" w:color="auto"/>
              <w:right w:val="single" w:sz="4" w:space="0" w:color="auto"/>
            </w:tcBorders>
            <w:noWrap/>
            <w:vAlign w:val="bottom"/>
            <w:hideMark/>
          </w:tcPr>
          <w:p w14:paraId="546CB639" w14:textId="5C0934B2" w:rsidR="008A61FD" w:rsidRDefault="008B4F4E">
            <w:pPr>
              <w:pStyle w:val="CEABullet-Level1"/>
              <w:numPr>
                <w:ilvl w:val="0"/>
                <w:numId w:val="0"/>
              </w:numPr>
              <w:rPr>
                <w:b/>
                <w:sz w:val="16"/>
                <w:szCs w:val="16"/>
              </w:rPr>
            </w:pPr>
            <w:r>
              <w:rPr>
                <w:b/>
                <w:sz w:val="16"/>
                <w:szCs w:val="16"/>
              </w:rPr>
              <w:t xml:space="preserve">Present Value change from </w:t>
            </w:r>
            <w:r w:rsidR="00BC1C6C">
              <w:rPr>
                <w:b/>
                <w:sz w:val="16"/>
                <w:szCs w:val="16"/>
              </w:rPr>
              <w:t>Ju</w:t>
            </w:r>
            <w:r w:rsidR="00112F78">
              <w:rPr>
                <w:b/>
                <w:sz w:val="16"/>
                <w:szCs w:val="16"/>
              </w:rPr>
              <w:t>ly</w:t>
            </w:r>
            <w:r w:rsidR="00900576">
              <w:rPr>
                <w:b/>
                <w:sz w:val="16"/>
                <w:szCs w:val="16"/>
              </w:rPr>
              <w:t xml:space="preserve"> </w:t>
            </w:r>
            <w:r w:rsidR="00345EA0">
              <w:rPr>
                <w:b/>
                <w:sz w:val="16"/>
                <w:szCs w:val="16"/>
              </w:rPr>
              <w:t>2018</w:t>
            </w:r>
            <w:r w:rsidR="008A61FD">
              <w:rPr>
                <w:b/>
                <w:sz w:val="16"/>
                <w:szCs w:val="16"/>
              </w:rPr>
              <w:t xml:space="preserve"> </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6997962D" w14:textId="7156317C" w:rsidR="008A61FD" w:rsidRPr="00E955CC" w:rsidRDefault="00BC1C6C">
            <w:pPr>
              <w:pStyle w:val="CEABullet-Level1"/>
              <w:numPr>
                <w:ilvl w:val="0"/>
                <w:numId w:val="0"/>
              </w:numPr>
              <w:ind w:left="34"/>
              <w:jc w:val="center"/>
              <w:rPr>
                <w:szCs w:val="17"/>
              </w:rPr>
            </w:pPr>
            <w:r>
              <w:rPr>
                <w:szCs w:val="17"/>
              </w:rPr>
              <w:t>0.</w:t>
            </w:r>
            <w:r w:rsidR="00112F78">
              <w:rPr>
                <w:szCs w:val="17"/>
              </w:rPr>
              <w:t>0</w:t>
            </w:r>
            <w:r w:rsidR="00757BC8" w:rsidRPr="00E955CC">
              <w:rPr>
                <w:szCs w:val="17"/>
              </w:rPr>
              <w:t>%</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776924A5" w14:textId="1D16698C" w:rsidR="008A61FD" w:rsidRPr="00573905" w:rsidRDefault="00BC1C6C">
            <w:pPr>
              <w:pStyle w:val="CEABullet-Level1"/>
              <w:numPr>
                <w:ilvl w:val="0"/>
                <w:numId w:val="0"/>
              </w:numPr>
              <w:ind w:left="34"/>
              <w:jc w:val="center"/>
              <w:rPr>
                <w:szCs w:val="17"/>
              </w:rPr>
            </w:pPr>
            <w:r>
              <w:rPr>
                <w:szCs w:val="17"/>
              </w:rPr>
              <w:t>-0.</w:t>
            </w:r>
            <w:r w:rsidR="00112F78">
              <w:rPr>
                <w:szCs w:val="17"/>
              </w:rPr>
              <w:t>3</w:t>
            </w:r>
            <w:r w:rsidR="00345EA0" w:rsidRPr="00E955CC">
              <w:rPr>
                <w:szCs w:val="17"/>
              </w:rPr>
              <w:t>%</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7AFC827" w14:textId="72412C6F" w:rsidR="008A61FD" w:rsidRPr="00573905" w:rsidRDefault="00BC1C6C" w:rsidP="00633E20">
            <w:pPr>
              <w:pStyle w:val="CEABullet-Level1"/>
              <w:numPr>
                <w:ilvl w:val="0"/>
                <w:numId w:val="0"/>
              </w:numPr>
              <w:ind w:left="360"/>
              <w:rPr>
                <w:szCs w:val="17"/>
              </w:rPr>
            </w:pPr>
            <w:r>
              <w:rPr>
                <w:szCs w:val="17"/>
              </w:rPr>
              <w:t>-</w:t>
            </w:r>
            <w:r w:rsidR="00112F78">
              <w:rPr>
                <w:szCs w:val="17"/>
              </w:rPr>
              <w:t>0.4</w:t>
            </w:r>
            <w:r w:rsidR="00345EA0" w:rsidRPr="00E955CC">
              <w:rPr>
                <w:szCs w:val="17"/>
              </w:rPr>
              <w:t>%</w:t>
            </w:r>
          </w:p>
        </w:tc>
      </w:tr>
      <w:bookmarkEnd w:id="1"/>
    </w:tbl>
    <w:p w14:paraId="014B63B7" w14:textId="0ACB059B" w:rsidR="00EE77BA" w:rsidRDefault="00EE77BA" w:rsidP="008A61FD">
      <w:pPr>
        <w:pStyle w:val="CEAStandardHeading"/>
        <w:rPr>
          <w:color w:val="auto"/>
          <w:sz w:val="18"/>
          <w:szCs w:val="17"/>
        </w:rPr>
      </w:pPr>
    </w:p>
    <w:p w14:paraId="309583FE" w14:textId="77777777" w:rsidR="008A61FD" w:rsidRDefault="008A61FD" w:rsidP="008A61FD">
      <w:pPr>
        <w:pStyle w:val="CEAStandardHeading"/>
        <w:numPr>
          <w:ilvl w:val="0"/>
          <w:numId w:val="5"/>
        </w:numPr>
        <w:spacing w:after="120"/>
        <w:ind w:left="425" w:hanging="357"/>
        <w:textAlignment w:val="auto"/>
        <w:rPr>
          <w:b/>
          <w:sz w:val="17"/>
          <w:szCs w:val="17"/>
        </w:rPr>
      </w:pPr>
      <w:r>
        <w:rPr>
          <w:b/>
          <w:sz w:val="17"/>
          <w:szCs w:val="17"/>
        </w:rPr>
        <w:t>Symmetric Adjustment of the Equity Capital Charge</w:t>
      </w:r>
    </w:p>
    <w:tbl>
      <w:tblPr>
        <w:tblStyle w:val="Mriekatabuky"/>
        <w:tblW w:w="10048" w:type="dxa"/>
        <w:jc w:val="center"/>
        <w:tblInd w:w="0" w:type="dxa"/>
        <w:tblLook w:val="04A0" w:firstRow="1" w:lastRow="0" w:firstColumn="1" w:lastColumn="0" w:noHBand="0" w:noVBand="1"/>
      </w:tblPr>
      <w:tblGrid>
        <w:gridCol w:w="1256"/>
        <w:gridCol w:w="1256"/>
        <w:gridCol w:w="1256"/>
        <w:gridCol w:w="1256"/>
        <w:gridCol w:w="1256"/>
        <w:gridCol w:w="1256"/>
        <w:gridCol w:w="1256"/>
        <w:gridCol w:w="1256"/>
      </w:tblGrid>
      <w:tr w:rsidR="00112F78" w14:paraId="1600E73C" w14:textId="481F3D81" w:rsidTr="00112F78">
        <w:trPr>
          <w:trHeight w:val="428"/>
          <w:jc w:val="center"/>
        </w:trPr>
        <w:tc>
          <w:tcPr>
            <w:tcW w:w="1256" w:type="dxa"/>
            <w:tcBorders>
              <w:top w:val="single" w:sz="4" w:space="0" w:color="auto"/>
              <w:left w:val="single" w:sz="4" w:space="0" w:color="auto"/>
              <w:bottom w:val="single" w:sz="4" w:space="0" w:color="auto"/>
              <w:right w:val="single" w:sz="4" w:space="0" w:color="auto"/>
            </w:tcBorders>
            <w:vAlign w:val="center"/>
          </w:tcPr>
          <w:p w14:paraId="1E1D8747" w14:textId="1AD9F621" w:rsidR="00112F78" w:rsidRDefault="00112F78" w:rsidP="00112F78">
            <w:pPr>
              <w:jc w:val="center"/>
              <w:rPr>
                <w:rFonts w:cs="Arial"/>
                <w:b/>
                <w:sz w:val="17"/>
                <w:szCs w:val="17"/>
              </w:rPr>
            </w:pPr>
            <w:r>
              <w:rPr>
                <w:rFonts w:cs="Arial"/>
                <w:b/>
                <w:sz w:val="17"/>
                <w:szCs w:val="17"/>
              </w:rPr>
              <w:t>August 2018</w:t>
            </w:r>
          </w:p>
        </w:tc>
        <w:tc>
          <w:tcPr>
            <w:tcW w:w="1256" w:type="dxa"/>
            <w:tcBorders>
              <w:top w:val="single" w:sz="4" w:space="0" w:color="auto"/>
              <w:left w:val="single" w:sz="4" w:space="0" w:color="auto"/>
              <w:bottom w:val="single" w:sz="4" w:space="0" w:color="auto"/>
              <w:right w:val="single" w:sz="4" w:space="0" w:color="auto"/>
            </w:tcBorders>
            <w:vAlign w:val="center"/>
          </w:tcPr>
          <w:p w14:paraId="71874BA3" w14:textId="44137C9C" w:rsidR="00112F78" w:rsidRDefault="00112F78" w:rsidP="00112F78">
            <w:pPr>
              <w:jc w:val="center"/>
              <w:rPr>
                <w:rFonts w:cs="Arial"/>
                <w:b/>
                <w:sz w:val="17"/>
                <w:szCs w:val="17"/>
              </w:rPr>
            </w:pPr>
            <w:r>
              <w:rPr>
                <w:rFonts w:cs="Arial"/>
                <w:b/>
                <w:sz w:val="17"/>
                <w:szCs w:val="17"/>
              </w:rPr>
              <w:t>July 2018</w:t>
            </w:r>
          </w:p>
        </w:tc>
        <w:tc>
          <w:tcPr>
            <w:tcW w:w="1256" w:type="dxa"/>
            <w:tcBorders>
              <w:top w:val="single" w:sz="4" w:space="0" w:color="auto"/>
              <w:left w:val="single" w:sz="4" w:space="0" w:color="auto"/>
              <w:bottom w:val="single" w:sz="4" w:space="0" w:color="auto"/>
              <w:right w:val="single" w:sz="4" w:space="0" w:color="auto"/>
            </w:tcBorders>
            <w:vAlign w:val="center"/>
          </w:tcPr>
          <w:p w14:paraId="6E6D9AE2" w14:textId="3AA03B0C" w:rsidR="00112F78" w:rsidRDefault="00112F78" w:rsidP="00112F78">
            <w:pPr>
              <w:jc w:val="center"/>
              <w:rPr>
                <w:rFonts w:cs="Arial"/>
                <w:b/>
                <w:sz w:val="17"/>
                <w:szCs w:val="17"/>
              </w:rPr>
            </w:pPr>
            <w:r>
              <w:rPr>
                <w:rFonts w:cs="Arial"/>
                <w:b/>
                <w:sz w:val="17"/>
                <w:szCs w:val="17"/>
              </w:rPr>
              <w:t>June 2018</w:t>
            </w:r>
          </w:p>
        </w:tc>
        <w:tc>
          <w:tcPr>
            <w:tcW w:w="1256" w:type="dxa"/>
            <w:tcBorders>
              <w:top w:val="single" w:sz="4" w:space="0" w:color="auto"/>
              <w:left w:val="single" w:sz="4" w:space="0" w:color="auto"/>
              <w:bottom w:val="single" w:sz="4" w:space="0" w:color="auto"/>
              <w:right w:val="single" w:sz="4" w:space="0" w:color="auto"/>
            </w:tcBorders>
            <w:vAlign w:val="center"/>
          </w:tcPr>
          <w:p w14:paraId="7DDBB4E0" w14:textId="3006150D" w:rsidR="00112F78" w:rsidRDefault="00112F78" w:rsidP="00112F78">
            <w:pPr>
              <w:jc w:val="center"/>
              <w:rPr>
                <w:rFonts w:cs="Arial"/>
                <w:b/>
                <w:sz w:val="17"/>
                <w:szCs w:val="17"/>
              </w:rPr>
            </w:pPr>
            <w:r>
              <w:rPr>
                <w:rFonts w:cs="Arial"/>
                <w:b/>
                <w:sz w:val="17"/>
                <w:szCs w:val="17"/>
              </w:rPr>
              <w:t>May 2018</w:t>
            </w:r>
          </w:p>
        </w:tc>
        <w:tc>
          <w:tcPr>
            <w:tcW w:w="1256" w:type="dxa"/>
            <w:tcBorders>
              <w:top w:val="single" w:sz="4" w:space="0" w:color="auto"/>
              <w:left w:val="single" w:sz="4" w:space="0" w:color="auto"/>
              <w:bottom w:val="single" w:sz="4" w:space="0" w:color="auto"/>
              <w:right w:val="single" w:sz="4" w:space="0" w:color="auto"/>
            </w:tcBorders>
            <w:vAlign w:val="center"/>
          </w:tcPr>
          <w:p w14:paraId="70B7016A" w14:textId="74625774" w:rsidR="00112F78" w:rsidRDefault="00112F78" w:rsidP="00112F78">
            <w:pPr>
              <w:jc w:val="center"/>
              <w:rPr>
                <w:rFonts w:cs="Arial"/>
                <w:b/>
                <w:sz w:val="17"/>
                <w:szCs w:val="17"/>
              </w:rPr>
            </w:pPr>
            <w:r>
              <w:rPr>
                <w:rFonts w:cs="Arial"/>
                <w:b/>
                <w:sz w:val="17"/>
                <w:szCs w:val="17"/>
              </w:rPr>
              <w:t>April 2018</w:t>
            </w:r>
          </w:p>
        </w:tc>
        <w:tc>
          <w:tcPr>
            <w:tcW w:w="1256" w:type="dxa"/>
            <w:tcBorders>
              <w:top w:val="single" w:sz="4" w:space="0" w:color="auto"/>
              <w:left w:val="single" w:sz="4" w:space="0" w:color="auto"/>
              <w:bottom w:val="single" w:sz="4" w:space="0" w:color="auto"/>
              <w:right w:val="single" w:sz="4" w:space="0" w:color="auto"/>
            </w:tcBorders>
            <w:vAlign w:val="center"/>
          </w:tcPr>
          <w:p w14:paraId="37BE2C14" w14:textId="7BC20522" w:rsidR="00112F78" w:rsidRDefault="00112F78" w:rsidP="00112F78">
            <w:pPr>
              <w:jc w:val="center"/>
              <w:rPr>
                <w:rFonts w:cs="Arial"/>
                <w:b/>
                <w:sz w:val="17"/>
                <w:szCs w:val="17"/>
              </w:rPr>
            </w:pPr>
            <w:r>
              <w:rPr>
                <w:rFonts w:cs="Arial"/>
                <w:b/>
                <w:sz w:val="17"/>
                <w:szCs w:val="17"/>
              </w:rPr>
              <w:t>Mar 2018</w:t>
            </w:r>
          </w:p>
        </w:tc>
        <w:tc>
          <w:tcPr>
            <w:tcW w:w="1256" w:type="dxa"/>
            <w:tcBorders>
              <w:top w:val="single" w:sz="4" w:space="0" w:color="auto"/>
              <w:left w:val="single" w:sz="4" w:space="0" w:color="auto"/>
              <w:bottom w:val="single" w:sz="4" w:space="0" w:color="auto"/>
              <w:right w:val="single" w:sz="4" w:space="0" w:color="auto"/>
            </w:tcBorders>
            <w:vAlign w:val="center"/>
          </w:tcPr>
          <w:p w14:paraId="15ADDCC0" w14:textId="5D4BDD44" w:rsidR="00112F78" w:rsidRDefault="00112F78" w:rsidP="00112F78">
            <w:pPr>
              <w:jc w:val="center"/>
              <w:rPr>
                <w:rFonts w:cs="Arial"/>
                <w:b/>
                <w:sz w:val="17"/>
                <w:szCs w:val="17"/>
              </w:rPr>
            </w:pPr>
            <w:r>
              <w:rPr>
                <w:rFonts w:cs="Arial"/>
                <w:b/>
                <w:sz w:val="17"/>
                <w:szCs w:val="17"/>
              </w:rPr>
              <w:t>Feb 2018</w:t>
            </w:r>
          </w:p>
        </w:tc>
        <w:tc>
          <w:tcPr>
            <w:tcW w:w="1256" w:type="dxa"/>
            <w:tcBorders>
              <w:top w:val="single" w:sz="4" w:space="0" w:color="auto"/>
              <w:left w:val="single" w:sz="4" w:space="0" w:color="auto"/>
              <w:bottom w:val="single" w:sz="4" w:space="0" w:color="auto"/>
              <w:right w:val="single" w:sz="4" w:space="0" w:color="auto"/>
            </w:tcBorders>
            <w:vAlign w:val="center"/>
          </w:tcPr>
          <w:p w14:paraId="49FA714A" w14:textId="4274538B" w:rsidR="00112F78" w:rsidRDefault="00112F78" w:rsidP="00112F78">
            <w:pPr>
              <w:jc w:val="center"/>
              <w:rPr>
                <w:rFonts w:cs="Arial"/>
                <w:b/>
                <w:sz w:val="17"/>
                <w:szCs w:val="17"/>
              </w:rPr>
            </w:pPr>
            <w:r>
              <w:rPr>
                <w:rFonts w:cs="Arial"/>
                <w:b/>
                <w:sz w:val="17"/>
                <w:szCs w:val="17"/>
              </w:rPr>
              <w:t>Jan 2018</w:t>
            </w:r>
          </w:p>
        </w:tc>
        <w:bookmarkStart w:id="2" w:name="_Hlk495305182"/>
      </w:tr>
      <w:tr w:rsidR="00112F78" w14:paraId="000DE079" w14:textId="20F2F661" w:rsidTr="00112F78">
        <w:trPr>
          <w:trHeight w:val="342"/>
          <w:jc w:val="center"/>
        </w:trPr>
        <w:tc>
          <w:tcPr>
            <w:tcW w:w="1256" w:type="dxa"/>
            <w:tcBorders>
              <w:top w:val="single" w:sz="4" w:space="0" w:color="auto"/>
              <w:left w:val="single" w:sz="4" w:space="0" w:color="auto"/>
              <w:bottom w:val="single" w:sz="4" w:space="0" w:color="auto"/>
              <w:right w:val="single" w:sz="4" w:space="0" w:color="auto"/>
            </w:tcBorders>
          </w:tcPr>
          <w:p w14:paraId="3992980F" w14:textId="36C41A3E" w:rsidR="00112F78" w:rsidRDefault="00112F78" w:rsidP="00112F78">
            <w:pPr>
              <w:jc w:val="center"/>
              <w:rPr>
                <w:rFonts w:cs="Arial"/>
                <w:sz w:val="17"/>
                <w:szCs w:val="17"/>
              </w:rPr>
            </w:pPr>
            <w:r>
              <w:rPr>
                <w:rFonts w:cs="Arial"/>
                <w:sz w:val="17"/>
                <w:szCs w:val="17"/>
              </w:rPr>
              <w:t>0.34%</w:t>
            </w:r>
          </w:p>
        </w:tc>
        <w:tc>
          <w:tcPr>
            <w:tcW w:w="1256" w:type="dxa"/>
            <w:tcBorders>
              <w:top w:val="single" w:sz="4" w:space="0" w:color="auto"/>
              <w:left w:val="single" w:sz="4" w:space="0" w:color="auto"/>
              <w:bottom w:val="single" w:sz="4" w:space="0" w:color="auto"/>
              <w:right w:val="single" w:sz="4" w:space="0" w:color="auto"/>
            </w:tcBorders>
          </w:tcPr>
          <w:p w14:paraId="23E2BB76" w14:textId="4A334418" w:rsidR="00112F78" w:rsidRDefault="00112F78" w:rsidP="00112F78">
            <w:pPr>
              <w:jc w:val="center"/>
              <w:rPr>
                <w:rFonts w:cs="Arial"/>
                <w:sz w:val="17"/>
                <w:szCs w:val="17"/>
              </w:rPr>
            </w:pPr>
            <w:r>
              <w:rPr>
                <w:rFonts w:cs="Arial"/>
                <w:sz w:val="17"/>
                <w:szCs w:val="17"/>
              </w:rPr>
              <w:t>1.66%</w:t>
            </w:r>
          </w:p>
        </w:tc>
        <w:tc>
          <w:tcPr>
            <w:tcW w:w="1256" w:type="dxa"/>
            <w:tcBorders>
              <w:top w:val="single" w:sz="4" w:space="0" w:color="auto"/>
              <w:left w:val="single" w:sz="4" w:space="0" w:color="auto"/>
              <w:bottom w:val="single" w:sz="4" w:space="0" w:color="auto"/>
              <w:right w:val="single" w:sz="4" w:space="0" w:color="auto"/>
            </w:tcBorders>
          </w:tcPr>
          <w:p w14:paraId="4C3E57A3" w14:textId="708CC402" w:rsidR="00112F78" w:rsidRDefault="00112F78" w:rsidP="00112F78">
            <w:pPr>
              <w:jc w:val="center"/>
              <w:rPr>
                <w:rFonts w:cs="Arial"/>
                <w:sz w:val="17"/>
                <w:szCs w:val="17"/>
              </w:rPr>
            </w:pPr>
            <w:r>
              <w:rPr>
                <w:rFonts w:cs="Arial"/>
                <w:sz w:val="17"/>
                <w:szCs w:val="17"/>
              </w:rPr>
              <w:t>-0.11%</w:t>
            </w:r>
          </w:p>
        </w:tc>
        <w:tc>
          <w:tcPr>
            <w:tcW w:w="1256" w:type="dxa"/>
            <w:tcBorders>
              <w:top w:val="single" w:sz="4" w:space="0" w:color="auto"/>
              <w:left w:val="single" w:sz="4" w:space="0" w:color="auto"/>
              <w:bottom w:val="single" w:sz="4" w:space="0" w:color="auto"/>
              <w:right w:val="single" w:sz="4" w:space="0" w:color="auto"/>
            </w:tcBorders>
          </w:tcPr>
          <w:p w14:paraId="0EB4E3C8" w14:textId="63487550" w:rsidR="00112F78" w:rsidRDefault="00112F78" w:rsidP="00112F78">
            <w:pPr>
              <w:jc w:val="center"/>
              <w:rPr>
                <w:rFonts w:cs="Arial"/>
                <w:sz w:val="17"/>
                <w:szCs w:val="17"/>
              </w:rPr>
            </w:pPr>
            <w:r>
              <w:rPr>
                <w:rFonts w:cs="Arial"/>
                <w:sz w:val="17"/>
                <w:szCs w:val="17"/>
              </w:rPr>
              <w:t>0.31%</w:t>
            </w:r>
          </w:p>
        </w:tc>
        <w:tc>
          <w:tcPr>
            <w:tcW w:w="1256" w:type="dxa"/>
            <w:tcBorders>
              <w:top w:val="single" w:sz="4" w:space="0" w:color="auto"/>
              <w:left w:val="single" w:sz="4" w:space="0" w:color="auto"/>
              <w:bottom w:val="single" w:sz="4" w:space="0" w:color="auto"/>
              <w:right w:val="single" w:sz="4" w:space="0" w:color="auto"/>
            </w:tcBorders>
          </w:tcPr>
          <w:p w14:paraId="4C9321C8" w14:textId="6DC9702D" w:rsidR="00112F78" w:rsidRDefault="00112F78" w:rsidP="00112F78">
            <w:pPr>
              <w:jc w:val="center"/>
              <w:rPr>
                <w:rFonts w:cs="Arial"/>
                <w:sz w:val="17"/>
                <w:szCs w:val="17"/>
              </w:rPr>
            </w:pPr>
            <w:r>
              <w:rPr>
                <w:rFonts w:cs="Arial"/>
                <w:sz w:val="17"/>
                <w:szCs w:val="17"/>
              </w:rPr>
              <w:t>1.41%</w:t>
            </w:r>
          </w:p>
        </w:tc>
        <w:tc>
          <w:tcPr>
            <w:tcW w:w="1256" w:type="dxa"/>
            <w:tcBorders>
              <w:top w:val="single" w:sz="4" w:space="0" w:color="auto"/>
              <w:left w:val="single" w:sz="4" w:space="0" w:color="auto"/>
              <w:bottom w:val="single" w:sz="4" w:space="0" w:color="auto"/>
              <w:right w:val="single" w:sz="4" w:space="0" w:color="auto"/>
            </w:tcBorders>
          </w:tcPr>
          <w:p w14:paraId="4383E35A" w14:textId="63E160B0" w:rsidR="00112F78" w:rsidRDefault="00112F78" w:rsidP="00112F78">
            <w:pPr>
              <w:jc w:val="center"/>
              <w:rPr>
                <w:rFonts w:cs="Arial"/>
                <w:sz w:val="17"/>
                <w:szCs w:val="17"/>
              </w:rPr>
            </w:pPr>
            <w:r>
              <w:rPr>
                <w:rFonts w:cs="Arial"/>
                <w:sz w:val="17"/>
                <w:szCs w:val="17"/>
              </w:rPr>
              <w:t>-0.88%</w:t>
            </w:r>
          </w:p>
        </w:tc>
        <w:tc>
          <w:tcPr>
            <w:tcW w:w="1256" w:type="dxa"/>
            <w:tcBorders>
              <w:top w:val="single" w:sz="4" w:space="0" w:color="auto"/>
              <w:left w:val="single" w:sz="4" w:space="0" w:color="auto"/>
              <w:bottom w:val="single" w:sz="4" w:space="0" w:color="auto"/>
              <w:right w:val="single" w:sz="4" w:space="0" w:color="auto"/>
            </w:tcBorders>
          </w:tcPr>
          <w:p w14:paraId="35B5CA8A" w14:textId="584720F8" w:rsidR="00112F78" w:rsidRDefault="00112F78" w:rsidP="00112F78">
            <w:pPr>
              <w:jc w:val="center"/>
              <w:rPr>
                <w:rFonts w:cs="Arial"/>
                <w:sz w:val="17"/>
                <w:szCs w:val="17"/>
              </w:rPr>
            </w:pPr>
            <w:r>
              <w:rPr>
                <w:rFonts w:cs="Arial"/>
                <w:sz w:val="17"/>
                <w:szCs w:val="17"/>
              </w:rPr>
              <w:t>0.52%</w:t>
            </w:r>
          </w:p>
        </w:tc>
        <w:tc>
          <w:tcPr>
            <w:tcW w:w="1256" w:type="dxa"/>
            <w:tcBorders>
              <w:top w:val="single" w:sz="4" w:space="0" w:color="auto"/>
              <w:left w:val="single" w:sz="4" w:space="0" w:color="auto"/>
              <w:bottom w:val="single" w:sz="4" w:space="0" w:color="auto"/>
              <w:right w:val="single" w:sz="4" w:space="0" w:color="auto"/>
            </w:tcBorders>
          </w:tcPr>
          <w:p w14:paraId="1A27D79E" w14:textId="3BC8AC8D" w:rsidR="00112F78" w:rsidRDefault="00112F78" w:rsidP="00112F78">
            <w:pPr>
              <w:jc w:val="center"/>
              <w:rPr>
                <w:rFonts w:cs="Arial"/>
                <w:sz w:val="17"/>
                <w:szCs w:val="17"/>
              </w:rPr>
            </w:pPr>
            <w:r>
              <w:rPr>
                <w:rFonts w:cs="Arial"/>
                <w:sz w:val="17"/>
                <w:szCs w:val="17"/>
              </w:rPr>
              <w:t>3.10%</w:t>
            </w:r>
          </w:p>
        </w:tc>
      </w:tr>
      <w:bookmarkEnd w:id="2"/>
    </w:tbl>
    <w:p w14:paraId="70A43A7D" w14:textId="77777777" w:rsidR="0016089A" w:rsidRPr="00763D6E" w:rsidRDefault="0016089A" w:rsidP="00E955CC">
      <w:pPr>
        <w:spacing w:line="240" w:lineRule="auto"/>
        <w:jc w:val="left"/>
        <w:rPr>
          <w:sz w:val="17"/>
          <w:szCs w:val="17"/>
        </w:rPr>
      </w:pPr>
    </w:p>
    <w:sectPr w:rsidR="0016089A" w:rsidRPr="00763D6E" w:rsidSect="00CF1BCC">
      <w:headerReference w:type="default" r:id="rId16"/>
      <w:footerReference w:type="default" r:id="rId17"/>
      <w:headerReference w:type="first" r:id="rId18"/>
      <w:footerReference w:type="first" r:id="rId19"/>
      <w:pgSz w:w="11907" w:h="16839" w:code="9"/>
      <w:pgMar w:top="2410" w:right="907" w:bottom="1253" w:left="1418" w:header="340" w:footer="1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9745E" w14:textId="77777777" w:rsidR="004D2FA2" w:rsidRDefault="004D2FA2" w:rsidP="0016089A">
      <w:pPr>
        <w:spacing w:line="240" w:lineRule="auto"/>
      </w:pPr>
      <w:r>
        <w:separator/>
      </w:r>
    </w:p>
  </w:endnote>
  <w:endnote w:type="continuationSeparator" w:id="0">
    <w:p w14:paraId="6D72169C" w14:textId="77777777" w:rsidR="004D2FA2" w:rsidRDefault="004D2FA2" w:rsidP="00160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6A6C6" w14:textId="4EDDC90E" w:rsidR="00CF35FD" w:rsidRPr="00E20C68" w:rsidRDefault="00E20C68" w:rsidP="00E20C68">
    <w:pPr>
      <w:framePr w:w="708" w:h="391" w:hRule="exact" w:hSpace="181" w:wrap="around" w:vAnchor="page" w:hAnchor="page" w:x="10320" w:y="16111" w:anchorLock="1"/>
      <w:jc w:val="right"/>
      <w:rPr>
        <w:rFonts w:cs="Tahoma"/>
        <w:color w:val="002957"/>
        <w:szCs w:val="18"/>
      </w:rPr>
    </w:pPr>
    <w:r w:rsidRPr="00E20C68">
      <w:rPr>
        <w:rFonts w:cs="Tahoma"/>
        <w:color w:val="002957"/>
        <w:sz w:val="18"/>
        <w:szCs w:val="16"/>
      </w:rPr>
      <w:fldChar w:fldCharType="begin"/>
    </w:r>
    <w:r w:rsidRPr="00E20C68">
      <w:rPr>
        <w:rFonts w:cs="Tahoma"/>
        <w:color w:val="002957"/>
        <w:sz w:val="18"/>
        <w:szCs w:val="16"/>
      </w:rPr>
      <w:instrText xml:space="preserve"> PAGE   \* MERGEFORMAT </w:instrText>
    </w:r>
    <w:r w:rsidRPr="00E20C68">
      <w:rPr>
        <w:rFonts w:cs="Tahoma"/>
        <w:color w:val="002957"/>
        <w:sz w:val="18"/>
        <w:szCs w:val="16"/>
      </w:rPr>
      <w:fldChar w:fldCharType="separate"/>
    </w:r>
    <w:r w:rsidR="00C31CF4">
      <w:rPr>
        <w:rFonts w:cs="Tahoma"/>
        <w:noProof/>
        <w:color w:val="002957"/>
        <w:sz w:val="18"/>
        <w:szCs w:val="16"/>
      </w:rPr>
      <w:t>2</w:t>
    </w:r>
    <w:r w:rsidRPr="00E20C68">
      <w:rPr>
        <w:rFonts w:cs="Tahoma"/>
        <w:noProof/>
        <w:color w:val="002957"/>
        <w:sz w:val="18"/>
        <w:szCs w:val="16"/>
      </w:rPr>
      <w:fldChar w:fldCharType="end"/>
    </w:r>
  </w:p>
  <w:p w14:paraId="1CB8E528" w14:textId="77777777" w:rsidR="00A926FF" w:rsidRPr="0089179F" w:rsidRDefault="00D56880" w:rsidP="00CF35FD">
    <w:pPr>
      <w:tabs>
        <w:tab w:val="right" w:pos="10260"/>
      </w:tabs>
      <w:autoSpaceDE w:val="0"/>
      <w:autoSpaceDN w:val="0"/>
      <w:adjustRightInd w:val="0"/>
      <w:ind w:right="23"/>
      <w:jc w:val="right"/>
      <w:textAlignment w:val="center"/>
      <w:rPr>
        <w:color w:val="00008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0097A" w14:textId="77777777" w:rsidR="00646377" w:rsidRPr="00CF35FD" w:rsidRDefault="001C366D" w:rsidP="00931CC2">
    <w:pPr>
      <w:framePr w:w="3958" w:h="981" w:hRule="exact" w:hSpace="181" w:wrap="around" w:vAnchor="page" w:hAnchor="page" w:x="7259" w:y="15418" w:anchorLock="1"/>
      <w:rPr>
        <w:rFonts w:cs="Tahoma"/>
        <w:color w:val="002957"/>
        <w:sz w:val="14"/>
        <w:szCs w:val="14"/>
      </w:rPr>
    </w:pPr>
    <w:r w:rsidRPr="00CF35FD">
      <w:rPr>
        <w:rFonts w:cs="Tahoma"/>
        <w:color w:val="002957"/>
        <w:sz w:val="14"/>
        <w:szCs w:val="14"/>
      </w:rPr>
      <w:t xml:space="preserve">© </w:t>
    </w:r>
    <w:r w:rsidRPr="00CF35FD">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128866A3" w14:textId="77777777" w:rsidR="008303BF" w:rsidRPr="00CF35FD" w:rsidRDefault="00D56880" w:rsidP="00931CC2">
    <w:pPr>
      <w:framePr w:w="3958" w:h="981" w:hRule="exact" w:hSpace="181" w:wrap="around" w:vAnchor="page" w:hAnchor="page" w:x="7259" w:y="15418" w:anchorLock="1"/>
      <w:jc w:val="left"/>
      <w:rPr>
        <w:rFonts w:cs="Tahoma"/>
        <w:b/>
        <w:color w:val="002957"/>
        <w:sz w:val="16"/>
        <w:szCs w:val="16"/>
      </w:rPr>
    </w:pPr>
  </w:p>
  <w:p w14:paraId="15D64279" w14:textId="466DC150" w:rsidR="008303BF" w:rsidRPr="002803C0" w:rsidRDefault="008A61FD" w:rsidP="00FC1F52">
    <w:pPr>
      <w:pStyle w:val="CEAFooterauthorinfo"/>
      <w:ind w:left="708" w:hanging="708"/>
      <w:rPr>
        <w:b w:val="0"/>
        <w:color w:val="002957"/>
        <w:sz w:val="14"/>
        <w:szCs w:val="14"/>
      </w:rPr>
    </w:pPr>
    <w:r>
      <w:rPr>
        <w:b w:val="0"/>
        <w:color w:val="002957"/>
        <w:sz w:val="14"/>
        <w:szCs w:val="14"/>
      </w:rPr>
      <w:t>Prudential Team</w:t>
    </w:r>
  </w:p>
  <w:p w14:paraId="57C0EBD4" w14:textId="6BB34ABE" w:rsidR="008303BF" w:rsidRPr="002803C0" w:rsidRDefault="001C366D" w:rsidP="008303BF">
    <w:pPr>
      <w:pStyle w:val="CEAFooterauthorinfo"/>
      <w:ind w:left="0"/>
      <w:rPr>
        <w:b w:val="0"/>
        <w:color w:val="002957"/>
        <w:sz w:val="14"/>
        <w:szCs w:val="14"/>
      </w:rPr>
    </w:pPr>
    <w:r w:rsidRPr="002803C0">
      <w:rPr>
        <w:b w:val="0"/>
        <w:color w:val="002957"/>
        <w:sz w:val="14"/>
        <w:szCs w:val="14"/>
      </w:rPr>
      <w:t xml:space="preserve">Insurance Europe </w:t>
    </w:r>
    <w:proofErr w:type="spellStart"/>
    <w:r w:rsidRPr="002803C0">
      <w:rPr>
        <w:b w:val="0"/>
        <w:color w:val="002957"/>
        <w:sz w:val="14"/>
        <w:szCs w:val="14"/>
      </w:rPr>
      <w:t>aisbl</w:t>
    </w:r>
    <w:proofErr w:type="spellEnd"/>
    <w:r w:rsidRPr="002803C0">
      <w:rPr>
        <w:b w:val="0"/>
        <w:color w:val="002957"/>
        <w:sz w:val="14"/>
        <w:szCs w:val="14"/>
      </w:rPr>
      <w:t xml:space="preserve"> </w:t>
    </w:r>
    <w:r w:rsidRPr="00CE6BD9">
      <w:rPr>
        <w:b w:val="0"/>
        <w:color w:val="002957"/>
        <w:sz w:val="14"/>
        <w:szCs w:val="14"/>
        <w:lang w:val="pt-PT"/>
      </w:rPr>
      <w:t>•</w:t>
    </w:r>
    <w:r w:rsidRPr="002803C0">
      <w:rPr>
        <w:b w:val="0"/>
        <w:color w:val="002957"/>
        <w:sz w:val="14"/>
        <w:szCs w:val="14"/>
      </w:rPr>
      <w:t xml:space="preserve"> </w:t>
    </w:r>
    <w:r w:rsidR="008A61FD">
      <w:rPr>
        <w:b w:val="0"/>
        <w:color w:val="002957"/>
        <w:sz w:val="14"/>
        <w:szCs w:val="14"/>
      </w:rPr>
      <w:t xml:space="preserve">Rue </w:t>
    </w:r>
    <w:proofErr w:type="spellStart"/>
    <w:r w:rsidR="008A61FD">
      <w:rPr>
        <w:b w:val="0"/>
        <w:color w:val="002957"/>
        <w:sz w:val="14"/>
        <w:szCs w:val="14"/>
      </w:rPr>
      <w:t>Montoyer</w:t>
    </w:r>
    <w:proofErr w:type="spellEnd"/>
    <w:r w:rsidR="008A61FD">
      <w:rPr>
        <w:b w:val="0"/>
        <w:color w:val="002957"/>
        <w:sz w:val="14"/>
        <w:szCs w:val="14"/>
      </w:rPr>
      <w:t xml:space="preserve"> 51</w:t>
    </w:r>
    <w:r w:rsidR="00D64BF8">
      <w:rPr>
        <w:b w:val="0"/>
        <w:color w:val="002957"/>
        <w:sz w:val="14"/>
        <w:szCs w:val="14"/>
      </w:rPr>
      <w:t xml:space="preserve">, </w:t>
    </w:r>
    <w:r w:rsidR="008A61FD">
      <w:rPr>
        <w:b w:val="0"/>
        <w:color w:val="002957"/>
        <w:sz w:val="14"/>
        <w:szCs w:val="14"/>
      </w:rPr>
      <w:t>B-1000 Brussels</w:t>
    </w:r>
  </w:p>
  <w:p w14:paraId="1F2415FC" w14:textId="3F3C77FC" w:rsidR="00F22524" w:rsidRPr="00CE6BD9" w:rsidRDefault="00AC359E" w:rsidP="008303BF">
    <w:pPr>
      <w:pStyle w:val="CEAFooterauthorinfo"/>
      <w:ind w:left="0"/>
      <w:rPr>
        <w:b w:val="0"/>
        <w:color w:val="002957"/>
        <w:sz w:val="14"/>
        <w:szCs w:val="14"/>
        <w:lang w:val="pt-PT"/>
      </w:rPr>
    </w:pPr>
    <w:r>
      <w:rPr>
        <w:b w:val="0"/>
        <w:color w:val="002957"/>
        <w:sz w:val="14"/>
        <w:szCs w:val="14"/>
        <w:lang w:val="pt-PT"/>
      </w:rPr>
      <w:t xml:space="preserve">Tel: </w:t>
    </w:r>
    <w:r w:rsidR="008A61FD">
      <w:rPr>
        <w:b w:val="0"/>
        <w:color w:val="002957"/>
        <w:sz w:val="14"/>
        <w:szCs w:val="14"/>
        <w:lang w:val="pt-PT"/>
      </w:rPr>
      <w:t>+32 2 894 30 39</w:t>
    </w:r>
    <w:r>
      <w:rPr>
        <w:b w:val="0"/>
        <w:color w:val="002957"/>
        <w:sz w:val="14"/>
        <w:szCs w:val="14"/>
        <w:lang w:val="pt-PT"/>
      </w:rPr>
      <w:t xml:space="preserve"> • Fax: </w:t>
    </w:r>
    <w:r w:rsidR="008A61FD">
      <w:rPr>
        <w:b w:val="0"/>
        <w:color w:val="002957"/>
        <w:sz w:val="14"/>
        <w:szCs w:val="14"/>
        <w:lang w:val="pt-PT"/>
      </w:rPr>
      <w:t>+32 493 256301</w:t>
    </w:r>
  </w:p>
  <w:p w14:paraId="466C2296" w14:textId="4AF57CAE" w:rsidR="008303BF" w:rsidRDefault="00AC359E" w:rsidP="008303BF">
    <w:pPr>
      <w:pStyle w:val="CEAFooterauthorinfo"/>
      <w:ind w:left="0"/>
      <w:rPr>
        <w:b w:val="0"/>
        <w:color w:val="002957"/>
        <w:sz w:val="14"/>
        <w:szCs w:val="14"/>
        <w:lang w:val="pt-PT"/>
      </w:rPr>
    </w:pPr>
    <w:r>
      <w:rPr>
        <w:b w:val="0"/>
        <w:color w:val="002957"/>
        <w:sz w:val="14"/>
        <w:szCs w:val="14"/>
        <w:lang w:val="pt-PT"/>
      </w:rPr>
      <w:t xml:space="preserve">E-mail: </w:t>
    </w:r>
    <w:r w:rsidR="008A61FD">
      <w:rPr>
        <w:b w:val="0"/>
        <w:color w:val="002957"/>
        <w:sz w:val="14"/>
        <w:szCs w:val="14"/>
        <w:lang w:val="pt-PT"/>
      </w:rPr>
      <w:t>prudential@insuranceeurope.eu</w:t>
    </w:r>
  </w:p>
  <w:p w14:paraId="3D77BD9E" w14:textId="77777777" w:rsidR="00776725" w:rsidRPr="00DD395E" w:rsidRDefault="00776725" w:rsidP="008303BF">
    <w:pPr>
      <w:pStyle w:val="CEAFooterauthorinfo"/>
      <w:ind w:left="0"/>
      <w:rPr>
        <w:rFonts w:cs="Frutiger LT Std 55 Roman"/>
        <w:b w:val="0"/>
        <w:color w:val="82C55B"/>
        <w:sz w:val="14"/>
        <w:szCs w:val="14"/>
        <w:lang w:val="pt-PT"/>
      </w:rPr>
    </w:pPr>
    <w:r w:rsidRPr="00DD395E">
      <w:rPr>
        <w:rFonts w:cs="Frutiger LT Std 55 Roman"/>
        <w:b w:val="0"/>
        <w:color w:val="82C55B"/>
        <w:sz w:val="14"/>
        <w:szCs w:val="14"/>
        <w:lang w:val="pt-PT"/>
      </w:rPr>
      <w:t>www.insuranceeurope.eu</w:t>
    </w:r>
  </w:p>
  <w:p w14:paraId="35B22A2B" w14:textId="77777777" w:rsidR="008303BF" w:rsidRPr="001B3EA9" w:rsidRDefault="00D56880">
    <w:pPr>
      <w:pStyle w:val="Pta"/>
      <w:rPr>
        <w:color w:val="002957"/>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89050" w14:textId="77777777" w:rsidR="004D2FA2" w:rsidRDefault="004D2FA2" w:rsidP="0016089A">
      <w:pPr>
        <w:spacing w:line="240" w:lineRule="auto"/>
      </w:pPr>
      <w:r>
        <w:separator/>
      </w:r>
    </w:p>
  </w:footnote>
  <w:footnote w:type="continuationSeparator" w:id="0">
    <w:p w14:paraId="5694F4A0" w14:textId="77777777" w:rsidR="004D2FA2" w:rsidRDefault="004D2FA2" w:rsidP="001608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3E33E" w14:textId="77777777" w:rsidR="00AE797B" w:rsidRPr="000846C0" w:rsidRDefault="00D56880" w:rsidP="000846C0">
    <w:pPr>
      <w:pStyle w:val="Noparagraphstyle"/>
      <w:jc w:val="right"/>
      <w:rPr>
        <w:sz w:val="18"/>
        <w:szCs w:val="18"/>
      </w:rPr>
    </w:pPr>
  </w:p>
  <w:p w14:paraId="6D917A04" w14:textId="77777777" w:rsidR="00AE797B" w:rsidRPr="00CE6BD9" w:rsidRDefault="001C366D" w:rsidP="000846C0">
    <w:pPr>
      <w:pStyle w:val="Noparagraphstyle"/>
      <w:jc w:val="right"/>
      <w:rPr>
        <w:rFonts w:ascii="Arial" w:hAnsi="Arial" w:cs="Arial"/>
        <w:i/>
        <w:iCs/>
        <w:color w:val="034EA2"/>
      </w:rPr>
    </w:pPr>
    <w:r>
      <w:tab/>
    </w:r>
  </w:p>
  <w:p w14:paraId="0102EA03" w14:textId="77777777" w:rsidR="00AE797B" w:rsidRDefault="001C366D" w:rsidP="005C0D74">
    <w:pPr>
      <w:pStyle w:val="Hlavika"/>
      <w:tabs>
        <w:tab w:val="clear" w:pos="4320"/>
        <w:tab w:val="clear" w:pos="8640"/>
        <w:tab w:val="center" w:pos="0"/>
        <w:tab w:val="right" w:pos="10440"/>
      </w:tabs>
      <w:jc w:val="right"/>
      <w:rPr>
        <w:b/>
        <w:color w:val="034EA2"/>
        <w:sz w:val="40"/>
        <w:szCs w:val="40"/>
      </w:rPr>
    </w:pPr>
    <w:r w:rsidRPr="00763D6E">
      <w:rPr>
        <w:b/>
        <w:noProof/>
        <w:sz w:val="40"/>
        <w:szCs w:val="40"/>
        <w:lang w:val="sk-SK" w:eastAsia="sk-SK"/>
      </w:rPr>
      <w:drawing>
        <wp:anchor distT="0" distB="0" distL="114300" distR="114300" simplePos="0" relativeHeight="251660288" behindDoc="0" locked="0" layoutInCell="1" allowOverlap="1" wp14:anchorId="42212B25" wp14:editId="0D81137F">
          <wp:simplePos x="0" y="0"/>
          <wp:positionH relativeFrom="page">
            <wp:posOffset>521970</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Pr="005C0D74">
      <w:rPr>
        <w:b/>
        <w:color w:val="034EA2"/>
        <w:sz w:val="28"/>
        <w:szCs w:val="28"/>
      </w:rPr>
      <w:t xml:space="preserve"> </w:t>
    </w:r>
  </w:p>
  <w:p w14:paraId="67D8209F" w14:textId="77777777" w:rsidR="00AE797B" w:rsidRDefault="00D56880" w:rsidP="00665E76">
    <w:pPr>
      <w:pStyle w:val="Noparagraphsty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63A30" w14:textId="77777777" w:rsidR="00732B64" w:rsidRPr="00CE615B" w:rsidRDefault="001C366D" w:rsidP="00732B64">
    <w:pPr>
      <w:pStyle w:val="Noparagraphstyle"/>
      <w:tabs>
        <w:tab w:val="left" w:pos="-1800"/>
      </w:tabs>
      <w:jc w:val="right"/>
      <w:rPr>
        <w:rFonts w:ascii="Verdana" w:hAnsi="Verdana"/>
        <w:sz w:val="22"/>
        <w:szCs w:val="22"/>
      </w:rPr>
    </w:pPr>
    <w:r w:rsidRPr="00CE615B">
      <w:rPr>
        <w:rFonts w:ascii="Verdana" w:hAnsi="Verdana"/>
        <w:sz w:val="18"/>
        <w:szCs w:val="18"/>
      </w:rPr>
      <w:br/>
    </w:r>
  </w:p>
  <w:p w14:paraId="0FC2F591" w14:textId="77777777" w:rsidR="00CF35FD" w:rsidRPr="00CE615B" w:rsidRDefault="001B3EA9" w:rsidP="00732B64">
    <w:pPr>
      <w:pStyle w:val="Noparagraphstyle"/>
      <w:tabs>
        <w:tab w:val="left" w:pos="-1800"/>
      </w:tabs>
      <w:jc w:val="right"/>
      <w:rPr>
        <w:rFonts w:ascii="Verdana" w:hAnsi="Verdana"/>
        <w:sz w:val="32"/>
        <w:szCs w:val="32"/>
      </w:rPr>
    </w:pPr>
    <w:r>
      <w:rPr>
        <w:rFonts w:ascii="Verdana" w:hAnsi="Verdana"/>
        <w:color w:val="002957"/>
        <w:sz w:val="36"/>
        <w:szCs w:val="36"/>
      </w:rPr>
      <w:t>Memo for</w:t>
    </w:r>
  </w:p>
  <w:p w14:paraId="45538302" w14:textId="77777777" w:rsidR="00732B64" w:rsidRPr="00CF35FD" w:rsidRDefault="001C366D" w:rsidP="003A3206">
    <w:pPr>
      <w:pStyle w:val="CEADocumentTitle"/>
      <w:tabs>
        <w:tab w:val="clear" w:pos="10440"/>
      </w:tabs>
      <w:spacing w:line="240" w:lineRule="auto"/>
      <w:rPr>
        <w:b w:val="0"/>
        <w:color w:val="002957"/>
        <w:sz w:val="36"/>
        <w:szCs w:val="36"/>
      </w:rPr>
    </w:pPr>
    <w:r w:rsidRPr="00763D6E">
      <w:rPr>
        <w:b w:val="0"/>
        <w:color w:val="auto"/>
        <w:sz w:val="36"/>
        <w:szCs w:val="36"/>
      </w:rPr>
      <w:tab/>
    </w:r>
    <w:sdt>
      <w:sdtPr>
        <w:rPr>
          <w:b w:val="0"/>
          <w:color w:val="002957"/>
          <w:sz w:val="36"/>
          <w:szCs w:val="36"/>
        </w:rPr>
        <w:alias w:val="Type of memo"/>
        <w:tag w:val="Type_x0020_of_x0020_memo"/>
        <w:id w:val="-236239955"/>
        <w:placeholder>
          <w:docPart w:val="158764735BF849D6923D2F1EEA208FDC"/>
        </w:placeholder>
        <w:dataBinding w:prefixMappings="xmlns:ns0='http://schemas.microsoft.com/office/2006/metadata/properties' xmlns:ns1='http://www.w3.org/2001/XMLSchema-instance' xmlns:ns2='http://schemas.microsoft.com/office/infopath/2007/PartnerControls' xmlns:ns3='d113e6c9-68c2-4198-bb3a-f8ecf571e120' xmlns:ns4='e0da4f5e-37e5-4fce-b2cf-d2352e4e27d6' " w:xpath="/ns0:properties[1]/documentManagement[1]/ns3:Type_x0020_of_x0020_memo[1]" w:storeItemID="{16BE8AC2-BC04-484A-AE5F-6753D3DE5469}"/>
        <w:dropDownList>
          <w:listItem w:value="[Type of memo]"/>
        </w:dropDownList>
      </w:sdtPr>
      <w:sdtEndPr/>
      <w:sdtContent>
        <w:r w:rsidR="00320D8E" w:rsidRPr="001B3EA9">
          <w:rPr>
            <w:b w:val="0"/>
            <w:color w:val="002957"/>
            <w:sz w:val="36"/>
            <w:szCs w:val="36"/>
          </w:rPr>
          <w:t>information</w:t>
        </w:r>
      </w:sdtContent>
    </w:sdt>
    <w:r w:rsidRPr="00CF35FD">
      <w:rPr>
        <w:b w:val="0"/>
        <w:color w:val="002957"/>
        <w:sz w:val="36"/>
        <w:szCs w:val="36"/>
        <w:lang w:val="sk-SK" w:eastAsia="sk-SK"/>
      </w:rPr>
      <w:drawing>
        <wp:anchor distT="0" distB="0" distL="114300" distR="114300" simplePos="0" relativeHeight="251659264" behindDoc="0" locked="0" layoutInCell="1" allowOverlap="1" wp14:anchorId="73A57463" wp14:editId="2D6EE75D">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FD5BA92" w14:textId="46BCF3A8" w:rsidR="00875154" w:rsidRDefault="00875154" w:rsidP="00875154">
    <w:pPr>
      <w:jc w:val="right"/>
      <w:rPr>
        <w:b/>
        <w:i/>
        <w:color w:val="002957"/>
        <w:sz w:val="32"/>
        <w:szCs w:val="32"/>
      </w:rPr>
    </w:pPr>
  </w:p>
  <w:p w14:paraId="4809AF52" w14:textId="77777777" w:rsidR="00732B64" w:rsidRPr="00CE6BD9" w:rsidRDefault="00D56880" w:rsidP="00732B64">
    <w:pPr>
      <w:pStyle w:val="BodyText-CEA"/>
      <w:jc w:val="left"/>
    </w:pPr>
    <w:bookmarkStart w:id="3" w:name="Draft1st"/>
    <w:bookmarkStart w:id="4" w:name="Header"/>
    <w:bookmarkEnd w:id="3"/>
  </w:p>
  <w:tbl>
    <w:tblPr>
      <w:tblW w:w="0" w:type="auto"/>
      <w:tblInd w:w="-1026" w:type="dxa"/>
      <w:tblLook w:val="04A0" w:firstRow="1" w:lastRow="0" w:firstColumn="1" w:lastColumn="0" w:noHBand="0" w:noVBand="1"/>
    </w:tblPr>
    <w:tblGrid>
      <w:gridCol w:w="1012"/>
      <w:gridCol w:w="9596"/>
    </w:tblGrid>
    <w:tr w:rsidR="00732B64" w14:paraId="4ECF553A" w14:textId="77777777" w:rsidTr="008A61FD">
      <w:trPr>
        <w:trHeight w:val="289"/>
      </w:trPr>
      <w:tc>
        <w:tcPr>
          <w:tcW w:w="1012" w:type="dxa"/>
        </w:tcPr>
        <w:p w14:paraId="3697C251" w14:textId="77777777" w:rsidR="00732B64" w:rsidRPr="00CE6BD9" w:rsidRDefault="001C366D" w:rsidP="00A05835">
          <w:pPr>
            <w:pStyle w:val="CEALabel"/>
            <w:rPr>
              <w:b w:val="0"/>
              <w:color w:val="002957"/>
              <w:sz w:val="17"/>
              <w:szCs w:val="17"/>
            </w:rPr>
          </w:pPr>
          <w:r w:rsidRPr="00CE6BD9">
            <w:rPr>
              <w:b w:val="0"/>
              <w:color w:val="002957"/>
              <w:sz w:val="17"/>
              <w:szCs w:val="17"/>
            </w:rPr>
            <w:t>To:</w:t>
          </w:r>
        </w:p>
      </w:tc>
      <w:tc>
        <w:tcPr>
          <w:tcW w:w="9812" w:type="dxa"/>
        </w:tcPr>
        <w:p w14:paraId="77067BFB" w14:textId="4210DE4F" w:rsidR="00732B64" w:rsidRPr="001D1C85" w:rsidRDefault="008A61FD" w:rsidP="00164389">
          <w:pPr>
            <w:jc w:val="left"/>
            <w:rPr>
              <w:color w:val="002957"/>
              <w:sz w:val="17"/>
              <w:szCs w:val="17"/>
            </w:rPr>
          </w:pPr>
          <w:r>
            <w:rPr>
              <w:color w:val="002957"/>
              <w:sz w:val="17"/>
              <w:szCs w:val="17"/>
            </w:rPr>
            <w:t>Solvency II Working Group</w:t>
          </w:r>
        </w:p>
      </w:tc>
    </w:tr>
    <w:tr w:rsidR="00732B64" w14:paraId="60F3735A" w14:textId="77777777" w:rsidTr="008A61FD">
      <w:trPr>
        <w:trHeight w:hRule="exact" w:val="288"/>
      </w:trPr>
      <w:tc>
        <w:tcPr>
          <w:tcW w:w="1012" w:type="dxa"/>
          <w:vAlign w:val="center"/>
        </w:tcPr>
        <w:p w14:paraId="03057475" w14:textId="77777777" w:rsidR="00732B64" w:rsidRPr="00CE6BD9" w:rsidRDefault="001C366D" w:rsidP="00A05835">
          <w:pPr>
            <w:pStyle w:val="CEALabel"/>
            <w:rPr>
              <w:b w:val="0"/>
              <w:color w:val="002957"/>
              <w:sz w:val="17"/>
              <w:szCs w:val="17"/>
            </w:rPr>
          </w:pPr>
          <w:r w:rsidRPr="00CE6BD9">
            <w:rPr>
              <w:b w:val="0"/>
              <w:color w:val="002957"/>
              <w:sz w:val="17"/>
              <w:szCs w:val="17"/>
            </w:rPr>
            <w:t>From:</w:t>
          </w:r>
        </w:p>
      </w:tc>
      <w:tc>
        <w:tcPr>
          <w:tcW w:w="9812" w:type="dxa"/>
        </w:tcPr>
        <w:p w14:paraId="03514C94" w14:textId="622B0A2F" w:rsidR="00732B64" w:rsidRPr="001D1C85" w:rsidRDefault="008A61FD" w:rsidP="00AC359E">
          <w:pPr>
            <w:tabs>
              <w:tab w:val="left" w:pos="1755"/>
            </w:tabs>
            <w:jc w:val="left"/>
            <w:rPr>
              <w:color w:val="002957"/>
              <w:sz w:val="17"/>
              <w:szCs w:val="17"/>
            </w:rPr>
          </w:pPr>
          <w:bookmarkStart w:id="5" w:name="AuthSep"/>
          <w:bookmarkEnd w:id="5"/>
          <w:r>
            <w:rPr>
              <w:color w:val="002957"/>
              <w:sz w:val="17"/>
              <w:szCs w:val="17"/>
            </w:rPr>
            <w:t>Prudential Team</w:t>
          </w:r>
        </w:p>
      </w:tc>
    </w:tr>
    <w:tr w:rsidR="00732B64" w14:paraId="6F55DF07" w14:textId="77777777" w:rsidTr="008A61FD">
      <w:trPr>
        <w:trHeight w:hRule="exact" w:val="288"/>
      </w:trPr>
      <w:tc>
        <w:tcPr>
          <w:tcW w:w="1012" w:type="dxa"/>
          <w:vAlign w:val="center"/>
        </w:tcPr>
        <w:p w14:paraId="61FA68BB" w14:textId="77777777" w:rsidR="00732B64" w:rsidRPr="00CE6BD9" w:rsidRDefault="001C366D" w:rsidP="00A05835">
          <w:pPr>
            <w:pStyle w:val="CEALabel"/>
            <w:rPr>
              <w:b w:val="0"/>
              <w:color w:val="002957"/>
              <w:sz w:val="17"/>
              <w:szCs w:val="17"/>
            </w:rPr>
          </w:pPr>
          <w:r w:rsidRPr="00CE6BD9">
            <w:rPr>
              <w:b w:val="0"/>
              <w:color w:val="002957"/>
              <w:sz w:val="17"/>
              <w:szCs w:val="17"/>
            </w:rPr>
            <w:t>Date:</w:t>
          </w:r>
        </w:p>
      </w:tc>
      <w:tc>
        <w:tcPr>
          <w:tcW w:w="9812" w:type="dxa"/>
        </w:tcPr>
        <w:p w14:paraId="5E90AD51" w14:textId="66BB1106" w:rsidR="00732B64" w:rsidRPr="000F51C6" w:rsidRDefault="00D56880" w:rsidP="00DA2E9F">
          <w:pPr>
            <w:jc w:val="left"/>
            <w:rPr>
              <w:color w:val="002957"/>
              <w:sz w:val="17"/>
              <w:szCs w:val="17"/>
            </w:rPr>
          </w:pPr>
          <w:sdt>
            <w:sdtPr>
              <w:rPr>
                <w:color w:val="002957"/>
                <w:sz w:val="17"/>
                <w:szCs w:val="17"/>
              </w:rPr>
              <w:alias w:val="Document Date"/>
              <w:tag w:val="Document_x0020_Date"/>
              <w:id w:val="-121855294"/>
              <w:placeholder>
                <w:docPart w:val="144FA9FBD3204630AE411F8ADBFA3BA4"/>
              </w:placeholder>
              <w:dataBinding w:prefixMappings="xmlns:ns0='http://schemas.microsoft.com/office/2006/metadata/properties' xmlns:ns1='http://www.w3.org/2001/XMLSchema-instance' xmlns:ns2='http://schemas.microsoft.com/office/infopath/2007/PartnerControls' xmlns:ns3='d113e6c9-68c2-4198-bb3a-f8ecf571e120' xmlns:ns4='2cf4c643-76e1-4123-a2fd-a3aedb3c16df' xmlns:ns5='http://schemas.microsoft.com/sharepoint/v3/fields' " w:xpath="/ns0:properties[1]/documentManagement[1]/ns3:Document_x0020_Date[1]" w:storeItemID="{16BE8AC2-BC04-484A-AE5F-6753D3DE5469}"/>
              <w:text/>
            </w:sdtPr>
            <w:sdtEndPr/>
            <w:sdtContent>
              <w:r w:rsidR="00916400">
                <w:rPr>
                  <w:color w:val="002957"/>
                  <w:sz w:val="17"/>
                  <w:szCs w:val="17"/>
                </w:rPr>
                <w:t>7</w:t>
              </w:r>
              <w:r w:rsidR="00F331B1" w:rsidRPr="000F51C6">
                <w:rPr>
                  <w:color w:val="002957"/>
                  <w:sz w:val="17"/>
                  <w:szCs w:val="17"/>
                </w:rPr>
                <w:t xml:space="preserve"> </w:t>
              </w:r>
              <w:r w:rsidR="00916400">
                <w:rPr>
                  <w:color w:val="002957"/>
                  <w:sz w:val="17"/>
                  <w:szCs w:val="17"/>
                </w:rPr>
                <w:t xml:space="preserve">September </w:t>
              </w:r>
              <w:r w:rsidR="00F331B1" w:rsidRPr="000F51C6">
                <w:rPr>
                  <w:color w:val="002957"/>
                  <w:sz w:val="17"/>
                  <w:szCs w:val="17"/>
                </w:rPr>
                <w:t>2018</w:t>
              </w:r>
            </w:sdtContent>
          </w:sdt>
        </w:p>
      </w:tc>
    </w:tr>
    <w:tr w:rsidR="00732B64" w14:paraId="5E2F1285" w14:textId="77777777" w:rsidTr="008A61FD">
      <w:trPr>
        <w:trHeight w:hRule="exact" w:val="288"/>
      </w:trPr>
      <w:tc>
        <w:tcPr>
          <w:tcW w:w="1012" w:type="dxa"/>
          <w:vAlign w:val="center"/>
        </w:tcPr>
        <w:p w14:paraId="4C5A113E" w14:textId="77777777" w:rsidR="00732B64" w:rsidRPr="00CE6BD9" w:rsidRDefault="001C366D" w:rsidP="00A05835">
          <w:pPr>
            <w:pStyle w:val="CEALabel"/>
            <w:rPr>
              <w:b w:val="0"/>
              <w:color w:val="002957"/>
              <w:sz w:val="17"/>
              <w:szCs w:val="17"/>
            </w:rPr>
          </w:pPr>
          <w:r w:rsidRPr="00CE6BD9">
            <w:rPr>
              <w:b w:val="0"/>
              <w:color w:val="002957"/>
              <w:sz w:val="17"/>
              <w:szCs w:val="17"/>
            </w:rPr>
            <w:t>Reference:</w:t>
          </w:r>
        </w:p>
      </w:tc>
      <w:tc>
        <w:tcPr>
          <w:tcW w:w="9812" w:type="dxa"/>
        </w:tcPr>
        <w:p w14:paraId="3654618C" w14:textId="65E57867" w:rsidR="00732B64" w:rsidRPr="000F51C6" w:rsidRDefault="00D56880" w:rsidP="0029625B">
          <w:pPr>
            <w:jc w:val="left"/>
            <w:rPr>
              <w:color w:val="002957"/>
              <w:sz w:val="17"/>
              <w:szCs w:val="17"/>
            </w:rPr>
          </w:pPr>
          <w:sdt>
            <w:sdtPr>
              <w:rPr>
                <w:color w:val="002957"/>
                <w:sz w:val="17"/>
                <w:szCs w:val="17"/>
              </w:rPr>
              <w:alias w:val="Reference"/>
              <w:tag w:val="Reference"/>
              <w:id w:val="314001295"/>
              <w:placeholder>
                <w:docPart w:val="89164C105DEA40BE829A7FAA4D12F94B"/>
              </w:placeholder>
              <w:dataBinding w:prefixMappings="xmlns:ns0='http://schemas.microsoft.com/office/2006/metadata/properties' xmlns:ns1='http://www.w3.org/2001/XMLSchema-instance' xmlns:ns2='http://schemas.microsoft.com/office/infopath/2007/PartnerControls' xmlns:ns3='d113e6c9-68c2-4198-bb3a-f8ecf571e120' xmlns:ns4='b806e272-cee1-4f9c-a03e-da69a8eb5e4e' " w:xpath="/ns0:properties[1]/documentManagement[1]/ns3:Reference[1]" w:storeItemID="{16BE8AC2-BC04-484A-AE5F-6753D3DE5469}"/>
              <w:text/>
            </w:sdtPr>
            <w:sdtEndPr/>
            <w:sdtContent>
              <w:r w:rsidR="003B7F6F">
                <w:rPr>
                  <w:color w:val="002957"/>
                  <w:sz w:val="17"/>
                  <w:szCs w:val="17"/>
                </w:rPr>
                <w:t>ECO-SLV-18-163</w:t>
              </w:r>
            </w:sdtContent>
          </w:sdt>
        </w:p>
      </w:tc>
    </w:tr>
    <w:tr w:rsidR="00732B64" w14:paraId="11BCDE54" w14:textId="77777777" w:rsidTr="008A61FD">
      <w:trPr>
        <w:trHeight w:hRule="exact" w:val="288"/>
      </w:trPr>
      <w:tc>
        <w:tcPr>
          <w:tcW w:w="1012" w:type="dxa"/>
          <w:vAlign w:val="center"/>
        </w:tcPr>
        <w:p w14:paraId="4EE67047" w14:textId="77777777" w:rsidR="00732B64" w:rsidRPr="00CE6BD9" w:rsidRDefault="00D56880" w:rsidP="00A05835">
          <w:pPr>
            <w:pStyle w:val="CEALabel"/>
            <w:rPr>
              <w:b w:val="0"/>
              <w:color w:val="002957"/>
              <w:sz w:val="17"/>
              <w:szCs w:val="17"/>
            </w:rPr>
          </w:pPr>
        </w:p>
      </w:tc>
      <w:tc>
        <w:tcPr>
          <w:tcW w:w="9812" w:type="dxa"/>
        </w:tcPr>
        <w:p w14:paraId="796E2636" w14:textId="77777777" w:rsidR="00732B64" w:rsidRPr="001D1C85" w:rsidRDefault="00D56880" w:rsidP="00164083">
          <w:pPr>
            <w:jc w:val="left"/>
            <w:rPr>
              <w:color w:val="002957"/>
              <w:sz w:val="17"/>
              <w:szCs w:val="17"/>
            </w:rPr>
          </w:pPr>
        </w:p>
      </w:tc>
    </w:tr>
    <w:tr w:rsidR="00732B64" w14:paraId="2AF6DE51" w14:textId="77777777" w:rsidTr="008A61FD">
      <w:trPr>
        <w:trHeight w:hRule="exact" w:val="288"/>
      </w:trPr>
      <w:tc>
        <w:tcPr>
          <w:tcW w:w="1012" w:type="dxa"/>
          <w:vAlign w:val="center"/>
        </w:tcPr>
        <w:p w14:paraId="15AA07F9" w14:textId="77777777" w:rsidR="00732B64" w:rsidRPr="00CE6BD9" w:rsidRDefault="001C366D" w:rsidP="00A05835">
          <w:pPr>
            <w:pStyle w:val="CEALabel"/>
            <w:rPr>
              <w:b w:val="0"/>
              <w:color w:val="002957"/>
              <w:sz w:val="17"/>
              <w:szCs w:val="17"/>
            </w:rPr>
          </w:pPr>
          <w:r w:rsidRPr="00CE6BD9">
            <w:rPr>
              <w:b w:val="0"/>
              <w:color w:val="002957"/>
              <w:sz w:val="17"/>
              <w:szCs w:val="17"/>
            </w:rPr>
            <w:t>Subject:</w:t>
          </w:r>
        </w:p>
      </w:tc>
      <w:tc>
        <w:tcPr>
          <w:tcW w:w="9812" w:type="dxa"/>
        </w:tcPr>
        <w:p w14:paraId="37008B90" w14:textId="4090352D" w:rsidR="00732B64" w:rsidRPr="000F51C6" w:rsidRDefault="00D56880" w:rsidP="0029625B">
          <w:pPr>
            <w:pStyle w:val="CEASubjectLine"/>
            <w:jc w:val="left"/>
            <w:rPr>
              <w:b w:val="0"/>
              <w:color w:val="002957"/>
              <w:sz w:val="17"/>
              <w:szCs w:val="17"/>
            </w:rPr>
          </w:pPr>
          <w:sdt>
            <w:sdtPr>
              <w:rPr>
                <w:b w:val="0"/>
                <w:color w:val="002957"/>
                <w:sz w:val="17"/>
                <w:szCs w:val="17"/>
              </w:rPr>
              <w:alias w:val="Title"/>
              <w:tag w:val=""/>
              <w:id w:val="1845366650"/>
              <w:placeholder>
                <w:docPart w:val="584EF38CAE9A4F80AF2F6FA01859F6AD"/>
              </w:placeholder>
              <w:dataBinding w:prefixMappings="xmlns:ns0='http://purl.org/dc/elements/1.1/' xmlns:ns1='http://schemas.openxmlformats.org/package/2006/metadata/core-properties' " w:xpath="/ns1:coreProperties[1]/ns0:title[1]" w:storeItemID="{6C3C8BC8-F283-45AE-878A-BAB7291924A1}"/>
              <w:text/>
            </w:sdtPr>
            <w:sdtEndPr/>
            <w:sdtContent>
              <w:r w:rsidR="00916400">
                <w:rPr>
                  <w:b w:val="0"/>
                  <w:color w:val="002957"/>
                  <w:sz w:val="17"/>
                  <w:szCs w:val="17"/>
                </w:rPr>
                <w:t>RFR monthly monitoring August 2018</w:t>
              </w:r>
            </w:sdtContent>
          </w:sdt>
          <w:bookmarkEnd w:id="4"/>
        </w:p>
      </w:tc>
    </w:tr>
  </w:tbl>
  <w:p w14:paraId="476DA525" w14:textId="44B7CD14" w:rsidR="00732B64" w:rsidRDefault="00D5688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8.25pt;height:8.25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 w15:restartNumberingAfterBreak="0">
    <w:nsid w:val="48FF2CB2"/>
    <w:multiLevelType w:val="hybridMultilevel"/>
    <w:tmpl w:val="EB0004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35"/>
    <w:rsid w:val="00007023"/>
    <w:rsid w:val="000557D7"/>
    <w:rsid w:val="000818F2"/>
    <w:rsid w:val="00082887"/>
    <w:rsid w:val="000E550B"/>
    <w:rsid w:val="000F51C6"/>
    <w:rsid w:val="00112F78"/>
    <w:rsid w:val="00116844"/>
    <w:rsid w:val="001208A8"/>
    <w:rsid w:val="0016089A"/>
    <w:rsid w:val="00164389"/>
    <w:rsid w:val="00165AC7"/>
    <w:rsid w:val="0017704B"/>
    <w:rsid w:val="001932D6"/>
    <w:rsid w:val="001969B9"/>
    <w:rsid w:val="001B3EA9"/>
    <w:rsid w:val="001C0E46"/>
    <w:rsid w:val="001C366D"/>
    <w:rsid w:val="00214A80"/>
    <w:rsid w:val="0022322F"/>
    <w:rsid w:val="00231254"/>
    <w:rsid w:val="00286E19"/>
    <w:rsid w:val="00296BA5"/>
    <w:rsid w:val="002C00B4"/>
    <w:rsid w:val="002C1C66"/>
    <w:rsid w:val="002C28DB"/>
    <w:rsid w:val="002D2935"/>
    <w:rsid w:val="002D5146"/>
    <w:rsid w:val="00305888"/>
    <w:rsid w:val="00312ECE"/>
    <w:rsid w:val="00320D8E"/>
    <w:rsid w:val="00321655"/>
    <w:rsid w:val="00345EA0"/>
    <w:rsid w:val="00375169"/>
    <w:rsid w:val="003838CB"/>
    <w:rsid w:val="0039100B"/>
    <w:rsid w:val="003A246F"/>
    <w:rsid w:val="003B7F6F"/>
    <w:rsid w:val="0042723D"/>
    <w:rsid w:val="00440FEE"/>
    <w:rsid w:val="004C542F"/>
    <w:rsid w:val="004C72D7"/>
    <w:rsid w:val="004D2FA2"/>
    <w:rsid w:val="005047A5"/>
    <w:rsid w:val="005124FF"/>
    <w:rsid w:val="00532189"/>
    <w:rsid w:val="005475C0"/>
    <w:rsid w:val="00560FB7"/>
    <w:rsid w:val="00563F5D"/>
    <w:rsid w:val="00573905"/>
    <w:rsid w:val="00596DDF"/>
    <w:rsid w:val="005C7563"/>
    <w:rsid w:val="005F030E"/>
    <w:rsid w:val="005F16C2"/>
    <w:rsid w:val="00633E20"/>
    <w:rsid w:val="006356F8"/>
    <w:rsid w:val="00675F42"/>
    <w:rsid w:val="007155E7"/>
    <w:rsid w:val="00757BC8"/>
    <w:rsid w:val="007649E7"/>
    <w:rsid w:val="00764D7F"/>
    <w:rsid w:val="00773632"/>
    <w:rsid w:val="00776725"/>
    <w:rsid w:val="00782038"/>
    <w:rsid w:val="00784757"/>
    <w:rsid w:val="007A2509"/>
    <w:rsid w:val="007A65C7"/>
    <w:rsid w:val="007B5B03"/>
    <w:rsid w:val="007D0E18"/>
    <w:rsid w:val="0082235C"/>
    <w:rsid w:val="0082440B"/>
    <w:rsid w:val="0083203B"/>
    <w:rsid w:val="00836D1B"/>
    <w:rsid w:val="008372EE"/>
    <w:rsid w:val="00851693"/>
    <w:rsid w:val="00863117"/>
    <w:rsid w:val="00873B63"/>
    <w:rsid w:val="00875154"/>
    <w:rsid w:val="0089626C"/>
    <w:rsid w:val="008A61FD"/>
    <w:rsid w:val="008B4F4E"/>
    <w:rsid w:val="008F79E5"/>
    <w:rsid w:val="00900576"/>
    <w:rsid w:val="00916400"/>
    <w:rsid w:val="009400FE"/>
    <w:rsid w:val="009545D0"/>
    <w:rsid w:val="00971F0B"/>
    <w:rsid w:val="00980EDA"/>
    <w:rsid w:val="009C463D"/>
    <w:rsid w:val="00A60715"/>
    <w:rsid w:val="00A61583"/>
    <w:rsid w:val="00A63735"/>
    <w:rsid w:val="00A96F2B"/>
    <w:rsid w:val="00AA31B2"/>
    <w:rsid w:val="00AC2A32"/>
    <w:rsid w:val="00AC359E"/>
    <w:rsid w:val="00AF5555"/>
    <w:rsid w:val="00B33451"/>
    <w:rsid w:val="00B92479"/>
    <w:rsid w:val="00BB6167"/>
    <w:rsid w:val="00BB76FB"/>
    <w:rsid w:val="00BC1C6C"/>
    <w:rsid w:val="00BD6465"/>
    <w:rsid w:val="00C31CF4"/>
    <w:rsid w:val="00C6012C"/>
    <w:rsid w:val="00C6301C"/>
    <w:rsid w:val="00C6589E"/>
    <w:rsid w:val="00C9321B"/>
    <w:rsid w:val="00CA21C6"/>
    <w:rsid w:val="00CA25AC"/>
    <w:rsid w:val="00CC57A7"/>
    <w:rsid w:val="00CC673B"/>
    <w:rsid w:val="00CE34AD"/>
    <w:rsid w:val="00CF1BCC"/>
    <w:rsid w:val="00D56880"/>
    <w:rsid w:val="00D64BF8"/>
    <w:rsid w:val="00D711A6"/>
    <w:rsid w:val="00DA2E9F"/>
    <w:rsid w:val="00DD2A9E"/>
    <w:rsid w:val="00DD395E"/>
    <w:rsid w:val="00DF768B"/>
    <w:rsid w:val="00E009CC"/>
    <w:rsid w:val="00E20C68"/>
    <w:rsid w:val="00E3582A"/>
    <w:rsid w:val="00E50282"/>
    <w:rsid w:val="00E5293A"/>
    <w:rsid w:val="00E61E51"/>
    <w:rsid w:val="00E65326"/>
    <w:rsid w:val="00E74B11"/>
    <w:rsid w:val="00E955CC"/>
    <w:rsid w:val="00ED6DE9"/>
    <w:rsid w:val="00EE77BA"/>
    <w:rsid w:val="00F2059D"/>
    <w:rsid w:val="00F21C1F"/>
    <w:rsid w:val="00F331B1"/>
    <w:rsid w:val="00F71B65"/>
    <w:rsid w:val="00F8705B"/>
    <w:rsid w:val="00FB7441"/>
    <w:rsid w:val="00FC1F52"/>
    <w:rsid w:val="00FE49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2DDD0"/>
  <w15:docId w15:val="{681E05AE-B53D-4A76-A9A4-90BEA291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089A"/>
    <w:pPr>
      <w:spacing w:after="0" w:line="288" w:lineRule="auto"/>
      <w:jc w:val="both"/>
    </w:pPr>
    <w:rPr>
      <w:rFonts w:ascii="Verdana" w:eastAsia="Times New Roman" w:hAnsi="Verdana" w:cs="Times New Roman"/>
      <w:sz w:val="20"/>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6089A"/>
    <w:pPr>
      <w:tabs>
        <w:tab w:val="center" w:pos="4320"/>
        <w:tab w:val="right" w:pos="8640"/>
      </w:tabs>
    </w:pPr>
  </w:style>
  <w:style w:type="character" w:customStyle="1" w:styleId="HlavikaChar">
    <w:name w:val="Hlavička Char"/>
    <w:basedOn w:val="Predvolenpsmoodseku"/>
    <w:link w:val="Hlavika"/>
    <w:semiHidden/>
    <w:rsid w:val="0016089A"/>
    <w:rPr>
      <w:rFonts w:ascii="Verdana" w:eastAsia="Times New Roman" w:hAnsi="Verdana" w:cs="Times New Roman"/>
      <w:sz w:val="20"/>
      <w:szCs w:val="24"/>
      <w:lang w:val="en-GB"/>
    </w:rPr>
  </w:style>
  <w:style w:type="paragraph" w:styleId="Pta">
    <w:name w:val="footer"/>
    <w:basedOn w:val="Normlny"/>
    <w:link w:val="PtaChar"/>
    <w:semiHidden/>
    <w:rsid w:val="0016089A"/>
    <w:pPr>
      <w:tabs>
        <w:tab w:val="center" w:pos="4320"/>
        <w:tab w:val="right" w:pos="8640"/>
      </w:tabs>
    </w:pPr>
  </w:style>
  <w:style w:type="character" w:customStyle="1" w:styleId="PtaChar">
    <w:name w:val="Päta Char"/>
    <w:basedOn w:val="Predvolenpsmoodseku"/>
    <w:link w:val="Pta"/>
    <w:semiHidden/>
    <w:rsid w:val="0016089A"/>
    <w:rPr>
      <w:rFonts w:ascii="Verdana" w:eastAsia="Times New Roman" w:hAnsi="Verdana" w:cs="Times New Roman"/>
      <w:sz w:val="20"/>
      <w:szCs w:val="24"/>
      <w:lang w:val="en-GB"/>
    </w:rPr>
  </w:style>
  <w:style w:type="paragraph" w:customStyle="1" w:styleId="Noparagraphstyle">
    <w:name w:val="[No paragraph style]"/>
    <w:semiHidden/>
    <w:rsid w:val="0016089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6089A"/>
  </w:style>
  <w:style w:type="paragraph" w:customStyle="1" w:styleId="BodyText-CEA">
    <w:name w:val="Body Text - CEA"/>
    <w:basedOn w:val="Normlny"/>
    <w:semiHidden/>
    <w:rsid w:val="0016089A"/>
    <w:pPr>
      <w:autoSpaceDE w:val="0"/>
      <w:autoSpaceDN w:val="0"/>
      <w:adjustRightInd w:val="0"/>
      <w:spacing w:line="24" w:lineRule="atLeast"/>
      <w:jc w:val="right"/>
      <w:textAlignment w:val="center"/>
    </w:pPr>
    <w:rPr>
      <w:rFonts w:cs="Arial"/>
      <w:b/>
      <w:color w:val="034EA2"/>
      <w:w w:val="90"/>
      <w:sz w:val="16"/>
      <w:szCs w:val="16"/>
    </w:rPr>
  </w:style>
  <w:style w:type="character" w:styleId="Zstupntext">
    <w:name w:val="Placeholder Text"/>
    <w:basedOn w:val="Predvolenpsmoodseku"/>
    <w:uiPriority w:val="99"/>
    <w:semiHidden/>
    <w:rsid w:val="0016089A"/>
    <w:rPr>
      <w:color w:val="808080"/>
    </w:rPr>
  </w:style>
  <w:style w:type="paragraph" w:customStyle="1" w:styleId="CEADraft">
    <w:name w:val="CEA Draft"/>
    <w:basedOn w:val="Normlny"/>
    <w:semiHidden/>
    <w:qFormat/>
    <w:rsid w:val="0016089A"/>
    <w:pPr>
      <w:jc w:val="right"/>
    </w:pPr>
    <w:rPr>
      <w:rFonts w:cs="Arial"/>
      <w:b/>
      <w:color w:val="034EA2"/>
      <w:sz w:val="32"/>
      <w:szCs w:val="40"/>
    </w:rPr>
  </w:style>
  <w:style w:type="paragraph" w:customStyle="1" w:styleId="CEAFooterauthorinfo">
    <w:name w:val="CEA Footer (author info)"/>
    <w:basedOn w:val="Normlny"/>
    <w:semiHidden/>
    <w:qFormat/>
    <w:rsid w:val="0016089A"/>
    <w:pPr>
      <w:autoSpaceDE w:val="0"/>
      <w:autoSpaceDN w:val="0"/>
      <w:adjustRightInd w:val="0"/>
      <w:ind w:left="546"/>
      <w:textAlignment w:val="center"/>
    </w:pPr>
    <w:rPr>
      <w:rFonts w:cs="Arial"/>
      <w:b/>
      <w:color w:val="034EA2"/>
      <w:sz w:val="16"/>
      <w:szCs w:val="16"/>
    </w:rPr>
  </w:style>
  <w:style w:type="paragraph" w:customStyle="1" w:styleId="CEALabel">
    <w:name w:val="CEA Label"/>
    <w:basedOn w:val="Normlny"/>
    <w:semiHidden/>
    <w:qFormat/>
    <w:rsid w:val="0016089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16089A"/>
    <w:rPr>
      <w:rFonts w:cs="Arial"/>
      <w:b/>
      <w:szCs w:val="20"/>
    </w:rPr>
  </w:style>
  <w:style w:type="paragraph" w:customStyle="1" w:styleId="CEADocumentTitle">
    <w:name w:val="CEA Document Title"/>
    <w:basedOn w:val="Hlavika"/>
    <w:semiHidden/>
    <w:qFormat/>
    <w:rsid w:val="0016089A"/>
    <w:pPr>
      <w:tabs>
        <w:tab w:val="clear" w:pos="4320"/>
        <w:tab w:val="clear" w:pos="8640"/>
        <w:tab w:val="center" w:pos="0"/>
        <w:tab w:val="right" w:pos="10440"/>
      </w:tabs>
      <w:jc w:val="right"/>
    </w:pPr>
    <w:rPr>
      <w:b/>
      <w:noProof/>
      <w:color w:val="034EA2"/>
      <w:sz w:val="40"/>
      <w:szCs w:val="40"/>
      <w:lang w:eastAsia="nl-NL"/>
    </w:rPr>
  </w:style>
  <w:style w:type="paragraph" w:customStyle="1" w:styleId="CEAStandardHeading">
    <w:name w:val="CEA Standard Heading"/>
    <w:basedOn w:val="Normlny"/>
    <w:qFormat/>
    <w:rsid w:val="0016089A"/>
    <w:pPr>
      <w:autoSpaceDE w:val="0"/>
      <w:autoSpaceDN w:val="0"/>
      <w:adjustRightInd w:val="0"/>
      <w:textAlignment w:val="center"/>
    </w:pPr>
    <w:rPr>
      <w:rFonts w:cs="Arial"/>
      <w:color w:val="002957"/>
      <w:szCs w:val="22"/>
    </w:rPr>
  </w:style>
  <w:style w:type="paragraph" w:styleId="Textbubliny">
    <w:name w:val="Balloon Text"/>
    <w:basedOn w:val="Normlny"/>
    <w:link w:val="TextbublinyChar"/>
    <w:uiPriority w:val="99"/>
    <w:semiHidden/>
    <w:unhideWhenUsed/>
    <w:rsid w:val="0016089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089A"/>
    <w:rPr>
      <w:rFonts w:ascii="Tahoma" w:eastAsia="Times New Roman" w:hAnsi="Tahoma" w:cs="Tahoma"/>
      <w:sz w:val="16"/>
      <w:szCs w:val="16"/>
      <w:lang w:val="en-GB"/>
    </w:rPr>
  </w:style>
  <w:style w:type="paragraph" w:customStyle="1" w:styleId="CEABullet-Level1">
    <w:name w:val="CEA Bullet - Level 1"/>
    <w:basedOn w:val="Normlny"/>
    <w:qFormat/>
    <w:rsid w:val="001969B9"/>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1969B9"/>
    <w:pPr>
      <w:numPr>
        <w:numId w:val="2"/>
      </w:numPr>
    </w:pPr>
  </w:style>
  <w:style w:type="paragraph" w:customStyle="1" w:styleId="CEABullet-Level3">
    <w:name w:val="CEA Bullet - Level 3"/>
    <w:basedOn w:val="Normlny"/>
    <w:qFormat/>
    <w:rsid w:val="001969B9"/>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1969B9"/>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969B9"/>
    <w:pPr>
      <w:jc w:val="right"/>
    </w:pPr>
    <w:rPr>
      <w:rFonts w:cs="Frutiger LT Std 55 Roman"/>
      <w:b/>
      <w:color w:val="0032FF"/>
      <w:sz w:val="40"/>
      <w:szCs w:val="40"/>
    </w:rPr>
  </w:style>
  <w:style w:type="paragraph" w:customStyle="1" w:styleId="CEAFootnote">
    <w:name w:val="CEA Footnote"/>
    <w:basedOn w:val="Normlny"/>
    <w:semiHidden/>
    <w:qFormat/>
    <w:rsid w:val="001969B9"/>
    <w:pPr>
      <w:spacing w:line="240" w:lineRule="auto"/>
    </w:pPr>
    <w:rPr>
      <w:sz w:val="16"/>
    </w:rPr>
  </w:style>
  <w:style w:type="character" w:customStyle="1" w:styleId="CEAGraphTitle">
    <w:name w:val="CEA Graph Title"/>
    <w:uiPriority w:val="1"/>
    <w:qFormat/>
    <w:rsid w:val="001969B9"/>
    <w:rPr>
      <w:rFonts w:ascii="Verdana" w:hAnsi="Verdana"/>
      <w:smallCaps w:val="0"/>
      <w:sz w:val="19"/>
      <w:lang w:val="en-GB"/>
    </w:rPr>
  </w:style>
  <w:style w:type="character" w:customStyle="1" w:styleId="CEAGraphX">
    <w:name w:val="CEA Graph X"/>
    <w:uiPriority w:val="1"/>
    <w:qFormat/>
    <w:rsid w:val="001969B9"/>
    <w:rPr>
      <w:rFonts w:ascii="Verdana" w:hAnsi="Verdana"/>
      <w:smallCaps/>
      <w:sz w:val="19"/>
      <w:lang w:val="en-GB"/>
    </w:rPr>
  </w:style>
  <w:style w:type="paragraph" w:customStyle="1" w:styleId="CEAPositionPaperTitle">
    <w:name w:val="CEA Position Paper Title"/>
    <w:basedOn w:val="Normlny"/>
    <w:semiHidden/>
    <w:qFormat/>
    <w:rsid w:val="001969B9"/>
    <w:pPr>
      <w:ind w:left="-27"/>
    </w:pPr>
    <w:rPr>
      <w:b/>
      <w:color w:val="034EA2"/>
      <w:sz w:val="32"/>
      <w:szCs w:val="32"/>
    </w:rPr>
  </w:style>
  <w:style w:type="paragraph" w:customStyle="1" w:styleId="CEAPressReleaseSubtitle">
    <w:name w:val="CEA Press Release Subtitle"/>
    <w:basedOn w:val="Normlny"/>
    <w:semiHidden/>
    <w:qFormat/>
    <w:rsid w:val="001969B9"/>
    <w:rPr>
      <w:sz w:val="22"/>
      <w:szCs w:val="22"/>
    </w:rPr>
  </w:style>
  <w:style w:type="paragraph" w:customStyle="1" w:styleId="CEAPressReleaseTitle">
    <w:name w:val="CEA Press Release Title"/>
    <w:basedOn w:val="Normlny"/>
    <w:semiHidden/>
    <w:qFormat/>
    <w:rsid w:val="001969B9"/>
    <w:pPr>
      <w:autoSpaceDE w:val="0"/>
      <w:autoSpaceDN w:val="0"/>
      <w:adjustRightInd w:val="0"/>
      <w:spacing w:line="240" w:lineRule="auto"/>
    </w:pPr>
    <w:rPr>
      <w:rFonts w:ascii="Frutiger LT Com 45 Light" w:hAnsi="Frutiger LT Com 45 Light"/>
      <w:b/>
      <w:color w:val="034EA2"/>
      <w:sz w:val="36"/>
      <w:szCs w:val="36"/>
    </w:rPr>
  </w:style>
  <w:style w:type="character" w:styleId="Hypertextovprepojenie">
    <w:name w:val="Hyperlink"/>
    <w:basedOn w:val="Predvolenpsmoodseku"/>
    <w:uiPriority w:val="99"/>
    <w:unhideWhenUsed/>
    <w:rsid w:val="008A61FD"/>
    <w:rPr>
      <w:color w:val="0000FF" w:themeColor="hyperlink"/>
      <w:u w:val="single"/>
    </w:rPr>
  </w:style>
  <w:style w:type="table" w:styleId="Mriekatabuky">
    <w:name w:val="Table Grid"/>
    <w:basedOn w:val="Normlnatabuka"/>
    <w:uiPriority w:val="59"/>
    <w:rsid w:val="008A61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6301C"/>
    <w:rPr>
      <w:color w:val="800080" w:themeColor="followedHyperlink"/>
      <w:u w:val="single"/>
    </w:rPr>
  </w:style>
  <w:style w:type="character" w:customStyle="1" w:styleId="UnresolvedMention1">
    <w:name w:val="Unresolved Mention1"/>
    <w:basedOn w:val="Predvolenpsmoodseku"/>
    <w:uiPriority w:val="99"/>
    <w:semiHidden/>
    <w:unhideWhenUsed/>
    <w:rsid w:val="007A25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16021">
      <w:bodyDiv w:val="1"/>
      <w:marLeft w:val="0"/>
      <w:marRight w:val="0"/>
      <w:marTop w:val="0"/>
      <w:marBottom w:val="0"/>
      <w:divBdr>
        <w:top w:val="none" w:sz="0" w:space="0" w:color="auto"/>
        <w:left w:val="none" w:sz="0" w:space="0" w:color="auto"/>
        <w:bottom w:val="none" w:sz="0" w:space="0" w:color="auto"/>
        <w:right w:val="none" w:sz="0" w:space="0" w:color="auto"/>
      </w:divBdr>
    </w:div>
    <w:div w:id="134073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opa.europa.eu/Publications/Standards/Technical%20Documentation%20%2831%20Jan%202018%29.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iopa.europa.eu/regulation-supervision/insurance/solvency-ii-technical-information/symmetric-adjustment-of-the-equity-capital-char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opa.europa.eu/regulation-supervision/insurance/solvency-ii-technical-information/risk-free-interest-rate-term-structures"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intranet.insuranceeurope.eu/Economics%20%20Finance%20Committee/Department%20Documents/RFR/Monthly%20RFR%20monitoring/RFR%20and%20UFR%20Monthly%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Comparison!$H$2</c:f>
              <c:strCache>
                <c:ptCount val="1"/>
                <c:pt idx="0">
                  <c:v>31/08/2018</c:v>
                </c:pt>
              </c:strCache>
            </c:strRef>
          </c:tx>
          <c:spPr>
            <a:ln w="19050" cap="rnd">
              <a:solidFill>
                <a:schemeClr val="tx2"/>
              </a:solidFill>
              <a:round/>
            </a:ln>
            <a:effectLst/>
          </c:spPr>
          <c:marker>
            <c:symbol val="none"/>
          </c:marker>
          <c:xVal>
            <c:numRef>
              <c:f>Comparison!$G$13:$G$132</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xVal>
          <c:yVal>
            <c:numRef>
              <c:f>Comparison!$N$13:$N$132</c:f>
              <c:numCache>
                <c:formatCode>0.000%</c:formatCode>
                <c:ptCount val="120"/>
                <c:pt idx="0">
                  <c:v>-1.97E-3</c:v>
                </c:pt>
                <c:pt idx="1">
                  <c:v>-9.7999999999999997E-4</c:v>
                </c:pt>
                <c:pt idx="2">
                  <c:v>4.0999999999999999E-4</c:v>
                </c:pt>
                <c:pt idx="3">
                  <c:v>1.8400000000000001E-3</c:v>
                </c:pt>
                <c:pt idx="4">
                  <c:v>3.2399999999999998E-3</c:v>
                </c:pt>
                <c:pt idx="5">
                  <c:v>4.62E-3</c:v>
                </c:pt>
                <c:pt idx="6">
                  <c:v>5.9300000000000004E-3</c:v>
                </c:pt>
                <c:pt idx="7">
                  <c:v>7.1700000000000002E-3</c:v>
                </c:pt>
                <c:pt idx="8">
                  <c:v>8.3199999999999993E-3</c:v>
                </c:pt>
                <c:pt idx="9">
                  <c:v>9.3699999999999999E-3</c:v>
                </c:pt>
                <c:pt idx="10">
                  <c:v>1.0319999999999999E-2</c:v>
                </c:pt>
                <c:pt idx="11">
                  <c:v>1.119E-2</c:v>
                </c:pt>
                <c:pt idx="12">
                  <c:v>1.197E-2</c:v>
                </c:pt>
                <c:pt idx="13">
                  <c:v>1.264E-2</c:v>
                </c:pt>
                <c:pt idx="14">
                  <c:v>1.3180000000000001E-2</c:v>
                </c:pt>
                <c:pt idx="15">
                  <c:v>1.357E-2</c:v>
                </c:pt>
                <c:pt idx="16">
                  <c:v>1.3899999999999999E-2</c:v>
                </c:pt>
                <c:pt idx="17">
                  <c:v>1.421E-2</c:v>
                </c:pt>
                <c:pt idx="18">
                  <c:v>1.456E-2</c:v>
                </c:pt>
                <c:pt idx="19">
                  <c:v>1.4959999999999999E-2</c:v>
                </c:pt>
                <c:pt idx="20">
                  <c:v>1.5429999999999999E-2</c:v>
                </c:pt>
                <c:pt idx="21">
                  <c:v>1.5949999999999999E-2</c:v>
                </c:pt>
                <c:pt idx="22">
                  <c:v>1.6500000000000001E-2</c:v>
                </c:pt>
                <c:pt idx="23">
                  <c:v>1.7059999999999999E-2</c:v>
                </c:pt>
                <c:pt idx="24">
                  <c:v>1.763E-2</c:v>
                </c:pt>
                <c:pt idx="25">
                  <c:v>1.8200000000000001E-2</c:v>
                </c:pt>
                <c:pt idx="26">
                  <c:v>1.8759999999999999E-2</c:v>
                </c:pt>
                <c:pt idx="27">
                  <c:v>1.932E-2</c:v>
                </c:pt>
                <c:pt idx="28">
                  <c:v>1.9859999999999999E-2</c:v>
                </c:pt>
                <c:pt idx="29">
                  <c:v>2.0379999999999999E-2</c:v>
                </c:pt>
                <c:pt idx="30">
                  <c:v>2.0889999999999999E-2</c:v>
                </c:pt>
                <c:pt idx="31">
                  <c:v>2.1389999999999999E-2</c:v>
                </c:pt>
                <c:pt idx="32">
                  <c:v>2.1860000000000001E-2</c:v>
                </c:pt>
                <c:pt idx="33">
                  <c:v>2.2329999999999999E-2</c:v>
                </c:pt>
                <c:pt idx="34">
                  <c:v>2.2769999999999999E-2</c:v>
                </c:pt>
                <c:pt idx="35">
                  <c:v>2.3199999999999998E-2</c:v>
                </c:pt>
                <c:pt idx="36">
                  <c:v>2.3609999999999999E-2</c:v>
                </c:pt>
                <c:pt idx="37">
                  <c:v>2.401E-2</c:v>
                </c:pt>
                <c:pt idx="38">
                  <c:v>2.4389999999999998E-2</c:v>
                </c:pt>
                <c:pt idx="39">
                  <c:v>2.4750000000000001E-2</c:v>
                </c:pt>
                <c:pt idx="40">
                  <c:v>2.511E-2</c:v>
                </c:pt>
                <c:pt idx="41">
                  <c:v>2.545E-2</c:v>
                </c:pt>
                <c:pt idx="42">
                  <c:v>2.5770000000000001E-2</c:v>
                </c:pt>
                <c:pt idx="43">
                  <c:v>2.6089999999999999E-2</c:v>
                </c:pt>
                <c:pt idx="44">
                  <c:v>2.639E-2</c:v>
                </c:pt>
                <c:pt idx="45">
                  <c:v>2.6679999999999999E-2</c:v>
                </c:pt>
                <c:pt idx="46">
                  <c:v>2.6960000000000001E-2</c:v>
                </c:pt>
                <c:pt idx="47">
                  <c:v>2.7230000000000001E-2</c:v>
                </c:pt>
                <c:pt idx="48">
                  <c:v>2.7490000000000001E-2</c:v>
                </c:pt>
                <c:pt idx="49">
                  <c:v>2.7740000000000001E-2</c:v>
                </c:pt>
                <c:pt idx="50">
                  <c:v>2.7980000000000001E-2</c:v>
                </c:pt>
                <c:pt idx="51">
                  <c:v>2.8219999999999999E-2</c:v>
                </c:pt>
                <c:pt idx="52">
                  <c:v>2.844E-2</c:v>
                </c:pt>
                <c:pt idx="53">
                  <c:v>2.8660000000000001E-2</c:v>
                </c:pt>
                <c:pt idx="54">
                  <c:v>2.887E-2</c:v>
                </c:pt>
                <c:pt idx="55">
                  <c:v>2.9069999999999999E-2</c:v>
                </c:pt>
                <c:pt idx="56">
                  <c:v>2.9270000000000001E-2</c:v>
                </c:pt>
                <c:pt idx="57">
                  <c:v>2.946E-2</c:v>
                </c:pt>
                <c:pt idx="58">
                  <c:v>2.9649999999999999E-2</c:v>
                </c:pt>
                <c:pt idx="59">
                  <c:v>2.9819999999999999E-2</c:v>
                </c:pt>
                <c:pt idx="60">
                  <c:v>0.03</c:v>
                </c:pt>
                <c:pt idx="61">
                  <c:v>3.0159999999999999E-2</c:v>
                </c:pt>
                <c:pt idx="62">
                  <c:v>3.0329999999999999E-2</c:v>
                </c:pt>
                <c:pt idx="63">
                  <c:v>3.048E-2</c:v>
                </c:pt>
                <c:pt idx="64">
                  <c:v>3.0640000000000001E-2</c:v>
                </c:pt>
                <c:pt idx="65">
                  <c:v>3.0779999999999998E-2</c:v>
                </c:pt>
                <c:pt idx="66">
                  <c:v>3.0929999999999999E-2</c:v>
                </c:pt>
                <c:pt idx="67">
                  <c:v>3.107E-2</c:v>
                </c:pt>
                <c:pt idx="68">
                  <c:v>3.1199999999999999E-2</c:v>
                </c:pt>
                <c:pt idx="69">
                  <c:v>3.1329999999999997E-2</c:v>
                </c:pt>
                <c:pt idx="70">
                  <c:v>3.1460000000000002E-2</c:v>
                </c:pt>
                <c:pt idx="71">
                  <c:v>3.159E-2</c:v>
                </c:pt>
                <c:pt idx="72">
                  <c:v>3.1710000000000002E-2</c:v>
                </c:pt>
                <c:pt idx="73">
                  <c:v>3.1829999999999997E-2</c:v>
                </c:pt>
                <c:pt idx="74">
                  <c:v>3.1940000000000003E-2</c:v>
                </c:pt>
                <c:pt idx="75">
                  <c:v>3.2050000000000002E-2</c:v>
                </c:pt>
                <c:pt idx="76">
                  <c:v>3.2160000000000001E-2</c:v>
                </c:pt>
                <c:pt idx="77">
                  <c:v>3.227E-2</c:v>
                </c:pt>
                <c:pt idx="78">
                  <c:v>3.2370000000000003E-2</c:v>
                </c:pt>
                <c:pt idx="79">
                  <c:v>3.2469999999999999E-2</c:v>
                </c:pt>
                <c:pt idx="80">
                  <c:v>3.2570000000000002E-2</c:v>
                </c:pt>
                <c:pt idx="81">
                  <c:v>3.2669999999999998E-2</c:v>
                </c:pt>
                <c:pt idx="82">
                  <c:v>3.2759999999999997E-2</c:v>
                </c:pt>
                <c:pt idx="83">
                  <c:v>3.2849999999999997E-2</c:v>
                </c:pt>
                <c:pt idx="84">
                  <c:v>3.2939999999999997E-2</c:v>
                </c:pt>
                <c:pt idx="85">
                  <c:v>3.3029999999999997E-2</c:v>
                </c:pt>
                <c:pt idx="86">
                  <c:v>3.3119999999999997E-2</c:v>
                </c:pt>
                <c:pt idx="87">
                  <c:v>3.32E-2</c:v>
                </c:pt>
                <c:pt idx="88">
                  <c:v>3.3279999999999997E-2</c:v>
                </c:pt>
                <c:pt idx="89">
                  <c:v>3.3360000000000001E-2</c:v>
                </c:pt>
                <c:pt idx="90">
                  <c:v>3.3439999999999998E-2</c:v>
                </c:pt>
                <c:pt idx="91">
                  <c:v>3.3520000000000001E-2</c:v>
                </c:pt>
                <c:pt idx="92">
                  <c:v>3.3590000000000002E-2</c:v>
                </c:pt>
                <c:pt idx="93">
                  <c:v>3.3660000000000002E-2</c:v>
                </c:pt>
                <c:pt idx="94">
                  <c:v>3.3739999999999999E-2</c:v>
                </c:pt>
                <c:pt idx="95">
                  <c:v>3.381E-2</c:v>
                </c:pt>
                <c:pt idx="96">
                  <c:v>3.3869999999999997E-2</c:v>
                </c:pt>
                <c:pt idx="97">
                  <c:v>3.3939999999999998E-2</c:v>
                </c:pt>
                <c:pt idx="98">
                  <c:v>3.4009999999999999E-2</c:v>
                </c:pt>
                <c:pt idx="99">
                  <c:v>3.4070000000000003E-2</c:v>
                </c:pt>
                <c:pt idx="100">
                  <c:v>3.4139999999999997E-2</c:v>
                </c:pt>
                <c:pt idx="101">
                  <c:v>3.4200000000000001E-2</c:v>
                </c:pt>
                <c:pt idx="102">
                  <c:v>3.4259999999999999E-2</c:v>
                </c:pt>
                <c:pt idx="103">
                  <c:v>3.4320000000000003E-2</c:v>
                </c:pt>
                <c:pt idx="104">
                  <c:v>3.4380000000000001E-2</c:v>
                </c:pt>
                <c:pt idx="105">
                  <c:v>3.4439999999999998E-2</c:v>
                </c:pt>
                <c:pt idx="106">
                  <c:v>3.449E-2</c:v>
                </c:pt>
                <c:pt idx="107">
                  <c:v>3.4549999999999997E-2</c:v>
                </c:pt>
                <c:pt idx="108">
                  <c:v>3.4599999999999999E-2</c:v>
                </c:pt>
                <c:pt idx="109">
                  <c:v>3.4660000000000003E-2</c:v>
                </c:pt>
                <c:pt idx="110">
                  <c:v>3.4709999999999998E-2</c:v>
                </c:pt>
                <c:pt idx="111">
                  <c:v>3.4759999999999999E-2</c:v>
                </c:pt>
                <c:pt idx="112">
                  <c:v>3.4810000000000001E-2</c:v>
                </c:pt>
                <c:pt idx="113">
                  <c:v>3.4860000000000002E-2</c:v>
                </c:pt>
                <c:pt idx="114">
                  <c:v>3.4909999999999997E-2</c:v>
                </c:pt>
                <c:pt idx="115">
                  <c:v>3.4959999999999998E-2</c:v>
                </c:pt>
                <c:pt idx="116">
                  <c:v>3.5000000000000003E-2</c:v>
                </c:pt>
                <c:pt idx="117">
                  <c:v>3.5049999999999998E-2</c:v>
                </c:pt>
                <c:pt idx="118">
                  <c:v>3.5099999999999999E-2</c:v>
                </c:pt>
                <c:pt idx="119">
                  <c:v>3.5139999999999998E-2</c:v>
                </c:pt>
              </c:numCache>
            </c:numRef>
          </c:yVal>
          <c:smooth val="1"/>
          <c:extLst xmlns:c16r2="http://schemas.microsoft.com/office/drawing/2015/06/chart">
            <c:ext xmlns:c16="http://schemas.microsoft.com/office/drawing/2014/chart" uri="{C3380CC4-5D6E-409C-BE32-E72D297353CC}">
              <c16:uniqueId val="{00000000-0025-4229-B151-CEDA4ABA8314}"/>
            </c:ext>
          </c:extLst>
        </c:ser>
        <c:ser>
          <c:idx val="1"/>
          <c:order val="1"/>
          <c:tx>
            <c:strRef>
              <c:f>Comparison!$U$10</c:f>
              <c:strCache>
                <c:ptCount val="1"/>
                <c:pt idx="0">
                  <c:v>31/07/2018</c:v>
                </c:pt>
              </c:strCache>
            </c:strRef>
          </c:tx>
          <c:spPr>
            <a:ln w="19050" cap="rnd">
              <a:solidFill>
                <a:srgbClr val="FF0000"/>
              </a:solidFill>
              <a:round/>
            </a:ln>
            <a:effectLst/>
          </c:spPr>
          <c:marker>
            <c:symbol val="none"/>
          </c:marker>
          <c:xVal>
            <c:numRef>
              <c:f>Comparison!$G$13:$G$132</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xVal>
          <c:yVal>
            <c:numRef>
              <c:f>Comparison!$AC$13:$AC$132</c:f>
              <c:numCache>
                <c:formatCode>0.000%</c:formatCode>
                <c:ptCount val="120"/>
                <c:pt idx="0">
                  <c:v>-2.7200000000000002E-3</c:v>
                </c:pt>
                <c:pt idx="1">
                  <c:v>-1.64E-3</c:v>
                </c:pt>
                <c:pt idx="2">
                  <c:v>-6.9999999999999994E-5</c:v>
                </c:pt>
                <c:pt idx="3">
                  <c:v>1.58E-3</c:v>
                </c:pt>
                <c:pt idx="4">
                  <c:v>3.15E-3</c:v>
                </c:pt>
                <c:pt idx="5">
                  <c:v>4.5700000000000003E-3</c:v>
                </c:pt>
                <c:pt idx="6">
                  <c:v>5.9300000000000004E-3</c:v>
                </c:pt>
                <c:pt idx="7">
                  <c:v>7.1999999999999998E-3</c:v>
                </c:pt>
                <c:pt idx="8">
                  <c:v>8.3300000000000006E-3</c:v>
                </c:pt>
                <c:pt idx="9">
                  <c:v>9.3699999999999999E-3</c:v>
                </c:pt>
                <c:pt idx="10">
                  <c:v>1.0319999999999999E-2</c:v>
                </c:pt>
                <c:pt idx="11">
                  <c:v>1.1169999999999999E-2</c:v>
                </c:pt>
                <c:pt idx="12">
                  <c:v>1.193E-2</c:v>
                </c:pt>
                <c:pt idx="13">
                  <c:v>1.2579999999999999E-2</c:v>
                </c:pt>
                <c:pt idx="14">
                  <c:v>1.3089999999999999E-2</c:v>
                </c:pt>
                <c:pt idx="15">
                  <c:v>1.3480000000000001E-2</c:v>
                </c:pt>
                <c:pt idx="16">
                  <c:v>1.38E-2</c:v>
                </c:pt>
                <c:pt idx="17">
                  <c:v>1.41E-2</c:v>
                </c:pt>
                <c:pt idx="18">
                  <c:v>1.443E-2</c:v>
                </c:pt>
                <c:pt idx="19">
                  <c:v>1.4829999999999999E-2</c:v>
                </c:pt>
                <c:pt idx="20">
                  <c:v>1.529E-2</c:v>
                </c:pt>
                <c:pt idx="21">
                  <c:v>1.5800000000000002E-2</c:v>
                </c:pt>
                <c:pt idx="22">
                  <c:v>1.635E-2</c:v>
                </c:pt>
                <c:pt idx="23">
                  <c:v>1.6910000000000001E-2</c:v>
                </c:pt>
                <c:pt idx="24">
                  <c:v>1.7479999999999999E-2</c:v>
                </c:pt>
                <c:pt idx="25">
                  <c:v>1.805E-2</c:v>
                </c:pt>
                <c:pt idx="26">
                  <c:v>1.8610000000000002E-2</c:v>
                </c:pt>
                <c:pt idx="27">
                  <c:v>1.917E-2</c:v>
                </c:pt>
                <c:pt idx="28">
                  <c:v>1.9709999999999998E-2</c:v>
                </c:pt>
                <c:pt idx="29">
                  <c:v>2.0240000000000001E-2</c:v>
                </c:pt>
                <c:pt idx="30">
                  <c:v>2.0750000000000001E-2</c:v>
                </c:pt>
                <c:pt idx="31">
                  <c:v>2.1250000000000002E-2</c:v>
                </c:pt>
                <c:pt idx="32">
                  <c:v>2.1729999999999999E-2</c:v>
                </c:pt>
                <c:pt idx="33">
                  <c:v>2.2190000000000001E-2</c:v>
                </c:pt>
                <c:pt idx="34">
                  <c:v>2.264E-2</c:v>
                </c:pt>
                <c:pt idx="35">
                  <c:v>2.307E-2</c:v>
                </c:pt>
                <c:pt idx="36">
                  <c:v>2.349E-2</c:v>
                </c:pt>
                <c:pt idx="37">
                  <c:v>2.3890000000000002E-2</c:v>
                </c:pt>
                <c:pt idx="38">
                  <c:v>2.427E-2</c:v>
                </c:pt>
                <c:pt idx="39">
                  <c:v>2.4639999999999999E-2</c:v>
                </c:pt>
                <c:pt idx="40">
                  <c:v>2.4989999999999998E-2</c:v>
                </c:pt>
                <c:pt idx="41">
                  <c:v>2.5340000000000001E-2</c:v>
                </c:pt>
                <c:pt idx="42">
                  <c:v>2.5659999999999999E-2</c:v>
                </c:pt>
                <c:pt idx="43">
                  <c:v>2.598E-2</c:v>
                </c:pt>
                <c:pt idx="44">
                  <c:v>2.6290000000000001E-2</c:v>
                </c:pt>
                <c:pt idx="45">
                  <c:v>2.6579999999999999E-2</c:v>
                </c:pt>
                <c:pt idx="46">
                  <c:v>2.6859999999999998E-2</c:v>
                </c:pt>
                <c:pt idx="47">
                  <c:v>2.7130000000000001E-2</c:v>
                </c:pt>
                <c:pt idx="48">
                  <c:v>2.7400000000000001E-2</c:v>
                </c:pt>
                <c:pt idx="49">
                  <c:v>2.7650000000000001E-2</c:v>
                </c:pt>
                <c:pt idx="50">
                  <c:v>2.7890000000000002E-2</c:v>
                </c:pt>
                <c:pt idx="51">
                  <c:v>2.8129999999999999E-2</c:v>
                </c:pt>
                <c:pt idx="52">
                  <c:v>2.835E-2</c:v>
                </c:pt>
                <c:pt idx="53">
                  <c:v>2.8570000000000002E-2</c:v>
                </c:pt>
                <c:pt idx="54">
                  <c:v>2.879E-2</c:v>
                </c:pt>
                <c:pt idx="55">
                  <c:v>2.8989999999999998E-2</c:v>
                </c:pt>
                <c:pt idx="56">
                  <c:v>2.9190000000000001E-2</c:v>
                </c:pt>
                <c:pt idx="57">
                  <c:v>2.938E-2</c:v>
                </c:pt>
                <c:pt idx="58">
                  <c:v>2.9569999999999999E-2</c:v>
                </c:pt>
                <c:pt idx="59">
                  <c:v>2.9749999999999999E-2</c:v>
                </c:pt>
                <c:pt idx="60">
                  <c:v>2.9919999999999999E-2</c:v>
                </c:pt>
                <c:pt idx="61">
                  <c:v>3.0089999999999999E-2</c:v>
                </c:pt>
                <c:pt idx="62">
                  <c:v>3.0249999999999999E-2</c:v>
                </c:pt>
                <c:pt idx="63">
                  <c:v>3.041E-2</c:v>
                </c:pt>
                <c:pt idx="64">
                  <c:v>3.056E-2</c:v>
                </c:pt>
                <c:pt idx="65">
                  <c:v>3.0710000000000001E-2</c:v>
                </c:pt>
                <c:pt idx="66">
                  <c:v>3.0859999999999999E-2</c:v>
                </c:pt>
                <c:pt idx="67">
                  <c:v>3.1E-2</c:v>
                </c:pt>
                <c:pt idx="68">
                  <c:v>3.1130000000000001E-2</c:v>
                </c:pt>
                <c:pt idx="69">
                  <c:v>3.1269999999999999E-2</c:v>
                </c:pt>
                <c:pt idx="70">
                  <c:v>3.1399999999999997E-2</c:v>
                </c:pt>
                <c:pt idx="71">
                  <c:v>3.1519999999999999E-2</c:v>
                </c:pt>
                <c:pt idx="72">
                  <c:v>3.1640000000000001E-2</c:v>
                </c:pt>
                <c:pt idx="73">
                  <c:v>3.1759999999999997E-2</c:v>
                </c:pt>
                <c:pt idx="74">
                  <c:v>3.1879999999999999E-2</c:v>
                </c:pt>
                <c:pt idx="75">
                  <c:v>3.1989999999999998E-2</c:v>
                </c:pt>
                <c:pt idx="76">
                  <c:v>3.2099999999999997E-2</c:v>
                </c:pt>
                <c:pt idx="77">
                  <c:v>3.2210000000000003E-2</c:v>
                </c:pt>
                <c:pt idx="78">
                  <c:v>3.2309999999999998E-2</c:v>
                </c:pt>
                <c:pt idx="79">
                  <c:v>3.2410000000000001E-2</c:v>
                </c:pt>
                <c:pt idx="80">
                  <c:v>3.2509999999999997E-2</c:v>
                </c:pt>
                <c:pt idx="81">
                  <c:v>3.261E-2</c:v>
                </c:pt>
                <c:pt idx="82">
                  <c:v>3.27E-2</c:v>
                </c:pt>
                <c:pt idx="83">
                  <c:v>3.2800000000000003E-2</c:v>
                </c:pt>
                <c:pt idx="84">
                  <c:v>3.2890000000000003E-2</c:v>
                </c:pt>
                <c:pt idx="85">
                  <c:v>3.2980000000000002E-2</c:v>
                </c:pt>
                <c:pt idx="86">
                  <c:v>3.3059999999999999E-2</c:v>
                </c:pt>
                <c:pt idx="87">
                  <c:v>3.3149999999999999E-2</c:v>
                </c:pt>
                <c:pt idx="88">
                  <c:v>3.3230000000000003E-2</c:v>
                </c:pt>
                <c:pt idx="89">
                  <c:v>3.3309999999999999E-2</c:v>
                </c:pt>
                <c:pt idx="90">
                  <c:v>3.3390000000000003E-2</c:v>
                </c:pt>
                <c:pt idx="91">
                  <c:v>3.3459999999999997E-2</c:v>
                </c:pt>
                <c:pt idx="92">
                  <c:v>3.354E-2</c:v>
                </c:pt>
                <c:pt idx="93">
                  <c:v>3.3610000000000001E-2</c:v>
                </c:pt>
                <c:pt idx="94">
                  <c:v>3.3689999999999998E-2</c:v>
                </c:pt>
                <c:pt idx="95">
                  <c:v>3.3759999999999998E-2</c:v>
                </c:pt>
                <c:pt idx="96">
                  <c:v>3.3829999999999999E-2</c:v>
                </c:pt>
                <c:pt idx="97">
                  <c:v>3.3890000000000003E-2</c:v>
                </c:pt>
                <c:pt idx="98">
                  <c:v>3.3959999999999997E-2</c:v>
                </c:pt>
                <c:pt idx="99">
                  <c:v>3.4029999999999998E-2</c:v>
                </c:pt>
                <c:pt idx="100">
                  <c:v>3.4090000000000002E-2</c:v>
                </c:pt>
                <c:pt idx="101">
                  <c:v>3.415E-2</c:v>
                </c:pt>
                <c:pt idx="102">
                  <c:v>3.4209999999999997E-2</c:v>
                </c:pt>
                <c:pt idx="103">
                  <c:v>3.4270000000000002E-2</c:v>
                </c:pt>
                <c:pt idx="104">
                  <c:v>3.4329999999999999E-2</c:v>
                </c:pt>
                <c:pt idx="105">
                  <c:v>3.4389999999999997E-2</c:v>
                </c:pt>
                <c:pt idx="106">
                  <c:v>3.4450000000000001E-2</c:v>
                </c:pt>
                <c:pt idx="107">
                  <c:v>3.4500000000000003E-2</c:v>
                </c:pt>
                <c:pt idx="108">
                  <c:v>3.456E-2</c:v>
                </c:pt>
                <c:pt idx="109">
                  <c:v>3.4610000000000002E-2</c:v>
                </c:pt>
                <c:pt idx="110">
                  <c:v>3.4669999999999999E-2</c:v>
                </c:pt>
                <c:pt idx="111">
                  <c:v>3.4720000000000001E-2</c:v>
                </c:pt>
                <c:pt idx="112">
                  <c:v>3.4770000000000002E-2</c:v>
                </c:pt>
                <c:pt idx="113">
                  <c:v>3.4819999999999997E-2</c:v>
                </c:pt>
                <c:pt idx="114">
                  <c:v>3.4869999999999998E-2</c:v>
                </c:pt>
                <c:pt idx="115">
                  <c:v>3.492E-2</c:v>
                </c:pt>
                <c:pt idx="116">
                  <c:v>3.4959999999999998E-2</c:v>
                </c:pt>
                <c:pt idx="117">
                  <c:v>3.5009999999999999E-2</c:v>
                </c:pt>
                <c:pt idx="118">
                  <c:v>3.5060000000000001E-2</c:v>
                </c:pt>
                <c:pt idx="119">
                  <c:v>3.5099999999999999E-2</c:v>
                </c:pt>
              </c:numCache>
            </c:numRef>
          </c:yVal>
          <c:smooth val="1"/>
          <c:extLst xmlns:c16r2="http://schemas.microsoft.com/office/drawing/2015/06/chart">
            <c:ext xmlns:c16="http://schemas.microsoft.com/office/drawing/2014/chart" uri="{C3380CC4-5D6E-409C-BE32-E72D297353CC}">
              <c16:uniqueId val="{00000001-0025-4229-B151-CEDA4ABA8314}"/>
            </c:ext>
          </c:extLst>
        </c:ser>
        <c:dLbls>
          <c:showLegendKey val="0"/>
          <c:showVal val="0"/>
          <c:showCatName val="0"/>
          <c:showSerName val="0"/>
          <c:showPercent val="0"/>
          <c:showBubbleSize val="0"/>
        </c:dLbls>
        <c:axId val="158487776"/>
        <c:axId val="158488168"/>
      </c:scatterChart>
      <c:valAx>
        <c:axId val="158487776"/>
        <c:scaling>
          <c:orientation val="minMax"/>
          <c:max val="120"/>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crossAx val="158488168"/>
        <c:crosses val="autoZero"/>
        <c:crossBetween val="midCat"/>
        <c:majorUnit val="10"/>
      </c:valAx>
      <c:valAx>
        <c:axId val="1584881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crossAx val="158487776"/>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164C105DEA40BE829A7FAA4D12F94B"/>
        <w:category>
          <w:name w:val="General"/>
          <w:gallery w:val="placeholder"/>
        </w:category>
        <w:types>
          <w:type w:val="bbPlcHdr"/>
        </w:types>
        <w:behaviors>
          <w:behavior w:val="content"/>
        </w:behaviors>
        <w:guid w:val="{C10F8ED5-D29A-4F85-BFF6-CA4EC1CF0D20}"/>
      </w:docPartPr>
      <w:docPartBody>
        <w:p w:rsidR="00D92B7A" w:rsidRDefault="005F6EC7" w:rsidP="005F6EC7">
          <w:pPr>
            <w:pStyle w:val="89164C105DEA40BE829A7FAA4D12F94B"/>
          </w:pPr>
          <w:r w:rsidRPr="00714930">
            <w:rPr>
              <w:rStyle w:val="Zstupntext"/>
            </w:rPr>
            <w:t>[Document Date]</w:t>
          </w:r>
        </w:p>
      </w:docPartBody>
    </w:docPart>
    <w:docPart>
      <w:docPartPr>
        <w:name w:val="584EF38CAE9A4F80AF2F6FA01859F6AD"/>
        <w:category>
          <w:name w:val="General"/>
          <w:gallery w:val="placeholder"/>
        </w:category>
        <w:types>
          <w:type w:val="bbPlcHdr"/>
        </w:types>
        <w:behaviors>
          <w:behavior w:val="content"/>
        </w:behaviors>
        <w:guid w:val="{728CBCCC-8DFB-4F0E-A3A0-D9B9750E4ED6}"/>
      </w:docPartPr>
      <w:docPartBody>
        <w:p w:rsidR="00D92B7A" w:rsidRDefault="005F6EC7" w:rsidP="005F6EC7">
          <w:pPr>
            <w:pStyle w:val="584EF38CAE9A4F80AF2F6FA01859F6AD"/>
          </w:pPr>
          <w:r w:rsidRPr="00714930">
            <w:rPr>
              <w:rStyle w:val="Zstupntext"/>
            </w:rPr>
            <w:t>[Reference]</w:t>
          </w:r>
        </w:p>
      </w:docPartBody>
    </w:docPart>
    <w:docPart>
      <w:docPartPr>
        <w:name w:val="158764735BF849D6923D2F1EEA208FDC"/>
        <w:category>
          <w:name w:val="General"/>
          <w:gallery w:val="placeholder"/>
        </w:category>
        <w:types>
          <w:type w:val="bbPlcHdr"/>
        </w:types>
        <w:behaviors>
          <w:behavior w:val="content"/>
        </w:behaviors>
        <w:guid w:val="{8C146251-5923-4442-A129-5123F7DDD7C2}"/>
      </w:docPartPr>
      <w:docPartBody>
        <w:p w:rsidR="00C67B6A" w:rsidRDefault="00A47A5F">
          <w:r w:rsidRPr="00E62470">
            <w:rPr>
              <w:rStyle w:val="Zstupntext"/>
            </w:rPr>
            <w:t>[Type of memo]</w:t>
          </w:r>
        </w:p>
      </w:docPartBody>
    </w:docPart>
    <w:docPart>
      <w:docPartPr>
        <w:name w:val="144FA9FBD3204630AE411F8ADBFA3BA4"/>
        <w:category>
          <w:name w:val="General"/>
          <w:gallery w:val="placeholder"/>
        </w:category>
        <w:types>
          <w:type w:val="bbPlcHdr"/>
        </w:types>
        <w:behaviors>
          <w:behavior w:val="content"/>
        </w:behaviors>
        <w:guid w:val="{C15B554A-564D-40B4-96D0-CF3B877DA2FF}"/>
      </w:docPartPr>
      <w:docPartBody>
        <w:p w:rsidR="00CF4325" w:rsidRDefault="00E30A5C">
          <w:r w:rsidRPr="00FE2091">
            <w:rPr>
              <w:rStyle w:val="Zstupntext"/>
            </w:rPr>
            <w:t>[Document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C7"/>
    <w:rsid w:val="00125A37"/>
    <w:rsid w:val="00157260"/>
    <w:rsid w:val="001F0766"/>
    <w:rsid w:val="003C10C7"/>
    <w:rsid w:val="003E28DA"/>
    <w:rsid w:val="0054070F"/>
    <w:rsid w:val="005D21B1"/>
    <w:rsid w:val="005F6EC7"/>
    <w:rsid w:val="006704B4"/>
    <w:rsid w:val="00756109"/>
    <w:rsid w:val="00931FEF"/>
    <w:rsid w:val="00981EE1"/>
    <w:rsid w:val="009A5F5F"/>
    <w:rsid w:val="009D348E"/>
    <w:rsid w:val="009E0A14"/>
    <w:rsid w:val="00A467DB"/>
    <w:rsid w:val="00A47A5F"/>
    <w:rsid w:val="00AB1078"/>
    <w:rsid w:val="00B17031"/>
    <w:rsid w:val="00BC5215"/>
    <w:rsid w:val="00C67B6A"/>
    <w:rsid w:val="00C96AA8"/>
    <w:rsid w:val="00CF4325"/>
    <w:rsid w:val="00D92B7A"/>
    <w:rsid w:val="00E30A5C"/>
    <w:rsid w:val="00F6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30A5C"/>
    <w:rPr>
      <w:color w:val="808080"/>
    </w:rPr>
  </w:style>
  <w:style w:type="paragraph" w:customStyle="1" w:styleId="A76E347B004D4ADE88FA498075F946F3">
    <w:name w:val="A76E347B004D4ADE88FA498075F946F3"/>
    <w:rsid w:val="005F6EC7"/>
  </w:style>
  <w:style w:type="paragraph" w:customStyle="1" w:styleId="89164C105DEA40BE829A7FAA4D12F94B">
    <w:name w:val="89164C105DEA40BE829A7FAA4D12F94B"/>
    <w:rsid w:val="005F6EC7"/>
  </w:style>
  <w:style w:type="paragraph" w:customStyle="1" w:styleId="584EF38CAE9A4F80AF2F6FA01859F6AD">
    <w:name w:val="584EF38CAE9A4F80AF2F6FA01859F6AD"/>
    <w:rsid w:val="005F6EC7"/>
  </w:style>
  <w:style w:type="paragraph" w:customStyle="1" w:styleId="6442B7B8354F4769A48DF92CA6B84260">
    <w:name w:val="6442B7B8354F4769A48DF92CA6B84260"/>
    <w:rsid w:val="005F6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C6789F4E763D0643BCC2488D4E0D56EB" ma:contentTypeVersion="0" ma:contentTypeDescription="Published Documents Content types for Insurance Europe" ma:contentTypeScope="" ma:versionID="7746cb26ceeed01331dbcb0ea4c1c302">
  <xsd:schema xmlns:xsd="http://www.w3.org/2001/XMLSchema" xmlns:xs="http://www.w3.org/2001/XMLSchema" xmlns:p="http://schemas.microsoft.com/office/2006/metadata/properties" xmlns:ns2="e092deee-a6f6-4f89-8a6c-e2a43e9fb5cf" xmlns:ns3="$ListId:PublishedDocuments;" xmlns:ns4="34d7415f-f1a4-44df-8e35-2ceaafd480dc" xmlns:ns5="2ad614c7-900c-4770-94a0-e04fed16376c" xmlns:ns6="70f7eb82-310d-4963-bf1e-a4c2a37fd81c" targetNamespace="http://schemas.microsoft.com/office/2006/metadata/properties" ma:root="true" ma:fieldsID="0da32414995eea309c7f1ab83f960137" ns2:_="" ns3:_="" ns4:_="" ns5:_="" ns6:_="">
    <xsd:import namespace="e092deee-a6f6-4f89-8a6c-e2a43e9fb5cf"/>
    <xsd:import namespace="$ListId:PublishedDocuments;"/>
    <xsd:import namespace="34d7415f-f1a4-44df-8e35-2ceaafd480dc"/>
    <xsd:import namespace="2ad614c7-900c-4770-94a0-e04fed16376c"/>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2ad614c7-900c-4770-94a0-e04fed16376c"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70f7eb82-310d-4963-bf1e-a4c2a37fd81c">information</Type_x0020_of_x0020_memo>
    <Type_x0020_of_x0020_document xmlns="34d7415f-f1a4-44df-8e35-2ceaafd480dc">Memo</Type_x0020_of_x0020_document>
    <Linked_x0020_files xmlns="$ListId:PublishedDocuments;" xsi:nil="true"/>
    <ValidationComment xmlns="e092deee-a6f6-4f89-8a6c-e2a43e9fb5cf" xsi:nil="true"/>
    <Can_x0020_be_x0020_edited xmlns="$ListId:PublishedDocuments;">false</Can_x0020_be_x0020_edited>
    <Deadline xmlns="2ad614c7-900c-4770-94a0-e04fed16376c" xsi:nil="true"/>
    <AllowComments xmlns="e092deee-a6f6-4f89-8a6c-e2a43e9fb5cf">false</AllowComments>
    <Validated xmlns="e092deee-a6f6-4f89-8a6c-e2a43e9fb5cf">false</Validated>
    <Uploads xmlns="2ad614c7-900c-4770-94a0-e04fed16376c">false</Uploads>
    <isAnnex xmlns="2ad614c7-900c-4770-94a0-e04fed16376c">False</isAnnex>
    <Display_x0020_validated_x0020_documents_x0020_library_x0020_button xmlns="70f7eb82-310d-4963-bf1e-a4c2a37fd81c">false</Display_x0020_validated_x0020_documents_x0020_library_x0020_butt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97535-2E54-4D01-B36C-7B3511E6A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2ad614c7-900c-4770-94a0-e04fed16376c"/>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543F7-D990-4A6E-8CB8-19DE2D01605D}">
  <ds:schemaRefs>
    <ds:schemaRef ds:uri="http://schemas.microsoft.com/sharepoint/v3/contenttype/forms"/>
  </ds:schemaRefs>
</ds:datastoreItem>
</file>

<file path=customXml/itemProps3.xml><?xml version="1.0" encoding="utf-8"?>
<ds:datastoreItem xmlns:ds="http://schemas.openxmlformats.org/officeDocument/2006/customXml" ds:itemID="{16BE8AC2-BC04-484A-AE5F-6753D3DE5469}">
  <ds:schemaRefs>
    <ds:schemaRef ds:uri="http://schemas.microsoft.com/office/2006/documentManagement/types"/>
    <ds:schemaRef ds:uri="$ListId:PublishedDocuments;"/>
    <ds:schemaRef ds:uri="2ad614c7-900c-4770-94a0-e04fed16376c"/>
    <ds:schemaRef ds:uri="http://purl.org/dc/elements/1.1/"/>
    <ds:schemaRef ds:uri="http://purl.org/dc/terms/"/>
    <ds:schemaRef ds:uri="e092deee-a6f6-4f89-8a6c-e2a43e9fb5cf"/>
    <ds:schemaRef ds:uri="http://www.w3.org/XML/1998/namespace"/>
    <ds:schemaRef ds:uri="34d7415f-f1a4-44df-8e35-2ceaafd480dc"/>
    <ds:schemaRef ds:uri="http://purl.org/dc/dcmitype/"/>
    <ds:schemaRef ds:uri="http://schemas.microsoft.com/office/infopath/2007/PartnerControls"/>
    <ds:schemaRef ds:uri="http://schemas.openxmlformats.org/package/2006/metadata/core-properties"/>
    <ds:schemaRef ds:uri="70f7eb82-310d-4963-bf1e-a4c2a37fd81c"/>
    <ds:schemaRef ds:uri="http://schemas.microsoft.com/office/2006/metadata/properties"/>
  </ds:schemaRefs>
</ds:datastoreItem>
</file>

<file path=customXml/itemProps4.xml><?xml version="1.0" encoding="utf-8"?>
<ds:datastoreItem xmlns:ds="http://schemas.openxmlformats.org/officeDocument/2006/customXml" ds:itemID="{239ED571-DCDF-406A-8C54-8CB8E78E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1416</Characters>
  <Application>Microsoft Office Word</Application>
  <DocSecurity>4</DocSecurity>
  <Lines>11</Lines>
  <Paragraphs>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RFR monthly monitoring August 2018</vt:lpstr>
      <vt:lpstr>RFR monthly monitoring August 2018</vt:lpstr>
    </vt:vector>
  </TitlesOfParts>
  <Company>Insurance Europe</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RFR monthly monitoring August 2018</dc:title>
  <dc:creator>Insurance Europe</dc:creator>
  <cp:lastModifiedBy>Bachníček Jozef</cp:lastModifiedBy>
  <cp:revision>2</cp:revision>
  <cp:lastPrinted>2018-08-06T14:13:00Z</cp:lastPrinted>
  <dcterms:created xsi:type="dcterms:W3CDTF">2018-09-10T06:27:00Z</dcterms:created>
  <dcterms:modified xsi:type="dcterms:W3CDTF">2018-09-10T06:27:00Z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0x010100C6789F4E763D0643BCC2488D4E0D56EB</vt:lpwstr>
  </property>
</Properties>
</file>