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DC2" w:rsidRPr="009B08E3" w:rsidRDefault="00C67DC2" w:rsidP="0068284C">
      <w:pPr>
        <w:shd w:val="clear" w:color="auto" w:fill="FFFFFF"/>
        <w:autoSpaceDE w:val="0"/>
        <w:autoSpaceDN w:val="0"/>
        <w:spacing w:after="0" w:line="240" w:lineRule="auto"/>
        <w:ind w:hanging="284"/>
        <w:jc w:val="both"/>
        <w:rPr>
          <w:rFonts w:eastAsia="Times New Roman" w:cs="Times New Roman"/>
          <w:sz w:val="20"/>
          <w:szCs w:val="20"/>
          <w:lang w:eastAsia="sk-SK"/>
        </w:rPr>
      </w:pPr>
      <w:r w:rsidRPr="009B08E3">
        <w:rPr>
          <w:rFonts w:eastAsia="Times New Roman" w:cs="Times New Roman"/>
          <w:sz w:val="20"/>
          <w:szCs w:val="20"/>
          <w:lang w:eastAsia="sk-SK"/>
        </w:rPr>
        <w:t>. </w:t>
      </w:r>
    </w:p>
    <w:p w:rsidR="00724F84" w:rsidRPr="009B08E3" w:rsidRDefault="00724F84" w:rsidP="00D77E53">
      <w:pPr>
        <w:spacing w:after="0" w:line="276" w:lineRule="auto"/>
        <w:rPr>
          <w:b/>
          <w:bCs/>
          <w:sz w:val="28"/>
          <w:szCs w:val="28"/>
        </w:rPr>
      </w:pPr>
    </w:p>
    <w:p w:rsidR="0068284C" w:rsidRPr="009B08E3" w:rsidRDefault="0068284C" w:rsidP="00D77E53">
      <w:pPr>
        <w:spacing w:after="0" w:line="276" w:lineRule="auto"/>
        <w:jc w:val="center"/>
        <w:rPr>
          <w:b/>
          <w:sz w:val="28"/>
          <w:szCs w:val="28"/>
        </w:rPr>
      </w:pPr>
      <w:r w:rsidRPr="009B08E3">
        <w:rPr>
          <w:b/>
          <w:sz w:val="28"/>
          <w:szCs w:val="28"/>
        </w:rPr>
        <w:t>P</w:t>
      </w:r>
      <w:r w:rsidR="00187B47" w:rsidRPr="009B08E3">
        <w:rPr>
          <w:b/>
          <w:sz w:val="28"/>
          <w:szCs w:val="28"/>
        </w:rPr>
        <w:t>ripomien</w:t>
      </w:r>
      <w:r w:rsidRPr="009B08E3">
        <w:rPr>
          <w:b/>
          <w:sz w:val="28"/>
          <w:szCs w:val="28"/>
        </w:rPr>
        <w:t xml:space="preserve">ky </w:t>
      </w:r>
      <w:r w:rsidR="00187B47" w:rsidRPr="009B08E3">
        <w:rPr>
          <w:b/>
          <w:sz w:val="28"/>
          <w:szCs w:val="28"/>
        </w:rPr>
        <w:t>SLASPO</w:t>
      </w:r>
      <w:r w:rsidR="00E433B7" w:rsidRPr="009B08E3">
        <w:rPr>
          <w:b/>
          <w:sz w:val="28"/>
          <w:szCs w:val="28"/>
        </w:rPr>
        <w:t xml:space="preserve"> k pracovnej verzii vyhlášky,</w:t>
      </w:r>
    </w:p>
    <w:p w:rsidR="00187B47" w:rsidRPr="009B08E3" w:rsidRDefault="0068284C" w:rsidP="00D77E53">
      <w:pPr>
        <w:spacing w:after="0" w:line="276" w:lineRule="auto"/>
        <w:jc w:val="center"/>
        <w:rPr>
          <w:b/>
          <w:sz w:val="28"/>
          <w:szCs w:val="28"/>
        </w:rPr>
      </w:pPr>
      <w:r w:rsidRPr="009B08E3">
        <w:rPr>
          <w:b/>
          <w:sz w:val="28"/>
          <w:szCs w:val="28"/>
        </w:rPr>
        <w:t xml:space="preserve"> ktorou sa ustanovuje vzor formulára o jednotlivých zložkách poistného</w:t>
      </w:r>
    </w:p>
    <w:p w:rsidR="0068284C" w:rsidRPr="009B08E3" w:rsidRDefault="0068284C" w:rsidP="00D77E53">
      <w:pPr>
        <w:shd w:val="clear" w:color="auto" w:fill="FFFFFF"/>
        <w:autoSpaceDE w:val="0"/>
        <w:autoSpaceDN w:val="0"/>
        <w:spacing w:after="0" w:line="276" w:lineRule="auto"/>
        <w:ind w:hanging="284"/>
        <w:jc w:val="both"/>
        <w:rPr>
          <w:rFonts w:eastAsia="Times New Roman" w:cs="Times New Roman"/>
          <w:sz w:val="20"/>
          <w:szCs w:val="20"/>
          <w:lang w:eastAsia="sk-SK"/>
        </w:rPr>
      </w:pPr>
    </w:p>
    <w:p w:rsidR="0068284C" w:rsidRPr="009B08E3" w:rsidRDefault="0068284C" w:rsidP="00D77E53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eastAsia="Times New Roman" w:cs="Times New Roman"/>
          <w:i/>
          <w:sz w:val="20"/>
          <w:szCs w:val="20"/>
          <w:lang w:eastAsia="sk-SK"/>
        </w:rPr>
      </w:pPr>
      <w:r w:rsidRPr="009B08E3">
        <w:rPr>
          <w:rFonts w:eastAsia="Times New Roman" w:cs="Times New Roman"/>
          <w:i/>
          <w:sz w:val="20"/>
          <w:szCs w:val="20"/>
          <w:lang w:eastAsia="sk-SK"/>
        </w:rPr>
        <w:t xml:space="preserve">Splnomocňovacie ustanovenie v 70 ods. 14 </w:t>
      </w:r>
      <w:proofErr w:type="spellStart"/>
      <w:r w:rsidRPr="009B08E3">
        <w:rPr>
          <w:rFonts w:eastAsia="Times New Roman" w:cs="Times New Roman"/>
          <w:i/>
          <w:sz w:val="20"/>
          <w:szCs w:val="20"/>
          <w:lang w:eastAsia="sk-SK"/>
        </w:rPr>
        <w:t>ZoP</w:t>
      </w:r>
      <w:proofErr w:type="spellEnd"/>
    </w:p>
    <w:p w:rsidR="0068284C" w:rsidRPr="009B08E3" w:rsidRDefault="0068284C" w:rsidP="00D77E53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eastAsia="Times New Roman" w:cs="Times New Roman"/>
          <w:i/>
          <w:sz w:val="20"/>
          <w:szCs w:val="20"/>
          <w:lang w:eastAsia="sk-SK"/>
        </w:rPr>
      </w:pPr>
    </w:p>
    <w:p w:rsidR="0068284C" w:rsidRPr="009B08E3" w:rsidRDefault="0068284C" w:rsidP="00D77E53">
      <w:pPr>
        <w:shd w:val="clear" w:color="auto" w:fill="FFFFFF"/>
        <w:autoSpaceDE w:val="0"/>
        <w:autoSpaceDN w:val="0"/>
        <w:spacing w:after="0" w:line="276" w:lineRule="auto"/>
        <w:ind w:firstLine="567"/>
        <w:jc w:val="both"/>
        <w:rPr>
          <w:rFonts w:eastAsia="Times New Roman" w:cs="Times New Roman"/>
          <w:i/>
          <w:sz w:val="20"/>
          <w:szCs w:val="20"/>
          <w:lang w:eastAsia="sk-SK"/>
        </w:rPr>
      </w:pPr>
      <w:r w:rsidRPr="009B08E3">
        <w:rPr>
          <w:rFonts w:eastAsia="Times New Roman" w:cs="Times New Roman"/>
          <w:i/>
          <w:sz w:val="20"/>
          <w:szCs w:val="20"/>
          <w:lang w:eastAsia="sk-SK"/>
        </w:rPr>
        <w:t xml:space="preserve"> „(14) Poisťovňa, poisťovňa z iného členského štátu a pobočka zahraničnej poisťovne je povinná pred uzavretím poistnej zmluvy poskytnúť potenciálnemu neprofesionálnemu klientovi</w:t>
      </w:r>
      <w:r w:rsidRPr="009B08E3">
        <w:rPr>
          <w:rFonts w:eastAsia="Times New Roman" w:cs="Arial"/>
          <w:i/>
          <w:sz w:val="20"/>
          <w:szCs w:val="20"/>
          <w:vertAlign w:val="superscript"/>
          <w:lang w:eastAsia="sk-SK"/>
        </w:rPr>
        <w:t>30</w:t>
      </w:r>
      <w:r w:rsidRPr="009B08E3">
        <w:rPr>
          <w:rFonts w:eastAsia="Times New Roman" w:cs="Times New Roman"/>
          <w:i/>
          <w:sz w:val="20"/>
          <w:szCs w:val="20"/>
          <w:lang w:eastAsia="sk-SK"/>
        </w:rPr>
        <w:t>) jednoznačným, presným a zrozumiteľným spôsobom, písomne alebo v podobe zápisu na inom trvanlivom médiu</w:t>
      </w:r>
      <w:r w:rsidRPr="009B08E3">
        <w:rPr>
          <w:rFonts w:eastAsia="Times New Roman" w:cs="Arial"/>
          <w:i/>
          <w:sz w:val="20"/>
          <w:szCs w:val="20"/>
          <w:vertAlign w:val="superscript"/>
          <w:lang w:eastAsia="sk-SK"/>
        </w:rPr>
        <w:t>32b</w:t>
      </w:r>
      <w:r w:rsidRPr="009B08E3">
        <w:rPr>
          <w:rFonts w:eastAsia="Times New Roman" w:cs="Times New Roman"/>
          <w:i/>
          <w:sz w:val="20"/>
          <w:szCs w:val="20"/>
          <w:lang w:eastAsia="sk-SK"/>
        </w:rPr>
        <w:t>) informáciu o jednotlivých zložkách poistného vo vzťahu k uzatváranej poistnej zmluve, a to prostredníctvom informačného formulára. Vzor informačného formulára o jednotlivých zložkách poistného ustanoví všeobecne záväzný právny predpis, ktorý vydá ministerstvo financií.”.</w:t>
      </w:r>
    </w:p>
    <w:p w:rsidR="007B7CFA" w:rsidRPr="009B08E3" w:rsidRDefault="007B7CFA" w:rsidP="00D77E53">
      <w:pPr>
        <w:spacing w:after="0" w:line="276" w:lineRule="auto"/>
        <w:rPr>
          <w:b/>
          <w:sz w:val="20"/>
          <w:szCs w:val="20"/>
        </w:rPr>
      </w:pPr>
    </w:p>
    <w:p w:rsidR="00D94C28" w:rsidRPr="009B08E3" w:rsidRDefault="0068284C" w:rsidP="00D77E53">
      <w:pPr>
        <w:spacing w:after="0" w:line="276" w:lineRule="auto"/>
        <w:rPr>
          <w:b/>
          <w:sz w:val="20"/>
          <w:szCs w:val="20"/>
        </w:rPr>
      </w:pPr>
      <w:r w:rsidRPr="009B08E3">
        <w:rPr>
          <w:b/>
          <w:sz w:val="20"/>
          <w:szCs w:val="20"/>
        </w:rPr>
        <w:t>Všeobecné pripomienky:</w:t>
      </w:r>
    </w:p>
    <w:p w:rsidR="00D94C28" w:rsidRPr="009B08E3" w:rsidRDefault="00724F84" w:rsidP="00D77E53">
      <w:pPr>
        <w:pStyle w:val="CM4"/>
        <w:spacing w:before="60" w:line="276" w:lineRule="auto"/>
        <w:rPr>
          <w:rFonts w:asciiTheme="minorHAnsi" w:eastAsia="Times New Roman" w:hAnsiTheme="minorHAnsi" w:cs="Times New Roman"/>
          <w:sz w:val="20"/>
          <w:szCs w:val="20"/>
          <w:lang w:eastAsia="sk-SK"/>
        </w:rPr>
      </w:pPr>
      <w:r w:rsidRPr="009B08E3">
        <w:rPr>
          <w:rFonts w:asciiTheme="minorHAnsi" w:hAnsiTheme="minorHAnsi" w:cs="EUAlbertina"/>
          <w:bCs/>
          <w:iCs/>
          <w:sz w:val="20"/>
          <w:szCs w:val="20"/>
        </w:rPr>
        <w:t>Splnomocňovacie ustanovenie v 70, ods. 14 dáva predkladateľovi</w:t>
      </w:r>
      <w:r w:rsidR="009B08E3" w:rsidRPr="009B08E3">
        <w:rPr>
          <w:rFonts w:asciiTheme="minorHAnsi" w:hAnsiTheme="minorHAnsi" w:cs="EUAlbertina"/>
          <w:bCs/>
          <w:iCs/>
          <w:sz w:val="20"/>
          <w:szCs w:val="20"/>
        </w:rPr>
        <w:t xml:space="preserve"> </w:t>
      </w:r>
      <w:r w:rsidRPr="009B08E3">
        <w:rPr>
          <w:rFonts w:asciiTheme="minorHAnsi" w:hAnsiTheme="minorHAnsi" w:cs="EUAlbertina"/>
          <w:bCs/>
          <w:iCs/>
          <w:sz w:val="20"/>
          <w:szCs w:val="20"/>
        </w:rPr>
        <w:t xml:space="preserve"> </w:t>
      </w:r>
      <w:r w:rsidR="009B08E3" w:rsidRPr="009B08E3">
        <w:rPr>
          <w:rFonts w:asciiTheme="minorHAnsi" w:hAnsiTheme="minorHAnsi" w:cs="EUAlbertina"/>
          <w:bCs/>
          <w:iCs/>
          <w:sz w:val="20"/>
          <w:szCs w:val="20"/>
        </w:rPr>
        <w:t xml:space="preserve">jasný </w:t>
      </w:r>
      <w:r w:rsidRPr="009B08E3">
        <w:rPr>
          <w:rFonts w:asciiTheme="minorHAnsi" w:hAnsiTheme="minorHAnsi" w:cs="EUAlbertina"/>
          <w:bCs/>
          <w:iCs/>
          <w:sz w:val="20"/>
          <w:szCs w:val="20"/>
        </w:rPr>
        <w:t xml:space="preserve">  mandát na obsah vyhlášky, pretože hovorí , že formulár má obsahovať </w:t>
      </w:r>
      <w:r w:rsidR="00D94C28" w:rsidRPr="009B08E3">
        <w:rPr>
          <w:rFonts w:asciiTheme="minorHAnsi" w:hAnsiTheme="minorHAnsi" w:cs="EUAlbertina"/>
          <w:bCs/>
          <w:iCs/>
          <w:sz w:val="20"/>
          <w:szCs w:val="20"/>
        </w:rPr>
        <w:t>„iba</w:t>
      </w:r>
      <w:r w:rsidR="00D94C28" w:rsidRPr="009B08E3">
        <w:rPr>
          <w:rFonts w:asciiTheme="minorHAnsi" w:hAnsiTheme="minorHAnsi" w:cs="EUAlbertina"/>
          <w:bCs/>
          <w:iCs/>
          <w:sz w:val="20"/>
          <w:szCs w:val="20"/>
          <w:u w:val="single"/>
        </w:rPr>
        <w:t xml:space="preserve">„ </w:t>
      </w:r>
      <w:r w:rsidRPr="009B08E3">
        <w:rPr>
          <w:rFonts w:asciiTheme="minorHAnsi" w:eastAsia="Times New Roman" w:hAnsiTheme="minorHAnsi" w:cs="Times New Roman"/>
          <w:sz w:val="20"/>
          <w:szCs w:val="20"/>
          <w:u w:val="single"/>
          <w:lang w:eastAsia="sk-SK"/>
        </w:rPr>
        <w:t>informáciu o jednotlivých zložkách poistného</w:t>
      </w:r>
      <w:r w:rsidRPr="009B08E3">
        <w:rPr>
          <w:rFonts w:asciiTheme="minorHAnsi" w:eastAsia="Times New Roman" w:hAnsiTheme="minorHAnsi" w:cs="Times New Roman"/>
          <w:sz w:val="20"/>
          <w:szCs w:val="20"/>
          <w:lang w:eastAsia="sk-SK"/>
        </w:rPr>
        <w:t xml:space="preserve"> vo vzťahu k uzatváranej poistnej zmluve. </w:t>
      </w:r>
    </w:p>
    <w:p w:rsidR="00D94C28" w:rsidRPr="009B08E3" w:rsidRDefault="00D94C28" w:rsidP="00D77E53">
      <w:pPr>
        <w:pStyle w:val="CM4"/>
        <w:spacing w:before="60" w:line="276" w:lineRule="auto"/>
        <w:rPr>
          <w:rFonts w:asciiTheme="minorHAnsi" w:eastAsia="Times New Roman" w:hAnsiTheme="minorHAnsi" w:cs="Times New Roman"/>
          <w:sz w:val="20"/>
          <w:szCs w:val="20"/>
          <w:lang w:eastAsia="sk-SK"/>
        </w:rPr>
      </w:pPr>
      <w:r w:rsidRPr="009B08E3">
        <w:rPr>
          <w:rFonts w:asciiTheme="minorHAnsi" w:eastAsia="Times New Roman" w:hAnsiTheme="minorHAnsi" w:cs="Times New Roman"/>
          <w:sz w:val="20"/>
          <w:szCs w:val="20"/>
          <w:lang w:eastAsia="sk-SK"/>
        </w:rPr>
        <w:t xml:space="preserve">Z predloženého pracovného návrhu sa nám javí, že predkladateľ  </w:t>
      </w:r>
      <w:r w:rsidR="00F33122" w:rsidRPr="009B08E3">
        <w:rPr>
          <w:rFonts w:asciiTheme="minorHAnsi" w:eastAsia="Times New Roman" w:hAnsiTheme="minorHAnsi" w:cs="Times New Roman"/>
          <w:sz w:val="20"/>
          <w:szCs w:val="20"/>
          <w:lang w:eastAsia="sk-SK"/>
        </w:rPr>
        <w:t xml:space="preserve">sa zatiaľ </w:t>
      </w:r>
      <w:proofErr w:type="spellStart"/>
      <w:r w:rsidR="00F33122" w:rsidRPr="009B08E3">
        <w:rPr>
          <w:rFonts w:asciiTheme="minorHAnsi" w:eastAsia="Times New Roman" w:hAnsiTheme="minorHAnsi" w:cs="Times New Roman"/>
          <w:sz w:val="20"/>
          <w:szCs w:val="20"/>
          <w:lang w:eastAsia="sk-SK"/>
        </w:rPr>
        <w:t>nevysporiadal</w:t>
      </w:r>
      <w:proofErr w:type="spellEnd"/>
      <w:r w:rsidR="00F33122" w:rsidRPr="009B08E3">
        <w:rPr>
          <w:rFonts w:asciiTheme="minorHAnsi" w:eastAsia="Times New Roman" w:hAnsiTheme="minorHAnsi" w:cs="Times New Roman"/>
          <w:sz w:val="20"/>
          <w:szCs w:val="20"/>
          <w:lang w:eastAsia="sk-SK"/>
        </w:rPr>
        <w:t xml:space="preserve"> s týmito skutočnosťami:</w:t>
      </w:r>
    </w:p>
    <w:p w:rsidR="00D77E53" w:rsidRPr="009B08E3" w:rsidRDefault="00724F84" w:rsidP="00D77E53">
      <w:pPr>
        <w:pStyle w:val="CM4"/>
        <w:numPr>
          <w:ilvl w:val="0"/>
          <w:numId w:val="25"/>
        </w:numPr>
        <w:spacing w:before="60" w:after="240" w:line="276" w:lineRule="auto"/>
        <w:rPr>
          <w:rFonts w:asciiTheme="minorHAnsi" w:hAnsiTheme="minorHAnsi" w:cs="EUAlbertina"/>
          <w:sz w:val="20"/>
          <w:szCs w:val="20"/>
        </w:rPr>
      </w:pPr>
      <w:r w:rsidRPr="009B08E3">
        <w:rPr>
          <w:rFonts w:asciiTheme="minorHAnsi" w:eastAsia="Times New Roman" w:hAnsiTheme="minorHAnsi" w:cs="Times New Roman"/>
          <w:sz w:val="20"/>
          <w:szCs w:val="20"/>
          <w:lang w:eastAsia="sk-SK"/>
        </w:rPr>
        <w:t>informácia musí byť poskytnutá tak, aby</w:t>
      </w:r>
      <w:r w:rsidR="00D94C28" w:rsidRPr="009B08E3">
        <w:rPr>
          <w:rFonts w:asciiTheme="minorHAnsi" w:eastAsia="Times New Roman" w:hAnsiTheme="minorHAnsi" w:cs="Times New Roman"/>
          <w:sz w:val="20"/>
          <w:szCs w:val="20"/>
          <w:lang w:eastAsia="sk-SK"/>
        </w:rPr>
        <w:t xml:space="preserve"> n</w:t>
      </w:r>
      <w:r w:rsidRPr="009B08E3">
        <w:rPr>
          <w:rFonts w:asciiTheme="minorHAnsi" w:hAnsiTheme="minorHAnsi"/>
          <w:sz w:val="20"/>
          <w:szCs w:val="20"/>
        </w:rPr>
        <w:t xml:space="preserve">eporušovala pravidlá hospodárskej súťaže  - cena je totiž podľa týchto pravidiel považovaná za strategický údaj </w:t>
      </w:r>
      <w:r w:rsidR="00D94C28" w:rsidRPr="009B08E3">
        <w:rPr>
          <w:rFonts w:asciiTheme="minorHAnsi" w:hAnsiTheme="minorHAnsi"/>
          <w:sz w:val="20"/>
          <w:szCs w:val="20"/>
        </w:rPr>
        <w:t>a preto neprimerané</w:t>
      </w:r>
      <w:r w:rsidR="00F33122" w:rsidRPr="009B08E3">
        <w:rPr>
          <w:rFonts w:asciiTheme="minorHAnsi" w:hAnsiTheme="minorHAnsi"/>
          <w:sz w:val="20"/>
          <w:szCs w:val="20"/>
        </w:rPr>
        <w:t xml:space="preserve">, príliš detailné </w:t>
      </w:r>
      <w:r w:rsidR="00D94C28" w:rsidRPr="009B08E3">
        <w:rPr>
          <w:rFonts w:asciiTheme="minorHAnsi" w:hAnsiTheme="minorHAnsi"/>
          <w:sz w:val="20"/>
          <w:szCs w:val="20"/>
        </w:rPr>
        <w:t xml:space="preserve"> zverejňovanie jednotlivých zložiek poistného prostredníctvom formulára môže znižovať</w:t>
      </w:r>
      <w:r w:rsidR="0068284C" w:rsidRPr="009B08E3">
        <w:rPr>
          <w:rFonts w:asciiTheme="minorHAnsi" w:hAnsiTheme="minorHAnsi"/>
          <w:sz w:val="20"/>
          <w:szCs w:val="20"/>
        </w:rPr>
        <w:t xml:space="preserve"> strategickú neistotu na trhu (</w:t>
      </w:r>
      <w:r w:rsidR="00D94C28" w:rsidRPr="009B08E3">
        <w:rPr>
          <w:rFonts w:asciiTheme="minorHAnsi" w:hAnsiTheme="minorHAnsi"/>
          <w:sz w:val="20"/>
          <w:szCs w:val="20"/>
        </w:rPr>
        <w:t xml:space="preserve">pozri čl. 86 Oznámenia Komisie  - </w:t>
      </w:r>
      <w:r w:rsidR="00D94C28" w:rsidRPr="009B08E3">
        <w:rPr>
          <w:rFonts w:asciiTheme="minorHAnsi" w:hAnsiTheme="minorHAnsi"/>
          <w:bCs/>
          <w:sz w:val="20"/>
          <w:szCs w:val="20"/>
        </w:rPr>
        <w:t>Usmernenie</w:t>
      </w:r>
      <w:r w:rsidR="00D94C28" w:rsidRPr="009B08E3">
        <w:rPr>
          <w:rFonts w:asciiTheme="minorHAnsi" w:hAnsiTheme="minorHAnsi" w:cs="EUAlbertina"/>
          <w:bCs/>
          <w:sz w:val="20"/>
          <w:szCs w:val="20"/>
        </w:rPr>
        <w:t xml:space="preserve"> o uplatňovaní článku 101 Zmluvy o fungovaní Európskej únie na dohody o horizontálnej spolupráci </w:t>
      </w:r>
      <w:r w:rsidR="00D94C28" w:rsidRPr="009B08E3">
        <w:rPr>
          <w:rFonts w:asciiTheme="minorHAnsi" w:hAnsiTheme="minorHAnsi" w:cs="EUAlbertina"/>
          <w:sz w:val="20"/>
          <w:szCs w:val="20"/>
        </w:rPr>
        <w:t xml:space="preserve">(2011/C 11/01) </w:t>
      </w:r>
      <w:r w:rsidR="0068284C" w:rsidRPr="009B08E3">
        <w:rPr>
          <w:rFonts w:asciiTheme="minorHAnsi" w:hAnsiTheme="minorHAnsi" w:cs="EUAlbertina"/>
          <w:sz w:val="20"/>
          <w:szCs w:val="20"/>
        </w:rPr>
        <w:t>. Týmto postupom s</w:t>
      </w:r>
      <w:r w:rsidR="00F33122" w:rsidRPr="009B08E3">
        <w:rPr>
          <w:rFonts w:asciiTheme="minorHAnsi" w:hAnsiTheme="minorHAnsi" w:cs="EUAlbertina"/>
          <w:sz w:val="20"/>
          <w:szCs w:val="20"/>
        </w:rPr>
        <w:t xml:space="preserve">a tiež  </w:t>
      </w:r>
      <w:r w:rsidR="0068284C" w:rsidRPr="009B08E3">
        <w:rPr>
          <w:rFonts w:asciiTheme="minorHAnsi" w:hAnsiTheme="minorHAnsi" w:cs="EUAlbertina"/>
          <w:sz w:val="20"/>
          <w:szCs w:val="20"/>
        </w:rPr>
        <w:t xml:space="preserve">môže </w:t>
      </w:r>
      <w:r w:rsidR="00F33122" w:rsidRPr="009B08E3">
        <w:rPr>
          <w:rFonts w:asciiTheme="minorHAnsi" w:hAnsiTheme="minorHAnsi" w:cs="EUAlbertina"/>
          <w:sz w:val="20"/>
          <w:szCs w:val="20"/>
        </w:rPr>
        <w:t>MF SR dostať do pozície, popísanej v čl. 22 tohto dokumentu, kedy sú  obmedzenia súťaže vynútené vnútroštátnym zákonodarstvom. Preto silne odporúčame, aby predkladateľ konzultoval obsah budúcej vyhlášky s</w:t>
      </w:r>
      <w:r w:rsidR="00434ACA" w:rsidRPr="009B08E3">
        <w:rPr>
          <w:rFonts w:asciiTheme="minorHAnsi" w:hAnsiTheme="minorHAnsi" w:cs="EUAlbertina"/>
          <w:sz w:val="20"/>
          <w:szCs w:val="20"/>
        </w:rPr>
        <w:t> PMÚ . Odporúčame aj znovu sa oboznámiť s argumentáciou  PMÚ v MPK k Registru poistných udalostí ( pozri v prílohe)</w:t>
      </w:r>
      <w:r w:rsidR="00F33122" w:rsidRPr="009B08E3">
        <w:rPr>
          <w:rFonts w:asciiTheme="minorHAnsi" w:hAnsiTheme="minorHAnsi" w:cs="EUAlbertina"/>
          <w:sz w:val="20"/>
          <w:szCs w:val="20"/>
        </w:rPr>
        <w:t xml:space="preserve"> </w:t>
      </w:r>
    </w:p>
    <w:p w:rsidR="001F579B" w:rsidRPr="009B08E3" w:rsidRDefault="00CE4EA6" w:rsidP="00D77E53">
      <w:pPr>
        <w:pStyle w:val="CM4"/>
        <w:numPr>
          <w:ilvl w:val="0"/>
          <w:numId w:val="25"/>
        </w:numPr>
        <w:spacing w:before="60" w:after="240" w:line="276" w:lineRule="auto"/>
        <w:rPr>
          <w:rFonts w:asciiTheme="minorHAnsi" w:hAnsiTheme="minorHAnsi"/>
          <w:sz w:val="20"/>
          <w:szCs w:val="20"/>
        </w:rPr>
      </w:pPr>
      <w:r w:rsidRPr="009B08E3">
        <w:rPr>
          <w:rFonts w:asciiTheme="minorHAnsi" w:hAnsiTheme="minorHAnsi" w:cs="EUAlbertina"/>
          <w:sz w:val="20"/>
          <w:szCs w:val="20"/>
        </w:rPr>
        <w:t>Návrh diskriminuje</w:t>
      </w:r>
      <w:r w:rsidR="009D3925" w:rsidRPr="009B08E3">
        <w:rPr>
          <w:rFonts w:asciiTheme="minorHAnsi" w:hAnsiTheme="minorHAnsi" w:cs="EUAlbertina"/>
          <w:sz w:val="20"/>
          <w:szCs w:val="20"/>
        </w:rPr>
        <w:t xml:space="preserve"> poisťovac</w:t>
      </w:r>
      <w:r w:rsidRPr="009B08E3">
        <w:rPr>
          <w:rFonts w:asciiTheme="minorHAnsi" w:hAnsiTheme="minorHAnsi" w:cs="EUAlbertina"/>
          <w:sz w:val="20"/>
          <w:szCs w:val="20"/>
        </w:rPr>
        <w:t>í</w:t>
      </w:r>
      <w:r w:rsidR="0068284C" w:rsidRPr="009B08E3">
        <w:rPr>
          <w:rFonts w:asciiTheme="minorHAnsi" w:hAnsiTheme="minorHAnsi" w:cs="EUAlbertina"/>
          <w:sz w:val="20"/>
          <w:szCs w:val="20"/>
        </w:rPr>
        <w:t xml:space="preserve"> sektor</w:t>
      </w:r>
      <w:r w:rsidR="009D3925" w:rsidRPr="009B08E3">
        <w:rPr>
          <w:rFonts w:asciiTheme="minorHAnsi" w:hAnsiTheme="minorHAnsi" w:cs="EUAlbertina"/>
          <w:sz w:val="20"/>
          <w:szCs w:val="20"/>
        </w:rPr>
        <w:t xml:space="preserve"> voči iným podnikateľským subjektom – pokiaľ je nám známe,  </w:t>
      </w:r>
      <w:r w:rsidR="00187B47" w:rsidRPr="009B08E3">
        <w:rPr>
          <w:rFonts w:asciiTheme="minorHAnsi" w:hAnsiTheme="minorHAnsi"/>
          <w:sz w:val="20"/>
          <w:szCs w:val="20"/>
        </w:rPr>
        <w:t xml:space="preserve"> podobnú povinnosť </w:t>
      </w:r>
      <w:r w:rsidRPr="009B08E3">
        <w:rPr>
          <w:rFonts w:asciiTheme="minorHAnsi" w:hAnsiTheme="minorHAnsi"/>
          <w:sz w:val="20"/>
          <w:szCs w:val="20"/>
        </w:rPr>
        <w:t xml:space="preserve">zverejniť svoju </w:t>
      </w:r>
      <w:r w:rsidR="0068284C" w:rsidRPr="009B08E3">
        <w:rPr>
          <w:rFonts w:asciiTheme="minorHAnsi" w:hAnsiTheme="minorHAnsi"/>
          <w:sz w:val="20"/>
          <w:szCs w:val="20"/>
        </w:rPr>
        <w:t>stratégiu pri cenotvorbe</w:t>
      </w:r>
      <w:r w:rsidRPr="009B08E3">
        <w:rPr>
          <w:rFonts w:asciiTheme="minorHAnsi" w:hAnsiTheme="minorHAnsi"/>
          <w:sz w:val="20"/>
          <w:szCs w:val="20"/>
        </w:rPr>
        <w:t xml:space="preserve"> </w:t>
      </w:r>
      <w:r w:rsidR="00187B47" w:rsidRPr="009B08E3">
        <w:rPr>
          <w:rFonts w:asciiTheme="minorHAnsi" w:hAnsiTheme="minorHAnsi"/>
          <w:sz w:val="20"/>
          <w:szCs w:val="20"/>
        </w:rPr>
        <w:t xml:space="preserve">nemajú </w:t>
      </w:r>
      <w:r w:rsidR="009D3925" w:rsidRPr="009B08E3">
        <w:rPr>
          <w:rFonts w:asciiTheme="minorHAnsi" w:hAnsiTheme="minorHAnsi"/>
          <w:sz w:val="20"/>
          <w:szCs w:val="20"/>
        </w:rPr>
        <w:t xml:space="preserve">žiadne </w:t>
      </w:r>
      <w:r w:rsidR="00187B47" w:rsidRPr="009B08E3">
        <w:rPr>
          <w:rFonts w:asciiTheme="minorHAnsi" w:hAnsiTheme="minorHAnsi"/>
          <w:sz w:val="20"/>
          <w:szCs w:val="20"/>
        </w:rPr>
        <w:t>podnikateľské subjekty v iných sektoroch hospodárstva (dokonca ani subjekty s monopolným alebo</w:t>
      </w:r>
      <w:r w:rsidR="009D3925" w:rsidRPr="009B08E3">
        <w:rPr>
          <w:rFonts w:asciiTheme="minorHAnsi" w:hAnsiTheme="minorHAnsi"/>
          <w:sz w:val="20"/>
          <w:szCs w:val="20"/>
        </w:rPr>
        <w:t xml:space="preserve"> významným postavením).</w:t>
      </w:r>
    </w:p>
    <w:p w:rsidR="00187B47" w:rsidRPr="009B08E3" w:rsidRDefault="009D3925" w:rsidP="00D77E53">
      <w:pPr>
        <w:pStyle w:val="Odsekzoznamu"/>
        <w:numPr>
          <w:ilvl w:val="0"/>
          <w:numId w:val="25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9B08E3">
        <w:rPr>
          <w:rFonts w:asciiTheme="minorHAnsi" w:hAnsiTheme="minorHAnsi"/>
          <w:sz w:val="20"/>
          <w:szCs w:val="20"/>
        </w:rPr>
        <w:t>Dôvodová správa nemá normatívnu povahu, preto o</w:t>
      </w:r>
      <w:r w:rsidR="00187B47" w:rsidRPr="009B08E3">
        <w:rPr>
          <w:rFonts w:asciiTheme="minorHAnsi" w:hAnsiTheme="minorHAnsi"/>
          <w:sz w:val="20"/>
          <w:szCs w:val="20"/>
        </w:rPr>
        <w:t xml:space="preserve">bsah jednotlivých riadkov </w:t>
      </w:r>
      <w:r w:rsidRPr="009B08E3">
        <w:rPr>
          <w:rFonts w:asciiTheme="minorHAnsi" w:hAnsiTheme="minorHAnsi"/>
          <w:sz w:val="20"/>
          <w:szCs w:val="20"/>
        </w:rPr>
        <w:t xml:space="preserve">vo formulároch musí </w:t>
      </w:r>
      <w:r w:rsidR="00187B47" w:rsidRPr="009B08E3">
        <w:rPr>
          <w:rFonts w:asciiTheme="minorHAnsi" w:hAnsiTheme="minorHAnsi"/>
          <w:sz w:val="20"/>
          <w:szCs w:val="20"/>
        </w:rPr>
        <w:t>byť definovaný priamo vo vyhláške</w:t>
      </w:r>
      <w:r w:rsidRPr="009B08E3">
        <w:rPr>
          <w:rFonts w:asciiTheme="minorHAnsi" w:hAnsiTheme="minorHAnsi"/>
          <w:sz w:val="20"/>
          <w:szCs w:val="20"/>
        </w:rPr>
        <w:t>.</w:t>
      </w:r>
      <w:r w:rsidR="0068284C" w:rsidRPr="009B08E3">
        <w:rPr>
          <w:rFonts w:asciiTheme="minorHAnsi" w:hAnsiTheme="minorHAnsi"/>
          <w:sz w:val="20"/>
          <w:szCs w:val="20"/>
        </w:rPr>
        <w:t xml:space="preserve"> Navyše obsahuje pár zrejmých nesprávností – ako napr., že zamestnanci poisťovateľa vykonávajú </w:t>
      </w:r>
      <w:r w:rsidR="0068284C" w:rsidRPr="009B08E3">
        <w:rPr>
          <w:rFonts w:asciiTheme="minorHAnsi" w:hAnsiTheme="minorHAnsi"/>
          <w:sz w:val="20"/>
          <w:szCs w:val="20"/>
          <w:u w:val="single"/>
        </w:rPr>
        <w:t>sprostredkovanie</w:t>
      </w:r>
      <w:r w:rsidR="0068284C" w:rsidRPr="009B08E3">
        <w:rPr>
          <w:rFonts w:asciiTheme="minorHAnsi" w:hAnsiTheme="minorHAnsi"/>
          <w:sz w:val="20"/>
          <w:szCs w:val="20"/>
        </w:rPr>
        <w:t xml:space="preserve"> </w:t>
      </w:r>
      <w:r w:rsidR="00D77E53" w:rsidRPr="009B08E3">
        <w:rPr>
          <w:rFonts w:asciiTheme="minorHAnsi" w:hAnsiTheme="minorHAnsi"/>
          <w:sz w:val="20"/>
          <w:szCs w:val="20"/>
        </w:rPr>
        <w:t xml:space="preserve"> ( zamestnanci vykonávajú distribúciu formou priameho predaja)alebo sa spomín</w:t>
      </w:r>
      <w:r w:rsidR="0068284C" w:rsidRPr="009B08E3">
        <w:rPr>
          <w:rFonts w:asciiTheme="minorHAnsi" w:hAnsiTheme="minorHAnsi"/>
          <w:sz w:val="20"/>
          <w:szCs w:val="20"/>
        </w:rPr>
        <w:t xml:space="preserve">a suma určená na </w:t>
      </w:r>
      <w:r w:rsidR="0068284C" w:rsidRPr="009B08E3">
        <w:rPr>
          <w:rFonts w:asciiTheme="minorHAnsi" w:hAnsiTheme="minorHAnsi"/>
          <w:sz w:val="20"/>
          <w:szCs w:val="20"/>
          <w:u w:val="single"/>
        </w:rPr>
        <w:t>sporenie</w:t>
      </w:r>
      <w:r w:rsidR="0068284C" w:rsidRPr="009B08E3">
        <w:rPr>
          <w:rFonts w:asciiTheme="minorHAnsi" w:hAnsiTheme="minorHAnsi"/>
          <w:sz w:val="20"/>
          <w:szCs w:val="20"/>
        </w:rPr>
        <w:t>, pričom v poistení nejde v žiadnom prípade o </w:t>
      </w:r>
      <w:r w:rsidR="00D77E53" w:rsidRPr="009B08E3">
        <w:rPr>
          <w:rFonts w:asciiTheme="minorHAnsi" w:hAnsiTheme="minorHAnsi"/>
          <w:sz w:val="20"/>
          <w:szCs w:val="20"/>
        </w:rPr>
        <w:t>sporeni</w:t>
      </w:r>
      <w:r w:rsidR="002603B5" w:rsidRPr="009B08E3">
        <w:rPr>
          <w:rFonts w:asciiTheme="minorHAnsi" w:hAnsiTheme="minorHAnsi"/>
          <w:sz w:val="20"/>
          <w:szCs w:val="20"/>
        </w:rPr>
        <w:t>e</w:t>
      </w:r>
      <w:r w:rsidR="0068284C" w:rsidRPr="009B08E3">
        <w:rPr>
          <w:rFonts w:asciiTheme="minorHAnsi" w:hAnsiTheme="minorHAnsi"/>
          <w:sz w:val="20"/>
          <w:szCs w:val="20"/>
        </w:rPr>
        <w:t>,</w:t>
      </w:r>
      <w:r w:rsidR="00D77E53" w:rsidRPr="009B08E3">
        <w:rPr>
          <w:rFonts w:asciiTheme="minorHAnsi" w:hAnsiTheme="minorHAnsi"/>
          <w:sz w:val="20"/>
          <w:szCs w:val="20"/>
        </w:rPr>
        <w:t xml:space="preserve"> (</w:t>
      </w:r>
      <w:r w:rsidR="0068284C" w:rsidRPr="009B08E3">
        <w:rPr>
          <w:rFonts w:asciiTheme="minorHAnsi" w:hAnsiTheme="minorHAnsi"/>
          <w:sz w:val="20"/>
          <w:szCs w:val="20"/>
        </w:rPr>
        <w:t xml:space="preserve">NBS dokonca použitie tohto pojmu v poisťovníctve považuje za </w:t>
      </w:r>
      <w:r w:rsidR="00D77E53" w:rsidRPr="009B08E3">
        <w:rPr>
          <w:rFonts w:asciiTheme="minorHAnsi" w:hAnsiTheme="minorHAnsi"/>
          <w:sz w:val="20"/>
          <w:szCs w:val="20"/>
        </w:rPr>
        <w:t>neprípustné).</w:t>
      </w:r>
    </w:p>
    <w:p w:rsidR="009D3925" w:rsidRPr="009B08E3" w:rsidRDefault="009D3925" w:rsidP="00D77E53">
      <w:pPr>
        <w:pStyle w:val="Odsekzoznamu"/>
        <w:spacing w:line="276" w:lineRule="auto"/>
        <w:rPr>
          <w:rFonts w:asciiTheme="minorHAnsi" w:hAnsiTheme="minorHAnsi"/>
          <w:sz w:val="20"/>
          <w:szCs w:val="20"/>
        </w:rPr>
      </w:pPr>
    </w:p>
    <w:p w:rsidR="00CE4EA6" w:rsidRPr="009B08E3" w:rsidRDefault="009D3925" w:rsidP="00D77E53">
      <w:pPr>
        <w:pStyle w:val="Odsekzoznamu"/>
        <w:numPr>
          <w:ilvl w:val="0"/>
          <w:numId w:val="25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9B08E3">
        <w:rPr>
          <w:rFonts w:asciiTheme="minorHAnsi" w:hAnsiTheme="minorHAnsi"/>
          <w:sz w:val="20"/>
          <w:szCs w:val="20"/>
        </w:rPr>
        <w:t>Návrh vyhlášky</w:t>
      </w:r>
      <w:r w:rsidR="00187B47" w:rsidRPr="009B08E3">
        <w:rPr>
          <w:rFonts w:asciiTheme="minorHAnsi" w:hAnsiTheme="minorHAnsi"/>
          <w:sz w:val="20"/>
          <w:szCs w:val="20"/>
        </w:rPr>
        <w:t xml:space="preserve"> nepokrýva životné poistenia bez </w:t>
      </w:r>
      <w:proofErr w:type="spellStart"/>
      <w:r w:rsidR="00187B47" w:rsidRPr="009B08E3">
        <w:rPr>
          <w:rFonts w:asciiTheme="minorHAnsi" w:hAnsiTheme="minorHAnsi"/>
          <w:sz w:val="20"/>
          <w:szCs w:val="20"/>
        </w:rPr>
        <w:t>odkupnej</w:t>
      </w:r>
      <w:proofErr w:type="spellEnd"/>
      <w:r w:rsidR="00187B47" w:rsidRPr="009B08E3">
        <w:rPr>
          <w:rFonts w:asciiTheme="minorHAnsi" w:hAnsiTheme="minorHAnsi"/>
          <w:sz w:val="20"/>
          <w:szCs w:val="20"/>
        </w:rPr>
        <w:t xml:space="preserve"> hodnoty. Riešením by bolo doplnenie bodu 3. v §1 „Vzor informačného formulára o jednotlivých zložkách poistného obsahujúci informácie k neživotnému poisteniu a k životnému poisteniu bez </w:t>
      </w:r>
      <w:proofErr w:type="spellStart"/>
      <w:r w:rsidR="00187B47" w:rsidRPr="009B08E3">
        <w:rPr>
          <w:rFonts w:asciiTheme="minorHAnsi" w:hAnsiTheme="minorHAnsi"/>
          <w:sz w:val="20"/>
          <w:szCs w:val="20"/>
        </w:rPr>
        <w:t>odkupnej</w:t>
      </w:r>
      <w:proofErr w:type="spellEnd"/>
      <w:r w:rsidR="00187B47" w:rsidRPr="009B08E3">
        <w:rPr>
          <w:rFonts w:asciiTheme="minorHAnsi" w:hAnsiTheme="minorHAnsi"/>
          <w:sz w:val="20"/>
          <w:szCs w:val="20"/>
        </w:rPr>
        <w:t xml:space="preserve"> hodnoty je uvedený v prílohe č. 3.</w:t>
      </w:r>
    </w:p>
    <w:p w:rsidR="00E154EF" w:rsidRPr="009B08E3" w:rsidRDefault="00E154EF" w:rsidP="00D77E53">
      <w:pPr>
        <w:spacing w:after="0" w:line="276" w:lineRule="auto"/>
        <w:rPr>
          <w:sz w:val="20"/>
          <w:szCs w:val="20"/>
        </w:rPr>
      </w:pPr>
    </w:p>
    <w:p w:rsidR="001F579B" w:rsidRPr="009B08E3" w:rsidRDefault="00187B47" w:rsidP="00D77E53">
      <w:pPr>
        <w:pStyle w:val="Odsekzoznamu"/>
        <w:numPr>
          <w:ilvl w:val="0"/>
          <w:numId w:val="25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9B08E3">
        <w:rPr>
          <w:rFonts w:asciiTheme="minorHAnsi" w:hAnsiTheme="minorHAnsi"/>
          <w:sz w:val="20"/>
          <w:szCs w:val="20"/>
        </w:rPr>
        <w:t>Pri všetkých životných poisteniach treba vo formulároch uviesť upozornenie, že údaje sú platné za predpokl</w:t>
      </w:r>
      <w:r w:rsidR="001F579B" w:rsidRPr="009B08E3">
        <w:rPr>
          <w:rFonts w:asciiTheme="minorHAnsi" w:hAnsiTheme="minorHAnsi"/>
          <w:sz w:val="20"/>
          <w:szCs w:val="20"/>
        </w:rPr>
        <w:t>adu, že</w:t>
      </w:r>
      <w:r w:rsidR="00CE4EA6" w:rsidRPr="009B08E3">
        <w:rPr>
          <w:rFonts w:asciiTheme="minorHAnsi" w:hAnsiTheme="minorHAnsi"/>
          <w:sz w:val="20"/>
          <w:szCs w:val="20"/>
        </w:rPr>
        <w:t xml:space="preserve"> sa v priebehu procesu uzatvárania </w:t>
      </w:r>
      <w:r w:rsidR="00E154EF" w:rsidRPr="009B08E3">
        <w:rPr>
          <w:rFonts w:asciiTheme="minorHAnsi" w:hAnsiTheme="minorHAnsi"/>
          <w:sz w:val="20"/>
          <w:szCs w:val="20"/>
        </w:rPr>
        <w:t xml:space="preserve">poistnej zmluvy </w:t>
      </w:r>
      <w:r w:rsidR="001F579B" w:rsidRPr="009B08E3">
        <w:rPr>
          <w:rFonts w:asciiTheme="minorHAnsi" w:hAnsiTheme="minorHAnsi"/>
          <w:sz w:val="20"/>
          <w:szCs w:val="20"/>
        </w:rPr>
        <w:t xml:space="preserve"> nezmení ocenenie rizika.</w:t>
      </w:r>
    </w:p>
    <w:p w:rsidR="00CE4EA6" w:rsidRPr="009B08E3" w:rsidRDefault="00CE4EA6" w:rsidP="00D77E53">
      <w:pPr>
        <w:pStyle w:val="Odsekzoznamu"/>
        <w:spacing w:line="276" w:lineRule="auto"/>
        <w:rPr>
          <w:rFonts w:asciiTheme="minorHAnsi" w:hAnsiTheme="minorHAnsi"/>
          <w:sz w:val="20"/>
          <w:szCs w:val="20"/>
        </w:rPr>
      </w:pPr>
    </w:p>
    <w:p w:rsidR="00CE4EA6" w:rsidRPr="009B08E3" w:rsidRDefault="00CE4EA6" w:rsidP="00D77E53">
      <w:pPr>
        <w:pStyle w:val="Odsekzoznamu"/>
        <w:numPr>
          <w:ilvl w:val="0"/>
          <w:numId w:val="25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9B08E3">
        <w:rPr>
          <w:rFonts w:asciiTheme="minorHAnsi" w:hAnsiTheme="minorHAnsi"/>
          <w:sz w:val="20"/>
          <w:szCs w:val="20"/>
        </w:rPr>
        <w:lastRenderedPageBreak/>
        <w:t>Okrem  povinných údajov vo formulári budú musieť poisťovne kvôli zrozumiteľnosti pre klienta uviesť popri formulári aj ďalšie údaje , napr. názov produktu resp. označenie poistnej zmluvy, ku ktorým sa vzťahuje</w:t>
      </w:r>
      <w:r w:rsidR="00E154EF" w:rsidRPr="009B08E3">
        <w:rPr>
          <w:rFonts w:asciiTheme="minorHAnsi" w:hAnsiTheme="minorHAnsi"/>
          <w:sz w:val="20"/>
          <w:szCs w:val="20"/>
        </w:rPr>
        <w:t xml:space="preserve">. </w:t>
      </w:r>
      <w:r w:rsidRPr="009B08E3">
        <w:rPr>
          <w:rFonts w:asciiTheme="minorHAnsi" w:hAnsiTheme="minorHAnsi"/>
          <w:sz w:val="20"/>
          <w:szCs w:val="20"/>
        </w:rPr>
        <w:t xml:space="preserve"> </w:t>
      </w:r>
      <w:r w:rsidR="00E154EF" w:rsidRPr="009B08E3">
        <w:rPr>
          <w:rFonts w:asciiTheme="minorHAnsi" w:hAnsiTheme="minorHAnsi"/>
          <w:sz w:val="20"/>
          <w:szCs w:val="20"/>
        </w:rPr>
        <w:t xml:space="preserve">Preto treba počítať s miestom </w:t>
      </w:r>
      <w:r w:rsidRPr="009B08E3">
        <w:rPr>
          <w:rFonts w:asciiTheme="minorHAnsi" w:hAnsiTheme="minorHAnsi"/>
          <w:sz w:val="20"/>
          <w:szCs w:val="20"/>
        </w:rPr>
        <w:t xml:space="preserve"> pre dodatočné informácie a vysvetlenia, </w:t>
      </w:r>
      <w:r w:rsidR="00E154EF" w:rsidRPr="009B08E3">
        <w:rPr>
          <w:rFonts w:asciiTheme="minorHAnsi" w:hAnsiTheme="minorHAnsi"/>
          <w:sz w:val="20"/>
          <w:szCs w:val="20"/>
        </w:rPr>
        <w:t xml:space="preserve">ktoré </w:t>
      </w:r>
      <w:r w:rsidRPr="009B08E3">
        <w:rPr>
          <w:rFonts w:asciiTheme="minorHAnsi" w:hAnsiTheme="minorHAnsi"/>
          <w:sz w:val="20"/>
          <w:szCs w:val="20"/>
        </w:rPr>
        <w:t xml:space="preserve"> poisťovateľ uzná </w:t>
      </w:r>
      <w:r w:rsidR="00E154EF" w:rsidRPr="009B08E3">
        <w:rPr>
          <w:rFonts w:asciiTheme="minorHAnsi" w:hAnsiTheme="minorHAnsi"/>
          <w:sz w:val="20"/>
          <w:szCs w:val="20"/>
        </w:rPr>
        <w:t xml:space="preserve">pri danom produkte </w:t>
      </w:r>
      <w:r w:rsidRPr="009B08E3">
        <w:rPr>
          <w:rFonts w:asciiTheme="minorHAnsi" w:hAnsiTheme="minorHAnsi"/>
          <w:sz w:val="20"/>
          <w:szCs w:val="20"/>
        </w:rPr>
        <w:t>za potrebné.</w:t>
      </w:r>
    </w:p>
    <w:p w:rsidR="001F579B" w:rsidRPr="009B08E3" w:rsidRDefault="001F579B" w:rsidP="00D77E53">
      <w:pPr>
        <w:spacing w:after="0" w:line="276" w:lineRule="auto"/>
        <w:rPr>
          <w:sz w:val="20"/>
          <w:szCs w:val="20"/>
        </w:rPr>
      </w:pPr>
    </w:p>
    <w:p w:rsidR="00076AB4" w:rsidRPr="009B08E3" w:rsidRDefault="00076AB4" w:rsidP="00D77E53">
      <w:pPr>
        <w:spacing w:after="0" w:line="276" w:lineRule="auto"/>
        <w:rPr>
          <w:sz w:val="20"/>
          <w:szCs w:val="20"/>
        </w:rPr>
      </w:pPr>
    </w:p>
    <w:p w:rsidR="002603B5" w:rsidRPr="009B08E3" w:rsidRDefault="00187B47" w:rsidP="00D77E53">
      <w:pPr>
        <w:spacing w:after="0" w:line="276" w:lineRule="auto"/>
        <w:rPr>
          <w:b/>
          <w:sz w:val="20"/>
          <w:szCs w:val="20"/>
        </w:rPr>
      </w:pPr>
      <w:r w:rsidRPr="009B08E3">
        <w:rPr>
          <w:b/>
          <w:sz w:val="20"/>
          <w:szCs w:val="20"/>
        </w:rPr>
        <w:t>Príloha č.1</w:t>
      </w:r>
    </w:p>
    <w:p w:rsidR="00187B47" w:rsidRPr="009B08E3" w:rsidRDefault="00187B47" w:rsidP="00D77E53">
      <w:pPr>
        <w:spacing w:after="0" w:line="276" w:lineRule="auto"/>
        <w:rPr>
          <w:b/>
          <w:sz w:val="20"/>
          <w:szCs w:val="20"/>
        </w:rPr>
      </w:pPr>
      <w:r w:rsidRPr="009B08E3">
        <w:rPr>
          <w:b/>
          <w:sz w:val="20"/>
          <w:szCs w:val="20"/>
        </w:rPr>
        <w:t xml:space="preserve"> INFORMAČNÝ FORMULÁR K POISTENIU S ODKUPNOU HODNOTOU, KTORÉ JE SPOJENÉ S INVESTIČNÝMI FONDMI</w:t>
      </w:r>
    </w:p>
    <w:p w:rsidR="00187B47" w:rsidRPr="009B08E3" w:rsidRDefault="00187B47" w:rsidP="00D77E53">
      <w:pPr>
        <w:spacing w:after="0" w:line="276" w:lineRule="auto"/>
        <w:rPr>
          <w:sz w:val="20"/>
          <w:szCs w:val="20"/>
        </w:rPr>
      </w:pPr>
    </w:p>
    <w:p w:rsidR="00187B47" w:rsidRPr="009B08E3" w:rsidRDefault="00187B47" w:rsidP="00D77E53">
      <w:pPr>
        <w:pStyle w:val="Odsekzoznamu"/>
        <w:numPr>
          <w:ilvl w:val="0"/>
          <w:numId w:val="22"/>
        </w:numPr>
        <w:spacing w:line="276" w:lineRule="auto"/>
        <w:ind w:left="705"/>
        <w:rPr>
          <w:rFonts w:asciiTheme="minorHAnsi" w:hAnsiTheme="minorHAnsi"/>
          <w:sz w:val="20"/>
          <w:szCs w:val="20"/>
        </w:rPr>
      </w:pPr>
      <w:r w:rsidRPr="009B08E3">
        <w:rPr>
          <w:rFonts w:asciiTheme="minorHAnsi" w:hAnsiTheme="minorHAnsi"/>
          <w:sz w:val="20"/>
          <w:szCs w:val="20"/>
        </w:rPr>
        <w:t>Podľa . § 70 odsek(14)</w:t>
      </w:r>
      <w:r w:rsidR="00434ACA" w:rsidRPr="009B08E3">
        <w:rPr>
          <w:rFonts w:asciiTheme="minorHAnsi" w:hAnsiTheme="minorHAnsi"/>
          <w:sz w:val="20"/>
          <w:szCs w:val="20"/>
        </w:rPr>
        <w:t xml:space="preserve"> je </w:t>
      </w:r>
      <w:r w:rsidR="000365E9" w:rsidRPr="009B08E3">
        <w:rPr>
          <w:rFonts w:asciiTheme="minorHAnsi" w:hAnsiTheme="minorHAnsi"/>
          <w:sz w:val="20"/>
          <w:szCs w:val="20"/>
        </w:rPr>
        <w:t xml:space="preserve">ministerstvo financií oprávnené/povinné   ustanoviť všeobecne záväzným právnym predpisom „ Vzor informačného formulára </w:t>
      </w:r>
      <w:r w:rsidR="000365E9" w:rsidRPr="009B08E3">
        <w:rPr>
          <w:rFonts w:asciiTheme="minorHAnsi" w:hAnsiTheme="minorHAnsi"/>
          <w:b/>
          <w:sz w:val="20"/>
          <w:szCs w:val="20"/>
          <w:u w:val="single"/>
        </w:rPr>
        <w:t>o jednotlivých zložkách poistného</w:t>
      </w:r>
      <w:r w:rsidR="000365E9" w:rsidRPr="009B08E3">
        <w:rPr>
          <w:rFonts w:asciiTheme="minorHAnsi" w:hAnsiTheme="minorHAnsi"/>
          <w:sz w:val="20"/>
          <w:szCs w:val="20"/>
        </w:rPr>
        <w:t xml:space="preserve"> </w:t>
      </w:r>
      <w:r w:rsidRPr="009B08E3">
        <w:rPr>
          <w:rFonts w:asciiTheme="minorHAnsi" w:hAnsiTheme="minorHAnsi"/>
          <w:sz w:val="20"/>
          <w:szCs w:val="20"/>
        </w:rPr>
        <w:t>vo vzťah</w:t>
      </w:r>
      <w:r w:rsidR="000365E9" w:rsidRPr="009B08E3">
        <w:rPr>
          <w:rFonts w:asciiTheme="minorHAnsi" w:hAnsiTheme="minorHAnsi"/>
          <w:sz w:val="20"/>
          <w:szCs w:val="20"/>
        </w:rPr>
        <w:t xml:space="preserve">u k uzatváranej poistnej zmluve. </w:t>
      </w:r>
      <w:r w:rsidRPr="009B08E3">
        <w:rPr>
          <w:rFonts w:asciiTheme="minorHAnsi" w:hAnsiTheme="minorHAnsi"/>
          <w:sz w:val="20"/>
          <w:szCs w:val="20"/>
        </w:rPr>
        <w:t>Informácia požadovaná v poslednom riadku formulára prekračuje zákonom o poisťovníctve požadované informácie o zložkách poistného, pretože plnenie, ktoré má byť po nejakom čase klientovi vypl</w:t>
      </w:r>
      <w:r w:rsidR="00D77E53" w:rsidRPr="009B08E3">
        <w:rPr>
          <w:rFonts w:asciiTheme="minorHAnsi" w:hAnsiTheme="minorHAnsi"/>
          <w:sz w:val="20"/>
          <w:szCs w:val="20"/>
        </w:rPr>
        <w:t>atené, nie je zložkou poistného a nepatrí do formulára.</w:t>
      </w:r>
    </w:p>
    <w:p w:rsidR="00187B47" w:rsidRPr="009B08E3" w:rsidRDefault="00187B47" w:rsidP="00D77E53">
      <w:pPr>
        <w:spacing w:after="0" w:line="276" w:lineRule="auto"/>
        <w:rPr>
          <w:sz w:val="20"/>
          <w:szCs w:val="20"/>
        </w:rPr>
      </w:pPr>
    </w:p>
    <w:p w:rsidR="00187B47" w:rsidRPr="009B08E3" w:rsidRDefault="00187B47" w:rsidP="00D77E53">
      <w:pPr>
        <w:pStyle w:val="Odsekzoznamu"/>
        <w:numPr>
          <w:ilvl w:val="0"/>
          <w:numId w:val="22"/>
        </w:numPr>
        <w:spacing w:line="276" w:lineRule="auto"/>
        <w:ind w:left="705"/>
        <w:rPr>
          <w:rFonts w:asciiTheme="minorHAnsi" w:hAnsiTheme="minorHAnsi"/>
          <w:sz w:val="20"/>
          <w:szCs w:val="20"/>
        </w:rPr>
      </w:pPr>
      <w:r w:rsidRPr="009B08E3">
        <w:rPr>
          <w:rFonts w:asciiTheme="minorHAnsi" w:hAnsiTheme="minorHAnsi"/>
          <w:sz w:val="20"/>
          <w:szCs w:val="20"/>
        </w:rPr>
        <w:t>Vetu „Tieto informácie platia za predpokladu nulového zhodnotenia vložených finančných prostriedkov.“ požadujeme nahradiť vetou „Informácie uvedené v tomto formulári sú uvedené za predpokladu, že počas doby trvania zmluvy, resp. počas 10 rokov pri zmluvách na dobu neurčitú, sa hodnota podielov investičných fondov spojených s týmto poistením nezmení“.</w:t>
      </w:r>
    </w:p>
    <w:p w:rsidR="00187B47" w:rsidRPr="009B08E3" w:rsidRDefault="00187B47" w:rsidP="00D77E53">
      <w:pPr>
        <w:spacing w:after="0" w:line="276" w:lineRule="auto"/>
        <w:rPr>
          <w:sz w:val="20"/>
          <w:szCs w:val="20"/>
        </w:rPr>
      </w:pPr>
    </w:p>
    <w:p w:rsidR="00187B47" w:rsidRPr="009B08E3" w:rsidRDefault="00187B47" w:rsidP="00D77E53">
      <w:pPr>
        <w:pStyle w:val="Odsekzoznamu"/>
        <w:numPr>
          <w:ilvl w:val="0"/>
          <w:numId w:val="22"/>
        </w:numPr>
        <w:spacing w:line="276" w:lineRule="auto"/>
        <w:ind w:left="705"/>
        <w:rPr>
          <w:rFonts w:asciiTheme="minorHAnsi" w:hAnsiTheme="minorHAnsi"/>
          <w:sz w:val="20"/>
          <w:szCs w:val="20"/>
        </w:rPr>
      </w:pPr>
      <w:r w:rsidRPr="009B08E3">
        <w:rPr>
          <w:rFonts w:asciiTheme="minorHAnsi" w:hAnsiTheme="minorHAnsi"/>
          <w:sz w:val="20"/>
          <w:szCs w:val="20"/>
        </w:rPr>
        <w:t>V prípade, že by nebola akceptovaná pripomienka č.1 k tomuto formuláru, požadujeme doplniť text „Klient si nemôže na základe formulára nárokovať kalkulovanú sumu uvedenú v poslednom riadku formuláru.“</w:t>
      </w:r>
    </w:p>
    <w:p w:rsidR="00187B47" w:rsidRPr="009B08E3" w:rsidRDefault="00187B47" w:rsidP="00D77E53">
      <w:pPr>
        <w:spacing w:after="0" w:line="276" w:lineRule="auto"/>
        <w:rPr>
          <w:sz w:val="20"/>
          <w:szCs w:val="20"/>
        </w:rPr>
      </w:pPr>
    </w:p>
    <w:p w:rsidR="00187B47" w:rsidRPr="009B08E3" w:rsidRDefault="00187B47" w:rsidP="00D77E53">
      <w:pPr>
        <w:pStyle w:val="Odsekzoznamu"/>
        <w:numPr>
          <w:ilvl w:val="0"/>
          <w:numId w:val="22"/>
        </w:numPr>
        <w:spacing w:line="276" w:lineRule="auto"/>
        <w:ind w:left="705"/>
        <w:rPr>
          <w:rFonts w:asciiTheme="minorHAnsi" w:hAnsiTheme="minorHAnsi"/>
          <w:sz w:val="20"/>
          <w:szCs w:val="20"/>
        </w:rPr>
      </w:pPr>
      <w:r w:rsidRPr="009B08E3">
        <w:rPr>
          <w:rFonts w:asciiTheme="minorHAnsi" w:hAnsiTheme="minorHAnsi"/>
          <w:sz w:val="20"/>
          <w:szCs w:val="20"/>
        </w:rPr>
        <w:t>V prípade, že by nebola akceptovaná pripomienka č.1 k tomuto formuláru, navrhujeme text posledného riadku preformulovať nasledovne „Predpokladané plnenie po dojednanej poistnej dobe v prípade poistenia na dobu určitú, resp. po 10 rokoch rokov v prípade poistenia na dobu neurčitú za predpokladu, že sa v uvedenom období hodnota podielov investičných fondov spojených s týmto poistením nezmení “</w:t>
      </w:r>
    </w:p>
    <w:p w:rsidR="00187B47" w:rsidRPr="009B08E3" w:rsidRDefault="00187B47" w:rsidP="00D77E53">
      <w:pPr>
        <w:spacing w:after="0" w:line="276" w:lineRule="auto"/>
        <w:rPr>
          <w:sz w:val="20"/>
          <w:szCs w:val="20"/>
        </w:rPr>
      </w:pPr>
    </w:p>
    <w:p w:rsidR="00187B47" w:rsidRPr="009B08E3" w:rsidRDefault="00187B47" w:rsidP="00D77E53">
      <w:pPr>
        <w:pStyle w:val="Odsekzoznamu"/>
        <w:numPr>
          <w:ilvl w:val="0"/>
          <w:numId w:val="22"/>
        </w:numPr>
        <w:spacing w:line="276" w:lineRule="auto"/>
        <w:ind w:left="705"/>
        <w:rPr>
          <w:rFonts w:asciiTheme="minorHAnsi" w:hAnsiTheme="minorHAnsi"/>
          <w:sz w:val="20"/>
          <w:szCs w:val="20"/>
        </w:rPr>
      </w:pPr>
      <w:r w:rsidRPr="009B08E3">
        <w:rPr>
          <w:rFonts w:asciiTheme="minorHAnsi" w:hAnsiTheme="minorHAnsi"/>
          <w:sz w:val="20"/>
          <w:szCs w:val="20"/>
        </w:rPr>
        <w:t>V prvom riadku navrhujeme upresniť text nasledovne „Celková výška poistného za (dojednaná poistná doba alebo desať rokov pri zmluve uzatvorenej na dobu neurčitú).</w:t>
      </w:r>
    </w:p>
    <w:p w:rsidR="00187B47" w:rsidRPr="009B08E3" w:rsidRDefault="00187B47" w:rsidP="00D77E53">
      <w:pPr>
        <w:spacing w:after="0" w:line="276" w:lineRule="auto"/>
        <w:rPr>
          <w:sz w:val="20"/>
          <w:szCs w:val="20"/>
        </w:rPr>
      </w:pPr>
    </w:p>
    <w:p w:rsidR="000365E9" w:rsidRPr="009B08E3" w:rsidRDefault="000365E9" w:rsidP="00D77E53">
      <w:pPr>
        <w:pStyle w:val="Odsekzoznamu"/>
        <w:numPr>
          <w:ilvl w:val="0"/>
          <w:numId w:val="22"/>
        </w:numPr>
        <w:spacing w:line="276" w:lineRule="auto"/>
        <w:ind w:left="705"/>
        <w:rPr>
          <w:rFonts w:asciiTheme="minorHAnsi" w:hAnsiTheme="minorHAnsi"/>
          <w:sz w:val="20"/>
          <w:szCs w:val="20"/>
        </w:rPr>
      </w:pPr>
      <w:r w:rsidRPr="009B08E3">
        <w:rPr>
          <w:rFonts w:asciiTheme="minorHAnsi" w:hAnsiTheme="minorHAnsi"/>
          <w:sz w:val="20"/>
          <w:szCs w:val="20"/>
        </w:rPr>
        <w:t xml:space="preserve">Vo všetkých riadkoch je nesprávne použité slovo „ očakávaná“ – sumy, ktoré sa požadujú zverejniť sú kalkulované alebo predpokladané, ale v žiadnom prípade nie očakávané </w:t>
      </w:r>
      <w:r w:rsidR="00D77E53" w:rsidRPr="009B08E3">
        <w:rPr>
          <w:rFonts w:asciiTheme="minorHAnsi" w:hAnsiTheme="minorHAnsi"/>
          <w:sz w:val="20"/>
          <w:szCs w:val="20"/>
        </w:rPr>
        <w:t>.</w:t>
      </w:r>
    </w:p>
    <w:p w:rsidR="00A07B64" w:rsidRPr="009B08E3" w:rsidRDefault="00A07B64" w:rsidP="00D77E53">
      <w:pPr>
        <w:spacing w:after="0" w:line="276" w:lineRule="auto"/>
        <w:rPr>
          <w:sz w:val="20"/>
          <w:szCs w:val="20"/>
        </w:rPr>
      </w:pPr>
    </w:p>
    <w:p w:rsidR="000365E9" w:rsidRPr="009B08E3" w:rsidRDefault="000365E9" w:rsidP="00D77E53">
      <w:pPr>
        <w:pStyle w:val="Odsekzoznamu"/>
        <w:numPr>
          <w:ilvl w:val="0"/>
          <w:numId w:val="22"/>
        </w:numPr>
        <w:spacing w:line="276" w:lineRule="auto"/>
        <w:ind w:left="705"/>
        <w:rPr>
          <w:rFonts w:asciiTheme="minorHAnsi" w:hAnsiTheme="minorHAnsi"/>
          <w:sz w:val="20"/>
          <w:szCs w:val="20"/>
        </w:rPr>
      </w:pPr>
      <w:r w:rsidRPr="009B08E3">
        <w:rPr>
          <w:rFonts w:asciiTheme="minorHAnsi" w:hAnsiTheme="minorHAnsi"/>
          <w:sz w:val="20"/>
          <w:szCs w:val="20"/>
        </w:rPr>
        <w:t>R</w:t>
      </w:r>
      <w:r w:rsidR="00187B47" w:rsidRPr="009B08E3">
        <w:rPr>
          <w:rFonts w:asciiTheme="minorHAnsi" w:hAnsiTheme="minorHAnsi"/>
          <w:sz w:val="20"/>
          <w:szCs w:val="20"/>
        </w:rPr>
        <w:t xml:space="preserve">iadok „očakávaná suma určená na investovanie“ </w:t>
      </w:r>
      <w:r w:rsidRPr="009B08E3">
        <w:rPr>
          <w:rFonts w:asciiTheme="minorHAnsi" w:hAnsiTheme="minorHAnsi"/>
          <w:sz w:val="20"/>
          <w:szCs w:val="20"/>
        </w:rPr>
        <w:t xml:space="preserve">je </w:t>
      </w:r>
      <w:r w:rsidR="00A07B64" w:rsidRPr="009B08E3">
        <w:rPr>
          <w:rFonts w:asciiTheme="minorHAnsi" w:hAnsiTheme="minorHAnsi"/>
          <w:sz w:val="20"/>
          <w:szCs w:val="20"/>
        </w:rPr>
        <w:t xml:space="preserve">nezrozumiteľný </w:t>
      </w:r>
      <w:r w:rsidRPr="009B08E3">
        <w:rPr>
          <w:rFonts w:asciiTheme="minorHAnsi" w:hAnsiTheme="minorHAnsi"/>
          <w:sz w:val="20"/>
          <w:szCs w:val="20"/>
        </w:rPr>
        <w:t xml:space="preserve"> </w:t>
      </w:r>
      <w:r w:rsidR="00187B47" w:rsidRPr="009B08E3">
        <w:rPr>
          <w:rFonts w:asciiTheme="minorHAnsi" w:hAnsiTheme="minorHAnsi"/>
          <w:sz w:val="20"/>
          <w:szCs w:val="20"/>
        </w:rPr>
        <w:t xml:space="preserve">v prípade, že rizikové poistné a niektoré poplatky  sa strhávajú priebežne počas trvania zmluvy z už investovanej sumy. </w:t>
      </w:r>
    </w:p>
    <w:p w:rsidR="000365E9" w:rsidRPr="009B08E3" w:rsidRDefault="000365E9" w:rsidP="00D77E53">
      <w:pPr>
        <w:pStyle w:val="Odsekzoznamu"/>
        <w:spacing w:line="276" w:lineRule="auto"/>
        <w:rPr>
          <w:rFonts w:asciiTheme="minorHAnsi" w:hAnsiTheme="minorHAnsi"/>
          <w:sz w:val="20"/>
          <w:szCs w:val="20"/>
        </w:rPr>
      </w:pPr>
    </w:p>
    <w:p w:rsidR="00187B47" w:rsidRPr="009B08E3" w:rsidRDefault="00187B47" w:rsidP="00D77E53">
      <w:pPr>
        <w:pStyle w:val="Odsekzoznamu"/>
        <w:spacing w:line="276" w:lineRule="auto"/>
        <w:ind w:left="705"/>
        <w:rPr>
          <w:rFonts w:asciiTheme="minorHAnsi" w:hAnsiTheme="minorHAnsi"/>
          <w:sz w:val="20"/>
          <w:szCs w:val="20"/>
        </w:rPr>
      </w:pPr>
      <w:r w:rsidRPr="009B08E3">
        <w:rPr>
          <w:rFonts w:asciiTheme="minorHAnsi" w:hAnsiTheme="minorHAnsi"/>
          <w:sz w:val="20"/>
          <w:szCs w:val="20"/>
        </w:rPr>
        <w:t>Možné sú 2 alternatívy vyplnenia formuláru:</w:t>
      </w:r>
    </w:p>
    <w:p w:rsidR="00187B47" w:rsidRPr="009B08E3" w:rsidRDefault="00187B47" w:rsidP="00D77E53">
      <w:pPr>
        <w:spacing w:after="0" w:line="276" w:lineRule="auto"/>
        <w:rPr>
          <w:sz w:val="20"/>
          <w:szCs w:val="20"/>
        </w:rPr>
      </w:pPr>
    </w:p>
    <w:p w:rsidR="00187B47" w:rsidRPr="009B08E3" w:rsidRDefault="00187B47" w:rsidP="00D77E53">
      <w:pPr>
        <w:pStyle w:val="Odsekzoznamu"/>
        <w:numPr>
          <w:ilvl w:val="1"/>
          <w:numId w:val="22"/>
        </w:numPr>
        <w:spacing w:line="276" w:lineRule="auto"/>
        <w:ind w:left="1425"/>
        <w:rPr>
          <w:rFonts w:asciiTheme="minorHAnsi" w:hAnsiTheme="minorHAnsi"/>
          <w:sz w:val="20"/>
          <w:szCs w:val="20"/>
        </w:rPr>
      </w:pPr>
      <w:r w:rsidRPr="009B08E3">
        <w:rPr>
          <w:rFonts w:asciiTheme="minorHAnsi" w:hAnsiTheme="minorHAnsi"/>
          <w:sz w:val="20"/>
          <w:szCs w:val="20"/>
        </w:rPr>
        <w:t xml:space="preserve">Do riadku „očakávaná suma určená na investovanie“ sa vyplní skutočne súčet súm z jednotlivých platieb poistného, ktoré budú investované. Z týchto súm však budú počas trvania zmluvy strhávané poplatky a rizikové poistné, čo bude mať nasledovné dôsledky: </w:t>
      </w:r>
    </w:p>
    <w:p w:rsidR="00187B47" w:rsidRPr="009B08E3" w:rsidRDefault="00187B47" w:rsidP="00D77E53">
      <w:pPr>
        <w:pStyle w:val="Odsekzoznamu"/>
        <w:numPr>
          <w:ilvl w:val="2"/>
          <w:numId w:val="18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9B08E3">
        <w:rPr>
          <w:rFonts w:asciiTheme="minorHAnsi" w:hAnsiTheme="minorHAnsi"/>
          <w:sz w:val="20"/>
          <w:szCs w:val="20"/>
        </w:rPr>
        <w:t>„očakávaná suma určená na investovanie“ bude vyššia ako suma uvedená v poslednom riadku (suma, ktorá má byť vyplatená)</w:t>
      </w:r>
    </w:p>
    <w:p w:rsidR="00187B47" w:rsidRPr="009B08E3" w:rsidRDefault="00187B47" w:rsidP="00D77E53">
      <w:pPr>
        <w:pStyle w:val="Odsekzoznamu"/>
        <w:numPr>
          <w:ilvl w:val="2"/>
          <w:numId w:val="18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9B08E3">
        <w:rPr>
          <w:rFonts w:asciiTheme="minorHAnsi" w:hAnsiTheme="minorHAnsi"/>
          <w:sz w:val="20"/>
          <w:szCs w:val="20"/>
        </w:rPr>
        <w:t xml:space="preserve">Súčet riadkov „očakávaná suma určená na investovanie“, „očakávaná suma určená na krytie rizík“, „  očakávaná suma nákladov na uzavretie poistenia“ a „očakávaná </w:t>
      </w:r>
      <w:r w:rsidRPr="009B08E3">
        <w:rPr>
          <w:rFonts w:asciiTheme="minorHAnsi" w:hAnsiTheme="minorHAnsi"/>
          <w:sz w:val="20"/>
          <w:szCs w:val="20"/>
        </w:rPr>
        <w:lastRenderedPageBreak/>
        <w:t xml:space="preserve">suma ostatných nákladov poisťovateľa „ bude vyšší než celková výška poistného v prvom riadku.     </w:t>
      </w:r>
    </w:p>
    <w:p w:rsidR="00187B47" w:rsidRPr="009B08E3" w:rsidRDefault="00187B47" w:rsidP="00D77E53">
      <w:pPr>
        <w:pStyle w:val="Odsekzoznamu"/>
        <w:numPr>
          <w:ilvl w:val="1"/>
          <w:numId w:val="22"/>
        </w:numPr>
        <w:spacing w:line="276" w:lineRule="auto"/>
        <w:ind w:left="1425"/>
        <w:rPr>
          <w:rFonts w:asciiTheme="minorHAnsi" w:hAnsiTheme="minorHAnsi"/>
          <w:sz w:val="20"/>
          <w:szCs w:val="20"/>
        </w:rPr>
      </w:pPr>
      <w:r w:rsidRPr="009B08E3">
        <w:rPr>
          <w:rFonts w:asciiTheme="minorHAnsi" w:hAnsiTheme="minorHAnsi"/>
          <w:sz w:val="20"/>
          <w:szCs w:val="20"/>
        </w:rPr>
        <w:t>Do riadku „očakávaná suma určená na investovanie“ sa vyplní súčet investovaných súm znížený o poplatky a rizikové poistné, ktoré budú strhávané počas trvania zmluvy. V takomto prípade bude súčet riadkov „očakávaná suma určená na investovanie“, „očakávaná suma určená na krytie rizík“, „  očakávaná suma nákladov na uzavretie poistenia“ a „očakávaná suma ostatných nákladov poisťovateľa“ bude rovný celkovej výške poistného v prvom riadku, ale zasa „očakávaná suma určená na investovanie“ bude rovná poslednému riadku (sume, ktorá má byť vyplatená)</w:t>
      </w:r>
    </w:p>
    <w:p w:rsidR="00187B47" w:rsidRPr="009B08E3" w:rsidRDefault="00187B47" w:rsidP="00D77E53">
      <w:pPr>
        <w:spacing w:after="0" w:line="276" w:lineRule="auto"/>
        <w:rPr>
          <w:sz w:val="20"/>
          <w:szCs w:val="20"/>
        </w:rPr>
      </w:pPr>
    </w:p>
    <w:p w:rsidR="00187B47" w:rsidRPr="009B08E3" w:rsidRDefault="00187B47" w:rsidP="009B08E3">
      <w:pPr>
        <w:pStyle w:val="Odsekzoznamu"/>
        <w:numPr>
          <w:ilvl w:val="0"/>
          <w:numId w:val="22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9B08E3">
        <w:rPr>
          <w:rFonts w:asciiTheme="minorHAnsi" w:hAnsiTheme="minorHAnsi"/>
          <w:sz w:val="20"/>
          <w:szCs w:val="20"/>
        </w:rPr>
        <w:t>Ak má riadok „očakávaná suma určená na krytie rizík“ obsahovať sumu uvedenú v dôvodovej správe „Uvedená zložka poistného predstavuje sumu poistného určenú na krytie rizík (napr. smrti) a prípadných pripoistení, ak boli v poistnej zmluve dojednané, tak by táto definícia mala byť priamo vo vyhláške. Treba si ale uvedomiť, že v sumách poistného na pripoistenia sú kalkulované aj náklady na ich obstarania ako aj ďalšie náklady súvisiace s pripoistením. Majú alebo nemajú byť tieto náklady zahrnuté v poistnom na pripoistenia súčasťou riadkov „očakávaná suma nákladov na uzavretie poistenia“ a „očakávaná suma ostatných nákladov poisťovateľa“ ? Ak tam zahrnuté budú, tak súčet riadkov „očakávaná suma určená na investovanie“, „očakávaná suma určená na krytie rizík“, „  očakávaná suma nákladov na uzavretie poistenia“ a „očakávaná suma ostatných nákladov poisťovateľa „ bude vyšší než celková výška poistného v prvom riadku.     Ak tam zahrnuté nebudú, tak údaje o nákladoch poisťovne nebude úplné. Ako majú poisťovne postupovať?</w:t>
      </w:r>
    </w:p>
    <w:p w:rsidR="00187B47" w:rsidRPr="009B08E3" w:rsidRDefault="00187B47" w:rsidP="00D77E53">
      <w:pPr>
        <w:spacing w:after="0" w:line="276" w:lineRule="auto"/>
        <w:rPr>
          <w:sz w:val="20"/>
          <w:szCs w:val="20"/>
        </w:rPr>
      </w:pPr>
    </w:p>
    <w:p w:rsidR="00187B47" w:rsidRPr="009B08E3" w:rsidRDefault="00187B47" w:rsidP="00D77E53">
      <w:pPr>
        <w:spacing w:after="0" w:line="276" w:lineRule="auto"/>
        <w:rPr>
          <w:sz w:val="20"/>
          <w:szCs w:val="20"/>
        </w:rPr>
      </w:pPr>
    </w:p>
    <w:p w:rsidR="009B08E3" w:rsidRDefault="00187B47" w:rsidP="00D77E53">
      <w:pPr>
        <w:spacing w:after="0" w:line="276" w:lineRule="auto"/>
        <w:rPr>
          <w:b/>
          <w:sz w:val="20"/>
          <w:szCs w:val="20"/>
        </w:rPr>
      </w:pPr>
      <w:r w:rsidRPr="009B08E3">
        <w:rPr>
          <w:b/>
          <w:sz w:val="20"/>
          <w:szCs w:val="20"/>
        </w:rPr>
        <w:t>Príloha č.2</w:t>
      </w:r>
    </w:p>
    <w:p w:rsidR="00A07B64" w:rsidRDefault="00187B47" w:rsidP="00D77E53">
      <w:pPr>
        <w:spacing w:after="0" w:line="276" w:lineRule="auto"/>
        <w:rPr>
          <w:b/>
          <w:sz w:val="20"/>
          <w:szCs w:val="20"/>
        </w:rPr>
      </w:pPr>
      <w:r w:rsidRPr="009B08E3">
        <w:rPr>
          <w:b/>
          <w:sz w:val="20"/>
          <w:szCs w:val="20"/>
        </w:rPr>
        <w:t xml:space="preserve"> INFORMAČNÝ FORMULÁR K POISTENIU S ODKUPNOU HODNOTOU, KTORÉ NIE JE SPOJENÉ S INVESTIČNÝMI FONDMI</w:t>
      </w:r>
    </w:p>
    <w:p w:rsidR="009B08E3" w:rsidRPr="009B08E3" w:rsidRDefault="009B08E3" w:rsidP="00D77E53">
      <w:pPr>
        <w:spacing w:after="0" w:line="276" w:lineRule="auto"/>
        <w:rPr>
          <w:b/>
          <w:sz w:val="20"/>
          <w:szCs w:val="20"/>
        </w:rPr>
      </w:pPr>
    </w:p>
    <w:p w:rsidR="00187B47" w:rsidRPr="009B08E3" w:rsidRDefault="00A07B64" w:rsidP="00D77E53">
      <w:pPr>
        <w:pStyle w:val="Odsekzoznamu"/>
        <w:numPr>
          <w:ilvl w:val="0"/>
          <w:numId w:val="26"/>
        </w:numPr>
        <w:spacing w:line="276" w:lineRule="auto"/>
        <w:rPr>
          <w:rFonts w:asciiTheme="minorHAnsi" w:hAnsiTheme="minorHAnsi"/>
          <w:b/>
          <w:sz w:val="20"/>
          <w:szCs w:val="20"/>
        </w:rPr>
      </w:pPr>
      <w:r w:rsidRPr="009B08E3">
        <w:rPr>
          <w:rFonts w:asciiTheme="minorHAnsi" w:hAnsiTheme="minorHAnsi"/>
          <w:sz w:val="20"/>
          <w:szCs w:val="20"/>
        </w:rPr>
        <w:t xml:space="preserve">Podľa . § 70 odsek(14) je ministerstvo financií oprávnené/povinné   ustanoviť všeobecne záväzným právnym predpisom „ Vzor informačného formulára </w:t>
      </w:r>
      <w:r w:rsidRPr="009B08E3">
        <w:rPr>
          <w:rFonts w:asciiTheme="minorHAnsi" w:hAnsiTheme="minorHAnsi"/>
          <w:b/>
          <w:sz w:val="20"/>
          <w:szCs w:val="20"/>
          <w:u w:val="single"/>
        </w:rPr>
        <w:t>o jednotlivých zložkách poistného</w:t>
      </w:r>
      <w:r w:rsidRPr="009B08E3">
        <w:rPr>
          <w:rFonts w:asciiTheme="minorHAnsi" w:hAnsiTheme="minorHAnsi"/>
          <w:sz w:val="20"/>
          <w:szCs w:val="20"/>
        </w:rPr>
        <w:t xml:space="preserve"> vo vzťahu k uzatváranej poistnej zmluve. Informácia požadovaná v poslednom riadku formulára prekračuje zákonom o poisťovníctve požadované informácie o zložkách poistného, pretože plnenie, ktoré má byť po nejakom čase klientovi vyplatené, nie je zložkou poistného.</w:t>
      </w:r>
    </w:p>
    <w:p w:rsidR="00187B47" w:rsidRPr="009B08E3" w:rsidRDefault="00187B47" w:rsidP="00D77E53">
      <w:pPr>
        <w:spacing w:after="0" w:line="276" w:lineRule="auto"/>
        <w:rPr>
          <w:sz w:val="20"/>
          <w:szCs w:val="20"/>
        </w:rPr>
      </w:pPr>
    </w:p>
    <w:p w:rsidR="00A07B64" w:rsidRPr="009B08E3" w:rsidRDefault="00187B47" w:rsidP="00D77E53">
      <w:pPr>
        <w:pStyle w:val="Odsekzoznamu"/>
        <w:numPr>
          <w:ilvl w:val="0"/>
          <w:numId w:val="18"/>
        </w:numPr>
        <w:spacing w:line="276" w:lineRule="auto"/>
        <w:rPr>
          <w:rFonts w:asciiTheme="minorHAnsi" w:hAnsiTheme="minorHAnsi"/>
          <w:i/>
          <w:sz w:val="20"/>
          <w:szCs w:val="20"/>
        </w:rPr>
      </w:pPr>
      <w:r w:rsidRPr="009B08E3">
        <w:rPr>
          <w:rFonts w:asciiTheme="minorHAnsi" w:hAnsiTheme="minorHAnsi"/>
          <w:sz w:val="20"/>
          <w:szCs w:val="20"/>
        </w:rPr>
        <w:t xml:space="preserve">Požadujeme vypustiť riadok „očakávaná suma určená na sporenie“. Poisťovňa s takouto položkou nepracuje a nie je jasné, čo by malo byť obsahom tohto riadku. </w:t>
      </w:r>
      <w:r w:rsidR="00A07B64" w:rsidRPr="009B08E3">
        <w:rPr>
          <w:rFonts w:asciiTheme="minorHAnsi" w:hAnsiTheme="minorHAnsi"/>
          <w:sz w:val="20"/>
          <w:szCs w:val="20"/>
        </w:rPr>
        <w:t>“.</w:t>
      </w:r>
      <w:r w:rsidR="00A07B64" w:rsidRPr="009B08E3">
        <w:rPr>
          <w:rFonts w:asciiTheme="minorHAnsi" w:hAnsiTheme="minorHAnsi"/>
          <w:bCs/>
          <w:sz w:val="20"/>
          <w:szCs w:val="20"/>
        </w:rPr>
        <w:t xml:space="preserve"> </w:t>
      </w:r>
      <w:r w:rsidR="00A07B64" w:rsidRPr="009B08E3">
        <w:rPr>
          <w:rFonts w:asciiTheme="minorHAnsi" w:hAnsiTheme="minorHAnsi"/>
          <w:bCs/>
          <w:i/>
          <w:sz w:val="20"/>
          <w:szCs w:val="20"/>
        </w:rPr>
        <w:t xml:space="preserve">Podľa Metodického usmernenia Útvaru dohľadu nad finančným trhom Národnej banky Slovenska z 21. apríla 2015 č. 3/2015 k označovaniu a propagácii poistných produktov - </w:t>
      </w:r>
      <w:r w:rsidR="00A07B64" w:rsidRPr="009B08E3">
        <w:rPr>
          <w:rFonts w:asciiTheme="minorHAnsi" w:hAnsiTheme="minorHAnsi"/>
          <w:i/>
          <w:sz w:val="20"/>
          <w:szCs w:val="20"/>
        </w:rPr>
        <w:t xml:space="preserve">28. písm. b) spotrebiteľ má mať istotu, že názov poistného produktu objektívne nevyvoláva nebezpečenstvo zámeny s iným produktom alebo právnym inštitútom;  (napr. nie je prípustné používanie pojmu sporenie, ak sa jedná o poistenie a pod.);   </w:t>
      </w:r>
    </w:p>
    <w:p w:rsidR="00A07B64" w:rsidRPr="009B08E3" w:rsidRDefault="00187B47" w:rsidP="00D77E53">
      <w:pPr>
        <w:pStyle w:val="Odsekzoznamu"/>
        <w:spacing w:line="276" w:lineRule="auto"/>
        <w:rPr>
          <w:rFonts w:asciiTheme="minorHAnsi" w:hAnsiTheme="minorHAnsi"/>
          <w:b/>
          <w:bCs/>
          <w:i/>
          <w:sz w:val="20"/>
          <w:szCs w:val="20"/>
        </w:rPr>
      </w:pPr>
      <w:r w:rsidRPr="009B08E3">
        <w:rPr>
          <w:rFonts w:asciiTheme="minorHAnsi" w:hAnsiTheme="minorHAnsi"/>
          <w:sz w:val="20"/>
          <w:szCs w:val="20"/>
        </w:rPr>
        <w:t xml:space="preserve"> Miesto prvých dvoch riadkov navrhujeme do formuláru uvádzať „netto poistné</w:t>
      </w:r>
      <w:r w:rsidR="00A07B64" w:rsidRPr="009B08E3">
        <w:rPr>
          <w:rFonts w:asciiTheme="minorHAnsi" w:hAnsiTheme="minorHAnsi"/>
          <w:i/>
          <w:sz w:val="20"/>
          <w:szCs w:val="20"/>
        </w:rPr>
        <w:t xml:space="preserve"> </w:t>
      </w:r>
    </w:p>
    <w:p w:rsidR="00187B47" w:rsidRPr="009B08E3" w:rsidRDefault="00187B47" w:rsidP="00D77E53">
      <w:pPr>
        <w:spacing w:after="0" w:line="276" w:lineRule="auto"/>
        <w:rPr>
          <w:sz w:val="20"/>
          <w:szCs w:val="20"/>
        </w:rPr>
      </w:pPr>
    </w:p>
    <w:p w:rsidR="00187B47" w:rsidRPr="009B08E3" w:rsidRDefault="00187B47" w:rsidP="00D77E53">
      <w:pPr>
        <w:spacing w:after="0" w:line="276" w:lineRule="auto"/>
        <w:rPr>
          <w:sz w:val="20"/>
          <w:szCs w:val="20"/>
        </w:rPr>
      </w:pPr>
    </w:p>
    <w:p w:rsidR="00187B47" w:rsidRPr="009B08E3" w:rsidRDefault="00187B47" w:rsidP="00D77E53">
      <w:pPr>
        <w:pStyle w:val="Odsekzoznamu"/>
        <w:numPr>
          <w:ilvl w:val="0"/>
          <w:numId w:val="18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9B08E3">
        <w:rPr>
          <w:rFonts w:asciiTheme="minorHAnsi" w:hAnsiTheme="minorHAnsi"/>
          <w:sz w:val="20"/>
          <w:szCs w:val="20"/>
        </w:rPr>
        <w:t>V prípade, že by nebola akceptovaná pripomienka č.1 k tomuto formuláru, navrhujeme text posledného riadku preformulovať nasledovne „Predpokladané minimálne plnenie po dojednanej poistnej dobe v prípade poistenia na dobu určitú, resp. po 10 rokoch rokov v prípade poistenia na dobu neurčitú.“</w:t>
      </w:r>
    </w:p>
    <w:p w:rsidR="00187B47" w:rsidRPr="009B08E3" w:rsidRDefault="00187B47" w:rsidP="00D77E53">
      <w:pPr>
        <w:spacing w:after="0" w:line="276" w:lineRule="auto"/>
        <w:rPr>
          <w:sz w:val="20"/>
          <w:szCs w:val="20"/>
        </w:rPr>
      </w:pPr>
    </w:p>
    <w:p w:rsidR="00187B47" w:rsidRPr="009B08E3" w:rsidRDefault="00187B47" w:rsidP="00D77E53">
      <w:pPr>
        <w:pStyle w:val="Odsekzoznamu"/>
        <w:numPr>
          <w:ilvl w:val="0"/>
          <w:numId w:val="18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9B08E3">
        <w:rPr>
          <w:rFonts w:asciiTheme="minorHAnsi" w:hAnsiTheme="minorHAnsi"/>
          <w:sz w:val="20"/>
          <w:szCs w:val="20"/>
        </w:rPr>
        <w:lastRenderedPageBreak/>
        <w:t xml:space="preserve">Aj poistenia s </w:t>
      </w:r>
      <w:proofErr w:type="spellStart"/>
      <w:r w:rsidRPr="009B08E3">
        <w:rPr>
          <w:rFonts w:asciiTheme="minorHAnsi" w:hAnsiTheme="minorHAnsi"/>
          <w:sz w:val="20"/>
          <w:szCs w:val="20"/>
        </w:rPr>
        <w:t>odkupnou</w:t>
      </w:r>
      <w:proofErr w:type="spellEnd"/>
      <w:r w:rsidRPr="009B08E3">
        <w:rPr>
          <w:rFonts w:asciiTheme="minorHAnsi" w:hAnsiTheme="minorHAnsi"/>
          <w:sz w:val="20"/>
          <w:szCs w:val="20"/>
        </w:rPr>
        <w:t xml:space="preserve"> hodnotou, ktoré nie sú spojené s investičnými fondami, sa môžu uzatvárať na dobu neurčitú, preto navrhujeme prvý riadok upraviť nasledovne „Celková výška poistného za (dojednaná poistná doba alebo desať rokov pri zmluve uzatvorenej na dobu neurčitú)“.</w:t>
      </w:r>
    </w:p>
    <w:p w:rsidR="00187B47" w:rsidRPr="009B08E3" w:rsidRDefault="00187B47" w:rsidP="00D77E53">
      <w:pPr>
        <w:spacing w:after="0" w:line="276" w:lineRule="auto"/>
        <w:rPr>
          <w:sz w:val="20"/>
          <w:szCs w:val="20"/>
        </w:rPr>
      </w:pPr>
    </w:p>
    <w:p w:rsidR="009B08E3" w:rsidRDefault="00187B47" w:rsidP="00D77E53">
      <w:pPr>
        <w:spacing w:after="0" w:line="276" w:lineRule="auto"/>
        <w:rPr>
          <w:b/>
          <w:sz w:val="20"/>
          <w:szCs w:val="20"/>
        </w:rPr>
      </w:pPr>
      <w:r w:rsidRPr="009B08E3">
        <w:rPr>
          <w:b/>
          <w:sz w:val="20"/>
          <w:szCs w:val="20"/>
        </w:rPr>
        <w:t xml:space="preserve">Príloha č.3 </w:t>
      </w:r>
    </w:p>
    <w:p w:rsidR="00187B47" w:rsidRPr="009B08E3" w:rsidRDefault="00187B47" w:rsidP="00D77E53">
      <w:pPr>
        <w:spacing w:after="0" w:line="276" w:lineRule="auto"/>
        <w:rPr>
          <w:b/>
          <w:sz w:val="20"/>
          <w:szCs w:val="20"/>
        </w:rPr>
      </w:pPr>
      <w:r w:rsidRPr="009B08E3">
        <w:rPr>
          <w:b/>
          <w:sz w:val="20"/>
          <w:szCs w:val="20"/>
        </w:rPr>
        <w:t>INFORMAČNÝ FORMULÁR K NEŽIVOTNÉMU POISTENIU</w:t>
      </w:r>
    </w:p>
    <w:p w:rsidR="00065ACC" w:rsidRPr="009B08E3" w:rsidRDefault="00065ACC" w:rsidP="00D77E53">
      <w:pPr>
        <w:spacing w:after="0" w:line="276" w:lineRule="auto"/>
        <w:rPr>
          <w:b/>
          <w:sz w:val="20"/>
          <w:szCs w:val="20"/>
        </w:rPr>
      </w:pPr>
    </w:p>
    <w:p w:rsidR="004E159A" w:rsidRPr="009B08E3" w:rsidRDefault="00187B47" w:rsidP="00D77E53">
      <w:pPr>
        <w:pStyle w:val="Odsekzoznamu"/>
        <w:numPr>
          <w:ilvl w:val="0"/>
          <w:numId w:val="19"/>
        </w:numPr>
        <w:spacing w:line="276" w:lineRule="auto"/>
        <w:ind w:left="360"/>
        <w:rPr>
          <w:rFonts w:asciiTheme="minorHAnsi" w:hAnsiTheme="minorHAnsi"/>
          <w:sz w:val="20"/>
          <w:szCs w:val="20"/>
        </w:rPr>
      </w:pPr>
      <w:r w:rsidRPr="009B08E3">
        <w:rPr>
          <w:rFonts w:asciiTheme="minorHAnsi" w:hAnsiTheme="minorHAnsi"/>
          <w:sz w:val="20"/>
          <w:szCs w:val="20"/>
        </w:rPr>
        <w:t xml:space="preserve">Názov prílohy navrhujeme upraviť nasledovne „INFORMAČNÝ FORMULÁR K NEŽIVOTNÉMU POISTENIU a k životnému poisteniu bez </w:t>
      </w:r>
      <w:proofErr w:type="spellStart"/>
      <w:r w:rsidRPr="009B08E3">
        <w:rPr>
          <w:rFonts w:asciiTheme="minorHAnsi" w:hAnsiTheme="minorHAnsi"/>
          <w:sz w:val="20"/>
          <w:szCs w:val="20"/>
        </w:rPr>
        <w:t>odkupnej</w:t>
      </w:r>
      <w:proofErr w:type="spellEnd"/>
      <w:r w:rsidRPr="009B08E3">
        <w:rPr>
          <w:rFonts w:asciiTheme="minorHAnsi" w:hAnsiTheme="minorHAnsi"/>
          <w:sz w:val="20"/>
          <w:szCs w:val="20"/>
        </w:rPr>
        <w:t xml:space="preserve"> hodnoty“</w:t>
      </w:r>
    </w:p>
    <w:p w:rsidR="004E159A" w:rsidRPr="009B08E3" w:rsidRDefault="004E159A" w:rsidP="00D77E53">
      <w:pPr>
        <w:pStyle w:val="Odsekzoznamu"/>
        <w:spacing w:line="276" w:lineRule="auto"/>
        <w:ind w:left="360"/>
        <w:rPr>
          <w:rFonts w:asciiTheme="minorHAnsi" w:hAnsiTheme="minorHAnsi"/>
          <w:sz w:val="20"/>
          <w:szCs w:val="20"/>
        </w:rPr>
      </w:pPr>
    </w:p>
    <w:p w:rsidR="004E159A" w:rsidRPr="009B08E3" w:rsidRDefault="00065ACC" w:rsidP="00D77E53">
      <w:pPr>
        <w:pStyle w:val="Odsekzoznamu"/>
        <w:numPr>
          <w:ilvl w:val="0"/>
          <w:numId w:val="19"/>
        </w:numPr>
        <w:spacing w:line="276" w:lineRule="auto"/>
        <w:ind w:left="360"/>
        <w:rPr>
          <w:rFonts w:asciiTheme="minorHAnsi" w:hAnsiTheme="minorHAnsi"/>
          <w:sz w:val="20"/>
          <w:szCs w:val="20"/>
        </w:rPr>
      </w:pPr>
      <w:r w:rsidRPr="009B08E3">
        <w:rPr>
          <w:rFonts w:asciiTheme="minorHAnsi" w:hAnsiTheme="minorHAnsi"/>
          <w:sz w:val="20"/>
          <w:szCs w:val="20"/>
        </w:rPr>
        <w:t>Vzhľadom na osobitný charakter navrhujeme vo formulári vyčle</w:t>
      </w:r>
      <w:r w:rsidR="004E159A" w:rsidRPr="009B08E3">
        <w:rPr>
          <w:rFonts w:asciiTheme="minorHAnsi" w:hAnsiTheme="minorHAnsi"/>
          <w:sz w:val="20"/>
          <w:szCs w:val="20"/>
        </w:rPr>
        <w:t>n</w:t>
      </w:r>
      <w:r w:rsidRPr="009B08E3">
        <w:rPr>
          <w:rFonts w:asciiTheme="minorHAnsi" w:hAnsiTheme="minorHAnsi"/>
          <w:sz w:val="20"/>
          <w:szCs w:val="20"/>
        </w:rPr>
        <w:t>iť samostatný riadok na daň z</w:t>
      </w:r>
      <w:r w:rsidR="004E159A" w:rsidRPr="009B08E3">
        <w:rPr>
          <w:rFonts w:asciiTheme="minorHAnsi" w:hAnsiTheme="minorHAnsi"/>
          <w:sz w:val="20"/>
          <w:szCs w:val="20"/>
        </w:rPr>
        <w:t> poistenia a odvod 8</w:t>
      </w:r>
      <w:r w:rsidR="004E159A" w:rsidRPr="009B08E3">
        <w:rPr>
          <w:rFonts w:asciiTheme="minorHAnsi" w:hAnsiTheme="minorHAnsi"/>
          <w:sz w:val="20"/>
          <w:szCs w:val="20"/>
          <w:lang w:val="en-US"/>
        </w:rPr>
        <w:t>% z PZP.</w:t>
      </w:r>
    </w:p>
    <w:p w:rsidR="004E159A" w:rsidRPr="009B08E3" w:rsidRDefault="004E159A" w:rsidP="00D77E53">
      <w:pPr>
        <w:spacing w:after="0" w:line="276" w:lineRule="auto"/>
        <w:rPr>
          <w:sz w:val="20"/>
          <w:szCs w:val="20"/>
        </w:rPr>
      </w:pPr>
    </w:p>
    <w:p w:rsidR="00187B47" w:rsidRPr="009B08E3" w:rsidRDefault="004E159A" w:rsidP="00D77E53">
      <w:pPr>
        <w:pStyle w:val="Odsekzoznamu"/>
        <w:numPr>
          <w:ilvl w:val="0"/>
          <w:numId w:val="19"/>
        </w:numPr>
        <w:spacing w:line="276" w:lineRule="auto"/>
        <w:ind w:left="360"/>
        <w:rPr>
          <w:rFonts w:asciiTheme="minorHAnsi" w:hAnsiTheme="minorHAnsi"/>
          <w:sz w:val="20"/>
          <w:szCs w:val="20"/>
        </w:rPr>
      </w:pPr>
      <w:r w:rsidRPr="009B08E3">
        <w:rPr>
          <w:rFonts w:asciiTheme="minorHAnsi" w:hAnsiTheme="minorHAnsi"/>
          <w:sz w:val="20"/>
          <w:szCs w:val="20"/>
        </w:rPr>
        <w:t>Ak by nebola akceptovaná pripomienka č. 2 k tomuto formuláru, tak navrhujeme t</w:t>
      </w:r>
      <w:r w:rsidR="00187B47" w:rsidRPr="009B08E3">
        <w:rPr>
          <w:rFonts w:asciiTheme="minorHAnsi" w:hAnsiTheme="minorHAnsi"/>
          <w:sz w:val="20"/>
          <w:szCs w:val="20"/>
        </w:rPr>
        <w:t>ext posledného riadku upraviť nasledovne „   z toho na úhradu ostatných nákladov poisťovateľa, daňových a odvodo</w:t>
      </w:r>
      <w:r w:rsidRPr="009B08E3">
        <w:rPr>
          <w:rFonts w:asciiTheme="minorHAnsi" w:hAnsiTheme="minorHAnsi"/>
          <w:sz w:val="20"/>
          <w:szCs w:val="20"/>
        </w:rPr>
        <w:t>vých povinností a zisk poisťovateľa</w:t>
      </w:r>
      <w:r w:rsidR="00187B47" w:rsidRPr="009B08E3">
        <w:rPr>
          <w:rFonts w:asciiTheme="minorHAnsi" w:hAnsiTheme="minorHAnsi"/>
          <w:sz w:val="20"/>
          <w:szCs w:val="20"/>
        </w:rPr>
        <w:t>“.</w:t>
      </w:r>
      <w:r w:rsidRPr="009B08E3">
        <w:rPr>
          <w:rFonts w:asciiTheme="minorHAnsi" w:hAnsiTheme="minorHAnsi"/>
          <w:sz w:val="20"/>
          <w:szCs w:val="20"/>
        </w:rPr>
        <w:t xml:space="preserve"> Ak by bola pripomienka 2 akceptovaná, tak posledný riadok by mal byť „z toho na úhradu ostatných nákladov poisťovateľa a zisk poisťovateľa“.</w:t>
      </w:r>
    </w:p>
    <w:p w:rsidR="00187B47" w:rsidRPr="009B08E3" w:rsidRDefault="00187B47" w:rsidP="00D77E53">
      <w:pPr>
        <w:spacing w:after="0" w:line="276" w:lineRule="auto"/>
        <w:rPr>
          <w:sz w:val="20"/>
          <w:szCs w:val="20"/>
        </w:rPr>
      </w:pPr>
    </w:p>
    <w:p w:rsidR="004E159A" w:rsidRPr="009B08E3" w:rsidRDefault="004E159A" w:rsidP="00D77E53">
      <w:pPr>
        <w:pStyle w:val="Odsekzoznamu"/>
        <w:numPr>
          <w:ilvl w:val="0"/>
          <w:numId w:val="19"/>
        </w:numPr>
        <w:spacing w:line="276" w:lineRule="auto"/>
        <w:ind w:left="360"/>
        <w:rPr>
          <w:rFonts w:asciiTheme="minorHAnsi" w:hAnsiTheme="minorHAnsi"/>
          <w:sz w:val="20"/>
          <w:szCs w:val="20"/>
        </w:rPr>
      </w:pPr>
      <w:r w:rsidRPr="009B08E3">
        <w:rPr>
          <w:rFonts w:asciiTheme="minorHAnsi" w:hAnsiTheme="minorHAnsi"/>
          <w:sz w:val="20"/>
          <w:szCs w:val="20"/>
        </w:rPr>
        <w:t>Ak by nebola akceptovaná pripomienka č. 2 k tomuto formuláru , tak v</w:t>
      </w:r>
      <w:r w:rsidR="00187B47" w:rsidRPr="009B08E3">
        <w:rPr>
          <w:rFonts w:asciiTheme="minorHAnsi" w:hAnsiTheme="minorHAnsi"/>
          <w:sz w:val="20"/>
          <w:szCs w:val="20"/>
        </w:rPr>
        <w:t xml:space="preserve"> definícii k obsahu posledného riadku uviesť aj „Zahŕňa aj 8% odvod pri poistení PZP a daň z poistenia.</w:t>
      </w:r>
      <w:r w:rsidRPr="009B08E3">
        <w:rPr>
          <w:rFonts w:asciiTheme="minorHAnsi" w:hAnsiTheme="minorHAnsi"/>
          <w:sz w:val="20"/>
          <w:szCs w:val="20"/>
        </w:rPr>
        <w:t xml:space="preserve">“. </w:t>
      </w:r>
      <w:r w:rsidR="00187B47" w:rsidRPr="009B08E3">
        <w:rPr>
          <w:rFonts w:asciiTheme="minorHAnsi" w:hAnsiTheme="minorHAnsi"/>
          <w:sz w:val="20"/>
          <w:szCs w:val="20"/>
        </w:rPr>
        <w:t xml:space="preserve"> </w:t>
      </w:r>
    </w:p>
    <w:p w:rsidR="004E159A" w:rsidRPr="009B08E3" w:rsidRDefault="004E159A" w:rsidP="00D77E53">
      <w:pPr>
        <w:pStyle w:val="Odsekzoznamu"/>
        <w:spacing w:line="276" w:lineRule="auto"/>
        <w:rPr>
          <w:rFonts w:asciiTheme="minorHAnsi" w:hAnsiTheme="minorHAnsi"/>
          <w:sz w:val="20"/>
          <w:szCs w:val="20"/>
        </w:rPr>
      </w:pPr>
    </w:p>
    <w:p w:rsidR="0068284C" w:rsidRPr="009B08E3" w:rsidRDefault="004E159A" w:rsidP="00D77E53">
      <w:pPr>
        <w:pStyle w:val="Odsekzoznamu"/>
        <w:numPr>
          <w:ilvl w:val="0"/>
          <w:numId w:val="19"/>
        </w:numPr>
        <w:spacing w:line="276" w:lineRule="auto"/>
        <w:ind w:left="360"/>
        <w:rPr>
          <w:rFonts w:asciiTheme="minorHAnsi" w:hAnsiTheme="minorHAnsi"/>
          <w:sz w:val="20"/>
          <w:szCs w:val="20"/>
        </w:rPr>
      </w:pPr>
      <w:r w:rsidRPr="009B08E3">
        <w:rPr>
          <w:rFonts w:asciiTheme="minorHAnsi" w:hAnsiTheme="minorHAnsi"/>
          <w:sz w:val="20"/>
          <w:szCs w:val="20"/>
        </w:rPr>
        <w:t>Do vysvetliviek uviesť aj text „</w:t>
      </w:r>
      <w:r w:rsidR="00187B47" w:rsidRPr="009B08E3">
        <w:rPr>
          <w:rFonts w:asciiTheme="minorHAnsi" w:hAnsiTheme="minorHAnsi"/>
          <w:sz w:val="20"/>
          <w:szCs w:val="20"/>
        </w:rPr>
        <w:t>Zisk poisťovne zahrnutý do tohto riadku je kalkulovaný pred zdanením (to znamená že obsahuje aj daň z príjmu a osobitný odvod z podnikania z regulovaných odvetví, ktoré poisťovne odvádzajú do štátneho rozpočtu)“</w:t>
      </w:r>
      <w:r w:rsidR="00065ACC" w:rsidRPr="009B08E3">
        <w:rPr>
          <w:rFonts w:asciiTheme="minorHAnsi" w:hAnsiTheme="minorHAnsi"/>
          <w:sz w:val="20"/>
          <w:szCs w:val="20"/>
        </w:rPr>
        <w:t xml:space="preserve">. </w:t>
      </w:r>
    </w:p>
    <w:p w:rsidR="0068284C" w:rsidRPr="009B08E3" w:rsidRDefault="0068284C" w:rsidP="00D77E53">
      <w:pPr>
        <w:pStyle w:val="Odsekzoznamu"/>
        <w:spacing w:line="276" w:lineRule="auto"/>
        <w:rPr>
          <w:rFonts w:asciiTheme="minorHAnsi" w:hAnsiTheme="minorHAnsi"/>
          <w:sz w:val="20"/>
          <w:szCs w:val="20"/>
        </w:rPr>
      </w:pPr>
    </w:p>
    <w:p w:rsidR="00852E0A" w:rsidRPr="009B08E3" w:rsidRDefault="00852E0A" w:rsidP="00D77E53">
      <w:pPr>
        <w:pStyle w:val="Odsekzoznamu"/>
        <w:numPr>
          <w:ilvl w:val="0"/>
          <w:numId w:val="19"/>
        </w:numPr>
        <w:spacing w:line="276" w:lineRule="auto"/>
        <w:ind w:left="360"/>
        <w:rPr>
          <w:rFonts w:asciiTheme="minorHAnsi" w:hAnsiTheme="minorHAnsi"/>
          <w:sz w:val="20"/>
          <w:szCs w:val="20"/>
        </w:rPr>
      </w:pPr>
      <w:r w:rsidRPr="009B08E3">
        <w:rPr>
          <w:rFonts w:asciiTheme="minorHAnsi" w:hAnsiTheme="minorHAnsi"/>
          <w:sz w:val="20"/>
          <w:szCs w:val="20"/>
        </w:rPr>
        <w:t xml:space="preserve">Ako je chápaná veta: „V prvom riadku tohto formulára sa z dôvodu jasnosti a zrozumiteľnosti poskytovanej informácie uvedie výška ročného poistného, keď sa poistné platí inak ako ročne.“ ? Riešením by bolo namiesto ročného poistného udávať úhrn </w:t>
      </w:r>
      <w:proofErr w:type="spellStart"/>
      <w:r w:rsidRPr="009B08E3">
        <w:rPr>
          <w:rFonts w:asciiTheme="minorHAnsi" w:hAnsiTheme="minorHAnsi"/>
          <w:sz w:val="20"/>
          <w:szCs w:val="20"/>
        </w:rPr>
        <w:t>lehotného</w:t>
      </w:r>
      <w:proofErr w:type="spellEnd"/>
      <w:r w:rsidRPr="009B08E3">
        <w:rPr>
          <w:rFonts w:asciiTheme="minorHAnsi" w:hAnsiTheme="minorHAnsi"/>
          <w:sz w:val="20"/>
          <w:szCs w:val="20"/>
        </w:rPr>
        <w:t xml:space="preserve"> poistného prislúchajúceho k poistnému obdobiu jeden rok, vrátane prirážok za </w:t>
      </w:r>
      <w:proofErr w:type="spellStart"/>
      <w:r w:rsidRPr="009B08E3">
        <w:rPr>
          <w:rFonts w:asciiTheme="minorHAnsi" w:hAnsiTheme="minorHAnsi"/>
          <w:sz w:val="20"/>
          <w:szCs w:val="20"/>
        </w:rPr>
        <w:t>področnosť</w:t>
      </w:r>
      <w:proofErr w:type="spellEnd"/>
      <w:r w:rsidRPr="009B08E3">
        <w:rPr>
          <w:rFonts w:asciiTheme="minorHAnsi" w:hAnsiTheme="minorHAnsi"/>
          <w:sz w:val="20"/>
          <w:szCs w:val="20"/>
        </w:rPr>
        <w:t>. A ako postupovať keď poistné, keď poistné je jednorazovo platené, na poistnú dobu dlhšiu ako jeden rok? A ako postupovať v poisteniach uzatváraných na dobu kratšiu ako jeden rok?</w:t>
      </w:r>
    </w:p>
    <w:p w:rsidR="00065ACC" w:rsidRPr="009B08E3" w:rsidRDefault="00065ACC" w:rsidP="00D77E53">
      <w:pPr>
        <w:spacing w:after="0" w:line="276" w:lineRule="auto"/>
        <w:rPr>
          <w:sz w:val="20"/>
          <w:szCs w:val="20"/>
        </w:rPr>
      </w:pPr>
    </w:p>
    <w:p w:rsidR="00065ACC" w:rsidRPr="009B08E3" w:rsidRDefault="00065ACC" w:rsidP="00D77E53">
      <w:pPr>
        <w:spacing w:after="0" w:line="276" w:lineRule="auto"/>
        <w:rPr>
          <w:color w:val="002060"/>
          <w:sz w:val="20"/>
          <w:szCs w:val="20"/>
        </w:rPr>
      </w:pPr>
    </w:p>
    <w:p w:rsidR="001805DF" w:rsidRPr="009B08E3" w:rsidRDefault="001805DF" w:rsidP="00D77E53">
      <w:pPr>
        <w:spacing w:after="0" w:line="276" w:lineRule="auto"/>
        <w:rPr>
          <w:color w:val="002060"/>
          <w:sz w:val="20"/>
          <w:szCs w:val="20"/>
        </w:rPr>
      </w:pPr>
    </w:p>
    <w:p w:rsidR="00E154EF" w:rsidRPr="009B08E3" w:rsidRDefault="00E154EF" w:rsidP="00D77E53">
      <w:pPr>
        <w:spacing w:after="0" w:line="276" w:lineRule="auto"/>
        <w:ind w:left="360"/>
        <w:rPr>
          <w:sz w:val="20"/>
          <w:szCs w:val="20"/>
        </w:rPr>
      </w:pPr>
    </w:p>
    <w:p w:rsidR="00E154EF" w:rsidRPr="009B08E3" w:rsidRDefault="00E154EF" w:rsidP="00D77E53">
      <w:pPr>
        <w:pStyle w:val="Odsekzoznamu"/>
        <w:spacing w:line="276" w:lineRule="auto"/>
        <w:ind w:left="360"/>
        <w:rPr>
          <w:rFonts w:asciiTheme="minorHAnsi" w:hAnsiTheme="minorHAnsi"/>
          <w:color w:val="002060"/>
          <w:sz w:val="20"/>
          <w:szCs w:val="20"/>
        </w:rPr>
      </w:pPr>
    </w:p>
    <w:p w:rsidR="00D77E53" w:rsidRPr="009B08E3" w:rsidRDefault="00D77E53" w:rsidP="009B08E3">
      <w:pPr>
        <w:spacing w:line="276" w:lineRule="auto"/>
        <w:rPr>
          <w:color w:val="002060"/>
          <w:sz w:val="20"/>
          <w:szCs w:val="20"/>
          <w:highlight w:val="cyan"/>
        </w:rPr>
      </w:pPr>
    </w:p>
    <w:p w:rsidR="00D77E53" w:rsidRPr="009B08E3" w:rsidRDefault="00D77E53" w:rsidP="00D77E53">
      <w:pPr>
        <w:pStyle w:val="Odsekzoznamu"/>
        <w:spacing w:line="276" w:lineRule="auto"/>
        <w:ind w:left="360"/>
        <w:rPr>
          <w:rFonts w:asciiTheme="minorHAnsi" w:hAnsiTheme="minorHAnsi"/>
          <w:color w:val="002060"/>
          <w:sz w:val="20"/>
          <w:szCs w:val="20"/>
          <w:highlight w:val="cyan"/>
        </w:rPr>
      </w:pPr>
    </w:p>
    <w:p w:rsidR="00D77E53" w:rsidRDefault="009B08E3" w:rsidP="00D77E53">
      <w:pPr>
        <w:pStyle w:val="Odsekzoznamu"/>
        <w:spacing w:line="276" w:lineRule="auto"/>
        <w:ind w:left="360"/>
        <w:rPr>
          <w:rFonts w:asciiTheme="minorHAnsi" w:hAnsiTheme="minorHAnsi"/>
          <w:color w:val="002060"/>
          <w:sz w:val="20"/>
          <w:szCs w:val="20"/>
        </w:rPr>
      </w:pPr>
      <w:r w:rsidRPr="009B08E3">
        <w:rPr>
          <w:rFonts w:asciiTheme="minorHAnsi" w:hAnsiTheme="minorHAnsi"/>
          <w:color w:val="002060"/>
          <w:sz w:val="20"/>
          <w:szCs w:val="20"/>
        </w:rPr>
        <w:t>V</w:t>
      </w:r>
      <w:r>
        <w:rPr>
          <w:rFonts w:asciiTheme="minorHAnsi" w:hAnsiTheme="minorHAnsi"/>
          <w:color w:val="002060"/>
          <w:sz w:val="20"/>
          <w:szCs w:val="20"/>
        </w:rPr>
        <w:t> Bratislave 16.11.2018</w:t>
      </w:r>
    </w:p>
    <w:p w:rsidR="009B08E3" w:rsidRPr="009B08E3" w:rsidRDefault="009B08E3" w:rsidP="00D77E53">
      <w:pPr>
        <w:pStyle w:val="Odsekzoznamu"/>
        <w:spacing w:line="276" w:lineRule="auto"/>
        <w:ind w:left="360"/>
        <w:rPr>
          <w:rFonts w:asciiTheme="minorHAnsi" w:hAnsiTheme="minorHAnsi"/>
          <w:color w:val="002060"/>
          <w:sz w:val="20"/>
          <w:szCs w:val="20"/>
        </w:rPr>
      </w:pPr>
      <w:r>
        <w:rPr>
          <w:rFonts w:asciiTheme="minorHAnsi" w:hAnsiTheme="minorHAnsi"/>
          <w:color w:val="002060"/>
          <w:sz w:val="20"/>
          <w:szCs w:val="20"/>
        </w:rPr>
        <w:t>Bachniček/Lehotská/Žáková</w:t>
      </w:r>
    </w:p>
    <w:p w:rsidR="00D77E53" w:rsidRPr="009B08E3" w:rsidRDefault="00D77E53" w:rsidP="00D77E53">
      <w:pPr>
        <w:pStyle w:val="Odsekzoznamu"/>
        <w:spacing w:line="276" w:lineRule="auto"/>
        <w:ind w:left="360"/>
        <w:rPr>
          <w:rFonts w:asciiTheme="minorHAnsi" w:hAnsiTheme="minorHAnsi"/>
          <w:color w:val="002060"/>
          <w:sz w:val="20"/>
          <w:szCs w:val="20"/>
          <w:highlight w:val="cyan"/>
        </w:rPr>
      </w:pPr>
    </w:p>
    <w:p w:rsidR="00D77E53" w:rsidRPr="009B08E3" w:rsidRDefault="00D77E53" w:rsidP="00D77E53">
      <w:pPr>
        <w:pStyle w:val="Odsekzoznamu"/>
        <w:spacing w:line="276" w:lineRule="auto"/>
        <w:ind w:left="360"/>
        <w:rPr>
          <w:rFonts w:asciiTheme="minorHAnsi" w:hAnsiTheme="minorHAnsi"/>
          <w:color w:val="002060"/>
          <w:sz w:val="20"/>
          <w:szCs w:val="20"/>
          <w:highlight w:val="cyan"/>
        </w:rPr>
      </w:pPr>
    </w:p>
    <w:p w:rsidR="00D77E53" w:rsidRPr="009B08E3" w:rsidRDefault="00D77E53" w:rsidP="00D77E53">
      <w:pPr>
        <w:pStyle w:val="Odsekzoznamu"/>
        <w:spacing w:line="276" w:lineRule="auto"/>
        <w:ind w:left="360"/>
        <w:rPr>
          <w:rFonts w:asciiTheme="minorHAnsi" w:hAnsiTheme="minorHAnsi"/>
          <w:color w:val="002060"/>
          <w:sz w:val="20"/>
          <w:szCs w:val="20"/>
          <w:highlight w:val="cyan"/>
        </w:rPr>
      </w:pPr>
    </w:p>
    <w:p w:rsidR="00D77E53" w:rsidRPr="009B08E3" w:rsidRDefault="00D77E53" w:rsidP="00D77E53">
      <w:pPr>
        <w:pStyle w:val="Odsekzoznamu"/>
        <w:spacing w:line="276" w:lineRule="auto"/>
        <w:ind w:left="360"/>
        <w:rPr>
          <w:rFonts w:asciiTheme="minorHAnsi" w:hAnsiTheme="minorHAnsi"/>
          <w:color w:val="002060"/>
          <w:sz w:val="20"/>
          <w:szCs w:val="20"/>
          <w:highlight w:val="cyan"/>
        </w:rPr>
      </w:pPr>
    </w:p>
    <w:p w:rsidR="00D77E53" w:rsidRPr="009B08E3" w:rsidRDefault="00D77E53" w:rsidP="00D77E53">
      <w:pPr>
        <w:pStyle w:val="Odsekzoznamu"/>
        <w:spacing w:line="276" w:lineRule="auto"/>
        <w:ind w:left="360"/>
        <w:rPr>
          <w:rFonts w:asciiTheme="minorHAnsi" w:hAnsiTheme="minorHAnsi"/>
          <w:color w:val="002060"/>
          <w:sz w:val="20"/>
          <w:szCs w:val="20"/>
          <w:highlight w:val="cyan"/>
        </w:rPr>
      </w:pPr>
    </w:p>
    <w:p w:rsidR="00D77E53" w:rsidRPr="009B08E3" w:rsidRDefault="00D77E53" w:rsidP="00D77E53">
      <w:pPr>
        <w:pStyle w:val="Odsekzoznamu"/>
        <w:spacing w:line="276" w:lineRule="auto"/>
        <w:ind w:left="360"/>
        <w:rPr>
          <w:rFonts w:asciiTheme="minorHAnsi" w:hAnsiTheme="minorHAnsi"/>
          <w:color w:val="002060"/>
          <w:sz w:val="20"/>
          <w:szCs w:val="20"/>
          <w:highlight w:val="cyan"/>
        </w:rPr>
      </w:pPr>
    </w:p>
    <w:p w:rsidR="00D77E53" w:rsidRPr="009B08E3" w:rsidRDefault="00D77E53" w:rsidP="00D77E53">
      <w:pPr>
        <w:pStyle w:val="Odsekzoznamu"/>
        <w:spacing w:line="276" w:lineRule="auto"/>
        <w:ind w:left="360"/>
        <w:rPr>
          <w:rFonts w:asciiTheme="minorHAnsi" w:hAnsiTheme="minorHAnsi"/>
          <w:color w:val="002060"/>
          <w:sz w:val="20"/>
          <w:szCs w:val="20"/>
          <w:highlight w:val="cyan"/>
        </w:rPr>
      </w:pPr>
    </w:p>
    <w:p w:rsidR="00D77E53" w:rsidRPr="009B08E3" w:rsidRDefault="00D77E53" w:rsidP="00D77E53">
      <w:pPr>
        <w:pStyle w:val="Odsekzoznamu"/>
        <w:spacing w:line="276" w:lineRule="auto"/>
        <w:ind w:left="360"/>
        <w:rPr>
          <w:rFonts w:asciiTheme="minorHAnsi" w:hAnsiTheme="minorHAnsi"/>
          <w:color w:val="002060"/>
          <w:sz w:val="20"/>
          <w:szCs w:val="20"/>
          <w:highlight w:val="cyan"/>
        </w:rPr>
      </w:pPr>
    </w:p>
    <w:p w:rsidR="00D77E53" w:rsidRPr="009B08E3" w:rsidRDefault="00D77E53" w:rsidP="00D77E53">
      <w:pPr>
        <w:pStyle w:val="Odsekzoznamu"/>
        <w:spacing w:line="276" w:lineRule="auto"/>
        <w:ind w:left="360"/>
        <w:rPr>
          <w:rFonts w:asciiTheme="minorHAnsi" w:hAnsiTheme="minorHAnsi"/>
          <w:color w:val="002060"/>
          <w:sz w:val="20"/>
          <w:szCs w:val="20"/>
          <w:highlight w:val="cyan"/>
        </w:rPr>
      </w:pPr>
    </w:p>
    <w:p w:rsidR="00D77E53" w:rsidRPr="009B08E3" w:rsidRDefault="00D77E53" w:rsidP="00D77E53">
      <w:pPr>
        <w:pStyle w:val="Odsekzoznamu"/>
        <w:spacing w:line="276" w:lineRule="auto"/>
        <w:ind w:left="360"/>
        <w:rPr>
          <w:rFonts w:asciiTheme="minorHAnsi" w:hAnsiTheme="minorHAnsi"/>
          <w:color w:val="002060"/>
          <w:sz w:val="20"/>
          <w:szCs w:val="20"/>
          <w:highlight w:val="cyan"/>
        </w:rPr>
      </w:pPr>
    </w:p>
    <w:p w:rsidR="00D77E53" w:rsidRPr="009B08E3" w:rsidRDefault="00D77E53" w:rsidP="00D77E53">
      <w:pPr>
        <w:pStyle w:val="Odsekzoznamu"/>
        <w:spacing w:line="276" w:lineRule="auto"/>
        <w:ind w:left="360"/>
        <w:rPr>
          <w:rFonts w:asciiTheme="minorHAnsi" w:hAnsiTheme="minorHAnsi"/>
          <w:color w:val="002060"/>
          <w:sz w:val="20"/>
          <w:szCs w:val="20"/>
          <w:highlight w:val="cyan"/>
        </w:rPr>
      </w:pPr>
    </w:p>
    <w:p w:rsidR="00D77E53" w:rsidRPr="009B08E3" w:rsidRDefault="00D77E53" w:rsidP="00D77E53">
      <w:pPr>
        <w:pStyle w:val="Odsekzoznamu"/>
        <w:spacing w:line="276" w:lineRule="auto"/>
        <w:ind w:left="360"/>
        <w:rPr>
          <w:rFonts w:asciiTheme="minorHAnsi" w:hAnsiTheme="minorHAnsi"/>
          <w:color w:val="002060"/>
          <w:sz w:val="20"/>
          <w:szCs w:val="20"/>
          <w:highlight w:val="cyan"/>
        </w:rPr>
      </w:pPr>
    </w:p>
    <w:p w:rsidR="00D77E53" w:rsidRPr="009B08E3" w:rsidRDefault="00D77E53" w:rsidP="00D77E53">
      <w:pPr>
        <w:pStyle w:val="Odsekzoznamu"/>
        <w:spacing w:line="276" w:lineRule="auto"/>
        <w:ind w:left="360"/>
        <w:rPr>
          <w:rFonts w:asciiTheme="minorHAnsi" w:hAnsiTheme="minorHAnsi"/>
          <w:color w:val="002060"/>
          <w:sz w:val="20"/>
          <w:szCs w:val="20"/>
          <w:highlight w:val="cyan"/>
        </w:rPr>
      </w:pPr>
    </w:p>
    <w:sectPr w:rsidR="00D77E53" w:rsidRPr="009B08E3" w:rsidSect="00604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FEB"/>
    <w:multiLevelType w:val="hybridMultilevel"/>
    <w:tmpl w:val="730E4A32"/>
    <w:lvl w:ilvl="0" w:tplc="61AEBD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6153B"/>
    <w:multiLevelType w:val="hybridMultilevel"/>
    <w:tmpl w:val="6FE08320"/>
    <w:lvl w:ilvl="0" w:tplc="61AEBD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70A46"/>
    <w:multiLevelType w:val="hybridMultilevel"/>
    <w:tmpl w:val="6D5CED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83C19"/>
    <w:multiLevelType w:val="hybridMultilevel"/>
    <w:tmpl w:val="B6184504"/>
    <w:lvl w:ilvl="0" w:tplc="61AEBD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B1FF9"/>
    <w:multiLevelType w:val="hybridMultilevel"/>
    <w:tmpl w:val="5DBA273C"/>
    <w:lvl w:ilvl="0" w:tplc="D33AEB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7438F530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11389"/>
    <w:multiLevelType w:val="hybridMultilevel"/>
    <w:tmpl w:val="2CE487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1282A"/>
    <w:multiLevelType w:val="hybridMultilevel"/>
    <w:tmpl w:val="FB58F3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BFF1A79"/>
    <w:multiLevelType w:val="hybridMultilevel"/>
    <w:tmpl w:val="6FE08320"/>
    <w:lvl w:ilvl="0" w:tplc="61AEBD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262CD"/>
    <w:multiLevelType w:val="hybridMultilevel"/>
    <w:tmpl w:val="BCF806DC"/>
    <w:lvl w:ilvl="0" w:tplc="154431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E549ED"/>
    <w:multiLevelType w:val="hybridMultilevel"/>
    <w:tmpl w:val="10F0166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BA3F02"/>
    <w:multiLevelType w:val="hybridMultilevel"/>
    <w:tmpl w:val="8856AF3C"/>
    <w:lvl w:ilvl="0" w:tplc="A66893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733B1"/>
    <w:multiLevelType w:val="hybridMultilevel"/>
    <w:tmpl w:val="849E13B0"/>
    <w:lvl w:ilvl="0" w:tplc="041B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2A024C8"/>
    <w:multiLevelType w:val="hybridMultilevel"/>
    <w:tmpl w:val="9D50894A"/>
    <w:lvl w:ilvl="0" w:tplc="61AEBD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67DF4"/>
    <w:multiLevelType w:val="hybridMultilevel"/>
    <w:tmpl w:val="98BE3AFA"/>
    <w:lvl w:ilvl="0" w:tplc="F0F230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1F7628"/>
    <w:multiLevelType w:val="hybridMultilevel"/>
    <w:tmpl w:val="D03C1630"/>
    <w:lvl w:ilvl="0" w:tplc="EE48F8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44A26"/>
    <w:multiLevelType w:val="hybridMultilevel"/>
    <w:tmpl w:val="BC6615CA"/>
    <w:lvl w:ilvl="0" w:tplc="61AEBD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352D89"/>
    <w:multiLevelType w:val="hybridMultilevel"/>
    <w:tmpl w:val="18DAE7A0"/>
    <w:lvl w:ilvl="0" w:tplc="61AEBD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52DC258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DA3B52"/>
    <w:multiLevelType w:val="hybridMultilevel"/>
    <w:tmpl w:val="DCE0183C"/>
    <w:lvl w:ilvl="0" w:tplc="D4FA02BE">
      <w:start w:val="7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EF7583"/>
    <w:multiLevelType w:val="hybridMultilevel"/>
    <w:tmpl w:val="E6C80D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CD1FEC"/>
    <w:multiLevelType w:val="hybridMultilevel"/>
    <w:tmpl w:val="3BFCA6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652A1"/>
    <w:multiLevelType w:val="hybridMultilevel"/>
    <w:tmpl w:val="5CFCB624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6865302E"/>
    <w:multiLevelType w:val="hybridMultilevel"/>
    <w:tmpl w:val="04D0DA54"/>
    <w:lvl w:ilvl="0" w:tplc="61AEBD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F7D62"/>
    <w:multiLevelType w:val="hybridMultilevel"/>
    <w:tmpl w:val="CA4EA1CA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97301BE"/>
    <w:multiLevelType w:val="hybridMultilevel"/>
    <w:tmpl w:val="2B1AD0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062A8E"/>
    <w:multiLevelType w:val="hybridMultilevel"/>
    <w:tmpl w:val="A630FD18"/>
    <w:lvl w:ilvl="0" w:tplc="61AEBD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9"/>
  </w:num>
  <w:num w:numId="4">
    <w:abstractNumId w:val="22"/>
  </w:num>
  <w:num w:numId="5">
    <w:abstractNumId w:val="9"/>
  </w:num>
  <w:num w:numId="6">
    <w:abstractNumId w:val="1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0"/>
  </w:num>
  <w:num w:numId="11">
    <w:abstractNumId w:val="13"/>
  </w:num>
  <w:num w:numId="12">
    <w:abstractNumId w:val="7"/>
  </w:num>
  <w:num w:numId="13">
    <w:abstractNumId w:val="1"/>
  </w:num>
  <w:num w:numId="14">
    <w:abstractNumId w:val="12"/>
  </w:num>
  <w:num w:numId="15">
    <w:abstractNumId w:val="8"/>
  </w:num>
  <w:num w:numId="16">
    <w:abstractNumId w:val="24"/>
  </w:num>
  <w:num w:numId="17">
    <w:abstractNumId w:val="0"/>
  </w:num>
  <w:num w:numId="18">
    <w:abstractNumId w:val="16"/>
  </w:num>
  <w:num w:numId="19">
    <w:abstractNumId w:val="3"/>
  </w:num>
  <w:num w:numId="20">
    <w:abstractNumId w:val="14"/>
  </w:num>
  <w:num w:numId="21">
    <w:abstractNumId w:val="15"/>
  </w:num>
  <w:num w:numId="22">
    <w:abstractNumId w:val="4"/>
  </w:num>
  <w:num w:numId="23">
    <w:abstractNumId w:val="17"/>
  </w:num>
  <w:num w:numId="24">
    <w:abstractNumId w:val="20"/>
  </w:num>
  <w:num w:numId="25">
    <w:abstractNumId w:val="5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9421B"/>
    <w:rsid w:val="000365E9"/>
    <w:rsid w:val="00065ACC"/>
    <w:rsid w:val="00076AB4"/>
    <w:rsid w:val="00087406"/>
    <w:rsid w:val="000949D5"/>
    <w:rsid w:val="00160A7A"/>
    <w:rsid w:val="001805DF"/>
    <w:rsid w:val="001813EA"/>
    <w:rsid w:val="00187B47"/>
    <w:rsid w:val="00192AD1"/>
    <w:rsid w:val="00195312"/>
    <w:rsid w:val="001D3565"/>
    <w:rsid w:val="001F10BF"/>
    <w:rsid w:val="001F579B"/>
    <w:rsid w:val="00227655"/>
    <w:rsid w:val="00254244"/>
    <w:rsid w:val="002603B5"/>
    <w:rsid w:val="00260D69"/>
    <w:rsid w:val="00275703"/>
    <w:rsid w:val="0029421B"/>
    <w:rsid w:val="00373178"/>
    <w:rsid w:val="00376634"/>
    <w:rsid w:val="003A448F"/>
    <w:rsid w:val="00433F71"/>
    <w:rsid w:val="00434ACA"/>
    <w:rsid w:val="00486983"/>
    <w:rsid w:val="004928CB"/>
    <w:rsid w:val="004E0DAE"/>
    <w:rsid w:val="004E159A"/>
    <w:rsid w:val="004F1E46"/>
    <w:rsid w:val="00527C5E"/>
    <w:rsid w:val="00541E49"/>
    <w:rsid w:val="0056335F"/>
    <w:rsid w:val="00580A01"/>
    <w:rsid w:val="005A34E3"/>
    <w:rsid w:val="005A6792"/>
    <w:rsid w:val="006018ED"/>
    <w:rsid w:val="00604FDE"/>
    <w:rsid w:val="0068284C"/>
    <w:rsid w:val="00724F84"/>
    <w:rsid w:val="007B7CFA"/>
    <w:rsid w:val="007F0D22"/>
    <w:rsid w:val="00852E0A"/>
    <w:rsid w:val="00885EC1"/>
    <w:rsid w:val="009174A9"/>
    <w:rsid w:val="009B08E3"/>
    <w:rsid w:val="009D3925"/>
    <w:rsid w:val="00A07B64"/>
    <w:rsid w:val="00A30BE8"/>
    <w:rsid w:val="00A31AF3"/>
    <w:rsid w:val="00AF0538"/>
    <w:rsid w:val="00BC6BDE"/>
    <w:rsid w:val="00BE72A8"/>
    <w:rsid w:val="00C67DC2"/>
    <w:rsid w:val="00CD0F77"/>
    <w:rsid w:val="00CE4EA6"/>
    <w:rsid w:val="00D04A3B"/>
    <w:rsid w:val="00D50F3E"/>
    <w:rsid w:val="00D574F9"/>
    <w:rsid w:val="00D77E53"/>
    <w:rsid w:val="00D94C28"/>
    <w:rsid w:val="00DB79C8"/>
    <w:rsid w:val="00E154EF"/>
    <w:rsid w:val="00E248E8"/>
    <w:rsid w:val="00E3084C"/>
    <w:rsid w:val="00E433B7"/>
    <w:rsid w:val="00E971D4"/>
    <w:rsid w:val="00F15896"/>
    <w:rsid w:val="00F33122"/>
    <w:rsid w:val="00FA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4FD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50F3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pnname">
    <w:name w:val="pnname"/>
    <w:basedOn w:val="Predvolenpsmoodseku"/>
    <w:rsid w:val="00C67DC2"/>
  </w:style>
  <w:style w:type="paragraph" w:customStyle="1" w:styleId="CM4">
    <w:name w:val="CM4"/>
    <w:basedOn w:val="Normlny"/>
    <w:next w:val="Normlny"/>
    <w:uiPriority w:val="99"/>
    <w:rsid w:val="00724F84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D94C28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9867">
              <w:marLeft w:val="3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34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5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0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1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90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641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63226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7167">
                                                  <w:marLeft w:val="284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9175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5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Bachníček Jozef</dc:creator>
  <cp:keywords/>
  <dc:description/>
  <cp:lastModifiedBy>zakova</cp:lastModifiedBy>
  <cp:revision>34</cp:revision>
  <cp:lastPrinted>2018-11-16T12:05:00Z</cp:lastPrinted>
  <dcterms:created xsi:type="dcterms:W3CDTF">2018-11-15T08:45:00Z</dcterms:created>
  <dcterms:modified xsi:type="dcterms:W3CDTF">2018-11-16T12:36:00Z</dcterms:modified>
</cp:coreProperties>
</file>