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E3AE5" w14:textId="61B46065" w:rsidR="00D31288" w:rsidRPr="00AC7C3A" w:rsidRDefault="00AC7C3A" w:rsidP="009C50B9">
      <w:pPr>
        <w:pStyle w:val="CEAStandardHeading"/>
        <w:jc w:val="center"/>
        <w:rPr>
          <w:b w:val="0"/>
          <w:color w:val="002957"/>
          <w:sz w:val="19"/>
          <w:szCs w:val="19"/>
        </w:rPr>
      </w:pPr>
      <w:bookmarkStart w:id="0" w:name="_GoBack"/>
      <w:bookmarkEnd w:id="0"/>
      <w:r w:rsidRPr="00AC7C3A">
        <w:rPr>
          <w:b w:val="0"/>
          <w:color w:val="002957"/>
          <w:sz w:val="19"/>
          <w:szCs w:val="19"/>
        </w:rPr>
        <w:t>O</w:t>
      </w:r>
      <w:r w:rsidR="009C50B9">
        <w:rPr>
          <w:b w:val="0"/>
          <w:color w:val="002957"/>
          <w:sz w:val="19"/>
          <w:szCs w:val="19"/>
        </w:rPr>
        <w:t>v</w:t>
      </w:r>
      <w:r w:rsidRPr="00AC7C3A">
        <w:rPr>
          <w:b w:val="0"/>
          <w:color w:val="002957"/>
          <w:sz w:val="19"/>
          <w:szCs w:val="19"/>
        </w:rPr>
        <w:t xml:space="preserve">erview of the issues in the scope of the </w:t>
      </w:r>
      <w:hyperlink r:id="rId11" w:history="1">
        <w:r w:rsidRPr="006E183F">
          <w:rPr>
            <w:rStyle w:val="Hypertextovprepojenie"/>
            <w:b w:val="0"/>
            <w:sz w:val="19"/>
            <w:szCs w:val="19"/>
          </w:rPr>
          <w:t>CfA</w:t>
        </w:r>
      </w:hyperlink>
    </w:p>
    <w:tbl>
      <w:tblPr>
        <w:tblStyle w:val="Mriekatabuky"/>
        <w:tblW w:w="14879" w:type="dxa"/>
        <w:tblLook w:val="04A0" w:firstRow="1" w:lastRow="0" w:firstColumn="1" w:lastColumn="0" w:noHBand="0" w:noVBand="1"/>
      </w:tblPr>
      <w:tblGrid>
        <w:gridCol w:w="1202"/>
        <w:gridCol w:w="2560"/>
        <w:gridCol w:w="2640"/>
        <w:gridCol w:w="3263"/>
        <w:gridCol w:w="2628"/>
        <w:gridCol w:w="2586"/>
      </w:tblGrid>
      <w:tr w:rsidR="009C50B9" w14:paraId="0CEDF24D" w14:textId="77777777" w:rsidTr="003D0D1E">
        <w:trPr>
          <w:tblHeader/>
        </w:trPr>
        <w:tc>
          <w:tcPr>
            <w:tcW w:w="1328" w:type="dxa"/>
          </w:tcPr>
          <w:p w14:paraId="07E536EB" w14:textId="77777777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41" w:type="dxa"/>
          </w:tcPr>
          <w:p w14:paraId="7F789355" w14:textId="6B9A8E90" w:rsidR="00B1386C" w:rsidRPr="003D0D1E" w:rsidRDefault="00B1386C" w:rsidP="00D31288">
            <w:pPr>
              <w:pStyle w:val="CEABullet-Level1"/>
              <w:numPr>
                <w:ilvl w:val="0"/>
                <w:numId w:val="0"/>
              </w:numPr>
              <w:rPr>
                <w:b/>
                <w:i/>
              </w:rPr>
            </w:pPr>
            <w:r w:rsidRPr="003D0D1E">
              <w:rPr>
                <w:b/>
                <w:i/>
              </w:rPr>
              <w:t>Area</w:t>
            </w:r>
          </w:p>
        </w:tc>
        <w:tc>
          <w:tcPr>
            <w:tcW w:w="2702" w:type="dxa"/>
          </w:tcPr>
          <w:p w14:paraId="2CFC554F" w14:textId="4B8664A1" w:rsidR="00B1386C" w:rsidRPr="003D0D1E" w:rsidRDefault="00FB38C6" w:rsidP="00D31288">
            <w:pPr>
              <w:pStyle w:val="CEABullet-Level1"/>
              <w:numPr>
                <w:ilvl w:val="0"/>
                <w:numId w:val="0"/>
              </w:numPr>
              <w:rPr>
                <w:b/>
                <w:i/>
              </w:rPr>
            </w:pPr>
            <w:r w:rsidRPr="003D0D1E">
              <w:rPr>
                <w:b/>
                <w:i/>
              </w:rPr>
              <w:t>Mandate for EIOPA</w:t>
            </w:r>
          </w:p>
        </w:tc>
        <w:tc>
          <w:tcPr>
            <w:tcW w:w="2703" w:type="dxa"/>
          </w:tcPr>
          <w:p w14:paraId="4FB92C66" w14:textId="2A3777D1" w:rsidR="00B1386C" w:rsidRPr="003D0D1E" w:rsidRDefault="00B1386C" w:rsidP="00D31288">
            <w:pPr>
              <w:pStyle w:val="CEABullet-Level1"/>
              <w:numPr>
                <w:ilvl w:val="0"/>
                <w:numId w:val="0"/>
              </w:numPr>
              <w:rPr>
                <w:b/>
                <w:i/>
              </w:rPr>
            </w:pPr>
            <w:r w:rsidRPr="003D0D1E">
              <w:rPr>
                <w:b/>
                <w:i/>
              </w:rPr>
              <w:t>Challenges</w:t>
            </w:r>
          </w:p>
        </w:tc>
        <w:tc>
          <w:tcPr>
            <w:tcW w:w="2702" w:type="dxa"/>
          </w:tcPr>
          <w:p w14:paraId="0DE91D19" w14:textId="1DAE1312" w:rsidR="00B1386C" w:rsidRPr="003D0D1E" w:rsidRDefault="00B1386C" w:rsidP="00D31288">
            <w:pPr>
              <w:pStyle w:val="CEABullet-Level1"/>
              <w:numPr>
                <w:ilvl w:val="0"/>
                <w:numId w:val="0"/>
              </w:numPr>
              <w:rPr>
                <w:b/>
                <w:i/>
              </w:rPr>
            </w:pPr>
            <w:r w:rsidRPr="003D0D1E">
              <w:rPr>
                <w:b/>
                <w:i/>
              </w:rPr>
              <w:t>Opportunities</w:t>
            </w:r>
          </w:p>
        </w:tc>
        <w:tc>
          <w:tcPr>
            <w:tcW w:w="2703" w:type="dxa"/>
          </w:tcPr>
          <w:p w14:paraId="430E0BF8" w14:textId="39E6D89C" w:rsidR="00B1386C" w:rsidRPr="003D0D1E" w:rsidRDefault="00B1386C" w:rsidP="00D31288">
            <w:pPr>
              <w:pStyle w:val="CEABullet-Level1"/>
              <w:numPr>
                <w:ilvl w:val="0"/>
                <w:numId w:val="0"/>
              </w:numPr>
              <w:rPr>
                <w:b/>
                <w:i/>
              </w:rPr>
            </w:pPr>
            <w:r w:rsidRPr="003D0D1E">
              <w:rPr>
                <w:b/>
                <w:i/>
              </w:rPr>
              <w:t>Existing Insurance Europe position and written material</w:t>
            </w:r>
          </w:p>
        </w:tc>
      </w:tr>
      <w:tr w:rsidR="009C50B9" w14:paraId="6C2CB33A" w14:textId="77777777" w:rsidTr="009C50B9">
        <w:tc>
          <w:tcPr>
            <w:tcW w:w="1328" w:type="dxa"/>
          </w:tcPr>
          <w:p w14:paraId="1F753935" w14:textId="0936934A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  <w:r>
              <w:t>1</w:t>
            </w:r>
            <w:r w:rsidR="00D60E50">
              <w:t xml:space="preserve"> </w:t>
            </w:r>
          </w:p>
        </w:tc>
        <w:tc>
          <w:tcPr>
            <w:tcW w:w="2741" w:type="dxa"/>
          </w:tcPr>
          <w:p w14:paraId="6F2079CC" w14:textId="0770C51E" w:rsidR="00B1386C" w:rsidRDefault="0005308C" w:rsidP="00D31288">
            <w:pPr>
              <w:pStyle w:val="CEABullet-Level1"/>
              <w:numPr>
                <w:ilvl w:val="0"/>
                <w:numId w:val="0"/>
              </w:numPr>
            </w:pPr>
            <w:r>
              <w:t>Extrapolation of risk free interest rate term structure (Art 77</w:t>
            </w:r>
            <w:r w:rsidR="00FB38C6">
              <w:t>a</w:t>
            </w:r>
            <w:r>
              <w:t>)</w:t>
            </w:r>
          </w:p>
        </w:tc>
        <w:tc>
          <w:tcPr>
            <w:tcW w:w="2702" w:type="dxa"/>
          </w:tcPr>
          <w:p w14:paraId="43C6FBCC" w14:textId="54C06541" w:rsidR="00ED47DD" w:rsidRDefault="000202AD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076CFA">
              <w:t>P</w:t>
            </w:r>
            <w:r>
              <w:t>rovide evidence, for all currencies in the Union, on criteria to determine the LLP</w:t>
            </w:r>
            <w:r w:rsidR="00BC40DC">
              <w:t>.</w:t>
            </w:r>
          </w:p>
          <w:p w14:paraId="79D90BBC" w14:textId="4FD6F176" w:rsidR="00B1386C" w:rsidRDefault="000202AD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-If any LLPs are inappropriate, then EIOPA asked to provide </w:t>
            </w:r>
            <w:r w:rsidR="004C0770">
              <w:t>impact assessment</w:t>
            </w:r>
            <w:r w:rsidR="00974A19">
              <w:t xml:space="preserve"> to support any proposed change.</w:t>
            </w:r>
          </w:p>
        </w:tc>
        <w:tc>
          <w:tcPr>
            <w:tcW w:w="2703" w:type="dxa"/>
          </w:tcPr>
          <w:p w14:paraId="368ACB5B" w14:textId="5E4E8F43" w:rsidR="00304D4A" w:rsidRDefault="00974A19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-EIOPA </w:t>
            </w:r>
            <w:r w:rsidR="00A04347">
              <w:t xml:space="preserve">is </w:t>
            </w:r>
            <w:r>
              <w:t>likely to propose a shift to a 30yr LLP for EUR</w:t>
            </w:r>
            <w:r w:rsidR="00304D4A">
              <w:t>.</w:t>
            </w:r>
          </w:p>
          <w:p w14:paraId="4BED7541" w14:textId="137CB7A2" w:rsidR="00B1386C" w:rsidRDefault="00974A19" w:rsidP="00D31288">
            <w:pPr>
              <w:pStyle w:val="CEABullet-Level1"/>
              <w:numPr>
                <w:ilvl w:val="0"/>
                <w:numId w:val="0"/>
              </w:numPr>
            </w:pPr>
            <w:r>
              <w:t>-A shift is supported by ESRB</w:t>
            </w:r>
            <w:r w:rsidR="00132E75">
              <w:t>,</w:t>
            </w:r>
            <w:r>
              <w:t xml:space="preserve"> who </w:t>
            </w:r>
            <w:r w:rsidR="00132E75">
              <w:t>“independently”</w:t>
            </w:r>
            <w:r>
              <w:t xml:space="preserve"> proposed such a change.</w:t>
            </w:r>
          </w:p>
        </w:tc>
        <w:tc>
          <w:tcPr>
            <w:tcW w:w="2702" w:type="dxa"/>
          </w:tcPr>
          <w:p w14:paraId="6FB8190D" w14:textId="329D8669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03" w:type="dxa"/>
          </w:tcPr>
          <w:p w14:paraId="0BB64A77" w14:textId="603A4BB3" w:rsidR="00304D4A" w:rsidRDefault="00974A19" w:rsidP="00304D4A">
            <w:pPr>
              <w:pStyle w:val="CEABullet-Level1"/>
              <w:numPr>
                <w:ilvl w:val="0"/>
                <w:numId w:val="0"/>
              </w:numPr>
            </w:pPr>
            <w:r>
              <w:t>-Insurance Europe supports stability of the RFR curve and retention of the 20yr LLP for EUR curve.</w:t>
            </w:r>
          </w:p>
          <w:p w14:paraId="33C0C3F4" w14:textId="0E157B30" w:rsidR="00304D4A" w:rsidRDefault="00304D4A" w:rsidP="00304D4A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Pr="00304D4A">
              <w:t xml:space="preserve">ESRB </w:t>
            </w:r>
            <w:hyperlink r:id="rId12" w:history="1">
              <w:r w:rsidRPr="003D0D1E">
                <w:rPr>
                  <w:rStyle w:val="Hypertextovprepojenie"/>
                </w:rPr>
                <w:t>Regulatory risk-free yield curve properties and macroprudential consequences</w:t>
              </w:r>
            </w:hyperlink>
            <w:r>
              <w:t>.</w:t>
            </w:r>
          </w:p>
          <w:p w14:paraId="1782CEF4" w14:textId="66994AF7" w:rsidR="00132E75" w:rsidRDefault="00304D4A" w:rsidP="00132E75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132E75">
              <w:t xml:space="preserve">Assessment of the </w:t>
            </w:r>
            <w:r w:rsidR="0027467F">
              <w:t xml:space="preserve">impact of changing the LLP </w:t>
            </w:r>
            <w:r w:rsidR="00132E75">
              <w:t>can be found in EIOPA LTG Reports:</w:t>
            </w:r>
          </w:p>
          <w:p w14:paraId="6BF9D004" w14:textId="78BA7BB6" w:rsidR="00304D4A" w:rsidRDefault="00132E75" w:rsidP="00304D4A">
            <w:pPr>
              <w:pStyle w:val="CEABullet-Level1"/>
              <w:numPr>
                <w:ilvl w:val="0"/>
                <w:numId w:val="0"/>
              </w:numPr>
            </w:pPr>
            <w:r>
              <w:t xml:space="preserve">2017 – </w:t>
            </w:r>
            <w:hyperlink r:id="rId13" w:history="1">
              <w:r w:rsidRPr="002A419C">
                <w:rPr>
                  <w:rStyle w:val="Hypertextovprepojenie"/>
                </w:rPr>
                <w:t>link</w:t>
              </w:r>
            </w:hyperlink>
          </w:p>
          <w:p w14:paraId="07C23878" w14:textId="2528EB5B" w:rsidR="00304D4A" w:rsidRDefault="00132E75" w:rsidP="00304D4A">
            <w:pPr>
              <w:pStyle w:val="CEABullet-Level1"/>
              <w:numPr>
                <w:ilvl w:val="0"/>
                <w:numId w:val="0"/>
              </w:numPr>
            </w:pPr>
            <w:r>
              <w:t xml:space="preserve">2018 - </w:t>
            </w:r>
            <w:hyperlink r:id="rId14" w:history="1">
              <w:r w:rsidRPr="002A419C">
                <w:rPr>
                  <w:rStyle w:val="Hypertextovprepojenie"/>
                </w:rPr>
                <w:t>link</w:t>
              </w:r>
            </w:hyperlink>
          </w:p>
          <w:p w14:paraId="04A5EAC8" w14:textId="054C975A" w:rsidR="00B1386C" w:rsidRDefault="00132E75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 </w:t>
            </w:r>
          </w:p>
        </w:tc>
      </w:tr>
      <w:tr w:rsidR="009C50B9" w14:paraId="581A62CE" w14:textId="77777777" w:rsidTr="009C50B9">
        <w:tc>
          <w:tcPr>
            <w:tcW w:w="1328" w:type="dxa"/>
          </w:tcPr>
          <w:p w14:paraId="09E4973C" w14:textId="66DFAB05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  <w:r>
              <w:t>2</w:t>
            </w:r>
            <w:r w:rsidR="00D60E50">
              <w:t xml:space="preserve"> </w:t>
            </w:r>
          </w:p>
        </w:tc>
        <w:tc>
          <w:tcPr>
            <w:tcW w:w="2741" w:type="dxa"/>
          </w:tcPr>
          <w:p w14:paraId="218A8049" w14:textId="4162C0B8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>Matching adjustment (Art. 77b, 77c) and volatility adjustment (Art. 77d)</w:t>
            </w:r>
            <w:r w:rsidRPr="00762DCA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</w:p>
        </w:tc>
        <w:tc>
          <w:tcPr>
            <w:tcW w:w="2702" w:type="dxa"/>
          </w:tcPr>
          <w:p w14:paraId="5DFC5E92" w14:textId="77777777" w:rsidR="00B92FA2" w:rsidRDefault="00EC4791" w:rsidP="00D31288">
            <w:pPr>
              <w:pStyle w:val="CEABullet-Level1"/>
              <w:numPr>
                <w:ilvl w:val="0"/>
                <w:numId w:val="0"/>
              </w:numPr>
            </w:pPr>
            <w:r>
              <w:t>-Assess the efficient functioning of the VA and MA</w:t>
            </w:r>
            <w:r w:rsidR="00B92FA2">
              <w:t>.</w:t>
            </w:r>
          </w:p>
          <w:p w14:paraId="0A4041B2" w14:textId="35BF62A7" w:rsidR="00B92FA2" w:rsidRDefault="00B92FA2" w:rsidP="00B92FA2">
            <w:pPr>
              <w:pStyle w:val="CEABullet-Level1"/>
              <w:numPr>
                <w:ilvl w:val="0"/>
                <w:numId w:val="0"/>
              </w:numPr>
            </w:pPr>
            <w:r>
              <w:t>-Provide an assessment of quantitative impact on best estimate and solvency position of changing VA:</w:t>
            </w:r>
          </w:p>
          <w:p w14:paraId="50717024" w14:textId="77777777" w:rsidR="00B92FA2" w:rsidRDefault="00B92FA2" w:rsidP="00B92FA2">
            <w:pPr>
              <w:pStyle w:val="CEABullet-Level1"/>
              <w:numPr>
                <w:ilvl w:val="0"/>
                <w:numId w:val="44"/>
              </w:numPr>
            </w:pPr>
            <w:r>
              <w:t>By adjusting the application ratio to reflect illiquid characteristics of individual insurers</w:t>
            </w:r>
          </w:p>
          <w:p w14:paraId="420FE754" w14:textId="77777777" w:rsidR="00B92FA2" w:rsidRDefault="00B92FA2" w:rsidP="00B92FA2">
            <w:pPr>
              <w:pStyle w:val="CEABullet-Level1"/>
              <w:numPr>
                <w:ilvl w:val="0"/>
                <w:numId w:val="44"/>
              </w:numPr>
            </w:pPr>
            <w:r>
              <w:t>By adopting a weighted own assets approach</w:t>
            </w:r>
          </w:p>
          <w:p w14:paraId="7AE12EA2" w14:textId="30999F60" w:rsidR="00B92FA2" w:rsidRDefault="00B92FA2" w:rsidP="00B92FA2">
            <w:pPr>
              <w:pStyle w:val="CEABullet-Level1"/>
              <w:numPr>
                <w:ilvl w:val="0"/>
                <w:numId w:val="0"/>
              </w:numPr>
            </w:pPr>
          </w:p>
          <w:p w14:paraId="6BFA0369" w14:textId="77777777" w:rsidR="00B92FA2" w:rsidRDefault="00B92FA2" w:rsidP="00B92FA2">
            <w:pPr>
              <w:pStyle w:val="CEABullet-Level1"/>
              <w:numPr>
                <w:ilvl w:val="0"/>
                <w:numId w:val="0"/>
              </w:numPr>
            </w:pPr>
            <w:r>
              <w:t>-Provide</w:t>
            </w:r>
            <w:r w:rsidRPr="00B92FA2">
              <w:t xml:space="preserve"> an assessment of quantitative impact on best </w:t>
            </w:r>
            <w:r w:rsidRPr="00B92FA2">
              <w:lastRenderedPageBreak/>
              <w:t xml:space="preserve">estimate and solvency position of changing </w:t>
            </w:r>
            <w:r>
              <w:t>M</w:t>
            </w:r>
            <w:r w:rsidRPr="00B92FA2">
              <w:t>A</w:t>
            </w:r>
            <w:r>
              <w:t>:</w:t>
            </w:r>
          </w:p>
          <w:p w14:paraId="76AFF6EA" w14:textId="39DF6B99" w:rsidR="001732A1" w:rsidRDefault="001732A1" w:rsidP="00B92FA2">
            <w:pPr>
              <w:pStyle w:val="CEABullet-Level1"/>
              <w:numPr>
                <w:ilvl w:val="0"/>
                <w:numId w:val="45"/>
              </w:numPr>
            </w:pPr>
            <w:r>
              <w:t>By changing no diversification</w:t>
            </w:r>
            <w:r w:rsidR="00076CFA">
              <w:t xml:space="preserve"> assumption.</w:t>
            </w:r>
          </w:p>
          <w:p w14:paraId="675A08AF" w14:textId="7D0DC0F6" w:rsidR="00B1386C" w:rsidRDefault="001732A1" w:rsidP="000E25DF">
            <w:pPr>
              <w:pStyle w:val="CEABullet-Level1"/>
              <w:numPr>
                <w:ilvl w:val="0"/>
                <w:numId w:val="45"/>
              </w:numPr>
            </w:pPr>
            <w:r>
              <w:t>By altering criteria for eligible assets for use in MA.</w:t>
            </w:r>
          </w:p>
        </w:tc>
        <w:tc>
          <w:tcPr>
            <w:tcW w:w="2703" w:type="dxa"/>
          </w:tcPr>
          <w:p w14:paraId="4D3F386B" w14:textId="77777777" w:rsidR="0058370A" w:rsidRDefault="00F156F1" w:rsidP="00D31288">
            <w:pPr>
              <w:pStyle w:val="CEABullet-Level1"/>
              <w:numPr>
                <w:ilvl w:val="0"/>
                <w:numId w:val="0"/>
              </w:numPr>
            </w:pPr>
            <w:r>
              <w:lastRenderedPageBreak/>
              <w:t xml:space="preserve">-EIOPA’s initial work on illiquid liabilities failed to recognise the link between the liquidity of the assets and </w:t>
            </w:r>
            <w:r w:rsidR="0058370A">
              <w:t xml:space="preserve">the </w:t>
            </w:r>
            <w:r>
              <w:t>lia</w:t>
            </w:r>
            <w:r w:rsidR="0058370A">
              <w:t xml:space="preserve">bilities. </w:t>
            </w:r>
          </w:p>
          <w:p w14:paraId="59683FCB" w14:textId="246887F0" w:rsidR="00B1386C" w:rsidRDefault="0058370A" w:rsidP="00D31288">
            <w:pPr>
              <w:pStyle w:val="CEABullet-Level1"/>
              <w:numPr>
                <w:ilvl w:val="0"/>
                <w:numId w:val="0"/>
              </w:numPr>
            </w:pPr>
            <w:r>
              <w:t>-The EC do not preclude the possibility of transitioning to a single adjustment approach.</w:t>
            </w:r>
          </w:p>
        </w:tc>
        <w:tc>
          <w:tcPr>
            <w:tcW w:w="2702" w:type="dxa"/>
          </w:tcPr>
          <w:p w14:paraId="0F642F55" w14:textId="03C1DB53" w:rsidR="00B1386C" w:rsidRDefault="001732A1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-The </w:t>
            </w:r>
            <w:r w:rsidR="00076CFA">
              <w:t>work requested by EC</w:t>
            </w:r>
            <w:r>
              <w:t xml:space="preserve"> broadly reflects the industry’s initial discussion on </w:t>
            </w:r>
            <w:r w:rsidR="0058370A">
              <w:t>improvements to</w:t>
            </w:r>
            <w:r>
              <w:t xml:space="preserve"> the VA and MA </w:t>
            </w:r>
            <w:r w:rsidR="00076CFA">
              <w:t>ie</w:t>
            </w:r>
            <w:r>
              <w:t>.</w:t>
            </w:r>
            <w:r w:rsidR="00076CFA">
              <w:t xml:space="preserve"> assess a recalibrated VA and a redesigned VA</w:t>
            </w:r>
            <w:r>
              <w:t xml:space="preserve">. </w:t>
            </w:r>
          </w:p>
        </w:tc>
        <w:tc>
          <w:tcPr>
            <w:tcW w:w="2703" w:type="dxa"/>
          </w:tcPr>
          <w:p w14:paraId="11788887" w14:textId="2CFD7CEC" w:rsidR="00B1386C" w:rsidRDefault="0058370A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-Insurance Europe position remains in development. </w:t>
            </w:r>
          </w:p>
        </w:tc>
      </w:tr>
      <w:tr w:rsidR="009C50B9" w14:paraId="7515A4B6" w14:textId="77777777" w:rsidTr="009C50B9">
        <w:tc>
          <w:tcPr>
            <w:tcW w:w="1328" w:type="dxa"/>
          </w:tcPr>
          <w:p w14:paraId="3CBA7ABB" w14:textId="77777777" w:rsidR="00B1386C" w:rsidDel="00A04347" w:rsidRDefault="00B1386C" w:rsidP="00D31288">
            <w:pPr>
              <w:pStyle w:val="CEABullet-Level1"/>
              <w:numPr>
                <w:ilvl w:val="0"/>
                <w:numId w:val="0"/>
              </w:numPr>
            </w:pPr>
            <w:r>
              <w:t>3</w:t>
            </w:r>
          </w:p>
          <w:p w14:paraId="074D68C8" w14:textId="012F005E" w:rsidR="00D60E50" w:rsidRDefault="00D60E50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41" w:type="dxa"/>
          </w:tcPr>
          <w:p w14:paraId="3FB9825E" w14:textId="4CF4D678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Transitional measures </w:t>
            </w:r>
          </w:p>
        </w:tc>
        <w:tc>
          <w:tcPr>
            <w:tcW w:w="2702" w:type="dxa"/>
          </w:tcPr>
          <w:p w14:paraId="5EA40964" w14:textId="73CFB0BF" w:rsidR="008A4962" w:rsidRDefault="00E95EAA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8A4962">
              <w:t>Assess ongoing appropriateness of the transitional provisions in terms of policyholder protection and level-playing field.</w:t>
            </w:r>
          </w:p>
          <w:p w14:paraId="01BC7EBC" w14:textId="77777777" w:rsidR="00ED47DD" w:rsidRDefault="00ED47DD" w:rsidP="00D31288">
            <w:pPr>
              <w:pStyle w:val="CEABullet-Level1"/>
              <w:numPr>
                <w:ilvl w:val="0"/>
                <w:numId w:val="0"/>
              </w:numPr>
            </w:pPr>
          </w:p>
          <w:p w14:paraId="592CB185" w14:textId="45FCFB08" w:rsidR="00B1386C" w:rsidRDefault="008A4962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-Assess </w:t>
            </w:r>
            <w:r w:rsidR="00076CFA">
              <w:t>whether</w:t>
            </w:r>
            <w:r>
              <w:t xml:space="preserve"> ongoing possibility for companies to </w:t>
            </w:r>
            <w:r w:rsidR="00E263D0">
              <w:t>newly apply for transitional measures should continue.</w:t>
            </w:r>
          </w:p>
        </w:tc>
        <w:tc>
          <w:tcPr>
            <w:tcW w:w="2703" w:type="dxa"/>
          </w:tcPr>
          <w:p w14:paraId="21558E15" w14:textId="0EA011CA" w:rsidR="00ED47DD" w:rsidRDefault="00ED47DD" w:rsidP="00D31288">
            <w:pPr>
              <w:pStyle w:val="CEABullet-Level1"/>
              <w:numPr>
                <w:ilvl w:val="0"/>
                <w:numId w:val="0"/>
              </w:numPr>
            </w:pPr>
            <w:r>
              <w:t>-Possib</w:t>
            </w:r>
            <w:r w:rsidR="007C7D96">
              <w:t>le restriction</w:t>
            </w:r>
            <w:r w:rsidR="001A3FBA">
              <w:t>s</w:t>
            </w:r>
            <w:r w:rsidR="007C7D96">
              <w:t xml:space="preserve"> to the use of </w:t>
            </w:r>
            <w:r>
              <w:t>transitional measures.</w:t>
            </w:r>
          </w:p>
          <w:p w14:paraId="122DAEEF" w14:textId="77777777" w:rsidR="00ED47DD" w:rsidRDefault="00ED47DD" w:rsidP="00D31288">
            <w:pPr>
              <w:pStyle w:val="CEABullet-Level1"/>
              <w:numPr>
                <w:ilvl w:val="0"/>
                <w:numId w:val="0"/>
              </w:numPr>
            </w:pPr>
          </w:p>
          <w:p w14:paraId="4ACB3573" w14:textId="442EF9A9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02" w:type="dxa"/>
          </w:tcPr>
          <w:p w14:paraId="70CE6CCB" w14:textId="568AA117" w:rsidR="00B1386C" w:rsidRDefault="00ED47DD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-CfA specifically requests analysis of the expired transitional measures </w:t>
            </w:r>
            <w:r w:rsidR="00076CFA">
              <w:t>relating to</w:t>
            </w:r>
            <w:r>
              <w:t xml:space="preserve"> non-domestically denominated government debt (Art. 308 b (12)).</w:t>
            </w:r>
            <w:r w:rsidR="00076CFA">
              <w:t xml:space="preserve"> This has been an issue for a number of members.</w:t>
            </w:r>
          </w:p>
        </w:tc>
        <w:tc>
          <w:tcPr>
            <w:tcW w:w="2703" w:type="dxa"/>
          </w:tcPr>
          <w:p w14:paraId="0E305AAE" w14:textId="0AD14525" w:rsidR="00132E75" w:rsidRDefault="00ED47DD" w:rsidP="00ED47DD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2A419C">
              <w:t xml:space="preserve">Assessment of the transitional measures </w:t>
            </w:r>
            <w:r w:rsidR="00076CFA">
              <w:t xml:space="preserve">(TRFR and TTP) </w:t>
            </w:r>
            <w:r w:rsidR="002A419C">
              <w:t>can be found in EIOPA LTG Reports</w:t>
            </w:r>
            <w:r w:rsidR="00132E75">
              <w:t>:</w:t>
            </w:r>
          </w:p>
          <w:p w14:paraId="65204580" w14:textId="77777777" w:rsidR="00132E75" w:rsidRDefault="002A419C" w:rsidP="00ED47DD">
            <w:pPr>
              <w:pStyle w:val="CEABullet-Level1"/>
              <w:numPr>
                <w:ilvl w:val="0"/>
                <w:numId w:val="0"/>
              </w:numPr>
            </w:pPr>
            <w:r>
              <w:t xml:space="preserve">2017 – </w:t>
            </w:r>
            <w:hyperlink r:id="rId15" w:history="1">
              <w:r w:rsidRPr="002A419C">
                <w:rPr>
                  <w:rStyle w:val="Hypertextovprepojenie"/>
                </w:rPr>
                <w:t>link</w:t>
              </w:r>
            </w:hyperlink>
          </w:p>
          <w:p w14:paraId="5D332939" w14:textId="12DD47BD" w:rsidR="00ED47DD" w:rsidRDefault="002A419C" w:rsidP="00ED47DD">
            <w:pPr>
              <w:pStyle w:val="CEABullet-Level1"/>
              <w:numPr>
                <w:ilvl w:val="0"/>
                <w:numId w:val="0"/>
              </w:numPr>
            </w:pPr>
            <w:r>
              <w:t xml:space="preserve">2018 - </w:t>
            </w:r>
            <w:hyperlink r:id="rId16" w:history="1">
              <w:r w:rsidRPr="002A419C">
                <w:rPr>
                  <w:rStyle w:val="Hypertextovprepojenie"/>
                </w:rPr>
                <w:t>link</w:t>
              </w:r>
            </w:hyperlink>
          </w:p>
          <w:p w14:paraId="0EC15577" w14:textId="2F6B67D7" w:rsidR="00ED47DD" w:rsidRDefault="00ED47DD" w:rsidP="00ED47DD">
            <w:pPr>
              <w:pStyle w:val="CEABullet-Level1"/>
              <w:numPr>
                <w:ilvl w:val="0"/>
                <w:numId w:val="0"/>
              </w:numPr>
            </w:pPr>
          </w:p>
          <w:p w14:paraId="3A3096CA" w14:textId="77777777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</w:tr>
      <w:tr w:rsidR="009C50B9" w14:paraId="66A770FE" w14:textId="77777777" w:rsidTr="009C50B9">
        <w:tc>
          <w:tcPr>
            <w:tcW w:w="1328" w:type="dxa"/>
          </w:tcPr>
          <w:p w14:paraId="5A5CD872" w14:textId="782799A5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  <w:r>
              <w:t>4</w:t>
            </w:r>
          </w:p>
        </w:tc>
        <w:tc>
          <w:tcPr>
            <w:tcW w:w="2741" w:type="dxa"/>
          </w:tcPr>
          <w:p w14:paraId="36E870D8" w14:textId="294D0DA2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Risk margin </w:t>
            </w:r>
          </w:p>
        </w:tc>
        <w:tc>
          <w:tcPr>
            <w:tcW w:w="2702" w:type="dxa"/>
          </w:tcPr>
          <w:p w14:paraId="1DD52F88" w14:textId="47CB1EE3" w:rsidR="00F81177" w:rsidRDefault="00EC4791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F81177">
              <w:t xml:space="preserve">Assess whether design is still appropriate, without challenging CoC approach. </w:t>
            </w:r>
          </w:p>
          <w:p w14:paraId="2FDBF1EE" w14:textId="43C6DC0B" w:rsidR="00F81177" w:rsidRDefault="00EC4791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F81177">
              <w:t>Assess appropriateness</w:t>
            </w:r>
            <w:r w:rsidR="00A04347">
              <w:t xml:space="preserve"> of</w:t>
            </w:r>
            <w:r w:rsidR="00F81177">
              <w:t>:</w:t>
            </w:r>
          </w:p>
          <w:p w14:paraId="79BC52E7" w14:textId="2D58C855" w:rsidR="00F81177" w:rsidRDefault="00EC4791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 </w:t>
            </w:r>
            <w:r w:rsidR="00F81177">
              <w:t>-RM design, in light of EIOPA’s transfer value work.</w:t>
            </w:r>
          </w:p>
          <w:p w14:paraId="739658AF" w14:textId="408A9C3B" w:rsidR="00F81177" w:rsidRDefault="00EC4791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 </w:t>
            </w:r>
            <w:r w:rsidR="00F81177">
              <w:t xml:space="preserve">-assumptions on asset mix of receiving undertaking. </w:t>
            </w:r>
          </w:p>
          <w:p w14:paraId="3A7A0921" w14:textId="2ACA6AD9" w:rsidR="00F81177" w:rsidRDefault="00EC4791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 </w:t>
            </w:r>
            <w:r w:rsidR="00F81177">
              <w:t>-us</w:t>
            </w:r>
            <w:r w:rsidR="00573B2D">
              <w:t>ing</w:t>
            </w:r>
            <w:r w:rsidR="00F81177">
              <w:t xml:space="preserve"> a fixed CoC rate</w:t>
            </w:r>
          </w:p>
          <w:p w14:paraId="30B684F5" w14:textId="4D395A95" w:rsidR="00B1386C" w:rsidRDefault="00EC4791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 </w:t>
            </w:r>
            <w:r w:rsidR="00F81177">
              <w:t>-assumptions for deriving the CoC rate (incl absence of leverage and derivation of the equity risk premium).</w:t>
            </w:r>
          </w:p>
        </w:tc>
        <w:tc>
          <w:tcPr>
            <w:tcW w:w="2703" w:type="dxa"/>
          </w:tcPr>
          <w:p w14:paraId="4F58798E" w14:textId="69675F28" w:rsidR="00320DCB" w:rsidRDefault="00320DCB" w:rsidP="00D31288">
            <w:pPr>
              <w:pStyle w:val="CEABullet-Level1"/>
              <w:numPr>
                <w:ilvl w:val="0"/>
                <w:numId w:val="0"/>
              </w:numPr>
            </w:pPr>
          </w:p>
          <w:p w14:paraId="0E3DE9BC" w14:textId="746C58BA" w:rsidR="00011EA9" w:rsidRDefault="00011EA9" w:rsidP="00D31288">
            <w:pPr>
              <w:pStyle w:val="CEABullet-Level1"/>
              <w:numPr>
                <w:ilvl w:val="0"/>
                <w:numId w:val="0"/>
              </w:numPr>
            </w:pPr>
            <w:r>
              <w:t>-Should the IAIS agree on a different approach to risk margin in the global ICS discussions, this element can create a competitive disadvantage for Europe</w:t>
            </w:r>
          </w:p>
        </w:tc>
        <w:tc>
          <w:tcPr>
            <w:tcW w:w="2702" w:type="dxa"/>
          </w:tcPr>
          <w:p w14:paraId="71CA7D52" w14:textId="78E3CD3C" w:rsidR="00320DCB" w:rsidRDefault="00320DCB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-EIOPA will have to assess the appropriateness of the RM design, as requested by the industry.  </w:t>
            </w:r>
          </w:p>
          <w:p w14:paraId="3F99DDF4" w14:textId="6324B90A" w:rsidR="003A2825" w:rsidRDefault="00733A09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-EIOPA will have to </w:t>
            </w:r>
            <w:r w:rsidRPr="00733A09">
              <w:t>a</w:t>
            </w:r>
            <w:r>
              <w:t xml:space="preserve">ssess the </w:t>
            </w:r>
            <w:r w:rsidRPr="00733A09">
              <w:t>flaws</w:t>
            </w:r>
            <w:r w:rsidR="00B95567">
              <w:t xml:space="preserve"> </w:t>
            </w:r>
            <w:r w:rsidR="002F5817">
              <w:t xml:space="preserve">in </w:t>
            </w:r>
            <w:r w:rsidR="00A04347">
              <w:t>its</w:t>
            </w:r>
            <w:r w:rsidR="002F5817">
              <w:t xml:space="preserve"> assessment of the CoC </w:t>
            </w:r>
            <w:r w:rsidR="00B95567">
              <w:t>(absence of leverage/deriviation of equity risk premium)</w:t>
            </w:r>
            <w:r>
              <w:t xml:space="preserve"> </w:t>
            </w:r>
            <w:r w:rsidR="00011EA9">
              <w:t xml:space="preserve">which </w:t>
            </w:r>
            <w:r>
              <w:t>the secretariat raised in</w:t>
            </w:r>
            <w:r w:rsidR="00B95567">
              <w:t xml:space="preserve"> the joint IE/CFOF paper. </w:t>
            </w:r>
            <w:r>
              <w:t xml:space="preserve"> </w:t>
            </w:r>
          </w:p>
          <w:p w14:paraId="783C8DE9" w14:textId="68D5B468" w:rsidR="00B1386C" w:rsidRDefault="003A2825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EC4791">
              <w:t xml:space="preserve">EC propose to include the </w:t>
            </w:r>
            <w:r w:rsidR="00F87C6B">
              <w:t>VA and MA in the RM calculation</w:t>
            </w:r>
            <w:r w:rsidR="00EC4791">
              <w:t xml:space="preserve">, </w:t>
            </w:r>
            <w:r w:rsidR="00F87C6B">
              <w:t xml:space="preserve"> as suggested </w:t>
            </w:r>
            <w:r w:rsidR="00EC4791">
              <w:lastRenderedPageBreak/>
              <w:t xml:space="preserve">by industry </w:t>
            </w:r>
            <w:r w:rsidR="00F87C6B">
              <w:t xml:space="preserve">in response to 2018 review. </w:t>
            </w:r>
          </w:p>
        </w:tc>
        <w:tc>
          <w:tcPr>
            <w:tcW w:w="2703" w:type="dxa"/>
          </w:tcPr>
          <w:p w14:paraId="433780B2" w14:textId="6976DA83" w:rsidR="00FE5E00" w:rsidRDefault="00FE5E00" w:rsidP="00D31288">
            <w:pPr>
              <w:pStyle w:val="CEABullet-Level1"/>
              <w:numPr>
                <w:ilvl w:val="0"/>
                <w:numId w:val="0"/>
              </w:numPr>
            </w:pPr>
            <w:r>
              <w:lastRenderedPageBreak/>
              <w:t xml:space="preserve">-Insurance Europe response to </w:t>
            </w:r>
            <w:r w:rsidRPr="00FE5E00">
              <w:t>EIOPA’s second set of Advice</w:t>
            </w:r>
            <w:r>
              <w:t xml:space="preserve"> on the 2018 review</w:t>
            </w:r>
            <w:r w:rsidR="0061798F">
              <w:t xml:space="preserve"> (</w:t>
            </w:r>
            <w:hyperlink r:id="rId17" w:history="1">
              <w:r w:rsidR="0061798F" w:rsidRPr="00F400D3">
                <w:rPr>
                  <w:rStyle w:val="Hypertextovprepojenie"/>
                </w:rPr>
                <w:t>link</w:t>
              </w:r>
            </w:hyperlink>
            <w:r w:rsidR="0061798F">
              <w:t>)</w:t>
            </w:r>
            <w:r w:rsidR="00AE390D">
              <w:t>.</w:t>
            </w:r>
          </w:p>
          <w:p w14:paraId="461D21D3" w14:textId="522D218A" w:rsidR="00B1386C" w:rsidRDefault="00FE5E00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327559">
              <w:t xml:space="preserve">Joint Insurance Europe/CFOF </w:t>
            </w:r>
            <w:r w:rsidR="00A04347">
              <w:t>paper</w:t>
            </w:r>
            <w:r w:rsidR="0061798F">
              <w:t xml:space="preserve"> (</w:t>
            </w:r>
            <w:hyperlink r:id="rId18" w:history="1">
              <w:r w:rsidR="0061798F" w:rsidRPr="0061798F">
                <w:rPr>
                  <w:rStyle w:val="Hypertextovprepojenie"/>
                </w:rPr>
                <w:t>ECO-SLV-18-138</w:t>
              </w:r>
            </w:hyperlink>
            <w:r w:rsidR="0061798F">
              <w:t xml:space="preserve">) </w:t>
            </w:r>
          </w:p>
        </w:tc>
      </w:tr>
      <w:tr w:rsidR="009C50B9" w14:paraId="5B3CD848" w14:textId="77777777" w:rsidTr="009C50B9">
        <w:tc>
          <w:tcPr>
            <w:tcW w:w="1328" w:type="dxa"/>
          </w:tcPr>
          <w:p w14:paraId="40A6BC35" w14:textId="267BA9A3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  <w:r>
              <w:t>5</w:t>
            </w:r>
            <w:r w:rsidR="004E7DBC" w:rsidDel="00A04347">
              <w:t xml:space="preserve"> </w:t>
            </w:r>
          </w:p>
        </w:tc>
        <w:tc>
          <w:tcPr>
            <w:tcW w:w="2741" w:type="dxa"/>
          </w:tcPr>
          <w:p w14:paraId="578F015D" w14:textId="0FA9C08A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>Capital Markets Union aspects</w:t>
            </w:r>
          </w:p>
        </w:tc>
        <w:tc>
          <w:tcPr>
            <w:tcW w:w="2702" w:type="dxa"/>
          </w:tcPr>
          <w:p w14:paraId="47427824" w14:textId="739B4B99" w:rsidR="00D16716" w:rsidRDefault="00D16716" w:rsidP="00D16716">
            <w:pPr>
              <w:pStyle w:val="CEABullet-Level1"/>
              <w:numPr>
                <w:ilvl w:val="0"/>
                <w:numId w:val="35"/>
              </w:numPr>
            </w:pPr>
            <w:r>
              <w:t>Analyse treatment of long-term investments under Solvency II</w:t>
            </w:r>
            <w:r w:rsidR="001A542F">
              <w:t>, in particular for equity and spread risks</w:t>
            </w:r>
            <w:r>
              <w:t>.</w:t>
            </w:r>
          </w:p>
          <w:p w14:paraId="12EA3F07" w14:textId="77777777" w:rsidR="00B1386C" w:rsidRDefault="00D16716" w:rsidP="003D0D1E">
            <w:pPr>
              <w:pStyle w:val="CEABullet-Level1"/>
              <w:numPr>
                <w:ilvl w:val="0"/>
                <w:numId w:val="35"/>
              </w:numPr>
            </w:pPr>
            <w:r>
              <w:t>Identify liability characteristics that enable insurers to hold investments over the long term.</w:t>
            </w:r>
          </w:p>
          <w:p w14:paraId="40E28AEA" w14:textId="34C394B0" w:rsidR="00B1386C" w:rsidRDefault="001A542F" w:rsidP="003D0D1E">
            <w:pPr>
              <w:pStyle w:val="CEABullet-Level1"/>
              <w:numPr>
                <w:ilvl w:val="0"/>
                <w:numId w:val="35"/>
              </w:numPr>
            </w:pPr>
            <w:r>
              <w:t>Assess correlation matrices used in standard formula.</w:t>
            </w:r>
          </w:p>
        </w:tc>
        <w:tc>
          <w:tcPr>
            <w:tcW w:w="2703" w:type="dxa"/>
          </w:tcPr>
          <w:p w14:paraId="2BA925E6" w14:textId="190078B2" w:rsidR="009947B1" w:rsidRDefault="009947B1" w:rsidP="009947B1">
            <w:pPr>
              <w:pStyle w:val="CEABullet-Level1"/>
              <w:numPr>
                <w:ilvl w:val="0"/>
                <w:numId w:val="35"/>
              </w:numPr>
            </w:pPr>
            <w:r w:rsidRPr="001A542F">
              <w:t>C</w:t>
            </w:r>
            <w:r w:rsidR="002C1A29" w:rsidRPr="009947B1">
              <w:t>halleng</w:t>
            </w:r>
            <w:r w:rsidRPr="001A542F">
              <w:t xml:space="preserve">ing to </w:t>
            </w:r>
            <w:r w:rsidR="00076CFA">
              <w:t xml:space="preserve">clearly </w:t>
            </w:r>
            <w:r w:rsidR="002C1A29">
              <w:t xml:space="preserve"> </w:t>
            </w:r>
            <w:r w:rsidR="002C1A29" w:rsidRPr="001A542F">
              <w:t xml:space="preserve"> identif</w:t>
            </w:r>
            <w:r w:rsidR="002A419C">
              <w:t xml:space="preserve">y </w:t>
            </w:r>
            <w:r w:rsidR="002C1A29" w:rsidRPr="001A542F">
              <w:t xml:space="preserve"> </w:t>
            </w:r>
            <w:r w:rsidR="002C1A29" w:rsidRPr="009947B1">
              <w:t>long-term investments</w:t>
            </w:r>
            <w:r w:rsidR="002A419C">
              <w:t xml:space="preserve"> within a solvency framework </w:t>
            </w:r>
            <w:r w:rsidR="00076CFA">
              <w:t xml:space="preserve">which has an </w:t>
            </w:r>
            <w:r w:rsidR="002A419C">
              <w:t>inherent 1-year time horizon</w:t>
            </w:r>
            <w:r w:rsidR="001A542F">
              <w:t>.</w:t>
            </w:r>
          </w:p>
          <w:p w14:paraId="3D0E17A1" w14:textId="1B81F32C" w:rsidR="009947B1" w:rsidRPr="000E25DF" w:rsidRDefault="009947B1" w:rsidP="001A542F">
            <w:pPr>
              <w:pStyle w:val="CEABullet-Level1"/>
              <w:numPr>
                <w:ilvl w:val="0"/>
                <w:numId w:val="35"/>
              </w:numPr>
            </w:pPr>
            <w:r>
              <w:t>Regarding correlations, EIOPA can change the structure of the modules and the calibration of the correlation paraemters in the SCR standard formula</w:t>
            </w:r>
            <w:r w:rsidR="001A542F">
              <w:t>.</w:t>
            </w:r>
            <w:r>
              <w:t xml:space="preserve"> </w:t>
            </w:r>
          </w:p>
          <w:p w14:paraId="24342AE6" w14:textId="72D3351A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02" w:type="dxa"/>
          </w:tcPr>
          <w:p w14:paraId="005E726E" w14:textId="0C09EFE8" w:rsidR="00B1386C" w:rsidRDefault="00E67C2D" w:rsidP="003D0D1E">
            <w:pPr>
              <w:pStyle w:val="CEABullet-Level1"/>
              <w:numPr>
                <w:ilvl w:val="0"/>
                <w:numId w:val="35"/>
              </w:numPr>
            </w:pPr>
            <w:r>
              <w:t>Opportunity to raise issues on other asset classes (such as real estate) on which the SCR should be reviewed</w:t>
            </w:r>
            <w:r w:rsidR="002A419C">
              <w:t>.</w:t>
            </w:r>
          </w:p>
        </w:tc>
        <w:tc>
          <w:tcPr>
            <w:tcW w:w="2703" w:type="dxa"/>
          </w:tcPr>
          <w:p w14:paraId="4919FA3B" w14:textId="55ADA3BF" w:rsidR="007029B6" w:rsidRDefault="00371ACB" w:rsidP="007029B6">
            <w:pPr>
              <w:pStyle w:val="CEABullet-Level1"/>
              <w:numPr>
                <w:ilvl w:val="0"/>
                <w:numId w:val="35"/>
              </w:numPr>
              <w:jc w:val="left"/>
              <w:rPr>
                <w:sz w:val="16"/>
              </w:rPr>
            </w:pPr>
            <w:hyperlink r:id="rId19" w:history="1">
              <w:r w:rsidR="007029B6" w:rsidRPr="001A542F">
                <w:rPr>
                  <w:rStyle w:val="Hypertextovprepojenie"/>
                </w:rPr>
                <w:t>Insurance Europe response</w:t>
              </w:r>
            </w:hyperlink>
            <w:r w:rsidR="007029B6" w:rsidRPr="007029B6">
              <w:rPr>
                <w:sz w:val="16"/>
              </w:rPr>
              <w:t xml:space="preserve"> to the </w:t>
            </w:r>
            <w:r w:rsidR="007029B6">
              <w:rPr>
                <w:sz w:val="16"/>
              </w:rPr>
              <w:t xml:space="preserve">EC’s </w:t>
            </w:r>
            <w:r w:rsidR="007029B6" w:rsidRPr="007029B6">
              <w:rPr>
                <w:sz w:val="16"/>
              </w:rPr>
              <w:t>proposed amendments to the Solvency II Delegated Regulation</w:t>
            </w:r>
          </w:p>
          <w:p w14:paraId="016FB088" w14:textId="7EDBF161" w:rsidR="007029B6" w:rsidRPr="00CE4843" w:rsidRDefault="00371ACB" w:rsidP="007029B6">
            <w:pPr>
              <w:pStyle w:val="CEABullet-Level1"/>
              <w:numPr>
                <w:ilvl w:val="0"/>
                <w:numId w:val="35"/>
              </w:numPr>
              <w:jc w:val="left"/>
              <w:rPr>
                <w:sz w:val="16"/>
              </w:rPr>
            </w:pPr>
            <w:hyperlink r:id="rId20" w:history="1">
              <w:r w:rsidR="007029B6" w:rsidRPr="007029B6">
                <w:rPr>
                  <w:rStyle w:val="Hypertextovprepojenie"/>
                  <w:sz w:val="16"/>
                </w:rPr>
                <w:t>Insurance Europe response</w:t>
              </w:r>
            </w:hyperlink>
            <w:r w:rsidR="007029B6" w:rsidRPr="007029B6">
              <w:rPr>
                <w:sz w:val="16"/>
              </w:rPr>
              <w:t xml:space="preserve"> to </w:t>
            </w:r>
            <w:r w:rsidR="007029B6">
              <w:rPr>
                <w:sz w:val="16"/>
              </w:rPr>
              <w:t>E</w:t>
            </w:r>
            <w:r w:rsidR="007029B6" w:rsidRPr="007029B6">
              <w:rPr>
                <w:sz w:val="16"/>
              </w:rPr>
              <w:t xml:space="preserve">IOPA </w:t>
            </w:r>
            <w:r w:rsidR="007029B6">
              <w:rPr>
                <w:sz w:val="16"/>
              </w:rPr>
              <w:t>r</w:t>
            </w:r>
            <w:r w:rsidR="007029B6" w:rsidRPr="007029B6">
              <w:rPr>
                <w:sz w:val="16"/>
              </w:rPr>
              <w:t xml:space="preserve">equest for </w:t>
            </w:r>
            <w:r w:rsidR="007029B6">
              <w:rPr>
                <w:sz w:val="16"/>
              </w:rPr>
              <w:t>f</w:t>
            </w:r>
            <w:r w:rsidR="007029B6" w:rsidRPr="007029B6">
              <w:rPr>
                <w:sz w:val="16"/>
              </w:rPr>
              <w:t>eedback on methodological considerations on illiquid liabilities</w:t>
            </w:r>
          </w:p>
          <w:p w14:paraId="42589444" w14:textId="6E658E88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</w:tr>
      <w:tr w:rsidR="009C50B9" w14:paraId="5C06E5EF" w14:textId="77777777" w:rsidTr="009C50B9">
        <w:tc>
          <w:tcPr>
            <w:tcW w:w="1328" w:type="dxa"/>
          </w:tcPr>
          <w:p w14:paraId="484239BE" w14:textId="0AAEB8DB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6</w:t>
            </w:r>
          </w:p>
        </w:tc>
        <w:tc>
          <w:tcPr>
            <w:tcW w:w="2741" w:type="dxa"/>
          </w:tcPr>
          <w:p w14:paraId="2FAE03F8" w14:textId="74456128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Dynamic modelling of the </w:t>
            </w:r>
            <w:r w:rsidR="00650377">
              <w:t>v</w:t>
            </w:r>
            <w:r w:rsidRPr="00762DCA">
              <w:t xml:space="preserve">olatility adjustment </w:t>
            </w:r>
          </w:p>
        </w:tc>
        <w:tc>
          <w:tcPr>
            <w:tcW w:w="2702" w:type="dxa"/>
          </w:tcPr>
          <w:p w14:paraId="014653F9" w14:textId="7D326023" w:rsidR="001A3FBA" w:rsidRDefault="001A3FBA" w:rsidP="003D0D1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Assess whether the modelling of the dynamic volatility adjustment sets disincentives for investment and risk management strategies</w:t>
            </w:r>
            <w:r w:rsidR="00650377">
              <w:t>.</w:t>
            </w:r>
          </w:p>
          <w:p w14:paraId="4BFDAEC4" w14:textId="62057BB2" w:rsidR="003F0BB2" w:rsidRDefault="001A3FBA" w:rsidP="003D0D1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 xml:space="preserve">Assess appropriateness of dynamic modelling in light of </w:t>
            </w:r>
            <w:r w:rsidR="003F0BB2">
              <w:t>VA assumptions</w:t>
            </w:r>
            <w:r w:rsidR="00650377">
              <w:t>.</w:t>
            </w:r>
          </w:p>
          <w:p w14:paraId="314DAFA3" w14:textId="35CECDA8" w:rsidR="00B1386C" w:rsidRDefault="003F0BB2" w:rsidP="003D0D1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Advise on criteria to improve harmonisation of modelling</w:t>
            </w:r>
            <w:r w:rsidR="00650377">
              <w:t>.</w:t>
            </w:r>
          </w:p>
        </w:tc>
        <w:tc>
          <w:tcPr>
            <w:tcW w:w="2703" w:type="dxa"/>
          </w:tcPr>
          <w:p w14:paraId="5FF0BA79" w14:textId="638FD083" w:rsidR="003F0BB2" w:rsidRDefault="003F0BB2" w:rsidP="003D0D1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The existence of a Dynamic Volatility Adjustment</w:t>
            </w:r>
            <w:r w:rsidR="00326BB7">
              <w:t xml:space="preserve"> appears to be questioned by the EC</w:t>
            </w:r>
            <w:r w:rsidR="005651EA">
              <w:t>, even in the context of Internal Models (which makes it more difficult to argue for inclusion in the standard formula)</w:t>
            </w:r>
            <w:r>
              <w:t>.</w:t>
            </w:r>
          </w:p>
          <w:p w14:paraId="41DB01AF" w14:textId="66DD84DC" w:rsidR="00B1386C" w:rsidRDefault="003F0BB2" w:rsidP="003D0D1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 xml:space="preserve">Increased prescriptiveness on the modelling of the DVA is likely. </w:t>
            </w:r>
          </w:p>
        </w:tc>
        <w:tc>
          <w:tcPr>
            <w:tcW w:w="2702" w:type="dxa"/>
          </w:tcPr>
          <w:p w14:paraId="09DC6015" w14:textId="77777777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03" w:type="dxa"/>
          </w:tcPr>
          <w:p w14:paraId="665EC05F" w14:textId="7E2A76A9" w:rsidR="00B1386C" w:rsidRDefault="003F0BB2" w:rsidP="003D0D1E">
            <w:pPr>
              <w:pStyle w:val="CEABullet-Level1"/>
              <w:numPr>
                <w:ilvl w:val="0"/>
                <w:numId w:val="9"/>
              </w:numPr>
              <w:ind w:left="242"/>
            </w:pPr>
            <w:r>
              <w:t xml:space="preserve">EIOPA </w:t>
            </w:r>
            <w:r w:rsidR="001A542F" w:rsidRPr="000E25DF">
              <w:t>Opinion on the supervisory assessment of internal models including a dynamic volatility adjustment</w:t>
            </w:r>
            <w:r w:rsidR="001A542F">
              <w:t xml:space="preserve"> (</w:t>
            </w:r>
            <w:hyperlink r:id="rId21" w:history="1">
              <w:r w:rsidR="00676CC2">
                <w:rPr>
                  <w:rStyle w:val="Hypertextovprepojenie"/>
                </w:rPr>
                <w:t>link</w:t>
              </w:r>
            </w:hyperlink>
            <w:r w:rsidR="001A542F">
              <w:t>)</w:t>
            </w:r>
            <w:r w:rsidR="00650377">
              <w:t>.</w:t>
            </w:r>
          </w:p>
        </w:tc>
      </w:tr>
      <w:tr w:rsidR="009C50B9" w14:paraId="4C453729" w14:textId="77777777" w:rsidTr="009C50B9">
        <w:tc>
          <w:tcPr>
            <w:tcW w:w="1328" w:type="dxa"/>
          </w:tcPr>
          <w:p w14:paraId="0FAFF178" w14:textId="24E07C01" w:rsidR="00B1386C" w:rsidRDefault="00762DCA" w:rsidP="005651EA">
            <w:pPr>
              <w:pStyle w:val="CEABullet-Level1"/>
              <w:numPr>
                <w:ilvl w:val="0"/>
                <w:numId w:val="0"/>
              </w:numPr>
            </w:pPr>
            <w:r>
              <w:t>7</w:t>
            </w:r>
            <w:r w:rsidR="0079272B">
              <w:t xml:space="preserve"> </w:t>
            </w:r>
          </w:p>
        </w:tc>
        <w:tc>
          <w:tcPr>
            <w:tcW w:w="2741" w:type="dxa"/>
          </w:tcPr>
          <w:p w14:paraId="6BCF54CB" w14:textId="3E467140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Solvency Capital Requirement standard formula </w:t>
            </w:r>
          </w:p>
        </w:tc>
        <w:tc>
          <w:tcPr>
            <w:tcW w:w="2702" w:type="dxa"/>
          </w:tcPr>
          <w:p w14:paraId="35AA24D2" w14:textId="77777777" w:rsidR="00974106" w:rsidRDefault="00974106" w:rsidP="00974106">
            <w:pPr>
              <w:pStyle w:val="CEABullet-Level1"/>
              <w:numPr>
                <w:ilvl w:val="0"/>
                <w:numId w:val="36"/>
              </w:numPr>
            </w:pPr>
            <w:r>
              <w:t>Assess whether the calibration of the interest rate risk submodule adequately reflects the risks.</w:t>
            </w:r>
          </w:p>
          <w:p w14:paraId="44EE241A" w14:textId="77777777" w:rsidR="00974106" w:rsidRDefault="00974106" w:rsidP="00974106">
            <w:pPr>
              <w:pStyle w:val="CEABullet-Level1"/>
              <w:numPr>
                <w:ilvl w:val="0"/>
                <w:numId w:val="36"/>
              </w:numPr>
            </w:pPr>
            <w:r>
              <w:lastRenderedPageBreak/>
              <w:t>Assess the proportionality of counterparty default risk submodule and advise on simpler methods and calibrations where appropriate</w:t>
            </w:r>
          </w:p>
          <w:p w14:paraId="530B1B53" w14:textId="77777777" w:rsidR="00496AE3" w:rsidRDefault="0086439E" w:rsidP="00974106">
            <w:pPr>
              <w:pStyle w:val="CEABullet-Level1"/>
              <w:numPr>
                <w:ilvl w:val="0"/>
                <w:numId w:val="36"/>
              </w:numPr>
            </w:pPr>
            <w:r>
              <w:t>Report on</w:t>
            </w:r>
            <w:r w:rsidR="00496AE3">
              <w:t>:</w:t>
            </w:r>
          </w:p>
          <w:p w14:paraId="0CAAB8DF" w14:textId="43F02B21" w:rsidR="00974106" w:rsidRDefault="00496AE3" w:rsidP="003F3B00">
            <w:pPr>
              <w:pStyle w:val="CEABullet-Level1"/>
              <w:numPr>
                <w:ilvl w:val="0"/>
                <w:numId w:val="0"/>
              </w:numPr>
              <w:ind w:left="360"/>
            </w:pPr>
            <w:r>
              <w:t xml:space="preserve">-any divergent application of insurers on the life/SLT health underwriting risk modules and non-life lapse risk  sub-module. </w:t>
            </w:r>
          </w:p>
          <w:p w14:paraId="3D17E1E0" w14:textId="17010834" w:rsidR="00496AE3" w:rsidRDefault="006C7B88" w:rsidP="003F3B00">
            <w:pPr>
              <w:pStyle w:val="CEABullet-Level1"/>
              <w:numPr>
                <w:ilvl w:val="0"/>
                <w:numId w:val="0"/>
              </w:numPr>
              <w:ind w:left="360"/>
            </w:pPr>
            <w:r>
              <w:t>-</w:t>
            </w:r>
            <w:r w:rsidR="00496AE3">
              <w:t xml:space="preserve">areas where supervisory experience indicated a need for additional simplified calculations (Dir Art 109 and 111 (1)(l)) and where appropriate propose relevant methods. </w:t>
            </w:r>
          </w:p>
          <w:p w14:paraId="54B5E18F" w14:textId="5E69D512" w:rsidR="00974106" w:rsidRDefault="00496AE3" w:rsidP="00974106">
            <w:pPr>
              <w:pStyle w:val="CEABullet-Level1"/>
              <w:numPr>
                <w:ilvl w:val="0"/>
                <w:numId w:val="36"/>
              </w:numPr>
            </w:pPr>
            <w:r>
              <w:t xml:space="preserve">When stakeholders provide material qualitative data, EIOPA should assess whether this data would be a better basis for the calibration of underwriting stresses. </w:t>
            </w:r>
          </w:p>
          <w:p w14:paraId="4DFA1999" w14:textId="5E68BDD5" w:rsidR="00B1386C" w:rsidRDefault="00974106" w:rsidP="003D0D1E">
            <w:pPr>
              <w:pStyle w:val="CEABullet-Level1"/>
              <w:numPr>
                <w:ilvl w:val="0"/>
                <w:numId w:val="36"/>
              </w:numPr>
            </w:pPr>
            <w:r>
              <w:lastRenderedPageBreak/>
              <w:t>Provide national market average conditions that underlie the calibration of the natural catastrophe risk submodule</w:t>
            </w:r>
            <w:r w:rsidR="00EC0877">
              <w:t>.</w:t>
            </w:r>
          </w:p>
        </w:tc>
        <w:tc>
          <w:tcPr>
            <w:tcW w:w="2703" w:type="dxa"/>
          </w:tcPr>
          <w:p w14:paraId="6B57BCAD" w14:textId="43B9C156" w:rsidR="00B1386C" w:rsidRDefault="00F156C4" w:rsidP="00B4354B">
            <w:pPr>
              <w:pStyle w:val="CEABullet-Level1"/>
              <w:numPr>
                <w:ilvl w:val="0"/>
                <w:numId w:val="38"/>
              </w:numPr>
            </w:pPr>
            <w:r>
              <w:lastRenderedPageBreak/>
              <w:t>EIOPA shifted methodology is likely to be the starting point for future proposals</w:t>
            </w:r>
            <w:r w:rsidR="008A4682">
              <w:t xml:space="preserve">. This </w:t>
            </w:r>
            <w:r w:rsidR="00EB2BBF">
              <w:t xml:space="preserve">would significantly increase capital </w:t>
            </w:r>
            <w:r w:rsidR="00EB2BBF">
              <w:lastRenderedPageBreak/>
              <w:t>requirements</w:t>
            </w:r>
            <w:r w:rsidR="004D6D7C">
              <w:t xml:space="preserve"> for a lot of companies</w:t>
            </w:r>
            <w:r w:rsidR="00EB2BBF">
              <w:t>.</w:t>
            </w:r>
            <w:r>
              <w:t xml:space="preserve"> </w:t>
            </w:r>
          </w:p>
          <w:p w14:paraId="1928663B" w14:textId="77777777" w:rsidR="00EC0877" w:rsidRDefault="00EC0877" w:rsidP="00B4354B">
            <w:pPr>
              <w:pStyle w:val="CEABullet-Level1"/>
              <w:numPr>
                <w:ilvl w:val="0"/>
                <w:numId w:val="38"/>
              </w:numPr>
            </w:pPr>
            <w:r>
              <w:t xml:space="preserve">As counterparty default risk submodule was in scope of the 2018 review, there are no troublesome developments expected. </w:t>
            </w:r>
          </w:p>
          <w:p w14:paraId="3D427800" w14:textId="4DF9CDE3" w:rsidR="00EC0877" w:rsidRPr="000E25DF" w:rsidRDefault="006C7B88" w:rsidP="00B4354B">
            <w:pPr>
              <w:pStyle w:val="CEABullet-Level1"/>
              <w:numPr>
                <w:ilvl w:val="0"/>
                <w:numId w:val="38"/>
              </w:numPr>
            </w:pPr>
            <w:r w:rsidRPr="000E25DF">
              <w:t xml:space="preserve">Could possibly lead to more prescriptiveness in the area of simplified calculations. </w:t>
            </w:r>
          </w:p>
          <w:p w14:paraId="04BFF8FF" w14:textId="035C5A4E" w:rsidR="001B64CF" w:rsidRPr="00B156A3" w:rsidRDefault="003F3B00" w:rsidP="00B4354B">
            <w:pPr>
              <w:pStyle w:val="CEABullet-Level1"/>
              <w:numPr>
                <w:ilvl w:val="0"/>
                <w:numId w:val="38"/>
              </w:numPr>
            </w:pPr>
            <w:r w:rsidRPr="003F0B2F">
              <w:t xml:space="preserve">Request </w:t>
            </w:r>
            <w:r w:rsidR="002433A8" w:rsidRPr="003F0B2F">
              <w:t>may be</w:t>
            </w:r>
            <w:r w:rsidRPr="003F0B2F">
              <w:t xml:space="preserve"> related to EIOPA’s claim that the appropriateness of</w:t>
            </w:r>
            <w:r w:rsidRPr="003F3B00">
              <w:t xml:space="preserve"> the level of the mass lapse risk was not in the scope of the EC call for advice on the 2018 review. </w:t>
            </w:r>
          </w:p>
          <w:p w14:paraId="014F6881" w14:textId="491FBDFA" w:rsidR="00EC0877" w:rsidRPr="003F3B00" w:rsidRDefault="00EC0877" w:rsidP="006C7B88">
            <w:pPr>
              <w:pStyle w:val="CEABullet-Level1"/>
              <w:numPr>
                <w:ilvl w:val="0"/>
                <w:numId w:val="0"/>
              </w:numPr>
              <w:ind w:left="360"/>
            </w:pPr>
          </w:p>
          <w:p w14:paraId="0BF4E589" w14:textId="40567158" w:rsidR="00B1386C" w:rsidRDefault="00786ADD" w:rsidP="003D0D1E">
            <w:pPr>
              <w:pStyle w:val="CEABullet-Level1"/>
              <w:numPr>
                <w:ilvl w:val="0"/>
                <w:numId w:val="38"/>
              </w:numPr>
            </w:pPr>
            <w:r>
              <w:t>This request is related to EIOPA’s proposal</w:t>
            </w:r>
            <w:r w:rsidR="004D6D7C">
              <w:t xml:space="preserve"> in </w:t>
            </w:r>
            <w:r>
              <w:t xml:space="preserve">2018 review to introduce an ex-post adjustment to capture specific insurance policy conditions </w:t>
            </w:r>
            <w:r w:rsidR="004D6D7C">
              <w:t>within</w:t>
            </w:r>
            <w:r>
              <w:t xml:space="preserve"> the natcat submodules. </w:t>
            </w:r>
          </w:p>
        </w:tc>
        <w:tc>
          <w:tcPr>
            <w:tcW w:w="2702" w:type="dxa"/>
          </w:tcPr>
          <w:p w14:paraId="62F6A27B" w14:textId="3054C409" w:rsidR="00974106" w:rsidRDefault="00EB2BBF" w:rsidP="00974106">
            <w:pPr>
              <w:pStyle w:val="CEABullet-Level1"/>
              <w:numPr>
                <w:ilvl w:val="0"/>
                <w:numId w:val="37"/>
              </w:numPr>
            </w:pPr>
            <w:r>
              <w:lastRenderedPageBreak/>
              <w:t xml:space="preserve">EC has requested that any proposals are suitable for all countries and should consider interactions with </w:t>
            </w:r>
            <w:r>
              <w:lastRenderedPageBreak/>
              <w:t xml:space="preserve">parameters of RFR term structure. </w:t>
            </w:r>
            <w:r w:rsidR="004D6D7C">
              <w:t>Therefore, refinements to EIOPA’s current proposal could be expected.</w:t>
            </w:r>
          </w:p>
          <w:p w14:paraId="4BDBC6E1" w14:textId="5B6B71A3" w:rsidR="00974106" w:rsidRDefault="00EC0877" w:rsidP="00974106">
            <w:pPr>
              <w:pStyle w:val="CEABullet-Level1"/>
              <w:numPr>
                <w:ilvl w:val="0"/>
                <w:numId w:val="37"/>
              </w:numPr>
            </w:pPr>
            <w:r>
              <w:t>The criteria for the residential mortgage eligibility are in scope ie. can address industry concerns about the €1 million cap.</w:t>
            </w:r>
          </w:p>
          <w:p w14:paraId="0BFE7AF0" w14:textId="090117D7" w:rsidR="00974106" w:rsidRPr="000E25DF" w:rsidRDefault="006C7B88" w:rsidP="00974106">
            <w:pPr>
              <w:pStyle w:val="CEABullet-Level1"/>
              <w:numPr>
                <w:ilvl w:val="0"/>
                <w:numId w:val="37"/>
              </w:numPr>
            </w:pPr>
            <w:r w:rsidRPr="000E25DF">
              <w:t>Opportunity to introduce additional simplified calculations</w:t>
            </w:r>
          </w:p>
          <w:p w14:paraId="53A5CF36" w14:textId="09FC3ABF" w:rsidR="002A419C" w:rsidRPr="00B156A3" w:rsidRDefault="003F3B00" w:rsidP="00974106">
            <w:pPr>
              <w:pStyle w:val="CEABullet-Level1"/>
              <w:numPr>
                <w:ilvl w:val="0"/>
                <w:numId w:val="37"/>
              </w:numPr>
            </w:pPr>
            <w:r w:rsidRPr="002433A8">
              <w:t>O</w:t>
            </w:r>
            <w:r w:rsidR="005020B1" w:rsidRPr="002433A8">
              <w:t>pportunity to provide more recent/appropriate data to calibrate underwriting stresses (eg mass lapse risk</w:t>
            </w:r>
            <w:r w:rsidR="006F7496" w:rsidRPr="002433A8">
              <w:t xml:space="preserve">, in line with Insurance Europe request in response to </w:t>
            </w:r>
            <w:r w:rsidR="006F7496" w:rsidRPr="006F7496">
              <w:t>EIOPA’s first set of advice</w:t>
            </w:r>
            <w:r w:rsidR="006F7496">
              <w:t xml:space="preserve"> on 2018 review</w:t>
            </w:r>
            <w:r w:rsidR="006F7496" w:rsidRPr="002433A8">
              <w:t xml:space="preserve"> </w:t>
            </w:r>
            <w:r w:rsidR="005020B1" w:rsidRPr="002433A8">
              <w:t>).</w:t>
            </w:r>
          </w:p>
          <w:p w14:paraId="2FF4959A" w14:textId="2C66683C" w:rsidR="00974106" w:rsidRPr="002433A8" w:rsidRDefault="00974106" w:rsidP="006C7B88">
            <w:pPr>
              <w:pStyle w:val="CEABullet-Level1"/>
              <w:numPr>
                <w:ilvl w:val="0"/>
                <w:numId w:val="0"/>
              </w:numPr>
              <w:ind w:left="360"/>
            </w:pPr>
          </w:p>
          <w:p w14:paraId="4D1680ED" w14:textId="3F18AB9C" w:rsidR="00B1386C" w:rsidRDefault="00786ADD" w:rsidP="003D0D1E">
            <w:pPr>
              <w:pStyle w:val="CEABullet-Level1"/>
              <w:numPr>
                <w:ilvl w:val="0"/>
                <w:numId w:val="37"/>
              </w:numPr>
            </w:pPr>
            <w:r>
              <w:t xml:space="preserve">This request should increase transparency </w:t>
            </w:r>
            <w:r w:rsidR="004D6D7C">
              <w:t>of the natcat calibrations</w:t>
            </w:r>
            <w:r>
              <w:t xml:space="preserve"> although it is </w:t>
            </w:r>
            <w:r w:rsidR="004D6D7C">
              <w:t>unclear</w:t>
            </w:r>
            <w:r>
              <w:t xml:space="preserve"> how </w:t>
            </w:r>
            <w:r w:rsidR="004D6D7C">
              <w:t>this information</w:t>
            </w:r>
            <w:r>
              <w:t xml:space="preserve"> will make </w:t>
            </w:r>
            <w:r>
              <w:lastRenderedPageBreak/>
              <w:t xml:space="preserve">EIOPA’s proposal more workable in practice. </w:t>
            </w:r>
          </w:p>
        </w:tc>
        <w:tc>
          <w:tcPr>
            <w:tcW w:w="2703" w:type="dxa"/>
          </w:tcPr>
          <w:p w14:paraId="67B1C3CF" w14:textId="05CFCF44" w:rsidR="00AB134D" w:rsidRDefault="00EB2BBF" w:rsidP="00AB134D">
            <w:pPr>
              <w:pStyle w:val="CEABullet-Level1"/>
              <w:numPr>
                <w:ilvl w:val="0"/>
                <w:numId w:val="39"/>
              </w:numPr>
            </w:pPr>
            <w:r>
              <w:lastRenderedPageBreak/>
              <w:t>I</w:t>
            </w:r>
            <w:r w:rsidRPr="00EB2BBF">
              <w:t>nsurance Europe views on EIOPA’s interest rate risk proposals</w:t>
            </w:r>
            <w:r>
              <w:t xml:space="preserve"> (</w:t>
            </w:r>
            <w:hyperlink r:id="rId22" w:history="1">
              <w:r w:rsidRPr="00EB2BBF">
                <w:rPr>
                  <w:rStyle w:val="Hypertextovprepojenie"/>
                </w:rPr>
                <w:t>ECO-SLV-18-112</w:t>
              </w:r>
            </w:hyperlink>
            <w:r>
              <w:t>)</w:t>
            </w:r>
            <w:r w:rsidR="00AB134D">
              <w:t>.</w:t>
            </w:r>
          </w:p>
          <w:p w14:paraId="51260B75" w14:textId="74981021" w:rsidR="00D83BB5" w:rsidRDefault="00EC4791" w:rsidP="00AB134D">
            <w:pPr>
              <w:pStyle w:val="CEABullet-Level1"/>
              <w:numPr>
                <w:ilvl w:val="0"/>
                <w:numId w:val="39"/>
              </w:numPr>
            </w:pPr>
            <w:r>
              <w:lastRenderedPageBreak/>
              <w:t>Insurance Europe supports increased proportionality in the counterparty default risk submodule</w:t>
            </w:r>
            <w:r w:rsidR="00AE390D">
              <w:t xml:space="preserve">. </w:t>
            </w:r>
            <w:r w:rsidR="00AB21B2">
              <w:t xml:space="preserve">See section 13 of </w:t>
            </w:r>
            <w:r w:rsidR="00AE390D" w:rsidRPr="00AE390D">
              <w:t xml:space="preserve">Insurance Europe response to EIOPA’s second set of Advice on </w:t>
            </w:r>
            <w:r w:rsidR="00AB21B2">
              <w:t xml:space="preserve">the </w:t>
            </w:r>
            <w:r w:rsidR="00AE390D" w:rsidRPr="00AE390D">
              <w:t>2018 review (</w:t>
            </w:r>
            <w:hyperlink r:id="rId23" w:history="1">
              <w:r w:rsidR="00AE390D" w:rsidRPr="00AE390D">
                <w:rPr>
                  <w:rStyle w:val="Hypertextovprepojenie"/>
                </w:rPr>
                <w:t>link</w:t>
              </w:r>
            </w:hyperlink>
            <w:r w:rsidR="00AE390D" w:rsidRPr="00AE390D">
              <w:t>)</w:t>
            </w:r>
            <w:r w:rsidR="00AE390D">
              <w:t>.</w:t>
            </w:r>
          </w:p>
          <w:p w14:paraId="7F74C0C8" w14:textId="7B7C2B2F" w:rsidR="00B1386C" w:rsidRDefault="00B1386C" w:rsidP="00AB134D">
            <w:pPr>
              <w:pStyle w:val="CEABullet-Level1"/>
              <w:numPr>
                <w:ilvl w:val="0"/>
                <w:numId w:val="39"/>
              </w:numPr>
            </w:pPr>
          </w:p>
          <w:p w14:paraId="44AA5D2B" w14:textId="6FB99E22" w:rsidR="00880A0E" w:rsidRDefault="006F7496" w:rsidP="00AB134D">
            <w:pPr>
              <w:pStyle w:val="CEABullet-Level1"/>
              <w:numPr>
                <w:ilvl w:val="0"/>
                <w:numId w:val="39"/>
              </w:numPr>
            </w:pPr>
            <w:r>
              <w:t xml:space="preserve">See section </w:t>
            </w:r>
            <w:r w:rsidR="003F3B00">
              <w:t>2.3</w:t>
            </w:r>
            <w:r>
              <w:t xml:space="preserve"> of </w:t>
            </w:r>
            <w:r w:rsidRPr="00AE390D">
              <w:t xml:space="preserve">Insurance Europe response to EIOPA’s </w:t>
            </w:r>
            <w:r>
              <w:t>first</w:t>
            </w:r>
            <w:r w:rsidRPr="00AE390D">
              <w:t xml:space="preserve"> set of Advice on the 2018 review</w:t>
            </w:r>
            <w:r>
              <w:t xml:space="preserve"> (</w:t>
            </w:r>
            <w:hyperlink r:id="rId24" w:history="1">
              <w:r w:rsidRPr="006F7496">
                <w:rPr>
                  <w:rStyle w:val="Hypertextovprepojenie"/>
                </w:rPr>
                <w:t>link</w:t>
              </w:r>
            </w:hyperlink>
            <w:r>
              <w:t>)</w:t>
            </w:r>
          </w:p>
          <w:p w14:paraId="633D8E22" w14:textId="3EF48479" w:rsidR="00880A0E" w:rsidRDefault="00880A0E" w:rsidP="006C7B88">
            <w:pPr>
              <w:pStyle w:val="CEABullet-Level1"/>
              <w:numPr>
                <w:ilvl w:val="0"/>
                <w:numId w:val="0"/>
              </w:numPr>
              <w:ind w:left="360"/>
            </w:pPr>
          </w:p>
          <w:p w14:paraId="735CDADD" w14:textId="0CFFD6E8" w:rsidR="00B1386C" w:rsidRDefault="00AE390D" w:rsidP="003D0D1E">
            <w:pPr>
              <w:pStyle w:val="CEABullet-Level1"/>
              <w:numPr>
                <w:ilvl w:val="0"/>
                <w:numId w:val="39"/>
              </w:numPr>
            </w:pPr>
            <w:r>
              <w:t xml:space="preserve">See section 6.5.3.3 of </w:t>
            </w:r>
            <w:r w:rsidRPr="00AE390D">
              <w:t>Insurance Europe response to EIOPA’s second set of Advice on the 2018 review (</w:t>
            </w:r>
            <w:hyperlink r:id="rId25" w:history="1">
              <w:r w:rsidRPr="00AE390D">
                <w:rPr>
                  <w:rStyle w:val="Hypertextovprepojenie"/>
                </w:rPr>
                <w:t>link</w:t>
              </w:r>
            </w:hyperlink>
            <w:r w:rsidRPr="00AE390D">
              <w:t>)</w:t>
            </w:r>
            <w:r>
              <w:t xml:space="preserve">. </w:t>
            </w:r>
          </w:p>
        </w:tc>
      </w:tr>
      <w:tr w:rsidR="009C50B9" w14:paraId="23EF0328" w14:textId="77777777" w:rsidTr="009C50B9">
        <w:tc>
          <w:tcPr>
            <w:tcW w:w="1328" w:type="dxa"/>
          </w:tcPr>
          <w:p w14:paraId="166208DF" w14:textId="341BED57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lastRenderedPageBreak/>
              <w:t>8</w:t>
            </w:r>
          </w:p>
        </w:tc>
        <w:tc>
          <w:tcPr>
            <w:tcW w:w="2741" w:type="dxa"/>
          </w:tcPr>
          <w:p w14:paraId="49FB18D8" w14:textId="56052E55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Risk-mitigation techniques and other techniques used to reduce Solvency Capital Requirements </w:t>
            </w:r>
          </w:p>
        </w:tc>
        <w:tc>
          <w:tcPr>
            <w:tcW w:w="2702" w:type="dxa"/>
          </w:tcPr>
          <w:p w14:paraId="7BFA530D" w14:textId="77777777" w:rsidR="00880A0E" w:rsidRDefault="00AB134D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Advise on method</w:t>
            </w:r>
            <w:r w:rsidR="00880A0E">
              <w:t xml:space="preserve">s to recognise non-proportional reinsurance covers for non-life underwriting risks. </w:t>
            </w:r>
          </w:p>
          <w:p w14:paraId="6C4FD63E" w14:textId="23F17F12" w:rsidR="00B1386C" w:rsidRDefault="00880A0E" w:rsidP="003D0D1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 xml:space="preserve">Clarify </w:t>
            </w:r>
            <w:r w:rsidR="00011EA9">
              <w:t>definition of financial risk-mitigation technique</w:t>
            </w:r>
          </w:p>
        </w:tc>
        <w:tc>
          <w:tcPr>
            <w:tcW w:w="2703" w:type="dxa"/>
          </w:tcPr>
          <w:p w14:paraId="40F4FB66" w14:textId="4C832748" w:rsidR="00B1386C" w:rsidRDefault="00880A0E" w:rsidP="00D31288">
            <w:pPr>
              <w:pStyle w:val="CEABullet-Level1"/>
              <w:numPr>
                <w:ilvl w:val="0"/>
                <w:numId w:val="0"/>
              </w:numPr>
            </w:pPr>
            <w:r>
              <w:t>-EIOPA has consistently rejected industry proposals to reflect non-proportional reinsurance</w:t>
            </w:r>
            <w:r w:rsidR="00F156F1">
              <w:t>.</w:t>
            </w:r>
          </w:p>
        </w:tc>
        <w:tc>
          <w:tcPr>
            <w:tcW w:w="2702" w:type="dxa"/>
          </w:tcPr>
          <w:p w14:paraId="04937EDB" w14:textId="3381F445" w:rsidR="00EC4905" w:rsidRDefault="00EC4905" w:rsidP="00D31288">
            <w:pPr>
              <w:pStyle w:val="CEABullet-Level1"/>
              <w:numPr>
                <w:ilvl w:val="0"/>
                <w:numId w:val="0"/>
              </w:numPr>
            </w:pPr>
            <w:r>
              <w:t>- Find an appropriate solution for measuring risk for non-proportional reinsurance in the standard formula</w:t>
            </w:r>
          </w:p>
          <w:p w14:paraId="1B84D2BC" w14:textId="0384CB5E" w:rsidR="00EC4905" w:rsidRDefault="00EC4905" w:rsidP="00D31288">
            <w:pPr>
              <w:pStyle w:val="CEABullet-Level1"/>
              <w:numPr>
                <w:ilvl w:val="0"/>
                <w:numId w:val="0"/>
              </w:numPr>
            </w:pPr>
            <w:r>
              <w:t>- Work closely with the Reinsurance Advisory Board on finding a solution</w:t>
            </w:r>
          </w:p>
          <w:p w14:paraId="115D453C" w14:textId="740D00A3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03" w:type="dxa"/>
          </w:tcPr>
          <w:p w14:paraId="4235C5B8" w14:textId="458AF531" w:rsidR="00B1386C" w:rsidRDefault="00EC4905" w:rsidP="00D31288">
            <w:pPr>
              <w:pStyle w:val="CEABullet-Level1"/>
              <w:numPr>
                <w:ilvl w:val="0"/>
                <w:numId w:val="0"/>
              </w:numPr>
            </w:pPr>
            <w:r>
              <w:t>See response to the EIOPA con</w:t>
            </w:r>
            <w:r w:rsidR="00694858">
              <w:t>s</w:t>
            </w:r>
            <w:r>
              <w:t>ultation on the Solvency II draft advice</w:t>
            </w:r>
            <w:r w:rsidR="00694858">
              <w:t xml:space="preserve"> (</w:t>
            </w:r>
            <w:hyperlink r:id="rId26" w:history="1">
              <w:r w:rsidR="00694858" w:rsidRPr="00694858">
                <w:rPr>
                  <w:rStyle w:val="Hypertextovprepojenie"/>
                </w:rPr>
                <w:t>link</w:t>
              </w:r>
            </w:hyperlink>
            <w:r w:rsidR="00694858">
              <w:t>)</w:t>
            </w:r>
          </w:p>
        </w:tc>
      </w:tr>
      <w:tr w:rsidR="009C50B9" w14:paraId="351DC9B0" w14:textId="77777777" w:rsidTr="009C50B9">
        <w:tc>
          <w:tcPr>
            <w:tcW w:w="1328" w:type="dxa"/>
          </w:tcPr>
          <w:p w14:paraId="2358CACF" w14:textId="46060C13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9</w:t>
            </w:r>
          </w:p>
        </w:tc>
        <w:tc>
          <w:tcPr>
            <w:tcW w:w="2741" w:type="dxa"/>
          </w:tcPr>
          <w:p w14:paraId="2069204C" w14:textId="7B3CCD26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MCR</w:t>
            </w:r>
          </w:p>
        </w:tc>
        <w:tc>
          <w:tcPr>
            <w:tcW w:w="2702" w:type="dxa"/>
          </w:tcPr>
          <w:p w14:paraId="50DA6053" w14:textId="29FC9AC2" w:rsidR="00650377" w:rsidRDefault="005E3866" w:rsidP="003D0D1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Report on the</w:t>
            </w:r>
            <w:r w:rsidR="00CA2C3B">
              <w:t xml:space="preserve"> use and level of cap, floor and absolute floor </w:t>
            </w:r>
          </w:p>
          <w:p w14:paraId="14C12E5E" w14:textId="5AC9DFE3" w:rsidR="00650377" w:rsidRDefault="005E3866" w:rsidP="003D0D1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Report i</w:t>
            </w:r>
            <w:r w:rsidR="00CA2C3B">
              <w:t>ssues with the calculation</w:t>
            </w:r>
            <w:r>
              <w:t xml:space="preserve"> and recommendations on how to address these</w:t>
            </w:r>
          </w:p>
          <w:p w14:paraId="76CF4ECA" w14:textId="26AB972D" w:rsidR="00CA2C3B" w:rsidRDefault="005E3866" w:rsidP="003D0D1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Assess whether the c</w:t>
            </w:r>
            <w:r w:rsidR="00CA2C3B">
              <w:t xml:space="preserve">alculation </w:t>
            </w:r>
            <w:r>
              <w:t xml:space="preserve">rules are </w:t>
            </w:r>
            <w:r w:rsidR="00CA2C3B">
              <w:t>consistent with VaR of the basic OF and a confidence level of 85% over one year</w:t>
            </w:r>
            <w:r w:rsidR="00650377">
              <w:t>?</w:t>
            </w:r>
          </w:p>
          <w:p w14:paraId="38D7194B" w14:textId="1FD36F71" w:rsidR="00650377" w:rsidRDefault="005E3866" w:rsidP="003D0D1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Report d</w:t>
            </w:r>
            <w:r w:rsidR="00CA2C3B">
              <w:t xml:space="preserve">ivergent practices in case of breach </w:t>
            </w:r>
          </w:p>
          <w:p w14:paraId="2931278A" w14:textId="0D671094" w:rsidR="00B1386C" w:rsidRDefault="007354B9" w:rsidP="003D0D1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Report i</w:t>
            </w:r>
            <w:r w:rsidR="00CA2C3B">
              <w:t xml:space="preserve">ssues with identification of eligible basic OF items for composite companies </w:t>
            </w:r>
          </w:p>
        </w:tc>
        <w:tc>
          <w:tcPr>
            <w:tcW w:w="2703" w:type="dxa"/>
          </w:tcPr>
          <w:p w14:paraId="7C08C6D1" w14:textId="7AEB1FD5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02" w:type="dxa"/>
          </w:tcPr>
          <w:p w14:paraId="77C03D81" w14:textId="21A8C77E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03" w:type="dxa"/>
          </w:tcPr>
          <w:p w14:paraId="25046830" w14:textId="77777777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</w:tr>
      <w:tr w:rsidR="009C50B9" w14:paraId="64EC2647" w14:textId="77777777" w:rsidTr="009C50B9">
        <w:tc>
          <w:tcPr>
            <w:tcW w:w="1328" w:type="dxa"/>
          </w:tcPr>
          <w:p w14:paraId="52CF2D05" w14:textId="28A15632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10</w:t>
            </w:r>
          </w:p>
        </w:tc>
        <w:tc>
          <w:tcPr>
            <w:tcW w:w="2741" w:type="dxa"/>
          </w:tcPr>
          <w:p w14:paraId="70FEE89D" w14:textId="15868FA3" w:rsidR="00B1386C" w:rsidRDefault="00762DCA" w:rsidP="00CE4843">
            <w:pPr>
              <w:pStyle w:val="CEABullet-Level1"/>
              <w:numPr>
                <w:ilvl w:val="0"/>
                <w:numId w:val="0"/>
              </w:numPr>
              <w:jc w:val="left"/>
            </w:pPr>
            <w:r w:rsidRPr="00762DCA">
              <w:t xml:space="preserve">Macro-prudential issues </w:t>
            </w:r>
          </w:p>
        </w:tc>
        <w:tc>
          <w:tcPr>
            <w:tcW w:w="2702" w:type="dxa"/>
          </w:tcPr>
          <w:p w14:paraId="580015EE" w14:textId="6C03B43B" w:rsidR="00CE4843" w:rsidRDefault="0027481B" w:rsidP="00CE4843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A</w:t>
            </w:r>
            <w:r w:rsidR="00CE4843">
              <w:t>ssess whether existing SII provisions allow for effective macroprudential supervsion.</w:t>
            </w:r>
          </w:p>
          <w:p w14:paraId="349684DC" w14:textId="3BDAC1AD" w:rsidR="00B1386C" w:rsidRDefault="00CE4843" w:rsidP="00CE4843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Where this is not the case, EIOPA should advise on how to improve ORSA, SRMP, LRMP, PPP (closed list).</w:t>
            </w:r>
          </w:p>
        </w:tc>
        <w:tc>
          <w:tcPr>
            <w:tcW w:w="2703" w:type="dxa"/>
          </w:tcPr>
          <w:p w14:paraId="7E2EBA07" w14:textId="1FCB8A8E" w:rsidR="00B1386C" w:rsidRDefault="000F2736" w:rsidP="000F2736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 w:rsidRPr="006A6F1C">
              <w:rPr>
                <w:sz w:val="16"/>
              </w:rPr>
              <w:t>There is a European workstream in the context of the 2020 SII review, but also an international workstream ie IAIS holistic framework.</w:t>
            </w:r>
            <w:r>
              <w:t xml:space="preserve"> We will have to pay attention to how these two interact.</w:t>
            </w:r>
          </w:p>
        </w:tc>
        <w:tc>
          <w:tcPr>
            <w:tcW w:w="2702" w:type="dxa"/>
          </w:tcPr>
          <w:p w14:paraId="61A3AD6E" w14:textId="4EC8B380" w:rsidR="000F2736" w:rsidRPr="000F2736" w:rsidRDefault="000F2736" w:rsidP="000F2736">
            <w:pPr>
              <w:pStyle w:val="CEABullet-Level1"/>
              <w:numPr>
                <w:ilvl w:val="0"/>
                <w:numId w:val="9"/>
              </w:numPr>
              <w:ind w:left="268"/>
              <w:jc w:val="left"/>
              <w:rPr>
                <w:sz w:val="16"/>
              </w:rPr>
            </w:pPr>
            <w:r w:rsidRPr="006A6F1C">
              <w:rPr>
                <w:sz w:val="16"/>
              </w:rPr>
              <w:t>EIOPA will launch a consultation to prepare this response, so there is some scope to influence EIOPA’s work.</w:t>
            </w:r>
          </w:p>
        </w:tc>
        <w:tc>
          <w:tcPr>
            <w:tcW w:w="2703" w:type="dxa"/>
          </w:tcPr>
          <w:p w14:paraId="6EC59F15" w14:textId="621295EC" w:rsidR="00CE4843" w:rsidRDefault="00371ACB" w:rsidP="00CE4843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hyperlink r:id="rId27" w:history="1">
              <w:r w:rsidR="00CE4843" w:rsidRPr="00EC1A6E">
                <w:rPr>
                  <w:rStyle w:val="Hypertextovprepojenie"/>
                </w:rPr>
                <w:t>Insurance Europe response</w:t>
              </w:r>
            </w:hyperlink>
            <w:r w:rsidR="00CE4843">
              <w:t xml:space="preserve"> to EIOPA’s three macroprudential papers.</w:t>
            </w:r>
          </w:p>
          <w:p w14:paraId="5F413DC9" w14:textId="01BC2039" w:rsidR="00B1386C" w:rsidRDefault="00CE4843" w:rsidP="00CE4843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 xml:space="preserve">EIOPA consultation on this topic upcoming in April. </w:t>
            </w:r>
          </w:p>
        </w:tc>
      </w:tr>
      <w:tr w:rsidR="009C50B9" w14:paraId="27795FD8" w14:textId="77777777" w:rsidTr="009C50B9">
        <w:tc>
          <w:tcPr>
            <w:tcW w:w="1328" w:type="dxa"/>
          </w:tcPr>
          <w:p w14:paraId="52855EF6" w14:textId="23D86215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11</w:t>
            </w:r>
          </w:p>
        </w:tc>
        <w:tc>
          <w:tcPr>
            <w:tcW w:w="2741" w:type="dxa"/>
          </w:tcPr>
          <w:p w14:paraId="6198F628" w14:textId="3B32B6D2" w:rsidR="00B1386C" w:rsidRDefault="00762DCA" w:rsidP="00CE4843">
            <w:pPr>
              <w:pStyle w:val="CEABullet-Level1"/>
              <w:numPr>
                <w:ilvl w:val="0"/>
                <w:numId w:val="0"/>
              </w:numPr>
              <w:jc w:val="left"/>
            </w:pPr>
            <w:r w:rsidRPr="00762DCA">
              <w:t xml:space="preserve">Recovery and resolution </w:t>
            </w:r>
          </w:p>
        </w:tc>
        <w:tc>
          <w:tcPr>
            <w:tcW w:w="2702" w:type="dxa"/>
          </w:tcPr>
          <w:p w14:paraId="1BAAC5CD" w14:textId="589C9706" w:rsidR="00056E6E" w:rsidRDefault="0027481B" w:rsidP="00056E6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A</w:t>
            </w:r>
            <w:r w:rsidR="00056E6E">
              <w:t>ssess whether SII rules on recovery should be further developed.</w:t>
            </w:r>
          </w:p>
          <w:p w14:paraId="16928507" w14:textId="0A5A9BEC" w:rsidR="00056E6E" w:rsidRDefault="0027481B" w:rsidP="00056E6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A</w:t>
            </w:r>
            <w:r w:rsidR="00056E6E">
              <w:t>dvise whether there is a need for minimum harmonisation on resolution.</w:t>
            </w:r>
          </w:p>
          <w:p w14:paraId="6B07140E" w14:textId="7BC0ED21" w:rsidR="00B1386C" w:rsidRDefault="0027481B" w:rsidP="00056E6E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A</w:t>
            </w:r>
            <w:r w:rsidR="00056E6E">
              <w:t>dvise what the appropriate triggers for early intervention, recover</w:t>
            </w:r>
            <w:r w:rsidR="00464032">
              <w:t>y</w:t>
            </w:r>
            <w:r w:rsidR="00056E6E">
              <w:t xml:space="preserve"> and resolution should be.</w:t>
            </w:r>
          </w:p>
        </w:tc>
        <w:tc>
          <w:tcPr>
            <w:tcW w:w="2703" w:type="dxa"/>
          </w:tcPr>
          <w:p w14:paraId="5D7F0BC8" w14:textId="14FDD521" w:rsidR="00CE4843" w:rsidRPr="00464032" w:rsidRDefault="00CE4843" w:rsidP="00CE4843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 w:rsidRPr="00464032">
              <w:rPr>
                <w:sz w:val="16"/>
              </w:rPr>
              <w:t xml:space="preserve">EIOPA has already done </w:t>
            </w:r>
            <w:r w:rsidR="00464032">
              <w:rPr>
                <w:sz w:val="16"/>
              </w:rPr>
              <w:t xml:space="preserve">all </w:t>
            </w:r>
            <w:r w:rsidRPr="00464032">
              <w:rPr>
                <w:sz w:val="16"/>
              </w:rPr>
              <w:t xml:space="preserve">the work required to respond to the CfA. </w:t>
            </w:r>
          </w:p>
          <w:p w14:paraId="442840DC" w14:textId="07CE44EE" w:rsidR="00B1386C" w:rsidRPr="00464032" w:rsidRDefault="00CE4843" w:rsidP="00464032">
            <w:pPr>
              <w:pStyle w:val="CEABullet-Level1"/>
              <w:numPr>
                <w:ilvl w:val="0"/>
                <w:numId w:val="9"/>
              </w:numPr>
              <w:ind w:left="268"/>
              <w:jc w:val="left"/>
              <w:rPr>
                <w:sz w:val="16"/>
              </w:rPr>
            </w:pPr>
            <w:r w:rsidRPr="00464032">
              <w:rPr>
                <w:sz w:val="16"/>
              </w:rPr>
              <w:t xml:space="preserve">In its Opinion on R&amp;R, EIOPA </w:t>
            </w:r>
            <w:r w:rsidR="00464032">
              <w:rPr>
                <w:sz w:val="16"/>
              </w:rPr>
              <w:t xml:space="preserve">called for a minimum degree of harmonisation of R&amp;R rules. This should include </w:t>
            </w:r>
            <w:r w:rsidR="00464032" w:rsidRPr="00464032">
              <w:rPr>
                <w:sz w:val="16"/>
              </w:rPr>
              <w:t>a requirement for insurers to develop and maintain recovery plans</w:t>
            </w:r>
            <w:r w:rsidR="00464032">
              <w:rPr>
                <w:sz w:val="16"/>
              </w:rPr>
              <w:t>.</w:t>
            </w:r>
          </w:p>
        </w:tc>
        <w:tc>
          <w:tcPr>
            <w:tcW w:w="2702" w:type="dxa"/>
          </w:tcPr>
          <w:p w14:paraId="35E18363" w14:textId="77777777" w:rsidR="00B1386C" w:rsidRDefault="00464032" w:rsidP="00464032">
            <w:pPr>
              <w:pStyle w:val="CEABullet-Level1"/>
              <w:numPr>
                <w:ilvl w:val="0"/>
                <w:numId w:val="9"/>
              </w:numPr>
              <w:ind w:left="268"/>
              <w:jc w:val="left"/>
              <w:rPr>
                <w:sz w:val="16"/>
              </w:rPr>
            </w:pPr>
            <w:r w:rsidRPr="00464032">
              <w:rPr>
                <w:sz w:val="16"/>
              </w:rPr>
              <w:t>EIOPA stated clearly that the introduction of early intervention powers should especially not result in a new pre-defined intervention level or capital requirement beyond what is envisaged in Solvency II.</w:t>
            </w:r>
          </w:p>
          <w:p w14:paraId="574D1A14" w14:textId="17123D5D" w:rsidR="000F2736" w:rsidRPr="00464032" w:rsidRDefault="000F2736" w:rsidP="00464032">
            <w:pPr>
              <w:pStyle w:val="CEABullet-Level1"/>
              <w:numPr>
                <w:ilvl w:val="0"/>
                <w:numId w:val="9"/>
              </w:numPr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EIOPA took a number of our concerns into account in its Opinion.</w:t>
            </w:r>
          </w:p>
        </w:tc>
        <w:tc>
          <w:tcPr>
            <w:tcW w:w="2703" w:type="dxa"/>
          </w:tcPr>
          <w:p w14:paraId="7B01B00D" w14:textId="69E077D4" w:rsidR="00CE4843" w:rsidRPr="00CE4843" w:rsidRDefault="00371ACB" w:rsidP="00CE4843">
            <w:pPr>
              <w:pStyle w:val="CEABullet-Level1"/>
              <w:numPr>
                <w:ilvl w:val="0"/>
                <w:numId w:val="9"/>
              </w:numPr>
              <w:ind w:left="268"/>
              <w:jc w:val="left"/>
              <w:rPr>
                <w:sz w:val="16"/>
              </w:rPr>
            </w:pPr>
            <w:hyperlink r:id="rId28" w:history="1">
              <w:r w:rsidR="00CE4843" w:rsidRPr="00EC1A6E">
                <w:rPr>
                  <w:rStyle w:val="Hypertextovprepojenie"/>
                  <w:sz w:val="16"/>
                </w:rPr>
                <w:t>Insurance Europe response</w:t>
              </w:r>
            </w:hyperlink>
            <w:r w:rsidR="00CE4843" w:rsidRPr="00CE4843">
              <w:rPr>
                <w:sz w:val="16"/>
              </w:rPr>
              <w:t xml:space="preserve"> to EIOPA’s consultation on R&amp;R harmonisation.</w:t>
            </w:r>
          </w:p>
          <w:p w14:paraId="43EE4928" w14:textId="4319B9B2" w:rsidR="00B1386C" w:rsidRDefault="00371ACB" w:rsidP="00CE4843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hyperlink r:id="rId29" w:history="1">
              <w:r w:rsidR="00CE4843" w:rsidRPr="00784BE7">
                <w:rPr>
                  <w:rStyle w:val="Hypertextovprepojenie"/>
                  <w:sz w:val="16"/>
                </w:rPr>
                <w:t>EIOPA Opinion</w:t>
              </w:r>
            </w:hyperlink>
            <w:r w:rsidR="00CE4843" w:rsidRPr="00CE4843">
              <w:rPr>
                <w:sz w:val="16"/>
              </w:rPr>
              <w:t xml:space="preserve"> on R&amp;R harmonisation (201</w:t>
            </w:r>
            <w:r w:rsidR="00464032">
              <w:rPr>
                <w:sz w:val="16"/>
              </w:rPr>
              <w:t>7</w:t>
            </w:r>
            <w:r w:rsidR="00CE4843" w:rsidRPr="00CE4843">
              <w:rPr>
                <w:sz w:val="16"/>
              </w:rPr>
              <w:t>).</w:t>
            </w:r>
            <w:r w:rsidR="00CE4843">
              <w:t xml:space="preserve"> </w:t>
            </w:r>
          </w:p>
        </w:tc>
      </w:tr>
      <w:tr w:rsidR="009C50B9" w:rsidRPr="00CE4843" w14:paraId="3D2ABC07" w14:textId="77777777" w:rsidTr="009C50B9">
        <w:tc>
          <w:tcPr>
            <w:tcW w:w="1328" w:type="dxa"/>
          </w:tcPr>
          <w:p w14:paraId="765EB2EA" w14:textId="5F6F013A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12</w:t>
            </w:r>
          </w:p>
        </w:tc>
        <w:tc>
          <w:tcPr>
            <w:tcW w:w="2741" w:type="dxa"/>
          </w:tcPr>
          <w:p w14:paraId="2A02A5DB" w14:textId="0EED9A02" w:rsidR="00B1386C" w:rsidRDefault="00762DCA" w:rsidP="00CE4843">
            <w:pPr>
              <w:pStyle w:val="CEABullet-Level1"/>
              <w:numPr>
                <w:ilvl w:val="0"/>
                <w:numId w:val="0"/>
              </w:numPr>
              <w:jc w:val="left"/>
            </w:pPr>
            <w:r w:rsidRPr="00762DCA">
              <w:t xml:space="preserve">Insurance guarantee schemes (IGS) </w:t>
            </w:r>
          </w:p>
        </w:tc>
        <w:tc>
          <w:tcPr>
            <w:tcW w:w="2702" w:type="dxa"/>
          </w:tcPr>
          <w:p w14:paraId="06EFC651" w14:textId="0B369059" w:rsidR="00B1386C" w:rsidRDefault="0027481B" w:rsidP="00CE4843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rPr>
                <w:sz w:val="16"/>
              </w:rPr>
              <w:t>A</w:t>
            </w:r>
            <w:r w:rsidR="00CE4843" w:rsidRPr="00CE4843">
              <w:rPr>
                <w:sz w:val="16"/>
              </w:rPr>
              <w:t>dvise whether there is a need for minimum harmonisation of national IGS rules</w:t>
            </w:r>
            <w:r w:rsidR="00CE4843">
              <w:rPr>
                <w:sz w:val="16"/>
              </w:rPr>
              <w:t>/features</w:t>
            </w:r>
            <w:r w:rsidR="00CE4843" w:rsidRPr="00CE4843">
              <w:rPr>
                <w:sz w:val="16"/>
              </w:rPr>
              <w:t>.</w:t>
            </w:r>
          </w:p>
        </w:tc>
        <w:tc>
          <w:tcPr>
            <w:tcW w:w="2703" w:type="dxa"/>
          </w:tcPr>
          <w:p w14:paraId="514DA27A" w14:textId="77777777" w:rsidR="00464032" w:rsidRPr="00464032" w:rsidRDefault="00464032" w:rsidP="00464032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 w:rsidRPr="00464032">
              <w:rPr>
                <w:sz w:val="16"/>
              </w:rPr>
              <w:t xml:space="preserve">EIOPA has already done </w:t>
            </w:r>
            <w:r>
              <w:rPr>
                <w:sz w:val="16"/>
              </w:rPr>
              <w:t xml:space="preserve">all </w:t>
            </w:r>
            <w:r w:rsidRPr="00464032">
              <w:rPr>
                <w:sz w:val="16"/>
              </w:rPr>
              <w:t>the work required to respond to the CfA.</w:t>
            </w:r>
          </w:p>
          <w:p w14:paraId="2DD2D392" w14:textId="77777777" w:rsidR="00B1386C" w:rsidRDefault="00464032" w:rsidP="00464032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>In its upcoming Opinion on IGS, EIOPA will presumably propose some degree of minimum harmonisation of national IGS rules and features.</w:t>
            </w:r>
          </w:p>
          <w:p w14:paraId="42A19D4C" w14:textId="2EAAF6BB" w:rsidR="000F2736" w:rsidRDefault="000F2736" w:rsidP="00464032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 w:rsidRPr="008F3E85">
              <w:rPr>
                <w:sz w:val="16"/>
              </w:rPr>
              <w:t>National IGS rules and features differ widely among jurisdictions, so any harmonisation will be challenging to implement.</w:t>
            </w:r>
          </w:p>
        </w:tc>
        <w:tc>
          <w:tcPr>
            <w:tcW w:w="2702" w:type="dxa"/>
          </w:tcPr>
          <w:p w14:paraId="4D1C452D" w14:textId="2FBAFA27" w:rsidR="00B1386C" w:rsidRDefault="000F2736" w:rsidP="008F3E85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>
              <w:t xml:space="preserve">None, as EIOPA’s work is done, we strongly oppose harmonisation and EIOPA will probably propose some degree of harmonisation.  </w:t>
            </w:r>
          </w:p>
        </w:tc>
        <w:tc>
          <w:tcPr>
            <w:tcW w:w="2703" w:type="dxa"/>
          </w:tcPr>
          <w:p w14:paraId="0A24E440" w14:textId="790A3AC1" w:rsidR="00CE4843" w:rsidRPr="00CE4843" w:rsidRDefault="00371ACB" w:rsidP="00CE4843">
            <w:pPr>
              <w:pStyle w:val="CEABullet-Level1"/>
              <w:numPr>
                <w:ilvl w:val="0"/>
                <w:numId w:val="9"/>
              </w:numPr>
              <w:ind w:left="268"/>
              <w:jc w:val="left"/>
              <w:rPr>
                <w:sz w:val="16"/>
              </w:rPr>
            </w:pPr>
            <w:hyperlink r:id="rId30" w:history="1">
              <w:r w:rsidR="00CE4843" w:rsidRPr="00EC1A6E">
                <w:rPr>
                  <w:rStyle w:val="Hypertextovprepojenie"/>
                  <w:sz w:val="16"/>
                </w:rPr>
                <w:t>Insurance Europe response</w:t>
              </w:r>
            </w:hyperlink>
            <w:r w:rsidR="00CE4843" w:rsidRPr="00CE4843">
              <w:rPr>
                <w:sz w:val="16"/>
              </w:rPr>
              <w:t xml:space="preserve"> to EIOPA’s consultation on IGS harmonisation.</w:t>
            </w:r>
          </w:p>
          <w:p w14:paraId="50969DA6" w14:textId="3C7FF267" w:rsidR="00B1386C" w:rsidRPr="00CE4843" w:rsidRDefault="00CE4843" w:rsidP="00CE4843">
            <w:pPr>
              <w:pStyle w:val="CEABullet-Level1"/>
              <w:numPr>
                <w:ilvl w:val="0"/>
                <w:numId w:val="9"/>
              </w:numPr>
              <w:ind w:left="268"/>
              <w:jc w:val="left"/>
            </w:pPr>
            <w:r w:rsidRPr="00CE4843">
              <w:rPr>
                <w:sz w:val="16"/>
              </w:rPr>
              <w:t>EIOPA Opinion on IGS harmonisation expected this spring.</w:t>
            </w:r>
            <w:r>
              <w:rPr>
                <w:lang w:val="en-US"/>
              </w:rPr>
              <w:t xml:space="preserve"> </w:t>
            </w:r>
          </w:p>
        </w:tc>
      </w:tr>
      <w:tr w:rsidR="009C50B9" w14:paraId="1513D830" w14:textId="77777777" w:rsidTr="009C50B9">
        <w:tc>
          <w:tcPr>
            <w:tcW w:w="1328" w:type="dxa"/>
          </w:tcPr>
          <w:p w14:paraId="2B7C2067" w14:textId="3353E4B8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13</w:t>
            </w:r>
            <w:r w:rsidR="0079272B">
              <w:t xml:space="preserve"> </w:t>
            </w:r>
          </w:p>
        </w:tc>
        <w:tc>
          <w:tcPr>
            <w:tcW w:w="2741" w:type="dxa"/>
          </w:tcPr>
          <w:p w14:paraId="53F3CA50" w14:textId="29614E0F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Freedom to provide services and freedom of establishment </w:t>
            </w:r>
          </w:p>
        </w:tc>
        <w:tc>
          <w:tcPr>
            <w:tcW w:w="2702" w:type="dxa"/>
          </w:tcPr>
          <w:p w14:paraId="36AC6F3D" w14:textId="3A486609" w:rsidR="00B1386C" w:rsidRDefault="007354B9" w:rsidP="00D31288">
            <w:pPr>
              <w:pStyle w:val="CEABullet-Level1"/>
              <w:numPr>
                <w:ilvl w:val="0"/>
                <w:numId w:val="0"/>
              </w:numPr>
            </w:pPr>
            <w:r>
              <w:t>- Assess sufficien</w:t>
            </w:r>
            <w:r w:rsidR="00063C84">
              <w:t>c</w:t>
            </w:r>
            <w:r>
              <w:t>y of home NCA supervisory powers</w:t>
            </w:r>
          </w:p>
          <w:p w14:paraId="18E60340" w14:textId="4ED90194" w:rsidR="00B1386C" w:rsidRDefault="00E15E8F" w:rsidP="00D31288">
            <w:pPr>
              <w:pStyle w:val="CEABullet-Level1"/>
              <w:numPr>
                <w:ilvl w:val="0"/>
                <w:numId w:val="0"/>
              </w:numPr>
            </w:pPr>
            <w:r>
              <w:t>- Assess whether the Home NCA is able to properly assess  the fit and proper requirements</w:t>
            </w:r>
            <w:r w:rsidR="00A1434C">
              <w:t xml:space="preserve"> (EIOPA’s recent </w:t>
            </w:r>
            <w:hyperlink r:id="rId31" w:history="1">
              <w:r w:rsidR="00A1434C" w:rsidRPr="009544BE">
                <w:rPr>
                  <w:rStyle w:val="Hypertextovprepojenie"/>
                </w:rPr>
                <w:t>opinion</w:t>
              </w:r>
            </w:hyperlink>
            <w:r w:rsidR="00A1434C">
              <w:t xml:space="preserve"> on FoS highlighted that </w:t>
            </w:r>
            <w:r w:rsidR="00A1434C" w:rsidRPr="00A1434C">
              <w:t>the home NCA should assess “whether the skills, knowledge and expertise of the undertaking’s personnel, including the AMSB and the key functions, are sufficient to carry out such business”</w:t>
            </w:r>
            <w:r w:rsidR="00A1434C">
              <w:t>)</w:t>
            </w:r>
            <w:r w:rsidR="001B64CF">
              <w:t>.</w:t>
            </w:r>
          </w:p>
        </w:tc>
        <w:tc>
          <w:tcPr>
            <w:tcW w:w="2703" w:type="dxa"/>
          </w:tcPr>
          <w:p w14:paraId="559C56D9" w14:textId="749E0EEC" w:rsidR="009544BE" w:rsidRDefault="00A1434C" w:rsidP="009544BE">
            <w:pPr>
              <w:pStyle w:val="CEABullet-Level1"/>
              <w:numPr>
                <w:ilvl w:val="0"/>
                <w:numId w:val="0"/>
              </w:numPr>
            </w:pPr>
            <w:r>
              <w:t xml:space="preserve">- </w:t>
            </w:r>
            <w:r w:rsidR="00EA2A86">
              <w:t>EIOPA’s</w:t>
            </w:r>
            <w:r>
              <w:t xml:space="preserve"> opinion </w:t>
            </w:r>
            <w:r w:rsidR="009544BE">
              <w:t xml:space="preserve">put forward the existing possibility of requiring </w:t>
            </w:r>
            <w:r w:rsidR="009544BE" w:rsidRPr="009544BE">
              <w:t xml:space="preserve"> </w:t>
            </w:r>
            <w:r w:rsidR="009544BE">
              <w:t>“</w:t>
            </w:r>
            <w:r w:rsidR="009544BE" w:rsidRPr="009544BE">
              <w:t>an external, independent valuation or verification of the technical provisions by an appropriate skilled person, with sufficient understanding of the local market</w:t>
            </w:r>
            <w:r>
              <w:t xml:space="preserve">” </w:t>
            </w:r>
            <w:r w:rsidR="009544BE">
              <w:t xml:space="preserve">and </w:t>
            </w:r>
            <w:r>
              <w:t>of setting</w:t>
            </w:r>
            <w:r w:rsidR="009544BE">
              <w:t xml:space="preserve"> up a capital add-on when the home NCA considers that </w:t>
            </w:r>
            <w:r w:rsidRPr="00A1434C">
              <w:t>there is a significant deviation as regards the SCR or the governance</w:t>
            </w:r>
            <w:r>
              <w:t>. Costly external audits on technical provisions or capital add-ons should not be encouraged systematically when conducting business under FoS/FoE.</w:t>
            </w:r>
          </w:p>
          <w:p w14:paraId="4AA5300F" w14:textId="7AB6CFBC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02" w:type="dxa"/>
          </w:tcPr>
          <w:p w14:paraId="2B0E43B2" w14:textId="77777777" w:rsidR="00B1386C" w:rsidRDefault="007354B9" w:rsidP="00D31288">
            <w:pPr>
              <w:pStyle w:val="CEABullet-Level1"/>
              <w:numPr>
                <w:ilvl w:val="0"/>
                <w:numId w:val="0"/>
              </w:numPr>
            </w:pPr>
            <w:r>
              <w:t>- Improve regulation in case ESAs review outcome is not satisfactory</w:t>
            </w:r>
          </w:p>
          <w:p w14:paraId="3E3196DA" w14:textId="5EEEC3A9" w:rsidR="00B1386C" w:rsidRDefault="00E15E8F" w:rsidP="00D31288">
            <w:pPr>
              <w:pStyle w:val="CEABullet-Level1"/>
              <w:numPr>
                <w:ilvl w:val="0"/>
                <w:numId w:val="0"/>
              </w:numPr>
            </w:pPr>
            <w:r>
              <w:t>- Extend the scope of colleges of supervisors to FoS/FoE material issues</w:t>
            </w:r>
          </w:p>
        </w:tc>
        <w:tc>
          <w:tcPr>
            <w:tcW w:w="2703" w:type="dxa"/>
          </w:tcPr>
          <w:p w14:paraId="0F74F626" w14:textId="0A66F95E" w:rsidR="00B1386C" w:rsidRPr="00C85AAC" w:rsidRDefault="003C4956" w:rsidP="00D31288">
            <w:pPr>
              <w:pStyle w:val="CEABullet-Level1"/>
              <w:numPr>
                <w:ilvl w:val="0"/>
                <w:numId w:val="0"/>
              </w:numPr>
            </w:pPr>
            <w:r w:rsidRPr="003C4956">
              <w:t xml:space="preserve">- Insurance Europe </w:t>
            </w:r>
            <w:hyperlink r:id="rId32" w:history="1">
              <w:r w:rsidR="001B64CF" w:rsidRPr="001B64CF">
                <w:rPr>
                  <w:rStyle w:val="Hypertextovprepojenie"/>
                </w:rPr>
                <w:t>position</w:t>
              </w:r>
            </w:hyperlink>
            <w:r w:rsidRPr="003C4956">
              <w:t xml:space="preserve"> on the ESAs review</w:t>
            </w:r>
          </w:p>
        </w:tc>
      </w:tr>
      <w:tr w:rsidR="009C50B9" w14:paraId="4171055F" w14:textId="77777777" w:rsidTr="009C50B9">
        <w:tc>
          <w:tcPr>
            <w:tcW w:w="1328" w:type="dxa"/>
          </w:tcPr>
          <w:p w14:paraId="35596EBF" w14:textId="5EEBC915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14</w:t>
            </w:r>
          </w:p>
        </w:tc>
        <w:tc>
          <w:tcPr>
            <w:tcW w:w="2741" w:type="dxa"/>
          </w:tcPr>
          <w:p w14:paraId="42FA6FE6" w14:textId="18C247D1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Group supervision </w:t>
            </w:r>
          </w:p>
        </w:tc>
        <w:tc>
          <w:tcPr>
            <w:tcW w:w="2702" w:type="dxa"/>
          </w:tcPr>
          <w:p w14:paraId="6CA3FD09" w14:textId="5CB8E1D0" w:rsidR="007354B9" w:rsidRDefault="007354B9" w:rsidP="00D31288">
            <w:pPr>
              <w:pStyle w:val="CEABullet-Level1"/>
              <w:numPr>
                <w:ilvl w:val="0"/>
                <w:numId w:val="0"/>
              </w:numPr>
            </w:pPr>
            <w:r>
              <w:t>P</w:t>
            </w:r>
            <w:r w:rsidRPr="007354B9">
              <w:t xml:space="preserve">ropose solutions to issues identified in the group supervision </w:t>
            </w:r>
            <w:hyperlink r:id="rId33" w:history="1">
              <w:r w:rsidRPr="00E15E8F">
                <w:rPr>
                  <w:rStyle w:val="Hypertextovprepojenie"/>
                </w:rPr>
                <w:t>report</w:t>
              </w:r>
            </w:hyperlink>
            <w:r w:rsidRPr="007354B9">
              <w:t>, in particular:</w:t>
            </w:r>
          </w:p>
          <w:p w14:paraId="40F5085D" w14:textId="3B7D1A05" w:rsidR="007354B9" w:rsidRDefault="007354B9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 Scope of group supervision, supervision of IGT and supervisory powers when </w:t>
            </w:r>
            <w:r w:rsidR="003C4956">
              <w:t>headquarters</w:t>
            </w:r>
            <w:r>
              <w:t xml:space="preserve"> in a non-equivalent </w:t>
            </w:r>
            <w:r w:rsidR="003C4956">
              <w:t>third</w:t>
            </w:r>
            <w:r>
              <w:t xml:space="preserve"> country</w:t>
            </w:r>
          </w:p>
          <w:p w14:paraId="19EE8627" w14:textId="77777777" w:rsidR="007354B9" w:rsidRDefault="007354B9" w:rsidP="00D31288">
            <w:pPr>
              <w:pStyle w:val="CEABullet-Level1"/>
              <w:numPr>
                <w:ilvl w:val="0"/>
                <w:numId w:val="0"/>
              </w:numPr>
            </w:pPr>
            <w:r>
              <w:t>- Rules for calculation of group solvency (method 1, 2 or combination), OF requirements, interaction with FICOD</w:t>
            </w:r>
          </w:p>
          <w:p w14:paraId="17047D1B" w14:textId="77777777" w:rsidR="007354B9" w:rsidRDefault="007354B9" w:rsidP="00D31288">
            <w:pPr>
              <w:pStyle w:val="CEABullet-Level1"/>
              <w:numPr>
                <w:ilvl w:val="0"/>
                <w:numId w:val="0"/>
              </w:numPr>
            </w:pPr>
            <w:r>
              <w:t>- Rules for calculation of minimum consolidated group SCR, level of diversification benefits</w:t>
            </w:r>
          </w:p>
          <w:p w14:paraId="4877FB84" w14:textId="4407E34C" w:rsidR="00B1386C" w:rsidRDefault="007354B9" w:rsidP="00D31288">
            <w:pPr>
              <w:pStyle w:val="CEABullet-Level1"/>
              <w:numPr>
                <w:ilvl w:val="0"/>
                <w:numId w:val="0"/>
              </w:numPr>
            </w:pPr>
            <w:r>
              <w:t>- Governance requirements at group level</w:t>
            </w:r>
          </w:p>
        </w:tc>
        <w:tc>
          <w:tcPr>
            <w:tcW w:w="2703" w:type="dxa"/>
          </w:tcPr>
          <w:p w14:paraId="79282A7D" w14:textId="06591532" w:rsidR="00B1386C" w:rsidRDefault="002E485C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 additional reporting </w:t>
            </w:r>
            <w:r w:rsidR="00033C81">
              <w:t>requirements for internal models, intra-group transactions, risk concentration, diversification effects</w:t>
            </w:r>
          </w:p>
          <w:p w14:paraId="228EDEEE" w14:textId="0C5B2CF6" w:rsidR="00201E70" w:rsidRDefault="00201E70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1A391D">
              <w:t xml:space="preserve"> harmonisation of internal models reporting</w:t>
            </w:r>
          </w:p>
          <w:p w14:paraId="21507264" w14:textId="1E5FA67C" w:rsidR="00033C81" w:rsidRDefault="00033C81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 </w:t>
            </w:r>
            <w:r w:rsidR="001A391D">
              <w:t>link to</w:t>
            </w:r>
            <w:r>
              <w:t xml:space="preserve"> recovery and resolution: early intervention powers at group level, minimum harmonised framework</w:t>
            </w:r>
          </w:p>
          <w:p w14:paraId="7598F0A3" w14:textId="2F1AF905" w:rsidR="00201E70" w:rsidRDefault="00033C81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 </w:t>
            </w:r>
            <w:r w:rsidR="001A391D">
              <w:t>link to</w:t>
            </w:r>
            <w:r>
              <w:t xml:space="preserve"> IGS: minimum harmonised framework</w:t>
            </w:r>
          </w:p>
          <w:p w14:paraId="1CA3B495" w14:textId="29E42D9A" w:rsidR="00B1386C" w:rsidRDefault="00201E70" w:rsidP="00D31288">
            <w:pPr>
              <w:pStyle w:val="CEABullet-Level1"/>
              <w:numPr>
                <w:ilvl w:val="0"/>
                <w:numId w:val="0"/>
              </w:numPr>
            </w:pPr>
            <w:r>
              <w:t>- EIOPA’s coordinating role in group supervision</w:t>
            </w:r>
            <w:r w:rsidR="001A391D">
              <w:t xml:space="preserve"> should be maintained and should not</w:t>
            </w:r>
            <w:r>
              <w:t xml:space="preserve"> undermin</w:t>
            </w:r>
            <w:r w:rsidR="001A391D">
              <w:t>e</w:t>
            </w:r>
            <w:r>
              <w:t xml:space="preserve"> the group supervisor’s authority</w:t>
            </w:r>
          </w:p>
        </w:tc>
        <w:tc>
          <w:tcPr>
            <w:tcW w:w="2702" w:type="dxa"/>
          </w:tcPr>
          <w:p w14:paraId="1A323A77" w14:textId="60D199BA" w:rsidR="003C4956" w:rsidRPr="00201E70" w:rsidRDefault="002E485C" w:rsidP="003C4956">
            <w:pPr>
              <w:spacing w:line="240" w:lineRule="auto"/>
              <w:contextualSpacing/>
              <w:rPr>
                <w:sz w:val="17"/>
                <w:szCs w:val="17"/>
              </w:rPr>
            </w:pPr>
            <w:r w:rsidRPr="00201E70">
              <w:rPr>
                <w:sz w:val="17"/>
                <w:szCs w:val="17"/>
              </w:rPr>
              <w:t>- clarification of regulation</w:t>
            </w:r>
            <w:r w:rsidR="003C4956" w:rsidRPr="00201E70">
              <w:rPr>
                <w:sz w:val="17"/>
                <w:szCs w:val="17"/>
              </w:rPr>
              <w:t xml:space="preserve"> regarding definition of intra-group transactions</w:t>
            </w:r>
            <w:r w:rsidR="00201E70">
              <w:rPr>
                <w:sz w:val="17"/>
                <w:szCs w:val="17"/>
              </w:rPr>
              <w:t>,</w:t>
            </w:r>
            <w:r w:rsidR="003C4956" w:rsidRPr="00201E70">
              <w:rPr>
                <w:sz w:val="17"/>
                <w:szCs w:val="17"/>
              </w:rPr>
              <w:t xml:space="preserve"> risk concentration</w:t>
            </w:r>
            <w:r w:rsidR="00201E70">
              <w:rPr>
                <w:sz w:val="17"/>
                <w:szCs w:val="17"/>
              </w:rPr>
              <w:t>,</w:t>
            </w:r>
            <w:r w:rsidR="003C4956" w:rsidRPr="00201E70">
              <w:rPr>
                <w:sz w:val="17"/>
                <w:szCs w:val="17"/>
              </w:rPr>
              <w:t xml:space="preserve"> scope of group supervision</w:t>
            </w:r>
            <w:r w:rsidR="00201E70">
              <w:rPr>
                <w:sz w:val="17"/>
                <w:szCs w:val="17"/>
              </w:rPr>
              <w:t>.</w:t>
            </w:r>
          </w:p>
          <w:p w14:paraId="13F99D8E" w14:textId="70F28CE2" w:rsidR="003C4956" w:rsidRPr="00201E70" w:rsidRDefault="00201E70" w:rsidP="003C4956">
            <w:pPr>
              <w:spacing w:line="240" w:lineRule="auto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clarification of t</w:t>
            </w:r>
            <w:r w:rsidR="003C4956" w:rsidRPr="00201E70">
              <w:rPr>
                <w:sz w:val="17"/>
                <w:szCs w:val="17"/>
              </w:rPr>
              <w:t>he assessment of the eligibility of group own funds</w:t>
            </w:r>
          </w:p>
          <w:p w14:paraId="77F25611" w14:textId="679237FE" w:rsidR="00033C81" w:rsidRPr="00201E70" w:rsidRDefault="00201E70" w:rsidP="00201E70">
            <w:pPr>
              <w:spacing w:line="240" w:lineRule="auto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clarification of g</w:t>
            </w:r>
            <w:r w:rsidR="003C4956" w:rsidRPr="00201E70">
              <w:rPr>
                <w:sz w:val="17"/>
                <w:szCs w:val="17"/>
              </w:rPr>
              <w:t xml:space="preserve">roup solvency calculation </w:t>
            </w:r>
            <w:r>
              <w:rPr>
                <w:sz w:val="17"/>
                <w:szCs w:val="17"/>
              </w:rPr>
              <w:t>(</w:t>
            </w:r>
            <w:r w:rsidR="003C4956" w:rsidRPr="00201E70">
              <w:rPr>
                <w:sz w:val="17"/>
                <w:szCs w:val="17"/>
              </w:rPr>
              <w:t>application of Methods 1 and 2, inclusion of other financial sectors companies and application of mutatis mutandis</w:t>
            </w:r>
            <w:r>
              <w:rPr>
                <w:sz w:val="17"/>
                <w:szCs w:val="17"/>
              </w:rPr>
              <w:t>)</w:t>
            </w:r>
          </w:p>
          <w:p w14:paraId="4F536C6E" w14:textId="4AD82546" w:rsidR="00B1386C" w:rsidRDefault="00033C81" w:rsidP="00D31288">
            <w:pPr>
              <w:pStyle w:val="CEABullet-Level1"/>
              <w:numPr>
                <w:ilvl w:val="0"/>
                <w:numId w:val="0"/>
              </w:numPr>
            </w:pPr>
            <w:r w:rsidRPr="00201E70">
              <w:rPr>
                <w:szCs w:val="17"/>
              </w:rPr>
              <w:t xml:space="preserve">- formalisation of proto colleges for third country groups </w:t>
            </w:r>
            <w:r w:rsidR="003C4956" w:rsidRPr="00201E70">
              <w:rPr>
                <w:szCs w:val="17"/>
              </w:rPr>
              <w:t>could improve level playing field</w:t>
            </w:r>
          </w:p>
        </w:tc>
        <w:tc>
          <w:tcPr>
            <w:tcW w:w="2703" w:type="dxa"/>
          </w:tcPr>
          <w:p w14:paraId="4E73898F" w14:textId="678CE6DD" w:rsidR="00B1386C" w:rsidRDefault="00877E03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 Insurance Europe </w:t>
            </w:r>
            <w:hyperlink r:id="rId34" w:history="1">
              <w:r w:rsidRPr="00E15E8F">
                <w:rPr>
                  <w:rStyle w:val="Hypertextovprepojenie"/>
                </w:rPr>
                <w:t>summary</w:t>
              </w:r>
            </w:hyperlink>
            <w:r>
              <w:t xml:space="preserve"> of EIOPA’s </w:t>
            </w:r>
            <w:r w:rsidR="00E15E8F">
              <w:t>report on group supervision</w:t>
            </w:r>
          </w:p>
        </w:tc>
      </w:tr>
      <w:tr w:rsidR="009C50B9" w14:paraId="6E2D18AE" w14:textId="77777777" w:rsidTr="009C50B9">
        <w:tc>
          <w:tcPr>
            <w:tcW w:w="1328" w:type="dxa"/>
          </w:tcPr>
          <w:p w14:paraId="27E7DFDC" w14:textId="525F095B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15</w:t>
            </w:r>
          </w:p>
        </w:tc>
        <w:tc>
          <w:tcPr>
            <w:tcW w:w="2741" w:type="dxa"/>
          </w:tcPr>
          <w:p w14:paraId="0583C64E" w14:textId="08143413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Reporting and disclosure </w:t>
            </w:r>
          </w:p>
        </w:tc>
        <w:tc>
          <w:tcPr>
            <w:tcW w:w="2702" w:type="dxa"/>
          </w:tcPr>
          <w:p w14:paraId="4734ACF9" w14:textId="40DC6691" w:rsidR="004A6E5D" w:rsidRDefault="004A6E5D" w:rsidP="00D31288">
            <w:pPr>
              <w:pStyle w:val="CEABullet-Level1"/>
              <w:numPr>
                <w:ilvl w:val="0"/>
                <w:numId w:val="0"/>
              </w:numPr>
            </w:pPr>
            <w:r>
              <w:t>Asses</w:t>
            </w:r>
            <w:r w:rsidR="00063C84">
              <w:t>s</w:t>
            </w:r>
            <w:r w:rsidR="005363A3">
              <w:t xml:space="preserve"> – taking into account feedback to the EC fitness check consultation on supervisory reporting</w:t>
            </w:r>
            <w:r>
              <w:t xml:space="preserve">: </w:t>
            </w:r>
          </w:p>
          <w:p w14:paraId="6A775040" w14:textId="1CAB2C83" w:rsidR="004A6E5D" w:rsidRDefault="004A6E5D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DF5FC0">
              <w:t xml:space="preserve"> appropriateness of </w:t>
            </w:r>
            <w:r>
              <w:t>requirements related to reporting and disclosure, in light of supervisors/stakeholder experience</w:t>
            </w:r>
          </w:p>
          <w:p w14:paraId="4B1CC6AF" w14:textId="69DD78FE" w:rsidR="004A6E5D" w:rsidRDefault="004A6E5D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DF5FC0">
              <w:t xml:space="preserve"> Appropriateness of v</w:t>
            </w:r>
            <w:r>
              <w:t xml:space="preserve">olume/frequency and deadlines of reporting and disclosure. </w:t>
            </w:r>
          </w:p>
          <w:p w14:paraId="45618BF8" w14:textId="5ADEB835" w:rsidR="00B1386C" w:rsidRDefault="004A6E5D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-Existing exemption requirements </w:t>
            </w:r>
            <w:r w:rsidR="00DF5FC0">
              <w:t xml:space="preserve">are sufficient to ensure </w:t>
            </w:r>
            <w:r>
              <w:t xml:space="preserve"> </w:t>
            </w:r>
            <w:r w:rsidR="00DF5FC0">
              <w:t xml:space="preserve">proportionate application for small undertakings. </w:t>
            </w:r>
          </w:p>
        </w:tc>
        <w:tc>
          <w:tcPr>
            <w:tcW w:w="2703" w:type="dxa"/>
          </w:tcPr>
          <w:p w14:paraId="7219941F" w14:textId="2EF8398B" w:rsidR="00171632" w:rsidRDefault="00063C84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-Possible link to internal models and EIOPA’s investigation into supervisory convergence. </w:t>
            </w:r>
          </w:p>
          <w:p w14:paraId="5007C681" w14:textId="77777777" w:rsidR="00B1386C" w:rsidRDefault="00171632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063C84">
              <w:t>EIOPA is expected to propose new templates for internal model reporting</w:t>
            </w:r>
          </w:p>
          <w:p w14:paraId="2B5B4779" w14:textId="40AA417D" w:rsidR="00B1386C" w:rsidRDefault="004363E8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-Avoid an increase </w:t>
            </w:r>
            <w:r w:rsidR="005363A3">
              <w:t>in</w:t>
            </w:r>
            <w:r>
              <w:t xml:space="preserve"> reporting requirements. </w:t>
            </w:r>
          </w:p>
        </w:tc>
        <w:tc>
          <w:tcPr>
            <w:tcW w:w="2702" w:type="dxa"/>
          </w:tcPr>
          <w:p w14:paraId="67D1BC14" w14:textId="0A772D79" w:rsidR="00B1386C" w:rsidRDefault="00FB01B6" w:rsidP="00D31288">
            <w:pPr>
              <w:pStyle w:val="CEABullet-Level1"/>
              <w:numPr>
                <w:ilvl w:val="0"/>
                <w:numId w:val="0"/>
              </w:numPr>
            </w:pPr>
            <w:r>
              <w:t>Consultation on reporting and disclosure</w:t>
            </w:r>
            <w:r w:rsidR="004363E8">
              <w:t xml:space="preserve"> – Achieve improvements for SFCR, RSR, QRTs and timelines. </w:t>
            </w:r>
          </w:p>
        </w:tc>
        <w:tc>
          <w:tcPr>
            <w:tcW w:w="2703" w:type="dxa"/>
          </w:tcPr>
          <w:p w14:paraId="03B23672" w14:textId="7A1B47A1" w:rsidR="005F6B4E" w:rsidRDefault="005363A3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-Insurance Europe response to the fitness check </w:t>
            </w:r>
            <w:r w:rsidR="005F6B4E">
              <w:t>(</w:t>
            </w:r>
            <w:hyperlink r:id="rId35" w:history="1">
              <w:r w:rsidR="005F6B4E" w:rsidRPr="005F6B4E">
                <w:rPr>
                  <w:rStyle w:val="Hypertextovprepojenie"/>
                </w:rPr>
                <w:t>ECO-SLV-18-041</w:t>
              </w:r>
            </w:hyperlink>
            <w:r w:rsidR="005F6B4E">
              <w:t>)</w:t>
            </w:r>
          </w:p>
          <w:p w14:paraId="0397E5A0" w14:textId="2511B6CA" w:rsidR="005F6B4E" w:rsidRDefault="005F6B4E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457FAD" w:rsidRPr="00457FAD">
              <w:t xml:space="preserve">Final response to questions following EC workshop on fitness check of supervisory reporting requirements </w:t>
            </w:r>
            <w:r w:rsidR="00457FAD">
              <w:t>(</w:t>
            </w:r>
            <w:hyperlink r:id="rId36" w:history="1">
              <w:r w:rsidR="00457FAD" w:rsidRPr="00457FAD">
                <w:rPr>
                  <w:rStyle w:val="Hypertextovprepojenie"/>
                </w:rPr>
                <w:t>ECO-SLV-19-014</w:t>
              </w:r>
            </w:hyperlink>
            <w:r w:rsidR="00457FAD">
              <w:t>)</w:t>
            </w:r>
          </w:p>
          <w:p w14:paraId="50D3812C" w14:textId="77777777" w:rsidR="005F6B4E" w:rsidRDefault="005F6B4E" w:rsidP="00D31288">
            <w:pPr>
              <w:pStyle w:val="CEABullet-Level1"/>
              <w:numPr>
                <w:ilvl w:val="0"/>
                <w:numId w:val="0"/>
              </w:numPr>
            </w:pPr>
            <w:r>
              <w:t>-Insurance Europe views on the review of reporting requirements (</w:t>
            </w:r>
            <w:hyperlink r:id="rId37" w:history="1">
              <w:r w:rsidRPr="005F6B4E">
                <w:rPr>
                  <w:rStyle w:val="Hypertextovprepojenie"/>
                </w:rPr>
                <w:t>ECO-SLV-18-181</w:t>
              </w:r>
            </w:hyperlink>
            <w:r>
              <w:t>)</w:t>
            </w:r>
          </w:p>
          <w:p w14:paraId="74294446" w14:textId="43A97290" w:rsidR="00B1386C" w:rsidRDefault="005F6B4E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-Response to EIOPA’s call for input </w:t>
            </w:r>
            <w:r w:rsidRPr="005F6B4E">
              <w:t>on Solvency II Reporting and Disclosure Review 2020</w:t>
            </w:r>
            <w:r>
              <w:t xml:space="preserve"> </w:t>
            </w:r>
          </w:p>
        </w:tc>
      </w:tr>
      <w:tr w:rsidR="009C50B9" w14:paraId="61B6BE98" w14:textId="77777777" w:rsidTr="009C50B9">
        <w:tc>
          <w:tcPr>
            <w:tcW w:w="1328" w:type="dxa"/>
          </w:tcPr>
          <w:p w14:paraId="5318B0BD" w14:textId="2179C99C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16</w:t>
            </w:r>
          </w:p>
        </w:tc>
        <w:tc>
          <w:tcPr>
            <w:tcW w:w="2741" w:type="dxa"/>
          </w:tcPr>
          <w:p w14:paraId="7541214B" w14:textId="2DFD6637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Proportionality and thresholds </w:t>
            </w:r>
          </w:p>
        </w:tc>
        <w:tc>
          <w:tcPr>
            <w:tcW w:w="2702" w:type="dxa"/>
          </w:tcPr>
          <w:p w14:paraId="4D10F1F3" w14:textId="77777777" w:rsidR="0005464B" w:rsidRPr="003D0D1E" w:rsidRDefault="0005464B" w:rsidP="0005464B">
            <w:pPr>
              <w:spacing w:line="240" w:lineRule="auto"/>
              <w:contextualSpacing/>
              <w:rPr>
                <w:rFonts w:eastAsia="Calibri"/>
                <w:sz w:val="17"/>
                <w:szCs w:val="17"/>
              </w:rPr>
            </w:pPr>
            <w:r w:rsidRPr="003D0D1E">
              <w:rPr>
                <w:rFonts w:eastAsia="Calibri"/>
                <w:sz w:val="17"/>
                <w:szCs w:val="17"/>
              </w:rPr>
              <w:t>Assess whether proportionality should be enhanced, in particular:</w:t>
            </w:r>
          </w:p>
          <w:p w14:paraId="1E1EDEE8" w14:textId="43E5306B" w:rsidR="0005464B" w:rsidRPr="0005464B" w:rsidRDefault="0005464B" w:rsidP="0005464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Frutiger LT Std 45 Light"/>
                <w:color w:val="000000"/>
                <w:sz w:val="17"/>
                <w:szCs w:val="20"/>
              </w:rPr>
            </w:pPr>
            <w:r>
              <w:rPr>
                <w:rFonts w:eastAsia="Calibri" w:cs="Frutiger LT Std 45 Light"/>
                <w:color w:val="000000"/>
                <w:sz w:val="17"/>
                <w:szCs w:val="20"/>
              </w:rPr>
              <w:t xml:space="preserve">- </w:t>
            </w:r>
            <w:r w:rsidRPr="0005464B">
              <w:rPr>
                <w:rFonts w:eastAsia="Calibri" w:cs="Frutiger LT Std 45 Light"/>
                <w:color w:val="000000"/>
                <w:sz w:val="17"/>
                <w:szCs w:val="20"/>
              </w:rPr>
              <w:t>Thresholds for exclusion</w:t>
            </w:r>
          </w:p>
          <w:p w14:paraId="1A67FF50" w14:textId="25FFD575" w:rsidR="0005464B" w:rsidRPr="00411D8E" w:rsidRDefault="0005464B" w:rsidP="0005464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Frutiger LT Std 45 Light"/>
                <w:color w:val="000000"/>
                <w:sz w:val="17"/>
                <w:szCs w:val="17"/>
              </w:rPr>
            </w:pPr>
            <w:r>
              <w:rPr>
                <w:rFonts w:eastAsia="Calibri" w:cs="Frutiger LT Std 45 Light"/>
                <w:color w:val="000000"/>
                <w:sz w:val="17"/>
                <w:szCs w:val="17"/>
              </w:rPr>
              <w:t xml:space="preserve">- </w:t>
            </w:r>
            <w:r w:rsidRPr="00411D8E">
              <w:rPr>
                <w:rFonts w:eastAsia="Calibri" w:cs="Frutiger LT Std 45 Light"/>
                <w:color w:val="000000"/>
                <w:sz w:val="17"/>
                <w:szCs w:val="17"/>
              </w:rPr>
              <w:t>Waive certain requirements based on size or nature of company/risks</w:t>
            </w:r>
          </w:p>
          <w:p w14:paraId="63FAE615" w14:textId="50BEB854" w:rsidR="0005464B" w:rsidRPr="002F6104" w:rsidRDefault="0005464B" w:rsidP="0005464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Frutiger LT Std 45 Light"/>
                <w:color w:val="000000"/>
                <w:sz w:val="17"/>
                <w:szCs w:val="17"/>
              </w:rPr>
            </w:pPr>
            <w:r w:rsidRPr="00411D8E">
              <w:rPr>
                <w:rFonts w:eastAsia="Calibri" w:cs="Frutiger LT Std 45 Light"/>
                <w:color w:val="000000"/>
                <w:sz w:val="17"/>
                <w:szCs w:val="17"/>
              </w:rPr>
              <w:t xml:space="preserve">- </w:t>
            </w:r>
            <w:r w:rsidRPr="002F6104">
              <w:rPr>
                <w:rFonts w:eastAsia="Calibri" w:cs="Frutiger LT Std 45 Light"/>
                <w:color w:val="000000"/>
                <w:sz w:val="17"/>
                <w:szCs w:val="17"/>
              </w:rPr>
              <w:t>Simplified calculation of immaterial sub-modules</w:t>
            </w:r>
          </w:p>
          <w:p w14:paraId="161DB898" w14:textId="65EF5927" w:rsidR="00B1386C" w:rsidRDefault="00B1386C" w:rsidP="00D93931">
            <w:pPr>
              <w:autoSpaceDE w:val="0"/>
              <w:autoSpaceDN w:val="0"/>
              <w:adjustRightInd w:val="0"/>
              <w:spacing w:line="240" w:lineRule="auto"/>
              <w:ind w:left="1800" w:hanging="360"/>
            </w:pPr>
          </w:p>
        </w:tc>
        <w:tc>
          <w:tcPr>
            <w:tcW w:w="2703" w:type="dxa"/>
          </w:tcPr>
          <w:p w14:paraId="5EA723E5" w14:textId="41CDFADD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02" w:type="dxa"/>
          </w:tcPr>
          <w:p w14:paraId="2C5F926A" w14:textId="33737D17" w:rsidR="0005464B" w:rsidRDefault="0005464B" w:rsidP="0005464B">
            <w:pPr>
              <w:pStyle w:val="CEABullet-Level1"/>
              <w:numPr>
                <w:ilvl w:val="0"/>
                <w:numId w:val="0"/>
              </w:numPr>
              <w:spacing w:line="240" w:lineRule="auto"/>
              <w:contextualSpacing/>
            </w:pPr>
            <w:r>
              <w:t>- For small companies: raise level at which SII applies</w:t>
            </w:r>
            <w:r w:rsidR="006312FD">
              <w:t>,</w:t>
            </w:r>
          </w:p>
          <w:p w14:paraId="04CC021D" w14:textId="1D1ABB6D" w:rsidR="00E25A5C" w:rsidRDefault="0005464B" w:rsidP="0005464B">
            <w:pPr>
              <w:pStyle w:val="CEABullet-Level1"/>
              <w:numPr>
                <w:ilvl w:val="0"/>
                <w:numId w:val="0"/>
              </w:numPr>
              <w:spacing w:line="240" w:lineRule="auto"/>
              <w:contextualSpacing/>
              <w:rPr>
                <w:rFonts w:eastAsia="Calibri"/>
                <w:szCs w:val="17"/>
              </w:rPr>
            </w:pPr>
            <w:r w:rsidRPr="0005464B">
              <w:rPr>
                <w:rFonts w:eastAsia="Calibri"/>
                <w:szCs w:val="17"/>
              </w:rPr>
              <w:t xml:space="preserve">lighter version of SII </w:t>
            </w:r>
          </w:p>
          <w:p w14:paraId="4D18E687" w14:textId="725FDD2A" w:rsidR="00B1386C" w:rsidRDefault="0005464B" w:rsidP="0005464B">
            <w:pPr>
              <w:pStyle w:val="CEABullet-Level1"/>
              <w:numPr>
                <w:ilvl w:val="0"/>
                <w:numId w:val="0"/>
              </w:numPr>
              <w:spacing w:line="240" w:lineRule="auto"/>
              <w:contextualSpacing/>
            </w:pPr>
            <w:r>
              <w:t xml:space="preserve">- </w:t>
            </w:r>
            <w:r w:rsidR="00AB4C59" w:rsidRPr="002F6104">
              <w:rPr>
                <w:rFonts w:eastAsia="Calibri"/>
                <w:szCs w:val="17"/>
              </w:rPr>
              <w:t>Simplified calculation</w:t>
            </w:r>
            <w:r w:rsidR="00AB4C59">
              <w:rPr>
                <w:rFonts w:eastAsia="Calibri"/>
                <w:szCs w:val="17"/>
              </w:rPr>
              <w:t>s in SCR</w:t>
            </w:r>
            <w:r w:rsidR="00AB4C59">
              <w:rPr>
                <w:rFonts w:eastAsia="Calibri"/>
              </w:rPr>
              <w:t xml:space="preserve"> </w:t>
            </w:r>
            <w:r w:rsidR="009C7B7D">
              <w:t xml:space="preserve">  </w:t>
            </w:r>
          </w:p>
        </w:tc>
        <w:tc>
          <w:tcPr>
            <w:tcW w:w="2703" w:type="dxa"/>
          </w:tcPr>
          <w:p w14:paraId="4F5096D1" w14:textId="68E5A8BB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</w:tr>
      <w:tr w:rsidR="009C50B9" w14:paraId="2BF58754" w14:textId="77777777" w:rsidTr="009C50B9">
        <w:tc>
          <w:tcPr>
            <w:tcW w:w="1328" w:type="dxa"/>
          </w:tcPr>
          <w:p w14:paraId="3ABAB1EC" w14:textId="4C2A1BE4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17</w:t>
            </w:r>
          </w:p>
        </w:tc>
        <w:tc>
          <w:tcPr>
            <w:tcW w:w="2741" w:type="dxa"/>
          </w:tcPr>
          <w:p w14:paraId="2748895F" w14:textId="493D0713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Best estimate </w:t>
            </w:r>
          </w:p>
        </w:tc>
        <w:tc>
          <w:tcPr>
            <w:tcW w:w="2702" w:type="dxa"/>
          </w:tcPr>
          <w:p w14:paraId="07F77161" w14:textId="77777777" w:rsidR="0062702E" w:rsidRDefault="0062702E" w:rsidP="00D31288">
            <w:pPr>
              <w:pStyle w:val="CEABullet-Level1"/>
              <w:numPr>
                <w:ilvl w:val="0"/>
                <w:numId w:val="0"/>
              </w:numPr>
            </w:pPr>
            <w:r>
              <w:t>-Report on divergent supervisory practices and provide quantitative information on their impacts with regard to:</w:t>
            </w:r>
          </w:p>
          <w:p w14:paraId="1F545D33" w14:textId="1B5A771B" w:rsidR="0062702E" w:rsidRDefault="0062702E" w:rsidP="003D0D1E">
            <w:pPr>
              <w:pStyle w:val="CEABullet-Level1"/>
              <w:numPr>
                <w:ilvl w:val="0"/>
                <w:numId w:val="40"/>
              </w:numPr>
            </w:pPr>
            <w:r>
              <w:t>use of ESG;</w:t>
            </w:r>
          </w:p>
          <w:p w14:paraId="6DA238C8" w14:textId="7BED7738" w:rsidR="0062702E" w:rsidRDefault="0062702E" w:rsidP="003D0D1E">
            <w:pPr>
              <w:pStyle w:val="CEABullet-Level1"/>
              <w:numPr>
                <w:ilvl w:val="0"/>
                <w:numId w:val="40"/>
              </w:numPr>
            </w:pPr>
            <w:r>
              <w:t>definition of contract boundaries;</w:t>
            </w:r>
          </w:p>
          <w:p w14:paraId="0D8A4C2F" w14:textId="78980B11" w:rsidR="0062702E" w:rsidRDefault="0062702E" w:rsidP="003D0D1E">
            <w:pPr>
              <w:pStyle w:val="CEABullet-Level1"/>
              <w:numPr>
                <w:ilvl w:val="0"/>
                <w:numId w:val="40"/>
              </w:numPr>
            </w:pPr>
            <w:r>
              <w:t>future management actions;</w:t>
            </w:r>
          </w:p>
          <w:p w14:paraId="7AB4DFB2" w14:textId="77777777" w:rsidR="0062702E" w:rsidRDefault="0062702E" w:rsidP="0062702E">
            <w:pPr>
              <w:pStyle w:val="CEABullet-Level1"/>
              <w:numPr>
                <w:ilvl w:val="0"/>
                <w:numId w:val="40"/>
              </w:numPr>
            </w:pPr>
            <w:r>
              <w:t>treatment of expenses, costs and valuation of options and guarantees.</w:t>
            </w:r>
          </w:p>
          <w:p w14:paraId="6FF4567A" w14:textId="12E37388" w:rsidR="00B1386C" w:rsidRDefault="0062702E" w:rsidP="00D31288">
            <w:pPr>
              <w:pStyle w:val="CEABullet-Level1"/>
              <w:numPr>
                <w:ilvl w:val="0"/>
                <w:numId w:val="0"/>
              </w:numPr>
            </w:pPr>
            <w:r>
              <w:t>-Advise on remedies where flaws or significant divergences in supervisory practice</w:t>
            </w:r>
            <w:r w:rsidR="00AD5709">
              <w:t xml:space="preserve"> are identified</w:t>
            </w:r>
            <w:r>
              <w:t>.</w:t>
            </w:r>
          </w:p>
        </w:tc>
        <w:tc>
          <w:tcPr>
            <w:tcW w:w="2703" w:type="dxa"/>
          </w:tcPr>
          <w:p w14:paraId="24CAC4CD" w14:textId="0E002068" w:rsidR="00B1386C" w:rsidRDefault="009E6BA5" w:rsidP="00D31288">
            <w:pPr>
              <w:pStyle w:val="CEABullet-Level1"/>
              <w:numPr>
                <w:ilvl w:val="0"/>
                <w:numId w:val="0"/>
              </w:numPr>
            </w:pPr>
            <w:r>
              <w:t>-</w:t>
            </w:r>
            <w:r w:rsidR="002C3540">
              <w:t>Possib</w:t>
            </w:r>
            <w:r w:rsidR="00B95421">
              <w:t>le</w:t>
            </w:r>
            <w:r w:rsidR="002C3540">
              <w:t xml:space="preserve"> that there will be i</w:t>
            </w:r>
            <w:r>
              <w:t>ncreased prescription</w:t>
            </w:r>
            <w:r w:rsidR="002C3540">
              <w:t>/guidance</w:t>
            </w:r>
            <w:r>
              <w:t xml:space="preserve"> from EIOPA on the projection of the best estimate.</w:t>
            </w:r>
          </w:p>
        </w:tc>
        <w:tc>
          <w:tcPr>
            <w:tcW w:w="2702" w:type="dxa"/>
          </w:tcPr>
          <w:p w14:paraId="11ECA44C" w14:textId="77777777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03" w:type="dxa"/>
          </w:tcPr>
          <w:p w14:paraId="3E67B773" w14:textId="77777777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</w:tr>
      <w:tr w:rsidR="009C50B9" w14:paraId="68577485" w14:textId="77777777" w:rsidTr="009C50B9">
        <w:tc>
          <w:tcPr>
            <w:tcW w:w="1328" w:type="dxa"/>
          </w:tcPr>
          <w:p w14:paraId="05555F1C" w14:textId="703F50D5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18</w:t>
            </w:r>
            <w:r w:rsidR="0079272B">
              <w:t xml:space="preserve"> </w:t>
            </w:r>
          </w:p>
        </w:tc>
        <w:tc>
          <w:tcPr>
            <w:tcW w:w="2741" w:type="dxa"/>
          </w:tcPr>
          <w:p w14:paraId="372E747D" w14:textId="6A3C055A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Own funds at solo level </w:t>
            </w:r>
          </w:p>
        </w:tc>
        <w:tc>
          <w:tcPr>
            <w:tcW w:w="2702" w:type="dxa"/>
          </w:tcPr>
          <w:p w14:paraId="6C4813DC" w14:textId="77777777" w:rsidR="00D93931" w:rsidRDefault="00D93931" w:rsidP="00D93931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Frutiger LT Std 45 Light"/>
                <w:color w:val="000000"/>
                <w:sz w:val="17"/>
                <w:szCs w:val="20"/>
              </w:rPr>
            </w:pPr>
            <w:r>
              <w:rPr>
                <w:rFonts w:eastAsia="Calibri" w:cs="Frutiger LT Std 45 Light"/>
                <w:color w:val="000000"/>
                <w:sz w:val="17"/>
                <w:szCs w:val="20"/>
              </w:rPr>
              <w:t xml:space="preserve">Assess whether </w:t>
            </w:r>
          </w:p>
          <w:p w14:paraId="42C44697" w14:textId="3086D62C" w:rsidR="00D93931" w:rsidRPr="00D93931" w:rsidRDefault="00D93931" w:rsidP="00D93931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Frutiger LT Std 45 Light"/>
                <w:color w:val="000000"/>
                <w:sz w:val="17"/>
                <w:szCs w:val="20"/>
              </w:rPr>
            </w:pPr>
            <w:r>
              <w:rPr>
                <w:rFonts w:eastAsia="Calibri" w:cs="Frutiger LT Std 45 Light"/>
                <w:color w:val="000000"/>
                <w:sz w:val="17"/>
                <w:szCs w:val="20"/>
              </w:rPr>
              <w:t xml:space="preserve">- </w:t>
            </w:r>
            <w:r w:rsidRPr="00D93931">
              <w:rPr>
                <w:rFonts w:eastAsia="Calibri" w:cs="Frutiger LT Std 45 Light"/>
                <w:color w:val="000000"/>
                <w:sz w:val="17"/>
                <w:szCs w:val="20"/>
              </w:rPr>
              <w:t>differences with banking</w:t>
            </w:r>
            <w:r>
              <w:rPr>
                <w:rFonts w:eastAsia="Calibri" w:cs="Frutiger LT Std 45 Light"/>
                <w:color w:val="000000"/>
                <w:sz w:val="17"/>
                <w:szCs w:val="20"/>
              </w:rPr>
              <w:t xml:space="preserve"> are</w:t>
            </w:r>
            <w:r w:rsidRPr="00D93931">
              <w:rPr>
                <w:rFonts w:eastAsia="Calibri" w:cs="Frutiger LT Std 45 Light"/>
                <w:color w:val="000000"/>
                <w:sz w:val="17"/>
                <w:szCs w:val="20"/>
              </w:rPr>
              <w:t xml:space="preserve"> justified</w:t>
            </w:r>
          </w:p>
          <w:p w14:paraId="4B4B76A4" w14:textId="4F3226FC" w:rsidR="00D93931" w:rsidRPr="00D93931" w:rsidRDefault="00D93931" w:rsidP="00D93931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Frutiger LT Std 45 Light"/>
                <w:color w:val="000000"/>
                <w:sz w:val="17"/>
                <w:szCs w:val="20"/>
              </w:rPr>
            </w:pPr>
            <w:r>
              <w:rPr>
                <w:rFonts w:eastAsia="Calibri" w:cs="Frutiger LT Std 45 Light"/>
                <w:color w:val="000000"/>
                <w:sz w:val="17"/>
                <w:szCs w:val="17"/>
              </w:rPr>
              <w:t xml:space="preserve">- the </w:t>
            </w:r>
            <w:r w:rsidRPr="00D93931">
              <w:rPr>
                <w:rFonts w:eastAsia="Calibri" w:cs="Frutiger LT Std 45 Light"/>
                <w:color w:val="000000"/>
                <w:sz w:val="17"/>
                <w:szCs w:val="20"/>
              </w:rPr>
              <w:t>tiering structure</w:t>
            </w:r>
            <w:r>
              <w:rPr>
                <w:rFonts w:eastAsia="Calibri" w:cs="Frutiger LT Std 45 Light"/>
                <w:color w:val="000000"/>
                <w:sz w:val="17"/>
                <w:szCs w:val="17"/>
              </w:rPr>
              <w:t xml:space="preserve"> induces v</w:t>
            </w:r>
            <w:r w:rsidRPr="00D93931">
              <w:rPr>
                <w:rFonts w:eastAsia="Calibri" w:cs="Frutiger LT Std 45 Light"/>
                <w:color w:val="000000"/>
                <w:sz w:val="17"/>
                <w:szCs w:val="20"/>
              </w:rPr>
              <w:t>olatility?</w:t>
            </w:r>
          </w:p>
          <w:p w14:paraId="291353F6" w14:textId="0E553702" w:rsidR="00D93931" w:rsidRPr="00D93931" w:rsidRDefault="00D93931" w:rsidP="00D93931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Frutiger LT Std 45 Light"/>
                <w:color w:val="000000"/>
                <w:sz w:val="17"/>
                <w:szCs w:val="20"/>
              </w:rPr>
            </w:pPr>
            <w:r>
              <w:rPr>
                <w:rFonts w:eastAsia="Calibri" w:cs="Frutiger LT Std 45 Light"/>
                <w:color w:val="000000"/>
                <w:sz w:val="17"/>
                <w:szCs w:val="20"/>
              </w:rPr>
              <w:t>- a</w:t>
            </w:r>
            <w:r w:rsidRPr="00D93931">
              <w:rPr>
                <w:rFonts w:eastAsia="Calibri" w:cs="Frutiger LT Std 45 Light"/>
                <w:color w:val="000000"/>
                <w:sz w:val="17"/>
                <w:szCs w:val="20"/>
              </w:rPr>
              <w:t xml:space="preserve">vailability criteria </w:t>
            </w:r>
            <w:r>
              <w:rPr>
                <w:rFonts w:eastAsia="Calibri" w:cs="Frutiger LT Std 45 Light"/>
                <w:color w:val="000000"/>
                <w:sz w:val="17"/>
                <w:szCs w:val="20"/>
              </w:rPr>
              <w:t xml:space="preserve">are </w:t>
            </w:r>
            <w:r w:rsidRPr="00D93931">
              <w:rPr>
                <w:rFonts w:eastAsia="Calibri" w:cs="Frutiger LT Std 45 Light"/>
                <w:color w:val="000000"/>
                <w:sz w:val="17"/>
                <w:szCs w:val="20"/>
              </w:rPr>
              <w:t>clear and appropriate</w:t>
            </w:r>
          </w:p>
          <w:p w14:paraId="5987D5DB" w14:textId="66510758" w:rsidR="00B1386C" w:rsidRPr="00D93931" w:rsidRDefault="00D93931" w:rsidP="00D93931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Frutiger LT Std 45 Light"/>
                <w:color w:val="000000"/>
                <w:sz w:val="17"/>
                <w:szCs w:val="20"/>
              </w:rPr>
            </w:pPr>
            <w:r>
              <w:rPr>
                <w:rFonts w:eastAsia="Calibri" w:cs="Frutiger LT Std 45 Light"/>
                <w:color w:val="000000"/>
                <w:sz w:val="17"/>
                <w:szCs w:val="20"/>
              </w:rPr>
              <w:t xml:space="preserve">- </w:t>
            </w:r>
            <w:r w:rsidRPr="00D93931">
              <w:rPr>
                <w:rFonts w:eastAsia="Calibri" w:cs="Frutiger LT Std 45 Light"/>
                <w:color w:val="000000"/>
                <w:sz w:val="17"/>
                <w:szCs w:val="20"/>
              </w:rPr>
              <w:t>items are properly attributed to Tiers</w:t>
            </w:r>
          </w:p>
        </w:tc>
        <w:tc>
          <w:tcPr>
            <w:tcW w:w="2703" w:type="dxa"/>
          </w:tcPr>
          <w:p w14:paraId="0C37A58C" w14:textId="2F5608B2" w:rsidR="00B1386C" w:rsidRDefault="00D93931" w:rsidP="00D31288">
            <w:pPr>
              <w:pStyle w:val="CEABullet-Level1"/>
              <w:numPr>
                <w:ilvl w:val="0"/>
                <w:numId w:val="0"/>
              </w:numPr>
            </w:pPr>
            <w:r>
              <w:t>- No Tier 3 in banking</w:t>
            </w:r>
          </w:p>
        </w:tc>
        <w:tc>
          <w:tcPr>
            <w:tcW w:w="2702" w:type="dxa"/>
          </w:tcPr>
          <w:p w14:paraId="4DD69FEF" w14:textId="775F1EF3" w:rsidR="00B1386C" w:rsidRDefault="00D93931" w:rsidP="00D31288">
            <w:pPr>
              <w:pStyle w:val="CEABullet-Level1"/>
              <w:numPr>
                <w:ilvl w:val="0"/>
                <w:numId w:val="0"/>
              </w:numPr>
            </w:pPr>
            <w:r>
              <w:t>- No limit for Tier 2 in banking</w:t>
            </w:r>
          </w:p>
        </w:tc>
        <w:tc>
          <w:tcPr>
            <w:tcW w:w="2703" w:type="dxa"/>
          </w:tcPr>
          <w:p w14:paraId="3DC276E1" w14:textId="77777777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</w:tr>
      <w:tr w:rsidR="009C50B9" w14:paraId="0D94C7D7" w14:textId="77777777" w:rsidTr="009C50B9">
        <w:tc>
          <w:tcPr>
            <w:tcW w:w="1328" w:type="dxa"/>
          </w:tcPr>
          <w:p w14:paraId="7E1E09E6" w14:textId="44E28C39" w:rsidR="00B1386C" w:rsidRDefault="00762DCA" w:rsidP="00D31288">
            <w:pPr>
              <w:pStyle w:val="CEABullet-Level1"/>
              <w:numPr>
                <w:ilvl w:val="0"/>
                <w:numId w:val="0"/>
              </w:numPr>
            </w:pPr>
            <w:r>
              <w:t>19</w:t>
            </w:r>
            <w:r w:rsidR="0079272B">
              <w:t xml:space="preserve"> </w:t>
            </w:r>
          </w:p>
        </w:tc>
        <w:tc>
          <w:tcPr>
            <w:tcW w:w="2741" w:type="dxa"/>
          </w:tcPr>
          <w:p w14:paraId="616EB8DC" w14:textId="161356AF" w:rsidR="00B1386C" w:rsidRDefault="00762DCA" w:rsidP="00762DCA">
            <w:pPr>
              <w:pStyle w:val="CEABullet-Level1"/>
              <w:numPr>
                <w:ilvl w:val="0"/>
                <w:numId w:val="0"/>
              </w:numPr>
            </w:pPr>
            <w:r w:rsidRPr="00762DCA">
              <w:t xml:space="preserve">Reducing reliance on external ratings </w:t>
            </w:r>
          </w:p>
        </w:tc>
        <w:tc>
          <w:tcPr>
            <w:tcW w:w="2702" w:type="dxa"/>
          </w:tcPr>
          <w:p w14:paraId="30297C49" w14:textId="704445BE" w:rsidR="00B1386C" w:rsidRDefault="00A439FB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Assess </w:t>
            </w:r>
            <w:r w:rsidR="0061560E">
              <w:t>potential alternative credit assesments, in particular for large corporate exposures that are also rated by CRAs</w:t>
            </w:r>
          </w:p>
        </w:tc>
        <w:tc>
          <w:tcPr>
            <w:tcW w:w="2703" w:type="dxa"/>
          </w:tcPr>
          <w:p w14:paraId="1DFDD827" w14:textId="77777777" w:rsidR="003513B8" w:rsidRDefault="00E56BDE" w:rsidP="00E56BDE">
            <w:pPr>
              <w:pStyle w:val="CEABullet-Level1"/>
              <w:numPr>
                <w:ilvl w:val="0"/>
                <w:numId w:val="0"/>
              </w:numPr>
            </w:pPr>
            <w:r>
              <w:t xml:space="preserve">The issue of reliance on CRAs is recurring and comes from a wider G20 </w:t>
            </w:r>
            <w:r w:rsidR="003513B8">
              <w:t>policy agenda</w:t>
            </w:r>
            <w:r>
              <w:t>. So far the industry has been successful in explaining the challenges of developing internal credit risk assesments.</w:t>
            </w:r>
            <w:r w:rsidR="003513B8">
              <w:t xml:space="preserve"> </w:t>
            </w:r>
          </w:p>
          <w:p w14:paraId="664F0EFC" w14:textId="77777777" w:rsidR="003513B8" w:rsidRDefault="003513B8" w:rsidP="00E56BDE">
            <w:pPr>
              <w:pStyle w:val="CEABullet-Level1"/>
              <w:numPr>
                <w:ilvl w:val="0"/>
                <w:numId w:val="0"/>
              </w:numPr>
            </w:pPr>
          </w:p>
          <w:p w14:paraId="10668494" w14:textId="77777777" w:rsidR="003513B8" w:rsidRDefault="003513B8" w:rsidP="00E56BDE">
            <w:pPr>
              <w:pStyle w:val="CEABullet-Level1"/>
              <w:numPr>
                <w:ilvl w:val="0"/>
                <w:numId w:val="0"/>
              </w:numPr>
            </w:pPr>
            <w:r>
              <w:t xml:space="preserve">However: </w:t>
            </w:r>
          </w:p>
          <w:p w14:paraId="76972B76" w14:textId="77777777" w:rsidR="003513B8" w:rsidRDefault="003513B8" w:rsidP="003513B8">
            <w:pPr>
              <w:pStyle w:val="CEABullet-Level1"/>
              <w:numPr>
                <w:ilvl w:val="0"/>
                <w:numId w:val="41"/>
              </w:numPr>
            </w:pPr>
            <w:r>
              <w:t>the more “standardised”/”proxy” approaches are developed by EIOPA, the more difficult it will be to maintain the existing arguments.</w:t>
            </w:r>
          </w:p>
          <w:p w14:paraId="6FB6B6F2" w14:textId="3E0CFF3E" w:rsidR="00B1386C" w:rsidRDefault="003513B8" w:rsidP="003D0D1E">
            <w:pPr>
              <w:pStyle w:val="CEABullet-Level1"/>
              <w:numPr>
                <w:ilvl w:val="0"/>
                <w:numId w:val="41"/>
              </w:numPr>
            </w:pPr>
            <w:r>
              <w:t>the industry needs to closely monitor BoS work to ensure they don’t, on own-initiative, go beyond the scope of the CfA</w:t>
            </w:r>
          </w:p>
        </w:tc>
        <w:tc>
          <w:tcPr>
            <w:tcW w:w="2702" w:type="dxa"/>
          </w:tcPr>
          <w:p w14:paraId="4F9558C0" w14:textId="3D37BD1A" w:rsidR="00B1386C" w:rsidRDefault="00B1386C" w:rsidP="00D31288">
            <w:pPr>
              <w:pStyle w:val="CEABullet-Level1"/>
              <w:numPr>
                <w:ilvl w:val="0"/>
                <w:numId w:val="0"/>
              </w:numPr>
            </w:pPr>
          </w:p>
        </w:tc>
        <w:tc>
          <w:tcPr>
            <w:tcW w:w="2703" w:type="dxa"/>
          </w:tcPr>
          <w:p w14:paraId="2F7A9AE3" w14:textId="4E7FC2C2" w:rsidR="00B1386C" w:rsidRDefault="0081517A" w:rsidP="00D31288">
            <w:pPr>
              <w:pStyle w:val="CEABullet-Level1"/>
              <w:numPr>
                <w:ilvl w:val="0"/>
                <w:numId w:val="0"/>
              </w:numPr>
            </w:pPr>
            <w:r>
              <w:t xml:space="preserve">Our broader arguments on using external credit ratings can be found </w:t>
            </w:r>
            <w:hyperlink r:id="rId38" w:history="1">
              <w:r w:rsidRPr="0081517A">
                <w:rPr>
                  <w:rStyle w:val="Hypertextovprepojenie"/>
                </w:rPr>
                <w:t>here</w:t>
              </w:r>
            </w:hyperlink>
          </w:p>
        </w:tc>
      </w:tr>
    </w:tbl>
    <w:p w14:paraId="3254EFA6" w14:textId="77777777" w:rsidR="00FD544F" w:rsidRDefault="00FD544F" w:rsidP="00D344E8">
      <w:pPr>
        <w:tabs>
          <w:tab w:val="left" w:pos="3815"/>
        </w:tabs>
        <w:rPr>
          <w:sz w:val="17"/>
          <w:szCs w:val="17"/>
        </w:rPr>
      </w:pPr>
    </w:p>
    <w:sectPr w:rsidR="00FD544F" w:rsidSect="009C50B9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6839" w:h="11907" w:orient="landscape" w:code="9"/>
      <w:pgMar w:top="1454" w:right="2347" w:bottom="907" w:left="1253" w:header="706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62B56" w14:textId="77777777" w:rsidR="00B320AB" w:rsidRDefault="00B320AB">
      <w:pPr>
        <w:spacing w:line="240" w:lineRule="auto"/>
      </w:pPr>
      <w:r>
        <w:separator/>
      </w:r>
    </w:p>
  </w:endnote>
  <w:endnote w:type="continuationSeparator" w:id="0">
    <w:p w14:paraId="238DBB6A" w14:textId="77777777" w:rsidR="00B320AB" w:rsidRDefault="00B320AB">
      <w:pPr>
        <w:spacing w:line="240" w:lineRule="auto"/>
      </w:pPr>
      <w:r>
        <w:continuationSeparator/>
      </w:r>
    </w:p>
  </w:endnote>
  <w:endnote w:type="continuationNotice" w:id="1">
    <w:p w14:paraId="478A8C61" w14:textId="77777777" w:rsidR="00B320AB" w:rsidRDefault="00B320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7E5EA" w14:textId="77777777" w:rsidR="00630EEE" w:rsidRDefault="00630EE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C124F" w14:textId="77777777" w:rsidR="00B320AB" w:rsidRPr="00EF7A2A" w:rsidRDefault="00B320AB" w:rsidP="000202AD">
    <w:pPr>
      <w:tabs>
        <w:tab w:val="left" w:pos="0"/>
        <w:tab w:val="right" w:pos="10065"/>
        <w:tab w:val="right" w:pos="10260"/>
      </w:tabs>
      <w:autoSpaceDE w:val="0"/>
      <w:autoSpaceDN w:val="0"/>
      <w:adjustRightInd w:val="0"/>
      <w:ind w:right="23"/>
      <w:textAlignment w:val="center"/>
      <w:rPr>
        <w:color w:val="000080"/>
        <w:sz w:val="18"/>
        <w:szCs w:val="18"/>
      </w:rPr>
    </w:pPr>
    <w:r>
      <w:rPr>
        <w:rStyle w:val="slostrany"/>
        <w:b/>
        <w:i/>
        <w:color w:val="034EA2"/>
        <w:sz w:val="32"/>
        <w:szCs w:val="32"/>
      </w:rPr>
      <w:t xml:space="preserve">  </w:t>
    </w:r>
    <w:r>
      <w:rPr>
        <w:rStyle w:val="slostrany"/>
        <w:color w:val="000080"/>
        <w:sz w:val="18"/>
        <w:szCs w:val="18"/>
      </w:rPr>
      <w:tab/>
    </w:r>
  </w:p>
  <w:p w14:paraId="4CC70125" w14:textId="77777777" w:rsidR="00B320AB" w:rsidRDefault="00B320A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7DE32" w14:textId="77777777" w:rsidR="00630EEE" w:rsidRDefault="00630EE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51ED1" w14:textId="77777777" w:rsidR="00B320AB" w:rsidRDefault="00B320AB">
      <w:pPr>
        <w:spacing w:line="240" w:lineRule="auto"/>
      </w:pPr>
      <w:r>
        <w:separator/>
      </w:r>
    </w:p>
  </w:footnote>
  <w:footnote w:type="continuationSeparator" w:id="0">
    <w:p w14:paraId="72906635" w14:textId="77777777" w:rsidR="00B320AB" w:rsidRDefault="00B320AB">
      <w:pPr>
        <w:spacing w:line="240" w:lineRule="auto"/>
      </w:pPr>
      <w:r>
        <w:continuationSeparator/>
      </w:r>
    </w:p>
  </w:footnote>
  <w:footnote w:type="continuationNotice" w:id="1">
    <w:p w14:paraId="32540989" w14:textId="77777777" w:rsidR="00B320AB" w:rsidRDefault="00B320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8FCF4" w14:textId="77777777" w:rsidR="00630EEE" w:rsidRDefault="00630EE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6604E" w14:textId="0C7EB13C" w:rsidR="00B320AB" w:rsidRPr="00FD544F" w:rsidRDefault="00371ACB" w:rsidP="000202AD">
    <w:pPr>
      <w:pStyle w:val="Pta"/>
      <w:framePr w:wrap="around" w:vAnchor="page" w:hAnchor="margin" w:xAlign="right" w:y="16161"/>
      <w:rPr>
        <w:rStyle w:val="slostrany"/>
        <w:color w:val="002957"/>
        <w:sz w:val="18"/>
        <w:szCs w:val="18"/>
      </w:rPr>
    </w:pPr>
    <w:sdt>
      <w:sdtPr>
        <w:rPr>
          <w:rStyle w:val="slostrany"/>
          <w:color w:val="002957"/>
          <w:sz w:val="18"/>
          <w:szCs w:val="18"/>
        </w:rPr>
        <w:id w:val="-423417657"/>
        <w:docPartObj>
          <w:docPartGallery w:val="Watermarks"/>
          <w:docPartUnique/>
        </w:docPartObj>
      </w:sdtPr>
      <w:sdtEndPr>
        <w:rPr>
          <w:rStyle w:val="slostrany"/>
        </w:rPr>
      </w:sdtEndPr>
      <w:sdtContent>
        <w:r>
          <w:rPr>
            <w:rStyle w:val="slostrany"/>
          </w:rPr>
          <w:pict w14:anchorId="6967E8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4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320AB" w:rsidRPr="00FD544F">
      <w:rPr>
        <w:rStyle w:val="slostrany"/>
        <w:color w:val="002957"/>
        <w:sz w:val="18"/>
        <w:szCs w:val="18"/>
      </w:rPr>
      <w:fldChar w:fldCharType="begin"/>
    </w:r>
    <w:r w:rsidR="00B320AB" w:rsidRPr="00FD544F">
      <w:rPr>
        <w:rStyle w:val="slostrany"/>
        <w:color w:val="002957"/>
        <w:sz w:val="18"/>
        <w:szCs w:val="18"/>
      </w:rPr>
      <w:instrText xml:space="preserve"> PAGE   \* MERGEFORMAT </w:instrText>
    </w:r>
    <w:r w:rsidR="00B320AB" w:rsidRPr="00FD544F">
      <w:rPr>
        <w:rStyle w:val="slostrany"/>
        <w:color w:val="002957"/>
        <w:sz w:val="18"/>
        <w:szCs w:val="18"/>
      </w:rPr>
      <w:fldChar w:fldCharType="separate"/>
    </w:r>
    <w:r>
      <w:rPr>
        <w:rStyle w:val="slostrany"/>
        <w:noProof/>
        <w:color w:val="002957"/>
        <w:sz w:val="18"/>
        <w:szCs w:val="18"/>
      </w:rPr>
      <w:t>1</w:t>
    </w:r>
    <w:r w:rsidR="00B320AB" w:rsidRPr="00FD544F">
      <w:rPr>
        <w:rStyle w:val="slostrany"/>
        <w:noProof/>
        <w:color w:val="002957"/>
        <w:sz w:val="18"/>
        <w:szCs w:val="18"/>
      </w:rPr>
      <w:fldChar w:fldCharType="end"/>
    </w:r>
  </w:p>
  <w:p w14:paraId="35E96F45" w14:textId="13423E22" w:rsidR="00B320AB" w:rsidRPr="00D83628" w:rsidRDefault="00B320AB" w:rsidP="000202AD">
    <w:pPr>
      <w:pStyle w:val="Noparagraphstyle"/>
      <w:jc w:val="right"/>
      <w:rPr>
        <w:color w:val="FF0000"/>
        <w:sz w:val="18"/>
        <w:szCs w:val="18"/>
      </w:rPr>
    </w:pPr>
    <w:r w:rsidRPr="00D83628">
      <w:rPr>
        <w:noProof/>
        <w:color w:val="FF0000"/>
        <w:lang w:val="sk-SK" w:eastAsia="sk-SK"/>
      </w:rPr>
      <w:drawing>
        <wp:anchor distT="0" distB="0" distL="114300" distR="114300" simplePos="0" relativeHeight="251657216" behindDoc="0" locked="0" layoutInCell="1" allowOverlap="1" wp14:anchorId="3A1361E8" wp14:editId="26FD667F">
          <wp:simplePos x="0" y="0"/>
          <wp:positionH relativeFrom="page">
            <wp:posOffset>523102</wp:posOffset>
          </wp:positionH>
          <wp:positionV relativeFrom="page">
            <wp:posOffset>302895</wp:posOffset>
          </wp:positionV>
          <wp:extent cx="1457325" cy="895350"/>
          <wp:effectExtent l="19050" t="0" r="0" b="0"/>
          <wp:wrapSquare wrapText="bothSides"/>
          <wp:docPr id="11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3628" w:rsidRPr="00D83628">
      <w:rPr>
        <w:color w:val="FF0000"/>
        <w:sz w:val="18"/>
        <w:szCs w:val="18"/>
      </w:rPr>
      <w:t>DRAFT for members’ review and input</w:t>
    </w:r>
  </w:p>
  <w:p w14:paraId="575E8939" w14:textId="6251E243" w:rsidR="00B320AB" w:rsidRDefault="00B320AB" w:rsidP="000202AD">
    <w:pPr>
      <w:pStyle w:val="Noparagraphstyle"/>
      <w:jc w:val="right"/>
    </w:pPr>
    <w:r>
      <w:tab/>
    </w:r>
  </w:p>
  <w:p w14:paraId="40D1B781" w14:textId="77777777" w:rsidR="00630EEE" w:rsidRPr="00853928" w:rsidRDefault="00630EEE" w:rsidP="000202AD">
    <w:pPr>
      <w:pStyle w:val="Noparagraphstyle"/>
      <w:jc w:val="right"/>
      <w:rPr>
        <w:rFonts w:ascii="Arial" w:hAnsi="Arial" w:cs="Arial"/>
        <w:i/>
        <w:iCs/>
        <w:color w:val="034EA2"/>
      </w:rPr>
    </w:pPr>
  </w:p>
  <w:p w14:paraId="3E0BC445" w14:textId="77777777" w:rsidR="00B320AB" w:rsidRDefault="00B320A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65A54" w14:textId="77777777" w:rsidR="00630EEE" w:rsidRDefault="00630EE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EA - Bullets Rounded Squares_BulletLevel1_forMS"/>
      </v:shape>
    </w:pict>
  </w:numPicBullet>
  <w:numPicBullet w:numPicBulletId="1">
    <w:pict>
      <v:shape id="_x0000_i1027" type="#_x0000_t75" style="width:7.5pt;height:7.5pt" o:bullet="t">
        <v:imagedata r:id="rId2" o:title="CEA - Bullets Rounded Squares_BulletLevel2_forMS"/>
      </v:shape>
    </w:pict>
  </w:numPicBullet>
  <w:numPicBullet w:numPicBulletId="2">
    <w:pict>
      <v:shape id="_x0000_i1028" type="#_x0000_t75" style="width:9pt;height:9pt" o:bullet="t">
        <v:imagedata r:id="rId3" o:title="CEA - Bullets Rounded Squares_BulletLevel3_forMS"/>
      </v:shape>
    </w:pict>
  </w:numPicBullet>
  <w:abstractNum w:abstractNumId="0" w15:restartNumberingAfterBreak="0">
    <w:nsid w:val="8CE8FC23"/>
    <w:multiLevelType w:val="hybridMultilevel"/>
    <w:tmpl w:val="5D4876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F55C7"/>
    <w:multiLevelType w:val="hybridMultilevel"/>
    <w:tmpl w:val="EBB6275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902FE"/>
    <w:multiLevelType w:val="hybridMultilevel"/>
    <w:tmpl w:val="4DE60536"/>
    <w:lvl w:ilvl="0" w:tplc="A8CE94B0">
      <w:numFmt w:val="bullet"/>
      <w:lvlText w:val="-"/>
      <w:lvlJc w:val="left"/>
      <w:pPr>
        <w:ind w:left="720" w:hanging="360"/>
      </w:pPr>
      <w:rPr>
        <w:rFonts w:ascii="Verdana" w:eastAsia="Times New Roman" w:hAnsi="Verdana" w:cs="Frutiger LT Std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6F2E6D"/>
    <w:multiLevelType w:val="hybridMultilevel"/>
    <w:tmpl w:val="BE1E115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929D4"/>
    <w:multiLevelType w:val="hybridMultilevel"/>
    <w:tmpl w:val="EF94C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10099"/>
    <w:multiLevelType w:val="hybridMultilevel"/>
    <w:tmpl w:val="066256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6552E7"/>
    <w:multiLevelType w:val="hybridMultilevel"/>
    <w:tmpl w:val="5C62B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A19D8"/>
    <w:multiLevelType w:val="hybridMultilevel"/>
    <w:tmpl w:val="B57A7E2A"/>
    <w:lvl w:ilvl="0" w:tplc="A8CE94B0">
      <w:numFmt w:val="bullet"/>
      <w:lvlText w:val="-"/>
      <w:lvlJc w:val="left"/>
      <w:pPr>
        <w:ind w:left="720" w:hanging="360"/>
      </w:pPr>
      <w:rPr>
        <w:rFonts w:ascii="Verdana" w:eastAsia="Times New Roman" w:hAnsi="Verdana" w:cs="Frutiger LT Std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2E849"/>
    <w:multiLevelType w:val="hybridMultilevel"/>
    <w:tmpl w:val="749C99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1A46AC6"/>
    <w:multiLevelType w:val="hybridMultilevel"/>
    <w:tmpl w:val="0B2E36F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PicBulletId w:val="2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12" w15:restartNumberingAfterBreak="0">
    <w:nsid w:val="471546D9"/>
    <w:multiLevelType w:val="hybridMultilevel"/>
    <w:tmpl w:val="84C60D9E"/>
    <w:lvl w:ilvl="0" w:tplc="A8CE94B0">
      <w:numFmt w:val="bullet"/>
      <w:lvlText w:val="-"/>
      <w:lvlJc w:val="left"/>
      <w:pPr>
        <w:ind w:left="720" w:hanging="360"/>
      </w:pPr>
      <w:rPr>
        <w:rFonts w:ascii="Verdana" w:eastAsia="Times New Roman" w:hAnsi="Verdana" w:cs="Frutiger LT Std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2228"/>
    <w:multiLevelType w:val="hybridMultilevel"/>
    <w:tmpl w:val="974E1BD6"/>
    <w:lvl w:ilvl="0" w:tplc="A8CE94B0">
      <w:numFmt w:val="bullet"/>
      <w:lvlText w:val="-"/>
      <w:lvlJc w:val="left"/>
      <w:pPr>
        <w:ind w:left="720" w:hanging="360"/>
      </w:pPr>
      <w:rPr>
        <w:rFonts w:ascii="Verdana" w:eastAsia="Times New Roman" w:hAnsi="Verdana" w:cs="Frutiger LT Std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40054"/>
    <w:multiLevelType w:val="hybridMultilevel"/>
    <w:tmpl w:val="DF08D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A1CFF"/>
    <w:multiLevelType w:val="hybridMultilevel"/>
    <w:tmpl w:val="48E26028"/>
    <w:lvl w:ilvl="0" w:tplc="136C7E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40CE3"/>
    <w:multiLevelType w:val="hybridMultilevel"/>
    <w:tmpl w:val="32765DBC"/>
    <w:lvl w:ilvl="0" w:tplc="A8CE94B0">
      <w:numFmt w:val="bullet"/>
      <w:lvlText w:val="-"/>
      <w:lvlJc w:val="left"/>
      <w:pPr>
        <w:ind w:left="720" w:hanging="360"/>
      </w:pPr>
      <w:rPr>
        <w:rFonts w:ascii="Verdana" w:eastAsia="Times New Roman" w:hAnsi="Verdana" w:cs="Frutiger LT Std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07918"/>
    <w:multiLevelType w:val="hybridMultilevel"/>
    <w:tmpl w:val="E3C48374"/>
    <w:lvl w:ilvl="0" w:tplc="A8CE94B0">
      <w:numFmt w:val="bullet"/>
      <w:lvlText w:val="-"/>
      <w:lvlJc w:val="left"/>
      <w:pPr>
        <w:ind w:left="360" w:hanging="360"/>
      </w:pPr>
      <w:rPr>
        <w:rFonts w:ascii="Verdana" w:eastAsia="Times New Roman" w:hAnsi="Verdana" w:cs="Frutiger LT Std 45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840965"/>
    <w:multiLevelType w:val="hybridMultilevel"/>
    <w:tmpl w:val="146012E8"/>
    <w:lvl w:ilvl="0" w:tplc="3EC6B1A8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Frutiger LT Std 45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3"/>
  </w:num>
  <w:num w:numId="9">
    <w:abstractNumId w:val="8"/>
  </w:num>
  <w:num w:numId="10">
    <w:abstractNumId w:val="17"/>
  </w:num>
  <w:num w:numId="11">
    <w:abstractNumId w:val="17"/>
  </w:num>
  <w:num w:numId="12">
    <w:abstractNumId w:val="2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0"/>
  </w:num>
  <w:num w:numId="19">
    <w:abstractNumId w:val="17"/>
  </w:num>
  <w:num w:numId="20">
    <w:abstractNumId w:val="9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9"/>
  </w:num>
  <w:num w:numId="32">
    <w:abstractNumId w:val="17"/>
  </w:num>
  <w:num w:numId="33">
    <w:abstractNumId w:val="17"/>
  </w:num>
  <w:num w:numId="34">
    <w:abstractNumId w:val="17"/>
  </w:num>
  <w:num w:numId="35">
    <w:abstractNumId w:val="18"/>
  </w:num>
  <w:num w:numId="36">
    <w:abstractNumId w:val="1"/>
  </w:num>
  <w:num w:numId="37">
    <w:abstractNumId w:val="6"/>
  </w:num>
  <w:num w:numId="38">
    <w:abstractNumId w:val="4"/>
  </w:num>
  <w:num w:numId="39">
    <w:abstractNumId w:val="10"/>
  </w:num>
  <w:num w:numId="40">
    <w:abstractNumId w:val="14"/>
  </w:num>
  <w:num w:numId="41">
    <w:abstractNumId w:val="15"/>
  </w:num>
  <w:num w:numId="42">
    <w:abstractNumId w:val="12"/>
  </w:num>
  <w:num w:numId="43">
    <w:abstractNumId w:val="16"/>
  </w:num>
  <w:num w:numId="44">
    <w:abstractNumId w:val="7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E8"/>
    <w:rsid w:val="00011EA9"/>
    <w:rsid w:val="00014D49"/>
    <w:rsid w:val="000202AD"/>
    <w:rsid w:val="00033C81"/>
    <w:rsid w:val="00037FF6"/>
    <w:rsid w:val="00043CCC"/>
    <w:rsid w:val="000464F1"/>
    <w:rsid w:val="000473F3"/>
    <w:rsid w:val="0005308C"/>
    <w:rsid w:val="000537DA"/>
    <w:rsid w:val="000544CB"/>
    <w:rsid w:val="0005464B"/>
    <w:rsid w:val="00056BB2"/>
    <w:rsid w:val="00056E6E"/>
    <w:rsid w:val="00063C84"/>
    <w:rsid w:val="000659E5"/>
    <w:rsid w:val="000665B2"/>
    <w:rsid w:val="00066E5C"/>
    <w:rsid w:val="00072B22"/>
    <w:rsid w:val="00076557"/>
    <w:rsid w:val="00076CFA"/>
    <w:rsid w:val="0008009E"/>
    <w:rsid w:val="00081615"/>
    <w:rsid w:val="00092C94"/>
    <w:rsid w:val="000A15D7"/>
    <w:rsid w:val="000A6DB3"/>
    <w:rsid w:val="000A7784"/>
    <w:rsid w:val="000B206C"/>
    <w:rsid w:val="000C2FC6"/>
    <w:rsid w:val="000D308A"/>
    <w:rsid w:val="000D3FDF"/>
    <w:rsid w:val="000D4EF4"/>
    <w:rsid w:val="000D52D8"/>
    <w:rsid w:val="000E25DF"/>
    <w:rsid w:val="000E4487"/>
    <w:rsid w:val="000F2736"/>
    <w:rsid w:val="000F49A8"/>
    <w:rsid w:val="000F7BF5"/>
    <w:rsid w:val="001005F5"/>
    <w:rsid w:val="001111AC"/>
    <w:rsid w:val="00122571"/>
    <w:rsid w:val="00132E75"/>
    <w:rsid w:val="00135EF2"/>
    <w:rsid w:val="00140636"/>
    <w:rsid w:val="00146FAD"/>
    <w:rsid w:val="00150FE5"/>
    <w:rsid w:val="00165211"/>
    <w:rsid w:val="00171632"/>
    <w:rsid w:val="001729EF"/>
    <w:rsid w:val="001732A1"/>
    <w:rsid w:val="00180889"/>
    <w:rsid w:val="001945FB"/>
    <w:rsid w:val="001A31D8"/>
    <w:rsid w:val="001A391D"/>
    <w:rsid w:val="001A3FBA"/>
    <w:rsid w:val="001A542F"/>
    <w:rsid w:val="001B4FE6"/>
    <w:rsid w:val="001B64CF"/>
    <w:rsid w:val="001B73DF"/>
    <w:rsid w:val="001C2F3A"/>
    <w:rsid w:val="001C3CA7"/>
    <w:rsid w:val="001C6976"/>
    <w:rsid w:val="001D0F3E"/>
    <w:rsid w:val="001E3AB4"/>
    <w:rsid w:val="00201E70"/>
    <w:rsid w:val="00207879"/>
    <w:rsid w:val="00207BCF"/>
    <w:rsid w:val="0021465B"/>
    <w:rsid w:val="00215534"/>
    <w:rsid w:val="002232D8"/>
    <w:rsid w:val="00224EB3"/>
    <w:rsid w:val="00236D6E"/>
    <w:rsid w:val="00241859"/>
    <w:rsid w:val="002433A8"/>
    <w:rsid w:val="00252929"/>
    <w:rsid w:val="00252FEB"/>
    <w:rsid w:val="0025733B"/>
    <w:rsid w:val="0026063D"/>
    <w:rsid w:val="00271920"/>
    <w:rsid w:val="002732EC"/>
    <w:rsid w:val="0027467F"/>
    <w:rsid w:val="0027481B"/>
    <w:rsid w:val="002801CD"/>
    <w:rsid w:val="002852F3"/>
    <w:rsid w:val="002908F7"/>
    <w:rsid w:val="002A2862"/>
    <w:rsid w:val="002A419C"/>
    <w:rsid w:val="002A5ED9"/>
    <w:rsid w:val="002C1A29"/>
    <w:rsid w:val="002C2965"/>
    <w:rsid w:val="002C3540"/>
    <w:rsid w:val="002C5164"/>
    <w:rsid w:val="002C65D5"/>
    <w:rsid w:val="002D795E"/>
    <w:rsid w:val="002E3016"/>
    <w:rsid w:val="002E485C"/>
    <w:rsid w:val="002F5817"/>
    <w:rsid w:val="002F6104"/>
    <w:rsid w:val="003023D4"/>
    <w:rsid w:val="00304D4A"/>
    <w:rsid w:val="003059BB"/>
    <w:rsid w:val="00315E35"/>
    <w:rsid w:val="00320DCB"/>
    <w:rsid w:val="00323320"/>
    <w:rsid w:val="00326BB7"/>
    <w:rsid w:val="00327559"/>
    <w:rsid w:val="00330C72"/>
    <w:rsid w:val="0033557C"/>
    <w:rsid w:val="0034611D"/>
    <w:rsid w:val="003513B8"/>
    <w:rsid w:val="00353379"/>
    <w:rsid w:val="00371ACB"/>
    <w:rsid w:val="00376E08"/>
    <w:rsid w:val="00380A9A"/>
    <w:rsid w:val="003A2825"/>
    <w:rsid w:val="003A4865"/>
    <w:rsid w:val="003A5A66"/>
    <w:rsid w:val="003B0F5D"/>
    <w:rsid w:val="003C481F"/>
    <w:rsid w:val="003C4956"/>
    <w:rsid w:val="003D0D1E"/>
    <w:rsid w:val="003D4223"/>
    <w:rsid w:val="003D51DF"/>
    <w:rsid w:val="003E3C5A"/>
    <w:rsid w:val="003F0B2F"/>
    <w:rsid w:val="003F0BB2"/>
    <w:rsid w:val="003F25DB"/>
    <w:rsid w:val="003F2D9D"/>
    <w:rsid w:val="003F3B00"/>
    <w:rsid w:val="003F415A"/>
    <w:rsid w:val="00411D8E"/>
    <w:rsid w:val="00416D93"/>
    <w:rsid w:val="004325AF"/>
    <w:rsid w:val="004363E8"/>
    <w:rsid w:val="00440FEE"/>
    <w:rsid w:val="0045124B"/>
    <w:rsid w:val="00457FAD"/>
    <w:rsid w:val="00464032"/>
    <w:rsid w:val="00471342"/>
    <w:rsid w:val="0047269C"/>
    <w:rsid w:val="00476652"/>
    <w:rsid w:val="00476776"/>
    <w:rsid w:val="00477AE9"/>
    <w:rsid w:val="004870EC"/>
    <w:rsid w:val="00491C54"/>
    <w:rsid w:val="00496AE3"/>
    <w:rsid w:val="00497230"/>
    <w:rsid w:val="004A5074"/>
    <w:rsid w:val="004A6E5D"/>
    <w:rsid w:val="004A7727"/>
    <w:rsid w:val="004C0770"/>
    <w:rsid w:val="004C1D5F"/>
    <w:rsid w:val="004C752E"/>
    <w:rsid w:val="004D6D7C"/>
    <w:rsid w:val="004E3203"/>
    <w:rsid w:val="004E7DBC"/>
    <w:rsid w:val="004F41AC"/>
    <w:rsid w:val="004F5222"/>
    <w:rsid w:val="004F75B1"/>
    <w:rsid w:val="005020B1"/>
    <w:rsid w:val="00507578"/>
    <w:rsid w:val="00512C6B"/>
    <w:rsid w:val="005137BE"/>
    <w:rsid w:val="0052316F"/>
    <w:rsid w:val="005363A3"/>
    <w:rsid w:val="00542E03"/>
    <w:rsid w:val="005471CC"/>
    <w:rsid w:val="00552A2F"/>
    <w:rsid w:val="00554DB7"/>
    <w:rsid w:val="00564F67"/>
    <w:rsid w:val="005651EA"/>
    <w:rsid w:val="005711CF"/>
    <w:rsid w:val="005721C6"/>
    <w:rsid w:val="00573B2D"/>
    <w:rsid w:val="005762BD"/>
    <w:rsid w:val="0058370A"/>
    <w:rsid w:val="0059469C"/>
    <w:rsid w:val="005A5510"/>
    <w:rsid w:val="005B1647"/>
    <w:rsid w:val="005B3B8E"/>
    <w:rsid w:val="005C24CA"/>
    <w:rsid w:val="005C2956"/>
    <w:rsid w:val="005C5334"/>
    <w:rsid w:val="005C7176"/>
    <w:rsid w:val="005D5208"/>
    <w:rsid w:val="005D77AB"/>
    <w:rsid w:val="005E2648"/>
    <w:rsid w:val="005E3866"/>
    <w:rsid w:val="005E504C"/>
    <w:rsid w:val="005F6B4E"/>
    <w:rsid w:val="0061560E"/>
    <w:rsid w:val="0061798F"/>
    <w:rsid w:val="00621C21"/>
    <w:rsid w:val="0062264A"/>
    <w:rsid w:val="0062702E"/>
    <w:rsid w:val="00630EEE"/>
    <w:rsid w:val="006312FD"/>
    <w:rsid w:val="006350C2"/>
    <w:rsid w:val="00646809"/>
    <w:rsid w:val="00650377"/>
    <w:rsid w:val="006512A1"/>
    <w:rsid w:val="0066004A"/>
    <w:rsid w:val="0066156D"/>
    <w:rsid w:val="00663996"/>
    <w:rsid w:val="00665734"/>
    <w:rsid w:val="00667448"/>
    <w:rsid w:val="00676CC2"/>
    <w:rsid w:val="00681A91"/>
    <w:rsid w:val="0068505A"/>
    <w:rsid w:val="00690FC9"/>
    <w:rsid w:val="00691096"/>
    <w:rsid w:val="00694858"/>
    <w:rsid w:val="00697BD2"/>
    <w:rsid w:val="006A6B5E"/>
    <w:rsid w:val="006A6F1C"/>
    <w:rsid w:val="006B652F"/>
    <w:rsid w:val="006C7B88"/>
    <w:rsid w:val="006E183F"/>
    <w:rsid w:val="006E542F"/>
    <w:rsid w:val="006E7022"/>
    <w:rsid w:val="006F3ECB"/>
    <w:rsid w:val="006F5853"/>
    <w:rsid w:val="006F59E3"/>
    <w:rsid w:val="006F7496"/>
    <w:rsid w:val="0070268D"/>
    <w:rsid w:val="007029B6"/>
    <w:rsid w:val="00714366"/>
    <w:rsid w:val="007234CD"/>
    <w:rsid w:val="00723C95"/>
    <w:rsid w:val="00733A09"/>
    <w:rsid w:val="007354B9"/>
    <w:rsid w:val="00736970"/>
    <w:rsid w:val="0073763F"/>
    <w:rsid w:val="00744276"/>
    <w:rsid w:val="0075011D"/>
    <w:rsid w:val="00752C03"/>
    <w:rsid w:val="00757A09"/>
    <w:rsid w:val="00762DCA"/>
    <w:rsid w:val="0076459E"/>
    <w:rsid w:val="00767720"/>
    <w:rsid w:val="00780A33"/>
    <w:rsid w:val="00784BE7"/>
    <w:rsid w:val="00786ADD"/>
    <w:rsid w:val="0079272B"/>
    <w:rsid w:val="0079300C"/>
    <w:rsid w:val="007A3F96"/>
    <w:rsid w:val="007A5BA9"/>
    <w:rsid w:val="007C3FED"/>
    <w:rsid w:val="007C7D96"/>
    <w:rsid w:val="007D01BB"/>
    <w:rsid w:val="007E6394"/>
    <w:rsid w:val="007E6A69"/>
    <w:rsid w:val="007E6CA8"/>
    <w:rsid w:val="0081517A"/>
    <w:rsid w:val="00820C30"/>
    <w:rsid w:val="00822C48"/>
    <w:rsid w:val="00826BD3"/>
    <w:rsid w:val="008367AC"/>
    <w:rsid w:val="0084668A"/>
    <w:rsid w:val="0086439E"/>
    <w:rsid w:val="008730FB"/>
    <w:rsid w:val="00877E03"/>
    <w:rsid w:val="00880A0E"/>
    <w:rsid w:val="00887A2F"/>
    <w:rsid w:val="008913FF"/>
    <w:rsid w:val="00891E10"/>
    <w:rsid w:val="0089590C"/>
    <w:rsid w:val="008A0B90"/>
    <w:rsid w:val="008A4682"/>
    <w:rsid w:val="008A4962"/>
    <w:rsid w:val="008D364D"/>
    <w:rsid w:val="008E0DDB"/>
    <w:rsid w:val="008E3C81"/>
    <w:rsid w:val="008E4E77"/>
    <w:rsid w:val="008F3E85"/>
    <w:rsid w:val="0090704C"/>
    <w:rsid w:val="00915E9F"/>
    <w:rsid w:val="00920087"/>
    <w:rsid w:val="00920ACD"/>
    <w:rsid w:val="00922038"/>
    <w:rsid w:val="009305CA"/>
    <w:rsid w:val="009453E2"/>
    <w:rsid w:val="009544BE"/>
    <w:rsid w:val="00956DC8"/>
    <w:rsid w:val="00963ED4"/>
    <w:rsid w:val="00971D47"/>
    <w:rsid w:val="00974106"/>
    <w:rsid w:val="00974A19"/>
    <w:rsid w:val="0097777B"/>
    <w:rsid w:val="0098332D"/>
    <w:rsid w:val="009921AE"/>
    <w:rsid w:val="009947B1"/>
    <w:rsid w:val="009B1D3E"/>
    <w:rsid w:val="009B74CE"/>
    <w:rsid w:val="009C50B9"/>
    <w:rsid w:val="009C5E7D"/>
    <w:rsid w:val="009C7B7D"/>
    <w:rsid w:val="009E2D90"/>
    <w:rsid w:val="009E6BA5"/>
    <w:rsid w:val="00A02933"/>
    <w:rsid w:val="00A04347"/>
    <w:rsid w:val="00A13D1B"/>
    <w:rsid w:val="00A1434C"/>
    <w:rsid w:val="00A14CE7"/>
    <w:rsid w:val="00A15603"/>
    <w:rsid w:val="00A158ED"/>
    <w:rsid w:val="00A22E95"/>
    <w:rsid w:val="00A27DB8"/>
    <w:rsid w:val="00A33A2E"/>
    <w:rsid w:val="00A35C75"/>
    <w:rsid w:val="00A371B9"/>
    <w:rsid w:val="00A373C2"/>
    <w:rsid w:val="00A40E68"/>
    <w:rsid w:val="00A439FB"/>
    <w:rsid w:val="00A50E66"/>
    <w:rsid w:val="00A65172"/>
    <w:rsid w:val="00A65F75"/>
    <w:rsid w:val="00A66981"/>
    <w:rsid w:val="00A67B62"/>
    <w:rsid w:val="00A71E0A"/>
    <w:rsid w:val="00A77416"/>
    <w:rsid w:val="00A866AF"/>
    <w:rsid w:val="00A90A06"/>
    <w:rsid w:val="00A93408"/>
    <w:rsid w:val="00A93E47"/>
    <w:rsid w:val="00AA6A58"/>
    <w:rsid w:val="00AA738C"/>
    <w:rsid w:val="00AB134D"/>
    <w:rsid w:val="00AB1B93"/>
    <w:rsid w:val="00AB21B2"/>
    <w:rsid w:val="00AB4C59"/>
    <w:rsid w:val="00AC120D"/>
    <w:rsid w:val="00AC2FD4"/>
    <w:rsid w:val="00AC7C3A"/>
    <w:rsid w:val="00AD5709"/>
    <w:rsid w:val="00AD73A5"/>
    <w:rsid w:val="00AE03F9"/>
    <w:rsid w:val="00AE0DC5"/>
    <w:rsid w:val="00AE390D"/>
    <w:rsid w:val="00AF73C4"/>
    <w:rsid w:val="00B105EB"/>
    <w:rsid w:val="00B1060D"/>
    <w:rsid w:val="00B1386C"/>
    <w:rsid w:val="00B156A3"/>
    <w:rsid w:val="00B168E9"/>
    <w:rsid w:val="00B320AB"/>
    <w:rsid w:val="00B42A9B"/>
    <w:rsid w:val="00B4354B"/>
    <w:rsid w:val="00B50B04"/>
    <w:rsid w:val="00B520E3"/>
    <w:rsid w:val="00B55735"/>
    <w:rsid w:val="00B67C9A"/>
    <w:rsid w:val="00B7574F"/>
    <w:rsid w:val="00B77C8D"/>
    <w:rsid w:val="00B852CC"/>
    <w:rsid w:val="00B85CC3"/>
    <w:rsid w:val="00B92FA2"/>
    <w:rsid w:val="00B939FB"/>
    <w:rsid w:val="00B95421"/>
    <w:rsid w:val="00B95567"/>
    <w:rsid w:val="00B97683"/>
    <w:rsid w:val="00BA6647"/>
    <w:rsid w:val="00BA70F1"/>
    <w:rsid w:val="00BA74CE"/>
    <w:rsid w:val="00BB2130"/>
    <w:rsid w:val="00BB7A99"/>
    <w:rsid w:val="00BC40DC"/>
    <w:rsid w:val="00BD1AA5"/>
    <w:rsid w:val="00BD3E06"/>
    <w:rsid w:val="00BE1167"/>
    <w:rsid w:val="00BF2A2F"/>
    <w:rsid w:val="00BF59F2"/>
    <w:rsid w:val="00C00FCC"/>
    <w:rsid w:val="00C23056"/>
    <w:rsid w:val="00C2482A"/>
    <w:rsid w:val="00C30D79"/>
    <w:rsid w:val="00C501B0"/>
    <w:rsid w:val="00C543FA"/>
    <w:rsid w:val="00C80191"/>
    <w:rsid w:val="00C8059C"/>
    <w:rsid w:val="00C85AAC"/>
    <w:rsid w:val="00C94FC8"/>
    <w:rsid w:val="00C97BA9"/>
    <w:rsid w:val="00CA18BA"/>
    <w:rsid w:val="00CA26A9"/>
    <w:rsid w:val="00CA2C3B"/>
    <w:rsid w:val="00CA4083"/>
    <w:rsid w:val="00CA6124"/>
    <w:rsid w:val="00CA73FF"/>
    <w:rsid w:val="00CA77E0"/>
    <w:rsid w:val="00CB4221"/>
    <w:rsid w:val="00CB4A81"/>
    <w:rsid w:val="00CC057A"/>
    <w:rsid w:val="00CC2119"/>
    <w:rsid w:val="00CC75F7"/>
    <w:rsid w:val="00CE4843"/>
    <w:rsid w:val="00CF068C"/>
    <w:rsid w:val="00D039F5"/>
    <w:rsid w:val="00D058F4"/>
    <w:rsid w:val="00D11652"/>
    <w:rsid w:val="00D13B1B"/>
    <w:rsid w:val="00D16716"/>
    <w:rsid w:val="00D2252D"/>
    <w:rsid w:val="00D25A27"/>
    <w:rsid w:val="00D31288"/>
    <w:rsid w:val="00D344E8"/>
    <w:rsid w:val="00D37998"/>
    <w:rsid w:val="00D37E9D"/>
    <w:rsid w:val="00D42766"/>
    <w:rsid w:val="00D42F62"/>
    <w:rsid w:val="00D44762"/>
    <w:rsid w:val="00D601AC"/>
    <w:rsid w:val="00D60E50"/>
    <w:rsid w:val="00D65EB5"/>
    <w:rsid w:val="00D6773F"/>
    <w:rsid w:val="00D83628"/>
    <w:rsid w:val="00D83BB5"/>
    <w:rsid w:val="00D93931"/>
    <w:rsid w:val="00D9566F"/>
    <w:rsid w:val="00DA29B9"/>
    <w:rsid w:val="00DA7009"/>
    <w:rsid w:val="00DB5CA4"/>
    <w:rsid w:val="00DD09CE"/>
    <w:rsid w:val="00DD5510"/>
    <w:rsid w:val="00DD5CDA"/>
    <w:rsid w:val="00DE4DAD"/>
    <w:rsid w:val="00DE5F1C"/>
    <w:rsid w:val="00DF2EAE"/>
    <w:rsid w:val="00DF5FC0"/>
    <w:rsid w:val="00E01315"/>
    <w:rsid w:val="00E06A65"/>
    <w:rsid w:val="00E15E8F"/>
    <w:rsid w:val="00E163CC"/>
    <w:rsid w:val="00E25A5C"/>
    <w:rsid w:val="00E263D0"/>
    <w:rsid w:val="00E355B7"/>
    <w:rsid w:val="00E366E8"/>
    <w:rsid w:val="00E4049C"/>
    <w:rsid w:val="00E455C3"/>
    <w:rsid w:val="00E46D42"/>
    <w:rsid w:val="00E56BDE"/>
    <w:rsid w:val="00E572E8"/>
    <w:rsid w:val="00E613BF"/>
    <w:rsid w:val="00E63A3E"/>
    <w:rsid w:val="00E63DB6"/>
    <w:rsid w:val="00E671E2"/>
    <w:rsid w:val="00E67C2D"/>
    <w:rsid w:val="00E70CE6"/>
    <w:rsid w:val="00E72F85"/>
    <w:rsid w:val="00E81AC6"/>
    <w:rsid w:val="00E85092"/>
    <w:rsid w:val="00E93A4B"/>
    <w:rsid w:val="00E95EAA"/>
    <w:rsid w:val="00E961B8"/>
    <w:rsid w:val="00E97338"/>
    <w:rsid w:val="00EA0159"/>
    <w:rsid w:val="00EA2A86"/>
    <w:rsid w:val="00EA3836"/>
    <w:rsid w:val="00EA39A9"/>
    <w:rsid w:val="00EB2883"/>
    <w:rsid w:val="00EB2BBF"/>
    <w:rsid w:val="00EB38E2"/>
    <w:rsid w:val="00EC0877"/>
    <w:rsid w:val="00EC1A6E"/>
    <w:rsid w:val="00EC4791"/>
    <w:rsid w:val="00EC4905"/>
    <w:rsid w:val="00ED47DD"/>
    <w:rsid w:val="00EE21EF"/>
    <w:rsid w:val="00EE6C52"/>
    <w:rsid w:val="00EF0345"/>
    <w:rsid w:val="00EF4940"/>
    <w:rsid w:val="00EF56AC"/>
    <w:rsid w:val="00F05FFA"/>
    <w:rsid w:val="00F07D46"/>
    <w:rsid w:val="00F14C99"/>
    <w:rsid w:val="00F156C4"/>
    <w:rsid w:val="00F156F1"/>
    <w:rsid w:val="00F20D45"/>
    <w:rsid w:val="00F22908"/>
    <w:rsid w:val="00F25175"/>
    <w:rsid w:val="00F268A8"/>
    <w:rsid w:val="00F26DA0"/>
    <w:rsid w:val="00F32C5D"/>
    <w:rsid w:val="00F35A37"/>
    <w:rsid w:val="00F400D3"/>
    <w:rsid w:val="00F54B60"/>
    <w:rsid w:val="00F66C6C"/>
    <w:rsid w:val="00F72702"/>
    <w:rsid w:val="00F768FF"/>
    <w:rsid w:val="00F77BA0"/>
    <w:rsid w:val="00F81177"/>
    <w:rsid w:val="00F8705B"/>
    <w:rsid w:val="00F87C6B"/>
    <w:rsid w:val="00FA21FC"/>
    <w:rsid w:val="00FA4864"/>
    <w:rsid w:val="00FA4B2B"/>
    <w:rsid w:val="00FA551C"/>
    <w:rsid w:val="00FA6468"/>
    <w:rsid w:val="00FB01B6"/>
    <w:rsid w:val="00FB1FF4"/>
    <w:rsid w:val="00FB38C6"/>
    <w:rsid w:val="00FB680E"/>
    <w:rsid w:val="00FC46B0"/>
    <w:rsid w:val="00FD471E"/>
    <w:rsid w:val="00FD544F"/>
    <w:rsid w:val="00FD7A77"/>
    <w:rsid w:val="00FE51A4"/>
    <w:rsid w:val="00FE5E00"/>
    <w:rsid w:val="00FF058E"/>
    <w:rsid w:val="00FF457B"/>
    <w:rsid w:val="00FF4A76"/>
    <w:rsid w:val="00FF5A76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A9E8CAB"/>
  <w15:docId w15:val="{FD7F482B-96C9-4AC4-ABF2-58B5ACC9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4E8"/>
    <w:pPr>
      <w:spacing w:after="0" w:line="288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D344E8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semiHidden/>
    <w:rsid w:val="00D344E8"/>
    <w:rPr>
      <w:rFonts w:ascii="Verdana" w:eastAsia="Times New Roman" w:hAnsi="Verdana" w:cs="Times New Roman"/>
      <w:sz w:val="20"/>
      <w:szCs w:val="24"/>
      <w:lang w:val="en-GB"/>
    </w:rPr>
  </w:style>
  <w:style w:type="paragraph" w:styleId="Pta">
    <w:name w:val="footer"/>
    <w:basedOn w:val="Normlny"/>
    <w:link w:val="PtaChar"/>
    <w:semiHidden/>
    <w:rsid w:val="00D344E8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D344E8"/>
    <w:rPr>
      <w:rFonts w:ascii="Verdana" w:eastAsia="Times New Roman" w:hAnsi="Verdana" w:cs="Times New Roman"/>
      <w:sz w:val="20"/>
      <w:szCs w:val="24"/>
      <w:lang w:val="en-GB"/>
    </w:rPr>
  </w:style>
  <w:style w:type="paragraph" w:customStyle="1" w:styleId="Noparagraphstyle">
    <w:name w:val="[No paragraph style]"/>
    <w:semiHidden/>
    <w:rsid w:val="00D344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D344E8"/>
  </w:style>
  <w:style w:type="paragraph" w:customStyle="1" w:styleId="CEADocumentType">
    <w:name w:val="CEA Document Type"/>
    <w:basedOn w:val="Normlny"/>
    <w:semiHidden/>
    <w:qFormat/>
    <w:rsid w:val="00D344E8"/>
    <w:pPr>
      <w:jc w:val="right"/>
    </w:pPr>
    <w:rPr>
      <w:rFonts w:cs="Arial"/>
      <w:b/>
      <w:color w:val="034EA2"/>
      <w:sz w:val="40"/>
      <w:szCs w:val="40"/>
    </w:rPr>
  </w:style>
  <w:style w:type="paragraph" w:customStyle="1" w:styleId="CEALabel">
    <w:name w:val="CEA Label"/>
    <w:basedOn w:val="Normlny"/>
    <w:semiHidden/>
    <w:qFormat/>
    <w:rsid w:val="00D344E8"/>
    <w:pPr>
      <w:tabs>
        <w:tab w:val="right" w:pos="360"/>
        <w:tab w:val="left" w:pos="540"/>
      </w:tabs>
      <w:autoSpaceDE w:val="0"/>
      <w:autoSpaceDN w:val="0"/>
      <w:adjustRightInd w:val="0"/>
      <w:spacing w:before="30"/>
      <w:jc w:val="right"/>
      <w:textAlignment w:val="center"/>
    </w:pPr>
    <w:rPr>
      <w:rFonts w:cs="Arial"/>
      <w:b/>
      <w:color w:val="034EA2"/>
      <w:spacing w:val="-4"/>
      <w:w w:val="90"/>
      <w:sz w:val="16"/>
      <w:szCs w:val="16"/>
    </w:rPr>
  </w:style>
  <w:style w:type="paragraph" w:customStyle="1" w:styleId="CEASubjectLine">
    <w:name w:val="CEA Subject Line"/>
    <w:basedOn w:val="Normlny"/>
    <w:semiHidden/>
    <w:qFormat/>
    <w:rsid w:val="00D344E8"/>
    <w:rPr>
      <w:rFonts w:cs="Arial"/>
      <w:b/>
      <w:szCs w:val="20"/>
    </w:rPr>
  </w:style>
  <w:style w:type="paragraph" w:customStyle="1" w:styleId="CEAToLine">
    <w:name w:val="CEA To Line"/>
    <w:basedOn w:val="Noparagraphstyle"/>
    <w:semiHidden/>
    <w:qFormat/>
    <w:rsid w:val="00D344E8"/>
    <w:pPr>
      <w:spacing w:line="240" w:lineRule="auto"/>
    </w:pPr>
    <w:rPr>
      <w:rFonts w:ascii="Frutiger LT Com 45 Light" w:hAnsi="Frutiger LT Com 45 Light"/>
      <w:b/>
      <w:sz w:val="28"/>
      <w:szCs w:val="28"/>
    </w:rPr>
  </w:style>
  <w:style w:type="paragraph" w:customStyle="1" w:styleId="CEAStandardHeading">
    <w:name w:val="CEA Standard Heading"/>
    <w:basedOn w:val="Normlny"/>
    <w:qFormat/>
    <w:rsid w:val="00D344E8"/>
    <w:pPr>
      <w:autoSpaceDE w:val="0"/>
      <w:autoSpaceDN w:val="0"/>
      <w:adjustRightInd w:val="0"/>
      <w:textAlignment w:val="center"/>
    </w:pPr>
    <w:rPr>
      <w:rFonts w:cs="Arial"/>
      <w:b/>
      <w:color w:val="034EA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4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4E8"/>
    <w:rPr>
      <w:rFonts w:ascii="Tahoma" w:eastAsia="Times New Roman" w:hAnsi="Tahoma" w:cs="Tahoma"/>
      <w:sz w:val="16"/>
      <w:szCs w:val="16"/>
      <w:lang w:val="en-GB"/>
    </w:rPr>
  </w:style>
  <w:style w:type="paragraph" w:customStyle="1" w:styleId="CEABullet-Level1">
    <w:name w:val="CEA Bullet - Level 1"/>
    <w:basedOn w:val="Normlny"/>
    <w:link w:val="CEABullet-Level1Char"/>
    <w:qFormat/>
    <w:rsid w:val="00FC46B0"/>
    <w:pPr>
      <w:numPr>
        <w:numId w:val="1"/>
      </w:numPr>
      <w:autoSpaceDE w:val="0"/>
      <w:autoSpaceDN w:val="0"/>
      <w:adjustRightInd w:val="0"/>
      <w:jc w:val="both"/>
    </w:pPr>
    <w:rPr>
      <w:rFonts w:cs="Frutiger LT Std 45 Light"/>
      <w:color w:val="000000"/>
      <w:sz w:val="17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FC46B0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FC46B0"/>
    <w:pPr>
      <w:numPr>
        <w:numId w:val="3"/>
      </w:numPr>
      <w:autoSpaceDE w:val="0"/>
      <w:autoSpaceDN w:val="0"/>
      <w:adjustRightInd w:val="0"/>
      <w:jc w:val="both"/>
    </w:pPr>
    <w:rPr>
      <w:rFonts w:cs="Frutiger LT Std 45 Light"/>
      <w:color w:val="000000"/>
      <w:sz w:val="17"/>
      <w:szCs w:val="20"/>
    </w:rPr>
  </w:style>
  <w:style w:type="paragraph" w:customStyle="1" w:styleId="CEADirectorGeneral">
    <w:name w:val="CEA Director General"/>
    <w:basedOn w:val="Normlny"/>
    <w:semiHidden/>
    <w:qFormat/>
    <w:rsid w:val="00FC46B0"/>
    <w:pPr>
      <w:tabs>
        <w:tab w:val="right" w:pos="360"/>
        <w:tab w:val="left" w:pos="540"/>
      </w:tabs>
      <w:autoSpaceDE w:val="0"/>
      <w:autoSpaceDN w:val="0"/>
      <w:adjustRightInd w:val="0"/>
      <w:jc w:val="both"/>
      <w:textAlignment w:val="center"/>
    </w:pPr>
    <w:rPr>
      <w:sz w:val="22"/>
      <w:szCs w:val="22"/>
    </w:rPr>
  </w:style>
  <w:style w:type="paragraph" w:customStyle="1" w:styleId="CEADraft">
    <w:name w:val="CEA Draft"/>
    <w:basedOn w:val="Normlny"/>
    <w:semiHidden/>
    <w:qFormat/>
    <w:rsid w:val="00FC46B0"/>
    <w:pPr>
      <w:jc w:val="right"/>
    </w:pPr>
    <w:rPr>
      <w:rFonts w:cs="Arial"/>
      <w:b/>
      <w:i/>
      <w:color w:val="034EA2"/>
      <w:sz w:val="32"/>
      <w:szCs w:val="40"/>
    </w:rPr>
  </w:style>
  <w:style w:type="paragraph" w:customStyle="1" w:styleId="CEAFooterauthorinfo">
    <w:name w:val="CEA Footer (author info)"/>
    <w:basedOn w:val="Normlny"/>
    <w:semiHidden/>
    <w:qFormat/>
    <w:rsid w:val="00FC46B0"/>
    <w:pPr>
      <w:autoSpaceDE w:val="0"/>
      <w:autoSpaceDN w:val="0"/>
      <w:adjustRightInd w:val="0"/>
      <w:jc w:val="both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Footnote">
    <w:name w:val="CEA Footnote"/>
    <w:basedOn w:val="Normlny"/>
    <w:semiHidden/>
    <w:qFormat/>
    <w:rsid w:val="00FC46B0"/>
    <w:pPr>
      <w:spacing w:line="240" w:lineRule="auto"/>
      <w:jc w:val="both"/>
    </w:pPr>
    <w:rPr>
      <w:sz w:val="16"/>
    </w:rPr>
  </w:style>
  <w:style w:type="character" w:customStyle="1" w:styleId="CEAGraphTitle">
    <w:name w:val="CEA Graph Title"/>
    <w:uiPriority w:val="1"/>
    <w:qFormat/>
    <w:rsid w:val="00FC46B0"/>
    <w:rPr>
      <w:rFonts w:ascii="Verdana" w:hAnsi="Verdana"/>
      <w:smallCaps w:val="0"/>
      <w:sz w:val="19"/>
      <w:lang w:val="en-GB"/>
    </w:rPr>
  </w:style>
  <w:style w:type="character" w:customStyle="1" w:styleId="CEAGraphX">
    <w:name w:val="CEA Graph X"/>
    <w:uiPriority w:val="1"/>
    <w:qFormat/>
    <w:rsid w:val="00FC46B0"/>
    <w:rPr>
      <w:rFonts w:ascii="Verdana" w:hAnsi="Verdana"/>
      <w:smallCaps/>
      <w:sz w:val="19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FC46B0"/>
    <w:pPr>
      <w:ind w:left="-27"/>
      <w:jc w:val="both"/>
    </w:pPr>
    <w:rPr>
      <w:b/>
      <w:color w:val="034EA2"/>
      <w:sz w:val="32"/>
      <w:szCs w:val="32"/>
    </w:rPr>
  </w:style>
  <w:style w:type="paragraph" w:customStyle="1" w:styleId="CEAPressReleaseSubtitle">
    <w:name w:val="CEA Press Release Subtitle"/>
    <w:basedOn w:val="Normlny"/>
    <w:semiHidden/>
    <w:qFormat/>
    <w:rsid w:val="00FC46B0"/>
    <w:pPr>
      <w:jc w:val="both"/>
    </w:pPr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FC46B0"/>
    <w:pPr>
      <w:autoSpaceDE w:val="0"/>
      <w:autoSpaceDN w:val="0"/>
      <w:adjustRightInd w:val="0"/>
      <w:spacing w:line="240" w:lineRule="auto"/>
      <w:jc w:val="both"/>
    </w:pPr>
    <w:rPr>
      <w:rFonts w:ascii="Frutiger LT Com 45 Light" w:hAnsi="Frutiger LT Com 45 Light"/>
      <w:b/>
      <w:color w:val="034EA2"/>
      <w:sz w:val="36"/>
      <w:szCs w:val="36"/>
    </w:rPr>
  </w:style>
  <w:style w:type="character" w:styleId="Hypertextovprepojenie">
    <w:name w:val="Hyperlink"/>
    <w:basedOn w:val="Predvolenpsmoodseku"/>
    <w:uiPriority w:val="99"/>
    <w:unhideWhenUsed/>
    <w:rsid w:val="003D4223"/>
    <w:rPr>
      <w:color w:val="0000FF" w:themeColor="hyperlink"/>
      <w:u w:val="single"/>
    </w:rPr>
  </w:style>
  <w:style w:type="paragraph" w:customStyle="1" w:styleId="Default">
    <w:name w:val="Default"/>
    <w:rsid w:val="003D42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character" w:customStyle="1" w:styleId="CEABullet-Level1Char">
    <w:name w:val="CEA Bullet - Level 1 Char"/>
    <w:link w:val="CEABullet-Level1"/>
    <w:rsid w:val="003D4223"/>
    <w:rPr>
      <w:rFonts w:ascii="Verdana" w:eastAsia="Times New Roman" w:hAnsi="Verdana" w:cs="Frutiger LT Std 45 Light"/>
      <w:color w:val="000000"/>
      <w:sz w:val="17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2A5E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5ED9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5ED9"/>
    <w:rPr>
      <w:rFonts w:ascii="Verdana" w:eastAsia="Times New Roman" w:hAnsi="Verdana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5E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5ED9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B62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2232D8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32D8"/>
    <w:rPr>
      <w:color w:val="808080"/>
      <w:shd w:val="clear" w:color="auto" w:fill="E6E6E6"/>
    </w:rPr>
  </w:style>
  <w:style w:type="table" w:styleId="Mriekatabuky">
    <w:name w:val="Table Grid"/>
    <w:basedOn w:val="Normlnatabuka"/>
    <w:uiPriority w:val="59"/>
    <w:rsid w:val="00AC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D01BB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4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2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8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72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08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52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02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849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3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iopa.europa.eu/Publications/Reports/2017-12-20%20LTG%20Report%202017.pdf" TargetMode="External"/><Relationship Id="rId18" Type="http://schemas.openxmlformats.org/officeDocument/2006/relationships/hyperlink" Target="https://extranet.insuranceeurope.eu/Economics%20And%20Finance%20Committee/PublishedDocuments/ECO-SLV-18-138.pdf" TargetMode="External"/><Relationship Id="rId26" Type="http://schemas.openxmlformats.org/officeDocument/2006/relationships/hyperlink" Target="https://eiopa.europa.eu/Publications/Comments/IE_31.10.2017.pdf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eiopa.europa.eu/Publications/Opinions/2017-12-20%20EIOPA-BoS-17-366_Internal_model_DVA_Opinion.pdf" TargetMode="External"/><Relationship Id="rId34" Type="http://schemas.openxmlformats.org/officeDocument/2006/relationships/hyperlink" Target="https://extranet.insuranceeurope.eu/Solvency%20II%20Working%20Group/PublishedDocuments/ECO-SLV-19-022.pdf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esrb.europa.eu/pub/pdf/reports/esrb.reports170817_regulatoryriskfreeyieltcurveproperties.en.pdf" TargetMode="External"/><Relationship Id="rId17" Type="http://schemas.openxmlformats.org/officeDocument/2006/relationships/hyperlink" Target="https://eiopa.europa.eu/Publications/Comments/Insurance%20Europe_01_03_18.pdf" TargetMode="External"/><Relationship Id="rId25" Type="http://schemas.openxmlformats.org/officeDocument/2006/relationships/hyperlink" Target="https://eiopa.europa.eu/Publications/Comments/Insurance%20Europe_01_03_18.pdf" TargetMode="External"/><Relationship Id="rId33" Type="http://schemas.openxmlformats.org/officeDocument/2006/relationships/hyperlink" Target="https://eiopa.europa.eu/Publications/Reports/Report%20on%20Article%20242%20COM%20Request_FINAL%2014%20Dec%202018.pdf" TargetMode="External"/><Relationship Id="rId38" Type="http://schemas.openxmlformats.org/officeDocument/2006/relationships/hyperlink" Target="https://www.insuranceeurope.eu/sites/default/files/attachments/Response%20to%20consultation%20on%20removal%20of%20mechanistic%20references%20to%20credit%20ratings%20in%20ESA%20guidelines%20and%20recommendations.pdf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iopa.europa.eu/Publications/Reports/2018-12-18%20_LTG%20AnnualReport2018.pdf" TargetMode="External"/><Relationship Id="rId20" Type="http://schemas.openxmlformats.org/officeDocument/2006/relationships/hyperlink" Target="https://extranet.insuranceeurope.eu/Solvency%20II%20Working%20Group/PublishedDocuments/ECO-SLV-18-231.pdf" TargetMode="External"/><Relationship Id="rId29" Type="http://schemas.openxmlformats.org/officeDocument/2006/relationships/hyperlink" Target="https://eiopa.europa.eu/Publications/Opinions/EIOPA-BoS-17-148_Opinion_on_recovery_and_resolution_for_%28re%29insurers.pdf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sites/info/files/business_economy_euro/banking_and_finance/documents/190211-request-eiopa-technical-advice-review-solvency-2.pdf" TargetMode="External"/><Relationship Id="rId24" Type="http://schemas.openxmlformats.org/officeDocument/2006/relationships/hyperlink" Target="https://eiopa.europa.eu/Publications/Comments/IE_31.10.2017.pdf" TargetMode="External"/><Relationship Id="rId32" Type="http://schemas.openxmlformats.org/officeDocument/2006/relationships/hyperlink" Target="https://extranet.insuranceeurope.eu/ESAs%20Review%20Project%20Group/PublishedDocuments/ECO-ESA-19-011.pdf" TargetMode="External"/><Relationship Id="rId37" Type="http://schemas.openxmlformats.org/officeDocument/2006/relationships/hyperlink" Target="https://extranet.insuranceeurope.eu/Solvency%20II%20Working%20Group/PublishedDocuments/ECO-SLV-18-181.pdf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iopa.europa.eu/Publications/Reports/2017-12-20%20LTG%20Report%202017.pdf" TargetMode="External"/><Relationship Id="rId23" Type="http://schemas.openxmlformats.org/officeDocument/2006/relationships/hyperlink" Target="https://eiopa.europa.eu/Publications/Comments/Insurance%20Europe_01_03_18.pdf" TargetMode="External"/><Relationship Id="rId28" Type="http://schemas.openxmlformats.org/officeDocument/2006/relationships/hyperlink" Target="https://www.insuranceeurope.eu/sites/default/files/attachments/Response%20to%20EIOPA%20consultation%20on%20potential%20harmonisation%20of%20recovery%20and%20resolution%20frameworks%20for%20insurers.pdf" TargetMode="External"/><Relationship Id="rId36" Type="http://schemas.openxmlformats.org/officeDocument/2006/relationships/hyperlink" Target="https://extranet.insuranceeurope.eu/Solvency%20II%20Working%20Group/PublishedDocuments/ECO-SLV-19-014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suranceeurope.eu/sites/default/files/attachments/Comments%20on%20amendments%20to%20Solvency%20II%20Delegated%20Regulation_0.pdf" TargetMode="External"/><Relationship Id="rId31" Type="http://schemas.openxmlformats.org/officeDocument/2006/relationships/hyperlink" Target="https://eiopa.europa.eu/Publications/Opinions/2018-12-21%20OpinionNon-LifeCross-BorderInsuranceBusinessSigned.pdf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iopa.europa.eu/Publications/Reports/2018-12-18%20_LTG%20AnnualReport2018.pdf" TargetMode="External"/><Relationship Id="rId22" Type="http://schemas.openxmlformats.org/officeDocument/2006/relationships/hyperlink" Target="https://extranet.insuranceeurope.eu/Solvency%20II%20Working%20Group/PublishedDocuments/ECO-SLV-18-112.pdf" TargetMode="External"/><Relationship Id="rId27" Type="http://schemas.openxmlformats.org/officeDocument/2006/relationships/hyperlink" Target="https://www.insuranceeurope.eu/sites/default/files/attachments/Position%20on%20EIOPA%27s%20macroprudential%20work.pdf" TargetMode="External"/><Relationship Id="rId30" Type="http://schemas.openxmlformats.org/officeDocument/2006/relationships/hyperlink" Target="https://www.insuranceeurope.eu/sites/default/files/attachments/Response%20to%20EIOPA%20discussion%20paper%20on%20resolution%20funding%20and%20national%20IGS.pdf" TargetMode="External"/><Relationship Id="rId35" Type="http://schemas.openxmlformats.org/officeDocument/2006/relationships/hyperlink" Target="https://extranet.insuranceeurope.eu/Solvency%20II%20Working%20Group/PublishedDocuments/ECO-SLV-18-041.pdf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memo xmlns="70f7eb82-310d-4963-bf1e-a4c2a37fd81c" xsi:nil="true"/>
    <Type_x0020_of_x0020_document xmlns="34d7415f-f1a4-44df-8e35-2ceaafd480dc">Background note</Type_x0020_of_x0020_document>
    <Linked_x0020_files xmlns="$ListId:PublishedDocuments;" xsi:nil="true"/>
    <ValidationComment xmlns="e092deee-a6f6-4f89-8a6c-e2a43e9fb5cf" xsi:nil="true"/>
    <Can_x0020_be_x0020_edited xmlns="$ListId:PublishedDocuments;">false</Can_x0020_be_x0020_edited>
    <Deadline xmlns="2ad614c7-900c-4770-94a0-e04fed16376c" xsi:nil="true"/>
    <AllowComments xmlns="e092deee-a6f6-4f89-8a6c-e2a43e9fb5cf">false</AllowComments>
    <Validated xmlns="e092deee-a6f6-4f89-8a6c-e2a43e9fb5cf">false</Validated>
    <Uploads xmlns="2ad614c7-900c-4770-94a0-e04fed16376c">false</Uploads>
    <isAnnex xmlns="2ad614c7-900c-4770-94a0-e04fed16376c">True</isAnnex>
    <Display_x0020_validated_x0020_documents_x0020_library_x0020_button xmlns="70f7eb82-310d-4963-bf1e-a4c2a37fd81c">false</Display_x0020_validated_x0020_documents_x0020_library_x0020_butt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C6789F4E763D0643BCC2488D4E0D56EB" ma:contentTypeVersion="0" ma:contentTypeDescription="Published Documents Content types for Insurance Europe" ma:contentTypeScope="" ma:versionID="7746cb26ceeed01331dbcb0ea4c1c302">
  <xsd:schema xmlns:xsd="http://www.w3.org/2001/XMLSchema" xmlns:xs="http://www.w3.org/2001/XMLSchema" xmlns:p="http://schemas.microsoft.com/office/2006/metadata/properties" xmlns:ns2="e092deee-a6f6-4f89-8a6c-e2a43e9fb5cf" xmlns:ns3="$ListId:PublishedDocuments;" xmlns:ns4="34d7415f-f1a4-44df-8e35-2ceaafd480dc" xmlns:ns5="2ad614c7-900c-4770-94a0-e04fed16376c" xmlns:ns6="70f7eb82-310d-4963-bf1e-a4c2a37fd81c" targetNamespace="http://schemas.microsoft.com/office/2006/metadata/properties" ma:root="true" ma:fieldsID="0da32414995eea309c7f1ab83f960137" ns2:_="" ns3:_="" ns4:_="" ns5:_="" ns6:_="">
    <xsd:import namespace="e092deee-a6f6-4f89-8a6c-e2a43e9fb5cf"/>
    <xsd:import namespace="$ListId:PublishedDocuments;"/>
    <xsd:import namespace="34d7415f-f1a4-44df-8e35-2ceaafd480dc"/>
    <xsd:import namespace="2ad614c7-900c-4770-94a0-e04fed16376c"/>
    <xsd:import namespace="70f7eb82-310d-4963-bf1e-a4c2a37fd81c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3:Can_x0020_be_x0020_edited" minOccurs="0"/>
                <xsd:element ref="ns3:Linked_x0020_files" minOccurs="0"/>
                <xsd:element ref="ns4:Type_x0020_of_x0020_document" minOccurs="0"/>
                <xsd:element ref="ns5:Deadline" minOccurs="0"/>
                <xsd:element ref="ns6:Type_x0020_of_x0020_memo" minOccurs="0"/>
                <xsd:element ref="ns6:Display_x0020_validated_x0020_documents_x0020_library_x0020_button" minOccurs="0"/>
                <xsd:element ref="ns5:isAnnex" minOccurs="0"/>
                <xsd:element ref="ns5:Uplo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deee-a6f6-4f89-8a6c-e2a43e9fb5cf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>
      <xsd:simpleType>
        <xsd:restriction base="dms:Boolean"/>
      </xsd:simpleType>
    </xsd:element>
    <xsd:element name="Validated" ma:index="9" nillable="true" ma:displayName="Validated" ma:default="0" ma:internalName="Validated">
      <xsd:simpleType>
        <xsd:restriction base="dms:Boolean"/>
      </xsd:simpleType>
    </xsd:element>
    <xsd:element name="ValidationComment" ma:index="10" nillable="true" ma:displayName="ValidationComment" ma:internalName="Validation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PublishedDocuments;" elementFormDefault="qualified">
    <xsd:import namespace="http://schemas.microsoft.com/office/2006/documentManagement/types"/>
    <xsd:import namespace="http://schemas.microsoft.com/office/infopath/2007/PartnerControls"/>
    <xsd:element name="Can_x0020_be_x0020_edited" ma:index="11" nillable="true" ma:displayName="Can be edited" ma:default="0" ma:internalName="Can_x0020_be_x0020_edited">
      <xsd:simpleType>
        <xsd:restriction base="dms:Boolean"/>
      </xsd:simpleType>
    </xsd:element>
    <xsd:element name="Linked_x0020_files" ma:index="12" nillable="true" ma:displayName="Linked files" ma:internalName="Linked_x0020_fil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415f-f1a4-44df-8e35-2ceaafd480dc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13" nillable="true" ma:displayName="Type of document" ma:format="Dropdown" ma:internalName="Type_x0020_of_x0020_document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614c7-900c-4770-94a0-e04fed16376c" elementFormDefault="qualified">
    <xsd:import namespace="http://schemas.microsoft.com/office/2006/documentManagement/types"/>
    <xsd:import namespace="http://schemas.microsoft.com/office/infopath/2007/PartnerControls"/>
    <xsd:element name="Deadline" ma:index="14" nillable="true" ma:displayName="Deadline" ma:format="DateTime" ma:internalName="Deadline">
      <xsd:simpleType>
        <xsd:restriction base="dms:DateTime"/>
      </xsd:simpleType>
    </xsd:element>
    <xsd:element name="isAnnex" ma:index="17" nillable="true" ma:displayName="isAnnex" ma:internalName="isAnnex">
      <xsd:simpleType>
        <xsd:restriction base="dms:Text"/>
      </xsd:simpleType>
    </xsd:element>
    <xsd:element name="Uploads" ma:index="18" nillable="true" ma:displayName="Uploads" ma:internalName="Upload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7eb82-310d-4963-bf1e-a4c2a37fd81c" elementFormDefault="qualified">
    <xsd:import namespace="http://schemas.microsoft.com/office/2006/documentManagement/types"/>
    <xsd:import namespace="http://schemas.microsoft.com/office/infopath/2007/PartnerControls"/>
    <xsd:element name="Type_x0020_of_x0020_memo" ma:index="15" nillable="true" ma:displayName="Type of memo" ma:format="Dropdown" ma:internalName="Type_x0020_of_x0020_memo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6" nillable="true" ma:displayName="Display validated documents library button" ma:default="0" ma:internalName="Display_x0020_validated_x0020_documents_x0020_library_x0020_butt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90E7-092C-4A7B-849D-3A39D285B5D8}">
  <ds:schemaRefs>
    <ds:schemaRef ds:uri="http://purl.org/dc/terms/"/>
    <ds:schemaRef ds:uri="$ListId:PublishedDocuments;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34d7415f-f1a4-44df-8e35-2ceaafd480dc"/>
    <ds:schemaRef ds:uri="e092deee-a6f6-4f89-8a6c-e2a43e9fb5cf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0f7eb82-310d-4963-bf1e-a4c2a37fd81c"/>
    <ds:schemaRef ds:uri="2ad614c7-900c-4770-94a0-e04fed16376c"/>
  </ds:schemaRefs>
</ds:datastoreItem>
</file>

<file path=customXml/itemProps2.xml><?xml version="1.0" encoding="utf-8"?>
<ds:datastoreItem xmlns:ds="http://schemas.openxmlformats.org/officeDocument/2006/customXml" ds:itemID="{78A98825-1EF5-4763-9D2E-204540320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deee-a6f6-4f89-8a6c-e2a43e9fb5cf"/>
    <ds:schemaRef ds:uri="$ListId:PublishedDocuments;"/>
    <ds:schemaRef ds:uri="34d7415f-f1a4-44df-8e35-2ceaafd480dc"/>
    <ds:schemaRef ds:uri="2ad614c7-900c-4770-94a0-e04fed16376c"/>
    <ds:schemaRef ds:uri="70f7eb82-310d-4963-bf1e-a4c2a37fd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BD751-7983-4D95-A4CA-1F6684E24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58F75-68C2-468C-AD93-BEA64EBF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3037</Words>
  <Characters>17312</Characters>
  <Application>Microsoft Office Word</Application>
  <DocSecurity>4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Preliminary views on Solvency II 2020 review</vt:lpstr>
      <vt:lpstr>Solvency II - 2020 review – Call for Advice</vt:lpstr>
    </vt:vector>
  </TitlesOfParts>
  <Company>Insurance Europe</Company>
  <LinksUpToDate>false</LinksUpToDate>
  <CharactersWithSpaces>20309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views on Solvency II 2020 review</dc:title>
  <dc:creator>Insurance Europe</dc:creator>
  <cp:lastModifiedBy>Bachníček Jozef</cp:lastModifiedBy>
  <cp:revision>2</cp:revision>
  <cp:lastPrinted>2019-02-15T08:38:00Z</cp:lastPrinted>
  <dcterms:created xsi:type="dcterms:W3CDTF">2019-02-19T12:20:00Z</dcterms:created>
  <dcterms:modified xsi:type="dcterms:W3CDTF">2019-02-19T12:20:00Z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0x010100C6789F4E763D0643BCC2488D4E0D56EB</vt:lpwstr>
  </property>
</Properties>
</file>