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74B" w:rsidRPr="00847C53" w:rsidRDefault="00A3474B" w:rsidP="00A3474B">
      <w:pPr>
        <w:spacing w:line="240" w:lineRule="auto"/>
        <w:jc w:val="center"/>
        <w:rPr>
          <w:b/>
          <w:sz w:val="18"/>
          <w:szCs w:val="18"/>
        </w:rPr>
      </w:pPr>
      <w:r w:rsidRPr="00847C53">
        <w:rPr>
          <w:b/>
          <w:sz w:val="18"/>
          <w:szCs w:val="18"/>
        </w:rPr>
        <w:t xml:space="preserve">Insurance Europe’s comments </w:t>
      </w:r>
    </w:p>
    <w:p w:rsidR="008923E6" w:rsidRPr="00847C53" w:rsidRDefault="008923E6" w:rsidP="00A3474B">
      <w:pPr>
        <w:spacing w:line="240" w:lineRule="auto"/>
        <w:jc w:val="center"/>
        <w:rPr>
          <w:b/>
          <w:sz w:val="18"/>
          <w:szCs w:val="18"/>
        </w:rPr>
      </w:pPr>
    </w:p>
    <w:p w:rsidR="00A3474B" w:rsidRPr="00847C53" w:rsidRDefault="008923E6" w:rsidP="008923E6">
      <w:pPr>
        <w:spacing w:line="240" w:lineRule="auto"/>
        <w:jc w:val="center"/>
        <w:rPr>
          <w:b/>
          <w:sz w:val="18"/>
          <w:szCs w:val="18"/>
        </w:rPr>
      </w:pPr>
      <w:proofErr w:type="gramStart"/>
      <w:r w:rsidRPr="00847C53">
        <w:rPr>
          <w:b/>
          <w:sz w:val="18"/>
          <w:szCs w:val="18"/>
        </w:rPr>
        <w:t>on</w:t>
      </w:r>
      <w:proofErr w:type="gramEnd"/>
      <w:r w:rsidRPr="00847C53">
        <w:rPr>
          <w:b/>
          <w:sz w:val="18"/>
          <w:szCs w:val="18"/>
        </w:rPr>
        <w:t xml:space="preserve"> </w:t>
      </w:r>
      <w:r w:rsidR="00A3474B" w:rsidRPr="00847C53">
        <w:rPr>
          <w:b/>
          <w:sz w:val="18"/>
          <w:szCs w:val="18"/>
        </w:rPr>
        <w:t>the amendments (version 15 and 20 February 2013) to the draft report on key information documents for investment products</w:t>
      </w:r>
    </w:p>
    <w:p w:rsidR="00A3474B" w:rsidRPr="00847C53" w:rsidRDefault="00A3474B" w:rsidP="00A3474B">
      <w:pPr>
        <w:spacing w:line="240" w:lineRule="auto"/>
        <w:jc w:val="center"/>
        <w:rPr>
          <w:b/>
          <w:sz w:val="18"/>
          <w:szCs w:val="18"/>
        </w:rPr>
      </w:pPr>
    </w:p>
    <w:p w:rsidR="008923E6" w:rsidRPr="00847C53" w:rsidRDefault="008923E6" w:rsidP="00A3474B">
      <w:pPr>
        <w:spacing w:line="240" w:lineRule="auto"/>
        <w:jc w:val="center"/>
        <w:rPr>
          <w:b/>
          <w:sz w:val="18"/>
          <w:szCs w:val="18"/>
        </w:rPr>
      </w:pPr>
      <w:r w:rsidRPr="00847C53">
        <w:rPr>
          <w:b/>
          <w:sz w:val="18"/>
          <w:szCs w:val="18"/>
        </w:rPr>
        <w:t>Committee on Economic and Monetary Affairs</w:t>
      </w:r>
    </w:p>
    <w:p w:rsidR="00A3474B" w:rsidRPr="00847C53" w:rsidRDefault="00A3474B" w:rsidP="00A3474B">
      <w:pPr>
        <w:spacing w:line="240" w:lineRule="auto"/>
        <w:jc w:val="center"/>
        <w:rPr>
          <w:b/>
          <w:sz w:val="18"/>
          <w:szCs w:val="18"/>
        </w:rPr>
      </w:pPr>
      <w:r w:rsidRPr="00847C53">
        <w:rPr>
          <w:b/>
          <w:sz w:val="18"/>
          <w:szCs w:val="18"/>
        </w:rPr>
        <w:t xml:space="preserve">Rapporteur: </w:t>
      </w:r>
      <w:proofErr w:type="spellStart"/>
      <w:r w:rsidRPr="00847C53">
        <w:rPr>
          <w:b/>
          <w:sz w:val="18"/>
          <w:szCs w:val="18"/>
        </w:rPr>
        <w:t>Pervenche</w:t>
      </w:r>
      <w:proofErr w:type="spellEnd"/>
      <w:r w:rsidRPr="00847C53">
        <w:rPr>
          <w:b/>
          <w:sz w:val="18"/>
          <w:szCs w:val="18"/>
        </w:rPr>
        <w:t xml:space="preserve"> </w:t>
      </w:r>
      <w:proofErr w:type="spellStart"/>
      <w:r w:rsidRPr="00847C53">
        <w:rPr>
          <w:b/>
          <w:sz w:val="18"/>
          <w:szCs w:val="18"/>
        </w:rPr>
        <w:t>Berès</w:t>
      </w:r>
      <w:proofErr w:type="spellEnd"/>
    </w:p>
    <w:p w:rsidR="00A3474B" w:rsidRDefault="00A3474B" w:rsidP="00A3474B">
      <w:pPr>
        <w:tabs>
          <w:tab w:val="left" w:pos="4365"/>
        </w:tabs>
        <w:rPr>
          <w:szCs w:val="17"/>
        </w:rPr>
      </w:pPr>
      <w:r>
        <w:rPr>
          <w:szCs w:val="17"/>
        </w:rPr>
        <w:tab/>
      </w:r>
    </w:p>
    <w:p w:rsidR="00482FAE" w:rsidRDefault="00482FAE" w:rsidP="00A3474B">
      <w:pPr>
        <w:rPr>
          <w:szCs w:val="17"/>
        </w:rPr>
      </w:pPr>
      <w:r>
        <w:rPr>
          <w:szCs w:val="17"/>
        </w:rPr>
        <w:t>[</w:t>
      </w:r>
      <w:r w:rsidRPr="00482FAE">
        <w:rPr>
          <w:b/>
          <w:i/>
          <w:szCs w:val="17"/>
          <w:highlight w:val="yellow"/>
        </w:rPr>
        <w:t>Note: some textual changes have been made to the cover note. However, the note may need to be changed if the taskforce d</w:t>
      </w:r>
      <w:r>
        <w:rPr>
          <w:b/>
          <w:i/>
          <w:szCs w:val="17"/>
          <w:highlight w:val="yellow"/>
        </w:rPr>
        <w:t>ecides</w:t>
      </w:r>
      <w:r w:rsidRPr="00482FAE">
        <w:rPr>
          <w:b/>
          <w:i/>
          <w:szCs w:val="17"/>
          <w:highlight w:val="yellow"/>
        </w:rPr>
        <w:t xml:space="preserve"> to </w:t>
      </w:r>
      <w:r>
        <w:rPr>
          <w:b/>
          <w:i/>
          <w:szCs w:val="17"/>
          <w:highlight w:val="yellow"/>
        </w:rPr>
        <w:t>only focus on the key issues at this stage</w:t>
      </w:r>
      <w:r w:rsidRPr="00482FAE">
        <w:rPr>
          <w:b/>
          <w:i/>
          <w:szCs w:val="17"/>
          <w:highlight w:val="yellow"/>
        </w:rPr>
        <w:t>.</w:t>
      </w:r>
      <w:r>
        <w:rPr>
          <w:szCs w:val="17"/>
        </w:rPr>
        <w:t>]</w:t>
      </w:r>
    </w:p>
    <w:p w:rsidR="00EB4869" w:rsidRDefault="00081D5F" w:rsidP="00A3474B">
      <w:pPr>
        <w:rPr>
          <w:szCs w:val="17"/>
        </w:rPr>
      </w:pPr>
      <w:r>
        <w:rPr>
          <w:szCs w:val="17"/>
        </w:rPr>
        <w:t xml:space="preserve">Insurance Europe welcomes the opportunity to share its concerns about the amendments to the ECON draft report. </w:t>
      </w:r>
      <w:r w:rsidR="005508D3">
        <w:rPr>
          <w:szCs w:val="17"/>
        </w:rPr>
        <w:t xml:space="preserve">The key concerns for the insurance industry are set out below, a more detailed commentary can be found in the annex which also includes other concerns </w:t>
      </w:r>
      <w:r w:rsidR="00482FAE">
        <w:rPr>
          <w:szCs w:val="17"/>
        </w:rPr>
        <w:t>that</w:t>
      </w:r>
      <w:r w:rsidR="00161E03">
        <w:rPr>
          <w:szCs w:val="17"/>
        </w:rPr>
        <w:t xml:space="preserve"> are not specific to the insurance industry</w:t>
      </w:r>
      <w:r w:rsidR="005508D3">
        <w:rPr>
          <w:szCs w:val="17"/>
        </w:rPr>
        <w:t>.</w:t>
      </w:r>
    </w:p>
    <w:p w:rsidR="005508D3" w:rsidRPr="005508D3" w:rsidRDefault="005508D3" w:rsidP="005508D3">
      <w:pPr>
        <w:pStyle w:val="CEABullet-Level1"/>
        <w:numPr>
          <w:ilvl w:val="0"/>
          <w:numId w:val="0"/>
        </w:numPr>
        <w:ind w:left="720"/>
        <w:rPr>
          <w:b/>
          <w:lang w:val="en-GB"/>
        </w:rPr>
      </w:pPr>
    </w:p>
    <w:p w:rsidR="009D1BCD" w:rsidRPr="00B67EF0" w:rsidRDefault="00AD160B" w:rsidP="009D1BCD">
      <w:pPr>
        <w:pStyle w:val="CEABullet-Level1"/>
        <w:numPr>
          <w:ilvl w:val="0"/>
          <w:numId w:val="37"/>
        </w:numPr>
        <w:ind w:left="426" w:hanging="426"/>
        <w:rPr>
          <w:b/>
          <w:lang w:val="en-GB"/>
        </w:rPr>
      </w:pPr>
      <w:r>
        <w:rPr>
          <w:b/>
          <w:lang w:val="en-GB"/>
        </w:rPr>
        <w:t>The KID must be tailored to insurance products</w:t>
      </w:r>
    </w:p>
    <w:p w:rsidR="009D1BCD" w:rsidRDefault="009D1BCD" w:rsidP="009D1BCD">
      <w:pPr>
        <w:pStyle w:val="ListParagraph"/>
        <w:ind w:left="426"/>
        <w:rPr>
          <w:szCs w:val="17"/>
        </w:rPr>
      </w:pPr>
      <w:r w:rsidRPr="006E300F">
        <w:rPr>
          <w:szCs w:val="17"/>
        </w:rPr>
        <w:t xml:space="preserve">Insurance Europe welcomes amendments recognising that </w:t>
      </w:r>
      <w:r>
        <w:rPr>
          <w:szCs w:val="17"/>
        </w:rPr>
        <w:t>consumers</w:t>
      </w:r>
      <w:r w:rsidRPr="006E300F">
        <w:rPr>
          <w:szCs w:val="17"/>
        </w:rPr>
        <w:t xml:space="preserve"> can only adequately compare products across financial sectors if certain insurance specific features are disclosed at the pre-contractual stage. The KID</w:t>
      </w:r>
      <w:r>
        <w:rPr>
          <w:szCs w:val="17"/>
        </w:rPr>
        <w:t>,</w:t>
      </w:r>
      <w:r w:rsidRPr="006E300F">
        <w:rPr>
          <w:szCs w:val="17"/>
        </w:rPr>
        <w:t xml:space="preserve"> as proposed by the </w:t>
      </w:r>
      <w:r w:rsidR="00482FAE">
        <w:rPr>
          <w:szCs w:val="17"/>
        </w:rPr>
        <w:t>European Commission</w:t>
      </w:r>
      <w:r>
        <w:rPr>
          <w:szCs w:val="17"/>
        </w:rPr>
        <w:t>,</w:t>
      </w:r>
      <w:r w:rsidRPr="006E300F">
        <w:rPr>
          <w:szCs w:val="17"/>
        </w:rPr>
        <w:t xml:space="preserve"> </w:t>
      </w:r>
      <w:r w:rsidR="00AD160B">
        <w:rPr>
          <w:szCs w:val="17"/>
        </w:rPr>
        <w:t>does not include any insurance specific features and can thus not be applied at insurance product level</w:t>
      </w:r>
      <w:r>
        <w:rPr>
          <w:szCs w:val="17"/>
        </w:rPr>
        <w:t xml:space="preserve">. </w:t>
      </w:r>
    </w:p>
    <w:p w:rsidR="009D1BCD" w:rsidRDefault="009D1BCD" w:rsidP="009D1BCD">
      <w:pPr>
        <w:pStyle w:val="ListParagraph"/>
        <w:ind w:left="426"/>
        <w:rPr>
          <w:szCs w:val="17"/>
        </w:rPr>
      </w:pPr>
    </w:p>
    <w:p w:rsidR="005508D3" w:rsidRPr="005508D3" w:rsidRDefault="00B67EF0" w:rsidP="00FE585D">
      <w:pPr>
        <w:pStyle w:val="CEABullet-Level1"/>
        <w:numPr>
          <w:ilvl w:val="0"/>
          <w:numId w:val="37"/>
        </w:numPr>
        <w:ind w:left="426" w:hanging="426"/>
        <w:rPr>
          <w:b/>
          <w:lang w:val="en-GB"/>
        </w:rPr>
      </w:pPr>
      <w:r>
        <w:rPr>
          <w:b/>
          <w:lang w:val="en-GB"/>
        </w:rPr>
        <w:t>Pensions and life insurance products where the risk is not borne by the policyholder, should be excluded from the scope of PRIPs</w:t>
      </w:r>
    </w:p>
    <w:p w:rsidR="005508D3" w:rsidRDefault="005508D3" w:rsidP="00FE585D">
      <w:pPr>
        <w:pStyle w:val="CEABullet-Level1"/>
        <w:numPr>
          <w:ilvl w:val="0"/>
          <w:numId w:val="0"/>
        </w:numPr>
        <w:ind w:left="426"/>
        <w:rPr>
          <w:szCs w:val="17"/>
          <w:lang w:val="en-GB"/>
        </w:rPr>
      </w:pPr>
      <w:r w:rsidRPr="005508D3">
        <w:rPr>
          <w:szCs w:val="17"/>
          <w:lang w:val="en-GB"/>
        </w:rPr>
        <w:t xml:space="preserve">Insurance Europe strongly believes that expanding PRIPs’ scope beyond packaged products will render it impossible to develop a meaningful KID and welcomes the amendments recognising this concern. The PRIPs regulation should therefore not include non-packaged </w:t>
      </w:r>
      <w:r w:rsidR="00B67EF0">
        <w:rPr>
          <w:szCs w:val="17"/>
          <w:lang w:val="en-GB"/>
        </w:rPr>
        <w:t xml:space="preserve">non-investment </w:t>
      </w:r>
      <w:r w:rsidRPr="005508D3">
        <w:rPr>
          <w:szCs w:val="17"/>
          <w:lang w:val="en-GB"/>
        </w:rPr>
        <w:t>products such as (</w:t>
      </w:r>
      <w:proofErr w:type="spellStart"/>
      <w:r w:rsidRPr="005508D3">
        <w:rPr>
          <w:szCs w:val="17"/>
          <w:lang w:val="en-GB"/>
        </w:rPr>
        <w:t>i</w:t>
      </w:r>
      <w:proofErr w:type="spellEnd"/>
      <w:r w:rsidRPr="005508D3">
        <w:rPr>
          <w:szCs w:val="17"/>
          <w:lang w:val="en-GB"/>
        </w:rPr>
        <w:t xml:space="preserve">) life insurance products where the risk is not borne by the policyholder and (ii) pension products which differ from other investments as they </w:t>
      </w:r>
      <w:r w:rsidR="008A39CB">
        <w:rPr>
          <w:szCs w:val="17"/>
          <w:lang w:val="en-GB"/>
        </w:rPr>
        <w:t xml:space="preserve">provide </w:t>
      </w:r>
      <w:r w:rsidR="00B67EF0">
        <w:rPr>
          <w:szCs w:val="17"/>
          <w:lang w:val="en-GB"/>
        </w:rPr>
        <w:t xml:space="preserve">complementary pension benefits </w:t>
      </w:r>
      <w:r w:rsidR="008A39CB">
        <w:rPr>
          <w:szCs w:val="17"/>
          <w:lang w:val="en-GB"/>
        </w:rPr>
        <w:t xml:space="preserve">and coverage </w:t>
      </w:r>
      <w:r w:rsidRPr="005508D3">
        <w:rPr>
          <w:szCs w:val="17"/>
          <w:lang w:val="en-GB"/>
        </w:rPr>
        <w:t>against the longevity risk rather than providing an investment</w:t>
      </w:r>
      <w:r w:rsidR="00AB3E0A">
        <w:rPr>
          <w:szCs w:val="17"/>
          <w:lang w:val="en-GB"/>
        </w:rPr>
        <w:t>,</w:t>
      </w:r>
      <w:r w:rsidRPr="005508D3">
        <w:rPr>
          <w:szCs w:val="17"/>
          <w:lang w:val="en-GB"/>
        </w:rPr>
        <w:t xml:space="preserve"> and they offer limited to no access during the accumulation phase. </w:t>
      </w:r>
    </w:p>
    <w:p w:rsidR="009D1BCD" w:rsidRDefault="009D1BCD" w:rsidP="009D1BCD">
      <w:pPr>
        <w:pStyle w:val="CEABullet-Level1"/>
        <w:numPr>
          <w:ilvl w:val="0"/>
          <w:numId w:val="0"/>
        </w:numPr>
        <w:ind w:left="720" w:hanging="360"/>
        <w:rPr>
          <w:szCs w:val="17"/>
          <w:lang w:val="en-GB"/>
        </w:rPr>
      </w:pPr>
    </w:p>
    <w:p w:rsidR="009D1BCD" w:rsidRDefault="009D1BCD" w:rsidP="009D1BCD">
      <w:pPr>
        <w:pStyle w:val="CEABullet-Level1"/>
        <w:numPr>
          <w:ilvl w:val="0"/>
          <w:numId w:val="37"/>
        </w:numPr>
        <w:ind w:left="426" w:hanging="426"/>
        <w:rPr>
          <w:b/>
          <w:lang w:val="en-GB"/>
        </w:rPr>
      </w:pPr>
      <w:r w:rsidRPr="005508D3">
        <w:rPr>
          <w:b/>
          <w:lang w:val="en-GB"/>
        </w:rPr>
        <w:t xml:space="preserve">The </w:t>
      </w:r>
      <w:r w:rsidR="00652C50">
        <w:rPr>
          <w:b/>
          <w:lang w:val="en-GB"/>
        </w:rPr>
        <w:t>aim of the regulation is to produce standardised pre-contractual non-personalised product information</w:t>
      </w:r>
    </w:p>
    <w:p w:rsidR="009D1BCD" w:rsidRPr="00B67EF0" w:rsidRDefault="009D1BCD" w:rsidP="00B67EF0">
      <w:pPr>
        <w:pStyle w:val="CEABullet-Level1"/>
        <w:numPr>
          <w:ilvl w:val="0"/>
          <w:numId w:val="0"/>
        </w:numPr>
        <w:ind w:left="426" w:hanging="426"/>
        <w:rPr>
          <w:szCs w:val="17"/>
          <w:lang w:val="en-GB"/>
        </w:rPr>
      </w:pPr>
      <w:r>
        <w:rPr>
          <w:szCs w:val="17"/>
          <w:lang w:val="en-GB"/>
        </w:rPr>
        <w:t xml:space="preserve">       </w:t>
      </w:r>
      <w:r w:rsidRPr="005508D3">
        <w:rPr>
          <w:szCs w:val="17"/>
          <w:lang w:val="en-GB"/>
        </w:rPr>
        <w:t xml:space="preserve">Insurance Europe wishes to underline that any discussion regarding the PRIPs regulation </w:t>
      </w:r>
      <w:r w:rsidR="00652C50">
        <w:rPr>
          <w:szCs w:val="17"/>
          <w:lang w:val="en-GB"/>
        </w:rPr>
        <w:t>must be</w:t>
      </w:r>
      <w:r w:rsidRPr="005508D3">
        <w:rPr>
          <w:szCs w:val="17"/>
          <w:lang w:val="en-GB"/>
        </w:rPr>
        <w:t xml:space="preserve"> limited to providing </w:t>
      </w:r>
      <w:r w:rsidRPr="00B67EF0">
        <w:rPr>
          <w:szCs w:val="17"/>
          <w:lang w:val="en-GB"/>
        </w:rPr>
        <w:t>standard</w:t>
      </w:r>
      <w:r w:rsidR="00B67EF0" w:rsidRPr="00B67EF0">
        <w:rPr>
          <w:szCs w:val="17"/>
          <w:lang w:val="en-GB"/>
        </w:rPr>
        <w:t>ised</w:t>
      </w:r>
      <w:r w:rsidR="00B67EF0">
        <w:rPr>
          <w:szCs w:val="17"/>
          <w:lang w:val="en-GB"/>
        </w:rPr>
        <w:t xml:space="preserve"> </w:t>
      </w:r>
      <w:r w:rsidR="00652C50">
        <w:rPr>
          <w:szCs w:val="17"/>
          <w:lang w:val="en-GB"/>
        </w:rPr>
        <w:t xml:space="preserve">non-personalised </w:t>
      </w:r>
      <w:r w:rsidRPr="005508D3">
        <w:rPr>
          <w:szCs w:val="17"/>
          <w:lang w:val="en-GB"/>
        </w:rPr>
        <w:t>product information at the pre-contractual stage</w:t>
      </w:r>
      <w:r w:rsidR="00652C50">
        <w:rPr>
          <w:szCs w:val="17"/>
          <w:lang w:val="en-GB"/>
        </w:rPr>
        <w:t xml:space="preserve"> as per the </w:t>
      </w:r>
      <w:r w:rsidR="00482FAE">
        <w:rPr>
          <w:szCs w:val="17"/>
          <w:lang w:val="en-GB"/>
        </w:rPr>
        <w:t>aim of the EC</w:t>
      </w:r>
      <w:r w:rsidRPr="005508D3">
        <w:rPr>
          <w:szCs w:val="17"/>
          <w:lang w:val="en-GB"/>
        </w:rPr>
        <w:t xml:space="preserve">. </w:t>
      </w:r>
      <w:r w:rsidRPr="009D1BCD">
        <w:rPr>
          <w:szCs w:val="17"/>
          <w:lang w:val="en-GB"/>
        </w:rPr>
        <w:t xml:space="preserve">Including other rules would obstruct PRIP’s goal by entangling </w:t>
      </w:r>
      <w:r w:rsidRPr="00B67EF0">
        <w:rPr>
          <w:szCs w:val="17"/>
          <w:lang w:val="en-GB"/>
        </w:rPr>
        <w:t>standard</w:t>
      </w:r>
      <w:r w:rsidR="00B67EF0" w:rsidRPr="00B67EF0">
        <w:rPr>
          <w:szCs w:val="17"/>
          <w:lang w:val="en-GB"/>
        </w:rPr>
        <w:t>ised</w:t>
      </w:r>
      <w:r w:rsidRPr="009D1BCD">
        <w:rPr>
          <w:szCs w:val="17"/>
          <w:lang w:val="en-GB"/>
        </w:rPr>
        <w:t xml:space="preserve"> pre-contractual </w:t>
      </w:r>
      <w:r w:rsidR="00652C50">
        <w:rPr>
          <w:szCs w:val="17"/>
          <w:lang w:val="en-GB"/>
        </w:rPr>
        <w:t xml:space="preserve">non-personalised </w:t>
      </w:r>
      <w:r w:rsidRPr="009D1BCD">
        <w:rPr>
          <w:szCs w:val="17"/>
          <w:lang w:val="en-GB"/>
        </w:rPr>
        <w:t xml:space="preserve">product information with other </w:t>
      </w:r>
      <w:r w:rsidR="00652C50">
        <w:rPr>
          <w:szCs w:val="17"/>
          <w:lang w:val="en-GB"/>
        </w:rPr>
        <w:t>types of information or issues</w:t>
      </w:r>
      <w:r w:rsidRPr="009D1BCD">
        <w:rPr>
          <w:szCs w:val="17"/>
          <w:lang w:val="en-GB"/>
        </w:rPr>
        <w:t xml:space="preserve">. Insurance Europe therefore strongly opposes amendments </w:t>
      </w:r>
      <w:r w:rsidR="00652C50">
        <w:rPr>
          <w:szCs w:val="17"/>
          <w:lang w:val="en-GB"/>
        </w:rPr>
        <w:t>aiming to personalise information regarding</w:t>
      </w:r>
      <w:r w:rsidR="00652C50" w:rsidRPr="009D1BCD">
        <w:rPr>
          <w:szCs w:val="17"/>
          <w:lang w:val="en-GB"/>
        </w:rPr>
        <w:t xml:space="preserve"> </w:t>
      </w:r>
      <w:r w:rsidRPr="009D1BCD">
        <w:rPr>
          <w:szCs w:val="17"/>
          <w:lang w:val="en-GB"/>
        </w:rPr>
        <w:t>sales disclosure</w:t>
      </w:r>
      <w:r w:rsidR="00652C50">
        <w:rPr>
          <w:szCs w:val="17"/>
          <w:lang w:val="en-GB"/>
        </w:rPr>
        <w:t>, advic</w:t>
      </w:r>
      <w:r w:rsidRPr="009D1BCD">
        <w:rPr>
          <w:szCs w:val="17"/>
          <w:lang w:val="en-GB"/>
        </w:rPr>
        <w:t xml:space="preserve">e, product development and authorisation, and post transaction information. </w:t>
      </w:r>
      <w:r w:rsidR="00652C50">
        <w:rPr>
          <w:szCs w:val="17"/>
          <w:lang w:val="en-GB"/>
        </w:rPr>
        <w:t>Instruments</w:t>
      </w:r>
      <w:r w:rsidRPr="005508D3">
        <w:rPr>
          <w:szCs w:val="17"/>
          <w:lang w:val="en-GB"/>
        </w:rPr>
        <w:t xml:space="preserve"> such as IMD</w:t>
      </w:r>
      <w:r w:rsidR="00652C50">
        <w:rPr>
          <w:szCs w:val="17"/>
          <w:lang w:val="en-GB"/>
        </w:rPr>
        <w:t xml:space="preserve"> 2</w:t>
      </w:r>
      <w:r w:rsidRPr="005508D3">
        <w:rPr>
          <w:szCs w:val="17"/>
          <w:lang w:val="en-GB"/>
        </w:rPr>
        <w:t xml:space="preserve"> and </w:t>
      </w:r>
      <w:proofErr w:type="spellStart"/>
      <w:r w:rsidRPr="005508D3">
        <w:rPr>
          <w:szCs w:val="17"/>
          <w:lang w:val="en-GB"/>
        </w:rPr>
        <w:t>MiFID</w:t>
      </w:r>
      <w:proofErr w:type="spellEnd"/>
      <w:r w:rsidR="00652C50">
        <w:rPr>
          <w:szCs w:val="17"/>
          <w:lang w:val="en-GB"/>
        </w:rPr>
        <w:t xml:space="preserve"> 2</w:t>
      </w:r>
      <w:r w:rsidRPr="005508D3">
        <w:rPr>
          <w:szCs w:val="17"/>
          <w:lang w:val="en-GB"/>
        </w:rPr>
        <w:t xml:space="preserve"> address many of these </w:t>
      </w:r>
      <w:r w:rsidR="00652C50">
        <w:rPr>
          <w:szCs w:val="17"/>
          <w:lang w:val="en-GB"/>
        </w:rPr>
        <w:t xml:space="preserve">sales </w:t>
      </w:r>
      <w:r w:rsidRPr="005508D3">
        <w:rPr>
          <w:szCs w:val="17"/>
          <w:lang w:val="en-GB"/>
        </w:rPr>
        <w:t>issues</w:t>
      </w:r>
      <w:r w:rsidR="00652C50">
        <w:rPr>
          <w:szCs w:val="17"/>
          <w:lang w:val="en-GB"/>
        </w:rPr>
        <w:t>.</w:t>
      </w:r>
      <w:r w:rsidRPr="005508D3">
        <w:rPr>
          <w:szCs w:val="17"/>
          <w:lang w:val="en-GB"/>
        </w:rPr>
        <w:t xml:space="preserve"> Insurance Europe strongly supports the amendments recognising that any </w:t>
      </w:r>
      <w:proofErr w:type="spellStart"/>
      <w:r w:rsidRPr="005508D3">
        <w:rPr>
          <w:szCs w:val="17"/>
          <w:lang w:val="en-GB"/>
        </w:rPr>
        <w:t>non</w:t>
      </w:r>
      <w:r w:rsidR="00652C50">
        <w:rPr>
          <w:szCs w:val="17"/>
          <w:lang w:val="en-GB"/>
        </w:rPr>
        <w:t xml:space="preserve"> </w:t>
      </w:r>
      <w:r w:rsidRPr="005508D3">
        <w:rPr>
          <w:szCs w:val="17"/>
          <w:lang w:val="en-GB"/>
        </w:rPr>
        <w:t>pre-</w:t>
      </w:r>
      <w:proofErr w:type="spellEnd"/>
      <w:r w:rsidRPr="005508D3">
        <w:rPr>
          <w:szCs w:val="17"/>
          <w:lang w:val="en-GB"/>
        </w:rPr>
        <w:t>contractual</w:t>
      </w:r>
      <w:r w:rsidR="00652C50">
        <w:rPr>
          <w:szCs w:val="17"/>
          <w:lang w:val="en-GB"/>
        </w:rPr>
        <w:t>, personal</w:t>
      </w:r>
      <w:r w:rsidRPr="005508D3">
        <w:rPr>
          <w:szCs w:val="17"/>
          <w:lang w:val="en-GB"/>
        </w:rPr>
        <w:t xml:space="preserve"> and/or non-product rules should not be included in the PRIPs regulation. </w:t>
      </w:r>
    </w:p>
    <w:p w:rsidR="005508D3" w:rsidRPr="009D1BCD" w:rsidRDefault="005508D3" w:rsidP="009D1BCD">
      <w:pPr>
        <w:rPr>
          <w:szCs w:val="17"/>
        </w:rPr>
      </w:pPr>
    </w:p>
    <w:p w:rsidR="00FE585D" w:rsidRPr="00FE585D" w:rsidRDefault="00CC0DF5" w:rsidP="00FE585D">
      <w:pPr>
        <w:pStyle w:val="CEABullet-Level1"/>
        <w:numPr>
          <w:ilvl w:val="0"/>
          <w:numId w:val="37"/>
        </w:numPr>
        <w:ind w:left="426" w:hanging="426"/>
        <w:rPr>
          <w:b/>
          <w:lang w:val="en-GB"/>
        </w:rPr>
      </w:pPr>
      <w:r>
        <w:rPr>
          <w:b/>
          <w:lang w:val="en-GB"/>
        </w:rPr>
        <w:t>Consumers should not be overloaded with equivalent pre-contractual disclosures</w:t>
      </w:r>
    </w:p>
    <w:p w:rsidR="005508D3" w:rsidRDefault="005508D3" w:rsidP="00FE585D">
      <w:pPr>
        <w:pStyle w:val="CEABullet-Level1"/>
        <w:numPr>
          <w:ilvl w:val="0"/>
          <w:numId w:val="0"/>
        </w:numPr>
        <w:ind w:left="426"/>
        <w:rPr>
          <w:lang w:val="en-GB"/>
        </w:rPr>
      </w:pPr>
      <w:r w:rsidRPr="005508D3">
        <w:rPr>
          <w:lang w:val="en-GB"/>
        </w:rPr>
        <w:t xml:space="preserve">Insurance Europe welcomes amendments recognising that the overlap between equivalent pre-contractual disclosure requirements </w:t>
      </w:r>
      <w:r w:rsidR="00AB3E0A">
        <w:rPr>
          <w:lang w:val="en-GB"/>
        </w:rPr>
        <w:t>in</w:t>
      </w:r>
      <w:r w:rsidRPr="005508D3">
        <w:rPr>
          <w:lang w:val="en-GB"/>
        </w:rPr>
        <w:t xml:space="preserve"> Solvency II and PRIPs should be addressed</w:t>
      </w:r>
      <w:r w:rsidR="00AB3E0A">
        <w:rPr>
          <w:lang w:val="en-GB"/>
        </w:rPr>
        <w:t>. However,</w:t>
      </w:r>
      <w:r w:rsidRPr="005508D3">
        <w:rPr>
          <w:lang w:val="en-GB"/>
        </w:rPr>
        <w:t xml:space="preserve"> to avoid consumers being overloaded with information</w:t>
      </w:r>
      <w:r w:rsidR="00AB3E0A">
        <w:rPr>
          <w:lang w:val="en-GB"/>
        </w:rPr>
        <w:t>, product manufacturers should be able to provide all equivalent Solvency II disclosures through the KID, not only the information on risk</w:t>
      </w:r>
      <w:r w:rsidRPr="005508D3">
        <w:rPr>
          <w:lang w:val="en-GB"/>
        </w:rPr>
        <w:t>.</w:t>
      </w:r>
    </w:p>
    <w:p w:rsidR="005508D3" w:rsidRDefault="005508D3" w:rsidP="005508D3">
      <w:pPr>
        <w:pStyle w:val="CEABullet-Level1"/>
        <w:numPr>
          <w:ilvl w:val="0"/>
          <w:numId w:val="0"/>
        </w:numPr>
        <w:ind w:left="720"/>
        <w:rPr>
          <w:lang w:val="en-GB"/>
        </w:rPr>
      </w:pPr>
    </w:p>
    <w:p w:rsidR="00FE585D" w:rsidRDefault="00535EA4" w:rsidP="00FE585D">
      <w:pPr>
        <w:pStyle w:val="CEABullet-Level1"/>
        <w:numPr>
          <w:ilvl w:val="0"/>
          <w:numId w:val="37"/>
        </w:numPr>
        <w:ind w:left="426" w:hanging="426"/>
        <w:rPr>
          <w:b/>
          <w:lang w:val="en-GB"/>
        </w:rPr>
      </w:pPr>
      <w:r>
        <w:rPr>
          <w:b/>
          <w:lang w:val="en-GB"/>
        </w:rPr>
        <w:t>Non-insurance specific concerns</w:t>
      </w:r>
    </w:p>
    <w:p w:rsidR="00847C53" w:rsidRPr="00AB3E0A" w:rsidRDefault="005508D3" w:rsidP="00AB3E0A">
      <w:pPr>
        <w:pStyle w:val="CEABullet-Level1"/>
        <w:numPr>
          <w:ilvl w:val="0"/>
          <w:numId w:val="0"/>
        </w:numPr>
        <w:ind w:left="426"/>
        <w:rPr>
          <w:b/>
          <w:lang w:val="en-GB"/>
        </w:rPr>
      </w:pPr>
      <w:r>
        <w:rPr>
          <w:lang w:val="en-GB"/>
        </w:rPr>
        <w:t xml:space="preserve">Insurance Europe </w:t>
      </w:r>
      <w:r w:rsidRPr="005508D3">
        <w:rPr>
          <w:lang w:val="en-GB"/>
        </w:rPr>
        <w:t xml:space="preserve">welcomes amendments </w:t>
      </w:r>
      <w:r w:rsidR="00535EA4">
        <w:rPr>
          <w:lang w:val="en-GB"/>
        </w:rPr>
        <w:t xml:space="preserve">eliminating rules on alternative dispute resolution (ADR) already covered in the ADR directive but opposes the retention and even extension of the UCITS exemption. </w:t>
      </w:r>
      <w:r w:rsidR="00535EA4" w:rsidRPr="005508D3">
        <w:rPr>
          <w:lang w:val="en-GB"/>
        </w:rPr>
        <w:t xml:space="preserve"> </w:t>
      </w:r>
      <w:r w:rsidR="00535EA4">
        <w:rPr>
          <w:lang w:val="en-GB"/>
        </w:rPr>
        <w:t xml:space="preserve">Insurance Europe also remains concerned that some of the disclosure requirements regarding </w:t>
      </w:r>
      <w:proofErr w:type="spellStart"/>
      <w:r w:rsidR="00535EA4">
        <w:rPr>
          <w:lang w:val="en-GB"/>
        </w:rPr>
        <w:t>eg</w:t>
      </w:r>
      <w:proofErr w:type="spellEnd"/>
      <w:r w:rsidR="00535EA4">
        <w:rPr>
          <w:lang w:val="en-GB"/>
        </w:rPr>
        <w:t xml:space="preserve"> costs and risks are too prescriptive for a cross sectorial information document. Finally, Insurance Europe welcomes amendments introducing</w:t>
      </w:r>
      <w:r w:rsidRPr="005508D3">
        <w:rPr>
          <w:lang w:val="en-GB"/>
        </w:rPr>
        <w:t xml:space="preserve"> a limited liability regime like in UCITS</w:t>
      </w:r>
      <w:r w:rsidR="00535EA4">
        <w:rPr>
          <w:lang w:val="en-GB"/>
        </w:rPr>
        <w:t xml:space="preserve"> but remains concerned about the lack of procedural</w:t>
      </w:r>
      <w:r w:rsidRPr="005508D3">
        <w:rPr>
          <w:lang w:val="en-GB"/>
        </w:rPr>
        <w:t xml:space="preserve"> saf</w:t>
      </w:r>
      <w:r>
        <w:rPr>
          <w:lang w:val="en-GB"/>
        </w:rPr>
        <w:t xml:space="preserve">eguards for the PRIPs sanctions. </w:t>
      </w:r>
    </w:p>
    <w:p w:rsidR="00522A96" w:rsidRPr="00AD160B" w:rsidRDefault="00522A96" w:rsidP="00AD160B">
      <w:pPr>
        <w:rPr>
          <w:szCs w:val="17"/>
        </w:rPr>
        <w:sectPr w:rsidR="00522A96" w:rsidRPr="00AD160B" w:rsidSect="00A3474B">
          <w:headerReference w:type="default" r:id="rId9"/>
          <w:footerReference w:type="default" r:id="rId10"/>
          <w:type w:val="continuous"/>
          <w:pgSz w:w="11907" w:h="16839" w:code="9"/>
          <w:pgMar w:top="2410" w:right="902" w:bottom="1418" w:left="1135" w:header="1276" w:footer="397" w:gutter="0"/>
          <w:cols w:space="708"/>
          <w:docGrid w:linePitch="360"/>
        </w:sectPr>
      </w:pPr>
    </w:p>
    <w:p w:rsidR="00CE7735" w:rsidRPr="00AD160B" w:rsidRDefault="00A3474B" w:rsidP="00CE7735">
      <w:pPr>
        <w:spacing w:before="60" w:after="60" w:line="240" w:lineRule="auto"/>
        <w:jc w:val="center"/>
        <w:rPr>
          <w:b/>
          <w:szCs w:val="17"/>
          <w:lang w:val="fr-FR"/>
        </w:rPr>
      </w:pPr>
      <w:proofErr w:type="spellStart"/>
      <w:r w:rsidRPr="00AD160B">
        <w:rPr>
          <w:b/>
          <w:szCs w:val="17"/>
          <w:lang w:val="fr-FR"/>
        </w:rPr>
        <w:lastRenderedPageBreak/>
        <w:t>Annex</w:t>
      </w:r>
      <w:proofErr w:type="spellEnd"/>
      <w:r w:rsidRPr="00AD160B">
        <w:rPr>
          <w:b/>
          <w:szCs w:val="17"/>
          <w:lang w:val="fr-FR"/>
        </w:rPr>
        <w:t xml:space="preserve"> - </w:t>
      </w:r>
      <w:r w:rsidR="00CE7735" w:rsidRPr="00AD160B">
        <w:rPr>
          <w:b/>
          <w:szCs w:val="17"/>
          <w:lang w:val="fr-FR"/>
        </w:rPr>
        <w:t xml:space="preserve">Insurance </w:t>
      </w:r>
      <w:proofErr w:type="spellStart"/>
      <w:r w:rsidR="00CE7735" w:rsidRPr="00AD160B">
        <w:rPr>
          <w:b/>
          <w:szCs w:val="17"/>
          <w:lang w:val="fr-FR"/>
        </w:rPr>
        <w:t>Europe’s</w:t>
      </w:r>
      <w:proofErr w:type="spellEnd"/>
      <w:r w:rsidR="00CE7735" w:rsidRPr="00AD160B">
        <w:rPr>
          <w:b/>
          <w:szCs w:val="17"/>
          <w:lang w:val="fr-FR"/>
        </w:rPr>
        <w:t xml:space="preserve"> </w:t>
      </w:r>
      <w:proofErr w:type="spellStart"/>
      <w:r w:rsidR="00CE7735" w:rsidRPr="00AD160B">
        <w:rPr>
          <w:b/>
          <w:szCs w:val="17"/>
          <w:lang w:val="fr-FR"/>
        </w:rPr>
        <w:t>comments</w:t>
      </w:r>
      <w:proofErr w:type="spellEnd"/>
      <w:r w:rsidR="00CE7735" w:rsidRPr="00AD160B">
        <w:rPr>
          <w:b/>
          <w:szCs w:val="17"/>
          <w:lang w:val="fr-FR"/>
        </w:rPr>
        <w:t xml:space="preserve"> on</w:t>
      </w:r>
    </w:p>
    <w:p w:rsidR="00CE7735" w:rsidRPr="00EF629C" w:rsidRDefault="00CE7735" w:rsidP="00CE7735">
      <w:pPr>
        <w:spacing w:before="60" w:after="60" w:line="240" w:lineRule="auto"/>
        <w:jc w:val="center"/>
        <w:rPr>
          <w:szCs w:val="17"/>
        </w:rPr>
      </w:pPr>
      <w:proofErr w:type="gramStart"/>
      <w:r w:rsidRPr="00EF629C">
        <w:rPr>
          <w:szCs w:val="17"/>
        </w:rPr>
        <w:t>the</w:t>
      </w:r>
      <w:proofErr w:type="gramEnd"/>
      <w:r w:rsidRPr="00EF629C">
        <w:rPr>
          <w:szCs w:val="17"/>
        </w:rPr>
        <w:t xml:space="preserve"> amendments (</w:t>
      </w:r>
      <w:r w:rsidR="004140EB">
        <w:rPr>
          <w:szCs w:val="17"/>
        </w:rPr>
        <w:t>v</w:t>
      </w:r>
      <w:r w:rsidRPr="00EF629C">
        <w:rPr>
          <w:szCs w:val="17"/>
        </w:rPr>
        <w:t>ersion</w:t>
      </w:r>
      <w:r w:rsidR="00316E19" w:rsidRPr="00EF629C">
        <w:rPr>
          <w:szCs w:val="17"/>
        </w:rPr>
        <w:t xml:space="preserve"> </w:t>
      </w:r>
      <w:r w:rsidR="00E74D0C">
        <w:rPr>
          <w:szCs w:val="17"/>
        </w:rPr>
        <w:t xml:space="preserve">of </w:t>
      </w:r>
      <w:r w:rsidR="00A04965">
        <w:rPr>
          <w:szCs w:val="17"/>
        </w:rPr>
        <w:t xml:space="preserve">15 and </w:t>
      </w:r>
      <w:r w:rsidR="001D7006">
        <w:rPr>
          <w:szCs w:val="17"/>
        </w:rPr>
        <w:t>20 February 2013</w:t>
      </w:r>
      <w:r w:rsidRPr="00EF629C">
        <w:rPr>
          <w:szCs w:val="17"/>
        </w:rPr>
        <w:t xml:space="preserve">) to </w:t>
      </w:r>
      <w:r w:rsidR="00316E19" w:rsidRPr="00EF629C">
        <w:rPr>
          <w:szCs w:val="17"/>
        </w:rPr>
        <w:t xml:space="preserve">the </w:t>
      </w:r>
      <w:r w:rsidR="00022DFF">
        <w:rPr>
          <w:szCs w:val="17"/>
        </w:rPr>
        <w:t>European Parliament</w:t>
      </w:r>
      <w:r w:rsidR="00316E19" w:rsidRPr="00EF629C">
        <w:rPr>
          <w:szCs w:val="17"/>
        </w:rPr>
        <w:t xml:space="preserve"> </w:t>
      </w:r>
      <w:r w:rsidR="00E74D0C">
        <w:rPr>
          <w:szCs w:val="17"/>
        </w:rPr>
        <w:t>ECON</w:t>
      </w:r>
      <w:r w:rsidR="00F923DA">
        <w:rPr>
          <w:szCs w:val="17"/>
        </w:rPr>
        <w:t xml:space="preserve"> </w:t>
      </w:r>
      <w:r w:rsidR="00316E19" w:rsidRPr="00EF629C">
        <w:rPr>
          <w:szCs w:val="17"/>
        </w:rPr>
        <w:t>Committee’s</w:t>
      </w:r>
      <w:r w:rsidRPr="00EF629C">
        <w:rPr>
          <w:szCs w:val="17"/>
        </w:rPr>
        <w:t xml:space="preserve"> draft </w:t>
      </w:r>
      <w:r w:rsidR="00E74D0C">
        <w:rPr>
          <w:szCs w:val="17"/>
        </w:rPr>
        <w:t>report</w:t>
      </w:r>
      <w:r w:rsidRPr="00EF629C">
        <w:rPr>
          <w:szCs w:val="17"/>
        </w:rPr>
        <w:t xml:space="preserve"> </w:t>
      </w:r>
    </w:p>
    <w:p w:rsidR="00CE7735" w:rsidRPr="00EF629C" w:rsidRDefault="00CE7735" w:rsidP="00CE7735">
      <w:pPr>
        <w:spacing w:before="60" w:after="60" w:line="240" w:lineRule="auto"/>
        <w:jc w:val="center"/>
        <w:rPr>
          <w:szCs w:val="17"/>
        </w:rPr>
      </w:pPr>
      <w:proofErr w:type="gramStart"/>
      <w:r w:rsidRPr="00EF629C">
        <w:rPr>
          <w:b/>
          <w:szCs w:val="17"/>
        </w:rPr>
        <w:t>on</w:t>
      </w:r>
      <w:proofErr w:type="gramEnd"/>
      <w:r w:rsidRPr="00EF629C">
        <w:rPr>
          <w:b/>
          <w:szCs w:val="17"/>
        </w:rPr>
        <w:t xml:space="preserve"> </w:t>
      </w:r>
      <w:r w:rsidR="00F923DA">
        <w:rPr>
          <w:b/>
          <w:szCs w:val="17"/>
        </w:rPr>
        <w:t xml:space="preserve">the proposal for a </w:t>
      </w:r>
      <w:r w:rsidR="00022DFF">
        <w:rPr>
          <w:b/>
          <w:szCs w:val="17"/>
        </w:rPr>
        <w:t>regulation of the European Parliament and of the Council on key information documents for investment products</w:t>
      </w:r>
    </w:p>
    <w:p w:rsidR="00CE7735" w:rsidRPr="00EF629C" w:rsidRDefault="00CE7735" w:rsidP="00CE7735">
      <w:pPr>
        <w:spacing w:before="60" w:after="120" w:line="240" w:lineRule="auto"/>
        <w:jc w:val="center"/>
        <w:rPr>
          <w:i/>
          <w:szCs w:val="17"/>
        </w:rPr>
      </w:pPr>
      <w:r w:rsidRPr="00EF629C">
        <w:rPr>
          <w:i/>
          <w:szCs w:val="17"/>
        </w:rPr>
        <w:t xml:space="preserve">Rapporteur: </w:t>
      </w:r>
      <w:proofErr w:type="spellStart"/>
      <w:r w:rsidR="00E74D0C">
        <w:rPr>
          <w:i/>
          <w:szCs w:val="17"/>
        </w:rPr>
        <w:t>Pervenche</w:t>
      </w:r>
      <w:proofErr w:type="spellEnd"/>
      <w:r w:rsidR="00E74D0C">
        <w:rPr>
          <w:i/>
          <w:szCs w:val="17"/>
        </w:rPr>
        <w:t xml:space="preserve"> </w:t>
      </w:r>
      <w:proofErr w:type="spellStart"/>
      <w:r w:rsidR="00E74D0C">
        <w:rPr>
          <w:i/>
          <w:szCs w:val="17"/>
        </w:rPr>
        <w:t>Berès</w:t>
      </w:r>
      <w:proofErr w:type="spellEnd"/>
    </w:p>
    <w:p w:rsidR="00CE7735" w:rsidRPr="00EF629C" w:rsidRDefault="00CE7735" w:rsidP="00CE7735">
      <w:pPr>
        <w:spacing w:before="60" w:after="120" w:line="240" w:lineRule="auto"/>
        <w:jc w:val="center"/>
        <w:rPr>
          <w:i/>
          <w:szCs w:val="17"/>
        </w:rPr>
      </w:pPr>
    </w:p>
    <w:tbl>
      <w:tblPr>
        <w:tblW w:w="15933" w:type="dxa"/>
        <w:tblInd w:w="-1877" w:type="dxa"/>
        <w:tblBorders>
          <w:top w:val="dotDash" w:sz="4" w:space="0" w:color="BFBFBF"/>
          <w:left w:val="dotDash" w:sz="4" w:space="0" w:color="BFBFBF"/>
          <w:bottom w:val="dotDash" w:sz="4" w:space="0" w:color="BFBFBF"/>
          <w:right w:val="dotDash" w:sz="4" w:space="0" w:color="BFBFBF"/>
        </w:tblBorders>
        <w:tblLayout w:type="fixed"/>
        <w:tblLook w:val="04A0" w:firstRow="1" w:lastRow="0" w:firstColumn="1" w:lastColumn="0" w:noHBand="0" w:noVBand="1"/>
      </w:tblPr>
      <w:tblGrid>
        <w:gridCol w:w="1691"/>
        <w:gridCol w:w="1974"/>
        <w:gridCol w:w="2115"/>
        <w:gridCol w:w="10153"/>
      </w:tblGrid>
      <w:tr w:rsidR="00AF64A5" w:rsidRPr="00EF629C" w:rsidTr="004C79D0">
        <w:trPr>
          <w:tblHeader/>
        </w:trPr>
        <w:tc>
          <w:tcPr>
            <w:tcW w:w="169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EF629C" w:rsidRDefault="008928BB" w:rsidP="007D6220">
            <w:pPr>
              <w:spacing w:before="60" w:after="60"/>
              <w:jc w:val="center"/>
              <w:rPr>
                <w:b/>
                <w:i/>
                <w:szCs w:val="17"/>
              </w:rPr>
            </w:pPr>
            <w:r w:rsidRPr="00EF629C">
              <w:rPr>
                <w:b/>
                <w:i/>
                <w:szCs w:val="17"/>
              </w:rPr>
              <w:t>Amendments</w:t>
            </w:r>
          </w:p>
        </w:tc>
        <w:tc>
          <w:tcPr>
            <w:tcW w:w="197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EF629C" w:rsidRDefault="00CE7735" w:rsidP="007D6220">
            <w:pPr>
              <w:spacing w:before="60" w:after="60"/>
              <w:jc w:val="center"/>
              <w:rPr>
                <w:b/>
                <w:i/>
                <w:szCs w:val="17"/>
              </w:rPr>
            </w:pPr>
            <w:r w:rsidRPr="00EF629C">
              <w:rPr>
                <w:b/>
                <w:i/>
                <w:szCs w:val="17"/>
              </w:rPr>
              <w:t>Covering</w:t>
            </w:r>
          </w:p>
        </w:tc>
        <w:tc>
          <w:tcPr>
            <w:tcW w:w="211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EF629C" w:rsidRDefault="00CE7735" w:rsidP="007D6220">
            <w:pPr>
              <w:spacing w:before="60" w:after="60"/>
              <w:jc w:val="center"/>
              <w:rPr>
                <w:b/>
                <w:i/>
                <w:szCs w:val="17"/>
              </w:rPr>
            </w:pPr>
            <w:r w:rsidRPr="00EF629C">
              <w:rPr>
                <w:b/>
                <w:i/>
                <w:szCs w:val="17"/>
              </w:rPr>
              <w:t>Author</w:t>
            </w:r>
          </w:p>
        </w:tc>
        <w:tc>
          <w:tcPr>
            <w:tcW w:w="1015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EF629C" w:rsidRDefault="00CE7735" w:rsidP="007D6220">
            <w:pPr>
              <w:spacing w:before="60" w:after="60"/>
              <w:jc w:val="center"/>
              <w:rPr>
                <w:b/>
                <w:i/>
                <w:szCs w:val="17"/>
              </w:rPr>
            </w:pPr>
            <w:r w:rsidRPr="00EF629C">
              <w:rPr>
                <w:b/>
                <w:i/>
                <w:szCs w:val="17"/>
              </w:rPr>
              <w:t>Insurance Europe’s comments</w:t>
            </w:r>
          </w:p>
        </w:tc>
      </w:tr>
      <w:tr w:rsidR="00AF64A5" w:rsidRPr="000D7DF5" w:rsidTr="00D8396B">
        <w:tc>
          <w:tcPr>
            <w:tcW w:w="1593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7DF5" w:rsidRPr="000D7DF5" w:rsidRDefault="00631D5B" w:rsidP="00AD160B">
            <w:pPr>
              <w:pStyle w:val="CEABullet-Level1"/>
              <w:numPr>
                <w:ilvl w:val="0"/>
                <w:numId w:val="18"/>
              </w:numPr>
              <w:jc w:val="left"/>
              <w:rPr>
                <w:b/>
                <w:sz w:val="20"/>
                <w:lang w:val="en-GB"/>
              </w:rPr>
            </w:pPr>
            <w:r w:rsidRPr="00AD160B">
              <w:rPr>
                <w:b/>
                <w:sz w:val="20"/>
                <w:highlight w:val="yellow"/>
                <w:lang w:val="en-GB"/>
              </w:rPr>
              <w:t xml:space="preserve">The KID </w:t>
            </w:r>
            <w:r w:rsidR="00AD160B" w:rsidRPr="00AD160B">
              <w:rPr>
                <w:b/>
                <w:sz w:val="20"/>
                <w:highlight w:val="yellow"/>
                <w:lang w:val="en-GB"/>
              </w:rPr>
              <w:t>must be tailored to insurance products</w:t>
            </w:r>
          </w:p>
        </w:tc>
      </w:tr>
      <w:tr w:rsidR="00AF64A5" w:rsidRPr="008209CA" w:rsidTr="00DC18B5">
        <w:trPr>
          <w:trHeight w:val="20"/>
        </w:trPr>
        <w:tc>
          <w:tcPr>
            <w:tcW w:w="1691" w:type="dxa"/>
            <w:tcBorders>
              <w:top w:val="single" w:sz="4" w:space="0" w:color="auto"/>
              <w:left w:val="single" w:sz="4" w:space="0" w:color="auto"/>
              <w:bottom w:val="single" w:sz="4" w:space="0" w:color="auto"/>
              <w:right w:val="single" w:sz="4" w:space="0" w:color="auto"/>
            </w:tcBorders>
            <w:vAlign w:val="center"/>
          </w:tcPr>
          <w:p w:rsidR="006819E8" w:rsidRPr="008209CA" w:rsidRDefault="00AC08E3" w:rsidP="00150943">
            <w:pPr>
              <w:spacing w:before="60" w:after="60"/>
              <w:jc w:val="center"/>
              <w:rPr>
                <w:b/>
                <w:szCs w:val="17"/>
                <w:lang w:val="nl-BE"/>
              </w:rPr>
            </w:pPr>
            <w:r>
              <w:rPr>
                <w:b/>
                <w:szCs w:val="17"/>
                <w:lang w:val="nl-BE"/>
              </w:rPr>
              <w:t xml:space="preserve">AMT287, </w:t>
            </w:r>
            <w:r w:rsidR="006819E8" w:rsidRPr="008209CA">
              <w:rPr>
                <w:b/>
                <w:szCs w:val="17"/>
                <w:lang w:val="nl-BE"/>
              </w:rPr>
              <w:t>AMT322-326, AMT329, AMT341-342, AMT350,</w:t>
            </w:r>
            <w:r w:rsidR="00F82061" w:rsidRPr="008209CA">
              <w:rPr>
                <w:b/>
                <w:szCs w:val="17"/>
                <w:lang w:val="nl-BE"/>
              </w:rPr>
              <w:t xml:space="preserve"> AMT355-356, AMT359,</w:t>
            </w:r>
            <w:r w:rsidR="004163C0" w:rsidRPr="008209CA">
              <w:rPr>
                <w:b/>
                <w:szCs w:val="17"/>
                <w:lang w:val="nl-BE"/>
              </w:rPr>
              <w:t xml:space="preserve"> AMT361,</w:t>
            </w:r>
            <w:r w:rsidR="006C3FCA" w:rsidRPr="008209CA">
              <w:rPr>
                <w:b/>
                <w:szCs w:val="17"/>
                <w:lang w:val="nl-BE"/>
              </w:rPr>
              <w:t xml:space="preserve"> AMT365</w:t>
            </w:r>
            <w:r w:rsidR="004163C0" w:rsidRPr="008209CA">
              <w:rPr>
                <w:b/>
                <w:szCs w:val="17"/>
                <w:lang w:val="nl-BE"/>
              </w:rPr>
              <w:t xml:space="preserve">, AMT387-AMT388, </w:t>
            </w:r>
            <w:r w:rsidR="00150943" w:rsidRPr="008209CA">
              <w:rPr>
                <w:b/>
                <w:szCs w:val="17"/>
                <w:lang w:val="nl-BE"/>
              </w:rPr>
              <w:t>AMT424</w:t>
            </w:r>
            <w:r w:rsidR="00F95611">
              <w:rPr>
                <w:b/>
                <w:szCs w:val="17"/>
                <w:lang w:val="nl-BE"/>
              </w:rPr>
              <w:t xml:space="preserve">, </w:t>
            </w:r>
            <w:r w:rsidR="002A5702" w:rsidRPr="002A5702">
              <w:rPr>
                <w:b/>
                <w:szCs w:val="17"/>
                <w:highlight w:val="yellow"/>
                <w:lang w:val="nl-BE"/>
              </w:rPr>
              <w:t>AMT426</w:t>
            </w:r>
            <w:r w:rsidR="002A5702">
              <w:rPr>
                <w:b/>
                <w:szCs w:val="17"/>
                <w:lang w:val="nl-BE"/>
              </w:rPr>
              <w:t xml:space="preserve">, </w:t>
            </w:r>
            <w:r w:rsidR="00F95611">
              <w:rPr>
                <w:b/>
                <w:szCs w:val="17"/>
                <w:lang w:val="nl-BE"/>
              </w:rPr>
              <w:t>AMT461</w:t>
            </w:r>
          </w:p>
        </w:tc>
        <w:tc>
          <w:tcPr>
            <w:tcW w:w="1974" w:type="dxa"/>
            <w:tcBorders>
              <w:top w:val="single" w:sz="4" w:space="0" w:color="auto"/>
              <w:left w:val="single" w:sz="4" w:space="0" w:color="auto"/>
              <w:bottom w:val="single" w:sz="4" w:space="0" w:color="auto"/>
              <w:right w:val="single" w:sz="4" w:space="0" w:color="auto"/>
            </w:tcBorders>
            <w:vAlign w:val="center"/>
          </w:tcPr>
          <w:p w:rsidR="00150943" w:rsidRPr="008209CA" w:rsidRDefault="00AC08E3" w:rsidP="00150943">
            <w:pPr>
              <w:spacing w:before="60" w:after="60"/>
              <w:jc w:val="center"/>
              <w:rPr>
                <w:szCs w:val="17"/>
                <w:lang w:val="fr-FR"/>
              </w:rPr>
            </w:pPr>
            <w:r>
              <w:rPr>
                <w:szCs w:val="17"/>
                <w:lang w:val="fr-FR"/>
              </w:rPr>
              <w:t xml:space="preserve">Article 8 – para.2, </w:t>
            </w:r>
            <w:r w:rsidR="00964D2E" w:rsidRPr="008209CA">
              <w:rPr>
                <w:szCs w:val="17"/>
                <w:lang w:val="fr-FR"/>
              </w:rPr>
              <w:t>Article 8 – para. 2 – point b – point iv</w:t>
            </w:r>
            <w:r w:rsidR="00D11914" w:rsidRPr="008209CA">
              <w:rPr>
                <w:szCs w:val="17"/>
                <w:lang w:val="fr-FR"/>
              </w:rPr>
              <w:t xml:space="preserve">, Article 8 – para. 2 – point b a (new), </w:t>
            </w:r>
            <w:r w:rsidR="00F64A46" w:rsidRPr="008209CA">
              <w:rPr>
                <w:szCs w:val="17"/>
                <w:lang w:val="fr-FR"/>
              </w:rPr>
              <w:t xml:space="preserve">Article 8 – para.2 – point c – </w:t>
            </w:r>
            <w:proofErr w:type="spellStart"/>
            <w:r w:rsidR="00F64A46" w:rsidRPr="008209CA">
              <w:rPr>
                <w:szCs w:val="17"/>
                <w:lang w:val="fr-FR"/>
              </w:rPr>
              <w:t>introductory</w:t>
            </w:r>
            <w:proofErr w:type="spellEnd"/>
            <w:r w:rsidR="00F64A46" w:rsidRPr="008209CA">
              <w:rPr>
                <w:szCs w:val="17"/>
                <w:lang w:val="fr-FR"/>
              </w:rPr>
              <w:t xml:space="preserve"> part, </w:t>
            </w:r>
            <w:r w:rsidR="00F82061" w:rsidRPr="008209CA">
              <w:rPr>
                <w:szCs w:val="17"/>
                <w:lang w:val="fr-FR"/>
              </w:rPr>
              <w:t>Article 8 – para.2 – point c – point i,</w:t>
            </w:r>
            <w:r w:rsidR="006C3FCA" w:rsidRPr="008209CA">
              <w:rPr>
                <w:szCs w:val="17"/>
                <w:lang w:val="fr-FR"/>
              </w:rPr>
              <w:t xml:space="preserve"> </w:t>
            </w:r>
            <w:r w:rsidR="00F82061" w:rsidRPr="008209CA">
              <w:rPr>
                <w:szCs w:val="17"/>
                <w:lang w:val="fr-FR"/>
              </w:rPr>
              <w:t xml:space="preserve">Article 8 – para.2 – point c – point ii, </w:t>
            </w:r>
            <w:r w:rsidR="006C3FCA" w:rsidRPr="008209CA">
              <w:rPr>
                <w:szCs w:val="17"/>
                <w:lang w:val="fr-FR"/>
              </w:rPr>
              <w:t xml:space="preserve">Article 8 – para.2 – point c- point ii a (new), </w:t>
            </w:r>
            <w:r w:rsidR="00150943" w:rsidRPr="008209CA">
              <w:rPr>
                <w:szCs w:val="17"/>
                <w:lang w:val="fr-FR"/>
              </w:rPr>
              <w:t>Article 8 – para. 2 – point h b (new)</w:t>
            </w:r>
            <w:r w:rsidR="004163C0" w:rsidRPr="008209CA">
              <w:rPr>
                <w:szCs w:val="17"/>
                <w:lang w:val="fr-FR"/>
              </w:rPr>
              <w:t>, Article 8 – para.2 – point e a (new)</w:t>
            </w:r>
            <w:r w:rsidR="00F95611">
              <w:rPr>
                <w:szCs w:val="17"/>
                <w:lang w:val="fr-FR"/>
              </w:rPr>
              <w:t xml:space="preserve">, </w:t>
            </w:r>
            <w:r w:rsidR="002A5702" w:rsidRPr="002A5702">
              <w:rPr>
                <w:szCs w:val="17"/>
                <w:highlight w:val="yellow"/>
                <w:lang w:val="fr-FR"/>
              </w:rPr>
              <w:t>Article 8 – para. 2 a (new)</w:t>
            </w:r>
            <w:r w:rsidR="002A5702">
              <w:rPr>
                <w:szCs w:val="17"/>
                <w:lang w:val="fr-FR"/>
              </w:rPr>
              <w:t xml:space="preserve">, </w:t>
            </w:r>
            <w:r w:rsidR="00F95611">
              <w:rPr>
                <w:szCs w:val="17"/>
                <w:lang w:val="fr-FR"/>
              </w:rPr>
              <w:t>Article 8 – para.6 – subpara.2</w:t>
            </w:r>
          </w:p>
          <w:p w:rsidR="006819E8" w:rsidRPr="008209CA" w:rsidRDefault="006819E8" w:rsidP="002D7584">
            <w:pPr>
              <w:spacing w:before="60" w:after="60"/>
              <w:jc w:val="center"/>
              <w:rPr>
                <w:szCs w:val="17"/>
                <w:lang w:val="fr-FR"/>
              </w:rPr>
            </w:pPr>
          </w:p>
        </w:tc>
        <w:tc>
          <w:tcPr>
            <w:tcW w:w="2115" w:type="dxa"/>
            <w:tcBorders>
              <w:top w:val="single" w:sz="4" w:space="0" w:color="auto"/>
              <w:left w:val="single" w:sz="4" w:space="0" w:color="auto"/>
              <w:bottom w:val="single" w:sz="4" w:space="0" w:color="auto"/>
              <w:right w:val="single" w:sz="4" w:space="0" w:color="auto"/>
            </w:tcBorders>
            <w:vAlign w:val="center"/>
          </w:tcPr>
          <w:p w:rsidR="006819E8" w:rsidRPr="008209CA" w:rsidRDefault="006819E8" w:rsidP="00D11914">
            <w:pPr>
              <w:spacing w:before="60" w:after="60"/>
              <w:jc w:val="center"/>
              <w:rPr>
                <w:i/>
                <w:szCs w:val="17"/>
                <w:lang w:val="fr-FR"/>
              </w:rPr>
            </w:pPr>
            <w:proofErr w:type="spellStart"/>
            <w:r w:rsidRPr="008209CA">
              <w:rPr>
                <w:i/>
                <w:szCs w:val="17"/>
                <w:lang w:val="fr-FR"/>
              </w:rPr>
              <w:t>Othmar</w:t>
            </w:r>
            <w:proofErr w:type="spellEnd"/>
            <w:r w:rsidRPr="008209CA">
              <w:rPr>
                <w:i/>
                <w:szCs w:val="17"/>
                <w:lang w:val="fr-FR"/>
              </w:rPr>
              <w:t xml:space="preserve"> </w:t>
            </w:r>
            <w:proofErr w:type="spellStart"/>
            <w:r w:rsidRPr="008209CA">
              <w:rPr>
                <w:i/>
                <w:szCs w:val="17"/>
                <w:lang w:val="fr-FR"/>
              </w:rPr>
              <w:t>Karas</w:t>
            </w:r>
            <w:proofErr w:type="spellEnd"/>
            <w:r w:rsidRPr="008209CA">
              <w:rPr>
                <w:i/>
                <w:szCs w:val="17"/>
                <w:lang w:val="fr-FR"/>
              </w:rPr>
              <w:t xml:space="preserve">, </w:t>
            </w:r>
            <w:proofErr w:type="spellStart"/>
            <w:r w:rsidRPr="008209CA">
              <w:rPr>
                <w:i/>
                <w:szCs w:val="17"/>
                <w:lang w:val="fr-FR"/>
              </w:rPr>
              <w:t>Burkhard</w:t>
            </w:r>
            <w:proofErr w:type="spellEnd"/>
            <w:r w:rsidRPr="008209CA">
              <w:rPr>
                <w:i/>
                <w:szCs w:val="17"/>
                <w:lang w:val="fr-FR"/>
              </w:rPr>
              <w:t xml:space="preserve"> </w:t>
            </w:r>
            <w:proofErr w:type="spellStart"/>
            <w:r w:rsidRPr="008209CA">
              <w:rPr>
                <w:i/>
                <w:szCs w:val="17"/>
                <w:lang w:val="fr-FR"/>
              </w:rPr>
              <w:t>Balz</w:t>
            </w:r>
            <w:proofErr w:type="spellEnd"/>
            <w:r w:rsidRPr="008209CA">
              <w:rPr>
                <w:i/>
                <w:szCs w:val="17"/>
                <w:lang w:val="fr-FR"/>
              </w:rPr>
              <w:t xml:space="preserve">, Astrid </w:t>
            </w:r>
            <w:proofErr w:type="spellStart"/>
            <w:r w:rsidRPr="008209CA">
              <w:rPr>
                <w:i/>
                <w:szCs w:val="17"/>
                <w:lang w:val="fr-FR"/>
              </w:rPr>
              <w:t>Lulling</w:t>
            </w:r>
            <w:proofErr w:type="spellEnd"/>
            <w:r w:rsidRPr="008209CA">
              <w:rPr>
                <w:i/>
                <w:szCs w:val="17"/>
                <w:lang w:val="fr-FR"/>
              </w:rPr>
              <w:t xml:space="preserve">, Marianne Thyssen, Alfredo </w:t>
            </w:r>
            <w:proofErr w:type="spellStart"/>
            <w:r w:rsidRPr="008209CA">
              <w:rPr>
                <w:i/>
                <w:szCs w:val="17"/>
                <w:lang w:val="fr-FR"/>
              </w:rPr>
              <w:t>Pallone</w:t>
            </w:r>
            <w:proofErr w:type="spellEnd"/>
            <w:r w:rsidR="00D11914" w:rsidRPr="008209CA">
              <w:rPr>
                <w:i/>
                <w:szCs w:val="17"/>
                <w:lang w:val="fr-FR"/>
              </w:rPr>
              <w:t xml:space="preserve">, Sven </w:t>
            </w:r>
            <w:proofErr w:type="spellStart"/>
            <w:r w:rsidR="00D11914" w:rsidRPr="008209CA">
              <w:rPr>
                <w:i/>
                <w:szCs w:val="17"/>
                <w:lang w:val="fr-FR"/>
              </w:rPr>
              <w:t>Giegold</w:t>
            </w:r>
            <w:proofErr w:type="spellEnd"/>
            <w:r w:rsidR="006C3FCA" w:rsidRPr="008209CA">
              <w:rPr>
                <w:i/>
                <w:szCs w:val="17"/>
                <w:lang w:val="fr-FR"/>
              </w:rPr>
              <w:t xml:space="preserve">, Sharon </w:t>
            </w:r>
            <w:proofErr w:type="spellStart"/>
            <w:r w:rsidR="006C3FCA" w:rsidRPr="008209CA">
              <w:rPr>
                <w:i/>
                <w:szCs w:val="17"/>
                <w:lang w:val="fr-FR"/>
              </w:rPr>
              <w:t>Bowles</w:t>
            </w:r>
            <w:proofErr w:type="spellEnd"/>
            <w:r w:rsidR="00F82061" w:rsidRPr="008209CA">
              <w:rPr>
                <w:i/>
                <w:szCs w:val="17"/>
                <w:lang w:val="fr-FR"/>
              </w:rPr>
              <w:t xml:space="preserve">, Syed </w:t>
            </w:r>
            <w:proofErr w:type="spellStart"/>
            <w:r w:rsidR="00F82061" w:rsidRPr="008209CA">
              <w:rPr>
                <w:i/>
                <w:szCs w:val="17"/>
                <w:lang w:val="fr-FR"/>
              </w:rPr>
              <w:t>Kamall</w:t>
            </w:r>
            <w:proofErr w:type="spellEnd"/>
            <w:r w:rsidR="004163C0" w:rsidRPr="008209CA">
              <w:rPr>
                <w:i/>
                <w:szCs w:val="17"/>
                <w:lang w:val="fr-FR"/>
              </w:rPr>
              <w:t xml:space="preserve">, Olle Schmidt, Nils </w:t>
            </w:r>
            <w:proofErr w:type="spellStart"/>
            <w:r w:rsidR="004163C0" w:rsidRPr="008209CA">
              <w:rPr>
                <w:i/>
                <w:szCs w:val="17"/>
                <w:lang w:val="fr-FR"/>
              </w:rPr>
              <w:t>Torvalds</w:t>
            </w:r>
            <w:proofErr w:type="spellEnd"/>
            <w:r w:rsidR="00F95611">
              <w:rPr>
                <w:i/>
                <w:szCs w:val="17"/>
                <w:lang w:val="fr-FR"/>
              </w:rPr>
              <w:t xml:space="preserve">, Werner </w:t>
            </w:r>
            <w:proofErr w:type="spellStart"/>
            <w:r w:rsidR="00F95611">
              <w:rPr>
                <w:i/>
                <w:szCs w:val="17"/>
                <w:lang w:val="fr-FR"/>
              </w:rPr>
              <w:t>Langen</w:t>
            </w:r>
            <w:proofErr w:type="spellEnd"/>
            <w:r w:rsidR="002A5702">
              <w:rPr>
                <w:i/>
                <w:szCs w:val="17"/>
                <w:lang w:val="fr-FR"/>
              </w:rPr>
              <w:t xml:space="preserve">, </w:t>
            </w:r>
            <w:r w:rsidR="002A5702" w:rsidRPr="002A5702">
              <w:rPr>
                <w:i/>
                <w:szCs w:val="17"/>
                <w:highlight w:val="yellow"/>
                <w:lang w:val="fr-FR"/>
              </w:rPr>
              <w:t xml:space="preserve">Pervenche </w:t>
            </w:r>
            <w:proofErr w:type="spellStart"/>
            <w:r w:rsidR="002A5702" w:rsidRPr="002A5702">
              <w:rPr>
                <w:i/>
                <w:szCs w:val="17"/>
                <w:highlight w:val="yellow"/>
                <w:lang w:val="fr-FR"/>
              </w:rPr>
              <w:t>Berès</w:t>
            </w:r>
            <w:proofErr w:type="spellEnd"/>
          </w:p>
        </w:tc>
        <w:tc>
          <w:tcPr>
            <w:tcW w:w="10153" w:type="dxa"/>
            <w:tcBorders>
              <w:top w:val="single" w:sz="4" w:space="0" w:color="auto"/>
              <w:left w:val="single" w:sz="4" w:space="0" w:color="auto"/>
              <w:bottom w:val="single" w:sz="4" w:space="0" w:color="auto"/>
              <w:right w:val="single" w:sz="4" w:space="0" w:color="auto"/>
            </w:tcBorders>
          </w:tcPr>
          <w:p w:rsidR="006819E8" w:rsidRPr="008209CA" w:rsidRDefault="00F90E8C" w:rsidP="006819E8">
            <w:pPr>
              <w:pStyle w:val="CEABullet-Level1"/>
              <w:numPr>
                <w:ilvl w:val="0"/>
                <w:numId w:val="0"/>
              </w:numPr>
              <w:rPr>
                <w:b/>
                <w:i/>
                <w:szCs w:val="17"/>
                <w:lang w:val="en-GB"/>
              </w:rPr>
            </w:pPr>
            <w:r w:rsidRPr="008209CA">
              <w:rPr>
                <w:b/>
                <w:i/>
                <w:szCs w:val="17"/>
                <w:lang w:val="en-GB"/>
              </w:rPr>
              <w:t>If</w:t>
            </w:r>
            <w:r w:rsidR="006819E8" w:rsidRPr="008209CA">
              <w:rPr>
                <w:b/>
                <w:i/>
                <w:szCs w:val="17"/>
                <w:lang w:val="en-GB"/>
              </w:rPr>
              <w:t xml:space="preserve"> the PRIPS KID applies </w:t>
            </w:r>
            <w:r w:rsidR="00BB0BC8" w:rsidRPr="008209CA">
              <w:rPr>
                <w:b/>
                <w:i/>
                <w:szCs w:val="17"/>
                <w:lang w:val="en-GB"/>
              </w:rPr>
              <w:t>to insurance products</w:t>
            </w:r>
            <w:r w:rsidR="006819E8" w:rsidRPr="008209CA">
              <w:rPr>
                <w:b/>
                <w:i/>
                <w:szCs w:val="17"/>
                <w:lang w:val="en-GB"/>
              </w:rPr>
              <w:t xml:space="preserve">, </w:t>
            </w:r>
            <w:r w:rsidR="00BB0BC8" w:rsidRPr="008209CA">
              <w:rPr>
                <w:b/>
                <w:i/>
                <w:szCs w:val="17"/>
                <w:lang w:val="en-GB"/>
              </w:rPr>
              <w:t>it must be tailored accordingly</w:t>
            </w:r>
          </w:p>
          <w:p w:rsidR="008E5D6A" w:rsidRPr="008209CA" w:rsidRDefault="00491331" w:rsidP="006819E8">
            <w:pPr>
              <w:pStyle w:val="CEABullet-Level1"/>
              <w:numPr>
                <w:ilvl w:val="0"/>
                <w:numId w:val="0"/>
              </w:numPr>
              <w:rPr>
                <w:szCs w:val="17"/>
                <w:lang w:val="en-GB"/>
              </w:rPr>
            </w:pPr>
            <w:commentRangeStart w:id="0"/>
            <w:r w:rsidRPr="00752B7A">
              <w:rPr>
                <w:szCs w:val="17"/>
                <w:highlight w:val="yellow"/>
                <w:lang w:val="en-GB"/>
              </w:rPr>
              <w:t xml:space="preserve">Insurance </w:t>
            </w:r>
            <w:commentRangeEnd w:id="0"/>
            <w:r w:rsidR="00C7043B">
              <w:rPr>
                <w:rStyle w:val="CommentReference"/>
                <w:rFonts w:cs="Times New Roman"/>
                <w:color w:val="auto"/>
                <w:lang w:val="en-GB"/>
              </w:rPr>
              <w:commentReference w:id="0"/>
            </w:r>
            <w:r w:rsidRPr="00752B7A">
              <w:rPr>
                <w:szCs w:val="17"/>
                <w:highlight w:val="yellow"/>
                <w:lang w:val="en-GB"/>
              </w:rPr>
              <w:t xml:space="preserve">Europe welcomes the rapporteur’s amendment addressing the need for insurance specific </w:t>
            </w:r>
            <w:r w:rsidR="00752B7A">
              <w:rPr>
                <w:szCs w:val="17"/>
                <w:highlight w:val="yellow"/>
                <w:lang w:val="en-GB"/>
              </w:rPr>
              <w:t>disclosures</w:t>
            </w:r>
            <w:r w:rsidRPr="00752B7A">
              <w:rPr>
                <w:szCs w:val="17"/>
                <w:highlight w:val="yellow"/>
                <w:lang w:val="en-GB"/>
              </w:rPr>
              <w:t xml:space="preserve"> but further clarification is required to understand how the specific insurance document</w:t>
            </w:r>
            <w:r w:rsidR="00752B7A">
              <w:rPr>
                <w:szCs w:val="17"/>
                <w:highlight w:val="yellow"/>
                <w:lang w:val="en-GB"/>
              </w:rPr>
              <w:t xml:space="preserve"> would be </w:t>
            </w:r>
            <w:r w:rsidR="002A5702">
              <w:rPr>
                <w:szCs w:val="17"/>
                <w:highlight w:val="yellow"/>
                <w:lang w:val="en-GB"/>
              </w:rPr>
              <w:t>provided</w:t>
            </w:r>
            <w:r w:rsidR="00752B7A">
              <w:rPr>
                <w:szCs w:val="17"/>
                <w:highlight w:val="yellow"/>
                <w:lang w:val="en-GB"/>
              </w:rPr>
              <w:t xml:space="preserve"> to consumers. </w:t>
            </w:r>
            <w:r w:rsidR="002A5702">
              <w:rPr>
                <w:szCs w:val="17"/>
                <w:highlight w:val="yellow"/>
                <w:lang w:val="en-GB"/>
              </w:rPr>
              <w:t xml:space="preserve">It </w:t>
            </w:r>
            <w:r w:rsidR="00C7043B">
              <w:rPr>
                <w:szCs w:val="17"/>
                <w:highlight w:val="yellow"/>
                <w:lang w:val="en-GB"/>
              </w:rPr>
              <w:t xml:space="preserve">should however not apply to </w:t>
            </w:r>
            <w:r w:rsidR="00752B7A">
              <w:rPr>
                <w:szCs w:val="17"/>
                <w:highlight w:val="yellow"/>
                <w:lang w:val="en-GB"/>
              </w:rPr>
              <w:t>products where the risk is not borne by the policyholder and</w:t>
            </w:r>
            <w:r w:rsidR="00C7043B">
              <w:rPr>
                <w:szCs w:val="17"/>
                <w:highlight w:val="yellow"/>
                <w:lang w:val="en-GB"/>
              </w:rPr>
              <w:t xml:space="preserve"> providing KIDs for each underlying fund should be done in a practically feasible way.</w:t>
            </w:r>
            <w:r w:rsidR="00752B7A">
              <w:rPr>
                <w:szCs w:val="17"/>
                <w:highlight w:val="yellow"/>
                <w:lang w:val="en-GB"/>
              </w:rPr>
              <w:t xml:space="preserve"> </w:t>
            </w:r>
            <w:r w:rsidR="00C7043B">
              <w:rPr>
                <w:szCs w:val="17"/>
                <w:highlight w:val="yellow"/>
                <w:lang w:val="en-GB"/>
              </w:rPr>
              <w:t>Therefore, while</w:t>
            </w:r>
            <w:r w:rsidRPr="00752B7A">
              <w:rPr>
                <w:szCs w:val="17"/>
                <w:highlight w:val="yellow"/>
                <w:lang w:val="en-GB"/>
              </w:rPr>
              <w:t xml:space="preserve"> Insurance Europe strongly believes</w:t>
            </w:r>
            <w:r w:rsidR="00BB0BC8" w:rsidRPr="00752B7A">
              <w:rPr>
                <w:szCs w:val="17"/>
                <w:highlight w:val="yellow"/>
                <w:lang w:val="en-GB"/>
              </w:rPr>
              <w:t xml:space="preserve"> that in </w:t>
            </w:r>
            <w:r w:rsidR="00964D2E" w:rsidRPr="00752B7A">
              <w:rPr>
                <w:szCs w:val="17"/>
                <w:highlight w:val="yellow"/>
                <w:lang w:val="en-GB"/>
              </w:rPr>
              <w:t xml:space="preserve">the absence of insurance specific features, consumers </w:t>
            </w:r>
            <w:r w:rsidR="00BB0BC8" w:rsidRPr="00752B7A">
              <w:rPr>
                <w:szCs w:val="17"/>
                <w:highlight w:val="yellow"/>
                <w:lang w:val="en-GB"/>
              </w:rPr>
              <w:t>cannot</w:t>
            </w:r>
            <w:r w:rsidR="00964D2E" w:rsidRPr="00752B7A">
              <w:rPr>
                <w:szCs w:val="17"/>
                <w:highlight w:val="yellow"/>
                <w:lang w:val="en-GB"/>
              </w:rPr>
              <w:t xml:space="preserve"> make a well-informed product comparison</w:t>
            </w:r>
            <w:r w:rsidR="00BB0BC8" w:rsidRPr="00752B7A">
              <w:rPr>
                <w:szCs w:val="17"/>
                <w:highlight w:val="yellow"/>
                <w:lang w:val="en-GB"/>
              </w:rPr>
              <w:t xml:space="preserve"> on the basis of the KID</w:t>
            </w:r>
            <w:r w:rsidRPr="00752B7A">
              <w:rPr>
                <w:szCs w:val="17"/>
                <w:highlight w:val="yellow"/>
                <w:lang w:val="en-GB"/>
              </w:rPr>
              <w:t>, product comparability may be better achieved by introducing insurance specific features within the KID</w:t>
            </w:r>
            <w:r w:rsidR="00964D2E" w:rsidRPr="00752B7A">
              <w:rPr>
                <w:szCs w:val="17"/>
                <w:highlight w:val="yellow"/>
                <w:lang w:val="en-GB"/>
              </w:rPr>
              <w:t>.</w:t>
            </w:r>
            <w:r w:rsidR="00964D2E" w:rsidRPr="008209CA">
              <w:rPr>
                <w:szCs w:val="17"/>
                <w:lang w:val="en-GB"/>
              </w:rPr>
              <w:t xml:space="preserve"> </w:t>
            </w:r>
          </w:p>
          <w:p w:rsidR="008E5D6A" w:rsidRPr="008209CA" w:rsidRDefault="008E5D6A" w:rsidP="006819E8">
            <w:pPr>
              <w:pStyle w:val="CEABullet-Level1"/>
              <w:numPr>
                <w:ilvl w:val="0"/>
                <w:numId w:val="0"/>
              </w:numPr>
              <w:rPr>
                <w:szCs w:val="17"/>
                <w:lang w:val="en-GB"/>
              </w:rPr>
            </w:pPr>
          </w:p>
          <w:p w:rsidR="00B50CA0" w:rsidRDefault="008E5D6A" w:rsidP="006819E8">
            <w:pPr>
              <w:pStyle w:val="CEABullet-Level1"/>
              <w:numPr>
                <w:ilvl w:val="0"/>
                <w:numId w:val="0"/>
              </w:numPr>
              <w:rPr>
                <w:szCs w:val="17"/>
                <w:lang w:val="en-GB"/>
              </w:rPr>
            </w:pPr>
            <w:r w:rsidRPr="008209CA">
              <w:rPr>
                <w:szCs w:val="17"/>
                <w:lang w:val="en-GB"/>
              </w:rPr>
              <w:t xml:space="preserve">Firstly, </w:t>
            </w:r>
            <w:r w:rsidR="00BB0BC8" w:rsidRPr="008209CA">
              <w:rPr>
                <w:szCs w:val="17"/>
                <w:lang w:val="en-GB"/>
              </w:rPr>
              <w:t>consumers should always be informed</w:t>
            </w:r>
            <w:r w:rsidR="006819E8" w:rsidRPr="008209CA">
              <w:rPr>
                <w:szCs w:val="17"/>
                <w:lang w:val="en-GB"/>
              </w:rPr>
              <w:t xml:space="preserve"> whether or not a PRIPs product offers insurance benefits</w:t>
            </w:r>
            <w:r w:rsidR="00964D2E" w:rsidRPr="008209CA">
              <w:rPr>
                <w:szCs w:val="17"/>
                <w:lang w:val="en-GB"/>
              </w:rPr>
              <w:t xml:space="preserve">. </w:t>
            </w:r>
            <w:r w:rsidR="00BB0BC8" w:rsidRPr="008209CA">
              <w:rPr>
                <w:szCs w:val="17"/>
                <w:lang w:val="en-GB"/>
              </w:rPr>
              <w:t>It would be most effective if such information</w:t>
            </w:r>
            <w:r w:rsidR="00D11914" w:rsidRPr="008209CA">
              <w:rPr>
                <w:szCs w:val="17"/>
                <w:lang w:val="en-GB"/>
              </w:rPr>
              <w:t xml:space="preserve"> is included </w:t>
            </w:r>
            <w:r w:rsidR="00F90E8C" w:rsidRPr="008209CA">
              <w:rPr>
                <w:szCs w:val="17"/>
                <w:lang w:val="en-GB"/>
              </w:rPr>
              <w:t xml:space="preserve">under </w:t>
            </w:r>
            <w:r w:rsidR="00D11914" w:rsidRPr="008209CA">
              <w:rPr>
                <w:szCs w:val="17"/>
                <w:lang w:val="en-GB"/>
              </w:rPr>
              <w:t xml:space="preserve">a </w:t>
            </w:r>
            <w:r w:rsidR="00F90E8C" w:rsidRPr="008209CA">
              <w:rPr>
                <w:szCs w:val="17"/>
                <w:lang w:val="en-GB"/>
              </w:rPr>
              <w:t>separate</w:t>
            </w:r>
            <w:r w:rsidR="00D11914" w:rsidRPr="008209CA">
              <w:rPr>
                <w:szCs w:val="17"/>
                <w:lang w:val="en-GB"/>
              </w:rPr>
              <w:t xml:space="preserve"> section</w:t>
            </w:r>
            <w:r w:rsidR="00F90E8C" w:rsidRPr="008209CA">
              <w:rPr>
                <w:szCs w:val="17"/>
                <w:lang w:val="en-GB"/>
              </w:rPr>
              <w:t xml:space="preserve"> of the KID</w:t>
            </w:r>
            <w:r w:rsidR="00D11914" w:rsidRPr="008209CA">
              <w:rPr>
                <w:szCs w:val="17"/>
                <w:lang w:val="en-GB"/>
              </w:rPr>
              <w:t xml:space="preserve"> rather than a sub-heading. </w:t>
            </w:r>
            <w:r w:rsidR="00F64A46" w:rsidRPr="008209CA">
              <w:rPr>
                <w:szCs w:val="17"/>
                <w:lang w:val="en-GB"/>
              </w:rPr>
              <w:t>This</w:t>
            </w:r>
            <w:r w:rsidR="00150943" w:rsidRPr="008209CA">
              <w:rPr>
                <w:szCs w:val="17"/>
                <w:lang w:val="en-GB"/>
              </w:rPr>
              <w:t xml:space="preserve"> </w:t>
            </w:r>
            <w:r w:rsidR="00F64A46" w:rsidRPr="008209CA">
              <w:rPr>
                <w:szCs w:val="17"/>
                <w:lang w:val="en-GB"/>
              </w:rPr>
              <w:t xml:space="preserve">general </w:t>
            </w:r>
            <w:r w:rsidR="00150943" w:rsidRPr="008209CA">
              <w:rPr>
                <w:szCs w:val="17"/>
                <w:lang w:val="en-GB"/>
              </w:rPr>
              <w:t xml:space="preserve">information should </w:t>
            </w:r>
            <w:r w:rsidR="00F64A46" w:rsidRPr="008209CA">
              <w:rPr>
                <w:szCs w:val="17"/>
                <w:lang w:val="en-GB"/>
              </w:rPr>
              <w:t xml:space="preserve">however not be limited by linking it to </w:t>
            </w:r>
            <w:r w:rsidR="00150943" w:rsidRPr="008209CA">
              <w:rPr>
                <w:szCs w:val="17"/>
                <w:lang w:val="en-GB"/>
              </w:rPr>
              <w:t xml:space="preserve">guarantees and compensation schemes. </w:t>
            </w:r>
            <w:r w:rsidR="006C3FCA" w:rsidRPr="008209CA">
              <w:rPr>
                <w:szCs w:val="17"/>
                <w:lang w:val="en-GB"/>
              </w:rPr>
              <w:t>Finally, the term “insurance protection” should not be used if it refers to a compensation scheme because consumers could wrongfully believe the product offers insurance benefits.</w:t>
            </w:r>
          </w:p>
          <w:p w:rsidR="00C7043B" w:rsidRPr="008209CA" w:rsidRDefault="00C7043B" w:rsidP="006819E8">
            <w:pPr>
              <w:pStyle w:val="CEABullet-Level1"/>
              <w:numPr>
                <w:ilvl w:val="0"/>
                <w:numId w:val="0"/>
              </w:numPr>
              <w:rPr>
                <w:szCs w:val="17"/>
                <w:lang w:val="en-GB"/>
              </w:rPr>
            </w:pPr>
          </w:p>
          <w:p w:rsidR="00C7043B" w:rsidRDefault="00C7043B" w:rsidP="00C7043B">
            <w:pPr>
              <w:pStyle w:val="CEABullet-Level1"/>
              <w:numPr>
                <w:ilvl w:val="0"/>
                <w:numId w:val="0"/>
              </w:numPr>
              <w:ind w:left="33"/>
              <w:rPr>
                <w:szCs w:val="17"/>
                <w:lang w:val="en-GB"/>
              </w:rPr>
            </w:pPr>
            <w:r w:rsidRPr="008209CA">
              <w:rPr>
                <w:szCs w:val="17"/>
                <w:lang w:val="en-GB"/>
              </w:rPr>
              <w:t xml:space="preserve">Secondly, consumers should be provided more detail on product features which are essential to compare insurance PRIPs with non-insurance PRIPs. Guarantees and capital protection are not subject to the same stringent prudential requirements in all financial sectors. Consumers should </w:t>
            </w:r>
            <w:r>
              <w:rPr>
                <w:szCs w:val="17"/>
                <w:lang w:val="en-GB"/>
              </w:rPr>
              <w:t xml:space="preserve">therefore </w:t>
            </w:r>
            <w:r w:rsidRPr="008209CA">
              <w:rPr>
                <w:szCs w:val="17"/>
                <w:lang w:val="en-GB"/>
              </w:rPr>
              <w:t xml:space="preserve">be informed that insurance product guarantees will always be provided which is seemingly not the case in </w:t>
            </w:r>
            <w:proofErr w:type="spellStart"/>
            <w:r w:rsidRPr="008209CA">
              <w:rPr>
                <w:szCs w:val="17"/>
                <w:lang w:val="en-GB"/>
              </w:rPr>
              <w:t>eg</w:t>
            </w:r>
            <w:proofErr w:type="spellEnd"/>
            <w:r w:rsidRPr="008209CA">
              <w:rPr>
                <w:szCs w:val="17"/>
                <w:lang w:val="en-GB"/>
              </w:rPr>
              <w:t xml:space="preserve"> the asset management sector. Furthermore, consumers should be aware that the “premium cost” of an insurance product covers the product’s insurance benefits rather than its investment. </w:t>
            </w:r>
          </w:p>
          <w:p w:rsidR="00C7043B" w:rsidRPr="008209CA" w:rsidRDefault="00C7043B" w:rsidP="00C7043B">
            <w:pPr>
              <w:pStyle w:val="CEABullet-Level1"/>
              <w:numPr>
                <w:ilvl w:val="0"/>
                <w:numId w:val="0"/>
              </w:numPr>
              <w:ind w:left="33"/>
              <w:rPr>
                <w:szCs w:val="17"/>
                <w:lang w:val="en-GB"/>
              </w:rPr>
            </w:pPr>
          </w:p>
          <w:p w:rsidR="00C7043B" w:rsidRPr="008209CA" w:rsidRDefault="00C7043B" w:rsidP="00C7043B">
            <w:pPr>
              <w:pStyle w:val="CEABullet-Level1"/>
              <w:numPr>
                <w:ilvl w:val="0"/>
                <w:numId w:val="0"/>
              </w:numPr>
              <w:rPr>
                <w:szCs w:val="17"/>
                <w:lang w:val="en-GB"/>
              </w:rPr>
            </w:pPr>
            <w:r>
              <w:rPr>
                <w:szCs w:val="17"/>
                <w:lang w:val="en-GB"/>
              </w:rPr>
              <w:t xml:space="preserve">Thirdly, Insurance Europe opposes the amendments which seek to tailor the entire KID to the asset management industry because it prevents consumers from being adequately informed about essential features of other products. </w:t>
            </w:r>
            <w:r w:rsidRPr="008209CA">
              <w:rPr>
                <w:szCs w:val="17"/>
                <w:lang w:val="en-GB"/>
              </w:rPr>
              <w:lastRenderedPageBreak/>
              <w:t xml:space="preserve">In addition, Insurance Europe is opposed to delegating powers to a single European Supervisory Authority, ESMA, if the PRIPs regulation applies to other financial sectors such as the insurance industry where EIOPA should be exclusively competent for drafting technical standards regarding insurance PRIPs.  </w:t>
            </w:r>
          </w:p>
          <w:p w:rsidR="00150943" w:rsidRPr="008209CA" w:rsidRDefault="00150943" w:rsidP="006819E8">
            <w:pPr>
              <w:pStyle w:val="CEABullet-Level1"/>
              <w:numPr>
                <w:ilvl w:val="0"/>
                <w:numId w:val="0"/>
              </w:numPr>
              <w:rPr>
                <w:szCs w:val="17"/>
                <w:lang w:val="en-GB"/>
              </w:rPr>
            </w:pPr>
          </w:p>
          <w:p w:rsidR="00C7043B" w:rsidRDefault="00C7043B" w:rsidP="00783C90">
            <w:pPr>
              <w:pStyle w:val="CEABullet-Level1"/>
              <w:rPr>
                <w:szCs w:val="17"/>
                <w:lang w:val="en-GB"/>
              </w:rPr>
            </w:pPr>
            <w:commentRangeStart w:id="1"/>
            <w:r w:rsidRPr="00C7043B">
              <w:rPr>
                <w:szCs w:val="17"/>
                <w:highlight w:val="yellow"/>
                <w:lang w:val="en-GB"/>
              </w:rPr>
              <w:t xml:space="preserve">Insurance Europe </w:t>
            </w:r>
            <w:commentRangeEnd w:id="1"/>
            <w:r w:rsidR="00482FAE">
              <w:rPr>
                <w:rStyle w:val="CommentReference"/>
                <w:rFonts w:cs="Times New Roman"/>
                <w:color w:val="auto"/>
                <w:lang w:val="en-GB"/>
              </w:rPr>
              <w:commentReference w:id="1"/>
            </w:r>
            <w:r w:rsidRPr="00C7043B">
              <w:rPr>
                <w:szCs w:val="17"/>
                <w:highlight w:val="yellow"/>
                <w:lang w:val="en-GB"/>
              </w:rPr>
              <w:t>welcomes that AMT426 recognises consumers can only be well-informed if insurance specific features are disclosed, however Insurance Europe is concerned the amendment, as currently drafted, does not achieve product comparability and includes non-PRIPs products</w:t>
            </w:r>
            <w:r>
              <w:rPr>
                <w:szCs w:val="17"/>
                <w:lang w:val="en-GB"/>
              </w:rPr>
              <w:t xml:space="preserve">. </w:t>
            </w:r>
          </w:p>
          <w:p w:rsidR="00C7043B" w:rsidRDefault="00C7043B" w:rsidP="00C7043B">
            <w:pPr>
              <w:pStyle w:val="CEABullet-Level1"/>
              <w:numPr>
                <w:ilvl w:val="0"/>
                <w:numId w:val="0"/>
              </w:numPr>
              <w:rPr>
                <w:szCs w:val="17"/>
                <w:lang w:val="en-GB"/>
              </w:rPr>
            </w:pPr>
          </w:p>
          <w:p w:rsidR="00F64A46" w:rsidRPr="008209CA" w:rsidRDefault="00D11914" w:rsidP="00783C90">
            <w:pPr>
              <w:pStyle w:val="CEABullet-Level1"/>
              <w:rPr>
                <w:szCs w:val="17"/>
                <w:lang w:val="en-GB"/>
              </w:rPr>
            </w:pPr>
            <w:r w:rsidRPr="008209CA">
              <w:rPr>
                <w:szCs w:val="17"/>
                <w:lang w:val="en-GB"/>
              </w:rPr>
              <w:t>Insurance Europe supports AMT 322-326 combined with AMT341</w:t>
            </w:r>
            <w:r w:rsidR="00F90E8C" w:rsidRPr="008209CA">
              <w:rPr>
                <w:szCs w:val="17"/>
                <w:lang w:val="en-GB"/>
              </w:rPr>
              <w:t>, AMT</w:t>
            </w:r>
            <w:r w:rsidRPr="008209CA">
              <w:rPr>
                <w:szCs w:val="17"/>
                <w:lang w:val="en-GB"/>
              </w:rPr>
              <w:t>342 or AMT424. In the alternative, Insurance Europe supports AMT329.</w:t>
            </w:r>
            <w:r w:rsidR="00150943" w:rsidRPr="008209CA">
              <w:rPr>
                <w:szCs w:val="17"/>
                <w:lang w:val="en-GB"/>
              </w:rPr>
              <w:t xml:space="preserve"> </w:t>
            </w:r>
            <w:r w:rsidR="00F95611">
              <w:rPr>
                <w:szCs w:val="17"/>
                <w:lang w:val="en-GB"/>
              </w:rPr>
              <w:t xml:space="preserve">Insurance Europe also supports AMT461. </w:t>
            </w:r>
            <w:r w:rsidR="00150943" w:rsidRPr="008209CA">
              <w:rPr>
                <w:szCs w:val="17"/>
                <w:lang w:val="en-GB"/>
              </w:rPr>
              <w:t>Insurance Europe however opposes AMT350</w:t>
            </w:r>
            <w:r w:rsidR="006C3FCA" w:rsidRPr="008209CA">
              <w:rPr>
                <w:szCs w:val="17"/>
                <w:lang w:val="en-GB"/>
              </w:rPr>
              <w:t xml:space="preserve"> and AMT365</w:t>
            </w:r>
            <w:r w:rsidR="00150943" w:rsidRPr="008209CA">
              <w:rPr>
                <w:szCs w:val="17"/>
                <w:lang w:val="en-GB"/>
              </w:rPr>
              <w:t>.</w:t>
            </w:r>
            <w:r w:rsidR="00783C90" w:rsidRPr="008209CA">
              <w:rPr>
                <w:szCs w:val="17"/>
                <w:lang w:val="en-GB"/>
              </w:rPr>
              <w:t xml:space="preserve"> </w:t>
            </w:r>
          </w:p>
          <w:p w:rsidR="00B50CA0" w:rsidRPr="008209CA" w:rsidRDefault="00B50CA0" w:rsidP="00B50CA0">
            <w:pPr>
              <w:pStyle w:val="CEABullet-Level1"/>
              <w:numPr>
                <w:ilvl w:val="0"/>
                <w:numId w:val="0"/>
              </w:numPr>
              <w:ind w:left="720"/>
              <w:rPr>
                <w:szCs w:val="17"/>
                <w:lang w:val="en-GB"/>
              </w:rPr>
            </w:pPr>
          </w:p>
          <w:p w:rsidR="008E5D6A" w:rsidRPr="008209CA" w:rsidRDefault="008E5D6A" w:rsidP="008E5D6A">
            <w:pPr>
              <w:pStyle w:val="CEABullet-Level1"/>
              <w:rPr>
                <w:szCs w:val="17"/>
                <w:lang w:val="en-GB"/>
              </w:rPr>
            </w:pPr>
            <w:r w:rsidRPr="008209CA">
              <w:rPr>
                <w:szCs w:val="17"/>
                <w:lang w:val="en-GB"/>
              </w:rPr>
              <w:t>Insurance Europe supports</w:t>
            </w:r>
            <w:r w:rsidR="00C865E5" w:rsidRPr="008209CA">
              <w:rPr>
                <w:szCs w:val="17"/>
                <w:lang w:val="en-GB"/>
              </w:rPr>
              <w:t xml:space="preserve"> </w:t>
            </w:r>
            <w:r w:rsidR="008938BB" w:rsidRPr="008209CA">
              <w:rPr>
                <w:szCs w:val="17"/>
                <w:lang w:val="en-GB"/>
              </w:rPr>
              <w:t>the enhanced information on guarantee and capital protection in AMT355-356, AMT359</w:t>
            </w:r>
            <w:r w:rsidR="00754B3B">
              <w:rPr>
                <w:szCs w:val="17"/>
                <w:lang w:val="en-GB"/>
              </w:rPr>
              <w:t xml:space="preserve"> </w:t>
            </w:r>
            <w:r w:rsidR="006C3FCA" w:rsidRPr="008209CA">
              <w:rPr>
                <w:szCs w:val="17"/>
                <w:lang w:val="en-GB"/>
              </w:rPr>
              <w:t>and AMT387</w:t>
            </w:r>
            <w:r w:rsidR="00491331">
              <w:rPr>
                <w:szCs w:val="17"/>
                <w:lang w:val="en-GB"/>
              </w:rPr>
              <w:t xml:space="preserve">. </w:t>
            </w:r>
            <w:r w:rsidR="00491331" w:rsidRPr="00491331">
              <w:rPr>
                <w:szCs w:val="17"/>
                <w:highlight w:val="yellow"/>
                <w:lang w:val="en-GB"/>
              </w:rPr>
              <w:t>Insur</w:t>
            </w:r>
            <w:r w:rsidR="00491331">
              <w:rPr>
                <w:szCs w:val="17"/>
                <w:highlight w:val="yellow"/>
                <w:lang w:val="en-GB"/>
              </w:rPr>
              <w:t xml:space="preserve">ance Europe also welcomes that </w:t>
            </w:r>
            <w:commentRangeStart w:id="2"/>
            <w:r w:rsidR="00491331" w:rsidRPr="00491331">
              <w:rPr>
                <w:szCs w:val="17"/>
                <w:highlight w:val="yellow"/>
                <w:lang w:val="en-GB"/>
              </w:rPr>
              <w:t>AMT361</w:t>
            </w:r>
            <w:commentRangeEnd w:id="2"/>
            <w:r w:rsidR="00491331">
              <w:rPr>
                <w:rStyle w:val="CommentReference"/>
                <w:rFonts w:cs="Times New Roman"/>
                <w:color w:val="auto"/>
                <w:lang w:val="en-GB"/>
              </w:rPr>
              <w:commentReference w:id="2"/>
            </w:r>
            <w:r w:rsidR="00491331" w:rsidRPr="00491331">
              <w:rPr>
                <w:szCs w:val="17"/>
                <w:highlight w:val="yellow"/>
                <w:lang w:val="en-GB"/>
              </w:rPr>
              <w:t xml:space="preserve"> includes the name of the guarantor but opposes that the amendment deletes information on compensation or guarantee schemes</w:t>
            </w:r>
            <w:r w:rsidR="00491331">
              <w:rPr>
                <w:szCs w:val="17"/>
                <w:lang w:val="en-GB"/>
              </w:rPr>
              <w:t xml:space="preserve">. </w:t>
            </w:r>
            <w:r w:rsidR="00754B3B">
              <w:rPr>
                <w:szCs w:val="17"/>
                <w:lang w:val="en-GB"/>
              </w:rPr>
              <w:t xml:space="preserve"> </w:t>
            </w:r>
            <w:proofErr w:type="gramStart"/>
            <w:r w:rsidR="00754B3B">
              <w:rPr>
                <w:szCs w:val="17"/>
                <w:lang w:val="en-GB"/>
              </w:rPr>
              <w:t>but</w:t>
            </w:r>
            <w:proofErr w:type="gramEnd"/>
            <w:r w:rsidR="00754B3B">
              <w:rPr>
                <w:szCs w:val="17"/>
                <w:lang w:val="en-GB"/>
              </w:rPr>
              <w:t xml:space="preserve"> </w:t>
            </w:r>
            <w:r w:rsidR="00754B3B" w:rsidRPr="00EF7C02">
              <w:rPr>
                <w:szCs w:val="17"/>
                <w:highlight w:val="yellow"/>
                <w:lang w:val="en-GB"/>
              </w:rPr>
              <w:t xml:space="preserve">opposes </w:t>
            </w:r>
            <w:r w:rsidR="00EF7C02" w:rsidRPr="00EF7C02">
              <w:rPr>
                <w:szCs w:val="17"/>
                <w:highlight w:val="yellow"/>
                <w:lang w:val="en-GB"/>
              </w:rPr>
              <w:t>AMT361</w:t>
            </w:r>
            <w:r w:rsidR="00EF7C02">
              <w:rPr>
                <w:szCs w:val="17"/>
                <w:lang w:val="en-GB"/>
              </w:rPr>
              <w:t>.</w:t>
            </w:r>
          </w:p>
          <w:p w:rsidR="00B50CA0" w:rsidRDefault="006C3FCA" w:rsidP="00F65CBD">
            <w:pPr>
              <w:pStyle w:val="CEABullet-Level1"/>
              <w:rPr>
                <w:szCs w:val="17"/>
                <w:lang w:val="en-GB"/>
              </w:rPr>
            </w:pPr>
            <w:r w:rsidRPr="008209CA">
              <w:rPr>
                <w:szCs w:val="17"/>
                <w:lang w:val="en-GB"/>
              </w:rPr>
              <w:t>Insurance Europe supports the enhanced information on premium costs in AMT388.</w:t>
            </w:r>
          </w:p>
          <w:p w:rsidR="00AC08E3" w:rsidRDefault="00AC08E3" w:rsidP="00AC08E3">
            <w:pPr>
              <w:pStyle w:val="CEABullet-Level1"/>
              <w:numPr>
                <w:ilvl w:val="0"/>
                <w:numId w:val="0"/>
              </w:numPr>
              <w:ind w:left="720" w:hanging="360"/>
              <w:rPr>
                <w:szCs w:val="17"/>
                <w:lang w:val="en-GB"/>
              </w:rPr>
            </w:pPr>
          </w:p>
          <w:p w:rsidR="00AC08E3" w:rsidRDefault="00AC08E3" w:rsidP="00AC08E3">
            <w:pPr>
              <w:pStyle w:val="CEABullet-Level1"/>
              <w:rPr>
                <w:lang w:val="en-GB"/>
              </w:rPr>
            </w:pPr>
            <w:r w:rsidRPr="008209CA">
              <w:rPr>
                <w:lang w:val="en-GB"/>
              </w:rPr>
              <w:t>Insurance Europe strongly opposes AMT287.</w:t>
            </w:r>
          </w:p>
          <w:p w:rsidR="00AC08E3" w:rsidRPr="008209CA" w:rsidRDefault="00AC08E3" w:rsidP="00AC08E3">
            <w:pPr>
              <w:pStyle w:val="CEABullet-Level1"/>
              <w:numPr>
                <w:ilvl w:val="0"/>
                <w:numId w:val="0"/>
              </w:numPr>
              <w:ind w:left="66"/>
              <w:rPr>
                <w:szCs w:val="17"/>
                <w:lang w:val="en-GB"/>
              </w:rPr>
            </w:pPr>
          </w:p>
        </w:tc>
      </w:tr>
      <w:tr w:rsidR="00AF64A5" w:rsidRPr="00516746" w:rsidTr="00D8396B">
        <w:tc>
          <w:tcPr>
            <w:tcW w:w="1593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16746" w:rsidRPr="00E756D8" w:rsidRDefault="00E756D8" w:rsidP="00E756D8">
            <w:pPr>
              <w:pStyle w:val="CEABullet-Level1"/>
              <w:numPr>
                <w:ilvl w:val="0"/>
                <w:numId w:val="18"/>
              </w:numPr>
              <w:jc w:val="left"/>
              <w:rPr>
                <w:b/>
                <w:sz w:val="20"/>
                <w:lang w:val="en-GB"/>
              </w:rPr>
            </w:pPr>
            <w:r w:rsidRPr="00E756D8">
              <w:rPr>
                <w:b/>
                <w:sz w:val="20"/>
                <w:highlight w:val="yellow"/>
                <w:lang w:val="en-GB"/>
              </w:rPr>
              <w:lastRenderedPageBreak/>
              <w:t>Pensions and life insurance products where the risk i</w:t>
            </w:r>
            <w:r>
              <w:rPr>
                <w:b/>
                <w:sz w:val="20"/>
                <w:highlight w:val="yellow"/>
                <w:lang w:val="en-GB"/>
              </w:rPr>
              <w:t>s not borne by the policyholde</w:t>
            </w:r>
            <w:r w:rsidRPr="00E756D8">
              <w:rPr>
                <w:b/>
                <w:sz w:val="20"/>
                <w:highlight w:val="yellow"/>
                <w:lang w:val="en-GB"/>
              </w:rPr>
              <w:t>r,</w:t>
            </w:r>
            <w:r>
              <w:rPr>
                <w:b/>
                <w:sz w:val="20"/>
                <w:lang w:val="en-GB"/>
              </w:rPr>
              <w:t xml:space="preserve"> </w:t>
            </w:r>
            <w:r w:rsidRPr="00E756D8">
              <w:rPr>
                <w:b/>
                <w:sz w:val="20"/>
                <w:highlight w:val="yellow"/>
                <w:lang w:val="en-GB"/>
              </w:rPr>
              <w:t>should be excluded from the scope of PRIPs</w:t>
            </w:r>
          </w:p>
        </w:tc>
      </w:tr>
      <w:tr w:rsidR="00AF64A5" w:rsidRPr="008209CA" w:rsidTr="00DC18B5">
        <w:trPr>
          <w:trHeight w:val="20"/>
        </w:trPr>
        <w:tc>
          <w:tcPr>
            <w:tcW w:w="1691"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2D7584">
            <w:pPr>
              <w:spacing w:before="60" w:after="60"/>
              <w:jc w:val="center"/>
              <w:rPr>
                <w:b/>
                <w:szCs w:val="17"/>
                <w:lang w:val="nl-BE"/>
              </w:rPr>
            </w:pPr>
            <w:r w:rsidRPr="008209CA">
              <w:rPr>
                <w:b/>
                <w:szCs w:val="17"/>
                <w:lang w:val="nl-BE"/>
              </w:rPr>
              <w:t>General</w:t>
            </w:r>
            <w:r w:rsidR="00922E3A" w:rsidRPr="008209CA">
              <w:rPr>
                <w:b/>
                <w:szCs w:val="17"/>
                <w:lang w:val="nl-BE"/>
              </w:rPr>
              <w:t>,</w:t>
            </w:r>
            <w:r w:rsidR="00C158FB" w:rsidRPr="008209CA">
              <w:rPr>
                <w:b/>
                <w:szCs w:val="17"/>
                <w:lang w:val="nl-BE"/>
              </w:rPr>
              <w:t xml:space="preserve"> AMT77, AMT90,</w:t>
            </w:r>
            <w:r w:rsidR="00922E3A" w:rsidRPr="008209CA">
              <w:rPr>
                <w:b/>
                <w:szCs w:val="17"/>
                <w:lang w:val="nl-BE"/>
              </w:rPr>
              <w:t xml:space="preserve"> AMT169-170</w:t>
            </w:r>
          </w:p>
        </w:tc>
        <w:tc>
          <w:tcPr>
            <w:tcW w:w="1974"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2D7584">
            <w:pPr>
              <w:spacing w:before="60" w:after="60"/>
              <w:jc w:val="center"/>
              <w:rPr>
                <w:szCs w:val="17"/>
                <w:lang w:val="fr-FR"/>
              </w:rPr>
            </w:pPr>
            <w:proofErr w:type="spellStart"/>
            <w:r w:rsidRPr="008209CA">
              <w:rPr>
                <w:szCs w:val="17"/>
                <w:lang w:val="fr-FR"/>
              </w:rPr>
              <w:t>Investment</w:t>
            </w:r>
            <w:proofErr w:type="spellEnd"/>
            <w:r w:rsidRPr="008209CA">
              <w:rPr>
                <w:szCs w:val="17"/>
                <w:lang w:val="fr-FR"/>
              </w:rPr>
              <w:t xml:space="preserve"> </w:t>
            </w:r>
            <w:proofErr w:type="spellStart"/>
            <w:r w:rsidRPr="008209CA">
              <w:rPr>
                <w:szCs w:val="17"/>
                <w:lang w:val="fr-FR"/>
              </w:rPr>
              <w:t>Products</w:t>
            </w:r>
            <w:proofErr w:type="spellEnd"/>
            <w:r w:rsidR="00922E3A" w:rsidRPr="008209CA">
              <w:rPr>
                <w:szCs w:val="17"/>
                <w:lang w:val="fr-FR"/>
              </w:rPr>
              <w:t>,</w:t>
            </w:r>
            <w:r w:rsidR="00C158FB" w:rsidRPr="008209CA">
              <w:rPr>
                <w:szCs w:val="17"/>
                <w:lang w:val="fr-FR"/>
              </w:rPr>
              <w:t xml:space="preserve"> </w:t>
            </w:r>
            <w:proofErr w:type="spellStart"/>
            <w:r w:rsidR="00C158FB" w:rsidRPr="008209CA">
              <w:rPr>
                <w:szCs w:val="17"/>
                <w:lang w:val="fr-FR"/>
              </w:rPr>
              <w:t>Recital</w:t>
            </w:r>
            <w:proofErr w:type="spellEnd"/>
            <w:r w:rsidR="00C158FB" w:rsidRPr="008209CA">
              <w:rPr>
                <w:szCs w:val="17"/>
                <w:lang w:val="fr-FR"/>
              </w:rPr>
              <w:t xml:space="preserve"> 6, </w:t>
            </w:r>
            <w:proofErr w:type="spellStart"/>
            <w:r w:rsidR="00C158FB" w:rsidRPr="008209CA">
              <w:rPr>
                <w:szCs w:val="17"/>
                <w:lang w:val="fr-FR"/>
              </w:rPr>
              <w:t>Recital</w:t>
            </w:r>
            <w:proofErr w:type="spellEnd"/>
            <w:r w:rsidR="00C158FB" w:rsidRPr="008209CA">
              <w:rPr>
                <w:szCs w:val="17"/>
                <w:lang w:val="fr-FR"/>
              </w:rPr>
              <w:t xml:space="preserve"> 7</w:t>
            </w:r>
            <w:r w:rsidR="00922E3A" w:rsidRPr="008209CA">
              <w:rPr>
                <w:szCs w:val="17"/>
                <w:lang w:val="fr-FR"/>
              </w:rPr>
              <w:t xml:space="preserve"> Article 2 – para.1</w:t>
            </w:r>
          </w:p>
        </w:tc>
        <w:tc>
          <w:tcPr>
            <w:tcW w:w="2115" w:type="dxa"/>
            <w:tcBorders>
              <w:top w:val="single" w:sz="4" w:space="0" w:color="auto"/>
              <w:left w:val="single" w:sz="4" w:space="0" w:color="auto"/>
              <w:bottom w:val="single" w:sz="4" w:space="0" w:color="auto"/>
              <w:right w:val="single" w:sz="4" w:space="0" w:color="auto"/>
            </w:tcBorders>
            <w:vAlign w:val="center"/>
          </w:tcPr>
          <w:p w:rsidR="00516746" w:rsidRPr="008209CA" w:rsidRDefault="00C158FB" w:rsidP="002D7584">
            <w:pPr>
              <w:spacing w:before="60" w:after="60"/>
              <w:jc w:val="center"/>
              <w:rPr>
                <w:i/>
                <w:szCs w:val="17"/>
              </w:rPr>
            </w:pPr>
            <w:proofErr w:type="spellStart"/>
            <w:r w:rsidRPr="008209CA">
              <w:rPr>
                <w:i/>
                <w:szCs w:val="17"/>
              </w:rPr>
              <w:t>Pervenche</w:t>
            </w:r>
            <w:proofErr w:type="spellEnd"/>
            <w:r w:rsidRPr="008209CA">
              <w:rPr>
                <w:i/>
                <w:szCs w:val="17"/>
              </w:rPr>
              <w:t xml:space="preserve"> </w:t>
            </w:r>
            <w:proofErr w:type="spellStart"/>
            <w:r w:rsidRPr="008209CA">
              <w:rPr>
                <w:i/>
                <w:szCs w:val="17"/>
              </w:rPr>
              <w:t>Berès</w:t>
            </w:r>
            <w:proofErr w:type="spellEnd"/>
            <w:r w:rsidRPr="008209CA">
              <w:rPr>
                <w:i/>
                <w:szCs w:val="17"/>
              </w:rPr>
              <w:t xml:space="preserve">, </w:t>
            </w:r>
            <w:proofErr w:type="spellStart"/>
            <w:r w:rsidRPr="008209CA">
              <w:rPr>
                <w:i/>
                <w:szCs w:val="17"/>
              </w:rPr>
              <w:t>Burkhard</w:t>
            </w:r>
            <w:proofErr w:type="spellEnd"/>
            <w:r w:rsidRPr="008209CA">
              <w:rPr>
                <w:i/>
                <w:szCs w:val="17"/>
              </w:rPr>
              <w:t xml:space="preserve"> </w:t>
            </w:r>
            <w:proofErr w:type="spellStart"/>
            <w:r w:rsidRPr="008209CA">
              <w:rPr>
                <w:i/>
                <w:szCs w:val="17"/>
              </w:rPr>
              <w:t>Balz</w:t>
            </w:r>
            <w:proofErr w:type="spellEnd"/>
            <w:r w:rsidRPr="008209CA">
              <w:rPr>
                <w:i/>
                <w:szCs w:val="17"/>
              </w:rPr>
              <w:t xml:space="preserve">, </w:t>
            </w:r>
            <w:r w:rsidR="000728E7" w:rsidRPr="008209CA">
              <w:rPr>
                <w:i/>
                <w:szCs w:val="17"/>
              </w:rPr>
              <w:t xml:space="preserve">Syed </w:t>
            </w:r>
            <w:proofErr w:type="spellStart"/>
            <w:r w:rsidR="000728E7" w:rsidRPr="008209CA">
              <w:rPr>
                <w:i/>
                <w:szCs w:val="17"/>
              </w:rPr>
              <w:t>Kamall</w:t>
            </w:r>
            <w:proofErr w:type="spellEnd"/>
            <w:r w:rsidR="00EC5433" w:rsidRPr="008209CA">
              <w:rPr>
                <w:i/>
                <w:szCs w:val="17"/>
              </w:rPr>
              <w:t>, Olle Schmidt</w:t>
            </w:r>
            <w:r w:rsidR="00922E3A" w:rsidRPr="008209CA">
              <w:rPr>
                <w:i/>
                <w:szCs w:val="17"/>
              </w:rPr>
              <w:t>, Alfredo Pallone</w:t>
            </w:r>
          </w:p>
        </w:tc>
        <w:tc>
          <w:tcPr>
            <w:tcW w:w="10153" w:type="dxa"/>
            <w:tcBorders>
              <w:top w:val="single" w:sz="4" w:space="0" w:color="auto"/>
              <w:left w:val="single" w:sz="4" w:space="0" w:color="auto"/>
              <w:bottom w:val="single" w:sz="4" w:space="0" w:color="auto"/>
              <w:right w:val="single" w:sz="4" w:space="0" w:color="auto"/>
            </w:tcBorders>
          </w:tcPr>
          <w:p w:rsidR="00516746" w:rsidRPr="008209CA" w:rsidRDefault="000728E7" w:rsidP="002D7584">
            <w:pPr>
              <w:pStyle w:val="CEABullet-Level1"/>
              <w:numPr>
                <w:ilvl w:val="0"/>
                <w:numId w:val="0"/>
              </w:numPr>
              <w:rPr>
                <w:i/>
                <w:szCs w:val="17"/>
                <w:lang w:val="en-GB"/>
              </w:rPr>
            </w:pPr>
            <w:r w:rsidRPr="008209CA">
              <w:rPr>
                <w:i/>
                <w:szCs w:val="17"/>
                <w:lang w:val="en-GB"/>
              </w:rPr>
              <w:t>“</w:t>
            </w:r>
            <w:r w:rsidR="00922E3A" w:rsidRPr="008209CA">
              <w:rPr>
                <w:b/>
                <w:i/>
                <w:szCs w:val="17"/>
                <w:lang w:val="en-GB"/>
              </w:rPr>
              <w:t xml:space="preserve">The PRIPs regulation should focus on packaged products and not include </w:t>
            </w:r>
            <w:r w:rsidR="007F14B8">
              <w:rPr>
                <w:b/>
                <w:i/>
                <w:szCs w:val="17"/>
                <w:lang w:val="en-GB"/>
              </w:rPr>
              <w:t xml:space="preserve">non-packaged products </w:t>
            </w:r>
            <w:r w:rsidR="007F14B8" w:rsidRPr="007F14B8">
              <w:rPr>
                <w:b/>
                <w:i/>
                <w:szCs w:val="17"/>
                <w:highlight w:val="yellow"/>
                <w:lang w:val="en-GB"/>
              </w:rPr>
              <w:t>such as pensions or life insurance products where the risk is not borne by the policyholder</w:t>
            </w:r>
          </w:p>
          <w:p w:rsidR="00516746" w:rsidRPr="008209CA" w:rsidRDefault="00C158FB" w:rsidP="002D7584">
            <w:pPr>
              <w:pStyle w:val="CEABullet-Level1"/>
              <w:numPr>
                <w:ilvl w:val="0"/>
                <w:numId w:val="0"/>
              </w:numPr>
              <w:rPr>
                <w:szCs w:val="17"/>
                <w:lang w:val="en-GB"/>
              </w:rPr>
            </w:pPr>
            <w:commentRangeStart w:id="3"/>
            <w:r w:rsidRPr="007F14B8">
              <w:rPr>
                <w:szCs w:val="17"/>
                <w:highlight w:val="yellow"/>
                <w:lang w:val="en-GB"/>
              </w:rPr>
              <w:t xml:space="preserve">Expanding </w:t>
            </w:r>
            <w:commentRangeEnd w:id="3"/>
            <w:r w:rsidR="00FA6684">
              <w:rPr>
                <w:rStyle w:val="CommentReference"/>
                <w:rFonts w:cs="Times New Roman"/>
                <w:color w:val="auto"/>
                <w:lang w:val="en-GB"/>
              </w:rPr>
              <w:commentReference w:id="3"/>
            </w:r>
            <w:r w:rsidRPr="007F14B8">
              <w:rPr>
                <w:szCs w:val="17"/>
                <w:highlight w:val="yellow"/>
                <w:lang w:val="en-GB"/>
              </w:rPr>
              <w:t xml:space="preserve">the scope will only reduce the ability to develop a meaningful, useful and comparable information document for consumers. This regulation needs to focus on packaged retail products while other products, such as certain life insurance products and pensions, should not be forced within the untailored scope of PRIPs. </w:t>
            </w:r>
            <w:r w:rsidR="00516746" w:rsidRPr="007F14B8">
              <w:rPr>
                <w:szCs w:val="17"/>
                <w:highlight w:val="yellow"/>
                <w:lang w:val="en-GB"/>
              </w:rPr>
              <w:t xml:space="preserve">The aim of the PRIPs initiative should be to offer </w:t>
            </w:r>
            <w:r w:rsidR="00516746" w:rsidRPr="007F14B8">
              <w:rPr>
                <w:i/>
                <w:szCs w:val="17"/>
                <w:highlight w:val="yellow"/>
                <w:lang w:val="en-GB"/>
              </w:rPr>
              <w:t>better</w:t>
            </w:r>
            <w:r w:rsidR="00516746" w:rsidRPr="007F14B8">
              <w:rPr>
                <w:szCs w:val="17"/>
                <w:highlight w:val="yellow"/>
                <w:lang w:val="en-GB"/>
              </w:rPr>
              <w:t xml:space="preserve"> information, not </w:t>
            </w:r>
            <w:r w:rsidR="00516746" w:rsidRPr="007F14B8">
              <w:rPr>
                <w:i/>
                <w:szCs w:val="17"/>
                <w:highlight w:val="yellow"/>
                <w:lang w:val="en-GB"/>
              </w:rPr>
              <w:t>more</w:t>
            </w:r>
            <w:r w:rsidR="00516746" w:rsidRPr="007F14B8">
              <w:rPr>
                <w:szCs w:val="17"/>
                <w:highlight w:val="yellow"/>
                <w:lang w:val="en-GB"/>
              </w:rPr>
              <w:t xml:space="preserve"> information.</w:t>
            </w:r>
            <w:r w:rsidR="00516746" w:rsidRPr="008209CA">
              <w:rPr>
                <w:szCs w:val="17"/>
                <w:lang w:val="en-GB"/>
              </w:rPr>
              <w:t xml:space="preserve"> </w:t>
            </w:r>
          </w:p>
          <w:p w:rsidR="00C158FB" w:rsidRPr="008209CA" w:rsidRDefault="00C158FB" w:rsidP="002D7584">
            <w:pPr>
              <w:pStyle w:val="CEABullet-Level1"/>
              <w:numPr>
                <w:ilvl w:val="0"/>
                <w:numId w:val="0"/>
              </w:numPr>
              <w:rPr>
                <w:szCs w:val="17"/>
                <w:lang w:val="en-GB"/>
              </w:rPr>
            </w:pPr>
          </w:p>
          <w:p w:rsidR="00922E3A" w:rsidRPr="008209CA" w:rsidRDefault="00922E3A" w:rsidP="00922E3A">
            <w:pPr>
              <w:pStyle w:val="CEABullet-Level1"/>
              <w:rPr>
                <w:szCs w:val="17"/>
                <w:lang w:val="en-GB"/>
              </w:rPr>
            </w:pPr>
            <w:r w:rsidRPr="008209CA">
              <w:rPr>
                <w:szCs w:val="17"/>
                <w:lang w:val="en-GB"/>
              </w:rPr>
              <w:t>Insurance Europe supports all amendments replacing “investment products” by “packaged retail investment products” or “PRIPs”</w:t>
            </w:r>
            <w:r w:rsidR="00B70306" w:rsidRPr="008209CA">
              <w:rPr>
                <w:szCs w:val="17"/>
                <w:lang w:val="en-GB"/>
              </w:rPr>
              <w:t>.</w:t>
            </w:r>
          </w:p>
          <w:p w:rsidR="00922E3A" w:rsidRPr="008209CA" w:rsidRDefault="00922E3A" w:rsidP="00922E3A">
            <w:pPr>
              <w:pStyle w:val="CEABullet-Level1"/>
              <w:rPr>
                <w:szCs w:val="17"/>
                <w:lang w:val="en-GB"/>
              </w:rPr>
            </w:pPr>
            <w:r w:rsidRPr="008209CA">
              <w:rPr>
                <w:szCs w:val="17"/>
                <w:lang w:val="en-GB"/>
              </w:rPr>
              <w:t>Insurance Europe strongly supports AMT169-170</w:t>
            </w:r>
            <w:r w:rsidR="00B70306" w:rsidRPr="008209CA">
              <w:rPr>
                <w:szCs w:val="17"/>
                <w:lang w:val="en-GB"/>
              </w:rPr>
              <w:t>.</w:t>
            </w:r>
          </w:p>
          <w:p w:rsidR="00922E3A" w:rsidRPr="008209CA" w:rsidRDefault="00C158FB" w:rsidP="00C158FB">
            <w:pPr>
              <w:pStyle w:val="CEABullet-Level1"/>
              <w:rPr>
                <w:szCs w:val="17"/>
                <w:lang w:val="en-GB"/>
              </w:rPr>
            </w:pPr>
            <w:r w:rsidRPr="008209CA">
              <w:rPr>
                <w:szCs w:val="17"/>
                <w:lang w:val="en-GB"/>
              </w:rPr>
              <w:lastRenderedPageBreak/>
              <w:t xml:space="preserve">Insurance Europe opposes AMT77. Insurance Europe supports the idea behind AMT90 but remains concerned the recital does not exclude all pension products </w:t>
            </w:r>
            <w:proofErr w:type="gramStart"/>
            <w:r w:rsidRPr="008209CA">
              <w:rPr>
                <w:szCs w:val="17"/>
                <w:lang w:val="en-GB"/>
              </w:rPr>
              <w:t>nor</w:t>
            </w:r>
            <w:proofErr w:type="gramEnd"/>
            <w:r w:rsidRPr="008209CA">
              <w:rPr>
                <w:szCs w:val="17"/>
                <w:lang w:val="en-GB"/>
              </w:rPr>
              <w:t xml:space="preserve"> life insurance products where the investment risk is not born by the consumer.</w:t>
            </w:r>
          </w:p>
        </w:tc>
      </w:tr>
      <w:tr w:rsidR="00AF64A5" w:rsidRPr="008209CA" w:rsidTr="00DC18B5">
        <w:trPr>
          <w:trHeight w:val="4"/>
        </w:trPr>
        <w:tc>
          <w:tcPr>
            <w:tcW w:w="1691" w:type="dxa"/>
            <w:tcBorders>
              <w:top w:val="single" w:sz="4" w:space="0" w:color="auto"/>
              <w:left w:val="single" w:sz="4" w:space="0" w:color="auto"/>
              <w:bottom w:val="single" w:sz="4" w:space="0" w:color="auto"/>
              <w:right w:val="single" w:sz="4" w:space="0" w:color="auto"/>
            </w:tcBorders>
            <w:vAlign w:val="center"/>
          </w:tcPr>
          <w:p w:rsidR="009329B0" w:rsidRPr="008209CA" w:rsidRDefault="00262B12" w:rsidP="006C3FCA">
            <w:pPr>
              <w:spacing w:before="60" w:after="60"/>
              <w:jc w:val="center"/>
              <w:rPr>
                <w:b/>
                <w:szCs w:val="17"/>
                <w:lang w:val="nl-BE"/>
              </w:rPr>
            </w:pPr>
            <w:r w:rsidRPr="008209CA">
              <w:rPr>
                <w:b/>
                <w:szCs w:val="17"/>
                <w:lang w:val="nl-BE"/>
              </w:rPr>
              <w:lastRenderedPageBreak/>
              <w:t xml:space="preserve">AMT89, </w:t>
            </w:r>
            <w:r w:rsidR="0008493F" w:rsidRPr="008209CA">
              <w:rPr>
                <w:b/>
                <w:szCs w:val="17"/>
                <w:lang w:val="nl-BE"/>
              </w:rPr>
              <w:t xml:space="preserve">AMT92, </w:t>
            </w:r>
            <w:r w:rsidR="00BD2C50" w:rsidRPr="008209CA">
              <w:rPr>
                <w:b/>
                <w:szCs w:val="17"/>
                <w:lang w:val="nl-BE"/>
              </w:rPr>
              <w:t>AMT171, AMT189-</w:t>
            </w:r>
            <w:r w:rsidR="009329B0" w:rsidRPr="008209CA">
              <w:rPr>
                <w:b/>
                <w:szCs w:val="17"/>
                <w:lang w:val="nl-BE"/>
              </w:rPr>
              <w:t xml:space="preserve">190, </w:t>
            </w:r>
            <w:r w:rsidR="00BD2C50" w:rsidRPr="008209CA">
              <w:rPr>
                <w:b/>
                <w:szCs w:val="17"/>
                <w:lang w:val="nl-BE"/>
              </w:rPr>
              <w:t>AMT</w:t>
            </w:r>
            <w:r w:rsidR="009329B0" w:rsidRPr="008209CA">
              <w:rPr>
                <w:b/>
                <w:szCs w:val="17"/>
                <w:lang w:val="nl-BE"/>
              </w:rPr>
              <w:t>19</w:t>
            </w:r>
            <w:r w:rsidR="002A242E" w:rsidRPr="008209CA">
              <w:rPr>
                <w:b/>
                <w:szCs w:val="17"/>
                <w:lang w:val="nl-BE"/>
              </w:rPr>
              <w:t>1</w:t>
            </w:r>
            <w:r w:rsidR="00BD2C50" w:rsidRPr="008209CA">
              <w:rPr>
                <w:b/>
                <w:szCs w:val="17"/>
                <w:lang w:val="nl-BE"/>
              </w:rPr>
              <w:t xml:space="preserve"> </w:t>
            </w:r>
            <w:r w:rsidR="009329B0" w:rsidRPr="008209CA">
              <w:rPr>
                <w:b/>
                <w:szCs w:val="17"/>
                <w:lang w:val="nl-BE"/>
              </w:rPr>
              <w:t>-199</w:t>
            </w:r>
            <w:r w:rsidR="006A5E41" w:rsidRPr="008209CA">
              <w:rPr>
                <w:b/>
                <w:szCs w:val="17"/>
                <w:lang w:val="nl-BE"/>
              </w:rPr>
              <w:t>, AMT414-417</w:t>
            </w:r>
          </w:p>
          <w:p w:rsidR="002A242E" w:rsidRPr="008209CA" w:rsidRDefault="002A242E" w:rsidP="006C3FCA">
            <w:pPr>
              <w:spacing w:before="60" w:after="60"/>
              <w:jc w:val="center"/>
              <w:rPr>
                <w:b/>
                <w:szCs w:val="17"/>
                <w:lang w:val="nl-BE"/>
              </w:rPr>
            </w:pPr>
          </w:p>
        </w:tc>
        <w:tc>
          <w:tcPr>
            <w:tcW w:w="1974" w:type="dxa"/>
            <w:tcBorders>
              <w:top w:val="single" w:sz="4" w:space="0" w:color="auto"/>
              <w:left w:val="single" w:sz="4" w:space="0" w:color="auto"/>
              <w:bottom w:val="single" w:sz="4" w:space="0" w:color="auto"/>
              <w:right w:val="single" w:sz="4" w:space="0" w:color="auto"/>
            </w:tcBorders>
            <w:vAlign w:val="center"/>
          </w:tcPr>
          <w:p w:rsidR="009329B0" w:rsidRPr="008209CA" w:rsidRDefault="00262B12" w:rsidP="006C3FCA">
            <w:pPr>
              <w:spacing w:before="60" w:after="60"/>
              <w:jc w:val="center"/>
              <w:rPr>
                <w:szCs w:val="17"/>
                <w:lang w:val="fr-FR"/>
              </w:rPr>
            </w:pPr>
            <w:proofErr w:type="spellStart"/>
            <w:r w:rsidRPr="008209CA">
              <w:rPr>
                <w:szCs w:val="17"/>
                <w:lang w:val="fr-FR"/>
              </w:rPr>
              <w:t>Recital</w:t>
            </w:r>
            <w:proofErr w:type="spellEnd"/>
            <w:r w:rsidRPr="008209CA">
              <w:rPr>
                <w:szCs w:val="17"/>
                <w:lang w:val="fr-FR"/>
              </w:rPr>
              <w:t xml:space="preserve"> 7, </w:t>
            </w:r>
            <w:r w:rsidR="00BD2C50" w:rsidRPr="008209CA">
              <w:rPr>
                <w:szCs w:val="17"/>
                <w:lang w:val="fr-FR"/>
              </w:rPr>
              <w:t xml:space="preserve">Article 2 – para.2, Article 2 – para.2 – point e, </w:t>
            </w:r>
            <w:r w:rsidR="009329B0" w:rsidRPr="008209CA">
              <w:rPr>
                <w:szCs w:val="17"/>
                <w:lang w:val="fr-FR"/>
              </w:rPr>
              <w:t>Article 2–para.2–point f, Article 2–para.2–point f a (new)</w:t>
            </w:r>
            <w:r w:rsidR="006A5E41" w:rsidRPr="008209CA">
              <w:rPr>
                <w:szCs w:val="17"/>
                <w:lang w:val="fr-FR"/>
              </w:rPr>
              <w:t>, Article 8 – para.2 – point h</w:t>
            </w:r>
          </w:p>
        </w:tc>
        <w:tc>
          <w:tcPr>
            <w:tcW w:w="2115" w:type="dxa"/>
            <w:tcBorders>
              <w:top w:val="single" w:sz="4" w:space="0" w:color="auto"/>
              <w:left w:val="single" w:sz="4" w:space="0" w:color="auto"/>
              <w:bottom w:val="single" w:sz="4" w:space="0" w:color="auto"/>
              <w:right w:val="single" w:sz="4" w:space="0" w:color="auto"/>
            </w:tcBorders>
            <w:vAlign w:val="center"/>
          </w:tcPr>
          <w:p w:rsidR="009329B0" w:rsidRPr="008209CA" w:rsidRDefault="00BD2C50" w:rsidP="006C3FCA">
            <w:pPr>
              <w:spacing w:before="60" w:after="60"/>
              <w:jc w:val="center"/>
              <w:rPr>
                <w:i/>
                <w:szCs w:val="17"/>
                <w:lang w:val="fr-FR"/>
              </w:rPr>
            </w:pPr>
            <w:r w:rsidRPr="008209CA">
              <w:rPr>
                <w:i/>
                <w:szCs w:val="17"/>
                <w:lang w:val="fr-FR"/>
              </w:rPr>
              <w:t xml:space="preserve">Thomas Händel, Sven </w:t>
            </w:r>
            <w:proofErr w:type="spellStart"/>
            <w:r w:rsidRPr="008209CA">
              <w:rPr>
                <w:i/>
                <w:szCs w:val="17"/>
                <w:lang w:val="fr-FR"/>
              </w:rPr>
              <w:t>Giegold</w:t>
            </w:r>
            <w:proofErr w:type="spellEnd"/>
            <w:r w:rsidRPr="008209CA">
              <w:rPr>
                <w:i/>
                <w:szCs w:val="17"/>
                <w:lang w:val="fr-FR"/>
              </w:rPr>
              <w:t xml:space="preserve">, </w:t>
            </w:r>
            <w:proofErr w:type="spellStart"/>
            <w:r w:rsidR="009329B0" w:rsidRPr="008209CA">
              <w:rPr>
                <w:i/>
                <w:szCs w:val="17"/>
                <w:lang w:val="fr-FR"/>
              </w:rPr>
              <w:t>Sirpa</w:t>
            </w:r>
            <w:proofErr w:type="spellEnd"/>
            <w:r w:rsidR="009329B0" w:rsidRPr="008209CA">
              <w:rPr>
                <w:i/>
                <w:szCs w:val="17"/>
                <w:lang w:val="fr-FR"/>
              </w:rPr>
              <w:t xml:space="preserve"> </w:t>
            </w:r>
            <w:proofErr w:type="spellStart"/>
            <w:r w:rsidR="009329B0" w:rsidRPr="008209CA">
              <w:rPr>
                <w:i/>
                <w:szCs w:val="17"/>
                <w:lang w:val="fr-FR"/>
              </w:rPr>
              <w:t>Pietikäinen</w:t>
            </w:r>
            <w:proofErr w:type="spellEnd"/>
            <w:r w:rsidR="009329B0" w:rsidRPr="008209CA">
              <w:rPr>
                <w:i/>
                <w:szCs w:val="17"/>
                <w:lang w:val="fr-FR"/>
              </w:rPr>
              <w:t xml:space="preserve">, Syed </w:t>
            </w:r>
            <w:proofErr w:type="spellStart"/>
            <w:r w:rsidR="009329B0" w:rsidRPr="008209CA">
              <w:rPr>
                <w:i/>
                <w:szCs w:val="17"/>
                <w:lang w:val="fr-FR"/>
              </w:rPr>
              <w:t>Kamall</w:t>
            </w:r>
            <w:proofErr w:type="spellEnd"/>
            <w:r w:rsidR="009329B0" w:rsidRPr="008209CA">
              <w:rPr>
                <w:i/>
                <w:szCs w:val="17"/>
                <w:lang w:val="fr-FR"/>
              </w:rPr>
              <w:t xml:space="preserve">, </w:t>
            </w:r>
            <w:proofErr w:type="spellStart"/>
            <w:r w:rsidR="009329B0" w:rsidRPr="008209CA">
              <w:rPr>
                <w:i/>
                <w:szCs w:val="17"/>
                <w:lang w:val="fr-FR"/>
              </w:rPr>
              <w:t>Burkhard</w:t>
            </w:r>
            <w:proofErr w:type="spellEnd"/>
            <w:r w:rsidR="009329B0" w:rsidRPr="008209CA">
              <w:rPr>
                <w:i/>
                <w:szCs w:val="17"/>
                <w:lang w:val="fr-FR"/>
              </w:rPr>
              <w:t xml:space="preserve"> </w:t>
            </w:r>
            <w:proofErr w:type="spellStart"/>
            <w:r w:rsidR="009329B0" w:rsidRPr="008209CA">
              <w:rPr>
                <w:i/>
                <w:szCs w:val="17"/>
                <w:lang w:val="fr-FR"/>
              </w:rPr>
              <w:t>Balz</w:t>
            </w:r>
            <w:proofErr w:type="spellEnd"/>
            <w:r w:rsidR="009329B0" w:rsidRPr="008209CA">
              <w:rPr>
                <w:i/>
                <w:szCs w:val="17"/>
                <w:lang w:val="fr-FR"/>
              </w:rPr>
              <w:t xml:space="preserve">, Alfredo </w:t>
            </w:r>
            <w:proofErr w:type="spellStart"/>
            <w:r w:rsidR="009329B0" w:rsidRPr="008209CA">
              <w:rPr>
                <w:i/>
                <w:szCs w:val="17"/>
                <w:lang w:val="fr-FR"/>
              </w:rPr>
              <w:t>Pallone</w:t>
            </w:r>
            <w:proofErr w:type="spellEnd"/>
            <w:r w:rsidR="009329B0" w:rsidRPr="008209CA">
              <w:rPr>
                <w:i/>
                <w:szCs w:val="17"/>
                <w:lang w:val="fr-FR"/>
              </w:rPr>
              <w:t xml:space="preserve">, Olle Schmidt, Nils </w:t>
            </w:r>
            <w:proofErr w:type="spellStart"/>
            <w:r w:rsidR="009329B0" w:rsidRPr="008209CA">
              <w:rPr>
                <w:i/>
                <w:szCs w:val="17"/>
                <w:lang w:val="fr-FR"/>
              </w:rPr>
              <w:t>Torvalds</w:t>
            </w:r>
            <w:proofErr w:type="spellEnd"/>
            <w:r w:rsidR="009329B0" w:rsidRPr="008209CA">
              <w:rPr>
                <w:i/>
                <w:szCs w:val="17"/>
                <w:lang w:val="fr-FR"/>
              </w:rPr>
              <w:t xml:space="preserve">, </w:t>
            </w:r>
            <w:proofErr w:type="spellStart"/>
            <w:r w:rsidR="009329B0" w:rsidRPr="008209CA">
              <w:rPr>
                <w:i/>
                <w:szCs w:val="17"/>
                <w:lang w:val="fr-FR"/>
              </w:rPr>
              <w:t>Ildikó</w:t>
            </w:r>
            <w:proofErr w:type="spellEnd"/>
            <w:r w:rsidR="009329B0" w:rsidRPr="008209CA">
              <w:rPr>
                <w:i/>
                <w:szCs w:val="17"/>
                <w:lang w:val="fr-FR"/>
              </w:rPr>
              <w:t xml:space="preserve"> </w:t>
            </w:r>
            <w:proofErr w:type="spellStart"/>
            <w:r w:rsidR="009329B0" w:rsidRPr="008209CA">
              <w:rPr>
                <w:i/>
                <w:szCs w:val="17"/>
                <w:lang w:val="fr-FR"/>
              </w:rPr>
              <w:t>Gáll-Pelcz</w:t>
            </w:r>
            <w:proofErr w:type="spellEnd"/>
            <w:r w:rsidR="006A5E41" w:rsidRPr="008209CA">
              <w:rPr>
                <w:i/>
                <w:szCs w:val="17"/>
                <w:lang w:val="fr-FR"/>
              </w:rPr>
              <w:t xml:space="preserve">, Udo </w:t>
            </w:r>
            <w:proofErr w:type="spellStart"/>
            <w:r w:rsidR="006A5E41" w:rsidRPr="008209CA">
              <w:rPr>
                <w:i/>
                <w:szCs w:val="17"/>
                <w:lang w:val="fr-FR"/>
              </w:rPr>
              <w:t>Bullmann</w:t>
            </w:r>
            <w:proofErr w:type="spellEnd"/>
            <w:r w:rsidR="006A5E41" w:rsidRPr="008209CA">
              <w:rPr>
                <w:i/>
                <w:szCs w:val="17"/>
                <w:lang w:val="fr-FR"/>
              </w:rPr>
              <w:t>, Peter Simon</w:t>
            </w:r>
          </w:p>
        </w:tc>
        <w:tc>
          <w:tcPr>
            <w:tcW w:w="10153" w:type="dxa"/>
            <w:tcBorders>
              <w:top w:val="single" w:sz="4" w:space="0" w:color="auto"/>
              <w:left w:val="single" w:sz="4" w:space="0" w:color="auto"/>
              <w:bottom w:val="single" w:sz="4" w:space="0" w:color="auto"/>
              <w:right w:val="single" w:sz="4" w:space="0" w:color="auto"/>
            </w:tcBorders>
          </w:tcPr>
          <w:p w:rsidR="009329B0" w:rsidRPr="008209CA" w:rsidRDefault="009329B0" w:rsidP="006C3FCA">
            <w:pPr>
              <w:pStyle w:val="CEABullet-Level1"/>
              <w:numPr>
                <w:ilvl w:val="0"/>
                <w:numId w:val="0"/>
              </w:numPr>
              <w:rPr>
                <w:b/>
                <w:i/>
                <w:szCs w:val="17"/>
                <w:lang w:val="en-GB"/>
              </w:rPr>
            </w:pPr>
            <w:commentRangeStart w:id="4"/>
            <w:r w:rsidRPr="008209CA">
              <w:rPr>
                <w:b/>
                <w:i/>
                <w:szCs w:val="17"/>
                <w:lang w:val="en-GB"/>
              </w:rPr>
              <w:t>Pensions</w:t>
            </w:r>
            <w:commentRangeEnd w:id="4"/>
            <w:r w:rsidR="00FA6684">
              <w:rPr>
                <w:rStyle w:val="CommentReference"/>
                <w:rFonts w:cs="Times New Roman"/>
                <w:color w:val="auto"/>
                <w:lang w:val="en-GB"/>
              </w:rPr>
              <w:commentReference w:id="4"/>
            </w:r>
            <w:r w:rsidR="00331233" w:rsidRPr="008209CA">
              <w:rPr>
                <w:b/>
                <w:i/>
                <w:szCs w:val="17"/>
                <w:lang w:val="en-GB"/>
              </w:rPr>
              <w:t>, including occupational pensions,</w:t>
            </w:r>
            <w:r w:rsidRPr="008209CA">
              <w:rPr>
                <w:b/>
                <w:i/>
                <w:szCs w:val="17"/>
                <w:lang w:val="en-GB"/>
              </w:rPr>
              <w:t xml:space="preserve"> should be excluded from the scope of PRIPs</w:t>
            </w:r>
          </w:p>
          <w:p w:rsidR="00FA6684" w:rsidRPr="008209CA" w:rsidRDefault="00FA6684" w:rsidP="00FA6684">
            <w:pPr>
              <w:pStyle w:val="CEABullet-Level1"/>
              <w:numPr>
                <w:ilvl w:val="0"/>
                <w:numId w:val="0"/>
              </w:numPr>
              <w:rPr>
                <w:szCs w:val="17"/>
                <w:lang w:val="en-GB"/>
              </w:rPr>
            </w:pPr>
            <w:r w:rsidRPr="00FA6684">
              <w:rPr>
                <w:szCs w:val="17"/>
                <w:highlight w:val="yellow"/>
                <w:lang w:val="en-GB"/>
              </w:rPr>
              <w:t>Insurance Europe supports the EC intention to exclude occupational pensions.</w:t>
            </w:r>
            <w:r>
              <w:rPr>
                <w:szCs w:val="17"/>
                <w:lang w:val="en-GB"/>
              </w:rPr>
              <w:t xml:space="preserve"> O</w:t>
            </w:r>
            <w:r w:rsidRPr="008209CA">
              <w:rPr>
                <w:szCs w:val="17"/>
                <w:lang w:val="en-GB"/>
              </w:rPr>
              <w:t xml:space="preserve">ccupational pension products relate to member states’ social and labour law and cannot be regarded as investment products. This is particularly the case where national law requires a contribution from the employer or where employers offer pension promises to their employees. Moreover, decisions on the choice of the provider of the retirement scheme that is offered to the employees will be the result of a thorough assessment of the different providers. Such assessment will go beyond the information that is currently provided in a KID as occupational retirement schemes are often not offered as standardised products by the providers. They may be the result of social dialogues after which the employers looks for a provider that is willing to offer this occupational retirement scheme. Employers will not only look for the information as included in the KID but also for other information such as risk pooling, operational issues, risks associated with the provision of sponsor support etc.  </w:t>
            </w:r>
          </w:p>
          <w:p w:rsidR="00FA6684" w:rsidRPr="008209CA" w:rsidRDefault="00FA6684" w:rsidP="00FA6684">
            <w:pPr>
              <w:pStyle w:val="CEABullet-Level1"/>
              <w:numPr>
                <w:ilvl w:val="0"/>
                <w:numId w:val="0"/>
              </w:numPr>
              <w:rPr>
                <w:szCs w:val="17"/>
                <w:lang w:val="en-GB"/>
              </w:rPr>
            </w:pPr>
          </w:p>
          <w:p w:rsidR="00FA6684" w:rsidRPr="008209CA" w:rsidRDefault="00FA6684" w:rsidP="00FA6684">
            <w:pPr>
              <w:pStyle w:val="CEABullet-Level1"/>
              <w:numPr>
                <w:ilvl w:val="0"/>
                <w:numId w:val="0"/>
              </w:numPr>
              <w:rPr>
                <w:szCs w:val="17"/>
                <w:lang w:val="en-GB"/>
              </w:rPr>
            </w:pPr>
            <w:r w:rsidRPr="008209CA">
              <w:rPr>
                <w:szCs w:val="17"/>
                <w:lang w:val="en-GB"/>
              </w:rPr>
              <w:t xml:space="preserve">Furthermore, Insurance Europe wants to highlight that examples where nor the employer nor the employee can choose the pension product provider are very limited. In these situations, the choice of the provider has been discussed at sectorial level.  </w:t>
            </w:r>
          </w:p>
          <w:p w:rsidR="00FA6684" w:rsidRPr="008209CA" w:rsidRDefault="00FA6684" w:rsidP="00FA6684">
            <w:pPr>
              <w:pStyle w:val="CEABullet-Level1"/>
              <w:numPr>
                <w:ilvl w:val="0"/>
                <w:numId w:val="0"/>
              </w:numPr>
              <w:rPr>
                <w:szCs w:val="17"/>
                <w:lang w:val="en-GB"/>
              </w:rPr>
            </w:pPr>
          </w:p>
          <w:p w:rsidR="00FA6684" w:rsidRDefault="00FA6684" w:rsidP="00FA6684">
            <w:pPr>
              <w:pStyle w:val="CEABullet-Level1"/>
              <w:rPr>
                <w:lang w:val="en-GB"/>
              </w:rPr>
            </w:pPr>
            <w:r w:rsidRPr="008209CA">
              <w:rPr>
                <w:lang w:val="en-GB"/>
              </w:rPr>
              <w:t>Insurance Europe opposes AMT171, AMT189 and AMT192.</w:t>
            </w:r>
          </w:p>
          <w:p w:rsidR="00FA6684" w:rsidRDefault="00FA6684" w:rsidP="006C3FCA">
            <w:pPr>
              <w:pStyle w:val="CEABullet-Level1"/>
              <w:numPr>
                <w:ilvl w:val="0"/>
                <w:numId w:val="0"/>
              </w:numPr>
              <w:rPr>
                <w:szCs w:val="17"/>
                <w:lang w:val="en-GB"/>
              </w:rPr>
            </w:pPr>
          </w:p>
          <w:p w:rsidR="009329B0" w:rsidRPr="008209CA" w:rsidRDefault="00FA6684" w:rsidP="006C3FCA">
            <w:pPr>
              <w:pStyle w:val="CEABullet-Level1"/>
              <w:numPr>
                <w:ilvl w:val="0"/>
                <w:numId w:val="0"/>
              </w:numPr>
              <w:rPr>
                <w:szCs w:val="17"/>
                <w:lang w:val="en-GB"/>
              </w:rPr>
            </w:pPr>
            <w:r>
              <w:rPr>
                <w:szCs w:val="17"/>
                <w:lang w:val="en-GB"/>
              </w:rPr>
              <w:t>Furthermore,</w:t>
            </w:r>
            <w:r w:rsidR="00BD2C50" w:rsidRPr="008209CA">
              <w:rPr>
                <w:szCs w:val="17"/>
                <w:lang w:val="en-GB"/>
              </w:rPr>
              <w:t xml:space="preserve"> </w:t>
            </w:r>
            <w:r w:rsidR="00A1670C" w:rsidRPr="008209CA">
              <w:rPr>
                <w:szCs w:val="17"/>
                <w:lang w:val="en-GB"/>
              </w:rPr>
              <w:t>I</w:t>
            </w:r>
            <w:r w:rsidR="009329B0" w:rsidRPr="008209CA">
              <w:rPr>
                <w:szCs w:val="17"/>
                <w:lang w:val="en-GB"/>
              </w:rPr>
              <w:t xml:space="preserve">nsurance Europe supports </w:t>
            </w:r>
            <w:r>
              <w:rPr>
                <w:szCs w:val="17"/>
                <w:lang w:val="en-GB"/>
              </w:rPr>
              <w:t>amendments which exclude</w:t>
            </w:r>
            <w:r w:rsidR="009329B0" w:rsidRPr="008209CA">
              <w:rPr>
                <w:szCs w:val="17"/>
                <w:lang w:val="en-GB"/>
              </w:rPr>
              <w:t xml:space="preserve"> </w:t>
            </w:r>
            <w:r>
              <w:rPr>
                <w:szCs w:val="17"/>
                <w:lang w:val="en-GB"/>
              </w:rPr>
              <w:t xml:space="preserve">all </w:t>
            </w:r>
            <w:r w:rsidR="009329B0" w:rsidRPr="008209CA">
              <w:rPr>
                <w:szCs w:val="17"/>
                <w:lang w:val="en-GB"/>
              </w:rPr>
              <w:t>pension products since pension products are not comparable with investment products because, unlike PRIPs, (</w:t>
            </w:r>
            <w:proofErr w:type="spellStart"/>
            <w:r w:rsidR="009329B0" w:rsidRPr="008209CA">
              <w:rPr>
                <w:szCs w:val="17"/>
                <w:lang w:val="en-GB"/>
              </w:rPr>
              <w:t>i</w:t>
            </w:r>
            <w:proofErr w:type="spellEnd"/>
            <w:r w:rsidR="009329B0" w:rsidRPr="008209CA">
              <w:rPr>
                <w:szCs w:val="17"/>
                <w:lang w:val="en-GB"/>
              </w:rPr>
              <w:t xml:space="preserve">) they are a cover against the longevity risk rather than an investment product, and (ii) they offer limited or no access to these savings during the accumulation phase. </w:t>
            </w:r>
          </w:p>
          <w:p w:rsidR="00331233" w:rsidRPr="008209CA" w:rsidRDefault="00331233" w:rsidP="006C3FCA">
            <w:pPr>
              <w:pStyle w:val="CEABullet-Level1"/>
              <w:numPr>
                <w:ilvl w:val="0"/>
                <w:numId w:val="0"/>
              </w:numPr>
              <w:rPr>
                <w:szCs w:val="17"/>
                <w:lang w:val="en-GB"/>
              </w:rPr>
            </w:pPr>
          </w:p>
          <w:p w:rsidR="00331233" w:rsidRPr="008209CA" w:rsidRDefault="00331233" w:rsidP="006C3FCA">
            <w:pPr>
              <w:pStyle w:val="CEABullet-Level1"/>
              <w:numPr>
                <w:ilvl w:val="0"/>
                <w:numId w:val="0"/>
              </w:numPr>
              <w:rPr>
                <w:szCs w:val="17"/>
                <w:lang w:val="en-GB"/>
              </w:rPr>
            </w:pPr>
            <w:r w:rsidRPr="008209CA">
              <w:rPr>
                <w:szCs w:val="17"/>
                <w:lang w:val="en-GB"/>
              </w:rPr>
              <w:t>Since there is no single definition of a pension produ</w:t>
            </w:r>
            <w:r w:rsidR="002A242E" w:rsidRPr="008209CA">
              <w:rPr>
                <w:szCs w:val="17"/>
                <w:lang w:val="en-GB"/>
              </w:rPr>
              <w:t xml:space="preserve">ct across all EU Member States and not all pension products are “officially recognised”, </w:t>
            </w:r>
            <w:r w:rsidRPr="008209CA">
              <w:rPr>
                <w:szCs w:val="17"/>
                <w:lang w:val="en-GB"/>
              </w:rPr>
              <w:t>Insurance Europe suggests referring to article 4(d) of the PRIPs initiative to define pension products.</w:t>
            </w:r>
          </w:p>
          <w:p w:rsidR="00331233" w:rsidRPr="008209CA" w:rsidRDefault="00331233" w:rsidP="006C3FCA">
            <w:pPr>
              <w:pStyle w:val="CEABullet-Level1"/>
              <w:numPr>
                <w:ilvl w:val="0"/>
                <w:numId w:val="0"/>
              </w:numPr>
              <w:rPr>
                <w:szCs w:val="17"/>
                <w:lang w:val="en-GB"/>
              </w:rPr>
            </w:pPr>
          </w:p>
          <w:p w:rsidR="002A242E" w:rsidRPr="008209CA" w:rsidRDefault="00331233" w:rsidP="00331233">
            <w:pPr>
              <w:pStyle w:val="CEABullet-Level1"/>
              <w:rPr>
                <w:szCs w:val="17"/>
                <w:lang w:val="en-GB"/>
              </w:rPr>
            </w:pPr>
            <w:r w:rsidRPr="008209CA">
              <w:rPr>
                <w:szCs w:val="17"/>
                <w:lang w:val="en-GB"/>
              </w:rPr>
              <w:t xml:space="preserve">Insurance Europe strongly supports AMT191 and AMT194. </w:t>
            </w:r>
            <w:r w:rsidR="006A5E41" w:rsidRPr="008209CA">
              <w:rPr>
                <w:szCs w:val="17"/>
                <w:lang w:val="en-GB"/>
              </w:rPr>
              <w:t xml:space="preserve">Insurance Europe also supports AMT414 </w:t>
            </w:r>
            <w:r w:rsidR="006A5E41" w:rsidRPr="008209CA">
              <w:rPr>
                <w:szCs w:val="17"/>
                <w:lang w:val="en-GB"/>
              </w:rPr>
              <w:lastRenderedPageBreak/>
              <w:t xml:space="preserve">deleting the KID information section on pensions. </w:t>
            </w:r>
          </w:p>
          <w:p w:rsidR="006A5E41" w:rsidRPr="008209CA" w:rsidRDefault="006A5E41" w:rsidP="00331233">
            <w:pPr>
              <w:pStyle w:val="CEABullet-Level1"/>
              <w:rPr>
                <w:szCs w:val="17"/>
                <w:lang w:val="en-GB"/>
              </w:rPr>
            </w:pPr>
            <w:r w:rsidRPr="008209CA">
              <w:rPr>
                <w:szCs w:val="17"/>
                <w:lang w:val="en-GB"/>
              </w:rPr>
              <w:t xml:space="preserve">Insurance Europe opposes AMT415-417 </w:t>
            </w:r>
            <w:r w:rsidR="004C79D0" w:rsidRPr="008209CA">
              <w:rPr>
                <w:szCs w:val="17"/>
                <w:lang w:val="en-GB"/>
              </w:rPr>
              <w:t xml:space="preserve">extending the information requirements regarding pensions. </w:t>
            </w:r>
          </w:p>
          <w:p w:rsidR="002A242E" w:rsidRPr="008209CA" w:rsidRDefault="002A242E" w:rsidP="00331233">
            <w:pPr>
              <w:pStyle w:val="CEABullet-Level1"/>
              <w:rPr>
                <w:szCs w:val="17"/>
                <w:lang w:val="en-GB"/>
              </w:rPr>
            </w:pPr>
            <w:r w:rsidRPr="008209CA">
              <w:rPr>
                <w:szCs w:val="17"/>
                <w:lang w:val="en-GB"/>
              </w:rPr>
              <w:t xml:space="preserve">Insurance Europe remains concerned that certain amendments intended to exclude all pension products do not achieve this goal given they refer to “officially recognised products” while not all pension products are officially recognised by member states. Insurance Europe therefore supports </w:t>
            </w:r>
            <w:r w:rsidR="00262B12" w:rsidRPr="008209CA">
              <w:rPr>
                <w:szCs w:val="17"/>
                <w:lang w:val="en-GB"/>
              </w:rPr>
              <w:t xml:space="preserve">AMT89, </w:t>
            </w:r>
            <w:r w:rsidR="00331233" w:rsidRPr="008209CA">
              <w:rPr>
                <w:szCs w:val="17"/>
                <w:lang w:val="en-GB"/>
              </w:rPr>
              <w:t>AMT193, AMT196-19</w:t>
            </w:r>
            <w:r w:rsidR="00AF64A5" w:rsidRPr="008209CA">
              <w:rPr>
                <w:szCs w:val="17"/>
                <w:lang w:val="en-GB"/>
              </w:rPr>
              <w:t>8</w:t>
            </w:r>
            <w:r w:rsidR="0008493F" w:rsidRPr="008209CA">
              <w:rPr>
                <w:szCs w:val="17"/>
                <w:lang w:val="en-GB"/>
              </w:rPr>
              <w:t xml:space="preserve"> and the section on pensions in AMT92</w:t>
            </w:r>
            <w:r w:rsidRPr="008209CA">
              <w:rPr>
                <w:szCs w:val="17"/>
                <w:lang w:val="en-GB"/>
              </w:rPr>
              <w:t xml:space="preserve"> but remains concerned these amendments do not exclude all pension products. </w:t>
            </w:r>
          </w:p>
          <w:p w:rsidR="009329B0" w:rsidRPr="008209CA" w:rsidRDefault="00331233" w:rsidP="002A242E">
            <w:pPr>
              <w:pStyle w:val="CEABullet-Level1"/>
              <w:rPr>
                <w:szCs w:val="17"/>
                <w:lang w:val="en-GB"/>
              </w:rPr>
            </w:pPr>
            <w:r w:rsidRPr="008209CA">
              <w:rPr>
                <w:szCs w:val="17"/>
                <w:lang w:val="en-GB"/>
              </w:rPr>
              <w:t xml:space="preserve">Insurance Europe </w:t>
            </w:r>
            <w:r w:rsidR="002A242E" w:rsidRPr="008209CA">
              <w:rPr>
                <w:szCs w:val="17"/>
                <w:lang w:val="en-GB"/>
              </w:rPr>
              <w:t xml:space="preserve">opposes amendments where concerns remain that contributions mandatory under national law would no longer be </w:t>
            </w:r>
            <w:r w:rsidR="00AF64A5" w:rsidRPr="008209CA">
              <w:rPr>
                <w:szCs w:val="17"/>
                <w:lang w:val="en-GB"/>
              </w:rPr>
              <w:t>excluded from the scope of PRIP, and therefore does not support</w:t>
            </w:r>
            <w:r w:rsidR="002A242E" w:rsidRPr="008209CA">
              <w:rPr>
                <w:szCs w:val="17"/>
                <w:lang w:val="en-GB"/>
              </w:rPr>
              <w:t xml:space="preserve"> </w:t>
            </w:r>
            <w:r w:rsidR="00CC4C42">
              <w:rPr>
                <w:szCs w:val="17"/>
                <w:lang w:val="en-GB"/>
              </w:rPr>
              <w:t>AMT</w:t>
            </w:r>
            <w:r w:rsidR="002A242E" w:rsidRPr="008209CA">
              <w:rPr>
                <w:szCs w:val="17"/>
                <w:lang w:val="en-GB"/>
              </w:rPr>
              <w:t>195.</w:t>
            </w:r>
          </w:p>
          <w:p w:rsidR="00BD2C50" w:rsidRPr="00AD160B" w:rsidRDefault="00AF64A5" w:rsidP="00AD160B">
            <w:pPr>
              <w:pStyle w:val="CEABullet-Level1"/>
              <w:rPr>
                <w:szCs w:val="17"/>
                <w:lang w:val="en-GB"/>
              </w:rPr>
            </w:pPr>
            <w:r w:rsidRPr="008209CA">
              <w:rPr>
                <w:szCs w:val="17"/>
                <w:lang w:val="en-GB"/>
              </w:rPr>
              <w:t>Insurance Europe also opposes amendments only excluding pension schemes falling under social security or amendments which do not exclude individual pensions; Insurance Europe therefore does</w:t>
            </w:r>
            <w:r w:rsidR="00AD160B">
              <w:rPr>
                <w:szCs w:val="17"/>
                <w:lang w:val="en-GB"/>
              </w:rPr>
              <w:t xml:space="preserve"> not support AMT190 and AMT199.</w:t>
            </w:r>
          </w:p>
        </w:tc>
      </w:tr>
      <w:tr w:rsidR="00AF64A5" w:rsidRPr="008209CA" w:rsidTr="00DB419A">
        <w:trPr>
          <w:trHeight w:val="20"/>
        </w:trPr>
        <w:tc>
          <w:tcPr>
            <w:tcW w:w="1691" w:type="dxa"/>
            <w:tcBorders>
              <w:top w:val="single" w:sz="4" w:space="0" w:color="auto"/>
              <w:left w:val="single" w:sz="4" w:space="0" w:color="auto"/>
              <w:bottom w:val="single" w:sz="4" w:space="0" w:color="auto"/>
              <w:right w:val="single" w:sz="4" w:space="0" w:color="auto"/>
            </w:tcBorders>
            <w:vAlign w:val="center"/>
          </w:tcPr>
          <w:p w:rsidR="00516746" w:rsidRPr="008209CA" w:rsidRDefault="0086792F" w:rsidP="002D7584">
            <w:pPr>
              <w:spacing w:before="60" w:after="60"/>
              <w:jc w:val="center"/>
              <w:rPr>
                <w:b/>
                <w:szCs w:val="17"/>
              </w:rPr>
            </w:pPr>
            <w:r w:rsidRPr="008209CA">
              <w:rPr>
                <w:b/>
                <w:szCs w:val="17"/>
              </w:rPr>
              <w:lastRenderedPageBreak/>
              <w:t>AMT82, AMT92, AMT</w:t>
            </w:r>
            <w:r w:rsidR="00516746" w:rsidRPr="008209CA">
              <w:rPr>
                <w:b/>
                <w:szCs w:val="17"/>
              </w:rPr>
              <w:t>173-177</w:t>
            </w:r>
          </w:p>
        </w:tc>
        <w:tc>
          <w:tcPr>
            <w:tcW w:w="1974" w:type="dxa"/>
            <w:tcBorders>
              <w:top w:val="single" w:sz="4" w:space="0" w:color="auto"/>
              <w:left w:val="single" w:sz="4" w:space="0" w:color="auto"/>
              <w:bottom w:val="single" w:sz="4" w:space="0" w:color="auto"/>
              <w:right w:val="single" w:sz="4" w:space="0" w:color="auto"/>
            </w:tcBorders>
            <w:vAlign w:val="center"/>
          </w:tcPr>
          <w:p w:rsidR="00516746" w:rsidRPr="008209CA" w:rsidRDefault="0086792F" w:rsidP="002D7584">
            <w:pPr>
              <w:spacing w:before="60" w:after="60"/>
              <w:jc w:val="center"/>
              <w:rPr>
                <w:szCs w:val="17"/>
                <w:lang w:val="fr-FR"/>
              </w:rPr>
            </w:pPr>
            <w:proofErr w:type="spellStart"/>
            <w:r w:rsidRPr="008209CA">
              <w:rPr>
                <w:szCs w:val="17"/>
                <w:lang w:val="fr-FR"/>
              </w:rPr>
              <w:t>Recital</w:t>
            </w:r>
            <w:proofErr w:type="spellEnd"/>
            <w:r w:rsidRPr="008209CA">
              <w:rPr>
                <w:szCs w:val="17"/>
                <w:lang w:val="fr-FR"/>
              </w:rPr>
              <w:t xml:space="preserve"> 6, </w:t>
            </w:r>
            <w:proofErr w:type="spellStart"/>
            <w:r w:rsidRPr="008209CA">
              <w:rPr>
                <w:szCs w:val="17"/>
                <w:lang w:val="fr-FR"/>
              </w:rPr>
              <w:t>Recital</w:t>
            </w:r>
            <w:proofErr w:type="spellEnd"/>
            <w:r w:rsidRPr="008209CA">
              <w:rPr>
                <w:szCs w:val="17"/>
                <w:lang w:val="fr-FR"/>
              </w:rPr>
              <w:t xml:space="preserve"> 7, </w:t>
            </w:r>
            <w:r w:rsidR="00516746" w:rsidRPr="008209CA">
              <w:rPr>
                <w:szCs w:val="17"/>
                <w:lang w:val="fr-FR"/>
              </w:rPr>
              <w:t>Article 2–Para.2 – point a</w:t>
            </w:r>
          </w:p>
        </w:tc>
        <w:tc>
          <w:tcPr>
            <w:tcW w:w="2115" w:type="dxa"/>
            <w:tcBorders>
              <w:top w:val="single" w:sz="4" w:space="0" w:color="auto"/>
              <w:left w:val="single" w:sz="4" w:space="0" w:color="auto"/>
              <w:bottom w:val="single" w:sz="4" w:space="0" w:color="auto"/>
              <w:right w:val="single" w:sz="4" w:space="0" w:color="auto"/>
            </w:tcBorders>
            <w:vAlign w:val="center"/>
          </w:tcPr>
          <w:p w:rsidR="00516746" w:rsidRPr="008209CA" w:rsidRDefault="0086792F" w:rsidP="002D7584">
            <w:pPr>
              <w:spacing w:before="60" w:after="60"/>
              <w:jc w:val="center"/>
              <w:rPr>
                <w:i/>
                <w:szCs w:val="17"/>
                <w:lang w:val="fr-FR"/>
              </w:rPr>
            </w:pPr>
            <w:r w:rsidRPr="008209CA">
              <w:rPr>
                <w:i/>
                <w:szCs w:val="17"/>
                <w:lang w:val="fr-FR"/>
              </w:rPr>
              <w:t xml:space="preserve">Syed </w:t>
            </w:r>
            <w:proofErr w:type="spellStart"/>
            <w:r w:rsidRPr="008209CA">
              <w:rPr>
                <w:i/>
                <w:szCs w:val="17"/>
                <w:lang w:val="fr-FR"/>
              </w:rPr>
              <w:t>Kamall</w:t>
            </w:r>
            <w:proofErr w:type="spellEnd"/>
            <w:r w:rsidRPr="008209CA">
              <w:rPr>
                <w:i/>
                <w:szCs w:val="17"/>
                <w:lang w:val="fr-FR"/>
              </w:rPr>
              <w:t xml:space="preserve">, </w:t>
            </w:r>
            <w:proofErr w:type="spellStart"/>
            <w:r w:rsidR="00516746" w:rsidRPr="008209CA">
              <w:rPr>
                <w:i/>
                <w:szCs w:val="17"/>
                <w:lang w:val="fr-FR"/>
              </w:rPr>
              <w:t>Ildikó</w:t>
            </w:r>
            <w:proofErr w:type="spellEnd"/>
            <w:r w:rsidR="00516746" w:rsidRPr="008209CA">
              <w:rPr>
                <w:i/>
                <w:szCs w:val="17"/>
                <w:lang w:val="fr-FR"/>
              </w:rPr>
              <w:t xml:space="preserve"> </w:t>
            </w:r>
            <w:proofErr w:type="spellStart"/>
            <w:r w:rsidR="00516746" w:rsidRPr="008209CA">
              <w:rPr>
                <w:i/>
                <w:szCs w:val="17"/>
                <w:lang w:val="fr-FR"/>
              </w:rPr>
              <w:t>Gáll-Pelcz</w:t>
            </w:r>
            <w:proofErr w:type="spellEnd"/>
            <w:r w:rsidR="00516746" w:rsidRPr="008209CA">
              <w:rPr>
                <w:i/>
                <w:szCs w:val="17"/>
                <w:lang w:val="fr-FR"/>
              </w:rPr>
              <w:t xml:space="preserve">, Sari </w:t>
            </w:r>
            <w:proofErr w:type="spellStart"/>
            <w:r w:rsidR="00516746" w:rsidRPr="008209CA">
              <w:rPr>
                <w:i/>
                <w:szCs w:val="17"/>
                <w:lang w:val="fr-FR"/>
              </w:rPr>
              <w:t>Essayah</w:t>
            </w:r>
            <w:proofErr w:type="spellEnd"/>
            <w:r w:rsidR="00516746" w:rsidRPr="008209CA">
              <w:rPr>
                <w:i/>
                <w:szCs w:val="17"/>
                <w:lang w:val="fr-FR"/>
              </w:rPr>
              <w:t xml:space="preserve">, Syed </w:t>
            </w:r>
            <w:proofErr w:type="spellStart"/>
            <w:r w:rsidR="00516746" w:rsidRPr="008209CA">
              <w:rPr>
                <w:i/>
                <w:szCs w:val="17"/>
                <w:lang w:val="fr-FR"/>
              </w:rPr>
              <w:t>Kamall</w:t>
            </w:r>
            <w:proofErr w:type="spellEnd"/>
            <w:r w:rsidR="00516746" w:rsidRPr="008209CA">
              <w:rPr>
                <w:i/>
                <w:szCs w:val="17"/>
                <w:lang w:val="fr-FR"/>
              </w:rPr>
              <w:t xml:space="preserve">, Alfredo </w:t>
            </w:r>
            <w:proofErr w:type="spellStart"/>
            <w:r w:rsidR="00516746" w:rsidRPr="008209CA">
              <w:rPr>
                <w:i/>
                <w:szCs w:val="17"/>
                <w:lang w:val="fr-FR"/>
              </w:rPr>
              <w:t>Pallone</w:t>
            </w:r>
            <w:proofErr w:type="spellEnd"/>
            <w:r w:rsidR="00516746" w:rsidRPr="008209CA">
              <w:rPr>
                <w:i/>
                <w:szCs w:val="17"/>
                <w:lang w:val="fr-FR"/>
              </w:rPr>
              <w:t xml:space="preserve">, Olle Schmidt, Sharon </w:t>
            </w:r>
            <w:proofErr w:type="spellStart"/>
            <w:r w:rsidR="00516746" w:rsidRPr="008209CA">
              <w:rPr>
                <w:i/>
                <w:szCs w:val="17"/>
                <w:lang w:val="fr-FR"/>
              </w:rPr>
              <w:t>Bowles</w:t>
            </w:r>
            <w:proofErr w:type="spellEnd"/>
            <w:r w:rsidR="00516746" w:rsidRPr="008209CA">
              <w:rPr>
                <w:i/>
                <w:szCs w:val="17"/>
                <w:lang w:val="fr-FR"/>
              </w:rPr>
              <w:t xml:space="preserve">, Nils </w:t>
            </w:r>
            <w:proofErr w:type="spellStart"/>
            <w:r w:rsidR="00516746" w:rsidRPr="008209CA">
              <w:rPr>
                <w:i/>
                <w:szCs w:val="17"/>
                <w:lang w:val="fr-FR"/>
              </w:rPr>
              <w:t>Torvalds</w:t>
            </w:r>
            <w:proofErr w:type="spellEnd"/>
          </w:p>
        </w:tc>
        <w:tc>
          <w:tcPr>
            <w:tcW w:w="10153" w:type="dxa"/>
            <w:tcBorders>
              <w:top w:val="single" w:sz="4" w:space="0" w:color="auto"/>
              <w:left w:val="single" w:sz="4" w:space="0" w:color="auto"/>
              <w:bottom w:val="single" w:sz="4" w:space="0" w:color="auto"/>
              <w:right w:val="single" w:sz="4" w:space="0" w:color="auto"/>
            </w:tcBorders>
          </w:tcPr>
          <w:p w:rsidR="00516746" w:rsidRPr="008209CA" w:rsidRDefault="009329B0" w:rsidP="002D7584">
            <w:pPr>
              <w:pStyle w:val="CEABullet-Level1"/>
              <w:numPr>
                <w:ilvl w:val="0"/>
                <w:numId w:val="0"/>
              </w:numPr>
              <w:rPr>
                <w:b/>
                <w:i/>
                <w:szCs w:val="17"/>
                <w:lang w:val="en-GB"/>
              </w:rPr>
            </w:pPr>
            <w:r w:rsidRPr="008209CA">
              <w:rPr>
                <w:b/>
                <w:i/>
                <w:szCs w:val="17"/>
                <w:lang w:val="en-GB"/>
              </w:rPr>
              <w:t>Life insurance products where the investor does not bear the risk should be excluded from PRIPs</w:t>
            </w:r>
          </w:p>
          <w:p w:rsidR="0032562F" w:rsidRPr="008209CA" w:rsidRDefault="00516746" w:rsidP="002D7584">
            <w:pPr>
              <w:pStyle w:val="CEABullet-Level1"/>
              <w:numPr>
                <w:ilvl w:val="0"/>
                <w:numId w:val="0"/>
              </w:numPr>
              <w:rPr>
                <w:szCs w:val="17"/>
                <w:lang w:val="en-GB"/>
              </w:rPr>
            </w:pPr>
            <w:r w:rsidRPr="008209CA">
              <w:rPr>
                <w:szCs w:val="17"/>
                <w:lang w:val="en-GB"/>
              </w:rPr>
              <w:t>Insurance Europe supports the exclusion of life insurance products where the policyholder does not bear the investment risk (</w:t>
            </w:r>
            <w:proofErr w:type="spellStart"/>
            <w:r w:rsidRPr="008209CA">
              <w:rPr>
                <w:szCs w:val="17"/>
                <w:lang w:val="en-GB"/>
              </w:rPr>
              <w:t>ie</w:t>
            </w:r>
            <w:proofErr w:type="spellEnd"/>
            <w:r w:rsidRPr="008209CA">
              <w:rPr>
                <w:szCs w:val="17"/>
                <w:lang w:val="en-GB"/>
              </w:rPr>
              <w:t xml:space="preserve"> products limited to profit sharing and/or a minimum guarantee), since there is no real investment and/or packaging element. Positive fluctuations (surplus yield) above a guaranteed interest rate or profit sharing are not a material part of the insurance contract and should not fall under the scope of PRIPs.</w:t>
            </w:r>
            <w:r w:rsidR="0008493F" w:rsidRPr="008209CA">
              <w:rPr>
                <w:szCs w:val="17"/>
                <w:lang w:val="en-GB"/>
              </w:rPr>
              <w:t xml:space="preserve"> </w:t>
            </w:r>
            <w:r w:rsidR="0032562F" w:rsidRPr="008209CA">
              <w:rPr>
                <w:szCs w:val="17"/>
                <w:lang w:val="en-GB"/>
              </w:rPr>
              <w:t xml:space="preserve">Insurance Europe </w:t>
            </w:r>
            <w:r w:rsidR="0008493F" w:rsidRPr="008209CA">
              <w:rPr>
                <w:szCs w:val="17"/>
                <w:lang w:val="en-GB"/>
              </w:rPr>
              <w:t xml:space="preserve">therefore </w:t>
            </w:r>
            <w:r w:rsidR="0032562F" w:rsidRPr="008209CA">
              <w:rPr>
                <w:szCs w:val="17"/>
                <w:lang w:val="en-GB"/>
              </w:rPr>
              <w:t xml:space="preserve">opposes amendments including positive fluctuations in the scope of PRIPs because positive fluctuations (surplus yield) above a guaranteed interest rate </w:t>
            </w:r>
            <w:r w:rsidR="00BF25DD" w:rsidRPr="008209CA">
              <w:rPr>
                <w:szCs w:val="17"/>
                <w:lang w:val="en-GB"/>
              </w:rPr>
              <w:t>cannot be seen as a “risk” for the customer</w:t>
            </w:r>
            <w:r w:rsidR="0032562F" w:rsidRPr="008209CA">
              <w:rPr>
                <w:szCs w:val="17"/>
                <w:lang w:val="en-GB"/>
              </w:rPr>
              <w:t xml:space="preserve">. </w:t>
            </w:r>
            <w:r w:rsidR="00262B12" w:rsidRPr="008209CA">
              <w:rPr>
                <w:szCs w:val="17"/>
                <w:lang w:val="en-GB"/>
              </w:rPr>
              <w:t xml:space="preserve">This could be remedied by adding the wording “negative” before fluctuations. Furthermore, </w:t>
            </w:r>
            <w:r w:rsidR="0032562F" w:rsidRPr="008209CA">
              <w:rPr>
                <w:szCs w:val="17"/>
                <w:lang w:val="en-GB"/>
              </w:rPr>
              <w:t xml:space="preserve"> </w:t>
            </w:r>
            <w:r w:rsidR="00262B12" w:rsidRPr="008209CA">
              <w:rPr>
                <w:szCs w:val="17"/>
                <w:lang w:val="en-GB"/>
              </w:rPr>
              <w:t>Insurance Europe does not support amendment</w:t>
            </w:r>
            <w:r w:rsidR="0008493F" w:rsidRPr="008209CA">
              <w:rPr>
                <w:szCs w:val="17"/>
                <w:lang w:val="en-GB"/>
              </w:rPr>
              <w:t>s</w:t>
            </w:r>
            <w:r w:rsidR="00262B12" w:rsidRPr="008209CA">
              <w:rPr>
                <w:szCs w:val="17"/>
                <w:lang w:val="en-GB"/>
              </w:rPr>
              <w:t xml:space="preserve"> which do not take into account the amount repayable </w:t>
            </w:r>
            <w:r w:rsidR="00262B12" w:rsidRPr="008209CA">
              <w:rPr>
                <w:i/>
                <w:szCs w:val="17"/>
                <w:lang w:val="en-GB"/>
              </w:rPr>
              <w:t>at maturity</w:t>
            </w:r>
            <w:r w:rsidR="00262B12" w:rsidRPr="008209CA">
              <w:rPr>
                <w:szCs w:val="17"/>
                <w:lang w:val="en-GB"/>
              </w:rPr>
              <w:t xml:space="preserve"> and therefore do not ensure that products are regulated based on their purpose rather than on the basis of a one-sided contract termination.</w:t>
            </w:r>
          </w:p>
          <w:p w:rsidR="0032562F" w:rsidRPr="008209CA" w:rsidRDefault="0032562F" w:rsidP="0032562F">
            <w:pPr>
              <w:pStyle w:val="CEABullet-Level1"/>
              <w:numPr>
                <w:ilvl w:val="0"/>
                <w:numId w:val="0"/>
              </w:numPr>
              <w:ind w:left="720"/>
              <w:rPr>
                <w:szCs w:val="17"/>
                <w:lang w:val="en-GB"/>
              </w:rPr>
            </w:pPr>
          </w:p>
          <w:p w:rsidR="00CC4C42" w:rsidRDefault="009329B0" w:rsidP="00AF64A5">
            <w:pPr>
              <w:pStyle w:val="CEABullet-Level1"/>
              <w:rPr>
                <w:szCs w:val="17"/>
                <w:lang w:val="en-GB"/>
              </w:rPr>
            </w:pPr>
            <w:r w:rsidRPr="008209CA">
              <w:rPr>
                <w:szCs w:val="17"/>
                <w:lang w:val="en-GB"/>
              </w:rPr>
              <w:t xml:space="preserve">Insurance Europe strongly supports AMT173-176. </w:t>
            </w:r>
          </w:p>
          <w:p w:rsidR="009329B0" w:rsidRPr="008209CA" w:rsidRDefault="009329B0" w:rsidP="00AF64A5">
            <w:pPr>
              <w:pStyle w:val="CEABullet-Level1"/>
              <w:rPr>
                <w:szCs w:val="17"/>
                <w:lang w:val="en-GB"/>
              </w:rPr>
            </w:pPr>
            <w:r w:rsidRPr="008209CA">
              <w:rPr>
                <w:szCs w:val="17"/>
                <w:lang w:val="en-GB"/>
              </w:rPr>
              <w:t>Insurance Europe opposes AMT</w:t>
            </w:r>
            <w:r w:rsidR="0086792F" w:rsidRPr="008209CA">
              <w:rPr>
                <w:szCs w:val="17"/>
                <w:lang w:val="en-GB"/>
              </w:rPr>
              <w:t>82, and AMT</w:t>
            </w:r>
            <w:r w:rsidRPr="008209CA">
              <w:rPr>
                <w:szCs w:val="17"/>
                <w:lang w:val="en-GB"/>
              </w:rPr>
              <w:t>177</w:t>
            </w:r>
            <w:r w:rsidR="0008493F" w:rsidRPr="008209CA">
              <w:rPr>
                <w:szCs w:val="17"/>
                <w:lang w:val="en-GB"/>
              </w:rPr>
              <w:t xml:space="preserve"> as well as </w:t>
            </w:r>
            <w:r w:rsidR="00AF64A5" w:rsidRPr="008209CA">
              <w:rPr>
                <w:szCs w:val="17"/>
                <w:lang w:val="en-GB"/>
              </w:rPr>
              <w:t xml:space="preserve">the section in </w:t>
            </w:r>
            <w:r w:rsidR="0008493F" w:rsidRPr="008209CA">
              <w:rPr>
                <w:szCs w:val="17"/>
                <w:lang w:val="en-GB"/>
              </w:rPr>
              <w:t xml:space="preserve">AMT92 </w:t>
            </w:r>
            <w:r w:rsidR="00AF64A5" w:rsidRPr="008209CA">
              <w:rPr>
                <w:szCs w:val="17"/>
                <w:lang w:val="en-GB"/>
              </w:rPr>
              <w:t>which retains</w:t>
            </w:r>
            <w:r w:rsidR="0008493F" w:rsidRPr="008209CA">
              <w:rPr>
                <w:szCs w:val="17"/>
                <w:lang w:val="en-GB"/>
              </w:rPr>
              <w:t xml:space="preserve"> products offering positive fluctuations in the scope of PRIPs</w:t>
            </w:r>
            <w:r w:rsidRPr="008209CA">
              <w:rPr>
                <w:szCs w:val="17"/>
                <w:lang w:val="en-GB"/>
              </w:rPr>
              <w:t>.</w:t>
            </w:r>
          </w:p>
        </w:tc>
      </w:tr>
      <w:tr w:rsidR="00AF64A5" w:rsidRPr="00C1123D" w:rsidTr="00D8396B">
        <w:trPr>
          <w:trHeight w:val="20"/>
        </w:trPr>
        <w:tc>
          <w:tcPr>
            <w:tcW w:w="1593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16746" w:rsidRPr="00516746" w:rsidRDefault="00631D5B" w:rsidP="00652C50">
            <w:pPr>
              <w:pStyle w:val="CEABullet-Level1"/>
              <w:numPr>
                <w:ilvl w:val="0"/>
                <w:numId w:val="18"/>
              </w:numPr>
              <w:jc w:val="left"/>
              <w:rPr>
                <w:b/>
                <w:sz w:val="20"/>
                <w:lang w:val="en-GB"/>
              </w:rPr>
            </w:pPr>
            <w:r w:rsidRPr="00652C50">
              <w:rPr>
                <w:b/>
                <w:sz w:val="20"/>
                <w:highlight w:val="yellow"/>
                <w:lang w:val="en-GB"/>
              </w:rPr>
              <w:t xml:space="preserve">The </w:t>
            </w:r>
            <w:r w:rsidR="00652C50" w:rsidRPr="00652C50">
              <w:rPr>
                <w:b/>
                <w:sz w:val="20"/>
                <w:highlight w:val="yellow"/>
                <w:lang w:val="en-GB"/>
              </w:rPr>
              <w:t>aim of the regulation is to produce standardised pre-contractual non-personalised product information</w:t>
            </w:r>
          </w:p>
        </w:tc>
      </w:tr>
      <w:tr w:rsidR="00AF64A5" w:rsidRPr="008209CA" w:rsidTr="001743E8">
        <w:trPr>
          <w:trHeight w:val="2"/>
        </w:trPr>
        <w:tc>
          <w:tcPr>
            <w:tcW w:w="1691"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2D7C22">
            <w:pPr>
              <w:spacing w:before="60" w:after="60"/>
              <w:jc w:val="center"/>
              <w:rPr>
                <w:b/>
                <w:szCs w:val="17"/>
                <w:lang w:val="nl-BE"/>
              </w:rPr>
            </w:pPr>
            <w:r w:rsidRPr="008209CA">
              <w:rPr>
                <w:b/>
                <w:szCs w:val="17"/>
                <w:lang w:val="nl-BE"/>
              </w:rPr>
              <w:t xml:space="preserve">AMT73-74, </w:t>
            </w:r>
            <w:r w:rsidR="00C1123D" w:rsidRPr="008209CA">
              <w:rPr>
                <w:b/>
                <w:szCs w:val="17"/>
                <w:lang w:val="nl-BE"/>
              </w:rPr>
              <w:t>AMT97, AMT106,</w:t>
            </w:r>
            <w:r w:rsidR="009C4C06">
              <w:rPr>
                <w:b/>
                <w:szCs w:val="17"/>
                <w:lang w:val="nl-BE"/>
              </w:rPr>
              <w:t xml:space="preserve"> </w:t>
            </w:r>
            <w:r w:rsidR="009C4C06">
              <w:rPr>
                <w:b/>
                <w:szCs w:val="17"/>
                <w:lang w:val="nl-BE"/>
              </w:rPr>
              <w:lastRenderedPageBreak/>
              <w:t>AMT113</w:t>
            </w:r>
            <w:r w:rsidR="00C1123D" w:rsidRPr="008209CA">
              <w:rPr>
                <w:b/>
                <w:szCs w:val="17"/>
                <w:lang w:val="nl-BE"/>
              </w:rPr>
              <w:t xml:space="preserve"> </w:t>
            </w:r>
            <w:r w:rsidR="008F425E" w:rsidRPr="008209CA">
              <w:rPr>
                <w:b/>
                <w:szCs w:val="17"/>
                <w:lang w:val="nl-BE"/>
              </w:rPr>
              <w:t>AMT115, AMT162, AMT165-168, AMT235, AMT241</w:t>
            </w:r>
            <w:r w:rsidR="0056023E" w:rsidRPr="008209CA">
              <w:rPr>
                <w:b/>
                <w:szCs w:val="17"/>
                <w:lang w:val="nl-BE"/>
              </w:rPr>
              <w:t>,</w:t>
            </w:r>
            <w:r w:rsidR="00C1123D" w:rsidRPr="008209CA">
              <w:rPr>
                <w:b/>
                <w:szCs w:val="17"/>
                <w:lang w:val="nl-BE"/>
              </w:rPr>
              <w:t xml:space="preserve"> AMT242</w:t>
            </w:r>
            <w:r w:rsidR="0056023E" w:rsidRPr="008209CA">
              <w:rPr>
                <w:b/>
                <w:szCs w:val="17"/>
                <w:lang w:val="nl-BE"/>
              </w:rPr>
              <w:t xml:space="preserve"> AMT285, AMT292, AMT 339, AMT366,</w:t>
            </w:r>
            <w:r w:rsidR="00C1123D" w:rsidRPr="008209CA">
              <w:rPr>
                <w:b/>
                <w:szCs w:val="17"/>
                <w:lang w:val="nl-BE"/>
              </w:rPr>
              <w:t>AMT</w:t>
            </w:r>
            <w:r w:rsidR="00F810C8" w:rsidRPr="008209CA">
              <w:rPr>
                <w:b/>
                <w:szCs w:val="17"/>
                <w:lang w:val="nl-BE"/>
              </w:rPr>
              <w:t>390-</w:t>
            </w:r>
            <w:r w:rsidR="00C1123D" w:rsidRPr="008209CA">
              <w:rPr>
                <w:b/>
                <w:szCs w:val="17"/>
                <w:lang w:val="nl-BE"/>
              </w:rPr>
              <w:t xml:space="preserve">391, </w:t>
            </w:r>
            <w:r w:rsidR="0056023E" w:rsidRPr="008209CA">
              <w:rPr>
                <w:b/>
                <w:szCs w:val="17"/>
                <w:lang w:val="nl-BE"/>
              </w:rPr>
              <w:t xml:space="preserve"> AMT393, AMT421, </w:t>
            </w:r>
            <w:r w:rsidR="00C1123D" w:rsidRPr="008209CA">
              <w:rPr>
                <w:b/>
                <w:szCs w:val="17"/>
                <w:lang w:val="nl-BE"/>
              </w:rPr>
              <w:t xml:space="preserve">AMT425, </w:t>
            </w:r>
            <w:r w:rsidR="0056023E" w:rsidRPr="008209CA">
              <w:rPr>
                <w:b/>
                <w:szCs w:val="17"/>
                <w:lang w:val="nl-BE"/>
              </w:rPr>
              <w:t>AMT434-435</w:t>
            </w:r>
            <w:r w:rsidR="004E3C37" w:rsidRPr="008209CA">
              <w:rPr>
                <w:b/>
                <w:szCs w:val="17"/>
                <w:lang w:val="nl-BE"/>
              </w:rPr>
              <w:t>, AMT449-450,</w:t>
            </w:r>
            <w:r w:rsidR="000801D9" w:rsidRPr="008209CA">
              <w:rPr>
                <w:b/>
                <w:szCs w:val="17"/>
                <w:lang w:val="nl-BE"/>
              </w:rPr>
              <w:t xml:space="preserve"> AMT516,</w:t>
            </w:r>
            <w:r w:rsidR="004E3C37" w:rsidRPr="008209CA">
              <w:rPr>
                <w:b/>
                <w:szCs w:val="17"/>
                <w:lang w:val="nl-BE"/>
              </w:rPr>
              <w:t xml:space="preserve"> AMT573</w:t>
            </w:r>
          </w:p>
        </w:tc>
        <w:tc>
          <w:tcPr>
            <w:tcW w:w="1974"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4E3C37">
            <w:pPr>
              <w:spacing w:before="60" w:after="60"/>
              <w:jc w:val="center"/>
              <w:rPr>
                <w:szCs w:val="17"/>
              </w:rPr>
            </w:pPr>
            <w:proofErr w:type="spellStart"/>
            <w:r w:rsidRPr="008209CA">
              <w:rPr>
                <w:szCs w:val="17"/>
                <w:lang w:val="fr-FR"/>
              </w:rPr>
              <w:lastRenderedPageBreak/>
              <w:t>Recital</w:t>
            </w:r>
            <w:proofErr w:type="spellEnd"/>
            <w:r w:rsidRPr="008209CA">
              <w:rPr>
                <w:szCs w:val="17"/>
                <w:lang w:val="fr-FR"/>
              </w:rPr>
              <w:t xml:space="preserve"> 5, </w:t>
            </w:r>
            <w:proofErr w:type="spellStart"/>
            <w:r w:rsidRPr="008209CA">
              <w:rPr>
                <w:szCs w:val="17"/>
                <w:lang w:val="fr-FR"/>
              </w:rPr>
              <w:t>Recital</w:t>
            </w:r>
            <w:proofErr w:type="spellEnd"/>
            <w:r w:rsidRPr="008209CA">
              <w:rPr>
                <w:szCs w:val="17"/>
                <w:lang w:val="fr-FR"/>
              </w:rPr>
              <w:t xml:space="preserve"> 9, </w:t>
            </w:r>
            <w:proofErr w:type="spellStart"/>
            <w:r w:rsidRPr="008209CA">
              <w:rPr>
                <w:szCs w:val="17"/>
                <w:lang w:val="fr-FR"/>
              </w:rPr>
              <w:t>Recital</w:t>
            </w:r>
            <w:proofErr w:type="spellEnd"/>
            <w:r w:rsidRPr="008209CA">
              <w:rPr>
                <w:szCs w:val="17"/>
                <w:lang w:val="fr-FR"/>
              </w:rPr>
              <w:t xml:space="preserve"> 10</w:t>
            </w:r>
            <w:r w:rsidR="008F425E" w:rsidRPr="008209CA">
              <w:rPr>
                <w:szCs w:val="17"/>
                <w:lang w:val="fr-FR"/>
              </w:rPr>
              <w:t xml:space="preserve">, </w:t>
            </w:r>
            <w:proofErr w:type="spellStart"/>
            <w:r w:rsidR="00C1123D" w:rsidRPr="008209CA">
              <w:rPr>
                <w:szCs w:val="17"/>
                <w:lang w:val="fr-FR"/>
              </w:rPr>
              <w:t>Recital</w:t>
            </w:r>
            <w:proofErr w:type="spellEnd"/>
            <w:r w:rsidR="00C1123D" w:rsidRPr="008209CA">
              <w:rPr>
                <w:szCs w:val="17"/>
                <w:lang w:val="fr-FR"/>
              </w:rPr>
              <w:t xml:space="preserve"> 11, </w:t>
            </w:r>
            <w:proofErr w:type="spellStart"/>
            <w:r w:rsidR="008F425E" w:rsidRPr="008209CA">
              <w:rPr>
                <w:szCs w:val="17"/>
                <w:lang w:val="fr-FR"/>
              </w:rPr>
              <w:t>Recital</w:t>
            </w:r>
            <w:proofErr w:type="spellEnd"/>
            <w:r w:rsidR="008F425E" w:rsidRPr="008209CA">
              <w:rPr>
                <w:szCs w:val="17"/>
                <w:lang w:val="fr-FR"/>
              </w:rPr>
              <w:t xml:space="preserve"> 11 a </w:t>
            </w:r>
            <w:r w:rsidR="008F425E" w:rsidRPr="008209CA">
              <w:rPr>
                <w:szCs w:val="17"/>
                <w:lang w:val="fr-FR"/>
              </w:rPr>
              <w:lastRenderedPageBreak/>
              <w:t>(new), Article 1 – para. 1, Article 5 – para. 1</w:t>
            </w:r>
            <w:r w:rsidR="0056023E" w:rsidRPr="008209CA">
              <w:rPr>
                <w:szCs w:val="17"/>
                <w:lang w:val="fr-FR"/>
              </w:rPr>
              <w:t xml:space="preserve">, Article 8 – para. 1 – </w:t>
            </w:r>
            <w:proofErr w:type="spellStart"/>
            <w:r w:rsidR="0056023E" w:rsidRPr="008209CA">
              <w:rPr>
                <w:szCs w:val="17"/>
                <w:lang w:val="fr-FR"/>
              </w:rPr>
              <w:t>subpara</w:t>
            </w:r>
            <w:proofErr w:type="spellEnd"/>
            <w:r w:rsidR="0056023E" w:rsidRPr="008209CA">
              <w:rPr>
                <w:szCs w:val="17"/>
                <w:lang w:val="fr-FR"/>
              </w:rPr>
              <w:t xml:space="preserve">. 2, </w:t>
            </w:r>
            <w:r w:rsidR="0097707F">
              <w:rPr>
                <w:szCs w:val="17"/>
                <w:lang w:val="fr-FR"/>
              </w:rPr>
              <w:t xml:space="preserve">Article 8 – para.2 a, </w:t>
            </w:r>
            <w:r w:rsidR="00C1123D" w:rsidRPr="008209CA">
              <w:rPr>
                <w:szCs w:val="17"/>
                <w:lang w:val="fr-FR"/>
              </w:rPr>
              <w:t xml:space="preserve">Article 8 – para.2 a (new), </w:t>
            </w:r>
            <w:r w:rsidR="0056023E" w:rsidRPr="008209CA">
              <w:rPr>
                <w:szCs w:val="17"/>
                <w:lang w:val="fr-FR"/>
              </w:rPr>
              <w:t xml:space="preserve">Article 8 – para. 2 – point b – point vi a (new), Article 8 – para. 2 </w:t>
            </w:r>
            <w:proofErr w:type="gramStart"/>
            <w:r w:rsidR="0056023E" w:rsidRPr="008209CA">
              <w:rPr>
                <w:szCs w:val="17"/>
                <w:lang w:val="fr-FR"/>
              </w:rPr>
              <w:t>– point c a</w:t>
            </w:r>
            <w:proofErr w:type="gramEnd"/>
            <w:r w:rsidR="0056023E" w:rsidRPr="008209CA">
              <w:rPr>
                <w:szCs w:val="17"/>
                <w:lang w:val="fr-FR"/>
              </w:rPr>
              <w:t xml:space="preserve"> (new), Article 8 – para. 2 – point f, Article 8 – para. </w:t>
            </w:r>
            <w:r w:rsidR="0056023E" w:rsidRPr="008209CA">
              <w:rPr>
                <w:szCs w:val="17"/>
              </w:rPr>
              <w:t xml:space="preserve">2 – </w:t>
            </w:r>
            <w:proofErr w:type="gramStart"/>
            <w:r w:rsidR="0056023E" w:rsidRPr="008209CA">
              <w:rPr>
                <w:szCs w:val="17"/>
              </w:rPr>
              <w:t>point</w:t>
            </w:r>
            <w:proofErr w:type="gramEnd"/>
            <w:r w:rsidR="0056023E" w:rsidRPr="008209CA">
              <w:rPr>
                <w:szCs w:val="17"/>
              </w:rPr>
              <w:t xml:space="preserve"> h a (new), Article 8 – </w:t>
            </w:r>
            <w:proofErr w:type="spellStart"/>
            <w:r w:rsidR="0056023E" w:rsidRPr="008209CA">
              <w:rPr>
                <w:szCs w:val="17"/>
              </w:rPr>
              <w:t>para</w:t>
            </w:r>
            <w:proofErr w:type="spellEnd"/>
            <w:r w:rsidR="0056023E" w:rsidRPr="008209CA">
              <w:rPr>
                <w:szCs w:val="17"/>
              </w:rPr>
              <w:t>. 3 a (new)</w:t>
            </w:r>
            <w:r w:rsidR="004E3C37" w:rsidRPr="008209CA">
              <w:rPr>
                <w:szCs w:val="17"/>
              </w:rPr>
              <w:t xml:space="preserve">, Article 8 – </w:t>
            </w:r>
            <w:proofErr w:type="spellStart"/>
            <w:r w:rsidR="004E3C37" w:rsidRPr="008209CA">
              <w:rPr>
                <w:szCs w:val="17"/>
              </w:rPr>
              <w:t>para</w:t>
            </w:r>
            <w:proofErr w:type="spellEnd"/>
            <w:r w:rsidR="004E3C37" w:rsidRPr="008209CA">
              <w:rPr>
                <w:szCs w:val="17"/>
              </w:rPr>
              <w:t>. 5, Article 13 b (new)</w:t>
            </w:r>
            <w:r w:rsidR="0097707F">
              <w:rPr>
                <w:szCs w:val="17"/>
              </w:rPr>
              <w:t>, Article 12 – para.1</w:t>
            </w:r>
          </w:p>
        </w:tc>
        <w:tc>
          <w:tcPr>
            <w:tcW w:w="2115" w:type="dxa"/>
            <w:tcBorders>
              <w:top w:val="single" w:sz="4" w:space="0" w:color="auto"/>
              <w:left w:val="single" w:sz="4" w:space="0" w:color="auto"/>
              <w:bottom w:val="single" w:sz="4" w:space="0" w:color="auto"/>
              <w:right w:val="single" w:sz="4" w:space="0" w:color="auto"/>
            </w:tcBorders>
            <w:vAlign w:val="center"/>
          </w:tcPr>
          <w:p w:rsidR="00516746" w:rsidRPr="008209CA" w:rsidRDefault="008F425E" w:rsidP="008F425E">
            <w:pPr>
              <w:spacing w:before="60" w:after="60"/>
              <w:jc w:val="center"/>
              <w:rPr>
                <w:i/>
                <w:szCs w:val="17"/>
              </w:rPr>
            </w:pPr>
            <w:r w:rsidRPr="008209CA">
              <w:rPr>
                <w:i/>
                <w:szCs w:val="17"/>
              </w:rPr>
              <w:lastRenderedPageBreak/>
              <w:t xml:space="preserve">Werner </w:t>
            </w:r>
            <w:proofErr w:type="spellStart"/>
            <w:r w:rsidRPr="008209CA">
              <w:rPr>
                <w:i/>
                <w:szCs w:val="17"/>
              </w:rPr>
              <w:t>Langen</w:t>
            </w:r>
            <w:proofErr w:type="spellEnd"/>
            <w:r w:rsidRPr="008209CA">
              <w:rPr>
                <w:i/>
                <w:szCs w:val="17"/>
              </w:rPr>
              <w:t xml:space="preserve">, Syed </w:t>
            </w:r>
            <w:proofErr w:type="spellStart"/>
            <w:r w:rsidRPr="008209CA">
              <w:rPr>
                <w:i/>
                <w:szCs w:val="17"/>
              </w:rPr>
              <w:t>Kamall</w:t>
            </w:r>
            <w:proofErr w:type="spellEnd"/>
            <w:r w:rsidRPr="008209CA">
              <w:rPr>
                <w:i/>
                <w:szCs w:val="17"/>
              </w:rPr>
              <w:t xml:space="preserve">, Sharon Bowles, Sven </w:t>
            </w:r>
            <w:proofErr w:type="spellStart"/>
            <w:r w:rsidRPr="008209CA">
              <w:rPr>
                <w:i/>
                <w:szCs w:val="17"/>
              </w:rPr>
              <w:lastRenderedPageBreak/>
              <w:t>Giegold</w:t>
            </w:r>
            <w:proofErr w:type="spellEnd"/>
            <w:r w:rsidRPr="008209CA">
              <w:rPr>
                <w:i/>
                <w:szCs w:val="17"/>
              </w:rPr>
              <w:t xml:space="preserve">, Olle Schmidt, Nils Torvalds, </w:t>
            </w:r>
            <w:proofErr w:type="spellStart"/>
            <w:r w:rsidRPr="008209CA">
              <w:rPr>
                <w:i/>
                <w:szCs w:val="17"/>
              </w:rPr>
              <w:t>Pervenche</w:t>
            </w:r>
            <w:proofErr w:type="spellEnd"/>
            <w:r w:rsidRPr="008209CA">
              <w:rPr>
                <w:i/>
                <w:szCs w:val="17"/>
              </w:rPr>
              <w:t xml:space="preserve"> </w:t>
            </w:r>
            <w:proofErr w:type="spellStart"/>
            <w:r w:rsidRPr="008209CA">
              <w:rPr>
                <w:i/>
                <w:szCs w:val="17"/>
              </w:rPr>
              <w:t>Berès</w:t>
            </w:r>
            <w:proofErr w:type="spellEnd"/>
            <w:r w:rsidRPr="008209CA">
              <w:rPr>
                <w:i/>
                <w:szCs w:val="17"/>
              </w:rPr>
              <w:t xml:space="preserve">, </w:t>
            </w:r>
            <w:proofErr w:type="spellStart"/>
            <w:r w:rsidRPr="008209CA">
              <w:rPr>
                <w:i/>
                <w:szCs w:val="17"/>
              </w:rPr>
              <w:t>Corien</w:t>
            </w:r>
            <w:proofErr w:type="spellEnd"/>
            <w:r w:rsidRPr="008209CA">
              <w:rPr>
                <w:i/>
                <w:szCs w:val="17"/>
              </w:rPr>
              <w:t xml:space="preserve"> </w:t>
            </w:r>
            <w:proofErr w:type="spellStart"/>
            <w:r w:rsidRPr="008209CA">
              <w:rPr>
                <w:i/>
                <w:szCs w:val="17"/>
              </w:rPr>
              <w:t>Wortmann-Kool</w:t>
            </w:r>
            <w:proofErr w:type="spellEnd"/>
            <w:r w:rsidR="0056023E" w:rsidRPr="008209CA">
              <w:rPr>
                <w:i/>
                <w:szCs w:val="17"/>
              </w:rPr>
              <w:t xml:space="preserve">, Thomas </w:t>
            </w:r>
            <w:proofErr w:type="spellStart"/>
            <w:r w:rsidR="0056023E" w:rsidRPr="008209CA">
              <w:rPr>
                <w:i/>
                <w:szCs w:val="17"/>
              </w:rPr>
              <w:t>Händel</w:t>
            </w:r>
            <w:proofErr w:type="spellEnd"/>
            <w:r w:rsidR="0056023E" w:rsidRPr="008209CA">
              <w:rPr>
                <w:i/>
                <w:szCs w:val="17"/>
              </w:rPr>
              <w:t xml:space="preserve">, </w:t>
            </w:r>
            <w:proofErr w:type="spellStart"/>
            <w:r w:rsidR="0056023E" w:rsidRPr="008209CA">
              <w:rPr>
                <w:i/>
                <w:szCs w:val="17"/>
              </w:rPr>
              <w:t>Udo</w:t>
            </w:r>
            <w:proofErr w:type="spellEnd"/>
            <w:r w:rsidR="0056023E" w:rsidRPr="008209CA">
              <w:rPr>
                <w:i/>
                <w:szCs w:val="17"/>
              </w:rPr>
              <w:t xml:space="preserve"> </w:t>
            </w:r>
            <w:proofErr w:type="spellStart"/>
            <w:r w:rsidR="0056023E" w:rsidRPr="008209CA">
              <w:rPr>
                <w:i/>
                <w:szCs w:val="17"/>
              </w:rPr>
              <w:t>Bullmann</w:t>
            </w:r>
            <w:proofErr w:type="spellEnd"/>
            <w:r w:rsidR="0056023E" w:rsidRPr="008209CA">
              <w:rPr>
                <w:i/>
                <w:szCs w:val="17"/>
              </w:rPr>
              <w:t>, Peter Simon, Sharon Bowles</w:t>
            </w:r>
          </w:p>
        </w:tc>
        <w:tc>
          <w:tcPr>
            <w:tcW w:w="10153" w:type="dxa"/>
            <w:tcBorders>
              <w:top w:val="single" w:sz="4" w:space="0" w:color="auto"/>
              <w:left w:val="single" w:sz="4" w:space="0" w:color="auto"/>
              <w:bottom w:val="single" w:sz="4" w:space="0" w:color="auto"/>
              <w:right w:val="single" w:sz="4" w:space="0" w:color="auto"/>
            </w:tcBorders>
          </w:tcPr>
          <w:p w:rsidR="00516746" w:rsidRPr="008209CA" w:rsidRDefault="00597B0A" w:rsidP="002D7584">
            <w:pPr>
              <w:pStyle w:val="CEABullet-Level1"/>
              <w:numPr>
                <w:ilvl w:val="0"/>
                <w:numId w:val="0"/>
              </w:numPr>
              <w:rPr>
                <w:b/>
                <w:i/>
                <w:szCs w:val="17"/>
                <w:lang w:val="en-GB"/>
              </w:rPr>
            </w:pPr>
            <w:r w:rsidRPr="008209CA">
              <w:rPr>
                <w:b/>
                <w:i/>
                <w:szCs w:val="17"/>
                <w:lang w:val="en-GB"/>
              </w:rPr>
              <w:lastRenderedPageBreak/>
              <w:t xml:space="preserve">PRIPs should not regulate the </w:t>
            </w:r>
            <w:r w:rsidR="00686D45" w:rsidRPr="008209CA">
              <w:rPr>
                <w:b/>
                <w:i/>
                <w:szCs w:val="17"/>
                <w:lang w:val="en-GB"/>
              </w:rPr>
              <w:t xml:space="preserve">content nor the form of </w:t>
            </w:r>
            <w:r w:rsidRPr="008209CA">
              <w:rPr>
                <w:b/>
                <w:i/>
                <w:szCs w:val="17"/>
                <w:lang w:val="en-GB"/>
              </w:rPr>
              <w:t>disclosure</w:t>
            </w:r>
            <w:r w:rsidR="00C1123D" w:rsidRPr="008209CA">
              <w:rPr>
                <w:b/>
                <w:i/>
                <w:szCs w:val="17"/>
                <w:lang w:val="en-GB"/>
              </w:rPr>
              <w:t>s</w:t>
            </w:r>
            <w:r w:rsidRPr="008209CA">
              <w:rPr>
                <w:b/>
                <w:i/>
                <w:szCs w:val="17"/>
                <w:lang w:val="en-GB"/>
              </w:rPr>
              <w:t xml:space="preserve"> </w:t>
            </w:r>
            <w:r w:rsidR="00686D45" w:rsidRPr="008209CA">
              <w:rPr>
                <w:b/>
                <w:i/>
                <w:szCs w:val="17"/>
                <w:lang w:val="en-GB"/>
              </w:rPr>
              <w:t>for</w:t>
            </w:r>
            <w:r w:rsidR="00516746" w:rsidRPr="008209CA">
              <w:rPr>
                <w:b/>
                <w:i/>
                <w:szCs w:val="17"/>
                <w:lang w:val="en-GB"/>
              </w:rPr>
              <w:t xml:space="preserve"> personal</w:t>
            </w:r>
            <w:r w:rsidR="000C23A4" w:rsidRPr="008209CA">
              <w:rPr>
                <w:b/>
                <w:i/>
                <w:szCs w:val="17"/>
                <w:lang w:val="en-GB"/>
              </w:rPr>
              <w:t xml:space="preserve"> and sales related</w:t>
            </w:r>
            <w:r w:rsidR="00516746" w:rsidRPr="008209CA">
              <w:rPr>
                <w:b/>
                <w:i/>
                <w:szCs w:val="17"/>
                <w:lang w:val="en-GB"/>
              </w:rPr>
              <w:t xml:space="preserve"> information</w:t>
            </w:r>
          </w:p>
          <w:p w:rsidR="00516746" w:rsidRPr="008209CA" w:rsidRDefault="00516746" w:rsidP="002D7584">
            <w:pPr>
              <w:pStyle w:val="CEABullet-Level1"/>
              <w:numPr>
                <w:ilvl w:val="0"/>
                <w:numId w:val="0"/>
              </w:numPr>
              <w:rPr>
                <w:szCs w:val="17"/>
                <w:lang w:val="en-GB"/>
              </w:rPr>
            </w:pPr>
            <w:r w:rsidRPr="008209CA">
              <w:rPr>
                <w:szCs w:val="17"/>
                <w:lang w:val="en-GB"/>
              </w:rPr>
              <w:t xml:space="preserve">Firstly, information on </w:t>
            </w:r>
            <w:r w:rsidR="00686D45" w:rsidRPr="008209CA">
              <w:rPr>
                <w:szCs w:val="17"/>
                <w:lang w:val="en-GB"/>
              </w:rPr>
              <w:t>sales</w:t>
            </w:r>
            <w:r w:rsidRPr="008209CA">
              <w:rPr>
                <w:szCs w:val="17"/>
                <w:lang w:val="en-GB"/>
              </w:rPr>
              <w:t xml:space="preserve"> costs and charges is </w:t>
            </w:r>
            <w:r w:rsidRPr="00290278">
              <w:rPr>
                <w:szCs w:val="17"/>
                <w:highlight w:val="yellow"/>
                <w:lang w:val="en-GB"/>
              </w:rPr>
              <w:t>personal</w:t>
            </w:r>
            <w:r w:rsidR="00290278" w:rsidRPr="00290278">
              <w:rPr>
                <w:szCs w:val="17"/>
                <w:highlight w:val="yellow"/>
                <w:lang w:val="en-GB"/>
              </w:rPr>
              <w:t>ised and should not be included</w:t>
            </w:r>
            <w:r w:rsidRPr="008209CA">
              <w:rPr>
                <w:szCs w:val="17"/>
                <w:lang w:val="en-GB"/>
              </w:rPr>
              <w:t xml:space="preserve"> in a </w:t>
            </w:r>
            <w:r w:rsidR="00290278" w:rsidRPr="00290278">
              <w:rPr>
                <w:szCs w:val="17"/>
                <w:highlight w:val="yellow"/>
                <w:lang w:val="en-GB"/>
              </w:rPr>
              <w:t>standardised</w:t>
            </w:r>
            <w:r w:rsidRPr="008209CA">
              <w:rPr>
                <w:szCs w:val="17"/>
                <w:lang w:val="en-GB"/>
              </w:rPr>
              <w:t xml:space="preserve"> </w:t>
            </w:r>
            <w:r w:rsidRPr="008209CA">
              <w:rPr>
                <w:szCs w:val="17"/>
                <w:lang w:val="en-GB"/>
              </w:rPr>
              <w:lastRenderedPageBreak/>
              <w:t xml:space="preserve">document providing pre-contractual </w:t>
            </w:r>
            <w:r w:rsidR="00290278" w:rsidRPr="00290278">
              <w:rPr>
                <w:szCs w:val="17"/>
                <w:highlight w:val="yellow"/>
                <w:lang w:val="en-GB"/>
              </w:rPr>
              <w:t>non-personalised</w:t>
            </w:r>
            <w:r w:rsidR="00290278">
              <w:rPr>
                <w:szCs w:val="17"/>
                <w:lang w:val="en-GB"/>
              </w:rPr>
              <w:t xml:space="preserve"> </w:t>
            </w:r>
            <w:r w:rsidRPr="008209CA">
              <w:rPr>
                <w:szCs w:val="17"/>
                <w:lang w:val="en-GB"/>
              </w:rPr>
              <w:t xml:space="preserve">product information. </w:t>
            </w:r>
            <w:r w:rsidR="00686D45" w:rsidRPr="008209CA">
              <w:rPr>
                <w:szCs w:val="17"/>
                <w:lang w:val="en-GB"/>
              </w:rPr>
              <w:t>Similarly, d</w:t>
            </w:r>
            <w:r w:rsidR="000C23A4" w:rsidRPr="008209CA">
              <w:rPr>
                <w:szCs w:val="17"/>
                <w:lang w:val="en-GB"/>
              </w:rPr>
              <w:t>etailed</w:t>
            </w:r>
            <w:r w:rsidRPr="008209CA">
              <w:rPr>
                <w:szCs w:val="17"/>
                <w:lang w:val="en-GB"/>
              </w:rPr>
              <w:t xml:space="preserve"> tax information going beyond a general statement included by the product manufacturer (as in UCITS) that national tax legislation may have an impact on the consumer’s personal tax position, would not be possible in a </w:t>
            </w:r>
            <w:r w:rsidRPr="00F54537">
              <w:rPr>
                <w:szCs w:val="17"/>
                <w:highlight w:val="yellow"/>
                <w:lang w:val="en-GB"/>
              </w:rPr>
              <w:t>standard</w:t>
            </w:r>
            <w:r w:rsidR="00F54537" w:rsidRPr="00F54537">
              <w:rPr>
                <w:szCs w:val="17"/>
                <w:highlight w:val="yellow"/>
                <w:lang w:val="en-GB"/>
              </w:rPr>
              <w:t>ised</w:t>
            </w:r>
            <w:r w:rsidRPr="008209CA">
              <w:rPr>
                <w:szCs w:val="17"/>
                <w:lang w:val="en-GB"/>
              </w:rPr>
              <w:t xml:space="preserve"> pre-contractual information document. </w:t>
            </w:r>
          </w:p>
          <w:p w:rsidR="0023287C" w:rsidRPr="008209CA" w:rsidRDefault="0023287C" w:rsidP="002D7584">
            <w:pPr>
              <w:pStyle w:val="CEABullet-Level1"/>
              <w:numPr>
                <w:ilvl w:val="0"/>
                <w:numId w:val="0"/>
              </w:numPr>
              <w:rPr>
                <w:szCs w:val="17"/>
                <w:lang w:val="en-GB"/>
              </w:rPr>
            </w:pPr>
          </w:p>
          <w:p w:rsidR="00B66756" w:rsidRPr="008209CA" w:rsidRDefault="0023287C" w:rsidP="002D7584">
            <w:pPr>
              <w:pStyle w:val="CEABullet-Level1"/>
              <w:numPr>
                <w:ilvl w:val="0"/>
                <w:numId w:val="0"/>
              </w:numPr>
              <w:rPr>
                <w:szCs w:val="17"/>
                <w:lang w:val="en-GB"/>
              </w:rPr>
            </w:pPr>
            <w:r w:rsidRPr="008209CA">
              <w:rPr>
                <w:szCs w:val="17"/>
                <w:lang w:val="en-GB"/>
              </w:rPr>
              <w:t xml:space="preserve">Secondly, any requirements relating to sales information are already dealt with via the IMD and </w:t>
            </w:r>
            <w:proofErr w:type="spellStart"/>
            <w:r w:rsidRPr="008209CA">
              <w:rPr>
                <w:szCs w:val="17"/>
                <w:lang w:val="en-GB"/>
              </w:rPr>
              <w:t>MiFID</w:t>
            </w:r>
            <w:proofErr w:type="spellEnd"/>
            <w:r w:rsidRPr="008209CA">
              <w:rPr>
                <w:szCs w:val="17"/>
                <w:lang w:val="en-GB"/>
              </w:rPr>
              <w:t xml:space="preserve"> sales rules. The form of these disclosures should also be dealt with in IMD and </w:t>
            </w:r>
            <w:proofErr w:type="spellStart"/>
            <w:r w:rsidRPr="008209CA">
              <w:rPr>
                <w:szCs w:val="17"/>
                <w:lang w:val="en-GB"/>
              </w:rPr>
              <w:t>MiFID</w:t>
            </w:r>
            <w:proofErr w:type="spellEnd"/>
            <w:r w:rsidRPr="008209CA">
              <w:rPr>
                <w:szCs w:val="17"/>
                <w:lang w:val="en-GB"/>
              </w:rPr>
              <w:t xml:space="preserve">. Insurance Europe therefore strongly supports amendments which explicitly stipulate that IMD and </w:t>
            </w:r>
            <w:proofErr w:type="spellStart"/>
            <w:r w:rsidRPr="008209CA">
              <w:rPr>
                <w:szCs w:val="17"/>
                <w:lang w:val="en-GB"/>
              </w:rPr>
              <w:t>MiFID</w:t>
            </w:r>
            <w:proofErr w:type="spellEnd"/>
            <w:r w:rsidRPr="008209CA">
              <w:rPr>
                <w:szCs w:val="17"/>
                <w:lang w:val="en-GB"/>
              </w:rPr>
              <w:t xml:space="preserve"> take precedence over the PRIPs regulation in as far as they deal with specific sales rules. Furthermore, if two parties are responsible for the KID serious concerns are raised regarding shared liability.  </w:t>
            </w:r>
          </w:p>
          <w:p w:rsidR="00516746" w:rsidRPr="008209CA" w:rsidRDefault="00516746" w:rsidP="002D7584">
            <w:pPr>
              <w:pStyle w:val="CEABullet-Level1"/>
              <w:numPr>
                <w:ilvl w:val="0"/>
                <w:numId w:val="0"/>
              </w:numPr>
              <w:rPr>
                <w:szCs w:val="17"/>
                <w:lang w:val="en-GB"/>
              </w:rPr>
            </w:pPr>
          </w:p>
          <w:p w:rsidR="00525982" w:rsidRPr="008209CA" w:rsidRDefault="00525982" w:rsidP="00525982">
            <w:pPr>
              <w:pStyle w:val="CEABullet-Level1"/>
              <w:rPr>
                <w:szCs w:val="17"/>
                <w:lang w:val="en-GB"/>
              </w:rPr>
            </w:pPr>
            <w:r w:rsidRPr="008209CA">
              <w:rPr>
                <w:szCs w:val="17"/>
                <w:lang w:val="en-GB"/>
              </w:rPr>
              <w:t xml:space="preserve">Insurance Europe supports AMT73 or alternatively AMT74. Insurance Europe also supports AMT 167-168 as well as the amendments proposing a </w:t>
            </w:r>
            <w:commentRangeStart w:id="5"/>
            <w:r w:rsidRPr="008209CA">
              <w:rPr>
                <w:szCs w:val="17"/>
                <w:lang w:val="en-GB"/>
              </w:rPr>
              <w:t>general tax statement</w:t>
            </w:r>
            <w:commentRangeEnd w:id="5"/>
            <w:r w:rsidR="00D8396B" w:rsidRPr="008209CA">
              <w:rPr>
                <w:rStyle w:val="CommentReference"/>
                <w:rFonts w:cs="Times New Roman"/>
                <w:color w:val="auto"/>
                <w:sz w:val="17"/>
                <w:szCs w:val="17"/>
                <w:lang w:val="en-GB"/>
              </w:rPr>
              <w:commentReference w:id="5"/>
            </w:r>
            <w:r w:rsidRPr="008209CA">
              <w:rPr>
                <w:szCs w:val="17"/>
                <w:lang w:val="en-GB"/>
              </w:rPr>
              <w:t>, AMT339, AMT366 and AMT393</w:t>
            </w:r>
          </w:p>
          <w:p w:rsidR="00525982" w:rsidRPr="008209CA" w:rsidRDefault="00525982" w:rsidP="0023287C">
            <w:pPr>
              <w:pStyle w:val="CEABullet-Level1"/>
              <w:rPr>
                <w:szCs w:val="17"/>
                <w:lang w:val="en-GB"/>
              </w:rPr>
            </w:pPr>
            <w:r w:rsidRPr="008209CA">
              <w:rPr>
                <w:szCs w:val="17"/>
                <w:lang w:val="en-GB"/>
              </w:rPr>
              <w:t>Insurance Europe opposes</w:t>
            </w:r>
            <w:r w:rsidR="0023287C" w:rsidRPr="008209CA">
              <w:rPr>
                <w:szCs w:val="17"/>
                <w:lang w:val="en-GB"/>
              </w:rPr>
              <w:t xml:space="preserve"> amendments </w:t>
            </w:r>
            <w:r w:rsidR="00F810C8" w:rsidRPr="008209CA">
              <w:rPr>
                <w:szCs w:val="17"/>
                <w:lang w:val="en-GB"/>
              </w:rPr>
              <w:t>addressing or straying into</w:t>
            </w:r>
            <w:r w:rsidR="0023287C" w:rsidRPr="008209CA">
              <w:rPr>
                <w:szCs w:val="17"/>
                <w:lang w:val="en-GB"/>
              </w:rPr>
              <w:t xml:space="preserve"> the content of personal and sales </w:t>
            </w:r>
            <w:proofErr w:type="spellStart"/>
            <w:r w:rsidR="0023287C" w:rsidRPr="008209CA">
              <w:rPr>
                <w:szCs w:val="17"/>
                <w:lang w:val="en-GB"/>
              </w:rPr>
              <w:t>disclosures,ie</w:t>
            </w:r>
            <w:proofErr w:type="spellEnd"/>
            <w:r w:rsidRPr="008209CA">
              <w:rPr>
                <w:szCs w:val="17"/>
                <w:lang w:val="en-GB"/>
              </w:rPr>
              <w:t xml:space="preserve"> AMT115, AMT162, AMT165-166, AMT235, AMT241, AMT285, AMT292, </w:t>
            </w:r>
            <w:r w:rsidR="00F810C8" w:rsidRPr="008209CA">
              <w:rPr>
                <w:szCs w:val="17"/>
                <w:lang w:val="en-GB"/>
              </w:rPr>
              <w:t xml:space="preserve">AMT390, </w:t>
            </w:r>
            <w:r w:rsidRPr="008209CA">
              <w:rPr>
                <w:szCs w:val="17"/>
                <w:lang w:val="en-GB"/>
              </w:rPr>
              <w:t>AMT421, AMT434-435, AMT449-450, AMT516 and AMT573</w:t>
            </w:r>
          </w:p>
          <w:p w:rsidR="00516746" w:rsidRPr="00055795" w:rsidRDefault="0023287C" w:rsidP="00055795">
            <w:pPr>
              <w:pStyle w:val="CEABullet-Level1"/>
              <w:rPr>
                <w:szCs w:val="17"/>
                <w:lang w:val="en-GB"/>
              </w:rPr>
            </w:pPr>
            <w:r w:rsidRPr="008209CA">
              <w:rPr>
                <w:szCs w:val="17"/>
                <w:lang w:val="en-GB"/>
              </w:rPr>
              <w:t xml:space="preserve">Insurance Europe also opposes amendments addressing the form of personal and sales disclosures, </w:t>
            </w:r>
            <w:proofErr w:type="spellStart"/>
            <w:r w:rsidRPr="008209CA">
              <w:rPr>
                <w:szCs w:val="17"/>
                <w:lang w:val="en-GB"/>
              </w:rPr>
              <w:t>ie</w:t>
            </w:r>
            <w:proofErr w:type="spellEnd"/>
            <w:r w:rsidR="00C70054">
              <w:rPr>
                <w:szCs w:val="17"/>
                <w:lang w:val="en-GB"/>
              </w:rPr>
              <w:t xml:space="preserve"> AMT97, AMT106, </w:t>
            </w:r>
            <w:r w:rsidR="00525982" w:rsidRPr="008209CA">
              <w:rPr>
                <w:szCs w:val="17"/>
                <w:lang w:val="en-GB"/>
              </w:rPr>
              <w:t>AMT113, AMT242, AMT391 and AMT425.</w:t>
            </w:r>
          </w:p>
        </w:tc>
      </w:tr>
      <w:tr w:rsidR="00AF64A5" w:rsidRPr="008209CA" w:rsidTr="001743E8">
        <w:trPr>
          <w:trHeight w:val="2"/>
        </w:trPr>
        <w:tc>
          <w:tcPr>
            <w:tcW w:w="1691" w:type="dxa"/>
            <w:tcBorders>
              <w:top w:val="single" w:sz="4" w:space="0" w:color="auto"/>
              <w:left w:val="single" w:sz="4" w:space="0" w:color="auto"/>
              <w:bottom w:val="single" w:sz="4" w:space="0" w:color="auto"/>
              <w:right w:val="single" w:sz="4" w:space="0" w:color="auto"/>
            </w:tcBorders>
            <w:vAlign w:val="center"/>
          </w:tcPr>
          <w:p w:rsidR="00C70C3E" w:rsidRPr="008209CA" w:rsidRDefault="00C70C3E" w:rsidP="00A91EDF">
            <w:pPr>
              <w:spacing w:before="60" w:after="60"/>
              <w:jc w:val="center"/>
              <w:rPr>
                <w:b/>
                <w:szCs w:val="17"/>
                <w:lang w:val="nl-BE"/>
              </w:rPr>
            </w:pPr>
            <w:r w:rsidRPr="008209CA">
              <w:rPr>
                <w:b/>
                <w:szCs w:val="17"/>
                <w:lang w:val="nl-BE"/>
              </w:rPr>
              <w:lastRenderedPageBreak/>
              <w:t>AMT102, AMT240, AMT517-18, AMT523-524, AMT526-527, AMT</w:t>
            </w:r>
            <w:r w:rsidR="00A91EDF">
              <w:rPr>
                <w:b/>
                <w:szCs w:val="17"/>
                <w:lang w:val="nl-BE"/>
              </w:rPr>
              <w:t>529-</w:t>
            </w:r>
            <w:r w:rsidRPr="008209CA">
              <w:rPr>
                <w:b/>
                <w:szCs w:val="17"/>
                <w:lang w:val="nl-BE"/>
              </w:rPr>
              <w:t>533, AMT</w:t>
            </w:r>
            <w:r w:rsidR="00A91EDF">
              <w:rPr>
                <w:b/>
                <w:szCs w:val="17"/>
                <w:lang w:val="nl-BE"/>
              </w:rPr>
              <w:t>537-</w:t>
            </w:r>
            <w:r w:rsidRPr="008209CA">
              <w:rPr>
                <w:b/>
                <w:szCs w:val="17"/>
                <w:lang w:val="nl-BE"/>
              </w:rPr>
              <w:t>5</w:t>
            </w:r>
            <w:r w:rsidR="00A91EDF">
              <w:rPr>
                <w:b/>
                <w:szCs w:val="17"/>
                <w:lang w:val="nl-BE"/>
              </w:rPr>
              <w:t>41</w:t>
            </w:r>
            <w:r w:rsidRPr="008209CA">
              <w:rPr>
                <w:b/>
                <w:szCs w:val="17"/>
                <w:lang w:val="nl-BE"/>
              </w:rPr>
              <w:t>, AMT548-549, AMT557</w:t>
            </w:r>
          </w:p>
        </w:tc>
        <w:tc>
          <w:tcPr>
            <w:tcW w:w="1974" w:type="dxa"/>
            <w:tcBorders>
              <w:top w:val="single" w:sz="4" w:space="0" w:color="auto"/>
              <w:left w:val="single" w:sz="4" w:space="0" w:color="auto"/>
              <w:bottom w:val="single" w:sz="4" w:space="0" w:color="auto"/>
              <w:right w:val="single" w:sz="4" w:space="0" w:color="auto"/>
            </w:tcBorders>
            <w:vAlign w:val="center"/>
          </w:tcPr>
          <w:p w:rsidR="00C70C3E" w:rsidRPr="008209CA" w:rsidRDefault="00C70C3E" w:rsidP="0034353C">
            <w:pPr>
              <w:spacing w:before="60" w:after="60"/>
              <w:jc w:val="center"/>
              <w:rPr>
                <w:szCs w:val="17"/>
              </w:rPr>
            </w:pPr>
            <w:proofErr w:type="spellStart"/>
            <w:r w:rsidRPr="008209CA">
              <w:rPr>
                <w:szCs w:val="17"/>
                <w:lang w:val="fr-FR"/>
              </w:rPr>
              <w:t>Recital</w:t>
            </w:r>
            <w:proofErr w:type="spellEnd"/>
            <w:r w:rsidRPr="008209CA">
              <w:rPr>
                <w:szCs w:val="17"/>
                <w:lang w:val="fr-FR"/>
              </w:rPr>
              <w:t xml:space="preserve"> 9, Article 5 – para. 1, Article 12 – para. 1, Article 12 – para. 2, Article 12 – para. 2 – </w:t>
            </w:r>
            <w:proofErr w:type="spellStart"/>
            <w:r w:rsidRPr="008209CA">
              <w:rPr>
                <w:szCs w:val="17"/>
                <w:lang w:val="fr-FR"/>
              </w:rPr>
              <w:t>introductory</w:t>
            </w:r>
            <w:proofErr w:type="spellEnd"/>
            <w:r w:rsidRPr="008209CA">
              <w:rPr>
                <w:szCs w:val="17"/>
                <w:lang w:val="fr-FR"/>
              </w:rPr>
              <w:t xml:space="preserve"> part, Article 12 – para. 2 – point a – point b, Article 12 – para. 2 a (new), </w:t>
            </w:r>
            <w:r w:rsidR="00A91EDF">
              <w:rPr>
                <w:szCs w:val="17"/>
                <w:lang w:val="fr-FR"/>
              </w:rPr>
              <w:t xml:space="preserve">Article 12 – para.2 – point a – point c a (new), </w:t>
            </w:r>
            <w:r w:rsidRPr="008209CA">
              <w:rPr>
                <w:szCs w:val="17"/>
                <w:lang w:val="fr-FR"/>
              </w:rPr>
              <w:lastRenderedPageBreak/>
              <w:t xml:space="preserve">Article 13 – para. </w:t>
            </w:r>
            <w:r w:rsidRPr="00CC0DF5">
              <w:rPr>
                <w:szCs w:val="17"/>
                <w:lang w:val="fr-FR"/>
              </w:rPr>
              <w:t xml:space="preserve">1, Article 13 – para. </w:t>
            </w:r>
            <w:r w:rsidRPr="008209CA">
              <w:rPr>
                <w:szCs w:val="17"/>
              </w:rPr>
              <w:t>2 a (new)</w:t>
            </w:r>
          </w:p>
        </w:tc>
        <w:tc>
          <w:tcPr>
            <w:tcW w:w="2115" w:type="dxa"/>
            <w:tcBorders>
              <w:top w:val="single" w:sz="4" w:space="0" w:color="auto"/>
              <w:left w:val="single" w:sz="4" w:space="0" w:color="auto"/>
              <w:bottom w:val="single" w:sz="4" w:space="0" w:color="auto"/>
              <w:right w:val="single" w:sz="4" w:space="0" w:color="auto"/>
            </w:tcBorders>
            <w:vAlign w:val="center"/>
          </w:tcPr>
          <w:p w:rsidR="00C70C3E" w:rsidRPr="008209CA" w:rsidRDefault="00C70C3E" w:rsidP="0034353C">
            <w:pPr>
              <w:spacing w:before="60" w:after="60"/>
              <w:jc w:val="center"/>
              <w:rPr>
                <w:i/>
                <w:szCs w:val="17"/>
              </w:rPr>
            </w:pPr>
            <w:r w:rsidRPr="008209CA">
              <w:rPr>
                <w:i/>
                <w:szCs w:val="17"/>
              </w:rPr>
              <w:lastRenderedPageBreak/>
              <w:t xml:space="preserve">Wolf </w:t>
            </w:r>
            <w:proofErr w:type="spellStart"/>
            <w:r w:rsidRPr="008209CA">
              <w:rPr>
                <w:i/>
                <w:szCs w:val="17"/>
              </w:rPr>
              <w:t>Klinz</w:t>
            </w:r>
            <w:proofErr w:type="spellEnd"/>
            <w:r w:rsidRPr="008209CA">
              <w:rPr>
                <w:i/>
                <w:szCs w:val="17"/>
              </w:rPr>
              <w:t xml:space="preserve">, Sharon Bowles, Thomas </w:t>
            </w:r>
            <w:proofErr w:type="spellStart"/>
            <w:r w:rsidRPr="008209CA">
              <w:rPr>
                <w:i/>
                <w:szCs w:val="17"/>
              </w:rPr>
              <w:t>Händel</w:t>
            </w:r>
            <w:proofErr w:type="spellEnd"/>
            <w:r w:rsidRPr="008209CA">
              <w:rPr>
                <w:i/>
                <w:szCs w:val="17"/>
              </w:rPr>
              <w:t xml:space="preserve">, Sven </w:t>
            </w:r>
            <w:proofErr w:type="spellStart"/>
            <w:r w:rsidRPr="008209CA">
              <w:rPr>
                <w:i/>
                <w:szCs w:val="17"/>
              </w:rPr>
              <w:t>Giegold</w:t>
            </w:r>
            <w:proofErr w:type="spellEnd"/>
            <w:r w:rsidRPr="008209CA">
              <w:rPr>
                <w:i/>
                <w:szCs w:val="17"/>
              </w:rPr>
              <w:t xml:space="preserve">, Markus Ferber, </w:t>
            </w:r>
            <w:proofErr w:type="spellStart"/>
            <w:r w:rsidRPr="008209CA">
              <w:rPr>
                <w:i/>
                <w:szCs w:val="17"/>
              </w:rPr>
              <w:t>Burkhard</w:t>
            </w:r>
            <w:proofErr w:type="spellEnd"/>
            <w:r w:rsidRPr="008209CA">
              <w:rPr>
                <w:i/>
                <w:szCs w:val="17"/>
              </w:rPr>
              <w:t xml:space="preserve"> </w:t>
            </w:r>
            <w:proofErr w:type="spellStart"/>
            <w:r w:rsidRPr="008209CA">
              <w:rPr>
                <w:i/>
                <w:szCs w:val="17"/>
              </w:rPr>
              <w:t>Balz</w:t>
            </w:r>
            <w:proofErr w:type="spellEnd"/>
            <w:r w:rsidRPr="008209CA">
              <w:rPr>
                <w:i/>
                <w:szCs w:val="17"/>
              </w:rPr>
              <w:t xml:space="preserve">, </w:t>
            </w:r>
            <w:proofErr w:type="spellStart"/>
            <w:r w:rsidRPr="008209CA">
              <w:rPr>
                <w:i/>
                <w:szCs w:val="17"/>
              </w:rPr>
              <w:t>Ildikó</w:t>
            </w:r>
            <w:proofErr w:type="spellEnd"/>
            <w:r w:rsidRPr="008209CA">
              <w:rPr>
                <w:i/>
                <w:szCs w:val="17"/>
              </w:rPr>
              <w:t xml:space="preserve"> </w:t>
            </w:r>
            <w:proofErr w:type="spellStart"/>
            <w:r w:rsidRPr="008209CA">
              <w:rPr>
                <w:i/>
                <w:szCs w:val="17"/>
              </w:rPr>
              <w:t>Gáll-Pelez</w:t>
            </w:r>
            <w:proofErr w:type="spellEnd"/>
            <w:r w:rsidR="00A91EDF">
              <w:rPr>
                <w:i/>
                <w:szCs w:val="17"/>
              </w:rPr>
              <w:t xml:space="preserve">, Olle Schmidt, Nils Torvalds, </w:t>
            </w:r>
            <w:proofErr w:type="spellStart"/>
            <w:r w:rsidR="00A91EDF">
              <w:rPr>
                <w:i/>
                <w:szCs w:val="17"/>
              </w:rPr>
              <w:t>Sirpa</w:t>
            </w:r>
            <w:proofErr w:type="spellEnd"/>
            <w:r w:rsidR="00A91EDF">
              <w:rPr>
                <w:i/>
                <w:szCs w:val="17"/>
              </w:rPr>
              <w:t xml:space="preserve"> </w:t>
            </w:r>
            <w:proofErr w:type="spellStart"/>
            <w:r w:rsidR="00A91EDF">
              <w:rPr>
                <w:i/>
                <w:szCs w:val="17"/>
              </w:rPr>
              <w:t>Pietikäinen</w:t>
            </w:r>
            <w:proofErr w:type="spellEnd"/>
            <w:r w:rsidR="00A91EDF">
              <w:rPr>
                <w:i/>
                <w:szCs w:val="17"/>
              </w:rPr>
              <w:t xml:space="preserve">, Syed </w:t>
            </w:r>
            <w:proofErr w:type="spellStart"/>
            <w:r w:rsidR="00A91EDF">
              <w:rPr>
                <w:i/>
                <w:szCs w:val="17"/>
              </w:rPr>
              <w:t>Kamall</w:t>
            </w:r>
            <w:proofErr w:type="spellEnd"/>
            <w:r w:rsidR="00A91EDF">
              <w:rPr>
                <w:i/>
                <w:szCs w:val="17"/>
              </w:rPr>
              <w:t xml:space="preserve">, Wolf </w:t>
            </w:r>
            <w:proofErr w:type="spellStart"/>
            <w:r w:rsidR="00A91EDF">
              <w:rPr>
                <w:i/>
                <w:szCs w:val="17"/>
              </w:rPr>
              <w:t>Klinz</w:t>
            </w:r>
            <w:proofErr w:type="spellEnd"/>
          </w:p>
        </w:tc>
        <w:tc>
          <w:tcPr>
            <w:tcW w:w="10153" w:type="dxa"/>
            <w:tcBorders>
              <w:top w:val="single" w:sz="4" w:space="0" w:color="auto"/>
              <w:left w:val="single" w:sz="4" w:space="0" w:color="auto"/>
              <w:bottom w:val="single" w:sz="4" w:space="0" w:color="auto"/>
              <w:right w:val="single" w:sz="4" w:space="0" w:color="auto"/>
            </w:tcBorders>
          </w:tcPr>
          <w:p w:rsidR="00C70C3E" w:rsidRPr="008209CA" w:rsidRDefault="00C70C3E" w:rsidP="0034353C">
            <w:pPr>
              <w:pStyle w:val="CEABullet-Level1"/>
              <w:numPr>
                <w:ilvl w:val="0"/>
                <w:numId w:val="0"/>
              </w:numPr>
              <w:rPr>
                <w:b/>
                <w:i/>
                <w:szCs w:val="17"/>
                <w:lang w:val="en-GB"/>
              </w:rPr>
            </w:pPr>
            <w:r w:rsidRPr="008209CA">
              <w:rPr>
                <w:b/>
                <w:i/>
                <w:szCs w:val="17"/>
                <w:lang w:val="en-GB"/>
              </w:rPr>
              <w:t>Any provisions preventing non-advised sales should be removed</w:t>
            </w:r>
          </w:p>
          <w:p w:rsidR="00C70C3E" w:rsidRPr="008209CA" w:rsidRDefault="00C70C3E" w:rsidP="0034353C">
            <w:pPr>
              <w:pStyle w:val="CEABullet-Level1"/>
              <w:numPr>
                <w:ilvl w:val="0"/>
                <w:numId w:val="0"/>
              </w:numPr>
              <w:rPr>
                <w:szCs w:val="17"/>
                <w:lang w:val="en-GB"/>
              </w:rPr>
            </w:pPr>
            <w:r w:rsidRPr="008209CA">
              <w:rPr>
                <w:szCs w:val="17"/>
                <w:lang w:val="en-GB"/>
              </w:rPr>
              <w:t>Insurance Europe supports provisions ensuring customers can choose to purchase products without advice</w:t>
            </w:r>
            <w:r w:rsidR="009C4C06">
              <w:rPr>
                <w:szCs w:val="17"/>
                <w:lang w:val="en-GB"/>
              </w:rPr>
              <w:t xml:space="preserve"> </w:t>
            </w:r>
            <w:r w:rsidRPr="008209CA">
              <w:rPr>
                <w:szCs w:val="17"/>
                <w:lang w:val="en-GB"/>
              </w:rPr>
              <w:t xml:space="preserve">and therefore opposes the exclusion to provide the KID post transaction. Firstly, sales rules are already included in IMD and </w:t>
            </w:r>
            <w:proofErr w:type="spellStart"/>
            <w:r w:rsidRPr="008209CA">
              <w:rPr>
                <w:szCs w:val="17"/>
                <w:lang w:val="en-GB"/>
              </w:rPr>
              <w:t>MiFID</w:t>
            </w:r>
            <w:proofErr w:type="spellEnd"/>
            <w:r w:rsidRPr="008209CA">
              <w:rPr>
                <w:szCs w:val="17"/>
                <w:lang w:val="en-GB"/>
              </w:rPr>
              <w:t xml:space="preserve">. Secondly, such exclusion infringes Article 5.2 of directive 2002/65/EC regarding distant marketing of consumer financial services. The directive indeed allows providing pre-contractual information immediately after contract conclusion if it cannot be provided in good time before. </w:t>
            </w:r>
          </w:p>
          <w:p w:rsidR="00C70C3E" w:rsidRPr="008209CA" w:rsidRDefault="00C70C3E" w:rsidP="0034353C">
            <w:pPr>
              <w:pStyle w:val="CEABullet-Level1"/>
              <w:numPr>
                <w:ilvl w:val="0"/>
                <w:numId w:val="0"/>
              </w:numPr>
              <w:rPr>
                <w:szCs w:val="17"/>
                <w:lang w:val="en-GB"/>
              </w:rPr>
            </w:pPr>
          </w:p>
          <w:p w:rsidR="00C70C3E" w:rsidRPr="008209CA" w:rsidRDefault="00C70C3E" w:rsidP="0034353C">
            <w:pPr>
              <w:pStyle w:val="CEABullet-Level1"/>
              <w:numPr>
                <w:ilvl w:val="0"/>
                <w:numId w:val="0"/>
              </w:numPr>
              <w:rPr>
                <w:szCs w:val="17"/>
                <w:lang w:val="en-GB"/>
              </w:rPr>
            </w:pPr>
            <w:r w:rsidRPr="008209CA">
              <w:rPr>
                <w:szCs w:val="17"/>
                <w:lang w:val="en-GB"/>
              </w:rPr>
              <w:t xml:space="preserve">Insurance Europe notes that requiring retail investors to acknowledge receipt of the KID or requesting explicit consent to receive the KID post transaction would also prevent consumers to choose to purchase products without advice. Insurance Europe therefore opposes any amendments introducing such requirements. </w:t>
            </w:r>
          </w:p>
          <w:p w:rsidR="00C70C3E" w:rsidRPr="008209CA" w:rsidRDefault="00C70C3E" w:rsidP="0034353C">
            <w:pPr>
              <w:pStyle w:val="CEABullet-Level1"/>
              <w:numPr>
                <w:ilvl w:val="0"/>
                <w:numId w:val="0"/>
              </w:numPr>
              <w:rPr>
                <w:szCs w:val="17"/>
                <w:lang w:val="en-GB"/>
              </w:rPr>
            </w:pPr>
          </w:p>
          <w:p w:rsidR="00C70C3E" w:rsidRPr="008209CA" w:rsidRDefault="00C70C3E" w:rsidP="0034353C">
            <w:pPr>
              <w:pStyle w:val="CEABullet-Level1"/>
              <w:rPr>
                <w:szCs w:val="17"/>
                <w:lang w:val="en-GB"/>
              </w:rPr>
            </w:pPr>
            <w:r w:rsidRPr="008209CA">
              <w:rPr>
                <w:szCs w:val="17"/>
                <w:lang w:val="en-GB"/>
              </w:rPr>
              <w:t xml:space="preserve">Insurance Europe supports AMT541 and AMT 549 allowing customers to choose whether to purchase </w:t>
            </w:r>
            <w:r w:rsidRPr="008209CA">
              <w:rPr>
                <w:szCs w:val="17"/>
                <w:lang w:val="en-GB"/>
              </w:rPr>
              <w:lastRenderedPageBreak/>
              <w:t xml:space="preserve">investment products with advice. Insurance Europe also supports AMT102, AMT527, </w:t>
            </w:r>
            <w:proofErr w:type="gramStart"/>
            <w:r w:rsidRPr="008209CA">
              <w:rPr>
                <w:szCs w:val="17"/>
                <w:lang w:val="en-GB"/>
              </w:rPr>
              <w:t>AMT529</w:t>
            </w:r>
            <w:proofErr w:type="gramEnd"/>
            <w:r w:rsidRPr="008209CA">
              <w:rPr>
                <w:szCs w:val="17"/>
                <w:lang w:val="en-GB"/>
              </w:rPr>
              <w:t xml:space="preserve">-532 which ensure alignment with the distant marketing directive. Insurance Europe however opposes AMT240, AMT537-538 and AMT540 which impose conditions exceeding those included in the distant marketing directive. Insurance Europe also opposes AMT517-518, AMT523-524, AMT526, AMT533, AMT539, AMT548, </w:t>
            </w:r>
            <w:proofErr w:type="gramStart"/>
            <w:r w:rsidRPr="008209CA">
              <w:rPr>
                <w:szCs w:val="17"/>
                <w:lang w:val="en-GB"/>
              </w:rPr>
              <w:t>AMT557</w:t>
            </w:r>
            <w:proofErr w:type="gramEnd"/>
            <w:r w:rsidRPr="008209CA">
              <w:rPr>
                <w:szCs w:val="17"/>
                <w:lang w:val="en-GB"/>
              </w:rPr>
              <w:t>.</w:t>
            </w:r>
          </w:p>
        </w:tc>
      </w:tr>
      <w:tr w:rsidR="00AF64A5" w:rsidRPr="0097707F" w:rsidDel="00C1123D" w:rsidTr="00A91EDF">
        <w:trPr>
          <w:trHeight w:val="1"/>
        </w:trPr>
        <w:tc>
          <w:tcPr>
            <w:tcW w:w="1691" w:type="dxa"/>
            <w:tcBorders>
              <w:top w:val="single" w:sz="4" w:space="0" w:color="auto"/>
              <w:left w:val="single" w:sz="4" w:space="0" w:color="auto"/>
              <w:bottom w:val="single" w:sz="4" w:space="0" w:color="auto"/>
              <w:right w:val="single" w:sz="4" w:space="0" w:color="auto"/>
            </w:tcBorders>
            <w:vAlign w:val="center"/>
          </w:tcPr>
          <w:p w:rsidR="002B32BE" w:rsidRPr="008209CA" w:rsidRDefault="002B32BE" w:rsidP="007B09D5">
            <w:pPr>
              <w:jc w:val="center"/>
              <w:rPr>
                <w:b/>
                <w:szCs w:val="17"/>
                <w:lang w:val="nl-BE"/>
              </w:rPr>
            </w:pPr>
            <w:r w:rsidRPr="008209CA">
              <w:rPr>
                <w:b/>
                <w:szCs w:val="17"/>
                <w:lang w:val="nl-BE"/>
              </w:rPr>
              <w:lastRenderedPageBreak/>
              <w:t>AMT94, AMT111, AMT120, AMT145-146, AMT244-245, AMT295-296, AMT422, AMT465, AMT57</w:t>
            </w:r>
            <w:r w:rsidR="007B09D5">
              <w:rPr>
                <w:b/>
                <w:szCs w:val="17"/>
                <w:lang w:val="nl-BE"/>
              </w:rPr>
              <w:t>5</w:t>
            </w:r>
            <w:r w:rsidRPr="008209CA">
              <w:rPr>
                <w:b/>
                <w:szCs w:val="17"/>
                <w:lang w:val="nl-BE"/>
              </w:rPr>
              <w:t>-578</w:t>
            </w:r>
          </w:p>
        </w:tc>
        <w:tc>
          <w:tcPr>
            <w:tcW w:w="1974" w:type="dxa"/>
            <w:tcBorders>
              <w:top w:val="single" w:sz="4" w:space="0" w:color="auto"/>
              <w:left w:val="single" w:sz="4" w:space="0" w:color="auto"/>
              <w:bottom w:val="single" w:sz="4" w:space="0" w:color="auto"/>
              <w:right w:val="single" w:sz="4" w:space="0" w:color="auto"/>
            </w:tcBorders>
            <w:vAlign w:val="center"/>
          </w:tcPr>
          <w:p w:rsidR="002B32BE" w:rsidRPr="008209CA" w:rsidRDefault="002B32BE" w:rsidP="007B09D5">
            <w:pPr>
              <w:spacing w:before="60" w:after="60"/>
              <w:jc w:val="center"/>
              <w:rPr>
                <w:szCs w:val="17"/>
              </w:rPr>
            </w:pPr>
            <w:r w:rsidRPr="008209CA">
              <w:rPr>
                <w:szCs w:val="17"/>
              </w:rPr>
              <w:t xml:space="preserve">Recital 8 a (new), Recital 11, Recital 12 a (new), Recital 21 a (new), Recital 21 b (new), Article 5 a (new), Article 8 – </w:t>
            </w:r>
            <w:proofErr w:type="spellStart"/>
            <w:r w:rsidRPr="008209CA">
              <w:rPr>
                <w:szCs w:val="17"/>
              </w:rPr>
              <w:t>para</w:t>
            </w:r>
            <w:proofErr w:type="spellEnd"/>
            <w:r w:rsidRPr="008209CA">
              <w:rPr>
                <w:szCs w:val="17"/>
              </w:rPr>
              <w:t xml:space="preserve">. 2 – </w:t>
            </w:r>
            <w:proofErr w:type="gramStart"/>
            <w:r w:rsidRPr="008209CA">
              <w:rPr>
                <w:szCs w:val="17"/>
              </w:rPr>
              <w:t>point</w:t>
            </w:r>
            <w:proofErr w:type="gramEnd"/>
            <w:r w:rsidRPr="008209CA">
              <w:rPr>
                <w:szCs w:val="17"/>
              </w:rPr>
              <w:t xml:space="preserve"> a </w:t>
            </w:r>
            <w:proofErr w:type="spellStart"/>
            <w:r w:rsidRPr="008209CA">
              <w:rPr>
                <w:szCs w:val="17"/>
              </w:rPr>
              <w:t>a</w:t>
            </w:r>
            <w:proofErr w:type="spellEnd"/>
            <w:r w:rsidRPr="008209CA">
              <w:rPr>
                <w:szCs w:val="17"/>
              </w:rPr>
              <w:t xml:space="preserve"> (new), Article 8 – </w:t>
            </w:r>
            <w:proofErr w:type="spellStart"/>
            <w:r w:rsidRPr="008209CA">
              <w:rPr>
                <w:szCs w:val="17"/>
              </w:rPr>
              <w:t>para</w:t>
            </w:r>
            <w:proofErr w:type="spellEnd"/>
            <w:r w:rsidRPr="008209CA">
              <w:rPr>
                <w:szCs w:val="17"/>
              </w:rPr>
              <w:t>. 2 – poi</w:t>
            </w:r>
            <w:r w:rsidR="007B09D5">
              <w:rPr>
                <w:szCs w:val="17"/>
              </w:rPr>
              <w:t>nt h a (new), Article 8a (new)</w:t>
            </w:r>
            <w:r w:rsidRPr="008209CA">
              <w:rPr>
                <w:szCs w:val="17"/>
              </w:rPr>
              <w:t>, Chapter II a -Article 13 a (new), Ch</w:t>
            </w:r>
            <w:r w:rsidR="007B09D5">
              <w:rPr>
                <w:szCs w:val="17"/>
              </w:rPr>
              <w:t>apter II a</w:t>
            </w:r>
            <w:r w:rsidRPr="008209CA">
              <w:rPr>
                <w:szCs w:val="17"/>
              </w:rPr>
              <w:t>, Chapter II a - Article 13 c (new), Chapter II a – Article 13 d (new)</w:t>
            </w:r>
          </w:p>
        </w:tc>
        <w:tc>
          <w:tcPr>
            <w:tcW w:w="2115" w:type="dxa"/>
            <w:tcBorders>
              <w:top w:val="single" w:sz="4" w:space="0" w:color="auto"/>
              <w:left w:val="single" w:sz="4" w:space="0" w:color="auto"/>
              <w:bottom w:val="single" w:sz="4" w:space="0" w:color="auto"/>
              <w:right w:val="single" w:sz="4" w:space="0" w:color="auto"/>
            </w:tcBorders>
            <w:vAlign w:val="center"/>
          </w:tcPr>
          <w:p w:rsidR="002B32BE" w:rsidRPr="008209CA" w:rsidRDefault="002B32BE" w:rsidP="0034353C">
            <w:pPr>
              <w:spacing w:before="60" w:after="60"/>
              <w:jc w:val="center"/>
              <w:rPr>
                <w:i/>
                <w:szCs w:val="17"/>
              </w:rPr>
            </w:pPr>
            <w:proofErr w:type="spellStart"/>
            <w:r w:rsidRPr="008209CA">
              <w:rPr>
                <w:i/>
                <w:szCs w:val="17"/>
              </w:rPr>
              <w:t>Sirpa</w:t>
            </w:r>
            <w:proofErr w:type="spellEnd"/>
            <w:r w:rsidRPr="008209CA">
              <w:rPr>
                <w:i/>
                <w:szCs w:val="17"/>
              </w:rPr>
              <w:t xml:space="preserve"> </w:t>
            </w:r>
            <w:proofErr w:type="spellStart"/>
            <w:r w:rsidRPr="008209CA">
              <w:rPr>
                <w:i/>
                <w:szCs w:val="17"/>
              </w:rPr>
              <w:t>Pietikäinen</w:t>
            </w:r>
            <w:proofErr w:type="spellEnd"/>
            <w:r w:rsidRPr="008209CA">
              <w:rPr>
                <w:i/>
                <w:szCs w:val="17"/>
              </w:rPr>
              <w:t xml:space="preserve">, Sharon Bowles, Arlene McCarthy, </w:t>
            </w:r>
            <w:proofErr w:type="spellStart"/>
            <w:r w:rsidRPr="008209CA">
              <w:rPr>
                <w:i/>
                <w:szCs w:val="17"/>
              </w:rPr>
              <w:t>Pervenche</w:t>
            </w:r>
            <w:proofErr w:type="spellEnd"/>
            <w:r w:rsidRPr="008209CA">
              <w:rPr>
                <w:i/>
                <w:szCs w:val="17"/>
              </w:rPr>
              <w:t xml:space="preserve"> </w:t>
            </w:r>
            <w:proofErr w:type="spellStart"/>
            <w:r w:rsidRPr="008209CA">
              <w:rPr>
                <w:i/>
                <w:szCs w:val="17"/>
              </w:rPr>
              <w:t>Berès</w:t>
            </w:r>
            <w:proofErr w:type="spellEnd"/>
            <w:r w:rsidRPr="008209CA">
              <w:rPr>
                <w:i/>
                <w:szCs w:val="17"/>
              </w:rPr>
              <w:t xml:space="preserve">, </w:t>
            </w:r>
            <w:proofErr w:type="spellStart"/>
            <w:r w:rsidRPr="008209CA">
              <w:rPr>
                <w:i/>
                <w:szCs w:val="17"/>
              </w:rPr>
              <w:t>Corien</w:t>
            </w:r>
            <w:proofErr w:type="spellEnd"/>
            <w:r w:rsidRPr="008209CA">
              <w:rPr>
                <w:i/>
                <w:szCs w:val="17"/>
              </w:rPr>
              <w:t xml:space="preserve"> </w:t>
            </w:r>
            <w:proofErr w:type="spellStart"/>
            <w:r w:rsidRPr="008209CA">
              <w:rPr>
                <w:i/>
                <w:szCs w:val="17"/>
              </w:rPr>
              <w:t>Wortmann-Kool</w:t>
            </w:r>
            <w:proofErr w:type="spellEnd"/>
            <w:r w:rsidRPr="008209CA">
              <w:rPr>
                <w:i/>
                <w:szCs w:val="17"/>
              </w:rPr>
              <w:t>, Olle Schmidt, Nils Torvalds</w:t>
            </w:r>
          </w:p>
        </w:tc>
        <w:tc>
          <w:tcPr>
            <w:tcW w:w="10153" w:type="dxa"/>
            <w:tcBorders>
              <w:top w:val="single" w:sz="4" w:space="0" w:color="auto"/>
              <w:left w:val="single" w:sz="4" w:space="0" w:color="auto"/>
              <w:bottom w:val="single" w:sz="4" w:space="0" w:color="auto"/>
              <w:right w:val="single" w:sz="4" w:space="0" w:color="auto"/>
            </w:tcBorders>
          </w:tcPr>
          <w:p w:rsidR="002B32BE" w:rsidRPr="008209CA" w:rsidRDefault="002B32BE" w:rsidP="0034353C">
            <w:pPr>
              <w:pStyle w:val="CEABullet-Level1"/>
              <w:numPr>
                <w:ilvl w:val="0"/>
                <w:numId w:val="0"/>
              </w:numPr>
              <w:rPr>
                <w:b/>
                <w:i/>
                <w:szCs w:val="17"/>
                <w:lang w:val="en-GB"/>
              </w:rPr>
            </w:pPr>
            <w:r w:rsidRPr="008209CA">
              <w:rPr>
                <w:b/>
                <w:i/>
                <w:szCs w:val="17"/>
                <w:lang w:val="en-GB"/>
              </w:rPr>
              <w:t>The PRIPs regulation should not impose product development rules</w:t>
            </w:r>
            <w:r w:rsidR="00A527E2" w:rsidRPr="008209CA">
              <w:rPr>
                <w:b/>
                <w:i/>
                <w:szCs w:val="17"/>
                <w:lang w:val="en-GB"/>
              </w:rPr>
              <w:t xml:space="preserve"> on undertakings</w:t>
            </w:r>
          </w:p>
          <w:p w:rsidR="002B32BE" w:rsidRPr="008209CA" w:rsidRDefault="002B32BE" w:rsidP="0034353C">
            <w:pPr>
              <w:pStyle w:val="CEABullet-Level1"/>
              <w:numPr>
                <w:ilvl w:val="0"/>
                <w:numId w:val="0"/>
              </w:numPr>
              <w:rPr>
                <w:szCs w:val="17"/>
                <w:lang w:val="en-GB"/>
              </w:rPr>
            </w:pPr>
            <w:r w:rsidRPr="008209CA">
              <w:rPr>
                <w:szCs w:val="17"/>
                <w:lang w:val="en-GB"/>
              </w:rPr>
              <w:t xml:space="preserve">Insurance Europe does not support amendments which introduce requirements regarding product development, including the assessment of target markets, internal product approval processes and product design rules (including complex product labelling), internal risk management processes, use of derivatives and payoff rules. The PRIPs regulation addresses product comparability based on </w:t>
            </w:r>
            <w:r w:rsidR="00A91EDF" w:rsidRPr="00F54537">
              <w:rPr>
                <w:szCs w:val="17"/>
                <w:highlight w:val="yellow"/>
                <w:lang w:val="en-GB"/>
              </w:rPr>
              <w:t>standard</w:t>
            </w:r>
            <w:r w:rsidR="00F54537" w:rsidRPr="00F54537">
              <w:rPr>
                <w:szCs w:val="17"/>
                <w:highlight w:val="yellow"/>
                <w:lang w:val="en-GB"/>
              </w:rPr>
              <w:t>ised</w:t>
            </w:r>
            <w:r w:rsidR="00A91EDF">
              <w:rPr>
                <w:szCs w:val="17"/>
                <w:lang w:val="en-GB"/>
              </w:rPr>
              <w:t xml:space="preserve"> </w:t>
            </w:r>
            <w:r w:rsidRPr="008209CA">
              <w:rPr>
                <w:szCs w:val="17"/>
                <w:lang w:val="en-GB"/>
              </w:rPr>
              <w:t xml:space="preserve">pre-contractual product disclosures, not product complexity nor product development. Moreover, amendments which are based on existing guidance from one supervisory authority cannot be transposed without any adaptation to other financial sectors not subject to this authority’s supervision. </w:t>
            </w:r>
          </w:p>
          <w:p w:rsidR="002B32BE" w:rsidRPr="008209CA" w:rsidRDefault="002B32BE" w:rsidP="0034353C">
            <w:pPr>
              <w:pStyle w:val="CEABullet-Level1"/>
              <w:numPr>
                <w:ilvl w:val="0"/>
                <w:numId w:val="0"/>
              </w:numPr>
              <w:rPr>
                <w:szCs w:val="17"/>
                <w:lang w:val="en-GB"/>
              </w:rPr>
            </w:pPr>
          </w:p>
          <w:p w:rsidR="002B32BE" w:rsidRPr="008209CA" w:rsidRDefault="002B32BE" w:rsidP="007B09D5">
            <w:pPr>
              <w:pStyle w:val="CEABullet-Level1"/>
              <w:rPr>
                <w:szCs w:val="17"/>
                <w:lang w:val="fr-FR"/>
              </w:rPr>
            </w:pPr>
            <w:r w:rsidRPr="008209CA">
              <w:rPr>
                <w:szCs w:val="17"/>
                <w:lang w:val="fr-FR"/>
              </w:rPr>
              <w:t>Insurance Europe opposes AMT94, AMT111, AMT120, AMT145-146, AMT244-245, AMT295-296, AMT422, AMT465, AMT57</w:t>
            </w:r>
            <w:r w:rsidR="007B09D5">
              <w:rPr>
                <w:szCs w:val="17"/>
                <w:lang w:val="fr-FR"/>
              </w:rPr>
              <w:t>5</w:t>
            </w:r>
            <w:r w:rsidRPr="008209CA">
              <w:rPr>
                <w:szCs w:val="17"/>
                <w:lang w:val="fr-FR"/>
              </w:rPr>
              <w:t xml:space="preserve">-578. </w:t>
            </w:r>
          </w:p>
        </w:tc>
      </w:tr>
      <w:tr w:rsidR="00AF64A5" w:rsidRPr="008209CA" w:rsidDel="00C1123D" w:rsidTr="00FF211D">
        <w:trPr>
          <w:trHeight w:val="1"/>
        </w:trPr>
        <w:tc>
          <w:tcPr>
            <w:tcW w:w="1691" w:type="dxa"/>
            <w:tcBorders>
              <w:top w:val="single" w:sz="4" w:space="0" w:color="auto"/>
              <w:left w:val="single" w:sz="4" w:space="0" w:color="auto"/>
              <w:bottom w:val="single" w:sz="4" w:space="0" w:color="auto"/>
              <w:right w:val="single" w:sz="4" w:space="0" w:color="auto"/>
            </w:tcBorders>
            <w:vAlign w:val="center"/>
          </w:tcPr>
          <w:p w:rsidR="00A527E2" w:rsidRPr="007B09D5" w:rsidRDefault="00A527E2" w:rsidP="0034353C">
            <w:pPr>
              <w:spacing w:before="60" w:after="60"/>
              <w:jc w:val="center"/>
              <w:rPr>
                <w:b/>
                <w:szCs w:val="17"/>
                <w:lang w:val="nl-BE"/>
              </w:rPr>
            </w:pPr>
            <w:r w:rsidRPr="007B09D5">
              <w:rPr>
                <w:b/>
                <w:szCs w:val="17"/>
                <w:lang w:val="nl-BE"/>
              </w:rPr>
              <w:t>AMT95, AMT110, AMT124, ATMT567-572</w:t>
            </w:r>
            <w:r w:rsidR="007B09D5" w:rsidRPr="007B09D5">
              <w:rPr>
                <w:b/>
                <w:szCs w:val="17"/>
                <w:lang w:val="nl-BE"/>
              </w:rPr>
              <w:t>, AMT574</w:t>
            </w:r>
          </w:p>
        </w:tc>
        <w:tc>
          <w:tcPr>
            <w:tcW w:w="1974" w:type="dxa"/>
            <w:tcBorders>
              <w:top w:val="single" w:sz="4" w:space="0" w:color="auto"/>
              <w:left w:val="single" w:sz="4" w:space="0" w:color="auto"/>
              <w:bottom w:val="single" w:sz="4" w:space="0" w:color="auto"/>
              <w:right w:val="single" w:sz="4" w:space="0" w:color="auto"/>
            </w:tcBorders>
            <w:vAlign w:val="center"/>
          </w:tcPr>
          <w:p w:rsidR="00A527E2" w:rsidRPr="008209CA" w:rsidRDefault="00A527E2" w:rsidP="0034353C">
            <w:pPr>
              <w:spacing w:before="60" w:after="60"/>
              <w:jc w:val="center"/>
              <w:rPr>
                <w:szCs w:val="17"/>
              </w:rPr>
            </w:pPr>
            <w:r w:rsidRPr="008209CA">
              <w:rPr>
                <w:szCs w:val="17"/>
              </w:rPr>
              <w:t>Recital 8 a (new), Recital 10 a (new), Recital 15, Article 13 a (new)</w:t>
            </w:r>
            <w:r w:rsidR="007B09D5">
              <w:rPr>
                <w:szCs w:val="17"/>
              </w:rPr>
              <w:t xml:space="preserve">, </w:t>
            </w:r>
            <w:r w:rsidR="007B09D5" w:rsidRPr="007B09D5">
              <w:rPr>
                <w:szCs w:val="17"/>
              </w:rPr>
              <w:t>Chapter II a, Articles 13a, 13b, 13c (new)</w:t>
            </w:r>
          </w:p>
        </w:tc>
        <w:tc>
          <w:tcPr>
            <w:tcW w:w="2115" w:type="dxa"/>
            <w:tcBorders>
              <w:top w:val="single" w:sz="4" w:space="0" w:color="auto"/>
              <w:left w:val="single" w:sz="4" w:space="0" w:color="auto"/>
              <w:bottom w:val="single" w:sz="4" w:space="0" w:color="auto"/>
              <w:right w:val="single" w:sz="4" w:space="0" w:color="auto"/>
            </w:tcBorders>
            <w:vAlign w:val="center"/>
          </w:tcPr>
          <w:p w:rsidR="00A527E2" w:rsidRPr="008209CA" w:rsidRDefault="00A527E2" w:rsidP="0034353C">
            <w:pPr>
              <w:spacing w:before="60" w:after="60"/>
              <w:jc w:val="center"/>
              <w:rPr>
                <w:i/>
                <w:szCs w:val="17"/>
              </w:rPr>
            </w:pPr>
            <w:proofErr w:type="spellStart"/>
            <w:r w:rsidRPr="008209CA">
              <w:rPr>
                <w:i/>
                <w:szCs w:val="17"/>
              </w:rPr>
              <w:t>Burkhard</w:t>
            </w:r>
            <w:proofErr w:type="spellEnd"/>
            <w:r w:rsidRPr="008209CA">
              <w:rPr>
                <w:i/>
                <w:szCs w:val="17"/>
              </w:rPr>
              <w:t xml:space="preserve"> </w:t>
            </w:r>
            <w:proofErr w:type="spellStart"/>
            <w:r w:rsidRPr="008209CA">
              <w:rPr>
                <w:i/>
                <w:szCs w:val="17"/>
              </w:rPr>
              <w:t>Balz</w:t>
            </w:r>
            <w:proofErr w:type="spellEnd"/>
            <w:r w:rsidRPr="008209CA">
              <w:rPr>
                <w:i/>
                <w:szCs w:val="17"/>
              </w:rPr>
              <w:t xml:space="preserve">, </w:t>
            </w:r>
            <w:proofErr w:type="spellStart"/>
            <w:r w:rsidRPr="008209CA">
              <w:rPr>
                <w:i/>
                <w:szCs w:val="17"/>
              </w:rPr>
              <w:t>Corien</w:t>
            </w:r>
            <w:proofErr w:type="spellEnd"/>
            <w:r w:rsidRPr="008209CA">
              <w:rPr>
                <w:i/>
                <w:szCs w:val="17"/>
              </w:rPr>
              <w:t xml:space="preserve"> </w:t>
            </w:r>
            <w:proofErr w:type="spellStart"/>
            <w:r w:rsidRPr="008209CA">
              <w:rPr>
                <w:i/>
                <w:szCs w:val="17"/>
              </w:rPr>
              <w:t>Wortmann-Kool</w:t>
            </w:r>
            <w:proofErr w:type="spellEnd"/>
            <w:r w:rsidRPr="008209CA">
              <w:rPr>
                <w:i/>
                <w:szCs w:val="17"/>
              </w:rPr>
              <w:t xml:space="preserve">, Sharon Bowles, </w:t>
            </w:r>
            <w:proofErr w:type="spellStart"/>
            <w:r w:rsidRPr="008209CA">
              <w:rPr>
                <w:i/>
                <w:szCs w:val="17"/>
              </w:rPr>
              <w:t>Ildikó</w:t>
            </w:r>
            <w:proofErr w:type="spellEnd"/>
            <w:r w:rsidRPr="008209CA">
              <w:rPr>
                <w:i/>
                <w:szCs w:val="17"/>
              </w:rPr>
              <w:t xml:space="preserve"> </w:t>
            </w:r>
            <w:proofErr w:type="spellStart"/>
            <w:r w:rsidRPr="008209CA">
              <w:rPr>
                <w:i/>
                <w:szCs w:val="17"/>
              </w:rPr>
              <w:t>Gáall-Pelez</w:t>
            </w:r>
            <w:proofErr w:type="spellEnd"/>
            <w:r w:rsidRPr="008209CA">
              <w:rPr>
                <w:i/>
                <w:szCs w:val="17"/>
              </w:rPr>
              <w:t xml:space="preserve">, Markus Ferber, Wolf </w:t>
            </w:r>
            <w:proofErr w:type="spellStart"/>
            <w:r w:rsidRPr="008209CA">
              <w:rPr>
                <w:i/>
                <w:szCs w:val="17"/>
              </w:rPr>
              <w:t>Klinz</w:t>
            </w:r>
            <w:proofErr w:type="spellEnd"/>
            <w:r w:rsidRPr="008209CA">
              <w:rPr>
                <w:i/>
                <w:szCs w:val="17"/>
              </w:rPr>
              <w:t>, Astrid Lulling, Olle Schmidt, Nils Torvalds</w:t>
            </w:r>
          </w:p>
        </w:tc>
        <w:tc>
          <w:tcPr>
            <w:tcW w:w="10153" w:type="dxa"/>
            <w:tcBorders>
              <w:top w:val="single" w:sz="4" w:space="0" w:color="auto"/>
              <w:left w:val="single" w:sz="4" w:space="0" w:color="auto"/>
              <w:bottom w:val="single" w:sz="4" w:space="0" w:color="auto"/>
              <w:right w:val="single" w:sz="4" w:space="0" w:color="auto"/>
            </w:tcBorders>
          </w:tcPr>
          <w:p w:rsidR="00A527E2" w:rsidRPr="008209CA" w:rsidRDefault="00A527E2" w:rsidP="0034353C">
            <w:pPr>
              <w:pStyle w:val="CEABullet-Level1"/>
              <w:numPr>
                <w:ilvl w:val="0"/>
                <w:numId w:val="0"/>
              </w:numPr>
              <w:rPr>
                <w:b/>
                <w:i/>
                <w:szCs w:val="17"/>
                <w:lang w:val="en-GB"/>
              </w:rPr>
            </w:pPr>
            <w:r w:rsidRPr="008209CA">
              <w:rPr>
                <w:b/>
                <w:i/>
                <w:szCs w:val="17"/>
                <w:lang w:val="en-GB"/>
              </w:rPr>
              <w:t>The PRIPs regulation should not impose regulatory product approval nor authorisation of the KID</w:t>
            </w:r>
          </w:p>
          <w:p w:rsidR="00A527E2" w:rsidRPr="008209CA" w:rsidRDefault="00A527E2" w:rsidP="0034353C">
            <w:pPr>
              <w:pStyle w:val="CEABullet-Level1"/>
              <w:numPr>
                <w:ilvl w:val="0"/>
                <w:numId w:val="0"/>
              </w:numPr>
              <w:rPr>
                <w:szCs w:val="17"/>
                <w:lang w:val="en-GB"/>
              </w:rPr>
            </w:pPr>
            <w:r w:rsidRPr="008209CA">
              <w:rPr>
                <w:szCs w:val="17"/>
                <w:lang w:val="en-GB"/>
              </w:rPr>
              <w:t xml:space="preserve">Firstly, Insurance Europe opposes amendments which grant specific powers to the European Supervisory Authorities </w:t>
            </w:r>
            <w:r w:rsidR="00AD160B" w:rsidRPr="00AD160B">
              <w:rPr>
                <w:szCs w:val="17"/>
                <w:highlight w:val="yellow"/>
                <w:lang w:val="en-GB"/>
              </w:rPr>
              <w:t>and/or national competent authorities</w:t>
            </w:r>
            <w:r w:rsidR="00AD160B">
              <w:rPr>
                <w:szCs w:val="17"/>
                <w:lang w:val="en-GB"/>
              </w:rPr>
              <w:t xml:space="preserve"> </w:t>
            </w:r>
            <w:r w:rsidRPr="008209CA">
              <w:rPr>
                <w:szCs w:val="17"/>
                <w:lang w:val="en-GB"/>
              </w:rPr>
              <w:t>to investigate new products prior to their launch given such prior approval contradicts free competition and is not feasible taking into account the significant number of new products. Moreover, for the insurance sector</w:t>
            </w:r>
            <w:r w:rsidR="00A91EDF">
              <w:rPr>
                <w:szCs w:val="17"/>
                <w:lang w:val="en-GB"/>
              </w:rPr>
              <w:t>,</w:t>
            </w:r>
            <w:r w:rsidRPr="008209CA">
              <w:rPr>
                <w:szCs w:val="17"/>
                <w:lang w:val="en-GB"/>
              </w:rPr>
              <w:t xml:space="preserve"> product intervention conflicts with existing European legislation. Article 21 Solvency II indeed stipulates that prior approval or systematic notification of general and special policy conditions shall not be required. </w:t>
            </w:r>
          </w:p>
          <w:p w:rsidR="00A527E2" w:rsidRPr="008209CA" w:rsidRDefault="00A527E2" w:rsidP="0034353C">
            <w:pPr>
              <w:pStyle w:val="CEABullet-Level1"/>
              <w:numPr>
                <w:ilvl w:val="0"/>
                <w:numId w:val="0"/>
              </w:numPr>
              <w:rPr>
                <w:szCs w:val="17"/>
                <w:lang w:val="en-GB"/>
              </w:rPr>
            </w:pPr>
          </w:p>
          <w:p w:rsidR="00A527E2" w:rsidRPr="008209CA" w:rsidRDefault="00A527E2" w:rsidP="00A527E2">
            <w:pPr>
              <w:pStyle w:val="CEABullet-Level1"/>
              <w:rPr>
                <w:szCs w:val="17"/>
                <w:lang w:val="en-GB"/>
              </w:rPr>
            </w:pPr>
            <w:r w:rsidRPr="008209CA">
              <w:rPr>
                <w:szCs w:val="17"/>
                <w:lang w:val="en-GB"/>
              </w:rPr>
              <w:t xml:space="preserve">Insurance Europe </w:t>
            </w:r>
            <w:r w:rsidR="007B09D5">
              <w:rPr>
                <w:szCs w:val="17"/>
                <w:lang w:val="en-GB"/>
              </w:rPr>
              <w:t xml:space="preserve">opposed </w:t>
            </w:r>
            <w:commentRangeStart w:id="6"/>
            <w:r w:rsidR="007B09D5" w:rsidRPr="007B09D5">
              <w:rPr>
                <w:szCs w:val="17"/>
                <w:highlight w:val="yellow"/>
                <w:lang w:val="en-GB"/>
              </w:rPr>
              <w:t>AMT</w:t>
            </w:r>
            <w:commentRangeEnd w:id="6"/>
            <w:r w:rsidR="007B09D5">
              <w:rPr>
                <w:rStyle w:val="CommentReference"/>
                <w:rFonts w:cs="Times New Roman"/>
                <w:color w:val="auto"/>
                <w:lang w:val="en-GB"/>
              </w:rPr>
              <w:commentReference w:id="6"/>
            </w:r>
            <w:r w:rsidR="007B09D5" w:rsidRPr="007B09D5">
              <w:rPr>
                <w:szCs w:val="17"/>
                <w:highlight w:val="yellow"/>
                <w:lang w:val="en-GB"/>
              </w:rPr>
              <w:t>574</w:t>
            </w:r>
            <w:r w:rsidR="007B09D5">
              <w:rPr>
                <w:szCs w:val="17"/>
                <w:lang w:val="en-GB"/>
              </w:rPr>
              <w:t xml:space="preserve"> but </w:t>
            </w:r>
            <w:r w:rsidRPr="008209CA">
              <w:rPr>
                <w:szCs w:val="17"/>
                <w:lang w:val="en-GB"/>
              </w:rPr>
              <w:t>supports AMT95.</w:t>
            </w:r>
          </w:p>
          <w:p w:rsidR="00A527E2" w:rsidRPr="008209CA" w:rsidRDefault="00A527E2" w:rsidP="00A527E2">
            <w:pPr>
              <w:pStyle w:val="CEABullet-Level1"/>
              <w:numPr>
                <w:ilvl w:val="0"/>
                <w:numId w:val="0"/>
              </w:numPr>
              <w:rPr>
                <w:b/>
                <w:i/>
                <w:szCs w:val="17"/>
                <w:lang w:val="en-GB"/>
              </w:rPr>
            </w:pPr>
            <w:r w:rsidRPr="008209CA">
              <w:rPr>
                <w:szCs w:val="17"/>
                <w:lang w:val="en-GB"/>
              </w:rPr>
              <w:lastRenderedPageBreak/>
              <w:t xml:space="preserve">Secondly, Insurance Europe opposes amendments which introduce the obligation for supervisory authorities to approve the KID prior to its use. </w:t>
            </w:r>
            <w:r w:rsidR="00290278" w:rsidRPr="00290278">
              <w:rPr>
                <w:szCs w:val="17"/>
                <w:highlight w:val="yellow"/>
                <w:lang w:val="en-GB"/>
              </w:rPr>
              <w:t>Aside from the obvious practical and timely issues, the supervisor cannot reasonably be expected to approve all KIDs given the amount produced by firms. Insurance Europe believes firms should take responsibility for the material they produce and not defer this responsibility to the supervisors.</w:t>
            </w:r>
            <w:r w:rsidR="00290278">
              <w:rPr>
                <w:szCs w:val="17"/>
                <w:lang w:val="en-GB"/>
              </w:rPr>
              <w:t xml:space="preserve"> Further. </w:t>
            </w:r>
            <w:proofErr w:type="gramStart"/>
            <w:r w:rsidR="00290278">
              <w:rPr>
                <w:szCs w:val="17"/>
                <w:lang w:val="en-GB"/>
              </w:rPr>
              <w:t>once</w:t>
            </w:r>
            <w:proofErr w:type="gramEnd"/>
            <w:r w:rsidRPr="008209CA">
              <w:rPr>
                <w:szCs w:val="17"/>
                <w:lang w:val="en-GB"/>
              </w:rPr>
              <w:t xml:space="preserve"> the regulation is in force, product manufacturers will have to comply and the regulation already includes sanctions for non-compliance. </w:t>
            </w:r>
          </w:p>
          <w:p w:rsidR="00A527E2" w:rsidRPr="008209CA" w:rsidRDefault="00A527E2" w:rsidP="00A527E2">
            <w:pPr>
              <w:pStyle w:val="CEABullet-Level1"/>
              <w:numPr>
                <w:ilvl w:val="0"/>
                <w:numId w:val="0"/>
              </w:numPr>
              <w:rPr>
                <w:szCs w:val="17"/>
                <w:lang w:val="en-GB"/>
              </w:rPr>
            </w:pPr>
          </w:p>
          <w:p w:rsidR="00A527E2" w:rsidRPr="008209CA" w:rsidRDefault="00A527E2" w:rsidP="00A527E2">
            <w:pPr>
              <w:pStyle w:val="CEABullet-Level1"/>
              <w:rPr>
                <w:szCs w:val="17"/>
                <w:lang w:val="en-GB"/>
              </w:rPr>
            </w:pPr>
            <w:r w:rsidRPr="008209CA">
              <w:rPr>
                <w:szCs w:val="17"/>
                <w:lang w:val="en-GB"/>
              </w:rPr>
              <w:t>Insurance Europe supports AMT95, AMT110 but opposes AMT124, AMT567-572.</w:t>
            </w:r>
          </w:p>
          <w:p w:rsidR="00A527E2" w:rsidRPr="008209CA" w:rsidRDefault="00A527E2" w:rsidP="00A527E2">
            <w:pPr>
              <w:pStyle w:val="CEABullet-Level1"/>
              <w:numPr>
                <w:ilvl w:val="0"/>
                <w:numId w:val="0"/>
              </w:numPr>
              <w:rPr>
                <w:szCs w:val="17"/>
                <w:lang w:val="en-GB"/>
              </w:rPr>
            </w:pPr>
          </w:p>
        </w:tc>
      </w:tr>
      <w:tr w:rsidR="00AF64A5" w:rsidRPr="0097707F" w:rsidDel="00C1123D" w:rsidTr="00DC18B5">
        <w:trPr>
          <w:cantSplit/>
          <w:trHeight w:val="1"/>
        </w:trPr>
        <w:tc>
          <w:tcPr>
            <w:tcW w:w="1691" w:type="dxa"/>
            <w:tcBorders>
              <w:top w:val="single" w:sz="4" w:space="0" w:color="auto"/>
              <w:left w:val="single" w:sz="4" w:space="0" w:color="auto"/>
              <w:bottom w:val="single" w:sz="4" w:space="0" w:color="auto"/>
              <w:right w:val="single" w:sz="4" w:space="0" w:color="auto"/>
            </w:tcBorders>
            <w:vAlign w:val="center"/>
          </w:tcPr>
          <w:p w:rsidR="00C70C3E" w:rsidRPr="008209CA" w:rsidRDefault="00C70C3E" w:rsidP="0034353C">
            <w:pPr>
              <w:spacing w:before="60" w:after="60"/>
              <w:jc w:val="center"/>
              <w:rPr>
                <w:b/>
                <w:szCs w:val="17"/>
              </w:rPr>
            </w:pPr>
            <w:r w:rsidRPr="008209CA">
              <w:rPr>
                <w:b/>
                <w:szCs w:val="17"/>
              </w:rPr>
              <w:lastRenderedPageBreak/>
              <w:t>AMT406, AMT409</w:t>
            </w:r>
          </w:p>
        </w:tc>
        <w:tc>
          <w:tcPr>
            <w:tcW w:w="1974" w:type="dxa"/>
            <w:tcBorders>
              <w:top w:val="single" w:sz="4" w:space="0" w:color="auto"/>
              <w:left w:val="single" w:sz="4" w:space="0" w:color="auto"/>
              <w:bottom w:val="single" w:sz="4" w:space="0" w:color="auto"/>
              <w:right w:val="single" w:sz="4" w:space="0" w:color="auto"/>
            </w:tcBorders>
            <w:vAlign w:val="center"/>
          </w:tcPr>
          <w:p w:rsidR="00C70C3E" w:rsidRPr="008209CA" w:rsidRDefault="00C70C3E" w:rsidP="0034353C">
            <w:pPr>
              <w:spacing w:before="60" w:after="60"/>
              <w:jc w:val="center"/>
              <w:rPr>
                <w:szCs w:val="17"/>
              </w:rPr>
            </w:pPr>
            <w:r w:rsidRPr="008209CA">
              <w:rPr>
                <w:szCs w:val="17"/>
                <w:lang w:val="fr-FR"/>
              </w:rPr>
              <w:t xml:space="preserve">Article 8 – para. 2 – point g, Article 8 – para. </w:t>
            </w:r>
            <w:r w:rsidRPr="008209CA">
              <w:rPr>
                <w:szCs w:val="17"/>
              </w:rPr>
              <w:t>2 – point g a (new)</w:t>
            </w:r>
          </w:p>
        </w:tc>
        <w:tc>
          <w:tcPr>
            <w:tcW w:w="2115" w:type="dxa"/>
            <w:tcBorders>
              <w:top w:val="single" w:sz="4" w:space="0" w:color="auto"/>
              <w:left w:val="single" w:sz="4" w:space="0" w:color="auto"/>
              <w:bottom w:val="single" w:sz="4" w:space="0" w:color="auto"/>
              <w:right w:val="single" w:sz="4" w:space="0" w:color="auto"/>
            </w:tcBorders>
            <w:vAlign w:val="center"/>
          </w:tcPr>
          <w:p w:rsidR="00C70C3E" w:rsidRPr="008209CA" w:rsidRDefault="00C70C3E" w:rsidP="0034353C">
            <w:pPr>
              <w:spacing w:before="60" w:after="60"/>
              <w:jc w:val="center"/>
              <w:rPr>
                <w:i/>
                <w:szCs w:val="17"/>
              </w:rPr>
            </w:pPr>
            <w:r w:rsidRPr="008209CA">
              <w:rPr>
                <w:i/>
                <w:szCs w:val="17"/>
              </w:rPr>
              <w:t xml:space="preserve">Sven </w:t>
            </w:r>
            <w:proofErr w:type="spellStart"/>
            <w:r w:rsidRPr="008209CA">
              <w:rPr>
                <w:i/>
                <w:szCs w:val="17"/>
              </w:rPr>
              <w:t>Giegold</w:t>
            </w:r>
            <w:proofErr w:type="spellEnd"/>
          </w:p>
        </w:tc>
        <w:tc>
          <w:tcPr>
            <w:tcW w:w="10153" w:type="dxa"/>
            <w:tcBorders>
              <w:top w:val="single" w:sz="4" w:space="0" w:color="auto"/>
              <w:left w:val="single" w:sz="4" w:space="0" w:color="auto"/>
              <w:bottom w:val="single" w:sz="4" w:space="0" w:color="auto"/>
              <w:right w:val="single" w:sz="4" w:space="0" w:color="auto"/>
            </w:tcBorders>
          </w:tcPr>
          <w:p w:rsidR="00C70C3E" w:rsidRPr="008209CA" w:rsidRDefault="00C70C3E" w:rsidP="0034353C">
            <w:pPr>
              <w:pStyle w:val="CEABullet-Level1"/>
              <w:numPr>
                <w:ilvl w:val="0"/>
                <w:numId w:val="0"/>
              </w:numPr>
              <w:rPr>
                <w:b/>
                <w:i/>
                <w:szCs w:val="17"/>
                <w:lang w:val="en-GB"/>
              </w:rPr>
            </w:pPr>
            <w:r w:rsidRPr="008209CA">
              <w:rPr>
                <w:b/>
                <w:i/>
                <w:szCs w:val="17"/>
                <w:lang w:val="en-GB"/>
              </w:rPr>
              <w:t>The PRIPs regulation should not regulate post transaction disclosures</w:t>
            </w:r>
          </w:p>
          <w:p w:rsidR="00C70C3E" w:rsidRPr="008209CA" w:rsidRDefault="00C70C3E" w:rsidP="0034353C">
            <w:pPr>
              <w:pStyle w:val="CEABullet-Level1"/>
              <w:numPr>
                <w:ilvl w:val="0"/>
                <w:numId w:val="0"/>
              </w:numPr>
              <w:rPr>
                <w:szCs w:val="17"/>
                <w:lang w:val="en-GB"/>
              </w:rPr>
            </w:pPr>
            <w:r w:rsidRPr="008209CA">
              <w:rPr>
                <w:szCs w:val="17"/>
                <w:lang w:val="en-GB"/>
              </w:rPr>
              <w:t xml:space="preserve">The PRIPs regulation addresses </w:t>
            </w:r>
            <w:r w:rsidRPr="00F54537">
              <w:rPr>
                <w:szCs w:val="17"/>
                <w:highlight w:val="yellow"/>
                <w:lang w:val="en-GB"/>
              </w:rPr>
              <w:t>standard</w:t>
            </w:r>
            <w:r w:rsidR="00F54537" w:rsidRPr="00F54537">
              <w:rPr>
                <w:szCs w:val="17"/>
                <w:highlight w:val="yellow"/>
                <w:lang w:val="en-GB"/>
              </w:rPr>
              <w:t>ised</w:t>
            </w:r>
            <w:r w:rsidRPr="008209CA">
              <w:rPr>
                <w:szCs w:val="17"/>
                <w:lang w:val="en-GB"/>
              </w:rPr>
              <w:t xml:space="preserve"> pre-contractual information, not information throughout the life of the contract. </w:t>
            </w:r>
          </w:p>
          <w:p w:rsidR="00C70C3E" w:rsidRPr="008209CA" w:rsidRDefault="00C70C3E" w:rsidP="0034353C">
            <w:pPr>
              <w:pStyle w:val="CEABullet-Level1"/>
              <w:numPr>
                <w:ilvl w:val="0"/>
                <w:numId w:val="0"/>
              </w:numPr>
              <w:rPr>
                <w:szCs w:val="17"/>
                <w:lang w:val="en-GB"/>
              </w:rPr>
            </w:pPr>
          </w:p>
          <w:p w:rsidR="00C70C3E" w:rsidRPr="008209CA" w:rsidRDefault="00C70C3E" w:rsidP="0034353C">
            <w:pPr>
              <w:pStyle w:val="CEABullet-Level1"/>
              <w:rPr>
                <w:szCs w:val="17"/>
                <w:lang w:val="fr-FR"/>
              </w:rPr>
            </w:pPr>
            <w:r w:rsidRPr="008209CA">
              <w:rPr>
                <w:szCs w:val="17"/>
                <w:lang w:val="fr-FR"/>
              </w:rPr>
              <w:t>Insurance Europe opposes AMT406, AMT409</w:t>
            </w:r>
          </w:p>
        </w:tc>
      </w:tr>
      <w:tr w:rsidR="00AF64A5" w:rsidRPr="008209CA" w:rsidDel="00C1123D" w:rsidTr="008209CA">
        <w:trPr>
          <w:trHeight w:val="1"/>
        </w:trPr>
        <w:tc>
          <w:tcPr>
            <w:tcW w:w="1691" w:type="dxa"/>
            <w:tcBorders>
              <w:top w:val="single" w:sz="4" w:space="0" w:color="auto"/>
              <w:left w:val="single" w:sz="4" w:space="0" w:color="auto"/>
              <w:bottom w:val="single" w:sz="4" w:space="0" w:color="auto"/>
              <w:right w:val="single" w:sz="4" w:space="0" w:color="auto"/>
            </w:tcBorders>
            <w:vAlign w:val="center"/>
          </w:tcPr>
          <w:p w:rsidR="00686497" w:rsidRPr="008209CA" w:rsidRDefault="00686497" w:rsidP="00AA133D">
            <w:pPr>
              <w:spacing w:before="60" w:after="60"/>
              <w:jc w:val="center"/>
              <w:rPr>
                <w:b/>
                <w:szCs w:val="17"/>
              </w:rPr>
            </w:pPr>
            <w:r w:rsidRPr="008209CA">
              <w:rPr>
                <w:b/>
                <w:szCs w:val="17"/>
              </w:rPr>
              <w:t>AMT312-320, AMT459</w:t>
            </w:r>
          </w:p>
        </w:tc>
        <w:tc>
          <w:tcPr>
            <w:tcW w:w="1974" w:type="dxa"/>
            <w:tcBorders>
              <w:top w:val="single" w:sz="4" w:space="0" w:color="auto"/>
              <w:left w:val="single" w:sz="4" w:space="0" w:color="auto"/>
              <w:bottom w:val="single" w:sz="4" w:space="0" w:color="auto"/>
              <w:right w:val="single" w:sz="4" w:space="0" w:color="auto"/>
            </w:tcBorders>
            <w:vAlign w:val="center"/>
          </w:tcPr>
          <w:p w:rsidR="00686497" w:rsidRPr="008209CA" w:rsidRDefault="00686497" w:rsidP="0097707F">
            <w:pPr>
              <w:spacing w:before="60" w:after="60"/>
              <w:jc w:val="center"/>
              <w:rPr>
                <w:szCs w:val="17"/>
                <w:lang w:val="fr-FR"/>
              </w:rPr>
            </w:pPr>
            <w:r w:rsidRPr="008209CA">
              <w:rPr>
                <w:szCs w:val="17"/>
                <w:lang w:val="fr-FR"/>
              </w:rPr>
              <w:t xml:space="preserve">Article 8 – para. 2 – point b – point iii, Article 8 – para. 2 – point b – point iii – point </w:t>
            </w:r>
            <w:proofErr w:type="gramStart"/>
            <w:r w:rsidRPr="008209CA">
              <w:rPr>
                <w:szCs w:val="17"/>
                <w:lang w:val="fr-FR"/>
              </w:rPr>
              <w:t>a</w:t>
            </w:r>
            <w:proofErr w:type="gramEnd"/>
            <w:r w:rsidRPr="008209CA">
              <w:rPr>
                <w:szCs w:val="17"/>
                <w:lang w:val="fr-FR"/>
              </w:rPr>
              <w:t xml:space="preserve"> (new), Article 8 – para.2 – point b – point iii b (new), Article 8 – para. 6 – </w:t>
            </w:r>
            <w:proofErr w:type="spellStart"/>
            <w:r w:rsidRPr="008209CA">
              <w:rPr>
                <w:szCs w:val="17"/>
                <w:lang w:val="fr-FR"/>
              </w:rPr>
              <w:t>subpara</w:t>
            </w:r>
            <w:proofErr w:type="spellEnd"/>
            <w:r w:rsidRPr="008209CA">
              <w:rPr>
                <w:szCs w:val="17"/>
                <w:lang w:val="fr-FR"/>
              </w:rPr>
              <w:t>. 1 – point b a (new)</w:t>
            </w:r>
          </w:p>
        </w:tc>
        <w:tc>
          <w:tcPr>
            <w:tcW w:w="2115" w:type="dxa"/>
            <w:tcBorders>
              <w:top w:val="single" w:sz="4" w:space="0" w:color="auto"/>
              <w:left w:val="single" w:sz="4" w:space="0" w:color="auto"/>
              <w:bottom w:val="single" w:sz="4" w:space="0" w:color="auto"/>
              <w:right w:val="single" w:sz="4" w:space="0" w:color="auto"/>
            </w:tcBorders>
            <w:vAlign w:val="center"/>
          </w:tcPr>
          <w:p w:rsidR="00686497" w:rsidRPr="008209CA" w:rsidRDefault="00686497" w:rsidP="0034353C">
            <w:pPr>
              <w:spacing w:before="60" w:after="60"/>
              <w:jc w:val="center"/>
              <w:rPr>
                <w:i/>
                <w:szCs w:val="17"/>
                <w:lang w:val="fr-FR"/>
              </w:rPr>
            </w:pPr>
            <w:r w:rsidRPr="008209CA">
              <w:rPr>
                <w:i/>
                <w:szCs w:val="17"/>
                <w:lang w:val="fr-FR"/>
              </w:rPr>
              <w:t xml:space="preserve"> Syed </w:t>
            </w:r>
            <w:proofErr w:type="spellStart"/>
            <w:r w:rsidRPr="008209CA">
              <w:rPr>
                <w:i/>
                <w:szCs w:val="17"/>
                <w:lang w:val="fr-FR"/>
              </w:rPr>
              <w:t>Kamall</w:t>
            </w:r>
            <w:proofErr w:type="spellEnd"/>
            <w:r w:rsidRPr="008209CA">
              <w:rPr>
                <w:i/>
                <w:szCs w:val="17"/>
                <w:lang w:val="fr-FR"/>
              </w:rPr>
              <w:t xml:space="preserve">, Astrid </w:t>
            </w:r>
            <w:proofErr w:type="spellStart"/>
            <w:r w:rsidRPr="008209CA">
              <w:rPr>
                <w:i/>
                <w:szCs w:val="17"/>
                <w:lang w:val="fr-FR"/>
              </w:rPr>
              <w:t>Lulling</w:t>
            </w:r>
            <w:proofErr w:type="spellEnd"/>
            <w:r w:rsidRPr="008209CA">
              <w:rPr>
                <w:i/>
                <w:szCs w:val="17"/>
                <w:lang w:val="fr-FR"/>
              </w:rPr>
              <w:t xml:space="preserve">, Sharon </w:t>
            </w:r>
            <w:proofErr w:type="spellStart"/>
            <w:r w:rsidRPr="008209CA">
              <w:rPr>
                <w:i/>
                <w:szCs w:val="17"/>
                <w:lang w:val="fr-FR"/>
              </w:rPr>
              <w:t>Bowles</w:t>
            </w:r>
            <w:proofErr w:type="spellEnd"/>
            <w:r w:rsidRPr="008209CA">
              <w:rPr>
                <w:i/>
                <w:szCs w:val="17"/>
                <w:lang w:val="fr-FR"/>
              </w:rPr>
              <w:t xml:space="preserve">, Alfredo </w:t>
            </w:r>
            <w:proofErr w:type="spellStart"/>
            <w:r w:rsidRPr="008209CA">
              <w:rPr>
                <w:i/>
                <w:szCs w:val="17"/>
                <w:lang w:val="fr-FR"/>
              </w:rPr>
              <w:t>Pallone</w:t>
            </w:r>
            <w:proofErr w:type="spellEnd"/>
            <w:r w:rsidRPr="008209CA">
              <w:rPr>
                <w:i/>
                <w:szCs w:val="17"/>
                <w:lang w:val="fr-FR"/>
              </w:rPr>
              <w:t xml:space="preserve">, Sven </w:t>
            </w:r>
            <w:proofErr w:type="spellStart"/>
            <w:r w:rsidRPr="008209CA">
              <w:rPr>
                <w:i/>
                <w:szCs w:val="17"/>
                <w:lang w:val="fr-FR"/>
              </w:rPr>
              <w:t>Giegold</w:t>
            </w:r>
            <w:proofErr w:type="spellEnd"/>
            <w:r w:rsidRPr="008209CA">
              <w:rPr>
                <w:i/>
                <w:szCs w:val="17"/>
                <w:lang w:val="fr-FR"/>
              </w:rPr>
              <w:t xml:space="preserve">, </w:t>
            </w:r>
            <w:proofErr w:type="spellStart"/>
            <w:r w:rsidRPr="008209CA">
              <w:rPr>
                <w:i/>
                <w:szCs w:val="17"/>
                <w:lang w:val="fr-FR"/>
              </w:rPr>
              <w:t>Sirpa</w:t>
            </w:r>
            <w:proofErr w:type="spellEnd"/>
            <w:r w:rsidRPr="008209CA">
              <w:rPr>
                <w:i/>
                <w:szCs w:val="17"/>
                <w:lang w:val="fr-FR"/>
              </w:rPr>
              <w:t xml:space="preserve"> </w:t>
            </w:r>
            <w:proofErr w:type="spellStart"/>
            <w:r w:rsidRPr="008209CA">
              <w:rPr>
                <w:i/>
                <w:szCs w:val="17"/>
                <w:lang w:val="fr-FR"/>
              </w:rPr>
              <w:t>Pietikäinen</w:t>
            </w:r>
            <w:proofErr w:type="spellEnd"/>
            <w:r w:rsidRPr="008209CA">
              <w:rPr>
                <w:i/>
                <w:szCs w:val="17"/>
                <w:lang w:val="fr-FR"/>
              </w:rPr>
              <w:t>, Olle Schmidt</w:t>
            </w:r>
          </w:p>
        </w:tc>
        <w:tc>
          <w:tcPr>
            <w:tcW w:w="10153" w:type="dxa"/>
            <w:tcBorders>
              <w:top w:val="single" w:sz="4" w:space="0" w:color="auto"/>
              <w:left w:val="single" w:sz="4" w:space="0" w:color="auto"/>
              <w:bottom w:val="single" w:sz="4" w:space="0" w:color="auto"/>
              <w:right w:val="single" w:sz="4" w:space="0" w:color="auto"/>
            </w:tcBorders>
          </w:tcPr>
          <w:p w:rsidR="00686497" w:rsidRPr="008209CA" w:rsidRDefault="00686497" w:rsidP="0034353C">
            <w:pPr>
              <w:pStyle w:val="CEABullet-Level1"/>
              <w:numPr>
                <w:ilvl w:val="0"/>
                <w:numId w:val="0"/>
              </w:numPr>
              <w:rPr>
                <w:b/>
                <w:i/>
                <w:szCs w:val="17"/>
                <w:lang w:val="en-GB"/>
              </w:rPr>
            </w:pPr>
            <w:r w:rsidRPr="008209CA">
              <w:rPr>
                <w:b/>
                <w:i/>
                <w:szCs w:val="17"/>
                <w:lang w:val="en-GB"/>
              </w:rPr>
              <w:t>The PRIPs regulation should not regulate social, environmental and sustainable investment outcomes</w:t>
            </w:r>
          </w:p>
          <w:p w:rsidR="00686497" w:rsidRPr="008209CA" w:rsidRDefault="00686497" w:rsidP="0034353C">
            <w:pPr>
              <w:pStyle w:val="CEABullet-Level1"/>
              <w:numPr>
                <w:ilvl w:val="0"/>
                <w:numId w:val="0"/>
              </w:numPr>
              <w:rPr>
                <w:szCs w:val="17"/>
                <w:lang w:val="en-GB"/>
              </w:rPr>
            </w:pPr>
            <w:r w:rsidRPr="008209CA">
              <w:rPr>
                <w:szCs w:val="17"/>
                <w:lang w:val="en-GB"/>
              </w:rPr>
              <w:t>Insurance Europe opposes amendments which seek to regulate social,</w:t>
            </w:r>
            <w:r w:rsidR="00710A88">
              <w:rPr>
                <w:szCs w:val="17"/>
                <w:lang w:val="en-GB"/>
              </w:rPr>
              <w:t xml:space="preserve"> </w:t>
            </w:r>
            <w:r w:rsidRPr="008209CA">
              <w:rPr>
                <w:szCs w:val="17"/>
                <w:lang w:val="en-GB"/>
              </w:rPr>
              <w:t xml:space="preserve">environmental and sustainable investment products. Insurance Europe believes that regulating such investments, by </w:t>
            </w:r>
            <w:proofErr w:type="spellStart"/>
            <w:r w:rsidRPr="008209CA">
              <w:rPr>
                <w:szCs w:val="17"/>
                <w:lang w:val="en-GB"/>
              </w:rPr>
              <w:t>eg</w:t>
            </w:r>
            <w:proofErr w:type="spellEnd"/>
            <w:r w:rsidRPr="008209CA">
              <w:rPr>
                <w:szCs w:val="17"/>
                <w:lang w:val="en-GB"/>
              </w:rPr>
              <w:t xml:space="preserve"> introducing a label, and requiring extensive information on environmental, social and governance objectives, goes beyond the PRIPs’ aim of </w:t>
            </w:r>
            <w:r w:rsidRPr="00F54537">
              <w:rPr>
                <w:szCs w:val="17"/>
                <w:highlight w:val="yellow"/>
                <w:lang w:val="en-GB"/>
              </w:rPr>
              <w:t>standard</w:t>
            </w:r>
            <w:r w:rsidR="00F54537" w:rsidRPr="00F54537">
              <w:rPr>
                <w:szCs w:val="17"/>
                <w:highlight w:val="yellow"/>
                <w:lang w:val="en-GB"/>
              </w:rPr>
              <w:t>ised</w:t>
            </w:r>
            <w:r w:rsidRPr="008209CA">
              <w:rPr>
                <w:szCs w:val="17"/>
                <w:lang w:val="en-GB"/>
              </w:rPr>
              <w:t xml:space="preserve"> pre-contractual product information. </w:t>
            </w:r>
            <w:r w:rsidR="002D7B6C" w:rsidRPr="002D7B6C">
              <w:rPr>
                <w:szCs w:val="17"/>
                <w:highlight w:val="yellow"/>
                <w:lang w:val="en-GB"/>
              </w:rPr>
              <w:t>Furthermore, it would contradict the PRIPs’ goal to produce a</w:t>
            </w:r>
            <w:r w:rsidR="002D7B6C">
              <w:rPr>
                <w:szCs w:val="17"/>
                <w:lang w:val="en-GB"/>
              </w:rPr>
              <w:t xml:space="preserve"> </w:t>
            </w:r>
            <w:r w:rsidR="002D7B6C" w:rsidRPr="002D7B6C">
              <w:rPr>
                <w:szCs w:val="17"/>
                <w:highlight w:val="yellow"/>
                <w:lang w:val="en-GB"/>
              </w:rPr>
              <w:t>concise document.</w:t>
            </w:r>
          </w:p>
          <w:p w:rsidR="00686497" w:rsidRPr="008209CA" w:rsidRDefault="00686497" w:rsidP="0034353C">
            <w:pPr>
              <w:pStyle w:val="CEABullet-Level1"/>
              <w:numPr>
                <w:ilvl w:val="0"/>
                <w:numId w:val="0"/>
              </w:numPr>
              <w:rPr>
                <w:szCs w:val="17"/>
                <w:lang w:val="en-GB"/>
              </w:rPr>
            </w:pPr>
          </w:p>
          <w:p w:rsidR="00686497" w:rsidRPr="008209CA" w:rsidRDefault="00686497" w:rsidP="0034353C">
            <w:pPr>
              <w:pStyle w:val="CEABullet-Level1"/>
              <w:rPr>
                <w:szCs w:val="17"/>
                <w:lang w:val="en-GB"/>
              </w:rPr>
            </w:pPr>
            <w:r w:rsidRPr="008209CA">
              <w:rPr>
                <w:szCs w:val="17"/>
                <w:lang w:val="en-GB"/>
              </w:rPr>
              <w:t xml:space="preserve">Insurance Europe supports AMT312-313 and, in the alternative AMT315. </w:t>
            </w:r>
            <w:r w:rsidRPr="008209CA">
              <w:rPr>
                <w:szCs w:val="17"/>
                <w:lang w:val="fr-FR"/>
              </w:rPr>
              <w:t xml:space="preserve">Insurance Europe </w:t>
            </w:r>
            <w:r w:rsidRPr="008209CA">
              <w:rPr>
                <w:szCs w:val="17"/>
                <w:lang w:val="en-GB"/>
              </w:rPr>
              <w:t>opposes AMT314, AMT316-320, AMT459</w:t>
            </w:r>
          </w:p>
        </w:tc>
      </w:tr>
      <w:tr w:rsidR="00AF64A5" w:rsidRPr="00265C11" w:rsidTr="00D8396B">
        <w:trPr>
          <w:cantSplit/>
          <w:trHeight w:val="20"/>
        </w:trPr>
        <w:tc>
          <w:tcPr>
            <w:tcW w:w="1593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1123D" w:rsidRPr="00C1123D" w:rsidRDefault="00631D5B" w:rsidP="00631D5B">
            <w:pPr>
              <w:pStyle w:val="CEABullet-Level1"/>
              <w:numPr>
                <w:ilvl w:val="0"/>
                <w:numId w:val="18"/>
              </w:numPr>
              <w:jc w:val="left"/>
              <w:rPr>
                <w:b/>
                <w:sz w:val="20"/>
                <w:lang w:val="en-GB"/>
              </w:rPr>
            </w:pPr>
            <w:r w:rsidRPr="00631D5B">
              <w:rPr>
                <w:b/>
                <w:sz w:val="20"/>
                <w:highlight w:val="yellow"/>
                <w:lang w:val="en-GB"/>
              </w:rPr>
              <w:t>Consumers should not be overloaded with equivalent pre-contractual disclosures</w:t>
            </w:r>
          </w:p>
        </w:tc>
      </w:tr>
      <w:tr w:rsidR="00AF64A5" w:rsidRPr="008209CA" w:rsidTr="0019142E">
        <w:trPr>
          <w:trHeight w:val="20"/>
        </w:trPr>
        <w:tc>
          <w:tcPr>
            <w:tcW w:w="1691"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2D7584">
            <w:pPr>
              <w:spacing w:before="60" w:after="60"/>
              <w:jc w:val="center"/>
              <w:rPr>
                <w:b/>
                <w:szCs w:val="17"/>
              </w:rPr>
            </w:pPr>
            <w:r w:rsidRPr="008209CA">
              <w:rPr>
                <w:b/>
                <w:szCs w:val="17"/>
              </w:rPr>
              <w:t>AMT206-209</w:t>
            </w:r>
          </w:p>
        </w:tc>
        <w:tc>
          <w:tcPr>
            <w:tcW w:w="1974"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2D7584">
            <w:pPr>
              <w:spacing w:before="60" w:after="60"/>
              <w:jc w:val="center"/>
              <w:rPr>
                <w:szCs w:val="17"/>
              </w:rPr>
            </w:pPr>
            <w:r w:rsidRPr="008209CA">
              <w:rPr>
                <w:szCs w:val="17"/>
              </w:rPr>
              <w:t>Article 3 – para.2</w:t>
            </w:r>
          </w:p>
        </w:tc>
        <w:tc>
          <w:tcPr>
            <w:tcW w:w="2115"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2D7584">
            <w:pPr>
              <w:spacing w:before="60" w:after="60"/>
              <w:jc w:val="center"/>
              <w:rPr>
                <w:i/>
                <w:szCs w:val="17"/>
              </w:rPr>
            </w:pPr>
            <w:r w:rsidRPr="008209CA">
              <w:rPr>
                <w:i/>
                <w:szCs w:val="17"/>
              </w:rPr>
              <w:t xml:space="preserve">Syed </w:t>
            </w:r>
            <w:proofErr w:type="spellStart"/>
            <w:r w:rsidRPr="008209CA">
              <w:rPr>
                <w:i/>
                <w:szCs w:val="17"/>
              </w:rPr>
              <w:t>Kamall</w:t>
            </w:r>
            <w:proofErr w:type="spellEnd"/>
            <w:r w:rsidRPr="008209CA">
              <w:rPr>
                <w:i/>
                <w:szCs w:val="17"/>
              </w:rPr>
              <w:t xml:space="preserve">, Sylvie </w:t>
            </w:r>
            <w:proofErr w:type="spellStart"/>
            <w:r w:rsidRPr="008209CA">
              <w:rPr>
                <w:i/>
                <w:szCs w:val="17"/>
              </w:rPr>
              <w:t>Goulard</w:t>
            </w:r>
            <w:proofErr w:type="spellEnd"/>
            <w:r w:rsidRPr="008209CA">
              <w:rPr>
                <w:i/>
                <w:szCs w:val="17"/>
              </w:rPr>
              <w:t xml:space="preserve">, </w:t>
            </w:r>
            <w:proofErr w:type="spellStart"/>
            <w:r w:rsidRPr="008209CA">
              <w:rPr>
                <w:i/>
                <w:szCs w:val="17"/>
              </w:rPr>
              <w:t>Burkhard</w:t>
            </w:r>
            <w:proofErr w:type="spellEnd"/>
            <w:r w:rsidRPr="008209CA">
              <w:rPr>
                <w:i/>
                <w:szCs w:val="17"/>
              </w:rPr>
              <w:t xml:space="preserve"> </w:t>
            </w:r>
            <w:proofErr w:type="spellStart"/>
            <w:r w:rsidRPr="008209CA">
              <w:rPr>
                <w:i/>
                <w:szCs w:val="17"/>
              </w:rPr>
              <w:t>Balz</w:t>
            </w:r>
            <w:proofErr w:type="spellEnd"/>
            <w:r w:rsidRPr="008209CA">
              <w:rPr>
                <w:i/>
                <w:szCs w:val="17"/>
              </w:rPr>
              <w:t>, Alfredo Pallone</w:t>
            </w:r>
          </w:p>
        </w:tc>
        <w:tc>
          <w:tcPr>
            <w:tcW w:w="10153" w:type="dxa"/>
            <w:tcBorders>
              <w:top w:val="single" w:sz="4" w:space="0" w:color="auto"/>
              <w:left w:val="single" w:sz="4" w:space="0" w:color="auto"/>
              <w:bottom w:val="single" w:sz="4" w:space="0" w:color="auto"/>
              <w:right w:val="single" w:sz="4" w:space="0" w:color="auto"/>
            </w:tcBorders>
          </w:tcPr>
          <w:p w:rsidR="00516746" w:rsidRPr="008209CA" w:rsidRDefault="00516746" w:rsidP="002D7584">
            <w:pPr>
              <w:pStyle w:val="CEABullet-Level1"/>
              <w:numPr>
                <w:ilvl w:val="0"/>
                <w:numId w:val="0"/>
              </w:numPr>
              <w:rPr>
                <w:b/>
                <w:i/>
                <w:szCs w:val="17"/>
                <w:lang w:val="en-GB"/>
              </w:rPr>
            </w:pPr>
            <w:r w:rsidRPr="008209CA">
              <w:rPr>
                <w:b/>
                <w:i/>
                <w:szCs w:val="17"/>
                <w:lang w:val="en-GB"/>
              </w:rPr>
              <w:t xml:space="preserve">The KID </w:t>
            </w:r>
            <w:r w:rsidR="0094458D" w:rsidRPr="008209CA">
              <w:rPr>
                <w:b/>
                <w:i/>
                <w:szCs w:val="17"/>
                <w:lang w:val="en-GB"/>
              </w:rPr>
              <w:t>should not duplicate</w:t>
            </w:r>
            <w:r w:rsidRPr="008209CA">
              <w:rPr>
                <w:b/>
                <w:i/>
                <w:szCs w:val="17"/>
                <w:lang w:val="en-GB"/>
              </w:rPr>
              <w:t xml:space="preserve"> pre-contractual Solvency II requirements causing consumer confusion</w:t>
            </w:r>
          </w:p>
          <w:p w:rsidR="00516746" w:rsidRPr="008209CA" w:rsidRDefault="00516746" w:rsidP="002D7584">
            <w:pPr>
              <w:pStyle w:val="CEABullet-Level1"/>
              <w:numPr>
                <w:ilvl w:val="0"/>
                <w:numId w:val="0"/>
              </w:numPr>
              <w:rPr>
                <w:szCs w:val="17"/>
                <w:lang w:val="en-GB"/>
              </w:rPr>
            </w:pPr>
            <w:r w:rsidRPr="008209CA">
              <w:rPr>
                <w:szCs w:val="17"/>
                <w:lang w:val="en-GB"/>
              </w:rPr>
              <w:t xml:space="preserve">Insurance Europe supports that equivalent Solvency II disclosures are met by the PRIPs KID. This prevents overloading consumers with </w:t>
            </w:r>
            <w:r w:rsidR="00C1123D" w:rsidRPr="008209CA">
              <w:rPr>
                <w:szCs w:val="17"/>
                <w:lang w:val="en-GB"/>
              </w:rPr>
              <w:t xml:space="preserve">equivalent </w:t>
            </w:r>
            <w:r w:rsidRPr="008209CA">
              <w:rPr>
                <w:szCs w:val="17"/>
                <w:lang w:val="en-GB"/>
              </w:rPr>
              <w:t xml:space="preserve">information and creates legal certainty for insurance undertakings. This should however not be limited to risk disclosures given there are more overlaps between Solvency II and PRIPs disclosure requirements. </w:t>
            </w:r>
          </w:p>
          <w:p w:rsidR="00516746" w:rsidRPr="008209CA" w:rsidRDefault="00516746" w:rsidP="002D7584">
            <w:pPr>
              <w:pStyle w:val="CEABullet-Level1"/>
              <w:numPr>
                <w:ilvl w:val="0"/>
                <w:numId w:val="0"/>
              </w:numPr>
              <w:rPr>
                <w:szCs w:val="17"/>
                <w:lang w:val="en-GB"/>
              </w:rPr>
            </w:pPr>
          </w:p>
          <w:p w:rsidR="00516746" w:rsidRPr="008209CA" w:rsidRDefault="00516746" w:rsidP="00EB5241">
            <w:pPr>
              <w:pStyle w:val="CEABullet-Level1"/>
              <w:rPr>
                <w:szCs w:val="17"/>
                <w:lang w:val="en-GB"/>
              </w:rPr>
            </w:pPr>
            <w:r w:rsidRPr="008209CA">
              <w:rPr>
                <w:szCs w:val="17"/>
                <w:lang w:val="en-GB"/>
              </w:rPr>
              <w:lastRenderedPageBreak/>
              <w:t xml:space="preserve">Insurance Europe supports AMT207, in the alternative Insurance Europe supports AMT206 and AMT208-209. </w:t>
            </w:r>
          </w:p>
        </w:tc>
      </w:tr>
      <w:tr w:rsidR="00F54537" w:rsidRPr="00F54537" w:rsidTr="00F54537">
        <w:tc>
          <w:tcPr>
            <w:tcW w:w="1593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54537" w:rsidRPr="00F54537" w:rsidRDefault="00F54537" w:rsidP="00F54537">
            <w:pPr>
              <w:pStyle w:val="CEABullet-Level1"/>
              <w:numPr>
                <w:ilvl w:val="0"/>
                <w:numId w:val="18"/>
              </w:numPr>
              <w:jc w:val="left"/>
              <w:rPr>
                <w:b/>
                <w:sz w:val="20"/>
                <w:highlight w:val="yellow"/>
                <w:lang w:val="en-GB"/>
              </w:rPr>
            </w:pPr>
            <w:r>
              <w:rPr>
                <w:b/>
                <w:sz w:val="20"/>
                <w:highlight w:val="yellow"/>
                <w:lang w:val="en-GB"/>
              </w:rPr>
              <w:lastRenderedPageBreak/>
              <w:t>Non-insurance specific concerns</w:t>
            </w:r>
          </w:p>
        </w:tc>
      </w:tr>
      <w:tr w:rsidR="00F54537" w:rsidRPr="00F54537" w:rsidTr="00F54537">
        <w:trPr>
          <w:trHeight w:val="311"/>
        </w:trPr>
        <w:tc>
          <w:tcPr>
            <w:tcW w:w="1593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54537" w:rsidRPr="00F54537" w:rsidRDefault="00F54537" w:rsidP="00F54537">
            <w:pPr>
              <w:pStyle w:val="CEABullet-Level1"/>
              <w:numPr>
                <w:ilvl w:val="1"/>
                <w:numId w:val="18"/>
              </w:numPr>
              <w:rPr>
                <w:b/>
                <w:i/>
                <w:sz w:val="20"/>
                <w:highlight w:val="yellow"/>
                <w:lang w:val="en-GB"/>
              </w:rPr>
            </w:pPr>
            <w:r w:rsidRPr="00F54537">
              <w:rPr>
                <w:b/>
                <w:i/>
                <w:sz w:val="20"/>
                <w:highlight w:val="yellow"/>
                <w:lang w:val="en-GB"/>
              </w:rPr>
              <w:t>Interaction with other directives</w:t>
            </w:r>
          </w:p>
        </w:tc>
      </w:tr>
      <w:tr w:rsidR="00AF64A5" w:rsidRPr="0097707F" w:rsidTr="005664E4">
        <w:tc>
          <w:tcPr>
            <w:tcW w:w="1691"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2D7584">
            <w:pPr>
              <w:spacing w:before="60" w:after="60"/>
              <w:jc w:val="center"/>
              <w:rPr>
                <w:b/>
                <w:szCs w:val="17"/>
                <w:lang w:val="nl-BE"/>
              </w:rPr>
            </w:pPr>
            <w:r w:rsidRPr="008209CA">
              <w:rPr>
                <w:b/>
                <w:szCs w:val="17"/>
                <w:lang w:val="nl-BE"/>
              </w:rPr>
              <w:t>AMT93, AMT154, AMT666, AMT668-670, AMT678</w:t>
            </w:r>
          </w:p>
        </w:tc>
        <w:tc>
          <w:tcPr>
            <w:tcW w:w="1974"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2D7584">
            <w:pPr>
              <w:spacing w:before="60" w:after="60"/>
              <w:jc w:val="center"/>
              <w:rPr>
                <w:szCs w:val="17"/>
                <w:lang w:val="fr-FR"/>
              </w:rPr>
            </w:pPr>
            <w:proofErr w:type="spellStart"/>
            <w:r w:rsidRPr="008209CA">
              <w:rPr>
                <w:szCs w:val="17"/>
                <w:lang w:val="fr-FR"/>
              </w:rPr>
              <w:t>Recital</w:t>
            </w:r>
            <w:proofErr w:type="spellEnd"/>
            <w:r w:rsidRPr="008209CA">
              <w:rPr>
                <w:szCs w:val="17"/>
                <w:lang w:val="fr-FR"/>
              </w:rPr>
              <w:t xml:space="preserve"> 8, </w:t>
            </w:r>
            <w:proofErr w:type="spellStart"/>
            <w:r w:rsidRPr="008209CA">
              <w:rPr>
                <w:szCs w:val="17"/>
                <w:lang w:val="fr-FR"/>
              </w:rPr>
              <w:t>Recital</w:t>
            </w:r>
            <w:proofErr w:type="spellEnd"/>
            <w:r w:rsidRPr="008209CA">
              <w:rPr>
                <w:szCs w:val="17"/>
                <w:lang w:val="fr-FR"/>
              </w:rPr>
              <w:t xml:space="preserve"> 28, Article 24 – para. 1, Article 24 – para. 1 a (new), Article 24 – para.1 b (new), Article 25 – para 1 a (new)</w:t>
            </w:r>
          </w:p>
        </w:tc>
        <w:tc>
          <w:tcPr>
            <w:tcW w:w="2115" w:type="dxa"/>
            <w:tcBorders>
              <w:top w:val="single" w:sz="4" w:space="0" w:color="auto"/>
              <w:left w:val="single" w:sz="4" w:space="0" w:color="auto"/>
              <w:bottom w:val="single" w:sz="4" w:space="0" w:color="auto"/>
              <w:right w:val="single" w:sz="4" w:space="0" w:color="auto"/>
            </w:tcBorders>
            <w:vAlign w:val="center"/>
          </w:tcPr>
          <w:p w:rsidR="00516746" w:rsidRPr="008209CA" w:rsidRDefault="00516746" w:rsidP="002D7584">
            <w:pPr>
              <w:spacing w:before="60" w:after="60"/>
              <w:jc w:val="center"/>
              <w:rPr>
                <w:i/>
                <w:szCs w:val="17"/>
                <w:lang w:val="fr-FR"/>
              </w:rPr>
            </w:pPr>
            <w:r w:rsidRPr="008209CA">
              <w:rPr>
                <w:i/>
                <w:szCs w:val="17"/>
                <w:lang w:val="fr-FR"/>
              </w:rPr>
              <w:t xml:space="preserve">Wolf </w:t>
            </w:r>
            <w:proofErr w:type="spellStart"/>
            <w:r w:rsidRPr="008209CA">
              <w:rPr>
                <w:i/>
                <w:szCs w:val="17"/>
                <w:lang w:val="fr-FR"/>
              </w:rPr>
              <w:t>Klinz</w:t>
            </w:r>
            <w:proofErr w:type="spellEnd"/>
            <w:r w:rsidRPr="008209CA">
              <w:rPr>
                <w:i/>
                <w:szCs w:val="17"/>
                <w:lang w:val="fr-FR"/>
              </w:rPr>
              <w:t xml:space="preserve">, </w:t>
            </w:r>
            <w:proofErr w:type="spellStart"/>
            <w:r w:rsidRPr="008209CA">
              <w:rPr>
                <w:i/>
                <w:szCs w:val="17"/>
                <w:lang w:val="fr-FR"/>
              </w:rPr>
              <w:t>Sirpa</w:t>
            </w:r>
            <w:proofErr w:type="spellEnd"/>
            <w:r w:rsidRPr="008209CA">
              <w:rPr>
                <w:i/>
                <w:szCs w:val="17"/>
                <w:lang w:val="fr-FR"/>
              </w:rPr>
              <w:t xml:space="preserve"> </w:t>
            </w:r>
            <w:proofErr w:type="spellStart"/>
            <w:r w:rsidRPr="008209CA">
              <w:rPr>
                <w:i/>
                <w:szCs w:val="17"/>
                <w:lang w:val="fr-FR"/>
              </w:rPr>
              <w:t>Pietikäinen</w:t>
            </w:r>
            <w:proofErr w:type="spellEnd"/>
            <w:r w:rsidRPr="008209CA">
              <w:rPr>
                <w:i/>
                <w:szCs w:val="17"/>
                <w:lang w:val="fr-FR"/>
              </w:rPr>
              <w:t xml:space="preserve">, </w:t>
            </w:r>
            <w:proofErr w:type="spellStart"/>
            <w:r w:rsidRPr="008209CA">
              <w:rPr>
                <w:i/>
                <w:szCs w:val="17"/>
                <w:lang w:val="fr-FR"/>
              </w:rPr>
              <w:t>Burkhard</w:t>
            </w:r>
            <w:proofErr w:type="spellEnd"/>
            <w:r w:rsidRPr="008209CA">
              <w:rPr>
                <w:i/>
                <w:szCs w:val="17"/>
                <w:lang w:val="fr-FR"/>
              </w:rPr>
              <w:t xml:space="preserve"> </w:t>
            </w:r>
            <w:proofErr w:type="spellStart"/>
            <w:r w:rsidRPr="008209CA">
              <w:rPr>
                <w:i/>
                <w:szCs w:val="17"/>
                <w:lang w:val="fr-FR"/>
              </w:rPr>
              <w:t>Balz</w:t>
            </w:r>
            <w:proofErr w:type="spellEnd"/>
            <w:r w:rsidRPr="008209CA">
              <w:rPr>
                <w:i/>
                <w:szCs w:val="17"/>
                <w:lang w:val="fr-FR"/>
              </w:rPr>
              <w:t xml:space="preserve">, Olle Schmidt, Nils </w:t>
            </w:r>
            <w:proofErr w:type="spellStart"/>
            <w:r w:rsidRPr="008209CA">
              <w:rPr>
                <w:i/>
                <w:szCs w:val="17"/>
                <w:lang w:val="fr-FR"/>
              </w:rPr>
              <w:t>Torvalds</w:t>
            </w:r>
            <w:proofErr w:type="spellEnd"/>
            <w:r w:rsidRPr="008209CA">
              <w:rPr>
                <w:i/>
                <w:szCs w:val="17"/>
                <w:lang w:val="fr-FR"/>
              </w:rPr>
              <w:t>, Sylvie Goulard</w:t>
            </w:r>
          </w:p>
        </w:tc>
        <w:tc>
          <w:tcPr>
            <w:tcW w:w="10153" w:type="dxa"/>
            <w:tcBorders>
              <w:top w:val="single" w:sz="4" w:space="0" w:color="auto"/>
              <w:left w:val="single" w:sz="4" w:space="0" w:color="auto"/>
              <w:bottom w:val="single" w:sz="4" w:space="0" w:color="auto"/>
              <w:right w:val="single" w:sz="4" w:space="0" w:color="auto"/>
            </w:tcBorders>
          </w:tcPr>
          <w:p w:rsidR="00516746" w:rsidRPr="008209CA" w:rsidRDefault="00516746" w:rsidP="002D7584">
            <w:pPr>
              <w:pStyle w:val="CEABullet-Level1"/>
              <w:numPr>
                <w:ilvl w:val="0"/>
                <w:numId w:val="0"/>
              </w:numPr>
              <w:rPr>
                <w:b/>
                <w:i/>
                <w:szCs w:val="17"/>
                <w:lang w:val="en-GB"/>
              </w:rPr>
            </w:pPr>
            <w:r w:rsidRPr="008209CA">
              <w:rPr>
                <w:b/>
                <w:i/>
                <w:szCs w:val="17"/>
                <w:lang w:val="en-GB"/>
              </w:rPr>
              <w:t>UCITS products should be included in the scope of PRIPs</w:t>
            </w:r>
          </w:p>
          <w:p w:rsidR="00516746" w:rsidRPr="008209CA" w:rsidRDefault="00516746" w:rsidP="002D7584">
            <w:pPr>
              <w:pStyle w:val="CEABullet-Level1"/>
              <w:numPr>
                <w:ilvl w:val="0"/>
                <w:numId w:val="0"/>
              </w:numPr>
              <w:rPr>
                <w:szCs w:val="17"/>
                <w:lang w:val="en-GB"/>
              </w:rPr>
            </w:pPr>
            <w:r w:rsidRPr="008209CA">
              <w:rPr>
                <w:szCs w:val="17"/>
                <w:lang w:val="en-GB"/>
              </w:rPr>
              <w:t xml:space="preserve">Insurance Europe opposes the exclusion of products subject to the UCITS directive, including non-UCITS products which are subject to the directive on the basis of national law. Insurance Europe believes the UCITS exemption, and proposed extension to further products, is detrimental to consumers as the parallel use of the PRIPs and UCITS information document negatively impacts comparability between products. </w:t>
            </w:r>
          </w:p>
          <w:p w:rsidR="00516746" w:rsidRPr="008209CA" w:rsidRDefault="00516746" w:rsidP="002D7584">
            <w:pPr>
              <w:pStyle w:val="CEABullet-Level1"/>
              <w:numPr>
                <w:ilvl w:val="0"/>
                <w:numId w:val="0"/>
              </w:numPr>
              <w:rPr>
                <w:szCs w:val="17"/>
                <w:lang w:val="en-GB"/>
              </w:rPr>
            </w:pPr>
          </w:p>
          <w:p w:rsidR="00516746" w:rsidRPr="00055795" w:rsidRDefault="00516746" w:rsidP="00055795">
            <w:pPr>
              <w:pStyle w:val="CEABullet-Level1"/>
              <w:rPr>
                <w:szCs w:val="17"/>
                <w:lang w:val="fr-FR"/>
              </w:rPr>
            </w:pPr>
            <w:r w:rsidRPr="008209CA">
              <w:rPr>
                <w:szCs w:val="17"/>
                <w:lang w:val="fr-FR"/>
              </w:rPr>
              <w:t>Insurance Europe opposes AMT93, AMT154, AMT666, AMT668-670, AMT678</w:t>
            </w:r>
          </w:p>
        </w:tc>
      </w:tr>
      <w:tr w:rsidR="00AF64A5" w:rsidRPr="005664E4" w:rsidTr="005664E4">
        <w:tc>
          <w:tcPr>
            <w:tcW w:w="1691" w:type="dxa"/>
            <w:tcBorders>
              <w:top w:val="single" w:sz="4" w:space="0" w:color="auto"/>
              <w:left w:val="single" w:sz="4" w:space="0" w:color="auto"/>
              <w:bottom w:val="single" w:sz="4" w:space="0" w:color="auto"/>
              <w:right w:val="single" w:sz="4" w:space="0" w:color="auto"/>
            </w:tcBorders>
            <w:vAlign w:val="center"/>
          </w:tcPr>
          <w:p w:rsidR="008C77A4" w:rsidRPr="008209CA" w:rsidRDefault="008C77A4" w:rsidP="006C3FCA">
            <w:pPr>
              <w:spacing w:before="60" w:after="60"/>
              <w:jc w:val="center"/>
              <w:rPr>
                <w:b/>
                <w:szCs w:val="17"/>
              </w:rPr>
            </w:pPr>
            <w:r w:rsidRPr="008209CA">
              <w:rPr>
                <w:b/>
                <w:szCs w:val="17"/>
              </w:rPr>
              <w:t>AMT147, AMT149, AMT583-611, AMT614</w:t>
            </w:r>
          </w:p>
        </w:tc>
        <w:tc>
          <w:tcPr>
            <w:tcW w:w="1974" w:type="dxa"/>
            <w:tcBorders>
              <w:top w:val="single" w:sz="4" w:space="0" w:color="auto"/>
              <w:left w:val="single" w:sz="4" w:space="0" w:color="auto"/>
              <w:bottom w:val="single" w:sz="4" w:space="0" w:color="auto"/>
              <w:right w:val="single" w:sz="4" w:space="0" w:color="auto"/>
            </w:tcBorders>
            <w:vAlign w:val="center"/>
          </w:tcPr>
          <w:p w:rsidR="008C77A4" w:rsidRPr="008209CA" w:rsidRDefault="008C77A4" w:rsidP="006C3FCA">
            <w:pPr>
              <w:spacing w:before="60" w:after="60"/>
              <w:jc w:val="center"/>
              <w:rPr>
                <w:szCs w:val="17"/>
                <w:lang w:val="fr-FR"/>
              </w:rPr>
            </w:pPr>
            <w:proofErr w:type="spellStart"/>
            <w:r w:rsidRPr="008209CA">
              <w:rPr>
                <w:szCs w:val="17"/>
                <w:lang w:val="fr-FR"/>
              </w:rPr>
              <w:t>Recital</w:t>
            </w:r>
            <w:proofErr w:type="spellEnd"/>
            <w:r w:rsidRPr="008209CA">
              <w:rPr>
                <w:szCs w:val="17"/>
                <w:lang w:val="fr-FR"/>
              </w:rPr>
              <w:t xml:space="preserve"> 22, Article 14 – para. 1, Article 15 – </w:t>
            </w:r>
            <w:proofErr w:type="gramStart"/>
            <w:r w:rsidRPr="008209CA">
              <w:rPr>
                <w:szCs w:val="17"/>
                <w:lang w:val="fr-FR"/>
              </w:rPr>
              <w:t>para.1 ,</w:t>
            </w:r>
            <w:proofErr w:type="gramEnd"/>
            <w:r w:rsidRPr="008209CA">
              <w:rPr>
                <w:szCs w:val="17"/>
                <w:lang w:val="fr-FR"/>
              </w:rPr>
              <w:t xml:space="preserve"> Article 15 – para. 1 – point a, Article 15 – para. 2 – point b, Article 15 – para. 2 – point c, Article 15 – para.2 – point d, Article 15 – para.2 – point e, Article 15 – para. 2 – point f, Article 15 – para. 2, Article 15 – para .3</w:t>
            </w:r>
          </w:p>
        </w:tc>
        <w:tc>
          <w:tcPr>
            <w:tcW w:w="2115" w:type="dxa"/>
            <w:tcBorders>
              <w:top w:val="single" w:sz="4" w:space="0" w:color="auto"/>
              <w:left w:val="single" w:sz="4" w:space="0" w:color="auto"/>
              <w:bottom w:val="single" w:sz="4" w:space="0" w:color="auto"/>
              <w:right w:val="single" w:sz="4" w:space="0" w:color="auto"/>
            </w:tcBorders>
            <w:vAlign w:val="center"/>
          </w:tcPr>
          <w:p w:rsidR="008C77A4" w:rsidRPr="008209CA" w:rsidRDefault="008C77A4" w:rsidP="006C3FCA">
            <w:pPr>
              <w:spacing w:before="60" w:after="60"/>
              <w:jc w:val="center"/>
              <w:rPr>
                <w:i/>
                <w:szCs w:val="17"/>
                <w:lang w:val="fr-FR"/>
              </w:rPr>
            </w:pPr>
            <w:proofErr w:type="spellStart"/>
            <w:r w:rsidRPr="008209CA">
              <w:rPr>
                <w:i/>
                <w:szCs w:val="17"/>
                <w:lang w:val="fr-FR"/>
              </w:rPr>
              <w:t>Sirpa</w:t>
            </w:r>
            <w:proofErr w:type="spellEnd"/>
            <w:r w:rsidRPr="008209CA">
              <w:rPr>
                <w:i/>
                <w:szCs w:val="17"/>
                <w:lang w:val="fr-FR"/>
              </w:rPr>
              <w:t xml:space="preserve"> </w:t>
            </w:r>
            <w:proofErr w:type="spellStart"/>
            <w:r w:rsidRPr="008209CA">
              <w:rPr>
                <w:i/>
                <w:szCs w:val="17"/>
                <w:lang w:val="fr-FR"/>
              </w:rPr>
              <w:t>Pietikäinen</w:t>
            </w:r>
            <w:proofErr w:type="spellEnd"/>
            <w:r w:rsidRPr="008209CA">
              <w:rPr>
                <w:i/>
                <w:szCs w:val="17"/>
                <w:lang w:val="fr-FR"/>
              </w:rPr>
              <w:t xml:space="preserve">, Olle Schmidt, Sharon </w:t>
            </w:r>
            <w:proofErr w:type="spellStart"/>
            <w:r w:rsidRPr="008209CA">
              <w:rPr>
                <w:i/>
                <w:szCs w:val="17"/>
                <w:lang w:val="fr-FR"/>
              </w:rPr>
              <w:t>Bowles</w:t>
            </w:r>
            <w:proofErr w:type="spellEnd"/>
            <w:r w:rsidRPr="008209CA">
              <w:rPr>
                <w:i/>
                <w:szCs w:val="17"/>
                <w:lang w:val="fr-FR"/>
              </w:rPr>
              <w:t xml:space="preserve">, Syed </w:t>
            </w:r>
            <w:proofErr w:type="spellStart"/>
            <w:r w:rsidRPr="008209CA">
              <w:rPr>
                <w:i/>
                <w:szCs w:val="17"/>
                <w:lang w:val="fr-FR"/>
              </w:rPr>
              <w:t>Kamall</w:t>
            </w:r>
            <w:proofErr w:type="spellEnd"/>
            <w:r w:rsidRPr="008209CA">
              <w:rPr>
                <w:i/>
                <w:szCs w:val="17"/>
                <w:lang w:val="fr-FR"/>
              </w:rPr>
              <w:t xml:space="preserve">, </w:t>
            </w:r>
            <w:proofErr w:type="spellStart"/>
            <w:r w:rsidRPr="008209CA">
              <w:rPr>
                <w:i/>
                <w:szCs w:val="17"/>
                <w:lang w:val="fr-FR"/>
              </w:rPr>
              <w:t>Ildikó</w:t>
            </w:r>
            <w:proofErr w:type="spellEnd"/>
            <w:r w:rsidRPr="008209CA">
              <w:rPr>
                <w:i/>
                <w:szCs w:val="17"/>
                <w:lang w:val="fr-FR"/>
              </w:rPr>
              <w:t xml:space="preserve"> </w:t>
            </w:r>
            <w:proofErr w:type="spellStart"/>
            <w:r w:rsidRPr="008209CA">
              <w:rPr>
                <w:i/>
                <w:szCs w:val="17"/>
                <w:lang w:val="fr-FR"/>
              </w:rPr>
              <w:t>Gáll</w:t>
            </w:r>
            <w:proofErr w:type="spellEnd"/>
            <w:r w:rsidRPr="008209CA">
              <w:rPr>
                <w:i/>
                <w:szCs w:val="17"/>
                <w:lang w:val="fr-FR"/>
              </w:rPr>
              <w:t xml:space="preserve">-Pelez, Alfredo </w:t>
            </w:r>
            <w:proofErr w:type="spellStart"/>
            <w:r w:rsidRPr="008209CA">
              <w:rPr>
                <w:i/>
                <w:szCs w:val="17"/>
                <w:lang w:val="fr-FR"/>
              </w:rPr>
              <w:t>Pallone</w:t>
            </w:r>
            <w:proofErr w:type="spellEnd"/>
            <w:r w:rsidRPr="008209CA">
              <w:rPr>
                <w:i/>
                <w:szCs w:val="17"/>
                <w:lang w:val="fr-FR"/>
              </w:rPr>
              <w:t xml:space="preserve">, </w:t>
            </w:r>
            <w:proofErr w:type="spellStart"/>
            <w:r w:rsidRPr="008209CA">
              <w:rPr>
                <w:i/>
                <w:szCs w:val="17"/>
                <w:lang w:val="fr-FR"/>
              </w:rPr>
              <w:t>Arlene</w:t>
            </w:r>
            <w:proofErr w:type="spellEnd"/>
            <w:r w:rsidRPr="008209CA">
              <w:rPr>
                <w:i/>
                <w:szCs w:val="17"/>
                <w:lang w:val="fr-FR"/>
              </w:rPr>
              <w:t xml:space="preserve"> McCarthy, Sven </w:t>
            </w:r>
            <w:proofErr w:type="spellStart"/>
            <w:r w:rsidRPr="008209CA">
              <w:rPr>
                <w:i/>
                <w:szCs w:val="17"/>
                <w:lang w:val="fr-FR"/>
              </w:rPr>
              <w:t>Giegold</w:t>
            </w:r>
            <w:proofErr w:type="spellEnd"/>
          </w:p>
        </w:tc>
        <w:tc>
          <w:tcPr>
            <w:tcW w:w="10153" w:type="dxa"/>
            <w:tcBorders>
              <w:top w:val="single" w:sz="4" w:space="0" w:color="auto"/>
              <w:left w:val="single" w:sz="4" w:space="0" w:color="auto"/>
              <w:bottom w:val="single" w:sz="4" w:space="0" w:color="auto"/>
              <w:right w:val="single" w:sz="4" w:space="0" w:color="auto"/>
            </w:tcBorders>
          </w:tcPr>
          <w:p w:rsidR="008C77A4" w:rsidRPr="008209CA" w:rsidRDefault="008C77A4" w:rsidP="006C3FCA">
            <w:pPr>
              <w:pStyle w:val="CEABullet-Level1"/>
              <w:numPr>
                <w:ilvl w:val="0"/>
                <w:numId w:val="0"/>
              </w:numPr>
              <w:rPr>
                <w:b/>
                <w:i/>
                <w:szCs w:val="17"/>
                <w:lang w:val="en-GB"/>
              </w:rPr>
            </w:pPr>
            <w:r w:rsidRPr="008209CA">
              <w:rPr>
                <w:b/>
                <w:i/>
                <w:szCs w:val="17"/>
                <w:lang w:val="en-GB"/>
              </w:rPr>
              <w:t>ADR is already regulated under a specific directive</w:t>
            </w:r>
          </w:p>
          <w:p w:rsidR="008C77A4" w:rsidRPr="008209CA" w:rsidRDefault="008C77A4" w:rsidP="006C3FCA">
            <w:pPr>
              <w:pStyle w:val="CEABullet-Level1"/>
              <w:numPr>
                <w:ilvl w:val="0"/>
                <w:numId w:val="0"/>
              </w:numPr>
              <w:rPr>
                <w:szCs w:val="17"/>
                <w:lang w:val="en-GB"/>
              </w:rPr>
            </w:pPr>
            <w:r w:rsidRPr="008209CA">
              <w:rPr>
                <w:szCs w:val="17"/>
                <w:lang w:val="en-GB"/>
              </w:rPr>
              <w:t xml:space="preserve">Insurance Europe supports that alternative dispute resolution (ADR) is not specifically regulated in the PRIPs regulation given it may conflict with the recently adopted ADR directive mandating member states to set up an ADR scheme and providing detailed requirements for such a scheme. Insurance Europe believes the ADR directive is the appropriate channel to deal with the relevant conditions applicable to such procedures and therefore supports the amendments deleting any ADR rules or, in the alternative, amendments referring to the ADR directive. Insurance Europe opposes amendments introducing further ADR requirements. </w:t>
            </w:r>
          </w:p>
          <w:p w:rsidR="008C77A4" w:rsidRPr="008209CA" w:rsidRDefault="008C77A4" w:rsidP="006C3FCA">
            <w:pPr>
              <w:pStyle w:val="CEABullet-Level1"/>
              <w:numPr>
                <w:ilvl w:val="0"/>
                <w:numId w:val="0"/>
              </w:numPr>
              <w:rPr>
                <w:szCs w:val="17"/>
                <w:lang w:val="en-GB"/>
              </w:rPr>
            </w:pPr>
          </w:p>
          <w:p w:rsidR="008C77A4" w:rsidRPr="008209CA" w:rsidRDefault="008C77A4" w:rsidP="006C3FCA">
            <w:pPr>
              <w:pStyle w:val="CEABullet-Level1"/>
              <w:rPr>
                <w:szCs w:val="17"/>
                <w:lang w:val="en-GB"/>
              </w:rPr>
            </w:pPr>
            <w:r w:rsidRPr="008209CA">
              <w:rPr>
                <w:szCs w:val="17"/>
                <w:lang w:val="fr-FR"/>
              </w:rPr>
              <w:t>Insurance Europe supports AMT147,</w:t>
            </w:r>
            <w:r w:rsidR="00696CBC">
              <w:rPr>
                <w:szCs w:val="17"/>
                <w:lang w:val="fr-FR"/>
              </w:rPr>
              <w:t xml:space="preserve"> AMT149,</w:t>
            </w:r>
            <w:r w:rsidRPr="008209CA">
              <w:rPr>
                <w:szCs w:val="17"/>
                <w:lang w:val="fr-FR"/>
              </w:rPr>
              <w:t xml:space="preserve"> AMT583-585, AMT611, AMT614. </w:t>
            </w:r>
            <w:r w:rsidRPr="008209CA">
              <w:rPr>
                <w:szCs w:val="17"/>
                <w:lang w:val="en-GB"/>
              </w:rPr>
              <w:t xml:space="preserve">In the alternative, Insurance Europe supports AMT586-588 combined with AMT591-594, AMT596-598, AMT599-601, AMT602-604, AMT605-607, AMT608- 610 but opposes </w:t>
            </w:r>
            <w:r w:rsidR="00BE2446" w:rsidRPr="008209CA">
              <w:rPr>
                <w:szCs w:val="17"/>
                <w:lang w:val="en-GB"/>
              </w:rPr>
              <w:t>AMT</w:t>
            </w:r>
            <w:r w:rsidRPr="008209CA">
              <w:rPr>
                <w:szCs w:val="17"/>
                <w:lang w:val="en-GB"/>
              </w:rPr>
              <w:t>589-590, AMT595</w:t>
            </w:r>
          </w:p>
        </w:tc>
      </w:tr>
      <w:tr w:rsidR="00AF64A5" w:rsidRPr="00F54537" w:rsidTr="00D8396B">
        <w:trPr>
          <w:cantSplit/>
          <w:trHeight w:val="20"/>
        </w:trPr>
        <w:tc>
          <w:tcPr>
            <w:tcW w:w="1593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7487" w:rsidRPr="00F54537" w:rsidRDefault="00FC7487" w:rsidP="00F54537">
            <w:pPr>
              <w:pStyle w:val="CEABullet-Level1"/>
              <w:numPr>
                <w:ilvl w:val="1"/>
                <w:numId w:val="44"/>
              </w:numPr>
              <w:jc w:val="left"/>
              <w:rPr>
                <w:b/>
                <w:i/>
                <w:sz w:val="20"/>
                <w:lang w:val="en-GB"/>
              </w:rPr>
            </w:pPr>
            <w:r w:rsidRPr="00F54537">
              <w:rPr>
                <w:b/>
                <w:i/>
                <w:sz w:val="20"/>
                <w:highlight w:val="yellow"/>
                <w:lang w:val="en-GB"/>
              </w:rPr>
              <w:t>KID disclosure requirements</w:t>
            </w:r>
            <w:r w:rsidRPr="00F54537">
              <w:rPr>
                <w:b/>
                <w:i/>
                <w:sz w:val="20"/>
                <w:lang w:val="en-GB"/>
              </w:rPr>
              <w:t xml:space="preserve"> </w:t>
            </w:r>
          </w:p>
        </w:tc>
      </w:tr>
      <w:tr w:rsidR="004C79D0" w:rsidRPr="008209CA" w:rsidTr="0019142E">
        <w:trPr>
          <w:trHeight w:val="20"/>
        </w:trPr>
        <w:tc>
          <w:tcPr>
            <w:tcW w:w="1691" w:type="dxa"/>
            <w:tcBorders>
              <w:top w:val="single" w:sz="4" w:space="0" w:color="auto"/>
              <w:left w:val="single" w:sz="4" w:space="0" w:color="auto"/>
              <w:bottom w:val="single" w:sz="4" w:space="0" w:color="auto"/>
              <w:right w:val="single" w:sz="4" w:space="0" w:color="auto"/>
            </w:tcBorders>
            <w:vAlign w:val="center"/>
          </w:tcPr>
          <w:p w:rsidR="004C79D0" w:rsidRPr="008209CA" w:rsidRDefault="004C79D0" w:rsidP="002D7584">
            <w:pPr>
              <w:spacing w:before="60" w:after="60"/>
              <w:jc w:val="center"/>
              <w:rPr>
                <w:b/>
                <w:szCs w:val="17"/>
              </w:rPr>
            </w:pPr>
            <w:r w:rsidRPr="008209CA">
              <w:rPr>
                <w:b/>
                <w:szCs w:val="17"/>
              </w:rPr>
              <w:t>AMT309-310</w:t>
            </w:r>
            <w:r w:rsidR="00904346" w:rsidRPr="008209CA">
              <w:rPr>
                <w:b/>
                <w:szCs w:val="17"/>
              </w:rPr>
              <w:t>, AMT400</w:t>
            </w:r>
            <w:r w:rsidR="00900C88" w:rsidRPr="008209CA">
              <w:rPr>
                <w:b/>
                <w:szCs w:val="17"/>
              </w:rPr>
              <w:t>, AMT410</w:t>
            </w:r>
          </w:p>
        </w:tc>
        <w:tc>
          <w:tcPr>
            <w:tcW w:w="1974" w:type="dxa"/>
            <w:tcBorders>
              <w:top w:val="single" w:sz="4" w:space="0" w:color="auto"/>
              <w:left w:val="single" w:sz="4" w:space="0" w:color="auto"/>
              <w:bottom w:val="single" w:sz="4" w:space="0" w:color="auto"/>
              <w:right w:val="single" w:sz="4" w:space="0" w:color="auto"/>
            </w:tcBorders>
            <w:vAlign w:val="center"/>
          </w:tcPr>
          <w:p w:rsidR="004C79D0" w:rsidRPr="008209CA" w:rsidRDefault="004C79D0" w:rsidP="002D7584">
            <w:pPr>
              <w:spacing w:before="60" w:after="60"/>
              <w:jc w:val="center"/>
              <w:rPr>
                <w:szCs w:val="17"/>
                <w:lang w:val="fr-FR"/>
              </w:rPr>
            </w:pPr>
            <w:r w:rsidRPr="008209CA">
              <w:rPr>
                <w:szCs w:val="17"/>
                <w:lang w:val="fr-FR"/>
              </w:rPr>
              <w:t>Article 8 – para.2 – point b – point ii</w:t>
            </w:r>
            <w:r w:rsidR="00904346" w:rsidRPr="008209CA">
              <w:rPr>
                <w:szCs w:val="17"/>
                <w:lang w:val="fr-FR"/>
              </w:rPr>
              <w:t xml:space="preserve">, Article </w:t>
            </w:r>
            <w:r w:rsidR="00DF5072" w:rsidRPr="008209CA">
              <w:rPr>
                <w:szCs w:val="17"/>
                <w:lang w:val="fr-FR"/>
              </w:rPr>
              <w:t xml:space="preserve">8 – para.2  </w:t>
            </w:r>
            <w:r w:rsidR="00DF5072" w:rsidRPr="008209CA">
              <w:rPr>
                <w:szCs w:val="17"/>
                <w:lang w:val="fr-FR"/>
              </w:rPr>
              <w:lastRenderedPageBreak/>
              <w:t>point f a (new)</w:t>
            </w:r>
            <w:r w:rsidR="00900C88" w:rsidRPr="008209CA">
              <w:rPr>
                <w:szCs w:val="17"/>
                <w:lang w:val="fr-FR"/>
              </w:rPr>
              <w:t>, Article 8 – para.2 – point g a (new)</w:t>
            </w:r>
            <w:bookmarkStart w:id="7" w:name="_GoBack"/>
            <w:bookmarkEnd w:id="7"/>
          </w:p>
        </w:tc>
        <w:tc>
          <w:tcPr>
            <w:tcW w:w="2115" w:type="dxa"/>
            <w:tcBorders>
              <w:top w:val="single" w:sz="4" w:space="0" w:color="auto"/>
              <w:left w:val="single" w:sz="4" w:space="0" w:color="auto"/>
              <w:bottom w:val="single" w:sz="4" w:space="0" w:color="auto"/>
              <w:right w:val="single" w:sz="4" w:space="0" w:color="auto"/>
            </w:tcBorders>
            <w:vAlign w:val="center"/>
          </w:tcPr>
          <w:p w:rsidR="004C79D0" w:rsidRPr="008209CA" w:rsidRDefault="004C79D0" w:rsidP="002D7584">
            <w:pPr>
              <w:spacing w:before="60" w:after="60"/>
              <w:jc w:val="center"/>
              <w:rPr>
                <w:i/>
                <w:szCs w:val="17"/>
              </w:rPr>
            </w:pPr>
            <w:r w:rsidRPr="008209CA">
              <w:rPr>
                <w:i/>
                <w:szCs w:val="17"/>
              </w:rPr>
              <w:lastRenderedPageBreak/>
              <w:t xml:space="preserve">Syed </w:t>
            </w:r>
            <w:proofErr w:type="spellStart"/>
            <w:r w:rsidRPr="008209CA">
              <w:rPr>
                <w:i/>
                <w:szCs w:val="17"/>
              </w:rPr>
              <w:t>Kamall</w:t>
            </w:r>
            <w:proofErr w:type="spellEnd"/>
            <w:r w:rsidRPr="008209CA">
              <w:rPr>
                <w:i/>
                <w:szCs w:val="17"/>
              </w:rPr>
              <w:t>, Sharon Bowles</w:t>
            </w:r>
            <w:r w:rsidR="00DF5072" w:rsidRPr="008209CA">
              <w:rPr>
                <w:i/>
                <w:szCs w:val="17"/>
              </w:rPr>
              <w:t>, Olle Schmidt, Nils Torvalds</w:t>
            </w:r>
          </w:p>
        </w:tc>
        <w:tc>
          <w:tcPr>
            <w:tcW w:w="10153" w:type="dxa"/>
            <w:tcBorders>
              <w:top w:val="single" w:sz="4" w:space="0" w:color="auto"/>
              <w:left w:val="single" w:sz="4" w:space="0" w:color="auto"/>
              <w:bottom w:val="single" w:sz="4" w:space="0" w:color="auto"/>
              <w:right w:val="single" w:sz="4" w:space="0" w:color="auto"/>
            </w:tcBorders>
          </w:tcPr>
          <w:p w:rsidR="004C79D0" w:rsidRPr="008209CA" w:rsidRDefault="004C79D0" w:rsidP="004C79D0">
            <w:pPr>
              <w:pStyle w:val="CEABullet-Level1"/>
              <w:numPr>
                <w:ilvl w:val="0"/>
                <w:numId w:val="0"/>
              </w:numPr>
              <w:rPr>
                <w:b/>
                <w:i/>
                <w:szCs w:val="17"/>
                <w:lang w:val="en-GB"/>
              </w:rPr>
            </w:pPr>
            <w:r w:rsidRPr="008209CA">
              <w:rPr>
                <w:b/>
                <w:i/>
                <w:szCs w:val="17"/>
                <w:lang w:val="en-GB"/>
              </w:rPr>
              <w:t xml:space="preserve">The KID can only provide </w:t>
            </w:r>
            <w:r w:rsidR="00904346" w:rsidRPr="00F54537">
              <w:rPr>
                <w:b/>
                <w:i/>
                <w:szCs w:val="17"/>
                <w:highlight w:val="yellow"/>
                <w:lang w:val="en-GB"/>
              </w:rPr>
              <w:t>standard</w:t>
            </w:r>
            <w:r w:rsidR="00F54537" w:rsidRPr="00F54537">
              <w:rPr>
                <w:b/>
                <w:i/>
                <w:szCs w:val="17"/>
                <w:highlight w:val="yellow"/>
                <w:lang w:val="en-GB"/>
              </w:rPr>
              <w:t>ised</w:t>
            </w:r>
            <w:r w:rsidR="00290278">
              <w:rPr>
                <w:b/>
                <w:i/>
                <w:szCs w:val="17"/>
                <w:lang w:val="en-GB"/>
              </w:rPr>
              <w:t xml:space="preserve"> </w:t>
            </w:r>
            <w:r w:rsidR="00290278" w:rsidRPr="00290278">
              <w:rPr>
                <w:b/>
                <w:i/>
                <w:szCs w:val="17"/>
                <w:highlight w:val="yellow"/>
                <w:lang w:val="en-GB"/>
              </w:rPr>
              <w:t>non-personalised</w:t>
            </w:r>
            <w:r w:rsidR="00904346" w:rsidRPr="008209CA">
              <w:rPr>
                <w:b/>
                <w:i/>
                <w:szCs w:val="17"/>
                <w:lang w:val="en-GB"/>
              </w:rPr>
              <w:t xml:space="preserve"> </w:t>
            </w:r>
            <w:r w:rsidRPr="008209CA">
              <w:rPr>
                <w:b/>
                <w:i/>
                <w:szCs w:val="17"/>
                <w:lang w:val="en-GB"/>
              </w:rPr>
              <w:t>information available at the pre-contractual stage</w:t>
            </w:r>
          </w:p>
          <w:p w:rsidR="004C79D0" w:rsidRPr="008209CA" w:rsidRDefault="00904346" w:rsidP="004C79D0">
            <w:pPr>
              <w:pStyle w:val="CEABullet-Level1"/>
              <w:numPr>
                <w:ilvl w:val="0"/>
                <w:numId w:val="0"/>
              </w:numPr>
              <w:rPr>
                <w:szCs w:val="17"/>
                <w:lang w:val="en-GB"/>
              </w:rPr>
            </w:pPr>
            <w:r w:rsidRPr="008209CA">
              <w:rPr>
                <w:szCs w:val="17"/>
                <w:lang w:val="en-GB"/>
              </w:rPr>
              <w:t>Firstly, i</w:t>
            </w:r>
            <w:r w:rsidR="004C79D0" w:rsidRPr="008209CA">
              <w:rPr>
                <w:szCs w:val="17"/>
                <w:lang w:val="en-GB"/>
              </w:rPr>
              <w:t xml:space="preserve">f the KID applies at insurance product level, Insurance Europe opposes amendments which require detailed fund level disclosures. Detailed </w:t>
            </w:r>
            <w:r w:rsidRPr="008209CA">
              <w:rPr>
                <w:szCs w:val="17"/>
                <w:lang w:val="en-GB"/>
              </w:rPr>
              <w:t xml:space="preserve">fund </w:t>
            </w:r>
            <w:r w:rsidR="004C79D0" w:rsidRPr="008209CA">
              <w:rPr>
                <w:szCs w:val="17"/>
                <w:lang w:val="en-GB"/>
              </w:rPr>
              <w:t xml:space="preserve">disclosures cannot be provided at a pre-contractual stage when a customer, </w:t>
            </w:r>
            <w:r w:rsidR="004C79D0" w:rsidRPr="008209CA">
              <w:rPr>
                <w:szCs w:val="17"/>
                <w:lang w:val="en-GB"/>
              </w:rPr>
              <w:lastRenderedPageBreak/>
              <w:t xml:space="preserve">who is given the choice, has not yet selected the underlying assets.  </w:t>
            </w:r>
          </w:p>
          <w:p w:rsidR="00900C88" w:rsidRPr="008209CA" w:rsidRDefault="00900C88" w:rsidP="004C79D0">
            <w:pPr>
              <w:pStyle w:val="CEABullet-Level1"/>
              <w:numPr>
                <w:ilvl w:val="0"/>
                <w:numId w:val="0"/>
              </w:numPr>
              <w:rPr>
                <w:szCs w:val="17"/>
                <w:lang w:val="en-GB"/>
              </w:rPr>
            </w:pPr>
          </w:p>
          <w:p w:rsidR="00900C88" w:rsidRPr="008209CA" w:rsidRDefault="00900C88" w:rsidP="004C79D0">
            <w:pPr>
              <w:pStyle w:val="CEABullet-Level1"/>
              <w:numPr>
                <w:ilvl w:val="0"/>
                <w:numId w:val="0"/>
              </w:numPr>
              <w:rPr>
                <w:szCs w:val="17"/>
                <w:lang w:val="en-GB"/>
              </w:rPr>
            </w:pPr>
            <w:commentRangeStart w:id="8"/>
            <w:r w:rsidRPr="008209CA">
              <w:rPr>
                <w:szCs w:val="17"/>
                <w:lang w:val="en-GB"/>
              </w:rPr>
              <w:t>Similarly</w:t>
            </w:r>
            <w:commentRangeEnd w:id="8"/>
            <w:r w:rsidR="00C70054">
              <w:rPr>
                <w:rStyle w:val="CommentReference"/>
                <w:rFonts w:cs="Times New Roman"/>
                <w:color w:val="auto"/>
                <w:lang w:val="en-GB"/>
              </w:rPr>
              <w:commentReference w:id="8"/>
            </w:r>
            <w:r w:rsidRPr="008209CA">
              <w:rPr>
                <w:szCs w:val="17"/>
                <w:lang w:val="en-GB"/>
              </w:rPr>
              <w:t xml:space="preserve">, </w:t>
            </w:r>
            <w:r w:rsidR="00C70054" w:rsidRPr="00C70054">
              <w:rPr>
                <w:szCs w:val="17"/>
                <w:highlight w:val="yellow"/>
                <w:lang w:val="en-GB"/>
              </w:rPr>
              <w:t>detailed</w:t>
            </w:r>
            <w:r w:rsidR="00C70054">
              <w:rPr>
                <w:szCs w:val="17"/>
                <w:lang w:val="en-GB"/>
              </w:rPr>
              <w:t xml:space="preserve"> </w:t>
            </w:r>
            <w:r w:rsidRPr="008209CA">
              <w:rPr>
                <w:szCs w:val="17"/>
                <w:lang w:val="en-GB"/>
              </w:rPr>
              <w:t xml:space="preserve">information on potential consequences of cashing a PRIP before the end of the term or recommended holding period cannot be provided at the pre-contractual stage because the recommended holding period may not be known. The rule of thumb with an investment is to hold it for a minimum of five years due to volatility in the market. At most, the KID could include a warning that if a PRIP is cashed prior to this period, the investor may lose money if the market is down. </w:t>
            </w:r>
          </w:p>
          <w:p w:rsidR="004C79D0" w:rsidRPr="008209CA" w:rsidRDefault="004C79D0" w:rsidP="004C79D0">
            <w:pPr>
              <w:pStyle w:val="CEABullet-Level1"/>
              <w:numPr>
                <w:ilvl w:val="0"/>
                <w:numId w:val="0"/>
              </w:numPr>
              <w:rPr>
                <w:szCs w:val="17"/>
                <w:lang w:val="en-GB"/>
              </w:rPr>
            </w:pPr>
          </w:p>
          <w:p w:rsidR="004C79D0" w:rsidRPr="008209CA" w:rsidRDefault="004C79D0" w:rsidP="004C79D0">
            <w:pPr>
              <w:pStyle w:val="CEABullet-Level1"/>
              <w:rPr>
                <w:szCs w:val="17"/>
              </w:rPr>
            </w:pPr>
            <w:r w:rsidRPr="008209CA">
              <w:rPr>
                <w:szCs w:val="17"/>
                <w:lang w:val="en-GB"/>
              </w:rPr>
              <w:t>Insurance Europe opposes AMT309-310</w:t>
            </w:r>
            <w:r w:rsidR="00900C88" w:rsidRPr="008209CA">
              <w:rPr>
                <w:szCs w:val="17"/>
                <w:lang w:val="en-GB"/>
              </w:rPr>
              <w:t xml:space="preserve"> and AMT410</w:t>
            </w:r>
            <w:r w:rsidRPr="008209CA">
              <w:rPr>
                <w:szCs w:val="17"/>
                <w:lang w:val="en-GB"/>
              </w:rPr>
              <w:t>.</w:t>
            </w:r>
          </w:p>
          <w:p w:rsidR="00904346" w:rsidRPr="008209CA" w:rsidRDefault="00904346" w:rsidP="00904346">
            <w:pPr>
              <w:pStyle w:val="CEABullet-Level1"/>
              <w:numPr>
                <w:ilvl w:val="0"/>
                <w:numId w:val="0"/>
              </w:numPr>
              <w:rPr>
                <w:szCs w:val="17"/>
              </w:rPr>
            </w:pPr>
          </w:p>
          <w:p w:rsidR="00904346" w:rsidRPr="008209CA" w:rsidRDefault="00904346" w:rsidP="00904346">
            <w:pPr>
              <w:pStyle w:val="CEABullet-Level1"/>
              <w:numPr>
                <w:ilvl w:val="0"/>
                <w:numId w:val="0"/>
              </w:numPr>
              <w:rPr>
                <w:szCs w:val="17"/>
                <w:lang w:val="en-GB"/>
              </w:rPr>
            </w:pPr>
            <w:r w:rsidRPr="008209CA">
              <w:rPr>
                <w:szCs w:val="17"/>
                <w:lang w:val="en-GB"/>
              </w:rPr>
              <w:t xml:space="preserve">Secondly, the KID is a </w:t>
            </w:r>
            <w:r w:rsidRPr="00F54537">
              <w:rPr>
                <w:szCs w:val="17"/>
                <w:highlight w:val="yellow"/>
                <w:lang w:val="en-GB"/>
              </w:rPr>
              <w:t>standard</w:t>
            </w:r>
            <w:r w:rsidR="00F54537" w:rsidRPr="00F54537">
              <w:rPr>
                <w:szCs w:val="17"/>
                <w:highlight w:val="yellow"/>
                <w:lang w:val="en-GB"/>
              </w:rPr>
              <w:t>ised</w:t>
            </w:r>
            <w:r w:rsidRPr="008209CA">
              <w:rPr>
                <w:szCs w:val="17"/>
                <w:lang w:val="en-GB"/>
              </w:rPr>
              <w:t xml:space="preserve"> document and cannot provide detailed personalised information regarding what happens if the investor dies. Such information can be provided </w:t>
            </w:r>
            <w:r w:rsidR="00EF7C02" w:rsidRPr="008209CA">
              <w:rPr>
                <w:szCs w:val="17"/>
                <w:lang w:val="en-GB"/>
              </w:rPr>
              <w:t>separately</w:t>
            </w:r>
            <w:r w:rsidRPr="008209CA">
              <w:rPr>
                <w:szCs w:val="17"/>
                <w:lang w:val="en-GB"/>
              </w:rPr>
              <w:t xml:space="preserve"> but not in a generic KID. </w:t>
            </w:r>
          </w:p>
          <w:p w:rsidR="00904346" w:rsidRPr="008209CA" w:rsidRDefault="00904346" w:rsidP="00904346">
            <w:pPr>
              <w:pStyle w:val="CEABullet-Level1"/>
              <w:numPr>
                <w:ilvl w:val="0"/>
                <w:numId w:val="0"/>
              </w:numPr>
              <w:rPr>
                <w:szCs w:val="17"/>
                <w:lang w:val="en-GB"/>
              </w:rPr>
            </w:pPr>
          </w:p>
          <w:p w:rsidR="00900C88" w:rsidRPr="00055795" w:rsidRDefault="00904346" w:rsidP="00055795">
            <w:pPr>
              <w:pStyle w:val="CEABullet-Level1"/>
              <w:rPr>
                <w:szCs w:val="17"/>
              </w:rPr>
            </w:pPr>
            <w:r w:rsidRPr="008209CA">
              <w:rPr>
                <w:szCs w:val="17"/>
              </w:rPr>
              <w:t>Insurance Europe opposes AMT400.</w:t>
            </w:r>
          </w:p>
        </w:tc>
      </w:tr>
      <w:tr w:rsidR="00AF64A5" w:rsidRPr="00106659" w:rsidTr="00696CBC">
        <w:trPr>
          <w:trHeight w:val="20"/>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696CBC">
            <w:pPr>
              <w:jc w:val="center"/>
              <w:rPr>
                <w:b/>
                <w:szCs w:val="17"/>
              </w:rPr>
            </w:pPr>
            <w:r w:rsidRPr="008209CA">
              <w:rPr>
                <w:b/>
                <w:szCs w:val="17"/>
              </w:rPr>
              <w:lastRenderedPageBreak/>
              <w:t xml:space="preserve">AMT307, </w:t>
            </w:r>
            <w:r w:rsidR="00696CBC">
              <w:rPr>
                <w:b/>
                <w:szCs w:val="17"/>
              </w:rPr>
              <w:t>AMT376</w:t>
            </w:r>
            <w:r w:rsidR="00265C11" w:rsidRPr="008209CA">
              <w:rPr>
                <w:b/>
                <w:szCs w:val="17"/>
              </w:rPr>
              <w:t xml:space="preserve">-380, </w:t>
            </w:r>
            <w:r w:rsidRPr="008209CA">
              <w:rPr>
                <w:b/>
                <w:szCs w:val="17"/>
              </w:rPr>
              <w:t>AMT447</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rPr>
            </w:pPr>
            <w:r w:rsidRPr="008209CA">
              <w:rPr>
                <w:szCs w:val="17"/>
                <w:lang w:val="fr-FR"/>
              </w:rPr>
              <w:t>Article 8 – para. 2 – point b – point i,</w:t>
            </w:r>
            <w:r w:rsidR="00265C11" w:rsidRPr="008209CA">
              <w:rPr>
                <w:szCs w:val="17"/>
                <w:lang w:val="fr-FR"/>
              </w:rPr>
              <w:t xml:space="preserve"> Article 8 – para.2 – point e,</w:t>
            </w:r>
            <w:r w:rsidRPr="008209CA">
              <w:rPr>
                <w:szCs w:val="17"/>
                <w:lang w:val="fr-FR"/>
              </w:rPr>
              <w:t xml:space="preserve"> Article 8 – para. </w:t>
            </w:r>
            <w:r w:rsidRPr="008209CA">
              <w:rPr>
                <w:szCs w:val="17"/>
              </w:rPr>
              <w:t>5</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 xml:space="preserve">Sven </w:t>
            </w:r>
            <w:proofErr w:type="spellStart"/>
            <w:r w:rsidRPr="008209CA">
              <w:rPr>
                <w:i/>
                <w:szCs w:val="17"/>
              </w:rPr>
              <w:t>Giegold</w:t>
            </w:r>
            <w:proofErr w:type="spellEnd"/>
            <w:r w:rsidRPr="008209CA">
              <w:rPr>
                <w:i/>
                <w:szCs w:val="17"/>
              </w:rPr>
              <w:t xml:space="preserve">, Thomas </w:t>
            </w:r>
            <w:proofErr w:type="spellStart"/>
            <w:r w:rsidRPr="008209CA">
              <w:rPr>
                <w:i/>
                <w:szCs w:val="17"/>
              </w:rPr>
              <w:t>Händel</w:t>
            </w:r>
            <w:proofErr w:type="spellEnd"/>
            <w:r w:rsidR="00265C11" w:rsidRPr="008209CA">
              <w:rPr>
                <w:i/>
                <w:szCs w:val="17"/>
              </w:rPr>
              <w:t xml:space="preserve">, Sari </w:t>
            </w:r>
            <w:proofErr w:type="spellStart"/>
            <w:r w:rsidR="00265C11" w:rsidRPr="008209CA">
              <w:rPr>
                <w:i/>
                <w:szCs w:val="17"/>
              </w:rPr>
              <w:t>Essayah</w:t>
            </w:r>
            <w:proofErr w:type="spellEnd"/>
            <w:r w:rsidR="00265C11" w:rsidRPr="008209CA">
              <w:rPr>
                <w:i/>
                <w:szCs w:val="17"/>
              </w:rPr>
              <w:t xml:space="preserve">, Sharon Bowles, Thomas </w:t>
            </w:r>
            <w:proofErr w:type="spellStart"/>
            <w:r w:rsidR="00265C11" w:rsidRPr="008209CA">
              <w:rPr>
                <w:i/>
                <w:szCs w:val="17"/>
              </w:rPr>
              <w:t>Händel</w:t>
            </w:r>
            <w:proofErr w:type="spellEnd"/>
            <w:r w:rsidR="00265C11" w:rsidRPr="008209CA">
              <w:rPr>
                <w:i/>
                <w:szCs w:val="17"/>
              </w:rPr>
              <w:t xml:space="preserve">, Alfredo Pallone </w:t>
            </w:r>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94458D" w:rsidP="002D7584">
            <w:pPr>
              <w:pStyle w:val="CEABullet-Level1"/>
              <w:numPr>
                <w:ilvl w:val="0"/>
                <w:numId w:val="0"/>
              </w:numPr>
              <w:rPr>
                <w:b/>
                <w:i/>
                <w:szCs w:val="17"/>
                <w:lang w:val="en-GB"/>
              </w:rPr>
            </w:pPr>
            <w:r w:rsidRPr="008209CA">
              <w:rPr>
                <w:b/>
                <w:i/>
                <w:szCs w:val="17"/>
                <w:lang w:val="en-GB"/>
              </w:rPr>
              <w:t xml:space="preserve">The regulation should not be too prescriptive </w:t>
            </w:r>
            <w:r w:rsidR="00904346" w:rsidRPr="008209CA">
              <w:rPr>
                <w:b/>
                <w:i/>
                <w:szCs w:val="17"/>
                <w:lang w:val="en-GB"/>
              </w:rPr>
              <w:t>regarding risk and reward profile</w:t>
            </w:r>
          </w:p>
          <w:p w:rsidR="00FC7487" w:rsidRPr="008209CA" w:rsidRDefault="00265C11" w:rsidP="002D7584">
            <w:pPr>
              <w:pStyle w:val="CEABullet-Level1"/>
              <w:numPr>
                <w:ilvl w:val="0"/>
                <w:numId w:val="0"/>
              </w:numPr>
              <w:rPr>
                <w:szCs w:val="17"/>
                <w:lang w:val="en-GB"/>
              </w:rPr>
            </w:pPr>
            <w:commentRangeStart w:id="9"/>
            <w:r w:rsidRPr="002D7B6C">
              <w:rPr>
                <w:szCs w:val="17"/>
                <w:highlight w:val="yellow"/>
                <w:lang w:val="en-GB"/>
              </w:rPr>
              <w:t>Firstly</w:t>
            </w:r>
            <w:commentRangeEnd w:id="9"/>
            <w:r w:rsidR="00FF211D">
              <w:rPr>
                <w:rStyle w:val="CommentReference"/>
                <w:rFonts w:cs="Times New Roman"/>
                <w:color w:val="auto"/>
                <w:lang w:val="en-GB"/>
              </w:rPr>
              <w:commentReference w:id="9"/>
            </w:r>
            <w:r w:rsidRPr="002D7B6C">
              <w:rPr>
                <w:szCs w:val="17"/>
                <w:highlight w:val="yellow"/>
                <w:lang w:val="en-GB"/>
              </w:rPr>
              <w:t xml:space="preserve">, </w:t>
            </w:r>
            <w:r w:rsidR="00FC7487" w:rsidRPr="002D7B6C">
              <w:rPr>
                <w:szCs w:val="17"/>
                <w:highlight w:val="yellow"/>
                <w:lang w:val="en-GB"/>
              </w:rPr>
              <w:t xml:space="preserve">Insurance Europe </w:t>
            </w:r>
            <w:r w:rsidR="002D7B6C" w:rsidRPr="002D7B6C">
              <w:rPr>
                <w:szCs w:val="17"/>
                <w:highlight w:val="yellow"/>
                <w:lang w:val="en-GB"/>
              </w:rPr>
              <w:t>opposes including a threefold risk indicator identifying the riskiness of the PRIPs because three risk classes may be insufficient and therefore too prescriptive for a regulation.</w:t>
            </w:r>
            <w:r w:rsidR="00FC7487" w:rsidRPr="002D7B6C">
              <w:rPr>
                <w:szCs w:val="17"/>
                <w:highlight w:val="yellow"/>
                <w:lang w:val="en-GB"/>
              </w:rPr>
              <w:t xml:space="preserve"> </w:t>
            </w:r>
            <w:r w:rsidR="00904346" w:rsidRPr="00FF211D">
              <w:rPr>
                <w:szCs w:val="17"/>
                <w:highlight w:val="yellow"/>
                <w:lang w:val="en-GB"/>
              </w:rPr>
              <w:t>In addition, Insurance Europe believes the requirement to include “the market evolution the product targets” into the risk indicator is unclear.</w:t>
            </w:r>
            <w:r w:rsidR="00FF211D" w:rsidRPr="00FF211D">
              <w:rPr>
                <w:szCs w:val="17"/>
                <w:highlight w:val="yellow"/>
                <w:lang w:val="en-GB"/>
              </w:rPr>
              <w:t xml:space="preserve"> </w:t>
            </w:r>
            <w:proofErr w:type="gramStart"/>
            <w:r w:rsidR="00FF211D" w:rsidRPr="00FF211D">
              <w:rPr>
                <w:szCs w:val="17"/>
                <w:highlight w:val="yellow"/>
                <w:lang w:val="en-GB"/>
              </w:rPr>
              <w:t>and</w:t>
            </w:r>
            <w:proofErr w:type="gramEnd"/>
            <w:r w:rsidR="00FF211D" w:rsidRPr="00FF211D">
              <w:rPr>
                <w:szCs w:val="17"/>
                <w:highlight w:val="yellow"/>
                <w:lang w:val="en-GB"/>
              </w:rPr>
              <w:t xml:space="preserve"> a too prescriptive requirement in the regulation itself</w:t>
            </w:r>
            <w:r w:rsidR="00904346" w:rsidRPr="008209CA">
              <w:rPr>
                <w:szCs w:val="17"/>
                <w:lang w:val="en-GB"/>
              </w:rPr>
              <w:t>.</w:t>
            </w:r>
          </w:p>
          <w:p w:rsidR="00FC7487" w:rsidRPr="008209CA" w:rsidRDefault="00FC7487" w:rsidP="002D7584">
            <w:pPr>
              <w:pStyle w:val="CEABullet-Level1"/>
              <w:numPr>
                <w:ilvl w:val="0"/>
                <w:numId w:val="0"/>
              </w:numPr>
              <w:rPr>
                <w:szCs w:val="17"/>
                <w:lang w:val="en-GB"/>
              </w:rPr>
            </w:pPr>
          </w:p>
          <w:p w:rsidR="00FC7487" w:rsidRPr="008209CA" w:rsidRDefault="00FC7487" w:rsidP="002D7584">
            <w:pPr>
              <w:pStyle w:val="CEABullet-Level1"/>
              <w:rPr>
                <w:szCs w:val="17"/>
                <w:lang w:val="fr-FR"/>
              </w:rPr>
            </w:pPr>
            <w:r w:rsidRPr="008209CA">
              <w:rPr>
                <w:szCs w:val="17"/>
                <w:lang w:val="fr-FR"/>
              </w:rPr>
              <w:t xml:space="preserve">Insurance Europe opposes AMT307, </w:t>
            </w:r>
            <w:r w:rsidR="00904346" w:rsidRPr="008209CA">
              <w:rPr>
                <w:szCs w:val="17"/>
                <w:lang w:val="fr-FR"/>
              </w:rPr>
              <w:t xml:space="preserve">AMT377 and </w:t>
            </w:r>
            <w:r w:rsidRPr="008209CA">
              <w:rPr>
                <w:szCs w:val="17"/>
                <w:lang w:val="fr-FR"/>
              </w:rPr>
              <w:t>AMT447</w:t>
            </w:r>
            <w:r w:rsidR="00904346" w:rsidRPr="008209CA">
              <w:rPr>
                <w:szCs w:val="17"/>
                <w:lang w:val="fr-FR"/>
              </w:rPr>
              <w:t>.</w:t>
            </w:r>
          </w:p>
          <w:p w:rsidR="00265C11" w:rsidRPr="008209CA" w:rsidRDefault="00265C11" w:rsidP="00265C11">
            <w:pPr>
              <w:pStyle w:val="CEABullet-Level1"/>
              <w:numPr>
                <w:ilvl w:val="0"/>
                <w:numId w:val="0"/>
              </w:numPr>
              <w:rPr>
                <w:szCs w:val="17"/>
                <w:lang w:val="fr-FR"/>
              </w:rPr>
            </w:pPr>
          </w:p>
          <w:p w:rsidR="00265C11" w:rsidRPr="008209CA" w:rsidRDefault="00265C11" w:rsidP="00265C11">
            <w:pPr>
              <w:pStyle w:val="CEABullet-Level1"/>
              <w:numPr>
                <w:ilvl w:val="0"/>
                <w:numId w:val="0"/>
              </w:numPr>
              <w:rPr>
                <w:szCs w:val="17"/>
                <w:lang w:val="en-GB"/>
              </w:rPr>
            </w:pPr>
            <w:commentRangeStart w:id="10"/>
            <w:r w:rsidRPr="008209CA">
              <w:rPr>
                <w:szCs w:val="17"/>
                <w:lang w:val="en-GB"/>
              </w:rPr>
              <w:t>Secondly</w:t>
            </w:r>
            <w:commentRangeEnd w:id="10"/>
            <w:r w:rsidR="00106659">
              <w:rPr>
                <w:rStyle w:val="CommentReference"/>
                <w:rFonts w:cs="Times New Roman"/>
                <w:color w:val="auto"/>
                <w:lang w:val="en-GB"/>
              </w:rPr>
              <w:commentReference w:id="10"/>
            </w:r>
            <w:r w:rsidRPr="008209CA">
              <w:rPr>
                <w:szCs w:val="17"/>
                <w:lang w:val="en-GB"/>
              </w:rPr>
              <w:t xml:space="preserve">, Insurance Europe supports the amendments which include a narrative explanation of the risks. In a </w:t>
            </w:r>
            <w:r w:rsidRPr="00F54537">
              <w:rPr>
                <w:szCs w:val="17"/>
                <w:highlight w:val="yellow"/>
                <w:lang w:val="en-GB"/>
              </w:rPr>
              <w:t>standard</w:t>
            </w:r>
            <w:r w:rsidR="00F54537" w:rsidRPr="00F54537">
              <w:rPr>
                <w:szCs w:val="17"/>
                <w:highlight w:val="yellow"/>
                <w:lang w:val="en-GB"/>
              </w:rPr>
              <w:t>ised</w:t>
            </w:r>
            <w:r w:rsidRPr="008209CA">
              <w:rPr>
                <w:szCs w:val="17"/>
                <w:lang w:val="en-GB"/>
              </w:rPr>
              <w:t xml:space="preserve"> document the risk and reward profile </w:t>
            </w:r>
            <w:r w:rsidR="00106659">
              <w:rPr>
                <w:szCs w:val="17"/>
                <w:lang w:val="en-GB"/>
              </w:rPr>
              <w:t xml:space="preserve">is </w:t>
            </w:r>
            <w:r w:rsidR="00106659" w:rsidRPr="00106659">
              <w:rPr>
                <w:szCs w:val="17"/>
                <w:highlight w:val="yellow"/>
                <w:lang w:val="en-GB"/>
              </w:rPr>
              <w:t>more appropriately</w:t>
            </w:r>
            <w:r w:rsidR="00106659">
              <w:rPr>
                <w:szCs w:val="17"/>
                <w:lang w:val="en-GB"/>
              </w:rPr>
              <w:t xml:space="preserve"> </w:t>
            </w:r>
            <w:r w:rsidRPr="008209CA">
              <w:rPr>
                <w:szCs w:val="17"/>
                <w:lang w:val="en-GB"/>
              </w:rPr>
              <w:t>presented in a narrative explanation describing the risk and risk mitigating elements</w:t>
            </w:r>
            <w:r w:rsidR="00106659">
              <w:rPr>
                <w:szCs w:val="17"/>
                <w:lang w:val="en-GB"/>
              </w:rPr>
              <w:t xml:space="preserve"> </w:t>
            </w:r>
            <w:r w:rsidR="00106659" w:rsidRPr="00106659">
              <w:rPr>
                <w:szCs w:val="17"/>
                <w:highlight w:val="yellow"/>
                <w:lang w:val="en-GB"/>
              </w:rPr>
              <w:t>as developing a summary indicator across financial sectors is extremely difficult</w:t>
            </w:r>
            <w:r w:rsidRPr="008209CA">
              <w:rPr>
                <w:szCs w:val="17"/>
                <w:lang w:val="en-GB"/>
              </w:rPr>
              <w:t xml:space="preserve">. As a minimum, the risk indicator should be accompanied by such a narrative.  </w:t>
            </w:r>
          </w:p>
          <w:p w:rsidR="00265C11" w:rsidRPr="008209CA" w:rsidRDefault="00265C11" w:rsidP="00265C11">
            <w:pPr>
              <w:pStyle w:val="CEABullet-Level1"/>
              <w:numPr>
                <w:ilvl w:val="0"/>
                <w:numId w:val="0"/>
              </w:numPr>
              <w:rPr>
                <w:szCs w:val="17"/>
                <w:lang w:val="en-GB"/>
              </w:rPr>
            </w:pPr>
          </w:p>
          <w:p w:rsidR="00904346" w:rsidRPr="00106659" w:rsidRDefault="00265C11" w:rsidP="00267516">
            <w:pPr>
              <w:pStyle w:val="CEABullet-Level1"/>
              <w:rPr>
                <w:szCs w:val="17"/>
                <w:lang w:val="en-GB"/>
              </w:rPr>
            </w:pPr>
            <w:r w:rsidRPr="00106659">
              <w:rPr>
                <w:szCs w:val="17"/>
                <w:lang w:val="en-GB"/>
              </w:rPr>
              <w:t>Insurance Europe supports AMT</w:t>
            </w:r>
            <w:r w:rsidR="00106659" w:rsidRPr="00106659">
              <w:rPr>
                <w:szCs w:val="17"/>
                <w:lang w:val="en-GB"/>
              </w:rPr>
              <w:t>380</w:t>
            </w:r>
            <w:r w:rsidR="00106659">
              <w:rPr>
                <w:szCs w:val="17"/>
                <w:lang w:val="en-GB"/>
              </w:rPr>
              <w:t xml:space="preserve">. </w:t>
            </w:r>
            <w:r w:rsidR="00106659">
              <w:rPr>
                <w:szCs w:val="17"/>
                <w:highlight w:val="yellow"/>
                <w:lang w:val="en-GB"/>
              </w:rPr>
              <w:t xml:space="preserve">Insurance Europe </w:t>
            </w:r>
            <w:r w:rsidR="00267516">
              <w:rPr>
                <w:szCs w:val="17"/>
                <w:highlight w:val="yellow"/>
                <w:lang w:val="en-GB"/>
              </w:rPr>
              <w:t>welcomes</w:t>
            </w:r>
            <w:r w:rsidR="00106659" w:rsidRPr="00106659">
              <w:rPr>
                <w:szCs w:val="17"/>
                <w:highlight w:val="yellow"/>
                <w:lang w:val="en-GB"/>
              </w:rPr>
              <w:t xml:space="preserve"> </w:t>
            </w:r>
            <w:r w:rsidR="00106659">
              <w:rPr>
                <w:szCs w:val="17"/>
                <w:highlight w:val="yellow"/>
                <w:lang w:val="en-GB"/>
              </w:rPr>
              <w:t xml:space="preserve">the inclusion of a narrative in </w:t>
            </w:r>
            <w:r w:rsidR="00106659" w:rsidRPr="00106659">
              <w:rPr>
                <w:szCs w:val="17"/>
                <w:highlight w:val="yellow"/>
                <w:lang w:val="en-GB"/>
              </w:rPr>
              <w:t>AMT376-AMT378 though it remains concerned about the difficulty to develop a summary risk indicator applying to different financial products</w:t>
            </w:r>
            <w:r w:rsidR="00106659">
              <w:rPr>
                <w:szCs w:val="17"/>
                <w:lang w:val="en-GB"/>
              </w:rPr>
              <w:t xml:space="preserve">. </w:t>
            </w:r>
            <w:r w:rsidR="00106659" w:rsidRPr="00106659">
              <w:rPr>
                <w:szCs w:val="17"/>
                <w:lang w:val="en-GB"/>
              </w:rPr>
              <w:t xml:space="preserve"> </w:t>
            </w:r>
          </w:p>
        </w:tc>
      </w:tr>
      <w:tr w:rsidR="00AF64A5" w:rsidRPr="008209CA" w:rsidTr="00F50153">
        <w:trPr>
          <w:trHeight w:val="20"/>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97707F">
            <w:pPr>
              <w:jc w:val="center"/>
              <w:rPr>
                <w:b/>
                <w:szCs w:val="17"/>
                <w:lang w:val="nl-BE"/>
              </w:rPr>
            </w:pPr>
            <w:r w:rsidRPr="008209CA">
              <w:rPr>
                <w:b/>
                <w:szCs w:val="17"/>
                <w:lang w:val="nl-BE"/>
              </w:rPr>
              <w:t>AMT</w:t>
            </w:r>
            <w:r w:rsidR="00F810C8" w:rsidRPr="008209CA">
              <w:rPr>
                <w:b/>
                <w:szCs w:val="17"/>
                <w:lang w:val="nl-BE"/>
              </w:rPr>
              <w:t>39</w:t>
            </w:r>
            <w:r w:rsidR="00002A72" w:rsidRPr="008209CA">
              <w:rPr>
                <w:b/>
                <w:szCs w:val="17"/>
                <w:lang w:val="nl-BE"/>
              </w:rPr>
              <w:t>4</w:t>
            </w:r>
            <w:r w:rsidR="00F810C8" w:rsidRPr="008209CA">
              <w:rPr>
                <w:b/>
                <w:szCs w:val="17"/>
                <w:lang w:val="nl-BE"/>
              </w:rPr>
              <w:t>-</w:t>
            </w:r>
            <w:r w:rsidR="00002A72" w:rsidRPr="008209CA">
              <w:rPr>
                <w:b/>
                <w:szCs w:val="17"/>
                <w:lang w:val="nl-BE"/>
              </w:rPr>
              <w:t>397</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lang w:val="fr-FR"/>
              </w:rPr>
            </w:pPr>
            <w:r w:rsidRPr="008209CA">
              <w:rPr>
                <w:szCs w:val="17"/>
                <w:lang w:val="fr-FR"/>
              </w:rPr>
              <w:t xml:space="preserve">Article 8 – para. 2 – </w:t>
            </w:r>
            <w:r w:rsidRPr="008209CA">
              <w:rPr>
                <w:szCs w:val="17"/>
                <w:lang w:val="fr-FR"/>
              </w:rPr>
              <w:lastRenderedPageBreak/>
              <w:t>point f</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002A72" w:rsidP="002D7584">
            <w:pPr>
              <w:spacing w:before="60" w:after="60"/>
              <w:jc w:val="center"/>
              <w:rPr>
                <w:i/>
                <w:szCs w:val="17"/>
                <w:lang w:val="nl-BE"/>
              </w:rPr>
            </w:pPr>
            <w:r w:rsidRPr="008209CA">
              <w:rPr>
                <w:i/>
                <w:szCs w:val="17"/>
                <w:lang w:val="nl-BE"/>
              </w:rPr>
              <w:lastRenderedPageBreak/>
              <w:t xml:space="preserve">Thomas Händel, </w:t>
            </w:r>
            <w:r w:rsidR="00F810C8" w:rsidRPr="008209CA">
              <w:rPr>
                <w:i/>
                <w:szCs w:val="17"/>
                <w:lang w:val="nl-BE"/>
              </w:rPr>
              <w:t xml:space="preserve">Sven </w:t>
            </w:r>
            <w:r w:rsidR="00F810C8" w:rsidRPr="008209CA">
              <w:rPr>
                <w:i/>
                <w:szCs w:val="17"/>
                <w:lang w:val="nl-BE"/>
              </w:rPr>
              <w:lastRenderedPageBreak/>
              <w:t xml:space="preserve">Giegold, </w:t>
            </w:r>
            <w:r w:rsidR="00FC7487" w:rsidRPr="008209CA">
              <w:rPr>
                <w:i/>
                <w:szCs w:val="17"/>
                <w:lang w:val="nl-BE"/>
              </w:rPr>
              <w:t>Olle Schmidt, Nils Torvalds</w:t>
            </w:r>
            <w:r w:rsidRPr="008209CA">
              <w:rPr>
                <w:i/>
                <w:szCs w:val="17"/>
                <w:lang w:val="nl-BE"/>
              </w:rPr>
              <w:t>, Arlene McCarthy</w:t>
            </w:r>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2570D3" w:rsidP="002D7584">
            <w:pPr>
              <w:pStyle w:val="CEABullet-Level1"/>
              <w:numPr>
                <w:ilvl w:val="0"/>
                <w:numId w:val="0"/>
              </w:numPr>
              <w:rPr>
                <w:b/>
                <w:i/>
                <w:szCs w:val="17"/>
                <w:lang w:val="en-GB"/>
              </w:rPr>
            </w:pPr>
            <w:r w:rsidRPr="008209CA">
              <w:rPr>
                <w:b/>
                <w:i/>
                <w:szCs w:val="17"/>
                <w:lang w:val="en-GB"/>
              </w:rPr>
              <w:lastRenderedPageBreak/>
              <w:t>The PRIPs regulation should not be too prescriptive regarding the disclosure of costs</w:t>
            </w:r>
          </w:p>
          <w:p w:rsidR="00002A72" w:rsidRPr="008209CA" w:rsidRDefault="00002A72" w:rsidP="002D7584">
            <w:pPr>
              <w:pStyle w:val="CEABullet-Level1"/>
              <w:numPr>
                <w:ilvl w:val="0"/>
                <w:numId w:val="0"/>
              </w:numPr>
              <w:rPr>
                <w:szCs w:val="17"/>
                <w:lang w:val="en-GB"/>
              </w:rPr>
            </w:pPr>
            <w:r w:rsidRPr="008209CA">
              <w:rPr>
                <w:szCs w:val="17"/>
                <w:lang w:val="en-GB"/>
              </w:rPr>
              <w:lastRenderedPageBreak/>
              <w:t xml:space="preserve">Firstly, Insurance Europe opposes amendments requesting </w:t>
            </w:r>
            <w:r w:rsidR="00686F05" w:rsidRPr="00686F05">
              <w:rPr>
                <w:szCs w:val="17"/>
                <w:highlight w:val="yellow"/>
                <w:lang w:val="en-GB"/>
              </w:rPr>
              <w:t>detailed cost disclosures</w:t>
            </w:r>
            <w:r w:rsidRPr="008209CA">
              <w:rPr>
                <w:szCs w:val="17"/>
                <w:lang w:val="en-GB"/>
              </w:rPr>
              <w:t xml:space="preserve">. It is impossible to provide such detailed information at a pre-contractual stage especially when a consumer, who is given the choice, has not yet chosen the underlying funds. </w:t>
            </w:r>
          </w:p>
          <w:p w:rsidR="00002A72" w:rsidRPr="008209CA" w:rsidRDefault="00002A72" w:rsidP="002D7584">
            <w:pPr>
              <w:pStyle w:val="CEABullet-Level1"/>
              <w:numPr>
                <w:ilvl w:val="0"/>
                <w:numId w:val="0"/>
              </w:numPr>
              <w:rPr>
                <w:szCs w:val="17"/>
                <w:lang w:val="en-GB"/>
              </w:rPr>
            </w:pPr>
          </w:p>
          <w:p w:rsidR="00F810C8" w:rsidRDefault="00002A72" w:rsidP="00696CBC">
            <w:pPr>
              <w:pStyle w:val="CEABullet-Level1"/>
              <w:numPr>
                <w:ilvl w:val="0"/>
                <w:numId w:val="0"/>
              </w:numPr>
              <w:rPr>
                <w:szCs w:val="17"/>
                <w:lang w:val="en-GB"/>
              </w:rPr>
            </w:pPr>
            <w:r w:rsidRPr="008209CA">
              <w:rPr>
                <w:szCs w:val="17"/>
                <w:lang w:val="en-GB"/>
              </w:rPr>
              <w:t>Secondly</w:t>
            </w:r>
            <w:r w:rsidR="00F810C8" w:rsidRPr="008209CA">
              <w:rPr>
                <w:szCs w:val="17"/>
                <w:lang w:val="en-GB"/>
              </w:rPr>
              <w:t xml:space="preserve">, </w:t>
            </w:r>
            <w:r w:rsidR="00FC7487" w:rsidRPr="008209CA">
              <w:rPr>
                <w:szCs w:val="17"/>
                <w:lang w:val="en-GB"/>
              </w:rPr>
              <w:t xml:space="preserve">Insurance Europe opposes including two summary figures for the costs in the KID </w:t>
            </w:r>
            <w:r w:rsidR="00F810C8" w:rsidRPr="008209CA">
              <w:rPr>
                <w:szCs w:val="17"/>
                <w:lang w:val="en-GB"/>
              </w:rPr>
              <w:t xml:space="preserve">which </w:t>
            </w:r>
            <w:r w:rsidR="00FC7487" w:rsidRPr="008209CA">
              <w:rPr>
                <w:szCs w:val="17"/>
                <w:lang w:val="en-GB"/>
              </w:rPr>
              <w:t>contradict</w:t>
            </w:r>
            <w:r w:rsidR="00F810C8" w:rsidRPr="008209CA">
              <w:rPr>
                <w:szCs w:val="17"/>
                <w:lang w:val="en-GB"/>
              </w:rPr>
              <w:t>s</w:t>
            </w:r>
            <w:r w:rsidR="00FC7487" w:rsidRPr="008209CA">
              <w:rPr>
                <w:szCs w:val="17"/>
                <w:lang w:val="en-GB"/>
              </w:rPr>
              <w:t xml:space="preserve"> the KID’s shortness and comparability. The investment products falling within the PRIPs’ scope have very different structures so it will be extremely challenging to define an appropriate common cost indicator. Moreover, it is doubtful whether monetary terms are more understandable for consumers than percentages. Defining a summary cost indicator requires further discussion and testing. </w:t>
            </w:r>
          </w:p>
          <w:p w:rsidR="00696CBC" w:rsidRDefault="00696CBC" w:rsidP="00696CBC">
            <w:pPr>
              <w:pStyle w:val="CEABullet-Level1"/>
              <w:numPr>
                <w:ilvl w:val="0"/>
                <w:numId w:val="0"/>
              </w:numPr>
              <w:rPr>
                <w:szCs w:val="17"/>
                <w:lang w:val="en-GB"/>
              </w:rPr>
            </w:pPr>
          </w:p>
          <w:p w:rsidR="00FC7487" w:rsidRPr="008209CA" w:rsidRDefault="00FC7487" w:rsidP="00696CBC">
            <w:pPr>
              <w:pStyle w:val="CEABullet-Level1"/>
              <w:rPr>
                <w:lang w:val="en-GB"/>
              </w:rPr>
            </w:pPr>
            <w:r w:rsidRPr="008209CA">
              <w:rPr>
                <w:lang w:val="en-GB"/>
              </w:rPr>
              <w:t>Insurance Europe opposes AMT</w:t>
            </w:r>
            <w:r w:rsidR="00F810C8" w:rsidRPr="008209CA">
              <w:rPr>
                <w:lang w:val="en-GB"/>
              </w:rPr>
              <w:t>39</w:t>
            </w:r>
            <w:r w:rsidR="00002A72" w:rsidRPr="008209CA">
              <w:rPr>
                <w:lang w:val="en-GB"/>
              </w:rPr>
              <w:t>4</w:t>
            </w:r>
            <w:r w:rsidR="00F810C8" w:rsidRPr="008209CA">
              <w:rPr>
                <w:lang w:val="en-GB"/>
              </w:rPr>
              <w:t>-</w:t>
            </w:r>
            <w:r w:rsidR="00002A72" w:rsidRPr="008209CA">
              <w:rPr>
                <w:lang w:val="en-GB"/>
              </w:rPr>
              <w:t>397</w:t>
            </w:r>
          </w:p>
        </w:tc>
      </w:tr>
      <w:tr w:rsidR="00AF64A5" w:rsidRPr="008209CA" w:rsidTr="004C79D0">
        <w:trPr>
          <w:cantSplit/>
          <w:trHeight w:val="20"/>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lang w:val="nl-BE"/>
              </w:rPr>
            </w:pPr>
            <w:r w:rsidRPr="008209CA">
              <w:rPr>
                <w:b/>
                <w:szCs w:val="17"/>
                <w:lang w:val="nl-BE"/>
              </w:rPr>
              <w:lastRenderedPageBreak/>
              <w:t>AMT403-405</w:t>
            </w:r>
            <w:r w:rsidR="002415C5" w:rsidRPr="008209CA">
              <w:rPr>
                <w:b/>
                <w:szCs w:val="17"/>
                <w:lang w:val="nl-BE"/>
              </w:rPr>
              <w:t>, AMT408</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lang w:val="fr-FR"/>
              </w:rPr>
            </w:pPr>
            <w:r w:rsidRPr="008209CA">
              <w:rPr>
                <w:szCs w:val="17"/>
                <w:lang w:val="fr-FR"/>
              </w:rPr>
              <w:t>Article 8 – para. 2 – point g</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lang w:val="fr-FR"/>
              </w:rPr>
            </w:pPr>
            <w:proofErr w:type="spellStart"/>
            <w:r w:rsidRPr="008209CA">
              <w:rPr>
                <w:i/>
                <w:szCs w:val="17"/>
                <w:lang w:val="fr-FR"/>
              </w:rPr>
              <w:t>Sirpa</w:t>
            </w:r>
            <w:proofErr w:type="spellEnd"/>
            <w:r w:rsidRPr="008209CA">
              <w:rPr>
                <w:i/>
                <w:szCs w:val="17"/>
                <w:lang w:val="fr-FR"/>
              </w:rPr>
              <w:t xml:space="preserve"> </w:t>
            </w:r>
            <w:proofErr w:type="spellStart"/>
            <w:r w:rsidRPr="008209CA">
              <w:rPr>
                <w:i/>
                <w:szCs w:val="17"/>
                <w:lang w:val="fr-FR"/>
              </w:rPr>
              <w:t>Pietikäinen</w:t>
            </w:r>
            <w:proofErr w:type="spellEnd"/>
            <w:r w:rsidRPr="008209CA">
              <w:rPr>
                <w:i/>
                <w:szCs w:val="17"/>
                <w:lang w:val="fr-FR"/>
              </w:rPr>
              <w:t xml:space="preserve">, Alfredo </w:t>
            </w:r>
            <w:proofErr w:type="spellStart"/>
            <w:r w:rsidRPr="008209CA">
              <w:rPr>
                <w:i/>
                <w:szCs w:val="17"/>
                <w:lang w:val="fr-FR"/>
              </w:rPr>
              <w:t>Pallone</w:t>
            </w:r>
            <w:proofErr w:type="spellEnd"/>
            <w:r w:rsidRPr="008209CA">
              <w:rPr>
                <w:i/>
                <w:szCs w:val="17"/>
                <w:lang w:val="fr-FR"/>
              </w:rPr>
              <w:t>, Sylvie Goulard, Thomas Händel</w:t>
            </w:r>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2570D3" w:rsidP="002D7584">
            <w:pPr>
              <w:pStyle w:val="CEABullet-Level1"/>
              <w:numPr>
                <w:ilvl w:val="0"/>
                <w:numId w:val="0"/>
              </w:numPr>
              <w:rPr>
                <w:b/>
                <w:i/>
                <w:szCs w:val="17"/>
                <w:lang w:val="en-GB"/>
              </w:rPr>
            </w:pPr>
            <w:r w:rsidRPr="008209CA">
              <w:rPr>
                <w:b/>
                <w:i/>
                <w:szCs w:val="17"/>
                <w:lang w:val="en-GB"/>
              </w:rPr>
              <w:t>The KID should include a warning regarding past performance</w:t>
            </w:r>
          </w:p>
          <w:p w:rsidR="00FC7487" w:rsidRPr="008209CA" w:rsidRDefault="00FC7487" w:rsidP="002D7584">
            <w:pPr>
              <w:pStyle w:val="CEABullet-Level1"/>
              <w:numPr>
                <w:ilvl w:val="0"/>
                <w:numId w:val="0"/>
              </w:numPr>
              <w:rPr>
                <w:szCs w:val="17"/>
                <w:lang w:val="en-GB"/>
              </w:rPr>
            </w:pPr>
            <w:r w:rsidRPr="008209CA">
              <w:rPr>
                <w:szCs w:val="17"/>
                <w:lang w:val="en-GB"/>
              </w:rPr>
              <w:t xml:space="preserve">Insurance Europe supports including a warning that past performance does not guarantee future outcomes because it completes consumer information. Past performance can indeed be misleading and therefore the exception foreseen in the EC proposal not to include past performance should be maintained. </w:t>
            </w:r>
          </w:p>
          <w:p w:rsidR="00FC7487" w:rsidRPr="008209CA" w:rsidRDefault="00FC7487" w:rsidP="002D7584">
            <w:pPr>
              <w:pStyle w:val="CEABullet-Level1"/>
              <w:numPr>
                <w:ilvl w:val="0"/>
                <w:numId w:val="0"/>
              </w:numPr>
              <w:rPr>
                <w:szCs w:val="17"/>
                <w:lang w:val="en-GB"/>
              </w:rPr>
            </w:pPr>
          </w:p>
          <w:p w:rsidR="00FC7487" w:rsidRPr="008209CA" w:rsidRDefault="00FC7487" w:rsidP="002D7584">
            <w:pPr>
              <w:pStyle w:val="CEABullet-Level1"/>
              <w:rPr>
                <w:szCs w:val="17"/>
                <w:lang w:val="en-GB"/>
              </w:rPr>
            </w:pPr>
            <w:r w:rsidRPr="008209CA">
              <w:rPr>
                <w:szCs w:val="17"/>
                <w:lang w:val="en-GB"/>
              </w:rPr>
              <w:t>Insurance Europe supports AMT403-405 but opposes AMT408.</w:t>
            </w:r>
          </w:p>
        </w:tc>
      </w:tr>
      <w:tr w:rsidR="00AF64A5" w:rsidRPr="00FC7487" w:rsidTr="00D8396B">
        <w:trPr>
          <w:cantSplit/>
          <w:trHeight w:val="20"/>
        </w:trPr>
        <w:tc>
          <w:tcPr>
            <w:tcW w:w="1593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7487" w:rsidRPr="00F54537" w:rsidRDefault="00FC7487" w:rsidP="00F54537">
            <w:pPr>
              <w:pStyle w:val="CEABullet-Level1"/>
              <w:numPr>
                <w:ilvl w:val="1"/>
                <w:numId w:val="44"/>
              </w:numPr>
              <w:jc w:val="left"/>
              <w:rPr>
                <w:b/>
                <w:i/>
                <w:sz w:val="20"/>
                <w:lang w:val="en-GB"/>
              </w:rPr>
            </w:pPr>
            <w:r w:rsidRPr="00F54537">
              <w:rPr>
                <w:b/>
                <w:i/>
                <w:sz w:val="20"/>
                <w:highlight w:val="yellow"/>
                <w:lang w:val="en-GB"/>
              </w:rPr>
              <w:t>Liability</w:t>
            </w:r>
          </w:p>
        </w:tc>
      </w:tr>
      <w:tr w:rsidR="00AF64A5" w:rsidRPr="008209CA" w:rsidTr="008209CA">
        <w:trPr>
          <w:trHeight w:val="20"/>
        </w:trPr>
        <w:tc>
          <w:tcPr>
            <w:tcW w:w="1691" w:type="dxa"/>
            <w:tcBorders>
              <w:top w:val="single" w:sz="4" w:space="0" w:color="auto"/>
              <w:left w:val="single" w:sz="4" w:space="0" w:color="auto"/>
              <w:bottom w:val="single" w:sz="4" w:space="0" w:color="auto"/>
              <w:right w:val="single" w:sz="4" w:space="0" w:color="auto"/>
            </w:tcBorders>
            <w:vAlign w:val="center"/>
          </w:tcPr>
          <w:p w:rsidR="00FC7487" w:rsidRPr="00614B04" w:rsidRDefault="00614B04" w:rsidP="00525982">
            <w:pPr>
              <w:jc w:val="center"/>
              <w:rPr>
                <w:b/>
                <w:szCs w:val="17"/>
                <w:lang w:val="nl-BE"/>
              </w:rPr>
            </w:pPr>
            <w:r w:rsidRPr="00614B04">
              <w:rPr>
                <w:b/>
                <w:szCs w:val="17"/>
                <w:lang w:val="nl-BE"/>
              </w:rPr>
              <w:t xml:space="preserve">AMT112, </w:t>
            </w:r>
            <w:r w:rsidR="00FC7487" w:rsidRPr="00614B04">
              <w:rPr>
                <w:b/>
                <w:szCs w:val="17"/>
                <w:lang w:val="nl-BE"/>
              </w:rPr>
              <w:t>AMT117, AMT246</w:t>
            </w:r>
            <w:r w:rsidR="00051B20" w:rsidRPr="00614B04">
              <w:rPr>
                <w:b/>
                <w:szCs w:val="17"/>
                <w:lang w:val="nl-BE"/>
              </w:rPr>
              <w:t>, AMT253-255</w:t>
            </w:r>
            <w:r w:rsidRPr="00614B04">
              <w:rPr>
                <w:b/>
                <w:szCs w:val="17"/>
                <w:lang w:val="nl-BE"/>
              </w:rPr>
              <w:t>, AMT257, AMT280-282, AMT284, AMT419-420, AMT423</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614B04" w:rsidRDefault="00614B04" w:rsidP="0097707F">
            <w:pPr>
              <w:spacing w:before="60" w:after="60"/>
              <w:jc w:val="center"/>
              <w:rPr>
                <w:szCs w:val="17"/>
                <w:lang w:val="nl-BE"/>
              </w:rPr>
            </w:pPr>
            <w:r w:rsidRPr="00614B04">
              <w:rPr>
                <w:szCs w:val="17"/>
                <w:lang w:val="nl-BE"/>
              </w:rPr>
              <w:t xml:space="preserve">Recital 11, </w:t>
            </w:r>
            <w:r w:rsidR="00FC7487" w:rsidRPr="00614B04">
              <w:rPr>
                <w:szCs w:val="17"/>
                <w:lang w:val="nl-BE"/>
              </w:rPr>
              <w:t>Recital 12, Article 6 – para. 1</w:t>
            </w:r>
            <w:r w:rsidR="00051B20" w:rsidRPr="00614B04">
              <w:rPr>
                <w:szCs w:val="17"/>
                <w:lang w:val="nl-BE"/>
              </w:rPr>
              <w:t>, Article 6 – para.2 a (new)</w:t>
            </w:r>
            <w:r w:rsidRPr="00614B04">
              <w:rPr>
                <w:szCs w:val="17"/>
                <w:lang w:val="nl-BE"/>
              </w:rPr>
              <w:t xml:space="preserve">, </w:t>
            </w:r>
            <w:r w:rsidR="0097707F">
              <w:rPr>
                <w:szCs w:val="17"/>
                <w:lang w:val="nl-BE"/>
              </w:rPr>
              <w:t xml:space="preserve">Article 6 – para.2 b (new), </w:t>
            </w:r>
            <w:r w:rsidRPr="00614B04">
              <w:rPr>
                <w:szCs w:val="17"/>
                <w:lang w:val="nl-BE"/>
              </w:rPr>
              <w:t>Article 6 – para.3 – introductory part, Article 8 – para.1 – subpara.1 a (new</w:t>
            </w:r>
            <w:r w:rsidR="0097707F">
              <w:rPr>
                <w:szCs w:val="17"/>
                <w:lang w:val="nl-BE"/>
              </w:rPr>
              <w:t>)</w:t>
            </w:r>
            <w:r w:rsidRPr="00614B04">
              <w:rPr>
                <w:szCs w:val="17"/>
                <w:lang w:val="nl-BE"/>
              </w:rPr>
              <w:t xml:space="preserve">, Article 8 – para.1 – subpara.2, Article 8 – para.2 – point h a (new), Article 8 – </w:t>
            </w:r>
            <w:r w:rsidRPr="00614B04">
              <w:rPr>
                <w:szCs w:val="17"/>
                <w:lang w:val="nl-BE"/>
              </w:rPr>
              <w:lastRenderedPageBreak/>
              <w:t>para.2 – point h b (new)</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614B04" w:rsidRDefault="00FC7487" w:rsidP="002D7584">
            <w:pPr>
              <w:spacing w:before="60" w:after="60"/>
              <w:jc w:val="center"/>
              <w:rPr>
                <w:i/>
                <w:szCs w:val="17"/>
                <w:lang w:val="nl-BE"/>
              </w:rPr>
            </w:pPr>
            <w:r w:rsidRPr="00614B04">
              <w:rPr>
                <w:i/>
                <w:szCs w:val="17"/>
                <w:lang w:val="nl-BE"/>
              </w:rPr>
              <w:lastRenderedPageBreak/>
              <w:t>Syed Kamall</w:t>
            </w:r>
            <w:r w:rsidR="00051B20" w:rsidRPr="00614B04">
              <w:rPr>
                <w:i/>
                <w:szCs w:val="17"/>
                <w:lang w:val="nl-BE"/>
              </w:rPr>
              <w:t>, Olle Schmidt, Sharon Bowles, Nils Torvalds, Sirpa Pietikäinen</w:t>
            </w:r>
            <w:r w:rsidR="00614B04" w:rsidRPr="00614B04">
              <w:rPr>
                <w:i/>
                <w:szCs w:val="17"/>
                <w:lang w:val="nl-BE"/>
              </w:rPr>
              <w:t>, Elena Băsescu</w:t>
            </w:r>
            <w:r w:rsidR="00614B04">
              <w:rPr>
                <w:i/>
                <w:szCs w:val="17"/>
                <w:lang w:val="nl-BE"/>
              </w:rPr>
              <w:t xml:space="preserve"> </w:t>
            </w:r>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016271" w:rsidP="002D7584">
            <w:pPr>
              <w:pStyle w:val="CEABullet-Level1"/>
              <w:numPr>
                <w:ilvl w:val="0"/>
                <w:numId w:val="0"/>
              </w:numPr>
              <w:rPr>
                <w:b/>
                <w:i/>
                <w:szCs w:val="17"/>
                <w:lang w:val="en-GB"/>
              </w:rPr>
            </w:pPr>
            <w:r w:rsidRPr="008209CA">
              <w:rPr>
                <w:b/>
                <w:i/>
                <w:szCs w:val="17"/>
                <w:lang w:val="en-GB"/>
              </w:rPr>
              <w:t xml:space="preserve">The </w:t>
            </w:r>
            <w:r w:rsidR="00FC7487" w:rsidRPr="008209CA">
              <w:rPr>
                <w:b/>
                <w:i/>
                <w:szCs w:val="17"/>
                <w:lang w:val="en-GB"/>
              </w:rPr>
              <w:t xml:space="preserve">KID </w:t>
            </w:r>
            <w:r w:rsidR="00051B20" w:rsidRPr="008209CA">
              <w:rPr>
                <w:b/>
                <w:i/>
                <w:szCs w:val="17"/>
                <w:lang w:val="en-GB"/>
              </w:rPr>
              <w:t xml:space="preserve">is a </w:t>
            </w:r>
            <w:r w:rsidR="00051B20" w:rsidRPr="00F54537">
              <w:rPr>
                <w:b/>
                <w:i/>
                <w:szCs w:val="17"/>
                <w:highlight w:val="yellow"/>
                <w:lang w:val="en-GB"/>
              </w:rPr>
              <w:t>standard</w:t>
            </w:r>
            <w:r w:rsidR="00F54537" w:rsidRPr="00F54537">
              <w:rPr>
                <w:b/>
                <w:i/>
                <w:szCs w:val="17"/>
                <w:highlight w:val="yellow"/>
                <w:lang w:val="en-GB"/>
              </w:rPr>
              <w:t>ised</w:t>
            </w:r>
            <w:r w:rsidR="00051B20" w:rsidRPr="008209CA">
              <w:rPr>
                <w:b/>
                <w:i/>
                <w:szCs w:val="17"/>
                <w:lang w:val="en-GB"/>
              </w:rPr>
              <w:t xml:space="preserve"> document providing</w:t>
            </w:r>
            <w:r w:rsidR="00FC7487" w:rsidRPr="008209CA">
              <w:rPr>
                <w:b/>
                <w:i/>
                <w:szCs w:val="17"/>
                <w:lang w:val="en-GB"/>
              </w:rPr>
              <w:t xml:space="preserve"> pre-contractual information</w:t>
            </w:r>
          </w:p>
          <w:p w:rsidR="00FC7487" w:rsidRPr="008209CA" w:rsidRDefault="00051B20" w:rsidP="002D7584">
            <w:pPr>
              <w:pStyle w:val="CEABullet-Level1"/>
              <w:numPr>
                <w:ilvl w:val="0"/>
                <w:numId w:val="0"/>
              </w:numPr>
              <w:rPr>
                <w:szCs w:val="17"/>
                <w:lang w:val="en-GB"/>
              </w:rPr>
            </w:pPr>
            <w:r w:rsidRPr="008209CA">
              <w:rPr>
                <w:szCs w:val="17"/>
                <w:lang w:val="en-GB"/>
              </w:rPr>
              <w:t xml:space="preserve">Firstly, </w:t>
            </w:r>
            <w:r w:rsidR="00FC7487" w:rsidRPr="008209CA">
              <w:rPr>
                <w:szCs w:val="17"/>
                <w:lang w:val="en-GB"/>
              </w:rPr>
              <w:t xml:space="preserve">Insurance Europe welcomes the clarification that the KID constitutes </w:t>
            </w:r>
            <w:r w:rsidR="00FC7487" w:rsidRPr="00F54537">
              <w:rPr>
                <w:szCs w:val="17"/>
                <w:highlight w:val="yellow"/>
                <w:lang w:val="en-GB"/>
              </w:rPr>
              <w:t>standard</w:t>
            </w:r>
            <w:r w:rsidR="00F54537" w:rsidRPr="00F54537">
              <w:rPr>
                <w:szCs w:val="17"/>
                <w:highlight w:val="yellow"/>
                <w:lang w:val="en-GB"/>
              </w:rPr>
              <w:t>ised</w:t>
            </w:r>
            <w:r w:rsidR="00FC7487" w:rsidRPr="008209CA">
              <w:rPr>
                <w:szCs w:val="17"/>
                <w:lang w:val="en-GB"/>
              </w:rPr>
              <w:t xml:space="preserve"> and pre-contractual product information </w:t>
            </w:r>
            <w:r w:rsidRPr="008209CA">
              <w:rPr>
                <w:szCs w:val="17"/>
                <w:lang w:val="en-GB"/>
              </w:rPr>
              <w:t>creating</w:t>
            </w:r>
            <w:r w:rsidR="00FC7487" w:rsidRPr="008209CA">
              <w:rPr>
                <w:szCs w:val="17"/>
                <w:lang w:val="en-GB"/>
              </w:rPr>
              <w:t xml:space="preserve"> legal certainty and </w:t>
            </w:r>
            <w:r w:rsidRPr="008209CA">
              <w:rPr>
                <w:szCs w:val="17"/>
                <w:lang w:val="en-GB"/>
              </w:rPr>
              <w:t>alignment</w:t>
            </w:r>
            <w:r w:rsidR="00FC7487" w:rsidRPr="008209CA">
              <w:rPr>
                <w:szCs w:val="17"/>
                <w:lang w:val="en-GB"/>
              </w:rPr>
              <w:t xml:space="preserve"> with the UCITS directive.</w:t>
            </w:r>
          </w:p>
          <w:p w:rsidR="00FC7487" w:rsidRPr="008209CA" w:rsidRDefault="00FC7487" w:rsidP="002D7584">
            <w:pPr>
              <w:pStyle w:val="CEABullet-Level1"/>
              <w:numPr>
                <w:ilvl w:val="0"/>
                <w:numId w:val="0"/>
              </w:numPr>
              <w:rPr>
                <w:szCs w:val="17"/>
                <w:lang w:val="en-GB"/>
              </w:rPr>
            </w:pPr>
          </w:p>
          <w:p w:rsidR="002D7584" w:rsidRPr="008209CA" w:rsidRDefault="00FF50BE" w:rsidP="00016271">
            <w:pPr>
              <w:pStyle w:val="CEABullet-Level1"/>
              <w:rPr>
                <w:szCs w:val="17"/>
                <w:lang w:val="fr-FR"/>
              </w:rPr>
            </w:pPr>
            <w:r w:rsidRPr="008209CA">
              <w:rPr>
                <w:szCs w:val="17"/>
                <w:lang w:val="fr-FR"/>
              </w:rPr>
              <w:t>Insurance Europe supports AMT117 and AMT246.</w:t>
            </w:r>
          </w:p>
          <w:p w:rsidR="00051B20" w:rsidRPr="008209CA" w:rsidRDefault="00051B20" w:rsidP="00051B20">
            <w:pPr>
              <w:pStyle w:val="CEABullet-Level1"/>
              <w:numPr>
                <w:ilvl w:val="0"/>
                <w:numId w:val="0"/>
              </w:numPr>
              <w:rPr>
                <w:szCs w:val="17"/>
                <w:lang w:val="en-GB"/>
              </w:rPr>
            </w:pPr>
          </w:p>
          <w:p w:rsidR="00051B20" w:rsidRPr="008209CA" w:rsidRDefault="00051B20" w:rsidP="00051B20">
            <w:pPr>
              <w:pStyle w:val="CEABullet-Level1"/>
              <w:numPr>
                <w:ilvl w:val="0"/>
                <w:numId w:val="0"/>
              </w:numPr>
              <w:rPr>
                <w:szCs w:val="17"/>
                <w:lang w:val="en-GB"/>
              </w:rPr>
            </w:pPr>
            <w:r w:rsidRPr="008209CA">
              <w:rPr>
                <w:szCs w:val="17"/>
                <w:lang w:val="en-GB"/>
              </w:rPr>
              <w:t xml:space="preserve">Secondly, Insurance Europe welcomes the amendments recognising that the KID in itself is insufficient to take a purchase decision and that it merely promotes comparability of products. Consumers will need further, especially personalised information, before taking a decision. </w:t>
            </w:r>
          </w:p>
          <w:p w:rsidR="00051B20" w:rsidRPr="008209CA" w:rsidRDefault="00051B20" w:rsidP="00051B20">
            <w:pPr>
              <w:pStyle w:val="CEABullet-Level1"/>
              <w:numPr>
                <w:ilvl w:val="0"/>
                <w:numId w:val="0"/>
              </w:numPr>
              <w:rPr>
                <w:szCs w:val="17"/>
                <w:lang w:val="en-GB"/>
              </w:rPr>
            </w:pPr>
          </w:p>
          <w:p w:rsidR="00051B20" w:rsidRPr="00055795" w:rsidRDefault="00051B20" w:rsidP="00055795">
            <w:pPr>
              <w:pStyle w:val="CEABullet-Level1"/>
              <w:rPr>
                <w:szCs w:val="17"/>
                <w:lang w:val="en-GB"/>
              </w:rPr>
            </w:pPr>
            <w:r w:rsidRPr="008209CA">
              <w:rPr>
                <w:szCs w:val="17"/>
                <w:lang w:val="en-GB"/>
              </w:rPr>
              <w:t>Insurance Europe supports AMT112, AMT257, AMT280</w:t>
            </w:r>
            <w:r w:rsidR="007D4A29">
              <w:rPr>
                <w:szCs w:val="17"/>
                <w:lang w:val="en-GB"/>
              </w:rPr>
              <w:t>-</w:t>
            </w:r>
            <w:r w:rsidRPr="008209CA">
              <w:rPr>
                <w:szCs w:val="17"/>
                <w:lang w:val="en-GB"/>
              </w:rPr>
              <w:t xml:space="preserve">281 and, in the alternative, AMT282, AMT284. Insurance Europe also supports </w:t>
            </w:r>
            <w:r w:rsidR="00525982" w:rsidRPr="008209CA">
              <w:rPr>
                <w:szCs w:val="17"/>
                <w:lang w:val="en-GB"/>
              </w:rPr>
              <w:t xml:space="preserve">AMT253-255, </w:t>
            </w:r>
            <w:r w:rsidRPr="008209CA">
              <w:rPr>
                <w:szCs w:val="17"/>
                <w:lang w:val="en-GB"/>
              </w:rPr>
              <w:t xml:space="preserve">AMT419-420, </w:t>
            </w:r>
            <w:proofErr w:type="gramStart"/>
            <w:r w:rsidRPr="008209CA">
              <w:rPr>
                <w:szCs w:val="17"/>
                <w:lang w:val="en-GB"/>
              </w:rPr>
              <w:t>AMT423</w:t>
            </w:r>
            <w:proofErr w:type="gramEnd"/>
            <w:r w:rsidRPr="008209CA">
              <w:rPr>
                <w:szCs w:val="17"/>
                <w:lang w:val="en-GB"/>
              </w:rPr>
              <w:t>.</w:t>
            </w:r>
          </w:p>
        </w:tc>
      </w:tr>
      <w:tr w:rsidR="00AF64A5" w:rsidRPr="008209CA" w:rsidTr="00055795">
        <w:trPr>
          <w:cantSplit/>
          <w:trHeight w:val="2045"/>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7D4A29">
            <w:pPr>
              <w:spacing w:before="60" w:after="60"/>
              <w:jc w:val="center"/>
              <w:rPr>
                <w:b/>
                <w:szCs w:val="17"/>
                <w:lang w:val="nl-BE"/>
              </w:rPr>
            </w:pPr>
            <w:r w:rsidRPr="008209CA">
              <w:rPr>
                <w:b/>
                <w:szCs w:val="17"/>
                <w:lang w:val="nl-BE"/>
              </w:rPr>
              <w:lastRenderedPageBreak/>
              <w:t>AMT127-136, AMT485-4</w:t>
            </w:r>
            <w:r w:rsidR="007D4A29">
              <w:rPr>
                <w:b/>
                <w:szCs w:val="17"/>
                <w:lang w:val="nl-BE"/>
              </w:rPr>
              <w:t>90</w:t>
            </w:r>
            <w:r w:rsidRPr="008209CA">
              <w:rPr>
                <w:b/>
                <w:szCs w:val="17"/>
                <w:lang w:val="nl-BE"/>
              </w:rPr>
              <w:t>, AMT494-499, AMT500-51</w:t>
            </w:r>
            <w:r w:rsidR="00FF50BE" w:rsidRPr="008209CA">
              <w:rPr>
                <w:b/>
                <w:szCs w:val="17"/>
                <w:lang w:val="nl-BE"/>
              </w:rPr>
              <w:t>1, AMT513</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lang w:val="fr-FR"/>
              </w:rPr>
            </w:pPr>
            <w:proofErr w:type="spellStart"/>
            <w:r w:rsidRPr="008209CA">
              <w:rPr>
                <w:szCs w:val="17"/>
                <w:lang w:val="fr-FR"/>
              </w:rPr>
              <w:t>Recital</w:t>
            </w:r>
            <w:proofErr w:type="spellEnd"/>
            <w:r w:rsidRPr="008209CA">
              <w:rPr>
                <w:szCs w:val="17"/>
                <w:lang w:val="fr-FR"/>
              </w:rPr>
              <w:t xml:space="preserve"> 16, </w:t>
            </w:r>
            <w:proofErr w:type="spellStart"/>
            <w:r w:rsidRPr="008209CA">
              <w:rPr>
                <w:szCs w:val="17"/>
                <w:lang w:val="fr-FR"/>
              </w:rPr>
              <w:t>Recital</w:t>
            </w:r>
            <w:proofErr w:type="spellEnd"/>
            <w:r w:rsidRPr="008209CA">
              <w:rPr>
                <w:szCs w:val="17"/>
                <w:lang w:val="fr-FR"/>
              </w:rPr>
              <w:t xml:space="preserve"> 17, </w:t>
            </w:r>
            <w:proofErr w:type="spellStart"/>
            <w:r w:rsidRPr="008209CA">
              <w:rPr>
                <w:szCs w:val="17"/>
                <w:lang w:val="fr-FR"/>
              </w:rPr>
              <w:t>Recital</w:t>
            </w:r>
            <w:proofErr w:type="spellEnd"/>
            <w:r w:rsidRPr="008209CA">
              <w:rPr>
                <w:szCs w:val="17"/>
                <w:lang w:val="fr-FR"/>
              </w:rPr>
              <w:t xml:space="preserve"> 18, Article 11 – para. 1, Article 11 – para. 2, Article 11 – para. 3</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lang w:val="fr-FR"/>
              </w:rPr>
            </w:pPr>
            <w:proofErr w:type="spellStart"/>
            <w:r w:rsidRPr="008209CA">
              <w:rPr>
                <w:i/>
                <w:szCs w:val="17"/>
                <w:lang w:val="fr-FR"/>
              </w:rPr>
              <w:t>Sirpa</w:t>
            </w:r>
            <w:proofErr w:type="spellEnd"/>
            <w:r w:rsidRPr="008209CA">
              <w:rPr>
                <w:i/>
                <w:szCs w:val="17"/>
                <w:lang w:val="fr-FR"/>
              </w:rPr>
              <w:t xml:space="preserve"> </w:t>
            </w:r>
            <w:proofErr w:type="spellStart"/>
            <w:r w:rsidRPr="008209CA">
              <w:rPr>
                <w:i/>
                <w:szCs w:val="17"/>
                <w:lang w:val="fr-FR"/>
              </w:rPr>
              <w:t>Pietikäinen</w:t>
            </w:r>
            <w:proofErr w:type="spellEnd"/>
            <w:r w:rsidRPr="008209CA">
              <w:rPr>
                <w:i/>
                <w:szCs w:val="17"/>
                <w:lang w:val="fr-FR"/>
              </w:rPr>
              <w:t xml:space="preserve">, Syed </w:t>
            </w:r>
            <w:proofErr w:type="spellStart"/>
            <w:r w:rsidRPr="008209CA">
              <w:rPr>
                <w:i/>
                <w:szCs w:val="17"/>
                <w:lang w:val="fr-FR"/>
              </w:rPr>
              <w:t>Kamall</w:t>
            </w:r>
            <w:proofErr w:type="spellEnd"/>
            <w:r w:rsidRPr="008209CA">
              <w:rPr>
                <w:i/>
                <w:szCs w:val="17"/>
                <w:lang w:val="fr-FR"/>
              </w:rPr>
              <w:t xml:space="preserve">, Wolf </w:t>
            </w:r>
            <w:proofErr w:type="spellStart"/>
            <w:r w:rsidRPr="008209CA">
              <w:rPr>
                <w:i/>
                <w:szCs w:val="17"/>
                <w:lang w:val="fr-FR"/>
              </w:rPr>
              <w:t>Klinz</w:t>
            </w:r>
            <w:proofErr w:type="spellEnd"/>
            <w:r w:rsidRPr="008209CA">
              <w:rPr>
                <w:i/>
                <w:szCs w:val="17"/>
                <w:lang w:val="fr-FR"/>
              </w:rPr>
              <w:t xml:space="preserve">, Sharon </w:t>
            </w:r>
            <w:proofErr w:type="spellStart"/>
            <w:r w:rsidRPr="008209CA">
              <w:rPr>
                <w:i/>
                <w:szCs w:val="17"/>
                <w:lang w:val="fr-FR"/>
              </w:rPr>
              <w:t>Bowles</w:t>
            </w:r>
            <w:proofErr w:type="spellEnd"/>
            <w:r w:rsidRPr="008209CA">
              <w:rPr>
                <w:i/>
                <w:szCs w:val="17"/>
                <w:lang w:val="fr-FR"/>
              </w:rPr>
              <w:t xml:space="preserve">, Jean-Paul </w:t>
            </w:r>
            <w:proofErr w:type="spellStart"/>
            <w:r w:rsidRPr="008209CA">
              <w:rPr>
                <w:i/>
                <w:szCs w:val="17"/>
                <w:lang w:val="fr-FR"/>
              </w:rPr>
              <w:t>Gauzès</w:t>
            </w:r>
            <w:proofErr w:type="spellEnd"/>
            <w:r w:rsidRPr="008209CA">
              <w:rPr>
                <w:i/>
                <w:szCs w:val="17"/>
                <w:lang w:val="fr-FR"/>
              </w:rPr>
              <w:t xml:space="preserve">, Thomas Händel, Olle Schmidt, Alfredo </w:t>
            </w:r>
            <w:proofErr w:type="spellStart"/>
            <w:r w:rsidRPr="008209CA">
              <w:rPr>
                <w:i/>
                <w:szCs w:val="17"/>
                <w:lang w:val="fr-FR"/>
              </w:rPr>
              <w:t>Pallone</w:t>
            </w:r>
            <w:proofErr w:type="spellEnd"/>
            <w:r w:rsidRPr="008209CA">
              <w:rPr>
                <w:i/>
                <w:szCs w:val="17"/>
                <w:lang w:val="fr-FR"/>
              </w:rPr>
              <w:t xml:space="preserve">, Sari </w:t>
            </w:r>
            <w:proofErr w:type="spellStart"/>
            <w:r w:rsidRPr="008209CA">
              <w:rPr>
                <w:i/>
                <w:szCs w:val="17"/>
                <w:lang w:val="fr-FR"/>
              </w:rPr>
              <w:t>Essayah</w:t>
            </w:r>
            <w:proofErr w:type="spellEnd"/>
            <w:r w:rsidRPr="008209CA">
              <w:rPr>
                <w:i/>
                <w:szCs w:val="17"/>
                <w:lang w:val="fr-FR"/>
              </w:rPr>
              <w:t xml:space="preserve">, Werner </w:t>
            </w:r>
            <w:proofErr w:type="spellStart"/>
            <w:r w:rsidRPr="008209CA">
              <w:rPr>
                <w:i/>
                <w:szCs w:val="17"/>
                <w:lang w:val="fr-FR"/>
              </w:rPr>
              <w:t>Langen</w:t>
            </w:r>
            <w:proofErr w:type="spellEnd"/>
            <w:r w:rsidRPr="008209CA">
              <w:rPr>
                <w:i/>
                <w:szCs w:val="17"/>
                <w:lang w:val="fr-FR"/>
              </w:rPr>
              <w:t xml:space="preserve">, Sven </w:t>
            </w:r>
            <w:proofErr w:type="spellStart"/>
            <w:r w:rsidRPr="008209CA">
              <w:rPr>
                <w:i/>
                <w:szCs w:val="17"/>
                <w:lang w:val="fr-FR"/>
              </w:rPr>
              <w:t>Giegold</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t>The KID should be subject to a limited liability regime</w:t>
            </w:r>
          </w:p>
          <w:p w:rsidR="00FC7487" w:rsidRPr="008209CA" w:rsidRDefault="00FC7487" w:rsidP="002D7584">
            <w:pPr>
              <w:pStyle w:val="CEABullet-Level1"/>
              <w:numPr>
                <w:ilvl w:val="0"/>
                <w:numId w:val="0"/>
              </w:numPr>
              <w:rPr>
                <w:szCs w:val="17"/>
                <w:lang w:val="en-GB"/>
              </w:rPr>
            </w:pPr>
            <w:r w:rsidRPr="008209CA">
              <w:rPr>
                <w:szCs w:val="17"/>
                <w:lang w:val="en-GB"/>
              </w:rPr>
              <w:t xml:space="preserve">Insurance Europe welcomes the amendments introducing limited liability, especially the proposed alignment with the UCITS regime. Strict liability is inappropriate for a standardised document serving as a first contact with the consumer who may require further, especially personalised, information before taking a decision. On this basis, Insurance Europe also opposes the amendments strengthening the reversal of the burden of proof. </w:t>
            </w:r>
          </w:p>
          <w:p w:rsidR="00FC7487" w:rsidRPr="008209CA" w:rsidRDefault="00FC7487" w:rsidP="002D7584">
            <w:pPr>
              <w:pStyle w:val="CEABullet-Level1"/>
              <w:numPr>
                <w:ilvl w:val="0"/>
                <w:numId w:val="0"/>
              </w:numPr>
              <w:rPr>
                <w:szCs w:val="17"/>
                <w:lang w:val="en-GB"/>
              </w:rPr>
            </w:pPr>
          </w:p>
          <w:p w:rsidR="00FC7487" w:rsidRPr="008209CA" w:rsidRDefault="00FC7487" w:rsidP="00FF50BE">
            <w:pPr>
              <w:pStyle w:val="CEABullet-Level1"/>
              <w:rPr>
                <w:szCs w:val="17"/>
                <w:lang w:val="en-GB"/>
              </w:rPr>
            </w:pPr>
            <w:r w:rsidRPr="008209CA">
              <w:rPr>
                <w:szCs w:val="17"/>
                <w:lang w:val="en-GB"/>
              </w:rPr>
              <w:t xml:space="preserve">Insurance Europe supports AMT127-AMT133, AMT135-136, AMT485-489, AMT495-498, AMT500-504, </w:t>
            </w:r>
            <w:proofErr w:type="gramStart"/>
            <w:r w:rsidRPr="008209CA">
              <w:rPr>
                <w:szCs w:val="17"/>
                <w:lang w:val="en-GB"/>
              </w:rPr>
              <w:t>AMT508</w:t>
            </w:r>
            <w:proofErr w:type="gramEnd"/>
            <w:r w:rsidRPr="008209CA">
              <w:rPr>
                <w:szCs w:val="17"/>
                <w:lang w:val="en-GB"/>
              </w:rPr>
              <w:t xml:space="preserve">-511 but opposes AMT134, </w:t>
            </w:r>
            <w:r w:rsidR="002D7C22" w:rsidRPr="008209CA">
              <w:rPr>
                <w:szCs w:val="17"/>
                <w:lang w:val="en-GB"/>
              </w:rPr>
              <w:t>AMT490</w:t>
            </w:r>
            <w:r w:rsidRPr="008209CA">
              <w:rPr>
                <w:szCs w:val="17"/>
                <w:lang w:val="en-GB"/>
              </w:rPr>
              <w:t>, AMT494, AMT499, AMT505-507</w:t>
            </w:r>
            <w:r w:rsidR="002D7C22" w:rsidRPr="008209CA">
              <w:rPr>
                <w:szCs w:val="17"/>
                <w:lang w:val="en-GB"/>
              </w:rPr>
              <w:t xml:space="preserve"> and AMT513</w:t>
            </w:r>
            <w:r w:rsidR="00FF50BE" w:rsidRPr="008209CA">
              <w:rPr>
                <w:szCs w:val="17"/>
                <w:lang w:val="en-GB"/>
              </w:rPr>
              <w:t>.</w:t>
            </w:r>
            <w:r w:rsidRPr="008209CA">
              <w:rPr>
                <w:szCs w:val="17"/>
                <w:lang w:val="en-GB"/>
              </w:rPr>
              <w:t xml:space="preserve"> </w:t>
            </w:r>
          </w:p>
        </w:tc>
      </w:tr>
      <w:tr w:rsidR="00AF64A5" w:rsidRPr="008209CA" w:rsidTr="00FF211D">
        <w:tc>
          <w:tcPr>
            <w:tcW w:w="1691" w:type="dxa"/>
            <w:tcBorders>
              <w:top w:val="single" w:sz="4" w:space="0" w:color="auto"/>
              <w:left w:val="single" w:sz="4" w:space="0" w:color="auto"/>
              <w:bottom w:val="single" w:sz="4" w:space="0" w:color="auto"/>
              <w:right w:val="single" w:sz="4" w:space="0" w:color="auto"/>
            </w:tcBorders>
            <w:vAlign w:val="center"/>
          </w:tcPr>
          <w:p w:rsidR="00016271" w:rsidRPr="008209CA" w:rsidRDefault="00FF50BE" w:rsidP="0097707F">
            <w:pPr>
              <w:spacing w:before="60" w:after="60"/>
              <w:jc w:val="center"/>
              <w:rPr>
                <w:b/>
                <w:szCs w:val="17"/>
                <w:lang w:val="nl-BE"/>
              </w:rPr>
            </w:pPr>
            <w:r w:rsidRPr="008209CA">
              <w:rPr>
                <w:b/>
                <w:szCs w:val="17"/>
                <w:lang w:val="nl-BE"/>
              </w:rPr>
              <w:t xml:space="preserve">AMT99-101, AMT104, AMT164, AMT238-239, AMT279, </w:t>
            </w:r>
            <w:r w:rsidR="00491549" w:rsidRPr="008209CA">
              <w:rPr>
                <w:b/>
                <w:szCs w:val="17"/>
                <w:lang w:val="nl-BE"/>
              </w:rPr>
              <w:t xml:space="preserve">AMT286, AMT493, </w:t>
            </w:r>
            <w:r w:rsidRPr="008209CA">
              <w:rPr>
                <w:b/>
                <w:szCs w:val="17"/>
                <w:lang w:val="nl-BE"/>
              </w:rPr>
              <w:t>AMT519-520, AMT579</w:t>
            </w:r>
          </w:p>
        </w:tc>
        <w:tc>
          <w:tcPr>
            <w:tcW w:w="1974" w:type="dxa"/>
            <w:tcBorders>
              <w:top w:val="single" w:sz="4" w:space="0" w:color="auto"/>
              <w:left w:val="single" w:sz="4" w:space="0" w:color="auto"/>
              <w:bottom w:val="single" w:sz="4" w:space="0" w:color="auto"/>
              <w:right w:val="single" w:sz="4" w:space="0" w:color="auto"/>
            </w:tcBorders>
            <w:vAlign w:val="center"/>
          </w:tcPr>
          <w:p w:rsidR="00016271" w:rsidRPr="008209CA" w:rsidRDefault="000E3F8B" w:rsidP="002D7584">
            <w:pPr>
              <w:spacing w:before="60" w:after="60"/>
              <w:jc w:val="center"/>
              <w:rPr>
                <w:szCs w:val="17"/>
                <w:lang w:val="fr-FR"/>
              </w:rPr>
            </w:pPr>
            <w:proofErr w:type="spellStart"/>
            <w:r w:rsidRPr="008209CA">
              <w:rPr>
                <w:szCs w:val="17"/>
                <w:lang w:val="fr-FR"/>
              </w:rPr>
              <w:t>Recital</w:t>
            </w:r>
            <w:proofErr w:type="spellEnd"/>
            <w:r w:rsidRPr="008209CA">
              <w:rPr>
                <w:szCs w:val="17"/>
                <w:lang w:val="fr-FR"/>
              </w:rPr>
              <w:t xml:space="preserve"> 9, </w:t>
            </w:r>
            <w:proofErr w:type="spellStart"/>
            <w:r w:rsidRPr="008209CA">
              <w:rPr>
                <w:szCs w:val="17"/>
                <w:lang w:val="fr-FR"/>
              </w:rPr>
              <w:t>Recital</w:t>
            </w:r>
            <w:proofErr w:type="spellEnd"/>
            <w:r w:rsidRPr="008209CA">
              <w:rPr>
                <w:szCs w:val="17"/>
                <w:lang w:val="fr-FR"/>
              </w:rPr>
              <w:t xml:space="preserve"> 9 a (new), Article 1 – para. 1, Article 5 – para. 1</w:t>
            </w:r>
            <w:r w:rsidR="00491549" w:rsidRPr="008209CA">
              <w:rPr>
                <w:szCs w:val="17"/>
                <w:lang w:val="fr-FR"/>
              </w:rPr>
              <w:t xml:space="preserve">, Article 8 – para. 1 – </w:t>
            </w:r>
            <w:proofErr w:type="spellStart"/>
            <w:r w:rsidR="00491549" w:rsidRPr="008209CA">
              <w:rPr>
                <w:szCs w:val="17"/>
                <w:lang w:val="fr-FR"/>
              </w:rPr>
              <w:t>introductory</w:t>
            </w:r>
            <w:proofErr w:type="spellEnd"/>
            <w:r w:rsidR="00491549" w:rsidRPr="008209CA">
              <w:rPr>
                <w:szCs w:val="17"/>
                <w:lang w:val="fr-FR"/>
              </w:rPr>
              <w:t xml:space="preserve"> part, Article 8 – para. 1 a (new), Article 11 – para. 1, Article 12 – para. 1, Article 14 – para. 1</w:t>
            </w:r>
          </w:p>
        </w:tc>
        <w:tc>
          <w:tcPr>
            <w:tcW w:w="2115" w:type="dxa"/>
            <w:tcBorders>
              <w:top w:val="single" w:sz="4" w:space="0" w:color="auto"/>
              <w:left w:val="single" w:sz="4" w:space="0" w:color="auto"/>
              <w:bottom w:val="single" w:sz="4" w:space="0" w:color="auto"/>
              <w:right w:val="single" w:sz="4" w:space="0" w:color="auto"/>
            </w:tcBorders>
            <w:vAlign w:val="center"/>
          </w:tcPr>
          <w:p w:rsidR="00016271" w:rsidRPr="008209CA" w:rsidRDefault="000E3F8B" w:rsidP="002D7584">
            <w:pPr>
              <w:spacing w:before="60" w:after="60"/>
              <w:jc w:val="center"/>
              <w:rPr>
                <w:i/>
                <w:szCs w:val="17"/>
                <w:lang w:val="fr-FR"/>
              </w:rPr>
            </w:pPr>
            <w:r w:rsidRPr="008209CA">
              <w:rPr>
                <w:i/>
                <w:szCs w:val="17"/>
                <w:lang w:val="fr-FR"/>
              </w:rPr>
              <w:t xml:space="preserve">Petru Constantin </w:t>
            </w:r>
            <w:proofErr w:type="spellStart"/>
            <w:r w:rsidRPr="008209CA">
              <w:rPr>
                <w:i/>
                <w:szCs w:val="17"/>
                <w:lang w:val="fr-FR"/>
              </w:rPr>
              <w:t>Luhan</w:t>
            </w:r>
            <w:proofErr w:type="spellEnd"/>
            <w:r w:rsidRPr="008209CA">
              <w:rPr>
                <w:i/>
                <w:szCs w:val="17"/>
                <w:lang w:val="fr-FR"/>
              </w:rPr>
              <w:t xml:space="preserve">, </w:t>
            </w:r>
            <w:proofErr w:type="spellStart"/>
            <w:r w:rsidRPr="008209CA">
              <w:rPr>
                <w:i/>
                <w:szCs w:val="17"/>
                <w:lang w:val="fr-FR"/>
              </w:rPr>
              <w:t>Corien</w:t>
            </w:r>
            <w:proofErr w:type="spellEnd"/>
            <w:r w:rsidRPr="008209CA">
              <w:rPr>
                <w:i/>
                <w:szCs w:val="17"/>
                <w:lang w:val="fr-FR"/>
              </w:rPr>
              <w:t xml:space="preserve"> </w:t>
            </w:r>
            <w:proofErr w:type="spellStart"/>
            <w:r w:rsidRPr="008209CA">
              <w:rPr>
                <w:i/>
                <w:szCs w:val="17"/>
                <w:lang w:val="fr-FR"/>
              </w:rPr>
              <w:t>Wortmann-Kool</w:t>
            </w:r>
            <w:proofErr w:type="spellEnd"/>
            <w:r w:rsidRPr="008209CA">
              <w:rPr>
                <w:i/>
                <w:szCs w:val="17"/>
                <w:lang w:val="fr-FR"/>
              </w:rPr>
              <w:t xml:space="preserve">, Marianne Thyssen, Petru Constantin </w:t>
            </w:r>
            <w:proofErr w:type="spellStart"/>
            <w:r w:rsidRPr="008209CA">
              <w:rPr>
                <w:i/>
                <w:szCs w:val="17"/>
                <w:lang w:val="fr-FR"/>
              </w:rPr>
              <w:t>Luhan</w:t>
            </w:r>
            <w:proofErr w:type="spellEnd"/>
            <w:r w:rsidRPr="008209CA">
              <w:rPr>
                <w:i/>
                <w:szCs w:val="17"/>
                <w:lang w:val="fr-FR"/>
              </w:rPr>
              <w:t xml:space="preserve">, Sharon </w:t>
            </w:r>
            <w:proofErr w:type="spellStart"/>
            <w:r w:rsidRPr="008209CA">
              <w:rPr>
                <w:i/>
                <w:szCs w:val="17"/>
                <w:lang w:val="fr-FR"/>
              </w:rPr>
              <w:t>Bowles</w:t>
            </w:r>
            <w:proofErr w:type="spellEnd"/>
            <w:r w:rsidR="00491549" w:rsidRPr="008209CA">
              <w:rPr>
                <w:i/>
                <w:szCs w:val="17"/>
                <w:lang w:val="fr-FR"/>
              </w:rPr>
              <w:t xml:space="preserve">, Pervenche </w:t>
            </w:r>
            <w:proofErr w:type="spellStart"/>
            <w:r w:rsidR="00491549" w:rsidRPr="008209CA">
              <w:rPr>
                <w:i/>
                <w:szCs w:val="17"/>
                <w:lang w:val="fr-FR"/>
              </w:rPr>
              <w:t>Berès</w:t>
            </w:r>
            <w:proofErr w:type="spellEnd"/>
          </w:p>
        </w:tc>
        <w:tc>
          <w:tcPr>
            <w:tcW w:w="10153" w:type="dxa"/>
            <w:tcBorders>
              <w:top w:val="single" w:sz="4" w:space="0" w:color="auto"/>
              <w:left w:val="single" w:sz="4" w:space="0" w:color="auto"/>
              <w:bottom w:val="single" w:sz="4" w:space="0" w:color="auto"/>
              <w:right w:val="single" w:sz="4" w:space="0" w:color="auto"/>
            </w:tcBorders>
          </w:tcPr>
          <w:p w:rsidR="00B31991" w:rsidRPr="008209CA" w:rsidRDefault="00B31991" w:rsidP="00016271">
            <w:pPr>
              <w:pStyle w:val="CEABullet-Level1"/>
              <w:numPr>
                <w:ilvl w:val="0"/>
                <w:numId w:val="0"/>
              </w:numPr>
              <w:rPr>
                <w:b/>
                <w:i/>
                <w:szCs w:val="17"/>
                <w:lang w:val="en-GB"/>
              </w:rPr>
            </w:pPr>
            <w:r w:rsidRPr="008209CA">
              <w:rPr>
                <w:b/>
                <w:i/>
                <w:szCs w:val="17"/>
                <w:lang w:val="en-GB"/>
              </w:rPr>
              <w:t>The product manufacturer should be the only party liable for drawing up the KID</w:t>
            </w:r>
          </w:p>
          <w:p w:rsidR="00491549" w:rsidRPr="008209CA" w:rsidRDefault="00016271" w:rsidP="00016271">
            <w:pPr>
              <w:pStyle w:val="CEABullet-Level1"/>
              <w:numPr>
                <w:ilvl w:val="0"/>
                <w:numId w:val="0"/>
              </w:numPr>
              <w:rPr>
                <w:szCs w:val="17"/>
                <w:lang w:val="en-GB"/>
              </w:rPr>
            </w:pPr>
            <w:r w:rsidRPr="008209CA">
              <w:rPr>
                <w:szCs w:val="17"/>
                <w:lang w:val="en-GB"/>
              </w:rPr>
              <w:t>Insurance Europe supports amendments which clarify that the product manufacturer</w:t>
            </w:r>
            <w:r w:rsidR="002D7C22" w:rsidRPr="008209CA">
              <w:rPr>
                <w:szCs w:val="17"/>
                <w:lang w:val="en-GB"/>
              </w:rPr>
              <w:t>, as intended by the EC,</w:t>
            </w:r>
            <w:r w:rsidRPr="008209CA">
              <w:rPr>
                <w:szCs w:val="17"/>
                <w:lang w:val="en-GB"/>
              </w:rPr>
              <w:t xml:space="preserve"> is solely liable for the production of the KID</w:t>
            </w:r>
            <w:r w:rsidR="000E3F8B" w:rsidRPr="008209CA">
              <w:rPr>
                <w:szCs w:val="17"/>
                <w:lang w:val="en-GB"/>
              </w:rPr>
              <w:t xml:space="preserve"> which avoids questions of causality and proof</w:t>
            </w:r>
            <w:r w:rsidRPr="008209CA">
              <w:rPr>
                <w:szCs w:val="17"/>
                <w:lang w:val="en-GB"/>
              </w:rPr>
              <w:t xml:space="preserve">. </w:t>
            </w:r>
            <w:commentRangeStart w:id="11"/>
            <w:r w:rsidR="00CA3B67" w:rsidRPr="008209CA">
              <w:rPr>
                <w:szCs w:val="17"/>
                <w:lang w:val="en-GB"/>
              </w:rPr>
              <w:t>However</w:t>
            </w:r>
            <w:commentRangeEnd w:id="11"/>
            <w:r w:rsidR="006E4EDE" w:rsidRPr="008209CA">
              <w:rPr>
                <w:rStyle w:val="CommentReference"/>
                <w:rFonts w:cs="Times New Roman"/>
                <w:color w:val="auto"/>
                <w:sz w:val="17"/>
                <w:szCs w:val="17"/>
                <w:lang w:val="en-GB"/>
              </w:rPr>
              <w:commentReference w:id="11"/>
            </w:r>
            <w:r w:rsidR="00CA3B67" w:rsidRPr="008209CA">
              <w:rPr>
                <w:szCs w:val="17"/>
                <w:lang w:val="en-GB"/>
              </w:rPr>
              <w:t xml:space="preserve">, </w:t>
            </w:r>
            <w:r w:rsidR="006E4EDE" w:rsidRPr="008209CA">
              <w:rPr>
                <w:szCs w:val="17"/>
                <w:lang w:val="en-GB"/>
              </w:rPr>
              <w:t xml:space="preserve">Insurance Europe remains concerned that the definition of “investment product manufacturer” in Article 4.b ii may still include other parties than the product manufacturer. A product manufacturer should not be held liable for information it did not produce, neither should the seller. </w:t>
            </w:r>
          </w:p>
          <w:p w:rsidR="00491549" w:rsidRPr="008209CA" w:rsidRDefault="00491549" w:rsidP="00016271">
            <w:pPr>
              <w:pStyle w:val="CEABullet-Level1"/>
              <w:numPr>
                <w:ilvl w:val="0"/>
                <w:numId w:val="0"/>
              </w:numPr>
              <w:rPr>
                <w:szCs w:val="17"/>
                <w:lang w:val="en-GB"/>
              </w:rPr>
            </w:pPr>
          </w:p>
          <w:p w:rsidR="00016271" w:rsidRPr="008209CA" w:rsidRDefault="00016271" w:rsidP="007D4A29">
            <w:pPr>
              <w:pStyle w:val="CEABullet-Level1"/>
              <w:rPr>
                <w:b/>
                <w:i/>
                <w:szCs w:val="17"/>
                <w:lang w:val="en-GB"/>
              </w:rPr>
            </w:pPr>
            <w:r w:rsidRPr="008209CA">
              <w:rPr>
                <w:szCs w:val="17"/>
                <w:lang w:val="en-GB"/>
              </w:rPr>
              <w:t>Insurance Europe supports AMT9</w:t>
            </w:r>
            <w:r w:rsidR="0097707F">
              <w:rPr>
                <w:szCs w:val="17"/>
                <w:lang w:val="en-GB"/>
              </w:rPr>
              <w:t>9-</w:t>
            </w:r>
            <w:r w:rsidR="00491549" w:rsidRPr="008209CA">
              <w:rPr>
                <w:szCs w:val="17"/>
                <w:lang w:val="en-GB"/>
              </w:rPr>
              <w:t xml:space="preserve">101, AMT 104, AMT164, </w:t>
            </w:r>
            <w:r w:rsidRPr="008209CA">
              <w:rPr>
                <w:szCs w:val="17"/>
                <w:lang w:val="en-GB"/>
              </w:rPr>
              <w:t xml:space="preserve">AMT238-239, AMT279, AMT286, </w:t>
            </w:r>
            <w:proofErr w:type="gramStart"/>
            <w:r w:rsidRPr="008209CA">
              <w:rPr>
                <w:szCs w:val="17"/>
                <w:lang w:val="en-GB"/>
              </w:rPr>
              <w:t>AMT519</w:t>
            </w:r>
            <w:proofErr w:type="gramEnd"/>
            <w:r w:rsidRPr="008209CA">
              <w:rPr>
                <w:szCs w:val="17"/>
                <w:lang w:val="en-GB"/>
              </w:rPr>
              <w:t xml:space="preserve">-520 but opposes </w:t>
            </w:r>
            <w:r w:rsidR="00491549" w:rsidRPr="008209CA">
              <w:rPr>
                <w:szCs w:val="17"/>
                <w:lang w:val="en-GB"/>
              </w:rPr>
              <w:t>AMT493 and AMT579.</w:t>
            </w:r>
          </w:p>
        </w:tc>
      </w:tr>
      <w:tr w:rsidR="00AF64A5" w:rsidRPr="0097707F" w:rsidTr="004C79D0">
        <w:trPr>
          <w:cantSplit/>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lang w:val="nl-BE"/>
              </w:rPr>
            </w:pPr>
            <w:r w:rsidRPr="008209CA">
              <w:rPr>
                <w:b/>
                <w:szCs w:val="17"/>
                <w:lang w:val="nl-BE"/>
              </w:rPr>
              <w:t>AMT522, AMT525, AMT 542</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lang w:val="fr-FR"/>
              </w:rPr>
            </w:pPr>
            <w:r w:rsidRPr="008209CA">
              <w:rPr>
                <w:szCs w:val="17"/>
                <w:lang w:val="fr-FR"/>
              </w:rPr>
              <w:t>Article 12 – para. 1</w:t>
            </w:r>
            <w:r w:rsidR="0097707F">
              <w:rPr>
                <w:szCs w:val="17"/>
                <w:lang w:val="fr-FR"/>
              </w:rPr>
              <w:t xml:space="preserve"> a</w:t>
            </w:r>
            <w:r w:rsidRPr="008209CA">
              <w:rPr>
                <w:szCs w:val="17"/>
                <w:lang w:val="fr-FR"/>
              </w:rPr>
              <w:t xml:space="preserve"> (new), Article 12 – para. 2 – </w:t>
            </w:r>
            <w:proofErr w:type="spellStart"/>
            <w:r w:rsidRPr="008209CA">
              <w:rPr>
                <w:szCs w:val="17"/>
                <w:lang w:val="fr-FR"/>
              </w:rPr>
              <w:t>introductory</w:t>
            </w:r>
            <w:proofErr w:type="spellEnd"/>
            <w:r w:rsidRPr="008209CA">
              <w:rPr>
                <w:szCs w:val="17"/>
                <w:lang w:val="fr-FR"/>
              </w:rPr>
              <w:t xml:space="preserve"> part, Article 12 – para. 3</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lang w:val="fr-FR"/>
              </w:rPr>
            </w:pPr>
            <w:r w:rsidRPr="008209CA">
              <w:rPr>
                <w:i/>
                <w:szCs w:val="17"/>
                <w:lang w:val="fr-FR"/>
              </w:rPr>
              <w:t xml:space="preserve">Sharon </w:t>
            </w:r>
            <w:proofErr w:type="spellStart"/>
            <w:r w:rsidRPr="008209CA">
              <w:rPr>
                <w:i/>
                <w:szCs w:val="17"/>
                <w:lang w:val="fr-FR"/>
              </w:rPr>
              <w:t>Bowles</w:t>
            </w:r>
            <w:proofErr w:type="spellEnd"/>
            <w:r w:rsidRPr="008209CA">
              <w:rPr>
                <w:i/>
                <w:szCs w:val="17"/>
                <w:lang w:val="fr-FR"/>
              </w:rPr>
              <w:t xml:space="preserve">, Syed </w:t>
            </w:r>
            <w:proofErr w:type="spellStart"/>
            <w:r w:rsidRPr="008209CA">
              <w:rPr>
                <w:i/>
                <w:szCs w:val="17"/>
                <w:lang w:val="fr-FR"/>
              </w:rPr>
              <w:t>Kamall</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0830F0" w:rsidP="002D7584">
            <w:pPr>
              <w:pStyle w:val="CEABullet-Level1"/>
              <w:numPr>
                <w:ilvl w:val="0"/>
                <w:numId w:val="0"/>
              </w:numPr>
              <w:rPr>
                <w:b/>
                <w:i/>
                <w:szCs w:val="17"/>
                <w:lang w:val="en-GB"/>
              </w:rPr>
            </w:pPr>
            <w:r>
              <w:rPr>
                <w:b/>
                <w:i/>
                <w:szCs w:val="17"/>
                <w:lang w:val="en-GB"/>
              </w:rPr>
              <w:t>No separate authorisation is required for the seller to distribute the KID</w:t>
            </w:r>
          </w:p>
          <w:p w:rsidR="00FC7487" w:rsidRPr="008209CA" w:rsidRDefault="00FC7487" w:rsidP="002D7584">
            <w:pPr>
              <w:pStyle w:val="CEABullet-Level1"/>
              <w:numPr>
                <w:ilvl w:val="0"/>
                <w:numId w:val="0"/>
              </w:numPr>
              <w:rPr>
                <w:szCs w:val="17"/>
                <w:lang w:val="en-GB"/>
              </w:rPr>
            </w:pPr>
            <w:r w:rsidRPr="008209CA">
              <w:rPr>
                <w:szCs w:val="17"/>
                <w:lang w:val="en-GB"/>
              </w:rPr>
              <w:t xml:space="preserve">Insurance </w:t>
            </w:r>
            <w:r w:rsidR="002D7C22" w:rsidRPr="008209CA">
              <w:rPr>
                <w:szCs w:val="17"/>
                <w:lang w:val="en-GB"/>
              </w:rPr>
              <w:t xml:space="preserve">Europe opposes amendments requiring that the seller receives permission from the product manufacturer to distribute the KID. No separate permission is required as this is inherent in the manufacturer-seller relationship. </w:t>
            </w:r>
          </w:p>
          <w:p w:rsidR="00FC7487" w:rsidRPr="008209CA" w:rsidRDefault="00FC7487" w:rsidP="002D7584">
            <w:pPr>
              <w:pStyle w:val="CEABullet-Level1"/>
              <w:numPr>
                <w:ilvl w:val="0"/>
                <w:numId w:val="0"/>
              </w:numPr>
              <w:rPr>
                <w:szCs w:val="17"/>
                <w:lang w:val="en-GB"/>
              </w:rPr>
            </w:pPr>
          </w:p>
          <w:p w:rsidR="00FC7487" w:rsidRPr="008209CA" w:rsidRDefault="00FC7487" w:rsidP="002D7C22">
            <w:pPr>
              <w:pStyle w:val="CEABullet-Level1"/>
              <w:rPr>
                <w:szCs w:val="17"/>
                <w:lang w:val="fr-FR"/>
              </w:rPr>
            </w:pPr>
            <w:r w:rsidRPr="008209CA">
              <w:rPr>
                <w:szCs w:val="17"/>
                <w:lang w:val="fr-FR"/>
              </w:rPr>
              <w:t xml:space="preserve">Insurance Europe </w:t>
            </w:r>
            <w:r w:rsidR="002D7C22" w:rsidRPr="008209CA">
              <w:rPr>
                <w:szCs w:val="17"/>
                <w:lang w:val="fr-FR"/>
              </w:rPr>
              <w:t xml:space="preserve">opposes </w:t>
            </w:r>
            <w:r w:rsidRPr="008209CA">
              <w:rPr>
                <w:szCs w:val="17"/>
                <w:lang w:val="fr-FR"/>
              </w:rPr>
              <w:t>AMT522, AMT525, AMT542.</w:t>
            </w:r>
          </w:p>
        </w:tc>
      </w:tr>
      <w:tr w:rsidR="00AF64A5" w:rsidRPr="00F54537" w:rsidTr="00D8396B">
        <w:trPr>
          <w:cantSplit/>
          <w:trHeight w:val="20"/>
        </w:trPr>
        <w:tc>
          <w:tcPr>
            <w:tcW w:w="1593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7487" w:rsidRPr="00F54537" w:rsidRDefault="00FC7487" w:rsidP="00F54537">
            <w:pPr>
              <w:pStyle w:val="CEABullet-Level1"/>
              <w:numPr>
                <w:ilvl w:val="1"/>
                <w:numId w:val="44"/>
              </w:numPr>
              <w:jc w:val="left"/>
              <w:rPr>
                <w:b/>
                <w:i/>
                <w:sz w:val="20"/>
                <w:lang w:val="en-GB"/>
              </w:rPr>
            </w:pPr>
            <w:r w:rsidRPr="00F54537">
              <w:rPr>
                <w:b/>
                <w:i/>
                <w:sz w:val="20"/>
                <w:highlight w:val="yellow"/>
                <w:lang w:val="en-GB"/>
              </w:rPr>
              <w:t>Sanctions</w:t>
            </w:r>
          </w:p>
        </w:tc>
      </w:tr>
      <w:tr w:rsidR="00AF64A5" w:rsidRPr="008209CA" w:rsidTr="00DC18B5">
        <w:trPr>
          <w:cantSplit/>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rPr>
            </w:pPr>
            <w:r w:rsidRPr="008209CA">
              <w:rPr>
                <w:b/>
                <w:szCs w:val="17"/>
              </w:rPr>
              <w:lastRenderedPageBreak/>
              <w:t>AMT126</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rPr>
            </w:pPr>
            <w:r w:rsidRPr="008209CA">
              <w:rPr>
                <w:szCs w:val="17"/>
              </w:rPr>
              <w:t>Recital 16</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 xml:space="preserve">Elena </w:t>
            </w:r>
            <w:proofErr w:type="spellStart"/>
            <w:r w:rsidRPr="008209CA">
              <w:rPr>
                <w:i/>
                <w:szCs w:val="17"/>
              </w:rPr>
              <w:t>Băsescu</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B31991" w:rsidP="002D7584">
            <w:pPr>
              <w:pStyle w:val="CEABullet-Level1"/>
              <w:numPr>
                <w:ilvl w:val="0"/>
                <w:numId w:val="0"/>
              </w:numPr>
              <w:rPr>
                <w:b/>
                <w:i/>
                <w:szCs w:val="17"/>
                <w:lang w:val="en-GB"/>
              </w:rPr>
            </w:pPr>
            <w:r w:rsidRPr="008209CA">
              <w:rPr>
                <w:b/>
                <w:i/>
                <w:szCs w:val="17"/>
                <w:lang w:val="en-GB"/>
              </w:rPr>
              <w:t>The PRIPs regulation should respect the subsidiarity and proportionality principle</w:t>
            </w:r>
          </w:p>
          <w:p w:rsidR="00FC7487" w:rsidRPr="008209CA" w:rsidRDefault="00FC7487" w:rsidP="002D7584">
            <w:pPr>
              <w:pStyle w:val="CEABullet-Level1"/>
              <w:numPr>
                <w:ilvl w:val="0"/>
                <w:numId w:val="0"/>
              </w:numPr>
              <w:rPr>
                <w:szCs w:val="17"/>
                <w:lang w:val="en-GB"/>
              </w:rPr>
            </w:pPr>
            <w:r w:rsidRPr="008209CA">
              <w:rPr>
                <w:szCs w:val="17"/>
                <w:lang w:val="en-GB"/>
              </w:rPr>
              <w:t>Insurance Europe opposes introducing sanctions at European level given they are already dealt with at national level and therefore the subsidiarity and proportionality principle are not respected. Moreover, sanctions provided in Solvency II already apply to insurers and there is therefore no need for alternative provisions. As a minimum, the sanctions should include procedural safeguards and due process rules. Especially the product ban and publication can be misunderstood by the public and affect the entire industry. Therefore, the publication should be an ultimate measure subject to all pre-conditions other PRIPs sanctions are subjected to and supervisory authorities should be able to decide not to publish a sanction.</w:t>
            </w:r>
          </w:p>
          <w:p w:rsidR="00FC7487" w:rsidRPr="008209CA" w:rsidRDefault="00FC7487" w:rsidP="002D7584">
            <w:pPr>
              <w:pStyle w:val="CEABullet-Level1"/>
              <w:numPr>
                <w:ilvl w:val="0"/>
                <w:numId w:val="0"/>
              </w:numPr>
              <w:rPr>
                <w:szCs w:val="17"/>
                <w:lang w:val="en-GB"/>
              </w:rPr>
            </w:pPr>
          </w:p>
          <w:p w:rsidR="00FC7487" w:rsidRPr="008209CA" w:rsidRDefault="00FC7487" w:rsidP="002D7584">
            <w:pPr>
              <w:pStyle w:val="CEABullet-Level1"/>
              <w:rPr>
                <w:szCs w:val="17"/>
                <w:lang w:val="en-GB"/>
              </w:rPr>
            </w:pPr>
            <w:r w:rsidRPr="008209CA">
              <w:rPr>
                <w:szCs w:val="17"/>
                <w:lang w:val="en-GB"/>
              </w:rPr>
              <w:t>Insurance Europe opposes AMT126</w:t>
            </w:r>
          </w:p>
        </w:tc>
      </w:tr>
      <w:tr w:rsidR="00AF64A5" w:rsidRPr="008209CA" w:rsidTr="00DC18B5">
        <w:trPr>
          <w:cantSplit/>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lang w:val="fr-FR"/>
              </w:rPr>
            </w:pPr>
            <w:r w:rsidRPr="008209CA">
              <w:rPr>
                <w:b/>
                <w:szCs w:val="17"/>
                <w:lang w:val="fr-FR"/>
              </w:rPr>
              <w:t>AMT152, AMT654-655</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rPr>
            </w:pPr>
            <w:r w:rsidRPr="008209CA">
              <w:rPr>
                <w:szCs w:val="17"/>
              </w:rPr>
              <w:t xml:space="preserve">Recital 24, Article 22 – </w:t>
            </w:r>
            <w:proofErr w:type="spellStart"/>
            <w:r w:rsidRPr="008209CA">
              <w:rPr>
                <w:szCs w:val="17"/>
              </w:rPr>
              <w:t>para</w:t>
            </w:r>
            <w:proofErr w:type="spellEnd"/>
            <w:r w:rsidRPr="008209CA">
              <w:rPr>
                <w:szCs w:val="17"/>
              </w:rPr>
              <w:t>. 2</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 xml:space="preserve">Sharon Bowles, </w:t>
            </w:r>
            <w:proofErr w:type="spellStart"/>
            <w:r w:rsidRPr="008209CA">
              <w:rPr>
                <w:i/>
                <w:szCs w:val="17"/>
              </w:rPr>
              <w:t>Burkhard</w:t>
            </w:r>
            <w:proofErr w:type="spellEnd"/>
            <w:r w:rsidRPr="008209CA">
              <w:rPr>
                <w:i/>
                <w:szCs w:val="17"/>
              </w:rPr>
              <w:t xml:space="preserve"> </w:t>
            </w:r>
            <w:proofErr w:type="spellStart"/>
            <w:r w:rsidRPr="008209CA">
              <w:rPr>
                <w:i/>
                <w:szCs w:val="17"/>
              </w:rPr>
              <w:t>Balz</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t>Procedural safeguards required for publication of sanctions</w:t>
            </w:r>
          </w:p>
          <w:p w:rsidR="00FC7487" w:rsidRPr="008209CA" w:rsidRDefault="00FC7487" w:rsidP="002D7584">
            <w:pPr>
              <w:pStyle w:val="CEABullet-Level1"/>
              <w:numPr>
                <w:ilvl w:val="0"/>
                <w:numId w:val="0"/>
              </w:numPr>
              <w:rPr>
                <w:szCs w:val="17"/>
                <w:lang w:val="en-GB"/>
              </w:rPr>
            </w:pPr>
            <w:r w:rsidRPr="008209CA">
              <w:rPr>
                <w:szCs w:val="17"/>
                <w:lang w:val="en-GB"/>
              </w:rPr>
              <w:t xml:space="preserve">Insurance Europe supports that sanctions should not always be published. Publication can be misunderstood by the public and affect the entire industry. Anonymous publication can also disproportionately affect product manufacturers who have not committed any infringement </w:t>
            </w:r>
            <w:r w:rsidR="008C77A4" w:rsidRPr="008209CA">
              <w:rPr>
                <w:szCs w:val="17"/>
                <w:lang w:val="en-GB"/>
              </w:rPr>
              <w:t>and</w:t>
            </w:r>
            <w:r w:rsidRPr="008209CA">
              <w:rPr>
                <w:szCs w:val="17"/>
                <w:lang w:val="en-GB"/>
              </w:rPr>
              <w:t xml:space="preserve"> may unnecessarily alarm consumers. Publication should therefore be an ultimate measure subject to all pre-conditions other PRIPs sanctions are subjected to. </w:t>
            </w:r>
          </w:p>
          <w:p w:rsidR="00FC7487" w:rsidRPr="008209CA" w:rsidRDefault="00FC7487" w:rsidP="002D7584">
            <w:pPr>
              <w:pStyle w:val="CEABullet-Level1"/>
              <w:numPr>
                <w:ilvl w:val="0"/>
                <w:numId w:val="0"/>
              </w:numPr>
              <w:rPr>
                <w:szCs w:val="17"/>
                <w:lang w:val="en-GB"/>
              </w:rPr>
            </w:pPr>
          </w:p>
          <w:p w:rsidR="00FC7487" w:rsidRPr="008209CA" w:rsidRDefault="00FC7487" w:rsidP="002D7584">
            <w:pPr>
              <w:pStyle w:val="CEABullet-Level1"/>
              <w:rPr>
                <w:szCs w:val="17"/>
                <w:lang w:val="fr-FR"/>
              </w:rPr>
            </w:pPr>
            <w:r w:rsidRPr="008209CA">
              <w:rPr>
                <w:szCs w:val="17"/>
                <w:lang w:val="fr-FR"/>
              </w:rPr>
              <w:t>Insurance Europe supports AMT152 and AMT654-655.</w:t>
            </w:r>
          </w:p>
        </w:tc>
      </w:tr>
      <w:tr w:rsidR="00AF64A5" w:rsidRPr="008209CA" w:rsidTr="00FF211D">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lang w:val="fr-FR"/>
              </w:rPr>
            </w:pPr>
            <w:r w:rsidRPr="008209CA">
              <w:rPr>
                <w:b/>
                <w:szCs w:val="17"/>
                <w:lang w:val="fr-FR"/>
              </w:rPr>
              <w:t>AMT492</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97707F">
            <w:pPr>
              <w:spacing w:before="60" w:after="60"/>
              <w:jc w:val="center"/>
              <w:rPr>
                <w:szCs w:val="17"/>
              </w:rPr>
            </w:pPr>
            <w:r w:rsidRPr="008209CA">
              <w:rPr>
                <w:szCs w:val="17"/>
              </w:rPr>
              <w:t xml:space="preserve">Article 11 – </w:t>
            </w:r>
            <w:proofErr w:type="spellStart"/>
            <w:r w:rsidRPr="008209CA">
              <w:rPr>
                <w:szCs w:val="17"/>
              </w:rPr>
              <w:t>para</w:t>
            </w:r>
            <w:proofErr w:type="spellEnd"/>
            <w:r w:rsidRPr="008209CA">
              <w:rPr>
                <w:szCs w:val="17"/>
              </w:rPr>
              <w:t xml:space="preserve">. </w:t>
            </w:r>
            <w:r w:rsidR="0097707F">
              <w:rPr>
                <w:szCs w:val="17"/>
              </w:rPr>
              <w:t>1</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 xml:space="preserve">Thomas </w:t>
            </w:r>
            <w:proofErr w:type="spellStart"/>
            <w:r w:rsidRPr="008209CA">
              <w:rPr>
                <w:i/>
                <w:szCs w:val="17"/>
              </w:rPr>
              <w:t>Händel</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t>Sanctions should be proportionate</w:t>
            </w:r>
          </w:p>
          <w:p w:rsidR="00FC7487" w:rsidRPr="008209CA" w:rsidRDefault="00FC7487" w:rsidP="002D7584">
            <w:pPr>
              <w:pStyle w:val="CEABullet-Level1"/>
              <w:numPr>
                <w:ilvl w:val="0"/>
                <w:numId w:val="0"/>
              </w:numPr>
              <w:rPr>
                <w:szCs w:val="17"/>
                <w:lang w:val="en-GB"/>
              </w:rPr>
            </w:pPr>
            <w:r w:rsidRPr="008209CA">
              <w:rPr>
                <w:szCs w:val="17"/>
                <w:lang w:val="en-GB"/>
              </w:rPr>
              <w:t xml:space="preserve">Insurance Europe opposes introducing an additional sanction, </w:t>
            </w:r>
            <w:proofErr w:type="spellStart"/>
            <w:r w:rsidRPr="008209CA">
              <w:rPr>
                <w:szCs w:val="17"/>
                <w:lang w:val="en-GB"/>
              </w:rPr>
              <w:t>ie</w:t>
            </w:r>
            <w:proofErr w:type="spellEnd"/>
            <w:r w:rsidRPr="008209CA">
              <w:rPr>
                <w:szCs w:val="17"/>
                <w:lang w:val="en-GB"/>
              </w:rPr>
              <w:t xml:space="preserve"> the return of the investment product and refunding of the purchase price. Such sanction is disproportionate and could significantly affect companies. </w:t>
            </w:r>
          </w:p>
          <w:p w:rsidR="00FC7487" w:rsidRPr="008209CA" w:rsidRDefault="00FC7487" w:rsidP="002D7584">
            <w:pPr>
              <w:pStyle w:val="CEABullet-Level1"/>
              <w:numPr>
                <w:ilvl w:val="0"/>
                <w:numId w:val="0"/>
              </w:numPr>
              <w:rPr>
                <w:szCs w:val="17"/>
                <w:lang w:val="en-GB"/>
              </w:rPr>
            </w:pPr>
          </w:p>
          <w:p w:rsidR="00FC7487" w:rsidRPr="008209CA" w:rsidRDefault="00FC7487" w:rsidP="002D7584">
            <w:pPr>
              <w:pStyle w:val="CEABullet-Level1"/>
              <w:rPr>
                <w:szCs w:val="17"/>
                <w:lang w:val="en-GB"/>
              </w:rPr>
            </w:pPr>
            <w:r w:rsidRPr="008209CA">
              <w:rPr>
                <w:szCs w:val="17"/>
                <w:lang w:val="en-GB"/>
              </w:rPr>
              <w:t>Insurance Europe opposes AMT492.</w:t>
            </w:r>
          </w:p>
        </w:tc>
      </w:tr>
      <w:tr w:rsidR="00AF64A5" w:rsidRPr="008209CA" w:rsidTr="00DC18B5">
        <w:trPr>
          <w:cantSplit/>
        </w:trPr>
        <w:tc>
          <w:tcPr>
            <w:tcW w:w="1691" w:type="dxa"/>
            <w:tcBorders>
              <w:top w:val="single" w:sz="4" w:space="0" w:color="auto"/>
              <w:left w:val="single" w:sz="4" w:space="0" w:color="auto"/>
              <w:bottom w:val="single" w:sz="4" w:space="0" w:color="auto"/>
              <w:right w:val="single" w:sz="4" w:space="0" w:color="auto"/>
            </w:tcBorders>
            <w:vAlign w:val="center"/>
          </w:tcPr>
          <w:p w:rsidR="00CA3B67" w:rsidRPr="008209CA" w:rsidRDefault="00CA3B67" w:rsidP="002D7584">
            <w:pPr>
              <w:spacing w:before="60" w:after="60"/>
              <w:jc w:val="center"/>
              <w:rPr>
                <w:b/>
                <w:szCs w:val="17"/>
                <w:lang w:val="fr-FR"/>
              </w:rPr>
            </w:pPr>
            <w:r w:rsidRPr="008209CA">
              <w:rPr>
                <w:b/>
                <w:szCs w:val="17"/>
                <w:lang w:val="fr-FR"/>
              </w:rPr>
              <w:t>AMT63</w:t>
            </w:r>
            <w:r w:rsidR="00C251DA" w:rsidRPr="008209CA">
              <w:rPr>
                <w:b/>
                <w:szCs w:val="17"/>
                <w:lang w:val="fr-FR"/>
              </w:rPr>
              <w:t>8-</w:t>
            </w:r>
            <w:r w:rsidRPr="008209CA">
              <w:rPr>
                <w:b/>
                <w:szCs w:val="17"/>
                <w:lang w:val="fr-FR"/>
              </w:rPr>
              <w:t>639</w:t>
            </w:r>
          </w:p>
        </w:tc>
        <w:tc>
          <w:tcPr>
            <w:tcW w:w="1974" w:type="dxa"/>
            <w:tcBorders>
              <w:top w:val="single" w:sz="4" w:space="0" w:color="auto"/>
              <w:left w:val="single" w:sz="4" w:space="0" w:color="auto"/>
              <w:bottom w:val="single" w:sz="4" w:space="0" w:color="auto"/>
              <w:right w:val="single" w:sz="4" w:space="0" w:color="auto"/>
            </w:tcBorders>
            <w:vAlign w:val="center"/>
          </w:tcPr>
          <w:p w:rsidR="00CA3B67" w:rsidRPr="0097707F" w:rsidRDefault="00CA3B67" w:rsidP="002D7584">
            <w:pPr>
              <w:spacing w:before="60" w:after="60"/>
              <w:jc w:val="center"/>
              <w:rPr>
                <w:szCs w:val="17"/>
                <w:lang w:val="fr-FR"/>
              </w:rPr>
            </w:pPr>
            <w:r w:rsidRPr="0097707F">
              <w:rPr>
                <w:szCs w:val="17"/>
                <w:lang w:val="fr-FR"/>
              </w:rPr>
              <w:t>Article 19 – para.2</w:t>
            </w:r>
            <w:r w:rsidR="0097707F" w:rsidRPr="0097707F">
              <w:rPr>
                <w:szCs w:val="17"/>
                <w:lang w:val="fr-FR"/>
              </w:rPr>
              <w:t xml:space="preserve"> point d a </w:t>
            </w:r>
            <w:r w:rsidR="0097707F">
              <w:rPr>
                <w:szCs w:val="17"/>
                <w:lang w:val="fr-FR"/>
              </w:rPr>
              <w:t>(</w:t>
            </w:r>
            <w:r w:rsidR="0097707F" w:rsidRPr="0097707F">
              <w:rPr>
                <w:szCs w:val="17"/>
                <w:lang w:val="fr-FR"/>
              </w:rPr>
              <w:t>new</w:t>
            </w:r>
            <w:r w:rsidR="0097707F">
              <w:rPr>
                <w:szCs w:val="17"/>
                <w:lang w:val="fr-FR"/>
              </w:rPr>
              <w:t>)</w:t>
            </w:r>
            <w:r w:rsidR="0097707F" w:rsidRPr="0097707F">
              <w:rPr>
                <w:szCs w:val="17"/>
                <w:lang w:val="fr-FR"/>
              </w:rPr>
              <w:t xml:space="preserve">, Article 19 – para.2 point d b </w:t>
            </w:r>
            <w:r w:rsidR="0097707F">
              <w:rPr>
                <w:szCs w:val="17"/>
                <w:lang w:val="fr-FR"/>
              </w:rPr>
              <w:t>(</w:t>
            </w:r>
            <w:r w:rsidR="0097707F" w:rsidRPr="0097707F">
              <w:rPr>
                <w:szCs w:val="17"/>
                <w:lang w:val="fr-FR"/>
              </w:rPr>
              <w:t>new</w:t>
            </w:r>
            <w:r w:rsidR="0097707F">
              <w:rPr>
                <w:szCs w:val="17"/>
                <w:lang w:val="fr-FR"/>
              </w:rPr>
              <w:t>)</w:t>
            </w:r>
          </w:p>
        </w:tc>
        <w:tc>
          <w:tcPr>
            <w:tcW w:w="2115" w:type="dxa"/>
            <w:tcBorders>
              <w:top w:val="single" w:sz="4" w:space="0" w:color="auto"/>
              <w:left w:val="single" w:sz="4" w:space="0" w:color="auto"/>
              <w:bottom w:val="single" w:sz="4" w:space="0" w:color="auto"/>
              <w:right w:val="single" w:sz="4" w:space="0" w:color="auto"/>
            </w:tcBorders>
            <w:vAlign w:val="center"/>
          </w:tcPr>
          <w:p w:rsidR="00CA3B67" w:rsidRPr="008209CA" w:rsidRDefault="00CA3B67" w:rsidP="002D7584">
            <w:pPr>
              <w:spacing w:before="60" w:after="60"/>
              <w:jc w:val="center"/>
              <w:rPr>
                <w:i/>
                <w:szCs w:val="17"/>
              </w:rPr>
            </w:pPr>
            <w:r w:rsidRPr="008209CA">
              <w:rPr>
                <w:i/>
                <w:szCs w:val="17"/>
              </w:rPr>
              <w:t xml:space="preserve">Sylvie </w:t>
            </w:r>
            <w:proofErr w:type="spellStart"/>
            <w:r w:rsidRPr="008209CA">
              <w:rPr>
                <w:i/>
                <w:szCs w:val="17"/>
              </w:rPr>
              <w:t>Goulard</w:t>
            </w:r>
            <w:proofErr w:type="spellEnd"/>
          </w:p>
        </w:tc>
        <w:tc>
          <w:tcPr>
            <w:tcW w:w="10153" w:type="dxa"/>
            <w:tcBorders>
              <w:top w:val="single" w:sz="4" w:space="0" w:color="auto"/>
              <w:left w:val="single" w:sz="4" w:space="0" w:color="auto"/>
              <w:bottom w:val="single" w:sz="4" w:space="0" w:color="auto"/>
              <w:right w:val="single" w:sz="4" w:space="0" w:color="auto"/>
            </w:tcBorders>
          </w:tcPr>
          <w:p w:rsidR="00CA3B67" w:rsidRPr="008209CA" w:rsidRDefault="00CA3B67" w:rsidP="002D7584">
            <w:pPr>
              <w:pStyle w:val="CEABullet-Level1"/>
              <w:numPr>
                <w:ilvl w:val="0"/>
                <w:numId w:val="0"/>
              </w:numPr>
              <w:rPr>
                <w:b/>
                <w:i/>
                <w:szCs w:val="17"/>
                <w:lang w:val="en-GB"/>
              </w:rPr>
            </w:pPr>
            <w:r w:rsidRPr="008209CA">
              <w:rPr>
                <w:b/>
                <w:i/>
                <w:szCs w:val="17"/>
                <w:lang w:val="en-GB"/>
              </w:rPr>
              <w:t>The amount of pecuniary sanctions should be limited</w:t>
            </w:r>
          </w:p>
          <w:p w:rsidR="00CA3B67" w:rsidRPr="008209CA" w:rsidRDefault="00CA3B67" w:rsidP="002D7584">
            <w:pPr>
              <w:pStyle w:val="CEABullet-Level1"/>
              <w:numPr>
                <w:ilvl w:val="0"/>
                <w:numId w:val="0"/>
              </w:numPr>
              <w:rPr>
                <w:szCs w:val="17"/>
                <w:lang w:val="en-GB"/>
              </w:rPr>
            </w:pPr>
            <w:r w:rsidRPr="008209CA">
              <w:rPr>
                <w:szCs w:val="17"/>
                <w:lang w:val="en-GB"/>
              </w:rPr>
              <w:t xml:space="preserve">Insurance Europe opposes the proposed levels of pecuniary sanctions, </w:t>
            </w:r>
            <w:proofErr w:type="spellStart"/>
            <w:r w:rsidRPr="008209CA">
              <w:rPr>
                <w:szCs w:val="17"/>
                <w:lang w:val="en-GB"/>
              </w:rPr>
              <w:t>ie</w:t>
            </w:r>
            <w:proofErr w:type="spellEnd"/>
            <w:r w:rsidRPr="008209CA">
              <w:rPr>
                <w:szCs w:val="17"/>
                <w:lang w:val="en-GB"/>
              </w:rPr>
              <w:t xml:space="preserve"> 10% of turnover for legal persons and </w:t>
            </w:r>
            <w:r w:rsidR="00C251DA" w:rsidRPr="008209CA">
              <w:rPr>
                <w:szCs w:val="17"/>
                <w:lang w:val="en-GB"/>
              </w:rPr>
              <w:t xml:space="preserve">€50 million for natural persons because these levels are disproportionate and could significantly affect companies. </w:t>
            </w:r>
          </w:p>
          <w:p w:rsidR="00C251DA" w:rsidRPr="008209CA" w:rsidRDefault="00C251DA" w:rsidP="002D7584">
            <w:pPr>
              <w:pStyle w:val="CEABullet-Level1"/>
              <w:numPr>
                <w:ilvl w:val="0"/>
                <w:numId w:val="0"/>
              </w:numPr>
              <w:rPr>
                <w:b/>
                <w:i/>
                <w:szCs w:val="17"/>
                <w:lang w:val="en-GB"/>
              </w:rPr>
            </w:pPr>
          </w:p>
          <w:p w:rsidR="00C251DA" w:rsidRPr="008209CA" w:rsidRDefault="00C251DA" w:rsidP="00C251DA">
            <w:pPr>
              <w:pStyle w:val="CEABullet-Level1"/>
              <w:rPr>
                <w:szCs w:val="17"/>
                <w:lang w:val="en-GB"/>
              </w:rPr>
            </w:pPr>
            <w:r w:rsidRPr="008209CA">
              <w:rPr>
                <w:szCs w:val="17"/>
                <w:lang w:val="en-GB"/>
              </w:rPr>
              <w:t>Insurance Europe opposes AMT638-639.</w:t>
            </w:r>
          </w:p>
        </w:tc>
      </w:tr>
      <w:tr w:rsidR="00AF64A5" w:rsidRPr="00F54537" w:rsidTr="00D8396B">
        <w:trPr>
          <w:cantSplit/>
          <w:trHeight w:val="20"/>
        </w:trPr>
        <w:tc>
          <w:tcPr>
            <w:tcW w:w="1593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7487" w:rsidRPr="00F54537" w:rsidRDefault="00FC7487" w:rsidP="00F54537">
            <w:pPr>
              <w:pStyle w:val="CEABullet-Level1"/>
              <w:numPr>
                <w:ilvl w:val="1"/>
                <w:numId w:val="44"/>
              </w:numPr>
              <w:jc w:val="left"/>
              <w:rPr>
                <w:b/>
                <w:i/>
                <w:sz w:val="20"/>
                <w:lang w:val="en-GB"/>
              </w:rPr>
            </w:pPr>
            <w:r w:rsidRPr="00F54537">
              <w:rPr>
                <w:b/>
                <w:i/>
                <w:sz w:val="20"/>
                <w:highlight w:val="yellow"/>
                <w:lang w:val="en-GB"/>
              </w:rPr>
              <w:t>Other</w:t>
            </w:r>
          </w:p>
        </w:tc>
      </w:tr>
      <w:tr w:rsidR="00AF64A5" w:rsidRPr="008209CA" w:rsidTr="0019142E">
        <w:trPr>
          <w:trHeight w:val="20"/>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rPr>
            </w:pPr>
            <w:r w:rsidRPr="008209CA">
              <w:rPr>
                <w:b/>
                <w:szCs w:val="17"/>
              </w:rPr>
              <w:t>AMT468-472</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rPr>
            </w:pPr>
            <w:r w:rsidRPr="008209CA">
              <w:rPr>
                <w:szCs w:val="17"/>
              </w:rPr>
              <w:t>Article 10 – para.1</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 xml:space="preserve">Sven </w:t>
            </w:r>
            <w:proofErr w:type="spellStart"/>
            <w:r w:rsidRPr="008209CA">
              <w:rPr>
                <w:i/>
                <w:szCs w:val="17"/>
              </w:rPr>
              <w:t>Giegold</w:t>
            </w:r>
            <w:proofErr w:type="spellEnd"/>
            <w:r w:rsidRPr="008209CA">
              <w:rPr>
                <w:i/>
                <w:szCs w:val="17"/>
              </w:rPr>
              <w:t xml:space="preserve">, Sharon Bowles, Markus Ferber, Olle Schmidt, </w:t>
            </w:r>
            <w:r w:rsidRPr="008209CA">
              <w:rPr>
                <w:i/>
                <w:szCs w:val="17"/>
              </w:rPr>
              <w:lastRenderedPageBreak/>
              <w:t xml:space="preserve">Nils Torvalds, </w:t>
            </w:r>
            <w:proofErr w:type="spellStart"/>
            <w:r w:rsidRPr="008209CA">
              <w:rPr>
                <w:i/>
                <w:szCs w:val="17"/>
              </w:rPr>
              <w:t>Burkhard</w:t>
            </w:r>
            <w:proofErr w:type="spellEnd"/>
            <w:r w:rsidRPr="008209CA">
              <w:rPr>
                <w:i/>
                <w:szCs w:val="17"/>
              </w:rPr>
              <w:t xml:space="preserve"> </w:t>
            </w:r>
            <w:proofErr w:type="spellStart"/>
            <w:r w:rsidRPr="008209CA">
              <w:rPr>
                <w:i/>
                <w:szCs w:val="17"/>
              </w:rPr>
              <w:t>Balz</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lastRenderedPageBreak/>
              <w:t>Updating KID</w:t>
            </w:r>
          </w:p>
          <w:p w:rsidR="00FC7487" w:rsidRPr="008209CA" w:rsidRDefault="00FC7487" w:rsidP="002D7584">
            <w:pPr>
              <w:pStyle w:val="CEABullet-Level1"/>
              <w:numPr>
                <w:ilvl w:val="0"/>
                <w:numId w:val="0"/>
              </w:numPr>
              <w:rPr>
                <w:szCs w:val="17"/>
                <w:lang w:val="en-GB"/>
              </w:rPr>
            </w:pPr>
            <w:r w:rsidRPr="008209CA">
              <w:rPr>
                <w:szCs w:val="17"/>
                <w:lang w:val="en-GB"/>
              </w:rPr>
              <w:t xml:space="preserve">Insurance Europe supports amendments aligning the PRIPs provisions regarding updating the KID with the obligations under the UCITS directive. </w:t>
            </w:r>
          </w:p>
          <w:p w:rsidR="00FC7487" w:rsidRPr="008209CA" w:rsidRDefault="00FC7487" w:rsidP="002D7584">
            <w:pPr>
              <w:pStyle w:val="CEABullet-Level1"/>
              <w:numPr>
                <w:ilvl w:val="0"/>
                <w:numId w:val="0"/>
              </w:numPr>
              <w:rPr>
                <w:szCs w:val="17"/>
                <w:lang w:val="en-GB"/>
              </w:rPr>
            </w:pPr>
          </w:p>
          <w:p w:rsidR="00FC7487" w:rsidRPr="008209CA" w:rsidRDefault="00FC7487" w:rsidP="002D7584">
            <w:pPr>
              <w:pStyle w:val="CEABullet-Level1"/>
              <w:rPr>
                <w:szCs w:val="17"/>
                <w:lang w:val="en-GB"/>
              </w:rPr>
            </w:pPr>
            <w:r w:rsidRPr="008209CA">
              <w:rPr>
                <w:szCs w:val="17"/>
                <w:lang w:val="en-GB"/>
              </w:rPr>
              <w:t>Insurance Europe supports AMT469-472 but opposes AMT468.</w:t>
            </w:r>
          </w:p>
        </w:tc>
      </w:tr>
      <w:tr w:rsidR="00AF64A5" w:rsidRPr="008209CA" w:rsidTr="00DC18B5">
        <w:trPr>
          <w:cantSplit/>
          <w:trHeight w:val="20"/>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rPr>
            </w:pPr>
            <w:r w:rsidRPr="008209CA">
              <w:rPr>
                <w:b/>
                <w:szCs w:val="17"/>
              </w:rPr>
              <w:lastRenderedPageBreak/>
              <w:t>AMT98, AMT237</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rPr>
            </w:pPr>
            <w:r w:rsidRPr="008209CA">
              <w:rPr>
                <w:szCs w:val="17"/>
              </w:rPr>
              <w:t xml:space="preserve">Recital 9, Article 5 – </w:t>
            </w:r>
            <w:proofErr w:type="spellStart"/>
            <w:r w:rsidRPr="008209CA">
              <w:rPr>
                <w:szCs w:val="17"/>
              </w:rPr>
              <w:t>para</w:t>
            </w:r>
            <w:proofErr w:type="spellEnd"/>
            <w:r w:rsidRPr="008209CA">
              <w:rPr>
                <w:szCs w:val="17"/>
              </w:rPr>
              <w:t>. 1</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 xml:space="preserve">Thomas </w:t>
            </w:r>
            <w:proofErr w:type="spellStart"/>
            <w:r w:rsidRPr="008209CA">
              <w:rPr>
                <w:i/>
                <w:szCs w:val="17"/>
              </w:rPr>
              <w:t>Händel</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t>Publication KID on ECB website</w:t>
            </w:r>
          </w:p>
          <w:p w:rsidR="00FC7487" w:rsidRPr="008209CA" w:rsidRDefault="00FC7487" w:rsidP="002D7584">
            <w:pPr>
              <w:pStyle w:val="CEABullet-Level1"/>
              <w:numPr>
                <w:ilvl w:val="0"/>
                <w:numId w:val="0"/>
              </w:numPr>
              <w:rPr>
                <w:szCs w:val="17"/>
                <w:lang w:val="en-GB"/>
              </w:rPr>
            </w:pPr>
            <w:r w:rsidRPr="008209CA">
              <w:rPr>
                <w:szCs w:val="17"/>
                <w:lang w:val="en-GB"/>
              </w:rPr>
              <w:t>Insurance Europe opposes making KIDs available on the ECB and national supervisors</w:t>
            </w:r>
            <w:r w:rsidR="00743C9F">
              <w:rPr>
                <w:szCs w:val="17"/>
                <w:lang w:val="en-GB"/>
              </w:rPr>
              <w:t>’</w:t>
            </w:r>
            <w:r w:rsidRPr="008209CA">
              <w:rPr>
                <w:szCs w:val="17"/>
                <w:lang w:val="en-GB"/>
              </w:rPr>
              <w:t xml:space="preserve"> website</w:t>
            </w:r>
            <w:r w:rsidR="00743C9F">
              <w:rPr>
                <w:szCs w:val="17"/>
                <w:lang w:val="en-GB"/>
              </w:rPr>
              <w:t>s</w:t>
            </w:r>
            <w:r w:rsidRPr="008209CA">
              <w:rPr>
                <w:szCs w:val="17"/>
                <w:lang w:val="en-GB"/>
              </w:rPr>
              <w:t xml:space="preserve">. Insurance Europe is concerned about </w:t>
            </w:r>
            <w:r w:rsidR="00E608BD" w:rsidRPr="008209CA">
              <w:rPr>
                <w:szCs w:val="17"/>
                <w:lang w:val="en-GB"/>
              </w:rPr>
              <w:t>how this should work in practice</w:t>
            </w:r>
            <w:r w:rsidRPr="008209CA">
              <w:rPr>
                <w:szCs w:val="17"/>
                <w:lang w:val="en-GB"/>
              </w:rPr>
              <w:t xml:space="preserve">. Moreover, the information for insurance products would be disclosed on a banking authority’s website which does not seem most appropriate for these products. </w:t>
            </w:r>
          </w:p>
          <w:p w:rsidR="00FC7487" w:rsidRPr="008209CA" w:rsidRDefault="00FC7487" w:rsidP="002D7584">
            <w:pPr>
              <w:pStyle w:val="CEABullet-Level1"/>
              <w:numPr>
                <w:ilvl w:val="0"/>
                <w:numId w:val="0"/>
              </w:numPr>
              <w:rPr>
                <w:szCs w:val="17"/>
                <w:lang w:val="en-GB"/>
              </w:rPr>
            </w:pPr>
          </w:p>
          <w:p w:rsidR="00FC7487" w:rsidRPr="008209CA" w:rsidRDefault="00FC7487" w:rsidP="002D7584">
            <w:pPr>
              <w:pStyle w:val="CEABullet-Level1"/>
              <w:rPr>
                <w:szCs w:val="17"/>
                <w:lang w:val="en-GB"/>
              </w:rPr>
            </w:pPr>
            <w:r w:rsidRPr="008209CA">
              <w:rPr>
                <w:szCs w:val="17"/>
                <w:lang w:val="en-GB"/>
              </w:rPr>
              <w:t>Insurance Europe opposes AMT98 and AMT237.</w:t>
            </w:r>
          </w:p>
        </w:tc>
      </w:tr>
      <w:tr w:rsidR="00AF64A5" w:rsidRPr="008209CA" w:rsidTr="0097707F">
        <w:trPr>
          <w:cantSplit/>
          <w:trHeight w:val="20"/>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97707F">
            <w:pPr>
              <w:spacing w:before="60" w:after="60"/>
              <w:jc w:val="center"/>
              <w:rPr>
                <w:b/>
                <w:szCs w:val="17"/>
              </w:rPr>
            </w:pPr>
            <w:r w:rsidRPr="008209CA">
              <w:rPr>
                <w:b/>
                <w:szCs w:val="17"/>
              </w:rPr>
              <w:t>AMT116, AMT 436, AMT664</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8C77A4" w:rsidP="002D7584">
            <w:pPr>
              <w:spacing w:before="60" w:after="60"/>
              <w:jc w:val="center"/>
              <w:rPr>
                <w:szCs w:val="17"/>
              </w:rPr>
            </w:pPr>
            <w:r w:rsidRPr="008209CA">
              <w:rPr>
                <w:szCs w:val="17"/>
              </w:rPr>
              <w:t>Recital 11 b (new)</w:t>
            </w:r>
            <w:r w:rsidR="00FC7487" w:rsidRPr="008209CA">
              <w:rPr>
                <w:szCs w:val="17"/>
              </w:rPr>
              <w:t xml:space="preserve">, Article 8 – </w:t>
            </w:r>
            <w:proofErr w:type="spellStart"/>
            <w:r w:rsidR="00FC7487" w:rsidRPr="008209CA">
              <w:rPr>
                <w:szCs w:val="17"/>
              </w:rPr>
              <w:t>para</w:t>
            </w:r>
            <w:proofErr w:type="spellEnd"/>
            <w:r w:rsidR="00FC7487" w:rsidRPr="008209CA">
              <w:rPr>
                <w:szCs w:val="17"/>
              </w:rPr>
              <w:t xml:space="preserve">. 3 a (new), Article 23 – </w:t>
            </w:r>
            <w:proofErr w:type="spellStart"/>
            <w:r w:rsidR="00FC7487" w:rsidRPr="008209CA">
              <w:rPr>
                <w:szCs w:val="17"/>
              </w:rPr>
              <w:t>para</w:t>
            </w:r>
            <w:proofErr w:type="spellEnd"/>
            <w:r w:rsidR="00FC7487" w:rsidRPr="008209CA">
              <w:rPr>
                <w:szCs w:val="17"/>
              </w:rPr>
              <w:t>. 5 a (new)</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Sharon Bowles</w:t>
            </w:r>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t>Development of fund analyser by ESMA</w:t>
            </w:r>
          </w:p>
          <w:p w:rsidR="00FC7487" w:rsidRPr="008209CA" w:rsidRDefault="00F148EC" w:rsidP="002D7584">
            <w:pPr>
              <w:pStyle w:val="CEABullet-Level1"/>
              <w:numPr>
                <w:ilvl w:val="0"/>
                <w:numId w:val="0"/>
              </w:numPr>
              <w:rPr>
                <w:szCs w:val="17"/>
                <w:lang w:val="en-GB"/>
              </w:rPr>
            </w:pPr>
            <w:r w:rsidRPr="008209CA">
              <w:rPr>
                <w:szCs w:val="17"/>
                <w:lang w:val="en-GB"/>
              </w:rPr>
              <w:t xml:space="preserve">Insurance </w:t>
            </w:r>
            <w:r w:rsidR="00FC7487" w:rsidRPr="008209CA">
              <w:rPr>
                <w:szCs w:val="17"/>
                <w:lang w:val="en-GB"/>
              </w:rPr>
              <w:t xml:space="preserve">Europe </w:t>
            </w:r>
            <w:r w:rsidR="008C77A4" w:rsidRPr="008209CA">
              <w:rPr>
                <w:szCs w:val="17"/>
                <w:lang w:val="en-GB"/>
              </w:rPr>
              <w:t>opposes</w:t>
            </w:r>
            <w:r w:rsidR="00FC7487" w:rsidRPr="008209CA">
              <w:rPr>
                <w:szCs w:val="17"/>
                <w:lang w:val="en-GB"/>
              </w:rPr>
              <w:t xml:space="preserve"> delegating powers to a single European Supervisory Authority, ESMA, if the PRIPs regulation applies to other financial sectors such as the insurance industry. </w:t>
            </w:r>
          </w:p>
          <w:p w:rsidR="00FC7487" w:rsidRPr="008209CA" w:rsidRDefault="00FC7487" w:rsidP="002D7584">
            <w:pPr>
              <w:pStyle w:val="CEABullet-Level1"/>
              <w:numPr>
                <w:ilvl w:val="0"/>
                <w:numId w:val="0"/>
              </w:numPr>
              <w:rPr>
                <w:szCs w:val="17"/>
                <w:lang w:val="en-GB"/>
              </w:rPr>
            </w:pPr>
          </w:p>
          <w:p w:rsidR="00FC7487" w:rsidRPr="008209CA" w:rsidRDefault="008C77A4" w:rsidP="008C77A4">
            <w:pPr>
              <w:pStyle w:val="CEABullet-Level1"/>
              <w:rPr>
                <w:szCs w:val="17"/>
                <w:lang w:val="en-GB"/>
              </w:rPr>
            </w:pPr>
            <w:r w:rsidRPr="008209CA">
              <w:rPr>
                <w:szCs w:val="17"/>
                <w:lang w:val="en-GB"/>
              </w:rPr>
              <w:t xml:space="preserve">Insurance Europe opposes AMT116, AMT436 and </w:t>
            </w:r>
            <w:r w:rsidR="00FC7487" w:rsidRPr="008209CA">
              <w:rPr>
                <w:szCs w:val="17"/>
                <w:lang w:val="en-GB"/>
              </w:rPr>
              <w:t>AMT664.</w:t>
            </w:r>
          </w:p>
        </w:tc>
      </w:tr>
      <w:tr w:rsidR="00AF64A5" w:rsidRPr="008209CA" w:rsidTr="00DC18B5">
        <w:trPr>
          <w:cantSplit/>
          <w:trHeight w:val="20"/>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rPr>
            </w:pPr>
            <w:r w:rsidRPr="008209CA">
              <w:rPr>
                <w:b/>
                <w:szCs w:val="17"/>
              </w:rPr>
              <w:t>AMT160, AMT667</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rPr>
            </w:pPr>
            <w:r w:rsidRPr="008209CA">
              <w:rPr>
                <w:szCs w:val="17"/>
              </w:rPr>
              <w:t xml:space="preserve">Recital 30, Article 24 – </w:t>
            </w:r>
            <w:proofErr w:type="spellStart"/>
            <w:r w:rsidRPr="008209CA">
              <w:rPr>
                <w:szCs w:val="17"/>
              </w:rPr>
              <w:t>para</w:t>
            </w:r>
            <w:proofErr w:type="spellEnd"/>
            <w:r w:rsidRPr="008209CA">
              <w:rPr>
                <w:szCs w:val="17"/>
              </w:rPr>
              <w:t>. 1 a (new)</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 xml:space="preserve">Sharon Bowles, Werner </w:t>
            </w:r>
            <w:proofErr w:type="spellStart"/>
            <w:r w:rsidRPr="008209CA">
              <w:rPr>
                <w:i/>
                <w:szCs w:val="17"/>
              </w:rPr>
              <w:t>Langen</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t xml:space="preserve">PRIPs regulation does not apply retroactively </w:t>
            </w:r>
          </w:p>
          <w:p w:rsidR="00FC7487" w:rsidRPr="00D70E10" w:rsidRDefault="003919EA" w:rsidP="002D7584">
            <w:pPr>
              <w:pStyle w:val="CEABullet-Level1"/>
              <w:numPr>
                <w:ilvl w:val="0"/>
                <w:numId w:val="0"/>
              </w:numPr>
              <w:rPr>
                <w:szCs w:val="17"/>
                <w:highlight w:val="yellow"/>
                <w:lang w:val="en-GB"/>
              </w:rPr>
            </w:pPr>
            <w:commentRangeStart w:id="12"/>
            <w:r w:rsidRPr="00D70E10">
              <w:rPr>
                <w:szCs w:val="17"/>
                <w:highlight w:val="yellow"/>
                <w:lang w:val="en-GB"/>
              </w:rPr>
              <w:t xml:space="preserve">Insurance </w:t>
            </w:r>
            <w:commentRangeEnd w:id="12"/>
            <w:r w:rsidR="00D70E10">
              <w:rPr>
                <w:rStyle w:val="CommentReference"/>
                <w:rFonts w:cs="Times New Roman"/>
                <w:color w:val="auto"/>
                <w:lang w:val="en-GB"/>
              </w:rPr>
              <w:commentReference w:id="12"/>
            </w:r>
            <w:r w:rsidRPr="00D70E10">
              <w:rPr>
                <w:szCs w:val="17"/>
                <w:highlight w:val="yellow"/>
                <w:lang w:val="en-GB"/>
              </w:rPr>
              <w:t xml:space="preserve">Europe welcomes amendments which clarify that the PRIPs regulation does not apply to existing products manufactured before the entry into force of this regulation. However the terminology “(successive) transactions” creates legal uncertainty for the insurance industry because a “transaction” refers to any operation occurring during the lifetime of the contract in an insurance context. The product manufacturer may therefore have to provide a new KID when an event occurs during the lifetime of a product sold before the entry into force of the PRIPs regulation. </w:t>
            </w:r>
          </w:p>
          <w:p w:rsidR="00FC7487" w:rsidRPr="00D70E10" w:rsidRDefault="00FC7487" w:rsidP="002D7584">
            <w:pPr>
              <w:pStyle w:val="CEABullet-Level1"/>
              <w:numPr>
                <w:ilvl w:val="0"/>
                <w:numId w:val="0"/>
              </w:numPr>
              <w:rPr>
                <w:szCs w:val="17"/>
                <w:highlight w:val="yellow"/>
                <w:lang w:val="en-GB"/>
              </w:rPr>
            </w:pPr>
          </w:p>
          <w:p w:rsidR="00FC7487" w:rsidRPr="008209CA" w:rsidRDefault="00D70E10" w:rsidP="00D70E10">
            <w:pPr>
              <w:pStyle w:val="CEABullet-Level1"/>
              <w:rPr>
                <w:szCs w:val="17"/>
                <w:lang w:val="en-GB"/>
              </w:rPr>
            </w:pPr>
            <w:r w:rsidRPr="00D70E10">
              <w:rPr>
                <w:szCs w:val="17"/>
                <w:highlight w:val="yellow"/>
                <w:lang w:val="en-GB"/>
              </w:rPr>
              <w:t>Insurance Europe supports AMT667 but opposes AMT160.</w:t>
            </w:r>
          </w:p>
        </w:tc>
      </w:tr>
      <w:tr w:rsidR="00AF64A5" w:rsidRPr="0097707F" w:rsidTr="00DB419A">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rPr>
            </w:pPr>
            <w:r w:rsidRPr="008209CA">
              <w:rPr>
                <w:b/>
                <w:szCs w:val="17"/>
              </w:rPr>
              <w:t>AMT159, AMT679</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rPr>
            </w:pPr>
            <w:r w:rsidRPr="008209CA">
              <w:rPr>
                <w:szCs w:val="17"/>
              </w:rPr>
              <w:t xml:space="preserve">Recital 30, Article 26 – </w:t>
            </w:r>
            <w:proofErr w:type="spellStart"/>
            <w:r w:rsidRPr="008209CA">
              <w:rPr>
                <w:szCs w:val="17"/>
              </w:rPr>
              <w:t>para</w:t>
            </w:r>
            <w:proofErr w:type="spellEnd"/>
            <w:r w:rsidRPr="008209CA">
              <w:rPr>
                <w:szCs w:val="17"/>
              </w:rPr>
              <w:t>. 2</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 xml:space="preserve">Thomas </w:t>
            </w:r>
            <w:proofErr w:type="spellStart"/>
            <w:r w:rsidRPr="008209CA">
              <w:rPr>
                <w:i/>
                <w:szCs w:val="17"/>
              </w:rPr>
              <w:t>Händel</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t>Implementation period</w:t>
            </w:r>
          </w:p>
          <w:p w:rsidR="00FC7487" w:rsidRPr="008209CA" w:rsidRDefault="00FC7487" w:rsidP="002D7584">
            <w:pPr>
              <w:pStyle w:val="CEABullet-Level1"/>
              <w:numPr>
                <w:ilvl w:val="0"/>
                <w:numId w:val="0"/>
              </w:numPr>
              <w:rPr>
                <w:szCs w:val="17"/>
                <w:lang w:val="en-GB"/>
              </w:rPr>
            </w:pPr>
            <w:r w:rsidRPr="008209CA">
              <w:rPr>
                <w:szCs w:val="17"/>
                <w:lang w:val="en-GB"/>
              </w:rPr>
              <w:t xml:space="preserve">Insurance Europe opposes shortening the implementation period. Given the significant work still required at level two, the implementation period of two years is already very short and should therefore not be shortened even further. </w:t>
            </w:r>
          </w:p>
          <w:p w:rsidR="00FC7487" w:rsidRPr="008209CA" w:rsidRDefault="00FC7487" w:rsidP="002D7584">
            <w:pPr>
              <w:pStyle w:val="CEABullet-Level1"/>
              <w:numPr>
                <w:ilvl w:val="0"/>
                <w:numId w:val="0"/>
              </w:numPr>
              <w:rPr>
                <w:szCs w:val="17"/>
                <w:lang w:val="en-GB"/>
              </w:rPr>
            </w:pPr>
          </w:p>
          <w:p w:rsidR="00FC7487" w:rsidRPr="008209CA" w:rsidRDefault="00FC7487" w:rsidP="000728E7">
            <w:pPr>
              <w:pStyle w:val="CEABullet-Level1"/>
              <w:rPr>
                <w:szCs w:val="17"/>
                <w:lang w:val="fr-FR"/>
              </w:rPr>
            </w:pPr>
            <w:r w:rsidRPr="008209CA">
              <w:rPr>
                <w:szCs w:val="17"/>
                <w:lang w:val="fr-FR"/>
              </w:rPr>
              <w:t xml:space="preserve">Insurance Europe opposes AMT159, AMT679. </w:t>
            </w:r>
          </w:p>
        </w:tc>
      </w:tr>
      <w:tr w:rsidR="00AF64A5" w:rsidRPr="008209CA" w:rsidTr="0019142E">
        <w:trPr>
          <w:trHeight w:val="1"/>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rPr>
            </w:pPr>
            <w:r w:rsidRPr="008209CA">
              <w:rPr>
                <w:b/>
                <w:szCs w:val="17"/>
              </w:rPr>
              <w:t>AMT258, AMT438</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lang w:val="fr-FR"/>
              </w:rPr>
            </w:pPr>
            <w:r w:rsidRPr="008209CA">
              <w:rPr>
                <w:szCs w:val="17"/>
              </w:rPr>
              <w:t xml:space="preserve">Article 6 – </w:t>
            </w:r>
            <w:proofErr w:type="spellStart"/>
            <w:r w:rsidRPr="008209CA">
              <w:rPr>
                <w:szCs w:val="17"/>
              </w:rPr>
              <w:t>para</w:t>
            </w:r>
            <w:proofErr w:type="spellEnd"/>
            <w:r w:rsidRPr="008209CA">
              <w:rPr>
                <w:szCs w:val="17"/>
              </w:rPr>
              <w:t xml:space="preserve">. 3 </w:t>
            </w:r>
            <w:r w:rsidRPr="008209CA">
              <w:rPr>
                <w:szCs w:val="17"/>
                <w:lang w:val="fr-FR"/>
              </w:rPr>
              <w:t xml:space="preserve">– </w:t>
            </w:r>
            <w:proofErr w:type="spellStart"/>
            <w:r w:rsidRPr="008209CA">
              <w:rPr>
                <w:szCs w:val="17"/>
                <w:lang w:val="fr-FR"/>
              </w:rPr>
              <w:t>introductory</w:t>
            </w:r>
            <w:proofErr w:type="spellEnd"/>
            <w:r w:rsidRPr="008209CA">
              <w:rPr>
                <w:szCs w:val="17"/>
                <w:lang w:val="fr-FR"/>
              </w:rPr>
              <w:t xml:space="preserve"> part, Article 8 – para.4</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lang w:val="fr-FR"/>
              </w:rPr>
            </w:pPr>
            <w:r w:rsidRPr="008209CA">
              <w:rPr>
                <w:i/>
                <w:szCs w:val="17"/>
                <w:lang w:val="fr-FR"/>
              </w:rPr>
              <w:t xml:space="preserve">Thomas Händel, Werner </w:t>
            </w:r>
            <w:proofErr w:type="spellStart"/>
            <w:r w:rsidRPr="008209CA">
              <w:rPr>
                <w:i/>
                <w:szCs w:val="17"/>
                <w:lang w:val="fr-FR"/>
              </w:rPr>
              <w:t>Langen</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t>Page limit</w:t>
            </w:r>
          </w:p>
          <w:p w:rsidR="00FC7487" w:rsidRPr="008209CA" w:rsidRDefault="00FC7487" w:rsidP="002D7584">
            <w:pPr>
              <w:pStyle w:val="CEABullet-Level1"/>
              <w:numPr>
                <w:ilvl w:val="0"/>
                <w:numId w:val="0"/>
              </w:numPr>
              <w:rPr>
                <w:szCs w:val="17"/>
                <w:lang w:val="en-GB"/>
              </w:rPr>
            </w:pPr>
            <w:r w:rsidRPr="008209CA">
              <w:rPr>
                <w:szCs w:val="17"/>
                <w:lang w:val="en-GB"/>
              </w:rPr>
              <w:t>Insurance Europe opposes the inclusion of a page limit in the regulation itself because the regulation refers many issues regarding the KID’s presentation and content to level t</w:t>
            </w:r>
            <w:r w:rsidR="00F148EC" w:rsidRPr="008209CA">
              <w:rPr>
                <w:szCs w:val="17"/>
                <w:lang w:val="en-GB"/>
              </w:rPr>
              <w:t>w</w:t>
            </w:r>
            <w:r w:rsidRPr="008209CA">
              <w:rPr>
                <w:szCs w:val="17"/>
                <w:lang w:val="en-GB"/>
              </w:rPr>
              <w:t xml:space="preserve">o implementing measures. Moreover, the length of </w:t>
            </w:r>
            <w:r w:rsidRPr="008209CA">
              <w:rPr>
                <w:szCs w:val="17"/>
                <w:lang w:val="en-GB"/>
              </w:rPr>
              <w:lastRenderedPageBreak/>
              <w:t xml:space="preserve">the document will also depend on the language used. Imposing a page limit within the regulation is therefore inappropriate. </w:t>
            </w:r>
          </w:p>
          <w:p w:rsidR="00FC7487" w:rsidRPr="008209CA" w:rsidRDefault="00FC7487" w:rsidP="002D7584">
            <w:pPr>
              <w:pStyle w:val="CEABullet-Level1"/>
              <w:numPr>
                <w:ilvl w:val="0"/>
                <w:numId w:val="0"/>
              </w:numPr>
              <w:rPr>
                <w:szCs w:val="17"/>
                <w:lang w:val="en-GB"/>
              </w:rPr>
            </w:pPr>
          </w:p>
          <w:p w:rsidR="00FC7487" w:rsidRPr="008209CA" w:rsidRDefault="00FC7487" w:rsidP="002D7584">
            <w:pPr>
              <w:pStyle w:val="CEABullet-Level1"/>
              <w:rPr>
                <w:szCs w:val="17"/>
                <w:lang w:val="fr-FR"/>
              </w:rPr>
            </w:pPr>
            <w:r w:rsidRPr="008209CA">
              <w:rPr>
                <w:szCs w:val="17"/>
                <w:lang w:val="fr-FR"/>
              </w:rPr>
              <w:t>I</w:t>
            </w:r>
            <w:r w:rsidR="000728E7" w:rsidRPr="008209CA">
              <w:rPr>
                <w:szCs w:val="17"/>
                <w:lang w:val="fr-FR"/>
              </w:rPr>
              <w:t xml:space="preserve">nsurance Europe opposes AMT258 and </w:t>
            </w:r>
            <w:r w:rsidRPr="008209CA">
              <w:rPr>
                <w:szCs w:val="17"/>
                <w:lang w:val="fr-FR"/>
              </w:rPr>
              <w:t>AMT438</w:t>
            </w:r>
          </w:p>
        </w:tc>
      </w:tr>
      <w:tr w:rsidR="00AF64A5" w:rsidRPr="008209CA" w:rsidTr="00DC18B5">
        <w:trPr>
          <w:cantSplit/>
          <w:trHeight w:val="1"/>
        </w:trPr>
        <w:tc>
          <w:tcPr>
            <w:tcW w:w="1691"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b/>
                <w:szCs w:val="17"/>
              </w:rPr>
            </w:pPr>
            <w:r w:rsidRPr="008209CA">
              <w:rPr>
                <w:b/>
                <w:szCs w:val="17"/>
              </w:rPr>
              <w:lastRenderedPageBreak/>
              <w:t>AMT65, AMT118-119</w:t>
            </w:r>
          </w:p>
        </w:tc>
        <w:tc>
          <w:tcPr>
            <w:tcW w:w="1974"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szCs w:val="17"/>
              </w:rPr>
            </w:pPr>
            <w:r w:rsidRPr="008209CA">
              <w:rPr>
                <w:szCs w:val="17"/>
              </w:rPr>
              <w:t>Recital 1, Recital 12</w:t>
            </w:r>
          </w:p>
        </w:tc>
        <w:tc>
          <w:tcPr>
            <w:tcW w:w="2115" w:type="dxa"/>
            <w:tcBorders>
              <w:top w:val="single" w:sz="4" w:space="0" w:color="auto"/>
              <w:left w:val="single" w:sz="4" w:space="0" w:color="auto"/>
              <w:bottom w:val="single" w:sz="4" w:space="0" w:color="auto"/>
              <w:right w:val="single" w:sz="4" w:space="0" w:color="auto"/>
            </w:tcBorders>
            <w:vAlign w:val="center"/>
          </w:tcPr>
          <w:p w:rsidR="00FC7487" w:rsidRPr="008209CA" w:rsidRDefault="00FC7487" w:rsidP="002D7584">
            <w:pPr>
              <w:spacing w:before="60" w:after="60"/>
              <w:jc w:val="center"/>
              <w:rPr>
                <w:i/>
                <w:szCs w:val="17"/>
              </w:rPr>
            </w:pPr>
            <w:r w:rsidRPr="008209CA">
              <w:rPr>
                <w:i/>
                <w:szCs w:val="17"/>
              </w:rPr>
              <w:t xml:space="preserve">Olle Schmidt, </w:t>
            </w:r>
            <w:proofErr w:type="spellStart"/>
            <w:r w:rsidRPr="008209CA">
              <w:rPr>
                <w:i/>
                <w:szCs w:val="17"/>
              </w:rPr>
              <w:t>Sirpa</w:t>
            </w:r>
            <w:proofErr w:type="spellEnd"/>
            <w:r w:rsidRPr="008209CA">
              <w:rPr>
                <w:i/>
                <w:szCs w:val="17"/>
              </w:rPr>
              <w:t xml:space="preserve"> </w:t>
            </w:r>
            <w:proofErr w:type="spellStart"/>
            <w:r w:rsidRPr="008209CA">
              <w:rPr>
                <w:i/>
                <w:szCs w:val="17"/>
              </w:rPr>
              <w:t>Pietikäinen</w:t>
            </w:r>
            <w:proofErr w:type="spellEnd"/>
          </w:p>
        </w:tc>
        <w:tc>
          <w:tcPr>
            <w:tcW w:w="10153" w:type="dxa"/>
            <w:tcBorders>
              <w:top w:val="single" w:sz="4" w:space="0" w:color="auto"/>
              <w:left w:val="single" w:sz="4" w:space="0" w:color="auto"/>
              <w:bottom w:val="single" w:sz="4" w:space="0" w:color="auto"/>
              <w:right w:val="single" w:sz="4" w:space="0" w:color="auto"/>
            </w:tcBorders>
          </w:tcPr>
          <w:p w:rsidR="00FC7487" w:rsidRPr="008209CA" w:rsidRDefault="00FC7487" w:rsidP="002D7584">
            <w:pPr>
              <w:pStyle w:val="CEABullet-Level1"/>
              <w:numPr>
                <w:ilvl w:val="0"/>
                <w:numId w:val="0"/>
              </w:numPr>
              <w:rPr>
                <w:b/>
                <w:i/>
                <w:szCs w:val="17"/>
                <w:lang w:val="en-GB"/>
              </w:rPr>
            </w:pPr>
            <w:r w:rsidRPr="008209CA">
              <w:rPr>
                <w:b/>
                <w:i/>
                <w:szCs w:val="17"/>
                <w:lang w:val="en-GB"/>
              </w:rPr>
              <w:t>Financial education</w:t>
            </w:r>
          </w:p>
          <w:p w:rsidR="00FC7487" w:rsidRPr="008209CA" w:rsidRDefault="00FC7487" w:rsidP="002D7584">
            <w:pPr>
              <w:pStyle w:val="CEABullet-Level1"/>
              <w:numPr>
                <w:ilvl w:val="0"/>
                <w:numId w:val="0"/>
              </w:numPr>
              <w:rPr>
                <w:szCs w:val="17"/>
                <w:lang w:val="en-GB"/>
              </w:rPr>
            </w:pPr>
            <w:r w:rsidRPr="008209CA">
              <w:rPr>
                <w:szCs w:val="17"/>
                <w:lang w:val="en-GB"/>
              </w:rPr>
              <w:t xml:space="preserve">Insurance Europe strongly believes financial education is important. However, </w:t>
            </w:r>
            <w:r w:rsidR="00E608BD" w:rsidRPr="008209CA">
              <w:rPr>
                <w:szCs w:val="17"/>
                <w:lang w:val="en-GB"/>
              </w:rPr>
              <w:t>the aim of the KID is to enable consumers to take an informed decision about whether to invest; such</w:t>
            </w:r>
            <w:r w:rsidRPr="008209CA">
              <w:rPr>
                <w:szCs w:val="17"/>
                <w:lang w:val="en-GB"/>
              </w:rPr>
              <w:t xml:space="preserve"> a concise document is not the appropriate starting point for financial education. Therefore, the PRIPs regulation should not refer to financial education. </w:t>
            </w:r>
          </w:p>
          <w:p w:rsidR="00FC7487" w:rsidRPr="008209CA" w:rsidRDefault="00FC7487" w:rsidP="002D7584">
            <w:pPr>
              <w:pStyle w:val="CEABullet-Level1"/>
              <w:numPr>
                <w:ilvl w:val="0"/>
                <w:numId w:val="0"/>
              </w:numPr>
              <w:ind w:left="720" w:hanging="360"/>
              <w:rPr>
                <w:szCs w:val="17"/>
                <w:lang w:val="en-GB"/>
              </w:rPr>
            </w:pPr>
          </w:p>
          <w:p w:rsidR="00FC7487" w:rsidRPr="008209CA" w:rsidRDefault="00FC7487" w:rsidP="00EC5433">
            <w:pPr>
              <w:pStyle w:val="CEABullet-Level1"/>
              <w:rPr>
                <w:szCs w:val="17"/>
                <w:lang w:val="en-GB"/>
              </w:rPr>
            </w:pPr>
            <w:r w:rsidRPr="008209CA">
              <w:rPr>
                <w:szCs w:val="17"/>
                <w:lang w:val="en-GB"/>
              </w:rPr>
              <w:t>Insurance Europe opposes AMT65</w:t>
            </w:r>
            <w:r w:rsidR="00EC5433" w:rsidRPr="008209CA">
              <w:rPr>
                <w:szCs w:val="17"/>
                <w:lang w:val="en-GB"/>
              </w:rPr>
              <w:t xml:space="preserve"> and AMT118-119.</w:t>
            </w:r>
          </w:p>
        </w:tc>
      </w:tr>
    </w:tbl>
    <w:p w:rsidR="003151D8" w:rsidRPr="00612E3C" w:rsidRDefault="003151D8"/>
    <w:sectPr w:rsidR="003151D8" w:rsidRPr="00612E3C" w:rsidSect="00A3474B">
      <w:pgSz w:w="16839" w:h="11907" w:orient="landscape" w:code="9"/>
      <w:pgMar w:top="902" w:right="1418" w:bottom="1135" w:left="2410" w:header="1276" w:footer="39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jolein De Backer" w:date="2013-03-22T13:07:00Z" w:initials="MDB">
    <w:p w:rsidR="007F14B8" w:rsidRDefault="007F14B8" w:rsidP="00C7043B">
      <w:pPr>
        <w:pStyle w:val="CommentText"/>
      </w:pPr>
      <w:r>
        <w:rPr>
          <w:rStyle w:val="CommentReference"/>
        </w:rPr>
        <w:annotationRef/>
      </w:r>
      <w:r w:rsidRPr="00C7043B">
        <w:t xml:space="preserve">Members opposing AMT426 </w:t>
      </w:r>
      <w:r>
        <w:t>(</w:t>
      </w:r>
      <w:r w:rsidRPr="00C7043B">
        <w:t>in favour of disclosing insurance spe</w:t>
      </w:r>
      <w:r w:rsidR="00482FAE">
        <w:t xml:space="preserve">cific features in the KID, not in </w:t>
      </w:r>
      <w:r w:rsidRPr="00C7043B">
        <w:t>a specific document</w:t>
      </w:r>
      <w:r>
        <w:t>)</w:t>
      </w:r>
      <w:r w:rsidRPr="00C7043B">
        <w:t>: DE, DK, IT, SE, UK</w:t>
      </w:r>
      <w:r>
        <w:t>.</w:t>
      </w:r>
    </w:p>
    <w:p w:rsidR="007F14B8" w:rsidRDefault="007F14B8" w:rsidP="00C7043B">
      <w:pPr>
        <w:pStyle w:val="CommentText"/>
      </w:pPr>
    </w:p>
    <w:p w:rsidR="007F14B8" w:rsidRDefault="007F14B8" w:rsidP="00C7043B">
      <w:pPr>
        <w:pStyle w:val="CommentText"/>
      </w:pPr>
      <w:r>
        <w:t xml:space="preserve">FR supports the idea of AMT426 not the AMT as currently drafted. </w:t>
      </w:r>
    </w:p>
    <w:p w:rsidR="007F14B8" w:rsidRDefault="007F14B8" w:rsidP="00C7043B">
      <w:pPr>
        <w:pStyle w:val="CommentText"/>
      </w:pPr>
    </w:p>
    <w:p w:rsidR="007F14B8" w:rsidRPr="00C7043B" w:rsidRDefault="007F14B8" w:rsidP="00C7043B">
      <w:pPr>
        <w:pStyle w:val="CommentText"/>
        <w:rPr>
          <w:b/>
          <w:i/>
        </w:rPr>
      </w:pPr>
      <w:r w:rsidRPr="00C7043B">
        <w:rPr>
          <w:b/>
          <w:i/>
          <w:highlight w:val="yellow"/>
        </w:rPr>
        <w:t>The taskforce will discuss how to approach the AMT given it is positive that the rapporteur recognises the need to disclose insurance specific features.</w:t>
      </w:r>
      <w:r w:rsidRPr="00C7043B">
        <w:rPr>
          <w:b/>
          <w:i/>
        </w:rPr>
        <w:t xml:space="preserve"> </w:t>
      </w:r>
    </w:p>
  </w:comment>
  <w:comment w:id="1" w:author="Marjolein De Backer" w:date="2013-03-22T13:08:00Z" w:initials="MDB">
    <w:p w:rsidR="00482FAE" w:rsidRPr="00482FAE" w:rsidRDefault="00482FAE">
      <w:pPr>
        <w:pStyle w:val="CommentText"/>
        <w:rPr>
          <w:b/>
          <w:i/>
        </w:rPr>
      </w:pPr>
      <w:r>
        <w:rPr>
          <w:rStyle w:val="CommentReference"/>
        </w:rPr>
        <w:annotationRef/>
      </w:r>
      <w:r w:rsidRPr="00482FAE">
        <w:rPr>
          <w:b/>
          <w:i/>
          <w:highlight w:val="yellow"/>
        </w:rPr>
        <w:t>To be discussed at taskforce meeting, see comment above.</w:t>
      </w:r>
      <w:r w:rsidRPr="00482FAE">
        <w:rPr>
          <w:b/>
          <w:i/>
        </w:rPr>
        <w:t xml:space="preserve"> </w:t>
      </w:r>
    </w:p>
  </w:comment>
  <w:comment w:id="2" w:author="Marjolein De Backer" w:date="2013-03-22T10:35:00Z" w:initials="MDB">
    <w:p w:rsidR="007F14B8" w:rsidRDefault="007F14B8">
      <w:pPr>
        <w:pStyle w:val="CommentText"/>
      </w:pPr>
      <w:r>
        <w:rPr>
          <w:rStyle w:val="CommentReference"/>
        </w:rPr>
        <w:annotationRef/>
      </w:r>
      <w:r>
        <w:t xml:space="preserve">Based on DE comment. </w:t>
      </w:r>
    </w:p>
  </w:comment>
  <w:comment w:id="3" w:author="Marjolein De Backer" w:date="2013-03-22T12:05:00Z" w:initials="MDB">
    <w:p w:rsidR="00FA6684" w:rsidRDefault="00FA6684">
      <w:pPr>
        <w:pStyle w:val="CommentText"/>
      </w:pPr>
      <w:r>
        <w:rPr>
          <w:rStyle w:val="CommentReference"/>
        </w:rPr>
        <w:annotationRef/>
      </w:r>
      <w:r>
        <w:t>Message has been shortened.</w:t>
      </w:r>
    </w:p>
  </w:comment>
  <w:comment w:id="4" w:author="Marjolein De Backer" w:date="2013-03-22T12:09:00Z" w:initials="MDB">
    <w:p w:rsidR="00FA6684" w:rsidRDefault="00FA6684">
      <w:pPr>
        <w:pStyle w:val="CommentText"/>
      </w:pPr>
      <w:r>
        <w:rPr>
          <w:rStyle w:val="CommentReference"/>
        </w:rPr>
        <w:annotationRef/>
      </w:r>
      <w:r>
        <w:t xml:space="preserve">Message has been re-ordered on the basis of UK comment but content remains. </w:t>
      </w:r>
    </w:p>
  </w:comment>
  <w:comment w:id="5" w:author="Marjolein De Backer" w:date="2013-03-22T11:10:00Z" w:initials="MDB">
    <w:p w:rsidR="007F14B8" w:rsidRDefault="007F14B8">
      <w:pPr>
        <w:pStyle w:val="CommentText"/>
      </w:pPr>
      <w:r>
        <w:rPr>
          <w:rStyle w:val="CommentReference"/>
        </w:rPr>
        <w:annotationRef/>
      </w:r>
      <w:r>
        <w:t xml:space="preserve"> DE commented that these general tax statements have one weakness in common, </w:t>
      </w:r>
      <w:proofErr w:type="spellStart"/>
      <w:r>
        <w:t>ie</w:t>
      </w:r>
      <w:proofErr w:type="spellEnd"/>
      <w:r>
        <w:t xml:space="preserve"> they deal only with the taxation of the benefits, thus EET schemes are disadvantaged. </w:t>
      </w:r>
    </w:p>
    <w:p w:rsidR="007F14B8" w:rsidRDefault="007F14B8">
      <w:pPr>
        <w:pStyle w:val="CommentText"/>
      </w:pPr>
    </w:p>
    <w:p w:rsidR="007F14B8" w:rsidRPr="00895E45" w:rsidRDefault="007F14B8">
      <w:pPr>
        <w:pStyle w:val="CommentText"/>
      </w:pPr>
      <w:r>
        <w:t xml:space="preserve">Other members however do not oppose the general tax statements so the secretariat proposes to maintain the message as it stands. </w:t>
      </w:r>
    </w:p>
  </w:comment>
  <w:comment w:id="6" w:author="Marjolein De Backer" w:date="2013-03-22T14:14:00Z" w:initials="MDB">
    <w:p w:rsidR="007B09D5" w:rsidRDefault="007B09D5">
      <w:pPr>
        <w:pStyle w:val="CommentText"/>
      </w:pPr>
      <w:r>
        <w:rPr>
          <w:rStyle w:val="CommentReference"/>
        </w:rPr>
        <w:annotationRef/>
      </w:r>
      <w:r>
        <w:t xml:space="preserve">Moved to correct row as AMT574 addresses authorities’ product approval rather than internal product approval. </w:t>
      </w:r>
    </w:p>
  </w:comment>
  <w:comment w:id="8" w:author="Marjolein De Backer" w:date="2013-03-22T11:36:00Z" w:initials="MDB">
    <w:p w:rsidR="007F14B8" w:rsidRDefault="007F14B8">
      <w:pPr>
        <w:pStyle w:val="CommentText"/>
      </w:pPr>
      <w:r>
        <w:rPr>
          <w:rStyle w:val="CommentReference"/>
        </w:rPr>
        <w:annotationRef/>
      </w:r>
      <w:r>
        <w:t xml:space="preserve">SE pointed out it depends on the aim and level of information, therefore the secretariat added “detailed”. </w:t>
      </w:r>
    </w:p>
  </w:comment>
  <w:comment w:id="9" w:author="Marjolein De Backer" w:date="2013-03-22T11:17:00Z" w:initials="MDB">
    <w:p w:rsidR="007F14B8" w:rsidRDefault="007F14B8">
      <w:pPr>
        <w:pStyle w:val="CommentText"/>
      </w:pPr>
      <w:r>
        <w:rPr>
          <w:rStyle w:val="CommentReference"/>
        </w:rPr>
        <w:annotationRef/>
      </w:r>
      <w:r>
        <w:t xml:space="preserve">The secretariat has changed the tone of the sentence based on FR comment. FR wishes to clearly oppose the prescriptiveness but not copy/paste the UCITS risk classes into the regulation as that would also be too prescriptive. The secretariat has therefore deleted the reference to UCITS. </w:t>
      </w:r>
    </w:p>
  </w:comment>
  <w:comment w:id="10" w:author="Marjolein De Backer" w:date="2013-03-22T10:16:00Z" w:initials="MDB">
    <w:p w:rsidR="007F14B8" w:rsidRDefault="007F14B8">
      <w:pPr>
        <w:pStyle w:val="CommentText"/>
      </w:pPr>
      <w:r>
        <w:rPr>
          <w:rStyle w:val="CommentReference"/>
        </w:rPr>
        <w:annotationRef/>
      </w:r>
      <w:r>
        <w:t xml:space="preserve">The secretariat has changed the tone of the message to indicate Insurance Europe prefers AMT380 (in line with UK comment) given it does not require including a “summary indicator”. However (in line with DE comment), Insurance Europe welcomes the inclusion of a narrative regarding the risk profile but points out that concerns remain regarding the difficulties of developing a summary indicator. </w:t>
      </w:r>
    </w:p>
  </w:comment>
  <w:comment w:id="11" w:author="Marjolein De Backer" w:date="2013-03-22T11:40:00Z" w:initials="MDB">
    <w:p w:rsidR="007F14B8" w:rsidRDefault="007F14B8" w:rsidP="00C70054">
      <w:pPr>
        <w:pStyle w:val="CommentText"/>
      </w:pPr>
      <w:r>
        <w:rPr>
          <w:rStyle w:val="CommentReference"/>
        </w:rPr>
        <w:annotationRef/>
      </w:r>
      <w:r>
        <w:t xml:space="preserve">FR added concern regarding clarity of “investment product manufacturer” definition. </w:t>
      </w:r>
    </w:p>
    <w:p w:rsidR="007F14B8" w:rsidRDefault="007F14B8" w:rsidP="00C70054">
      <w:pPr>
        <w:pStyle w:val="CommentText"/>
      </w:pPr>
    </w:p>
    <w:p w:rsidR="007F14B8" w:rsidRPr="00614B04" w:rsidRDefault="007F14B8" w:rsidP="00C70054">
      <w:pPr>
        <w:pStyle w:val="CommentText"/>
        <w:rPr>
          <w:b/>
          <w:i/>
        </w:rPr>
      </w:pPr>
      <w:r>
        <w:t xml:space="preserve">SE pointed out that in Sweden there are products where the policyholder can chose any kind of PRIP as long as the insurance company will not be liable to any loss. </w:t>
      </w:r>
    </w:p>
  </w:comment>
  <w:comment w:id="12" w:author="Marjolein De Backer" w:date="2013-03-22T13:12:00Z" w:initials="MDB">
    <w:p w:rsidR="007F14B8" w:rsidRDefault="007F14B8">
      <w:pPr>
        <w:pStyle w:val="CommentText"/>
      </w:pPr>
      <w:r>
        <w:rPr>
          <w:rStyle w:val="CommentReference"/>
        </w:rPr>
        <w:annotationRef/>
      </w:r>
      <w:r>
        <w:t xml:space="preserve">Revised based on IT and FR comments. The AMT160 is not appropriate for the insurance industry given it refers to “transactions”. </w:t>
      </w:r>
      <w:r w:rsidR="00262BDE">
        <w:t xml:space="preserve"> </w:t>
      </w:r>
      <w:r>
        <w:t xml:space="preserve">AMT667 stipulates that existing products are exempted one year after the entry into force of the regulation. </w:t>
      </w:r>
    </w:p>
    <w:p w:rsidR="00262BDE" w:rsidRDefault="00262BDE">
      <w:pPr>
        <w:pStyle w:val="CommentText"/>
      </w:pPr>
    </w:p>
    <w:p w:rsidR="00262BDE" w:rsidRPr="00262BDE" w:rsidRDefault="00262BDE">
      <w:pPr>
        <w:pStyle w:val="CommentText"/>
        <w:rPr>
          <w:b/>
          <w:i/>
        </w:rPr>
      </w:pPr>
      <w:r w:rsidRPr="00262BDE">
        <w:rPr>
          <w:b/>
          <w:i/>
          <w:highlight w:val="yellow"/>
        </w:rPr>
        <w:t>To be confirmed at taskforce meeting.</w:t>
      </w:r>
      <w:r w:rsidRPr="00262BDE">
        <w:rPr>
          <w:b/>
          <w:i/>
        </w:rP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4B8" w:rsidRDefault="007F14B8">
      <w:r>
        <w:separator/>
      </w:r>
    </w:p>
    <w:p w:rsidR="007F14B8" w:rsidRDefault="007F14B8"/>
  </w:endnote>
  <w:endnote w:type="continuationSeparator" w:id="0">
    <w:p w:rsidR="007F14B8" w:rsidRDefault="007F14B8">
      <w:r>
        <w:continuationSeparator/>
      </w:r>
    </w:p>
    <w:p w:rsidR="007F14B8" w:rsidRDefault="007F1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F2F4F296-D0A9-4702-BBB8-990FDCA08DCD}"/>
    <w:embedBold r:id="rId2" w:fontKey="{141C1883-B58E-4ABC-81A3-E606A1ABEC46}"/>
    <w:embedItalic r:id="rId3" w:fontKey="{DDEBC178-D823-4238-ACC4-4E2FA7820AB5}"/>
    <w:embedBoldItalic r:id="rId4" w:fontKey="{E4D4529E-5638-4D27-93F4-457FBC2C0E19}"/>
  </w:font>
  <w:font w:name="Frutiger LT Com 45 Light">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C4B57BA-FD76-4045-9E30-6C2F77DFCDDB}"/>
  </w:font>
  <w:font w:name="Cambria">
    <w:panose1 w:val="02040503050406030204"/>
    <w:charset w:val="00"/>
    <w:family w:val="roman"/>
    <w:pitch w:val="variable"/>
    <w:sig w:usb0="E00002FF" w:usb1="400004FF" w:usb2="00000000" w:usb3="00000000" w:csb0="0000019F" w:csb1="00000000"/>
    <w:embedRegular r:id="rId6" w:fontKey="{33C61A14-C352-4CC0-814F-429FEE56B334}"/>
  </w:font>
  <w:font w:name="Calibri">
    <w:panose1 w:val="020F0502020204030204"/>
    <w:charset w:val="00"/>
    <w:family w:val="swiss"/>
    <w:pitch w:val="variable"/>
    <w:sig w:usb0="E10002FF" w:usb1="4000ACFF" w:usb2="00000009" w:usb3="00000000" w:csb0="0000019F" w:csb1="00000000"/>
    <w:embedRegular r:id="rId7" w:fontKey="{D5097018-B942-423E-958F-851C5DF1C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4B8" w:rsidRPr="00CD51F6" w:rsidRDefault="007F14B8" w:rsidP="002D7B6C">
    <w:pPr>
      <w:pStyle w:val="Footer"/>
      <w:jc w:val="center"/>
      <w:rPr>
        <w:rFonts w:cs="Arial"/>
        <w:b/>
        <w:color w:val="0032FF"/>
        <w:sz w:val="16"/>
        <w:szCs w:val="16"/>
        <w:lang w:val="pt-PT"/>
      </w:rPr>
    </w:pPr>
    <w:r>
      <w:rPr>
        <w:rStyle w:val="PageNumber"/>
      </w:rPr>
      <w:fldChar w:fldCharType="begin"/>
    </w:r>
    <w:r>
      <w:rPr>
        <w:rStyle w:val="PageNumber"/>
      </w:rPr>
      <w:instrText xml:space="preserve"> PAGE </w:instrText>
    </w:r>
    <w:r>
      <w:rPr>
        <w:rStyle w:val="PageNumber"/>
      </w:rPr>
      <w:fldChar w:fldCharType="separate"/>
    </w:r>
    <w:r w:rsidR="00F50153">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4B8" w:rsidRDefault="007F14B8">
      <w:r>
        <w:separator/>
      </w:r>
    </w:p>
    <w:p w:rsidR="007F14B8" w:rsidRDefault="007F14B8"/>
  </w:footnote>
  <w:footnote w:type="continuationSeparator" w:id="0">
    <w:p w:rsidR="007F14B8" w:rsidRDefault="007F14B8">
      <w:r>
        <w:continuationSeparator/>
      </w:r>
    </w:p>
    <w:p w:rsidR="007F14B8" w:rsidRDefault="007F1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4B8" w:rsidRPr="00832FB7" w:rsidRDefault="007F14B8" w:rsidP="000846C0">
    <w:pPr>
      <w:pStyle w:val="Noparagraphstyle"/>
      <w:jc w:val="right"/>
      <w:rPr>
        <w:rFonts w:ascii="Verdana" w:hAnsi="Verdana" w:cs="Arial"/>
        <w:b/>
        <w:i/>
        <w:iCs/>
        <w:color w:val="auto"/>
        <w:sz w:val="20"/>
        <w:szCs w:val="20"/>
      </w:rPr>
    </w:pPr>
    <w:r w:rsidRPr="00832FB7">
      <w:rPr>
        <w:rFonts w:ascii="Verdana" w:hAnsi="Verdana" w:cs="Arial"/>
        <w:b/>
        <w:i/>
        <w:iCs/>
        <w:color w:val="auto"/>
        <w:sz w:val="20"/>
        <w:szCs w:val="20"/>
      </w:rPr>
      <w:t xml:space="preserve">Draft </w:t>
    </w:r>
    <w:r w:rsidR="00161E03" w:rsidRPr="00832FB7">
      <w:rPr>
        <w:rFonts w:ascii="Verdana" w:hAnsi="Verdana" w:cs="Arial"/>
        <w:b/>
        <w:i/>
        <w:iCs/>
        <w:color w:val="auto"/>
        <w:sz w:val="20"/>
        <w:szCs w:val="20"/>
      </w:rPr>
      <w:t xml:space="preserve">22 </w:t>
    </w:r>
    <w:r w:rsidRPr="00832FB7">
      <w:rPr>
        <w:rFonts w:ascii="Verdana" w:hAnsi="Verdana" w:cs="Arial"/>
        <w:b/>
        <w:i/>
        <w:iCs/>
        <w:color w:val="auto"/>
        <w:sz w:val="20"/>
        <w:szCs w:val="20"/>
      </w:rPr>
      <w:t>March 2013</w:t>
    </w:r>
  </w:p>
  <w:p w:rsidR="007F14B8" w:rsidRPr="00A04965" w:rsidRDefault="007F14B8" w:rsidP="000846C0">
    <w:pPr>
      <w:pStyle w:val="Noparagraphstyle"/>
      <w:jc w:val="right"/>
      <w:rPr>
        <w:rFonts w:ascii="Verdana" w:hAnsi="Verdana" w:cs="Arial"/>
        <w:b/>
        <w:i/>
        <w:iCs/>
        <w:color w:val="auto"/>
        <w:sz w:val="20"/>
        <w:szCs w:val="20"/>
      </w:rPr>
    </w:pPr>
    <w:r w:rsidRPr="00832FB7">
      <w:rPr>
        <w:rFonts w:ascii="Verdana" w:hAnsi="Verdana" w:cs="Arial"/>
        <w:b/>
        <w:i/>
        <w:iCs/>
        <w:color w:val="auto"/>
        <w:sz w:val="20"/>
        <w:szCs w:val="20"/>
      </w:rPr>
      <w:t>SMC-PRIP-13-</w:t>
    </w:r>
    <w:r w:rsidR="00832FB7" w:rsidRPr="00832FB7">
      <w:rPr>
        <w:rFonts w:ascii="Verdana" w:hAnsi="Verdana" w:cs="Arial"/>
        <w:b/>
        <w:i/>
        <w:iCs/>
        <w:color w:val="auto"/>
        <w:sz w:val="20"/>
        <w:szCs w:val="20"/>
      </w:rPr>
      <w:t>031</w:t>
    </w:r>
  </w:p>
  <w:p w:rsidR="007F14B8" w:rsidRPr="007349E1" w:rsidRDefault="007F14B8" w:rsidP="007349E1">
    <w:pPr>
      <w:pStyle w:val="Header"/>
      <w:tabs>
        <w:tab w:val="clear" w:pos="4320"/>
        <w:tab w:val="clear" w:pos="8640"/>
        <w:tab w:val="center" w:pos="0"/>
        <w:tab w:val="right" w:pos="10440"/>
      </w:tabs>
      <w:rPr>
        <w:b/>
        <w:sz w:val="40"/>
        <w:szCs w:val="40"/>
      </w:rPr>
    </w:pPr>
    <w:r w:rsidRPr="00164309">
      <w:rPr>
        <w:b/>
        <w:noProof/>
        <w:sz w:val="40"/>
        <w:szCs w:val="40"/>
        <w:lang w:eastAsia="en-GB"/>
      </w:rPr>
      <w:drawing>
        <wp:anchor distT="0" distB="0" distL="114300" distR="114300" simplePos="0" relativeHeight="251659264" behindDoc="0" locked="0" layoutInCell="1" allowOverlap="1" wp14:anchorId="5DDA9753" wp14:editId="25EC2179">
          <wp:simplePos x="0" y="0"/>
          <wp:positionH relativeFrom="page">
            <wp:posOffset>524888</wp:posOffset>
          </wp:positionH>
          <wp:positionV relativeFrom="page">
            <wp:posOffset>525294</wp:posOffset>
          </wp:positionV>
          <wp:extent cx="1459555" cy="894944"/>
          <wp:effectExtent l="19050" t="0" r="0" b="0"/>
          <wp:wrapSquare wrapText="bothSides"/>
          <wp:docPr id="4"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11.25pt;height:11.25pt" o:bullet="t">
        <v:imagedata r:id="rId1" o:title="CEA - Bullets Rounded Squares_BulletLevel1_forMS"/>
      </v:shape>
    </w:pict>
  </w:numPicBullet>
  <w:numPicBullet w:numPicBulletId="1">
    <w:pict>
      <v:shape id="_x0000_i1264" type="#_x0000_t75" style="width:9pt;height:9pt" o:bullet="t">
        <v:imagedata r:id="rId2" o:title="CEA - Bullets Rounded Squares_BulletLevel3_forMS"/>
      </v:shape>
    </w:pict>
  </w:numPicBullet>
  <w:numPicBullet w:numPicBulletId="2">
    <w:pict>
      <v:shape id="_x0000_i1265"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9007F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D4E342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ACF0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3960D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ListNumber"/>
      <w:lvlText w:val="%1."/>
      <w:lvlJc w:val="left"/>
      <w:pPr>
        <w:tabs>
          <w:tab w:val="num" w:pos="360"/>
        </w:tabs>
        <w:ind w:left="360" w:hanging="360"/>
      </w:pPr>
    </w:lvl>
  </w:abstractNum>
  <w:abstractNum w:abstractNumId="9">
    <w:nsid w:val="FFFFFF89"/>
    <w:multiLevelType w:val="singleLevel"/>
    <w:tmpl w:val="4B14C1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nsid w:val="174C64FB"/>
    <w:multiLevelType w:val="multilevel"/>
    <w:tmpl w:val="FE522A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2A37D9C"/>
    <w:multiLevelType w:val="multilevel"/>
    <w:tmpl w:val="21588328"/>
    <w:lvl w:ilvl="0">
      <w:start w:val="5"/>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24EC27EE"/>
    <w:multiLevelType w:val="hybridMultilevel"/>
    <w:tmpl w:val="CA941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287677F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8E1093A"/>
    <w:multiLevelType w:val="hybridMultilevel"/>
    <w:tmpl w:val="EE8AE36C"/>
    <w:lvl w:ilvl="0" w:tplc="0809000F">
      <w:start w:val="1"/>
      <w:numFmt w:val="decimal"/>
      <w:lvlText w:val="%1."/>
      <w:lvlJc w:val="lef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8">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92C67A2"/>
    <w:multiLevelType w:val="multilevel"/>
    <w:tmpl w:val="1A5488EE"/>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72FA3AA0"/>
    <w:multiLevelType w:val="hybridMultilevel"/>
    <w:tmpl w:val="9300C98C"/>
    <w:lvl w:ilvl="0" w:tplc="0809000F">
      <w:start w:val="1"/>
      <w:numFmt w:val="decimal"/>
      <w:lvlText w:val="%1."/>
      <w:lvlJc w:val="lef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15"/>
  </w:num>
  <w:num w:numId="14">
    <w:abstractNumId w:val="20"/>
  </w:num>
  <w:num w:numId="15">
    <w:abstractNumId w:val="17"/>
  </w:num>
  <w:num w:numId="16">
    <w:abstractNumId w:val="10"/>
  </w:num>
  <w:num w:numId="17">
    <w:abstractNumId w:val="17"/>
  </w:num>
  <w:num w:numId="18">
    <w:abstractNumId w:val="11"/>
  </w:num>
  <w:num w:numId="19">
    <w:abstractNumId w:val="20"/>
  </w:num>
  <w:num w:numId="20">
    <w:abstractNumId w:val="20"/>
  </w:num>
  <w:num w:numId="21">
    <w:abstractNumId w:val="20"/>
  </w:num>
  <w:num w:numId="22">
    <w:abstractNumId w:val="20"/>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num>
  <w:num w:numId="36">
    <w:abstractNumId w:val="13"/>
  </w:num>
  <w:num w:numId="37">
    <w:abstractNumId w:val="16"/>
  </w:num>
  <w:num w:numId="38">
    <w:abstractNumId w:val="21"/>
  </w:num>
  <w:num w:numId="39">
    <w:abstractNumId w:val="20"/>
  </w:num>
  <w:num w:numId="40">
    <w:abstractNumId w:val="20"/>
  </w:num>
  <w:num w:numId="41">
    <w:abstractNumId w:val="20"/>
  </w:num>
  <w:num w:numId="42">
    <w:abstractNumId w:val="20"/>
  </w:num>
  <w:num w:numId="43">
    <w:abstractNumId w:val="20"/>
  </w:num>
  <w:num w:numId="44">
    <w:abstractNumId w:val="19"/>
  </w:num>
  <w:num w:numId="45">
    <w:abstractNumId w:val="12"/>
  </w:num>
  <w:num w:numId="46">
    <w:abstractNumId w:val="20"/>
  </w:num>
  <w:num w:numId="4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defaultTabStop w:val="1134"/>
  <w:hyphenationZone w:val="425"/>
  <w:characterSpacingControl w:val="doNotCompress"/>
  <w:hdrShapeDefaults>
    <o:shapedefaults v:ext="edit" spidmax="2049">
      <o:colormru v:ext="edit" colors="#034ea2,#5d9e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735"/>
    <w:rsid w:val="00000622"/>
    <w:rsid w:val="000011C1"/>
    <w:rsid w:val="00001EBB"/>
    <w:rsid w:val="000022C8"/>
    <w:rsid w:val="00002A72"/>
    <w:rsid w:val="00004FA7"/>
    <w:rsid w:val="00006017"/>
    <w:rsid w:val="000068C3"/>
    <w:rsid w:val="00007EE6"/>
    <w:rsid w:val="00010B8A"/>
    <w:rsid w:val="0001224E"/>
    <w:rsid w:val="00016271"/>
    <w:rsid w:val="00022DFF"/>
    <w:rsid w:val="000233DD"/>
    <w:rsid w:val="00023FF8"/>
    <w:rsid w:val="00034910"/>
    <w:rsid w:val="000354FA"/>
    <w:rsid w:val="00035C6C"/>
    <w:rsid w:val="00037F19"/>
    <w:rsid w:val="00037FBF"/>
    <w:rsid w:val="00043095"/>
    <w:rsid w:val="00044495"/>
    <w:rsid w:val="00044ECB"/>
    <w:rsid w:val="000455FE"/>
    <w:rsid w:val="00047182"/>
    <w:rsid w:val="0004778B"/>
    <w:rsid w:val="00051B20"/>
    <w:rsid w:val="00055795"/>
    <w:rsid w:val="00062772"/>
    <w:rsid w:val="00065779"/>
    <w:rsid w:val="00071178"/>
    <w:rsid w:val="000728E7"/>
    <w:rsid w:val="00074937"/>
    <w:rsid w:val="00074A39"/>
    <w:rsid w:val="00076557"/>
    <w:rsid w:val="00077701"/>
    <w:rsid w:val="000801D9"/>
    <w:rsid w:val="000810B2"/>
    <w:rsid w:val="00081D5F"/>
    <w:rsid w:val="000830F0"/>
    <w:rsid w:val="000846C0"/>
    <w:rsid w:val="0008493F"/>
    <w:rsid w:val="000869E1"/>
    <w:rsid w:val="0008722C"/>
    <w:rsid w:val="00087F5D"/>
    <w:rsid w:val="00091FFD"/>
    <w:rsid w:val="00093721"/>
    <w:rsid w:val="000942DF"/>
    <w:rsid w:val="0009470E"/>
    <w:rsid w:val="00094AED"/>
    <w:rsid w:val="00094F94"/>
    <w:rsid w:val="00095134"/>
    <w:rsid w:val="00096CE4"/>
    <w:rsid w:val="00096E89"/>
    <w:rsid w:val="00097FCA"/>
    <w:rsid w:val="000A3157"/>
    <w:rsid w:val="000A5C74"/>
    <w:rsid w:val="000B0B48"/>
    <w:rsid w:val="000B1B74"/>
    <w:rsid w:val="000B32DF"/>
    <w:rsid w:val="000B4897"/>
    <w:rsid w:val="000C1585"/>
    <w:rsid w:val="000C1AD6"/>
    <w:rsid w:val="000C1F9D"/>
    <w:rsid w:val="000C2041"/>
    <w:rsid w:val="000C23A4"/>
    <w:rsid w:val="000D15A5"/>
    <w:rsid w:val="000D3234"/>
    <w:rsid w:val="000D47D8"/>
    <w:rsid w:val="000D7DF5"/>
    <w:rsid w:val="000E12A5"/>
    <w:rsid w:val="000E1C9B"/>
    <w:rsid w:val="000E3B44"/>
    <w:rsid w:val="000E3F8B"/>
    <w:rsid w:val="000E47C1"/>
    <w:rsid w:val="000F0A3A"/>
    <w:rsid w:val="000F1F78"/>
    <w:rsid w:val="000F296B"/>
    <w:rsid w:val="00100FC6"/>
    <w:rsid w:val="00106659"/>
    <w:rsid w:val="00106B9C"/>
    <w:rsid w:val="001071E9"/>
    <w:rsid w:val="00113142"/>
    <w:rsid w:val="00113305"/>
    <w:rsid w:val="00113F11"/>
    <w:rsid w:val="00113FF1"/>
    <w:rsid w:val="0011531D"/>
    <w:rsid w:val="00120A99"/>
    <w:rsid w:val="00124950"/>
    <w:rsid w:val="00126148"/>
    <w:rsid w:val="001262D9"/>
    <w:rsid w:val="00127A6C"/>
    <w:rsid w:val="0013682A"/>
    <w:rsid w:val="00140DF3"/>
    <w:rsid w:val="00143C72"/>
    <w:rsid w:val="00146DE0"/>
    <w:rsid w:val="00150943"/>
    <w:rsid w:val="001538F9"/>
    <w:rsid w:val="00154F0E"/>
    <w:rsid w:val="001603D7"/>
    <w:rsid w:val="00161E03"/>
    <w:rsid w:val="00164309"/>
    <w:rsid w:val="001649DC"/>
    <w:rsid w:val="0017141D"/>
    <w:rsid w:val="00172CC0"/>
    <w:rsid w:val="001743E8"/>
    <w:rsid w:val="00174598"/>
    <w:rsid w:val="0017709B"/>
    <w:rsid w:val="00180348"/>
    <w:rsid w:val="00182068"/>
    <w:rsid w:val="00182700"/>
    <w:rsid w:val="001828B6"/>
    <w:rsid w:val="0018311F"/>
    <w:rsid w:val="0018318B"/>
    <w:rsid w:val="0019142E"/>
    <w:rsid w:val="00194820"/>
    <w:rsid w:val="00195A38"/>
    <w:rsid w:val="001964BE"/>
    <w:rsid w:val="0019669F"/>
    <w:rsid w:val="00197D41"/>
    <w:rsid w:val="001A022F"/>
    <w:rsid w:val="001A0BB7"/>
    <w:rsid w:val="001A50F7"/>
    <w:rsid w:val="001A6277"/>
    <w:rsid w:val="001A75E9"/>
    <w:rsid w:val="001B0A3A"/>
    <w:rsid w:val="001B1E41"/>
    <w:rsid w:val="001B29F2"/>
    <w:rsid w:val="001B5C13"/>
    <w:rsid w:val="001B5D1B"/>
    <w:rsid w:val="001C0D41"/>
    <w:rsid w:val="001C0EE5"/>
    <w:rsid w:val="001D600E"/>
    <w:rsid w:val="001D7006"/>
    <w:rsid w:val="001E0CCF"/>
    <w:rsid w:val="001F4EB9"/>
    <w:rsid w:val="001F6433"/>
    <w:rsid w:val="001F6EFC"/>
    <w:rsid w:val="001F71E3"/>
    <w:rsid w:val="001F7A0C"/>
    <w:rsid w:val="001F7D5D"/>
    <w:rsid w:val="00200EEC"/>
    <w:rsid w:val="00200F6E"/>
    <w:rsid w:val="0020115F"/>
    <w:rsid w:val="00201751"/>
    <w:rsid w:val="00203504"/>
    <w:rsid w:val="002057DC"/>
    <w:rsid w:val="00205DE0"/>
    <w:rsid w:val="002062A6"/>
    <w:rsid w:val="00207E39"/>
    <w:rsid w:val="00211FAE"/>
    <w:rsid w:val="002126F8"/>
    <w:rsid w:val="0021275E"/>
    <w:rsid w:val="00214D71"/>
    <w:rsid w:val="002233C7"/>
    <w:rsid w:val="00226415"/>
    <w:rsid w:val="00231943"/>
    <w:rsid w:val="0023287C"/>
    <w:rsid w:val="00234644"/>
    <w:rsid w:val="002349AC"/>
    <w:rsid w:val="002415C5"/>
    <w:rsid w:val="00242E2D"/>
    <w:rsid w:val="00244031"/>
    <w:rsid w:val="0024630B"/>
    <w:rsid w:val="0024638B"/>
    <w:rsid w:val="00250A18"/>
    <w:rsid w:val="002531AA"/>
    <w:rsid w:val="002531B2"/>
    <w:rsid w:val="00253AD9"/>
    <w:rsid w:val="00254BC5"/>
    <w:rsid w:val="002570D3"/>
    <w:rsid w:val="00262B12"/>
    <w:rsid w:val="00262BDE"/>
    <w:rsid w:val="00263C3C"/>
    <w:rsid w:val="00263D12"/>
    <w:rsid w:val="002644FF"/>
    <w:rsid w:val="00264FF8"/>
    <w:rsid w:val="00265C11"/>
    <w:rsid w:val="002670C2"/>
    <w:rsid w:val="00267516"/>
    <w:rsid w:val="00271812"/>
    <w:rsid w:val="00275373"/>
    <w:rsid w:val="002801FD"/>
    <w:rsid w:val="00280821"/>
    <w:rsid w:val="002810CD"/>
    <w:rsid w:val="00281A6F"/>
    <w:rsid w:val="002820FB"/>
    <w:rsid w:val="002825EA"/>
    <w:rsid w:val="00283ADA"/>
    <w:rsid w:val="00290278"/>
    <w:rsid w:val="00290D37"/>
    <w:rsid w:val="00292DE8"/>
    <w:rsid w:val="00295E49"/>
    <w:rsid w:val="0029642B"/>
    <w:rsid w:val="002A06EC"/>
    <w:rsid w:val="002A0E72"/>
    <w:rsid w:val="002A10D8"/>
    <w:rsid w:val="002A242E"/>
    <w:rsid w:val="002A26FA"/>
    <w:rsid w:val="002A5702"/>
    <w:rsid w:val="002A5B60"/>
    <w:rsid w:val="002A5DA1"/>
    <w:rsid w:val="002A6E93"/>
    <w:rsid w:val="002A7B00"/>
    <w:rsid w:val="002A7D7C"/>
    <w:rsid w:val="002B30E8"/>
    <w:rsid w:val="002B32BE"/>
    <w:rsid w:val="002B4237"/>
    <w:rsid w:val="002B72A8"/>
    <w:rsid w:val="002C074A"/>
    <w:rsid w:val="002C3275"/>
    <w:rsid w:val="002C35B0"/>
    <w:rsid w:val="002C3A0E"/>
    <w:rsid w:val="002C6607"/>
    <w:rsid w:val="002D142B"/>
    <w:rsid w:val="002D25F9"/>
    <w:rsid w:val="002D3146"/>
    <w:rsid w:val="002D7584"/>
    <w:rsid w:val="002D7855"/>
    <w:rsid w:val="002D7B6C"/>
    <w:rsid w:val="002D7C22"/>
    <w:rsid w:val="002E027B"/>
    <w:rsid w:val="002E0975"/>
    <w:rsid w:val="002E14A8"/>
    <w:rsid w:val="002E1D2C"/>
    <w:rsid w:val="002E2F8B"/>
    <w:rsid w:val="002E5E12"/>
    <w:rsid w:val="002E5EDF"/>
    <w:rsid w:val="002E6CA2"/>
    <w:rsid w:val="002F0FBF"/>
    <w:rsid w:val="002F30BB"/>
    <w:rsid w:val="002F55BB"/>
    <w:rsid w:val="002F6802"/>
    <w:rsid w:val="00300150"/>
    <w:rsid w:val="00303D59"/>
    <w:rsid w:val="003059C9"/>
    <w:rsid w:val="0030649E"/>
    <w:rsid w:val="003102F1"/>
    <w:rsid w:val="00313C83"/>
    <w:rsid w:val="003151D8"/>
    <w:rsid w:val="00316E19"/>
    <w:rsid w:val="00317DA0"/>
    <w:rsid w:val="0032023C"/>
    <w:rsid w:val="00322949"/>
    <w:rsid w:val="00323D1F"/>
    <w:rsid w:val="0032562F"/>
    <w:rsid w:val="00331233"/>
    <w:rsid w:val="00331C99"/>
    <w:rsid w:val="003355FE"/>
    <w:rsid w:val="00340958"/>
    <w:rsid w:val="00342398"/>
    <w:rsid w:val="0034295D"/>
    <w:rsid w:val="00342EF1"/>
    <w:rsid w:val="0034353C"/>
    <w:rsid w:val="003442D8"/>
    <w:rsid w:val="0034517E"/>
    <w:rsid w:val="00345FDD"/>
    <w:rsid w:val="00351F64"/>
    <w:rsid w:val="00353F7E"/>
    <w:rsid w:val="003559C3"/>
    <w:rsid w:val="00355B82"/>
    <w:rsid w:val="00364327"/>
    <w:rsid w:val="00364C8C"/>
    <w:rsid w:val="00366851"/>
    <w:rsid w:val="003677EA"/>
    <w:rsid w:val="0037179D"/>
    <w:rsid w:val="00374464"/>
    <w:rsid w:val="003756BA"/>
    <w:rsid w:val="00375EB4"/>
    <w:rsid w:val="00376401"/>
    <w:rsid w:val="00384458"/>
    <w:rsid w:val="0038574A"/>
    <w:rsid w:val="0038578F"/>
    <w:rsid w:val="00387F65"/>
    <w:rsid w:val="003908E6"/>
    <w:rsid w:val="00390E2A"/>
    <w:rsid w:val="00391193"/>
    <w:rsid w:val="003919EA"/>
    <w:rsid w:val="00392608"/>
    <w:rsid w:val="003944DA"/>
    <w:rsid w:val="00394BF7"/>
    <w:rsid w:val="00395CAB"/>
    <w:rsid w:val="003A0F7B"/>
    <w:rsid w:val="003A46B8"/>
    <w:rsid w:val="003A6AAA"/>
    <w:rsid w:val="003A7E41"/>
    <w:rsid w:val="003B357D"/>
    <w:rsid w:val="003C2276"/>
    <w:rsid w:val="003C72E8"/>
    <w:rsid w:val="003D0347"/>
    <w:rsid w:val="003D0CCD"/>
    <w:rsid w:val="003D1833"/>
    <w:rsid w:val="003D1BDE"/>
    <w:rsid w:val="003E0007"/>
    <w:rsid w:val="003E0EC1"/>
    <w:rsid w:val="003E1AA5"/>
    <w:rsid w:val="003E1B09"/>
    <w:rsid w:val="003E30DD"/>
    <w:rsid w:val="003E36CF"/>
    <w:rsid w:val="003E37E8"/>
    <w:rsid w:val="003E3EFB"/>
    <w:rsid w:val="003F1DFC"/>
    <w:rsid w:val="003F5823"/>
    <w:rsid w:val="00400FD0"/>
    <w:rsid w:val="00404394"/>
    <w:rsid w:val="004047E8"/>
    <w:rsid w:val="00404DAA"/>
    <w:rsid w:val="00406721"/>
    <w:rsid w:val="004109EA"/>
    <w:rsid w:val="0041161E"/>
    <w:rsid w:val="00411938"/>
    <w:rsid w:val="004140EB"/>
    <w:rsid w:val="0041481F"/>
    <w:rsid w:val="00415C70"/>
    <w:rsid w:val="004163C0"/>
    <w:rsid w:val="00420FCF"/>
    <w:rsid w:val="00422442"/>
    <w:rsid w:val="004224DC"/>
    <w:rsid w:val="00430879"/>
    <w:rsid w:val="00437220"/>
    <w:rsid w:val="00442487"/>
    <w:rsid w:val="00445D5E"/>
    <w:rsid w:val="00447293"/>
    <w:rsid w:val="004516AC"/>
    <w:rsid w:val="00453D66"/>
    <w:rsid w:val="004552CC"/>
    <w:rsid w:val="004570EA"/>
    <w:rsid w:val="004575F9"/>
    <w:rsid w:val="00460326"/>
    <w:rsid w:val="0046412F"/>
    <w:rsid w:val="0046741D"/>
    <w:rsid w:val="00473B09"/>
    <w:rsid w:val="00474786"/>
    <w:rsid w:val="00477D81"/>
    <w:rsid w:val="004806C0"/>
    <w:rsid w:val="004808ED"/>
    <w:rsid w:val="004820CF"/>
    <w:rsid w:val="00482FAE"/>
    <w:rsid w:val="00483847"/>
    <w:rsid w:val="00483EE4"/>
    <w:rsid w:val="00491331"/>
    <w:rsid w:val="00491549"/>
    <w:rsid w:val="00494470"/>
    <w:rsid w:val="00495D24"/>
    <w:rsid w:val="00495D62"/>
    <w:rsid w:val="00496051"/>
    <w:rsid w:val="00496796"/>
    <w:rsid w:val="004972E4"/>
    <w:rsid w:val="004A0078"/>
    <w:rsid w:val="004A10DB"/>
    <w:rsid w:val="004A168A"/>
    <w:rsid w:val="004A20A4"/>
    <w:rsid w:val="004A2505"/>
    <w:rsid w:val="004A27AD"/>
    <w:rsid w:val="004A441C"/>
    <w:rsid w:val="004B1C87"/>
    <w:rsid w:val="004B2740"/>
    <w:rsid w:val="004B2BA5"/>
    <w:rsid w:val="004B45B7"/>
    <w:rsid w:val="004B6DBE"/>
    <w:rsid w:val="004B6FFC"/>
    <w:rsid w:val="004C112C"/>
    <w:rsid w:val="004C3EB9"/>
    <w:rsid w:val="004C68DC"/>
    <w:rsid w:val="004C79D0"/>
    <w:rsid w:val="004C7ACC"/>
    <w:rsid w:val="004D2F99"/>
    <w:rsid w:val="004D3441"/>
    <w:rsid w:val="004D72CC"/>
    <w:rsid w:val="004E0668"/>
    <w:rsid w:val="004E36D7"/>
    <w:rsid w:val="004E3C37"/>
    <w:rsid w:val="004E52C3"/>
    <w:rsid w:val="004E6337"/>
    <w:rsid w:val="004F12DF"/>
    <w:rsid w:val="004F2891"/>
    <w:rsid w:val="004F3B66"/>
    <w:rsid w:val="005017B3"/>
    <w:rsid w:val="0050195D"/>
    <w:rsid w:val="005019D3"/>
    <w:rsid w:val="00504092"/>
    <w:rsid w:val="0050432C"/>
    <w:rsid w:val="0050436A"/>
    <w:rsid w:val="0050522A"/>
    <w:rsid w:val="005053B8"/>
    <w:rsid w:val="00512C7C"/>
    <w:rsid w:val="00514535"/>
    <w:rsid w:val="00516746"/>
    <w:rsid w:val="00516FCD"/>
    <w:rsid w:val="00517FE2"/>
    <w:rsid w:val="00520BA1"/>
    <w:rsid w:val="00522A96"/>
    <w:rsid w:val="0052539F"/>
    <w:rsid w:val="0052555D"/>
    <w:rsid w:val="00525982"/>
    <w:rsid w:val="005261EB"/>
    <w:rsid w:val="005306D6"/>
    <w:rsid w:val="00531D9D"/>
    <w:rsid w:val="00532614"/>
    <w:rsid w:val="00534F69"/>
    <w:rsid w:val="00535BEB"/>
    <w:rsid w:val="00535EA4"/>
    <w:rsid w:val="00540F05"/>
    <w:rsid w:val="00541E62"/>
    <w:rsid w:val="00542636"/>
    <w:rsid w:val="00542701"/>
    <w:rsid w:val="00544C54"/>
    <w:rsid w:val="0054630F"/>
    <w:rsid w:val="00546745"/>
    <w:rsid w:val="00547A29"/>
    <w:rsid w:val="005508D3"/>
    <w:rsid w:val="00556765"/>
    <w:rsid w:val="0056023E"/>
    <w:rsid w:val="00560448"/>
    <w:rsid w:val="00563911"/>
    <w:rsid w:val="005664E4"/>
    <w:rsid w:val="005674AA"/>
    <w:rsid w:val="00567AC6"/>
    <w:rsid w:val="005705C7"/>
    <w:rsid w:val="005715F6"/>
    <w:rsid w:val="00573C41"/>
    <w:rsid w:val="005752BC"/>
    <w:rsid w:val="00575E24"/>
    <w:rsid w:val="00576EE4"/>
    <w:rsid w:val="00581B23"/>
    <w:rsid w:val="005913BF"/>
    <w:rsid w:val="00592B3B"/>
    <w:rsid w:val="00594BD0"/>
    <w:rsid w:val="005958C7"/>
    <w:rsid w:val="00597B0A"/>
    <w:rsid w:val="005A261D"/>
    <w:rsid w:val="005A4B6A"/>
    <w:rsid w:val="005A5A31"/>
    <w:rsid w:val="005A6190"/>
    <w:rsid w:val="005B233B"/>
    <w:rsid w:val="005B26FC"/>
    <w:rsid w:val="005B3B48"/>
    <w:rsid w:val="005B3C3D"/>
    <w:rsid w:val="005B4CF7"/>
    <w:rsid w:val="005C0D74"/>
    <w:rsid w:val="005C2C81"/>
    <w:rsid w:val="005C5307"/>
    <w:rsid w:val="005C623D"/>
    <w:rsid w:val="005C77A9"/>
    <w:rsid w:val="005D14DF"/>
    <w:rsid w:val="005D2139"/>
    <w:rsid w:val="005D224D"/>
    <w:rsid w:val="005D3770"/>
    <w:rsid w:val="005E055F"/>
    <w:rsid w:val="005E360A"/>
    <w:rsid w:val="005F3091"/>
    <w:rsid w:val="005F4358"/>
    <w:rsid w:val="005F598E"/>
    <w:rsid w:val="005F7B6A"/>
    <w:rsid w:val="0060175B"/>
    <w:rsid w:val="00601ECE"/>
    <w:rsid w:val="006029D8"/>
    <w:rsid w:val="00606966"/>
    <w:rsid w:val="006074CC"/>
    <w:rsid w:val="00612E3C"/>
    <w:rsid w:val="00614B04"/>
    <w:rsid w:val="0061533A"/>
    <w:rsid w:val="006166C1"/>
    <w:rsid w:val="00620088"/>
    <w:rsid w:val="00622918"/>
    <w:rsid w:val="006261F2"/>
    <w:rsid w:val="00631D5B"/>
    <w:rsid w:val="00633549"/>
    <w:rsid w:val="00634ABE"/>
    <w:rsid w:val="00640E36"/>
    <w:rsid w:val="006433FE"/>
    <w:rsid w:val="00645068"/>
    <w:rsid w:val="006461E4"/>
    <w:rsid w:val="00647002"/>
    <w:rsid w:val="006478A1"/>
    <w:rsid w:val="00651372"/>
    <w:rsid w:val="00652C50"/>
    <w:rsid w:val="006560D8"/>
    <w:rsid w:val="006573AB"/>
    <w:rsid w:val="00662632"/>
    <w:rsid w:val="006644C4"/>
    <w:rsid w:val="00665335"/>
    <w:rsid w:val="00666D90"/>
    <w:rsid w:val="00674028"/>
    <w:rsid w:val="00675E2C"/>
    <w:rsid w:val="006767D7"/>
    <w:rsid w:val="006819E8"/>
    <w:rsid w:val="0068296A"/>
    <w:rsid w:val="00683873"/>
    <w:rsid w:val="00685E93"/>
    <w:rsid w:val="00686497"/>
    <w:rsid w:val="00686649"/>
    <w:rsid w:val="00686D45"/>
    <w:rsid w:val="00686F05"/>
    <w:rsid w:val="006903EC"/>
    <w:rsid w:val="00690A26"/>
    <w:rsid w:val="0069219E"/>
    <w:rsid w:val="0069273B"/>
    <w:rsid w:val="00694554"/>
    <w:rsid w:val="00696CBC"/>
    <w:rsid w:val="006A1200"/>
    <w:rsid w:val="006A3230"/>
    <w:rsid w:val="006A5DFE"/>
    <w:rsid w:val="006A5E41"/>
    <w:rsid w:val="006B0B7F"/>
    <w:rsid w:val="006B3A45"/>
    <w:rsid w:val="006C3B83"/>
    <w:rsid w:val="006C3FCA"/>
    <w:rsid w:val="006C4F65"/>
    <w:rsid w:val="006D0265"/>
    <w:rsid w:val="006D096C"/>
    <w:rsid w:val="006D0BD8"/>
    <w:rsid w:val="006D1113"/>
    <w:rsid w:val="006D155B"/>
    <w:rsid w:val="006D4719"/>
    <w:rsid w:val="006D79BF"/>
    <w:rsid w:val="006E2194"/>
    <w:rsid w:val="006E300F"/>
    <w:rsid w:val="006E34BD"/>
    <w:rsid w:val="006E3FB7"/>
    <w:rsid w:val="006E4206"/>
    <w:rsid w:val="006E4EDE"/>
    <w:rsid w:val="006E613D"/>
    <w:rsid w:val="006F2F66"/>
    <w:rsid w:val="006F6337"/>
    <w:rsid w:val="007016EB"/>
    <w:rsid w:val="00705194"/>
    <w:rsid w:val="00705738"/>
    <w:rsid w:val="00705904"/>
    <w:rsid w:val="00705B4E"/>
    <w:rsid w:val="00707B86"/>
    <w:rsid w:val="00710608"/>
    <w:rsid w:val="00710A88"/>
    <w:rsid w:val="00711114"/>
    <w:rsid w:val="00712888"/>
    <w:rsid w:val="00714494"/>
    <w:rsid w:val="00722867"/>
    <w:rsid w:val="00723957"/>
    <w:rsid w:val="007244F3"/>
    <w:rsid w:val="00727D20"/>
    <w:rsid w:val="0073008D"/>
    <w:rsid w:val="00731DB3"/>
    <w:rsid w:val="0073220E"/>
    <w:rsid w:val="007349E1"/>
    <w:rsid w:val="00736778"/>
    <w:rsid w:val="0073747B"/>
    <w:rsid w:val="0074020E"/>
    <w:rsid w:val="007405FE"/>
    <w:rsid w:val="00740784"/>
    <w:rsid w:val="00743C9F"/>
    <w:rsid w:val="00745AF1"/>
    <w:rsid w:val="00747CB3"/>
    <w:rsid w:val="00752B7A"/>
    <w:rsid w:val="00753709"/>
    <w:rsid w:val="007537B1"/>
    <w:rsid w:val="0075389D"/>
    <w:rsid w:val="00754A54"/>
    <w:rsid w:val="00754B3B"/>
    <w:rsid w:val="00756EAF"/>
    <w:rsid w:val="00774DC1"/>
    <w:rsid w:val="007750FF"/>
    <w:rsid w:val="00775D13"/>
    <w:rsid w:val="0077749D"/>
    <w:rsid w:val="00777A2E"/>
    <w:rsid w:val="00783C90"/>
    <w:rsid w:val="00785B8F"/>
    <w:rsid w:val="00791F10"/>
    <w:rsid w:val="007960F0"/>
    <w:rsid w:val="007A30A4"/>
    <w:rsid w:val="007A6454"/>
    <w:rsid w:val="007A6D3C"/>
    <w:rsid w:val="007B09D5"/>
    <w:rsid w:val="007B0D69"/>
    <w:rsid w:val="007B193A"/>
    <w:rsid w:val="007B392F"/>
    <w:rsid w:val="007B787D"/>
    <w:rsid w:val="007C10AC"/>
    <w:rsid w:val="007C4C35"/>
    <w:rsid w:val="007C5693"/>
    <w:rsid w:val="007C705A"/>
    <w:rsid w:val="007C7D7A"/>
    <w:rsid w:val="007D0530"/>
    <w:rsid w:val="007D4361"/>
    <w:rsid w:val="007D4A29"/>
    <w:rsid w:val="007D5795"/>
    <w:rsid w:val="007D6220"/>
    <w:rsid w:val="007D7B52"/>
    <w:rsid w:val="007E3340"/>
    <w:rsid w:val="007E3EC4"/>
    <w:rsid w:val="007E41A3"/>
    <w:rsid w:val="007E5CA8"/>
    <w:rsid w:val="007E7781"/>
    <w:rsid w:val="007F116F"/>
    <w:rsid w:val="007F14B8"/>
    <w:rsid w:val="007F1CB0"/>
    <w:rsid w:val="007F370C"/>
    <w:rsid w:val="007F3C74"/>
    <w:rsid w:val="007F53B8"/>
    <w:rsid w:val="0080047E"/>
    <w:rsid w:val="00801A88"/>
    <w:rsid w:val="00804FD5"/>
    <w:rsid w:val="00805A0D"/>
    <w:rsid w:val="00806579"/>
    <w:rsid w:val="00810054"/>
    <w:rsid w:val="0081274D"/>
    <w:rsid w:val="008136E0"/>
    <w:rsid w:val="00813FF5"/>
    <w:rsid w:val="00816B7B"/>
    <w:rsid w:val="00816C52"/>
    <w:rsid w:val="00817E41"/>
    <w:rsid w:val="008209CA"/>
    <w:rsid w:val="00820C9A"/>
    <w:rsid w:val="008224E9"/>
    <w:rsid w:val="00832FB7"/>
    <w:rsid w:val="00834FFA"/>
    <w:rsid w:val="0084632B"/>
    <w:rsid w:val="00846FB6"/>
    <w:rsid w:val="00847C53"/>
    <w:rsid w:val="008554A3"/>
    <w:rsid w:val="008560E8"/>
    <w:rsid w:val="00857299"/>
    <w:rsid w:val="008641E8"/>
    <w:rsid w:val="00864F12"/>
    <w:rsid w:val="0086792F"/>
    <w:rsid w:val="00872189"/>
    <w:rsid w:val="0087558C"/>
    <w:rsid w:val="00881AFE"/>
    <w:rsid w:val="00884F7D"/>
    <w:rsid w:val="0089139C"/>
    <w:rsid w:val="008923E6"/>
    <w:rsid w:val="008928BB"/>
    <w:rsid w:val="00892F3A"/>
    <w:rsid w:val="008938BB"/>
    <w:rsid w:val="0089401C"/>
    <w:rsid w:val="0089477A"/>
    <w:rsid w:val="00895E45"/>
    <w:rsid w:val="0089703C"/>
    <w:rsid w:val="0089761C"/>
    <w:rsid w:val="008A39CB"/>
    <w:rsid w:val="008A5396"/>
    <w:rsid w:val="008B53F1"/>
    <w:rsid w:val="008B58F3"/>
    <w:rsid w:val="008B5E70"/>
    <w:rsid w:val="008C0686"/>
    <w:rsid w:val="008C106D"/>
    <w:rsid w:val="008C3271"/>
    <w:rsid w:val="008C3A3F"/>
    <w:rsid w:val="008C4701"/>
    <w:rsid w:val="008C77A4"/>
    <w:rsid w:val="008D2EB2"/>
    <w:rsid w:val="008D32A7"/>
    <w:rsid w:val="008D48F8"/>
    <w:rsid w:val="008D4D50"/>
    <w:rsid w:val="008D73F5"/>
    <w:rsid w:val="008D782E"/>
    <w:rsid w:val="008D7BC8"/>
    <w:rsid w:val="008E23B7"/>
    <w:rsid w:val="008E3270"/>
    <w:rsid w:val="008E5D6A"/>
    <w:rsid w:val="008F15D0"/>
    <w:rsid w:val="008F425E"/>
    <w:rsid w:val="008F4439"/>
    <w:rsid w:val="008F48AD"/>
    <w:rsid w:val="008F4905"/>
    <w:rsid w:val="008F4DF3"/>
    <w:rsid w:val="008F6E21"/>
    <w:rsid w:val="00900150"/>
    <w:rsid w:val="00900C88"/>
    <w:rsid w:val="009016DE"/>
    <w:rsid w:val="00902DB0"/>
    <w:rsid w:val="00904346"/>
    <w:rsid w:val="009046CD"/>
    <w:rsid w:val="00904957"/>
    <w:rsid w:val="0090534C"/>
    <w:rsid w:val="00905EE9"/>
    <w:rsid w:val="00907D6C"/>
    <w:rsid w:val="0091279E"/>
    <w:rsid w:val="00913289"/>
    <w:rsid w:val="00916702"/>
    <w:rsid w:val="00917C5E"/>
    <w:rsid w:val="00921697"/>
    <w:rsid w:val="00922E3A"/>
    <w:rsid w:val="0092307C"/>
    <w:rsid w:val="00924297"/>
    <w:rsid w:val="00932976"/>
    <w:rsid w:val="009329B0"/>
    <w:rsid w:val="00933E4B"/>
    <w:rsid w:val="00933F44"/>
    <w:rsid w:val="009375A2"/>
    <w:rsid w:val="0094334C"/>
    <w:rsid w:val="00943EDC"/>
    <w:rsid w:val="0094458D"/>
    <w:rsid w:val="00946CC2"/>
    <w:rsid w:val="00947B48"/>
    <w:rsid w:val="00952041"/>
    <w:rsid w:val="00955CB5"/>
    <w:rsid w:val="009574E7"/>
    <w:rsid w:val="00957DF2"/>
    <w:rsid w:val="00957E5D"/>
    <w:rsid w:val="00964D2E"/>
    <w:rsid w:val="0096519C"/>
    <w:rsid w:val="009652F3"/>
    <w:rsid w:val="009654A1"/>
    <w:rsid w:val="00966CBF"/>
    <w:rsid w:val="00967C31"/>
    <w:rsid w:val="009702D7"/>
    <w:rsid w:val="00972012"/>
    <w:rsid w:val="00972A10"/>
    <w:rsid w:val="0097329E"/>
    <w:rsid w:val="0097345C"/>
    <w:rsid w:val="00974695"/>
    <w:rsid w:val="0097707F"/>
    <w:rsid w:val="0098170D"/>
    <w:rsid w:val="009864CB"/>
    <w:rsid w:val="00987B2A"/>
    <w:rsid w:val="00987FBC"/>
    <w:rsid w:val="00995CD3"/>
    <w:rsid w:val="009B09A3"/>
    <w:rsid w:val="009B7083"/>
    <w:rsid w:val="009B7739"/>
    <w:rsid w:val="009C4C06"/>
    <w:rsid w:val="009C520E"/>
    <w:rsid w:val="009C6601"/>
    <w:rsid w:val="009D030C"/>
    <w:rsid w:val="009D1BCD"/>
    <w:rsid w:val="009D3F92"/>
    <w:rsid w:val="009E0B5C"/>
    <w:rsid w:val="009E1C04"/>
    <w:rsid w:val="009E1C73"/>
    <w:rsid w:val="009E1DC6"/>
    <w:rsid w:val="009E510A"/>
    <w:rsid w:val="009F022D"/>
    <w:rsid w:val="009F03C9"/>
    <w:rsid w:val="009F062A"/>
    <w:rsid w:val="009F0E4D"/>
    <w:rsid w:val="009F45DA"/>
    <w:rsid w:val="009F47E1"/>
    <w:rsid w:val="009F4F52"/>
    <w:rsid w:val="00A019E6"/>
    <w:rsid w:val="00A02279"/>
    <w:rsid w:val="00A04965"/>
    <w:rsid w:val="00A0571A"/>
    <w:rsid w:val="00A05CEA"/>
    <w:rsid w:val="00A06A28"/>
    <w:rsid w:val="00A06EC9"/>
    <w:rsid w:val="00A07415"/>
    <w:rsid w:val="00A107DA"/>
    <w:rsid w:val="00A14119"/>
    <w:rsid w:val="00A1670C"/>
    <w:rsid w:val="00A20035"/>
    <w:rsid w:val="00A23C76"/>
    <w:rsid w:val="00A24497"/>
    <w:rsid w:val="00A334BA"/>
    <w:rsid w:val="00A3409F"/>
    <w:rsid w:val="00A3474B"/>
    <w:rsid w:val="00A34B65"/>
    <w:rsid w:val="00A4306D"/>
    <w:rsid w:val="00A44A0D"/>
    <w:rsid w:val="00A44EEF"/>
    <w:rsid w:val="00A45EA1"/>
    <w:rsid w:val="00A45EA5"/>
    <w:rsid w:val="00A45F7D"/>
    <w:rsid w:val="00A46610"/>
    <w:rsid w:val="00A5196B"/>
    <w:rsid w:val="00A527E2"/>
    <w:rsid w:val="00A55792"/>
    <w:rsid w:val="00A56B27"/>
    <w:rsid w:val="00A57571"/>
    <w:rsid w:val="00A57631"/>
    <w:rsid w:val="00A600AB"/>
    <w:rsid w:val="00A61790"/>
    <w:rsid w:val="00A63CC0"/>
    <w:rsid w:val="00A67294"/>
    <w:rsid w:val="00A677E9"/>
    <w:rsid w:val="00A678F8"/>
    <w:rsid w:val="00A714ED"/>
    <w:rsid w:val="00A76FD2"/>
    <w:rsid w:val="00A8130B"/>
    <w:rsid w:val="00A82035"/>
    <w:rsid w:val="00A841EE"/>
    <w:rsid w:val="00A84B61"/>
    <w:rsid w:val="00A86B48"/>
    <w:rsid w:val="00A91EDF"/>
    <w:rsid w:val="00A9408A"/>
    <w:rsid w:val="00A948D4"/>
    <w:rsid w:val="00AA088F"/>
    <w:rsid w:val="00AA133D"/>
    <w:rsid w:val="00AA1E0B"/>
    <w:rsid w:val="00AA23BE"/>
    <w:rsid w:val="00AA3040"/>
    <w:rsid w:val="00AA5029"/>
    <w:rsid w:val="00AA5413"/>
    <w:rsid w:val="00AA753F"/>
    <w:rsid w:val="00AA793E"/>
    <w:rsid w:val="00AB0D62"/>
    <w:rsid w:val="00AB148D"/>
    <w:rsid w:val="00AB3E0A"/>
    <w:rsid w:val="00AB3E19"/>
    <w:rsid w:val="00AB4DF6"/>
    <w:rsid w:val="00AB7DE4"/>
    <w:rsid w:val="00AC08E3"/>
    <w:rsid w:val="00AC1770"/>
    <w:rsid w:val="00AC73FB"/>
    <w:rsid w:val="00AD0768"/>
    <w:rsid w:val="00AD160B"/>
    <w:rsid w:val="00AD332E"/>
    <w:rsid w:val="00AD4B9B"/>
    <w:rsid w:val="00AD624C"/>
    <w:rsid w:val="00AD735F"/>
    <w:rsid w:val="00AD7F68"/>
    <w:rsid w:val="00AE0559"/>
    <w:rsid w:val="00AE2018"/>
    <w:rsid w:val="00AE544A"/>
    <w:rsid w:val="00AE7ACD"/>
    <w:rsid w:val="00AF3871"/>
    <w:rsid w:val="00AF3A07"/>
    <w:rsid w:val="00AF457F"/>
    <w:rsid w:val="00AF64A5"/>
    <w:rsid w:val="00AF7019"/>
    <w:rsid w:val="00AF7A50"/>
    <w:rsid w:val="00B07CFA"/>
    <w:rsid w:val="00B12089"/>
    <w:rsid w:val="00B1269A"/>
    <w:rsid w:val="00B14E82"/>
    <w:rsid w:val="00B15130"/>
    <w:rsid w:val="00B16FAE"/>
    <w:rsid w:val="00B179BA"/>
    <w:rsid w:val="00B2434E"/>
    <w:rsid w:val="00B278D9"/>
    <w:rsid w:val="00B316E4"/>
    <w:rsid w:val="00B31991"/>
    <w:rsid w:val="00B41BAC"/>
    <w:rsid w:val="00B4429F"/>
    <w:rsid w:val="00B45119"/>
    <w:rsid w:val="00B45C93"/>
    <w:rsid w:val="00B47882"/>
    <w:rsid w:val="00B50CA0"/>
    <w:rsid w:val="00B50D4A"/>
    <w:rsid w:val="00B549F1"/>
    <w:rsid w:val="00B557FE"/>
    <w:rsid w:val="00B578ED"/>
    <w:rsid w:val="00B612D6"/>
    <w:rsid w:val="00B62C5B"/>
    <w:rsid w:val="00B64DA7"/>
    <w:rsid w:val="00B66118"/>
    <w:rsid w:val="00B66756"/>
    <w:rsid w:val="00B668A7"/>
    <w:rsid w:val="00B673B7"/>
    <w:rsid w:val="00B6747E"/>
    <w:rsid w:val="00B67EF0"/>
    <w:rsid w:val="00B70306"/>
    <w:rsid w:val="00B72EEB"/>
    <w:rsid w:val="00B77A0B"/>
    <w:rsid w:val="00B77C4B"/>
    <w:rsid w:val="00B80FC4"/>
    <w:rsid w:val="00B84010"/>
    <w:rsid w:val="00B842B1"/>
    <w:rsid w:val="00B84551"/>
    <w:rsid w:val="00B85BAB"/>
    <w:rsid w:val="00B929A9"/>
    <w:rsid w:val="00B94B8A"/>
    <w:rsid w:val="00B96677"/>
    <w:rsid w:val="00B976E0"/>
    <w:rsid w:val="00BA0174"/>
    <w:rsid w:val="00BA0C9C"/>
    <w:rsid w:val="00BA104E"/>
    <w:rsid w:val="00BA1B6C"/>
    <w:rsid w:val="00BA1EF6"/>
    <w:rsid w:val="00BA2293"/>
    <w:rsid w:val="00BA424E"/>
    <w:rsid w:val="00BA751E"/>
    <w:rsid w:val="00BB09A2"/>
    <w:rsid w:val="00BB0BC8"/>
    <w:rsid w:val="00BB31C2"/>
    <w:rsid w:val="00BB3E93"/>
    <w:rsid w:val="00BB4445"/>
    <w:rsid w:val="00BB581B"/>
    <w:rsid w:val="00BB5CF1"/>
    <w:rsid w:val="00BB6F39"/>
    <w:rsid w:val="00BC2057"/>
    <w:rsid w:val="00BC2541"/>
    <w:rsid w:val="00BC37DA"/>
    <w:rsid w:val="00BC43B5"/>
    <w:rsid w:val="00BC5C3D"/>
    <w:rsid w:val="00BC6EA7"/>
    <w:rsid w:val="00BD0817"/>
    <w:rsid w:val="00BD211F"/>
    <w:rsid w:val="00BD2C50"/>
    <w:rsid w:val="00BD3347"/>
    <w:rsid w:val="00BD38BB"/>
    <w:rsid w:val="00BD3FDA"/>
    <w:rsid w:val="00BD5C86"/>
    <w:rsid w:val="00BD70C1"/>
    <w:rsid w:val="00BD7265"/>
    <w:rsid w:val="00BD7E6E"/>
    <w:rsid w:val="00BE0D72"/>
    <w:rsid w:val="00BE1602"/>
    <w:rsid w:val="00BE2332"/>
    <w:rsid w:val="00BE2446"/>
    <w:rsid w:val="00BE71A7"/>
    <w:rsid w:val="00BE797B"/>
    <w:rsid w:val="00BF18A2"/>
    <w:rsid w:val="00BF25DD"/>
    <w:rsid w:val="00BF2BD5"/>
    <w:rsid w:val="00BF36F5"/>
    <w:rsid w:val="00BF3A9C"/>
    <w:rsid w:val="00BF6216"/>
    <w:rsid w:val="00BF746C"/>
    <w:rsid w:val="00BF7A37"/>
    <w:rsid w:val="00C00FB0"/>
    <w:rsid w:val="00C060D1"/>
    <w:rsid w:val="00C1123D"/>
    <w:rsid w:val="00C118F5"/>
    <w:rsid w:val="00C14C59"/>
    <w:rsid w:val="00C158FB"/>
    <w:rsid w:val="00C20E7D"/>
    <w:rsid w:val="00C21EB9"/>
    <w:rsid w:val="00C23324"/>
    <w:rsid w:val="00C24175"/>
    <w:rsid w:val="00C24706"/>
    <w:rsid w:val="00C251DA"/>
    <w:rsid w:val="00C2768D"/>
    <w:rsid w:val="00C277B0"/>
    <w:rsid w:val="00C30E98"/>
    <w:rsid w:val="00C371FA"/>
    <w:rsid w:val="00C4206C"/>
    <w:rsid w:val="00C423FE"/>
    <w:rsid w:val="00C440C7"/>
    <w:rsid w:val="00C51E20"/>
    <w:rsid w:val="00C5243A"/>
    <w:rsid w:val="00C527EA"/>
    <w:rsid w:val="00C5581E"/>
    <w:rsid w:val="00C606AC"/>
    <w:rsid w:val="00C6152C"/>
    <w:rsid w:val="00C61DFE"/>
    <w:rsid w:val="00C66B70"/>
    <w:rsid w:val="00C70054"/>
    <w:rsid w:val="00C7043B"/>
    <w:rsid w:val="00C70C3E"/>
    <w:rsid w:val="00C712BF"/>
    <w:rsid w:val="00C71A63"/>
    <w:rsid w:val="00C727A5"/>
    <w:rsid w:val="00C77F3C"/>
    <w:rsid w:val="00C818FB"/>
    <w:rsid w:val="00C82E56"/>
    <w:rsid w:val="00C839F4"/>
    <w:rsid w:val="00C865C5"/>
    <w:rsid w:val="00C865E5"/>
    <w:rsid w:val="00C87416"/>
    <w:rsid w:val="00C967E4"/>
    <w:rsid w:val="00C967E6"/>
    <w:rsid w:val="00CA26CE"/>
    <w:rsid w:val="00CA3B67"/>
    <w:rsid w:val="00CA431B"/>
    <w:rsid w:val="00CA5E0D"/>
    <w:rsid w:val="00CA5F18"/>
    <w:rsid w:val="00CB1C74"/>
    <w:rsid w:val="00CB3C87"/>
    <w:rsid w:val="00CB535F"/>
    <w:rsid w:val="00CC045C"/>
    <w:rsid w:val="00CC0DF5"/>
    <w:rsid w:val="00CC2772"/>
    <w:rsid w:val="00CC2783"/>
    <w:rsid w:val="00CC4C42"/>
    <w:rsid w:val="00CC6B3E"/>
    <w:rsid w:val="00CC6ECE"/>
    <w:rsid w:val="00CD0630"/>
    <w:rsid w:val="00CD1028"/>
    <w:rsid w:val="00CD1B2E"/>
    <w:rsid w:val="00CD2C2F"/>
    <w:rsid w:val="00CD51F6"/>
    <w:rsid w:val="00CD68AB"/>
    <w:rsid w:val="00CD7B65"/>
    <w:rsid w:val="00CE054D"/>
    <w:rsid w:val="00CE1913"/>
    <w:rsid w:val="00CE2A40"/>
    <w:rsid w:val="00CE30FB"/>
    <w:rsid w:val="00CE5F76"/>
    <w:rsid w:val="00CE5FAC"/>
    <w:rsid w:val="00CE7735"/>
    <w:rsid w:val="00CF0221"/>
    <w:rsid w:val="00CF33DD"/>
    <w:rsid w:val="00CF4939"/>
    <w:rsid w:val="00CF642D"/>
    <w:rsid w:val="00CF7745"/>
    <w:rsid w:val="00D036EE"/>
    <w:rsid w:val="00D11161"/>
    <w:rsid w:val="00D11914"/>
    <w:rsid w:val="00D1453C"/>
    <w:rsid w:val="00D148FD"/>
    <w:rsid w:val="00D1608F"/>
    <w:rsid w:val="00D2016F"/>
    <w:rsid w:val="00D20C53"/>
    <w:rsid w:val="00D226E3"/>
    <w:rsid w:val="00D2488B"/>
    <w:rsid w:val="00D30207"/>
    <w:rsid w:val="00D35D2F"/>
    <w:rsid w:val="00D35FDE"/>
    <w:rsid w:val="00D36236"/>
    <w:rsid w:val="00D3715A"/>
    <w:rsid w:val="00D46C81"/>
    <w:rsid w:val="00D478F1"/>
    <w:rsid w:val="00D545D2"/>
    <w:rsid w:val="00D57303"/>
    <w:rsid w:val="00D6112A"/>
    <w:rsid w:val="00D61B2A"/>
    <w:rsid w:val="00D64530"/>
    <w:rsid w:val="00D66DB0"/>
    <w:rsid w:val="00D67B0B"/>
    <w:rsid w:val="00D70E10"/>
    <w:rsid w:val="00D73A39"/>
    <w:rsid w:val="00D74147"/>
    <w:rsid w:val="00D74E03"/>
    <w:rsid w:val="00D76B02"/>
    <w:rsid w:val="00D76EB5"/>
    <w:rsid w:val="00D82B7C"/>
    <w:rsid w:val="00D8396B"/>
    <w:rsid w:val="00D84F59"/>
    <w:rsid w:val="00D87907"/>
    <w:rsid w:val="00D93198"/>
    <w:rsid w:val="00D95951"/>
    <w:rsid w:val="00D95A83"/>
    <w:rsid w:val="00DA1FD8"/>
    <w:rsid w:val="00DA20F5"/>
    <w:rsid w:val="00DA384B"/>
    <w:rsid w:val="00DA41D4"/>
    <w:rsid w:val="00DA4631"/>
    <w:rsid w:val="00DA529D"/>
    <w:rsid w:val="00DB0207"/>
    <w:rsid w:val="00DB15EF"/>
    <w:rsid w:val="00DB1990"/>
    <w:rsid w:val="00DB340A"/>
    <w:rsid w:val="00DB419A"/>
    <w:rsid w:val="00DB6297"/>
    <w:rsid w:val="00DB62A7"/>
    <w:rsid w:val="00DB64E4"/>
    <w:rsid w:val="00DB6F74"/>
    <w:rsid w:val="00DB74B6"/>
    <w:rsid w:val="00DC10C2"/>
    <w:rsid w:val="00DC18B5"/>
    <w:rsid w:val="00DC2178"/>
    <w:rsid w:val="00DC45F5"/>
    <w:rsid w:val="00DC5114"/>
    <w:rsid w:val="00DC6422"/>
    <w:rsid w:val="00DD5D5D"/>
    <w:rsid w:val="00DE2A0E"/>
    <w:rsid w:val="00DE58B3"/>
    <w:rsid w:val="00DF0C87"/>
    <w:rsid w:val="00DF0F56"/>
    <w:rsid w:val="00DF4211"/>
    <w:rsid w:val="00DF5072"/>
    <w:rsid w:val="00DF5A0D"/>
    <w:rsid w:val="00DF6F09"/>
    <w:rsid w:val="00E00D05"/>
    <w:rsid w:val="00E011B0"/>
    <w:rsid w:val="00E01A4C"/>
    <w:rsid w:val="00E02734"/>
    <w:rsid w:val="00E02931"/>
    <w:rsid w:val="00E04F43"/>
    <w:rsid w:val="00E05040"/>
    <w:rsid w:val="00E05A98"/>
    <w:rsid w:val="00E07959"/>
    <w:rsid w:val="00E07E9A"/>
    <w:rsid w:val="00E15837"/>
    <w:rsid w:val="00E166BA"/>
    <w:rsid w:val="00E16CD5"/>
    <w:rsid w:val="00E1779E"/>
    <w:rsid w:val="00E21306"/>
    <w:rsid w:val="00E30A77"/>
    <w:rsid w:val="00E34DD6"/>
    <w:rsid w:val="00E41D99"/>
    <w:rsid w:val="00E4599E"/>
    <w:rsid w:val="00E55F1D"/>
    <w:rsid w:val="00E578A4"/>
    <w:rsid w:val="00E608BD"/>
    <w:rsid w:val="00E61627"/>
    <w:rsid w:val="00E6183A"/>
    <w:rsid w:val="00E61D60"/>
    <w:rsid w:val="00E61F4F"/>
    <w:rsid w:val="00E626E5"/>
    <w:rsid w:val="00E64846"/>
    <w:rsid w:val="00E65E25"/>
    <w:rsid w:val="00E71FFF"/>
    <w:rsid w:val="00E7261A"/>
    <w:rsid w:val="00E74D0C"/>
    <w:rsid w:val="00E756D8"/>
    <w:rsid w:val="00E77C1D"/>
    <w:rsid w:val="00E77E2F"/>
    <w:rsid w:val="00E826CD"/>
    <w:rsid w:val="00E83CA1"/>
    <w:rsid w:val="00E854A6"/>
    <w:rsid w:val="00E922EE"/>
    <w:rsid w:val="00E9503A"/>
    <w:rsid w:val="00E96991"/>
    <w:rsid w:val="00E9752D"/>
    <w:rsid w:val="00E97AA7"/>
    <w:rsid w:val="00EA15EF"/>
    <w:rsid w:val="00EA46F9"/>
    <w:rsid w:val="00EA5252"/>
    <w:rsid w:val="00EB06B7"/>
    <w:rsid w:val="00EB0883"/>
    <w:rsid w:val="00EB1A45"/>
    <w:rsid w:val="00EB2B3F"/>
    <w:rsid w:val="00EB4869"/>
    <w:rsid w:val="00EB4D7C"/>
    <w:rsid w:val="00EB5241"/>
    <w:rsid w:val="00EC00B4"/>
    <w:rsid w:val="00EC03AD"/>
    <w:rsid w:val="00EC0D36"/>
    <w:rsid w:val="00EC39A4"/>
    <w:rsid w:val="00EC485E"/>
    <w:rsid w:val="00EC4CAB"/>
    <w:rsid w:val="00EC5433"/>
    <w:rsid w:val="00EC5E39"/>
    <w:rsid w:val="00EC5E5A"/>
    <w:rsid w:val="00EC7423"/>
    <w:rsid w:val="00EC7D8A"/>
    <w:rsid w:val="00ED647F"/>
    <w:rsid w:val="00ED6E55"/>
    <w:rsid w:val="00EE0ED7"/>
    <w:rsid w:val="00EE12C4"/>
    <w:rsid w:val="00EE62AA"/>
    <w:rsid w:val="00EE649C"/>
    <w:rsid w:val="00EE7D12"/>
    <w:rsid w:val="00EF39EF"/>
    <w:rsid w:val="00EF3C22"/>
    <w:rsid w:val="00EF424D"/>
    <w:rsid w:val="00EF4577"/>
    <w:rsid w:val="00EF629C"/>
    <w:rsid w:val="00EF7A2A"/>
    <w:rsid w:val="00EF7C02"/>
    <w:rsid w:val="00F01FFB"/>
    <w:rsid w:val="00F03124"/>
    <w:rsid w:val="00F060F5"/>
    <w:rsid w:val="00F06974"/>
    <w:rsid w:val="00F10156"/>
    <w:rsid w:val="00F148EC"/>
    <w:rsid w:val="00F14C7F"/>
    <w:rsid w:val="00F15625"/>
    <w:rsid w:val="00F25ED3"/>
    <w:rsid w:val="00F27607"/>
    <w:rsid w:val="00F30A23"/>
    <w:rsid w:val="00F311E9"/>
    <w:rsid w:val="00F333AF"/>
    <w:rsid w:val="00F3595B"/>
    <w:rsid w:val="00F42042"/>
    <w:rsid w:val="00F42178"/>
    <w:rsid w:val="00F4271C"/>
    <w:rsid w:val="00F42E98"/>
    <w:rsid w:val="00F46AEA"/>
    <w:rsid w:val="00F50153"/>
    <w:rsid w:val="00F51339"/>
    <w:rsid w:val="00F517A2"/>
    <w:rsid w:val="00F51F7C"/>
    <w:rsid w:val="00F52B9D"/>
    <w:rsid w:val="00F52BC0"/>
    <w:rsid w:val="00F530F7"/>
    <w:rsid w:val="00F530F8"/>
    <w:rsid w:val="00F54537"/>
    <w:rsid w:val="00F5528C"/>
    <w:rsid w:val="00F55DAD"/>
    <w:rsid w:val="00F56AD9"/>
    <w:rsid w:val="00F57A02"/>
    <w:rsid w:val="00F63971"/>
    <w:rsid w:val="00F64A34"/>
    <w:rsid w:val="00F64A46"/>
    <w:rsid w:val="00F65CBD"/>
    <w:rsid w:val="00F73BA5"/>
    <w:rsid w:val="00F7420A"/>
    <w:rsid w:val="00F748B5"/>
    <w:rsid w:val="00F74955"/>
    <w:rsid w:val="00F810C8"/>
    <w:rsid w:val="00F82061"/>
    <w:rsid w:val="00F83832"/>
    <w:rsid w:val="00F839A3"/>
    <w:rsid w:val="00F8438B"/>
    <w:rsid w:val="00F853BB"/>
    <w:rsid w:val="00F90E8C"/>
    <w:rsid w:val="00F923DA"/>
    <w:rsid w:val="00F9332E"/>
    <w:rsid w:val="00F9355E"/>
    <w:rsid w:val="00F95611"/>
    <w:rsid w:val="00F96061"/>
    <w:rsid w:val="00FA0520"/>
    <w:rsid w:val="00FA2AC3"/>
    <w:rsid w:val="00FA4789"/>
    <w:rsid w:val="00FA4F1A"/>
    <w:rsid w:val="00FA53FE"/>
    <w:rsid w:val="00FA5B89"/>
    <w:rsid w:val="00FA6684"/>
    <w:rsid w:val="00FB1F09"/>
    <w:rsid w:val="00FB3B3D"/>
    <w:rsid w:val="00FB46B6"/>
    <w:rsid w:val="00FB5421"/>
    <w:rsid w:val="00FB6631"/>
    <w:rsid w:val="00FC0533"/>
    <w:rsid w:val="00FC22B4"/>
    <w:rsid w:val="00FC236B"/>
    <w:rsid w:val="00FC558E"/>
    <w:rsid w:val="00FC7473"/>
    <w:rsid w:val="00FC7487"/>
    <w:rsid w:val="00FD5886"/>
    <w:rsid w:val="00FD633F"/>
    <w:rsid w:val="00FE03B6"/>
    <w:rsid w:val="00FE585D"/>
    <w:rsid w:val="00FE65BA"/>
    <w:rsid w:val="00FE73A8"/>
    <w:rsid w:val="00FE73D6"/>
    <w:rsid w:val="00FF11CA"/>
    <w:rsid w:val="00FF211D"/>
    <w:rsid w:val="00FF50BE"/>
    <w:rsid w:val="00FF57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4ea2,#5d9e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71E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rsid w:val="007F370C"/>
    <w:pPr>
      <w:ind w:left="720"/>
      <w:contextualSpacing/>
    </w:pPr>
  </w:style>
  <w:style w:type="paragraph" w:styleId="Revision">
    <w:name w:val="Revision"/>
    <w:hidden/>
    <w:uiPriority w:val="99"/>
    <w:semiHidden/>
    <w:rsid w:val="00265C11"/>
    <w:rPr>
      <w:rFonts w:ascii="Verdana" w:hAnsi="Verdana"/>
      <w:sz w:val="17"/>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71E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rsid w:val="007F370C"/>
    <w:pPr>
      <w:ind w:left="720"/>
      <w:contextualSpacing/>
    </w:pPr>
  </w:style>
  <w:style w:type="paragraph" w:styleId="Revision">
    <w:name w:val="Revision"/>
    <w:hidden/>
    <w:uiPriority w:val="99"/>
    <w:semiHidden/>
    <w:rsid w:val="00265C11"/>
    <w:rPr>
      <w:rFonts w:ascii="Verdana" w:hAnsi="Verdana"/>
      <w:sz w:val="17"/>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843056476">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3B262-66A9-4C56-8C4B-BCDFCA6C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682</TotalTime>
  <Pages>15</Pages>
  <Words>5816</Words>
  <Characters>34593</Characters>
  <Application>Microsoft Office Word</Application>
  <DocSecurity>0</DocSecurity>
  <Lines>1820</Lines>
  <Paragraphs>1154</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39255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Malene Rasmussen</dc:creator>
  <cp:lastModifiedBy>Marjolein De Backer</cp:lastModifiedBy>
  <cp:revision>16</cp:revision>
  <cp:lastPrinted>2013-03-15T15:07:00Z</cp:lastPrinted>
  <dcterms:created xsi:type="dcterms:W3CDTF">2013-03-21T09:13:00Z</dcterms:created>
  <dcterms:modified xsi:type="dcterms:W3CDTF">2013-03-22T13:35:00Z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malener</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