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12" w:rsidRDefault="00AD7E12" w:rsidP="00AD7E12">
      <w:pPr>
        <w:pStyle w:val="Default"/>
      </w:pPr>
    </w:p>
    <w:p w:rsidR="00665145" w:rsidRDefault="00AD7E12" w:rsidP="00AD7E12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AD7E12">
        <w:rPr>
          <w:rFonts w:asciiTheme="minorHAnsi" w:hAnsiTheme="minorHAnsi"/>
          <w:b/>
          <w:bCs/>
          <w:sz w:val="22"/>
          <w:szCs w:val="22"/>
          <w:lang w:val="en-US"/>
        </w:rPr>
        <w:t xml:space="preserve">Overview </w:t>
      </w:r>
      <w:r w:rsidR="00665145">
        <w:rPr>
          <w:rFonts w:asciiTheme="minorHAnsi" w:hAnsiTheme="minorHAnsi"/>
          <w:b/>
          <w:bCs/>
          <w:sz w:val="22"/>
          <w:szCs w:val="22"/>
          <w:lang w:val="en-US"/>
        </w:rPr>
        <w:t xml:space="preserve">  </w:t>
      </w:r>
    </w:p>
    <w:p w:rsidR="00AD7E12" w:rsidRDefault="00665145" w:rsidP="00AD7E12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sz w:val="22"/>
          <w:szCs w:val="22"/>
          <w:lang w:val="en-US"/>
        </w:rPr>
        <w:t>18. - 2. 2014</w:t>
      </w:r>
    </w:p>
    <w:p w:rsidR="00AD7E12" w:rsidRPr="00AD7E12" w:rsidRDefault="00AD7E12" w:rsidP="00AD7E12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93"/>
        <w:gridCol w:w="3093"/>
        <w:gridCol w:w="3093"/>
      </w:tblGrid>
      <w:tr w:rsidR="00AD7E12" w:rsidRPr="00AD7E12" w:rsidTr="00AD7E12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D7E12" w:rsidRDefault="00AD7E1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IMD2 </w:t>
            </w:r>
          </w:p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MiFID2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PRIPs </w:t>
            </w:r>
          </w:p>
        </w:tc>
      </w:tr>
      <w:tr w:rsidR="00AD7E12" w:rsidRPr="00AD7E12" w:rsidTr="00AD7E12">
        <w:tblPrEx>
          <w:tblCellMar>
            <w:top w:w="0" w:type="dxa"/>
            <w:bottom w:w="0" w:type="dxa"/>
          </w:tblCellMar>
        </w:tblPrEx>
        <w:trPr>
          <w:trHeight w:val="5833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Conduct of business rules for insurance products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3"/>
              </w:numPr>
              <w:ind w:left="142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Apply to all insurance products, including insurance PRIPs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3"/>
              </w:numPr>
              <w:ind w:left="142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Address rules on conflicts of interest and remuneration disclosure (including variable remuneration of employees of insurance undertakings)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3"/>
              </w:numPr>
              <w:ind w:left="142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Demands and needs test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3"/>
              </w:numPr>
              <w:ind w:left="142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Execution-only / non-advised sales possible </w:t>
            </w:r>
          </w:p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Additional conduct of business rules for insurance PRIPs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4"/>
              </w:numPr>
              <w:ind w:left="142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Seek to address issues such as: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4"/>
              </w:numPr>
              <w:ind w:left="142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conflicts of interest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="Wingdings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ban on commission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4"/>
              </w:numPr>
              <w:ind w:left="142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suitability or appropriateness test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4"/>
              </w:numPr>
              <w:ind w:left="142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execution-only / non-advised sale of insurance PRIPs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4"/>
              </w:numPr>
              <w:ind w:left="142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  <w:t xml:space="preserve">Danger that conduct of business rules from MiFID2 are simply copy-pasted across </w:t>
            </w:r>
          </w:p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Tying and bundling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4"/>
              </w:numPr>
              <w:tabs>
                <w:tab w:val="left" w:pos="284"/>
              </w:tabs>
              <w:ind w:left="142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New rules would allow bundling but introduce a ban on tying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4"/>
              </w:numPr>
              <w:tabs>
                <w:tab w:val="left" w:pos="284"/>
              </w:tabs>
              <w:ind w:left="142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Apply to all insurance products, including insurance PRIPs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5"/>
              </w:numPr>
              <w:tabs>
                <w:tab w:val="left" w:pos="284"/>
              </w:tabs>
              <w:ind w:left="142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 w:cs="Wingdings"/>
                <w:sz w:val="22"/>
                <w:szCs w:val="22"/>
                <w:lang w:val="en-US"/>
              </w:rPr>
              <w:t xml:space="preserve"> </w:t>
            </w:r>
            <w:r w:rsidRPr="00AD7E12"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  <w:t xml:space="preserve">Important to ensure alignment with MiFID2, as otherwise insurance PRIPs subject to stricter rules than other PRIPs </w:t>
            </w:r>
          </w:p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Conduct of business rules for investment products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5"/>
              </w:numPr>
              <w:ind w:left="168" w:hanging="168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Apply to investment products, including non-insurance PRIPs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5"/>
              </w:numPr>
              <w:ind w:left="168" w:hanging="168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Address rules on conflict of interest remuneration disclosure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5"/>
              </w:numPr>
              <w:ind w:left="168" w:hanging="168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Ban on commission for independent advice, with member state option to further restrict or prohibit fees or commissions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5"/>
              </w:numPr>
              <w:ind w:left="168" w:hanging="168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Suitability or appropriateness test </w:t>
            </w:r>
          </w:p>
          <w:p w:rsidR="00AD7E12" w:rsidRDefault="00AD7E12" w:rsidP="0094590C">
            <w:pPr>
              <w:pStyle w:val="Default"/>
              <w:numPr>
                <w:ilvl w:val="0"/>
                <w:numId w:val="5"/>
              </w:numPr>
              <w:ind w:left="168" w:hanging="168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Execution-only / non-advised sales possible </w:t>
            </w:r>
          </w:p>
          <w:p w:rsid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Tying and bundling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5"/>
              </w:numPr>
              <w:ind w:left="168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No ban on tying or bundling, only obligation to inform customer whether it is possible to purchase products separately.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5"/>
              </w:numPr>
              <w:ind w:left="168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Apply to investment products, including non-insurance PRIPs </w:t>
            </w:r>
          </w:p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Product disclosures for all PRIPs (insurance PRIPs and non-insurance PRIPs)</w:t>
            </w: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: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5"/>
              </w:numPr>
              <w:ind w:left="193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Seller has to provide a key information document (KID) to a retail investor when purchasing a PRIP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5"/>
              </w:numPr>
              <w:ind w:left="193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Sets out prescriptive form and contents for the KID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5"/>
              </w:numPr>
              <w:ind w:left="193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Scope not yet determined – differences between EC, EP and Council make it unclear whether certain life insurance and pension products will also be subject to additional conduct of business rules for insurance PRIPs </w:t>
            </w:r>
          </w:p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AD7E12" w:rsidRPr="00AD7E12" w:rsidRDefault="00AD7E12" w:rsidP="0094590C">
            <w:pPr>
              <w:pStyle w:val="Default"/>
              <w:numPr>
                <w:ilvl w:val="0"/>
                <w:numId w:val="5"/>
              </w:numPr>
              <w:ind w:left="193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EP text proposed to introduce additional rules that go beyond product disclosures and concern conduct of business and sales rules </w:t>
            </w:r>
          </w:p>
          <w:p w:rsidR="00AD7E12" w:rsidRPr="00AD7E12" w:rsidRDefault="00AD7E12" w:rsidP="0094590C">
            <w:pPr>
              <w:pStyle w:val="Default"/>
              <w:numPr>
                <w:ilvl w:val="0"/>
                <w:numId w:val="5"/>
              </w:numPr>
              <w:ind w:left="193" w:hanging="14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D7E12"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  <w:t xml:space="preserve">Important to ensure during </w:t>
            </w:r>
            <w:proofErr w:type="spellStart"/>
            <w:r w:rsidRPr="00AD7E12"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  <w:t>trialogue</w:t>
            </w:r>
            <w:proofErr w:type="spellEnd"/>
            <w:r w:rsidRPr="00AD7E12"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  <w:t xml:space="preserve"> negotiations that the PRIPs Regulation only includes rules on product disclosures </w:t>
            </w:r>
          </w:p>
          <w:p w:rsidR="00AD7E12" w:rsidRPr="00AD7E12" w:rsidRDefault="00AD7E12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B173C4" w:rsidRPr="00AD7E12" w:rsidRDefault="00B173C4"/>
    <w:sectPr w:rsidR="00B173C4" w:rsidRPr="00AD7E12" w:rsidSect="00B17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2D3C"/>
    <w:multiLevelType w:val="hybridMultilevel"/>
    <w:tmpl w:val="2AA42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B4C4B"/>
    <w:multiLevelType w:val="hybridMultilevel"/>
    <w:tmpl w:val="9F4217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1749D"/>
    <w:multiLevelType w:val="hybridMultilevel"/>
    <w:tmpl w:val="FC2856D6"/>
    <w:lvl w:ilvl="0" w:tplc="5A668A38">
      <w:numFmt w:val="bullet"/>
      <w:lvlText w:val=""/>
      <w:lvlJc w:val="left"/>
      <w:pPr>
        <w:ind w:left="720" w:hanging="360"/>
      </w:pPr>
      <w:rPr>
        <w:rFonts w:ascii="Calibri" w:eastAsiaTheme="minorHAnsi" w:hAnsi="Calibri" w:cs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01E5A"/>
    <w:multiLevelType w:val="hybridMultilevel"/>
    <w:tmpl w:val="37BE05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14176"/>
    <w:multiLevelType w:val="hybridMultilevel"/>
    <w:tmpl w:val="2A209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219C5"/>
    <w:multiLevelType w:val="hybridMultilevel"/>
    <w:tmpl w:val="7B4A3F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84D71"/>
    <w:multiLevelType w:val="hybridMultilevel"/>
    <w:tmpl w:val="74682A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7E12"/>
    <w:rsid w:val="00665145"/>
    <w:rsid w:val="0094590C"/>
    <w:rsid w:val="00AD7E12"/>
    <w:rsid w:val="00B1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73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D7E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617A0-19FB-4326-8FF7-E9B946AE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333</Words>
  <Characters>1900</Characters>
  <Application>Microsoft Office Word</Application>
  <DocSecurity>0</DocSecurity>
  <Lines>15</Lines>
  <Paragraphs>4</Paragraphs>
  <ScaleCrop>false</ScaleCrop>
  <Company>HP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3</cp:revision>
  <dcterms:created xsi:type="dcterms:W3CDTF">2014-02-18T14:23:00Z</dcterms:created>
  <dcterms:modified xsi:type="dcterms:W3CDTF">2014-02-18T14:32:00Z</dcterms:modified>
</cp:coreProperties>
</file>