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EBCF" w14:textId="6E5C1A94" w:rsidR="00DE7C03" w:rsidRPr="000171E5" w:rsidRDefault="00A25FE0">
      <w:pPr>
        <w:rPr>
          <w:b/>
          <w:color w:val="4472C4" w:themeColor="accent1"/>
          <w:sz w:val="24"/>
        </w:rPr>
      </w:pPr>
      <w:bookmarkStart w:id="0" w:name="_GoBack"/>
      <w:bookmarkEnd w:id="0"/>
      <w:r w:rsidRPr="000171E5">
        <w:rPr>
          <w:b/>
          <w:color w:val="4472C4" w:themeColor="accent1"/>
          <w:sz w:val="24"/>
        </w:rPr>
        <w:t xml:space="preserve">Insurance Europe views on </w:t>
      </w:r>
      <w:r w:rsidR="00302CAC" w:rsidRPr="000171E5">
        <w:rPr>
          <w:b/>
          <w:color w:val="4472C4" w:themeColor="accent1"/>
          <w:sz w:val="24"/>
        </w:rPr>
        <w:t>EIOPA</w:t>
      </w:r>
      <w:r w:rsidR="00CB2AEB">
        <w:rPr>
          <w:b/>
          <w:color w:val="4472C4" w:themeColor="accent1"/>
          <w:sz w:val="24"/>
        </w:rPr>
        <w:t>’s</w:t>
      </w:r>
      <w:r w:rsidR="00302CAC" w:rsidRPr="000171E5">
        <w:rPr>
          <w:b/>
          <w:color w:val="4472C4" w:themeColor="accent1"/>
          <w:sz w:val="24"/>
        </w:rPr>
        <w:t xml:space="preserve"> </w:t>
      </w:r>
      <w:r w:rsidR="002B6BD8" w:rsidRPr="000171E5">
        <w:rPr>
          <w:b/>
          <w:color w:val="4472C4" w:themeColor="accent1"/>
          <w:sz w:val="24"/>
        </w:rPr>
        <w:t>i</w:t>
      </w:r>
      <w:r w:rsidR="00302CAC" w:rsidRPr="000171E5">
        <w:rPr>
          <w:b/>
          <w:color w:val="4472C4" w:themeColor="accent1"/>
          <w:sz w:val="24"/>
        </w:rPr>
        <w:t>nterest rate risk proposal</w:t>
      </w:r>
      <w:r w:rsidR="00A601B8">
        <w:rPr>
          <w:b/>
          <w:color w:val="4472C4" w:themeColor="accent1"/>
          <w:sz w:val="24"/>
        </w:rPr>
        <w:t>s</w:t>
      </w:r>
    </w:p>
    <w:p w14:paraId="26586261" w14:textId="77777777" w:rsidR="00302CAC" w:rsidRPr="000171E5" w:rsidRDefault="003B536F">
      <w:pPr>
        <w:rPr>
          <w:b/>
          <w:color w:val="4472C4" w:themeColor="accent1"/>
          <w:sz w:val="24"/>
        </w:rPr>
      </w:pPr>
      <w:r w:rsidRPr="000171E5">
        <w:rPr>
          <w:b/>
          <w:color w:val="4472C4" w:themeColor="accent1"/>
          <w:sz w:val="24"/>
        </w:rPr>
        <w:t>Executive summary</w:t>
      </w:r>
    </w:p>
    <w:p w14:paraId="27C2F895" w14:textId="3C23D031" w:rsidR="002B6BD8" w:rsidRDefault="00863F01" w:rsidP="003B536F">
      <w:pPr>
        <w:jc w:val="both"/>
      </w:pPr>
      <w:r>
        <w:t xml:space="preserve">In its second set of advice to the European Commission on specific items in the </w:t>
      </w:r>
      <w:r w:rsidR="003B536F">
        <w:t xml:space="preserve">Solvency II </w:t>
      </w:r>
      <w:r>
        <w:t>Delegated Regulation, EIOPA</w:t>
      </w:r>
      <w:r w:rsidR="003B536F">
        <w:t xml:space="preserve"> provides a</w:t>
      </w:r>
      <w:r w:rsidR="002B6BD8">
        <w:t>n own initiative</w:t>
      </w:r>
      <w:r w:rsidR="003B536F">
        <w:t xml:space="preserve"> recommendation to </w:t>
      </w:r>
      <w:r w:rsidR="006A692F">
        <w:t>change</w:t>
      </w:r>
      <w:r w:rsidR="003B536F">
        <w:t xml:space="preserve"> the modelling of interest rate risk in the standard formula.</w:t>
      </w:r>
      <w:r w:rsidR="002B6BD8">
        <w:t xml:space="preserve"> </w:t>
      </w:r>
    </w:p>
    <w:p w14:paraId="7DC741B2" w14:textId="77777777" w:rsidR="002B6BD8" w:rsidRDefault="003B536F" w:rsidP="003B536F">
      <w:pPr>
        <w:jc w:val="both"/>
      </w:pPr>
      <w:r w:rsidRPr="003B536F">
        <w:rPr>
          <w:b/>
        </w:rPr>
        <w:t xml:space="preserve">Insurance Europe believes that the European Commission should reject </w:t>
      </w:r>
      <w:r w:rsidR="002B6BD8">
        <w:rPr>
          <w:b/>
        </w:rPr>
        <w:t xml:space="preserve">EIOPA’s </w:t>
      </w:r>
      <w:r w:rsidRPr="003B536F">
        <w:rPr>
          <w:b/>
        </w:rPr>
        <w:t>recommendation</w:t>
      </w:r>
      <w:r w:rsidR="002B6BD8">
        <w:rPr>
          <w:b/>
        </w:rPr>
        <w:t xml:space="preserve"> </w:t>
      </w:r>
      <w:r w:rsidR="002B6BD8" w:rsidRPr="002B6BD8">
        <w:t>on the following basis</w:t>
      </w:r>
      <w:r w:rsidR="002B6BD8">
        <w:t>:</w:t>
      </w:r>
    </w:p>
    <w:p w14:paraId="60303423" w14:textId="28E8283A" w:rsidR="002B6BD8" w:rsidRDefault="00BB4C45" w:rsidP="00DE4992">
      <w:pPr>
        <w:pStyle w:val="Odsekzoznamu"/>
        <w:numPr>
          <w:ilvl w:val="0"/>
          <w:numId w:val="2"/>
        </w:numPr>
        <w:ind w:left="714" w:hanging="357"/>
        <w:contextualSpacing w:val="0"/>
        <w:jc w:val="both"/>
      </w:pPr>
      <w:r>
        <w:t xml:space="preserve">interest rate risk </w:t>
      </w:r>
      <w:r w:rsidR="00EE2210">
        <w:t>mainly</w:t>
      </w:r>
      <w:r>
        <w:t xml:space="preserve"> affects insurers providing long-term guarantee products. These fall within the </w:t>
      </w:r>
      <w:r w:rsidR="002B6BD8">
        <w:t>scope of the 2020 review</w:t>
      </w:r>
      <w:r>
        <w:t>, in which significant im</w:t>
      </w:r>
      <w:r w:rsidR="000A495C">
        <w:t>provements to the recognition of</w:t>
      </w:r>
      <w:r w:rsidR="00B763CC">
        <w:t xml:space="preserve"> the true economics of</w:t>
      </w:r>
      <w:r>
        <w:t xml:space="preserve"> long-term insurance products </w:t>
      </w:r>
      <w:r w:rsidR="00EE2210">
        <w:t>are</w:t>
      </w:r>
      <w:r>
        <w:t xml:space="preserve"> expected. </w:t>
      </w:r>
    </w:p>
    <w:p w14:paraId="31AA1743" w14:textId="43FFC885" w:rsidR="00BB4C45" w:rsidRDefault="00BB4C45" w:rsidP="00BB4C45">
      <w:pPr>
        <w:pStyle w:val="Odsekzoznamu"/>
        <w:numPr>
          <w:ilvl w:val="0"/>
          <w:numId w:val="2"/>
        </w:numPr>
        <w:ind w:left="714" w:hanging="357"/>
        <w:contextualSpacing w:val="0"/>
        <w:jc w:val="both"/>
      </w:pPr>
      <w:r>
        <w:t>altering the calibration of the interest rate risk submodule now will disturb the political agreement found as part of the Omnibus II package. Instead, any proposed changes should be considered in the context of the improvements</w:t>
      </w:r>
      <w:r w:rsidR="00DA28B1">
        <w:t xml:space="preserve"> discussed as part of the 2020 review.</w:t>
      </w:r>
    </w:p>
    <w:p w14:paraId="344D00E7" w14:textId="510695A6" w:rsidR="00FC49EC" w:rsidRDefault="00DA28B1" w:rsidP="00FC49EC">
      <w:pPr>
        <w:pStyle w:val="Odsekzoznamu"/>
        <w:numPr>
          <w:ilvl w:val="0"/>
          <w:numId w:val="2"/>
        </w:numPr>
        <w:ind w:left="714" w:hanging="357"/>
        <w:contextualSpacing w:val="0"/>
        <w:jc w:val="both"/>
      </w:pPr>
      <w:r>
        <w:t>although EIOPA’s proposals have improved from the draft stage to the final stage, f</w:t>
      </w:r>
      <w:r w:rsidR="00FC49EC">
        <w:t xml:space="preserve">urther </w:t>
      </w:r>
      <w:r>
        <w:t>improvements are needed to</w:t>
      </w:r>
      <w:r w:rsidR="00FC49EC">
        <w:t xml:space="preserve"> remove inconsistencies</w:t>
      </w:r>
      <w:r>
        <w:t xml:space="preserve"> and calibrate the propos</w:t>
      </w:r>
      <w:r w:rsidR="00B763CC">
        <w:t>als</w:t>
      </w:r>
      <w:r>
        <w:t xml:space="preserve"> to meet the requirements of the Solvency II framework. </w:t>
      </w:r>
    </w:p>
    <w:p w14:paraId="09285DC3" w14:textId="7B5032BE" w:rsidR="00DE4992" w:rsidRDefault="004E230F" w:rsidP="00DE4992">
      <w:pPr>
        <w:pStyle w:val="Odsekzoznamu"/>
        <w:numPr>
          <w:ilvl w:val="0"/>
          <w:numId w:val="2"/>
        </w:numPr>
        <w:ind w:left="714" w:hanging="357"/>
        <w:contextualSpacing w:val="0"/>
        <w:jc w:val="both"/>
      </w:pPr>
      <w:r>
        <w:t xml:space="preserve">EIOPA’s impact assessment is not sufficiently robust to support a </w:t>
      </w:r>
      <w:r w:rsidR="00DA28B1">
        <w:t>change of this magnitude</w:t>
      </w:r>
      <w:r>
        <w:t xml:space="preserve">. In particular,  </w:t>
      </w:r>
    </w:p>
    <w:p w14:paraId="6CA1AC06" w14:textId="7615E8FC" w:rsidR="00DE4992" w:rsidRDefault="004E230F" w:rsidP="00DE4992">
      <w:pPr>
        <w:pStyle w:val="Odsekzoznamu"/>
        <w:numPr>
          <w:ilvl w:val="1"/>
          <w:numId w:val="2"/>
        </w:numPr>
        <w:contextualSpacing w:val="0"/>
        <w:jc w:val="both"/>
      </w:pPr>
      <w:r>
        <w:t xml:space="preserve">It </w:t>
      </w:r>
      <w:r w:rsidR="00DA28B1">
        <w:t xml:space="preserve">has too narrow a scope and does not consider the interaction of interest rate risk with other parts of the SII framework </w:t>
      </w:r>
      <w:r w:rsidR="000B2C68">
        <w:t>n</w:t>
      </w:r>
      <w:r w:rsidR="00DA28B1">
        <w:t xml:space="preserve">or </w:t>
      </w:r>
      <w:r w:rsidR="00B763CC">
        <w:t xml:space="preserve">the </w:t>
      </w:r>
      <w:r w:rsidR="00DA28B1">
        <w:t>consequences for policyholders/</w:t>
      </w:r>
      <w:r>
        <w:t>the wider economy.</w:t>
      </w:r>
      <w:r w:rsidR="00DA28B1">
        <w:t xml:space="preserve"> </w:t>
      </w:r>
    </w:p>
    <w:p w14:paraId="11514623" w14:textId="32B67DC2" w:rsidR="00DE4992" w:rsidRDefault="004E230F" w:rsidP="00DE4992">
      <w:pPr>
        <w:pStyle w:val="Odsekzoznamu"/>
        <w:numPr>
          <w:ilvl w:val="1"/>
          <w:numId w:val="2"/>
        </w:numPr>
        <w:contextualSpacing w:val="0"/>
        <w:jc w:val="both"/>
      </w:pPr>
      <w:r>
        <w:t xml:space="preserve">It </w:t>
      </w:r>
      <w:r w:rsidR="00DA28B1">
        <w:t xml:space="preserve">uses </w:t>
      </w:r>
      <w:r>
        <w:t xml:space="preserve">unsuitable </w:t>
      </w:r>
      <w:r w:rsidR="00DA28B1">
        <w:t xml:space="preserve">proxy methodology </w:t>
      </w:r>
      <w:r>
        <w:t xml:space="preserve">which doesn’t accurately reflect the specificities of all interest rate markets. </w:t>
      </w:r>
    </w:p>
    <w:p w14:paraId="75FC6C2D" w14:textId="09C476FD" w:rsidR="00DE4992" w:rsidRDefault="004E230F" w:rsidP="00DE4992">
      <w:pPr>
        <w:pStyle w:val="Odsekzoznamu"/>
        <w:numPr>
          <w:ilvl w:val="1"/>
          <w:numId w:val="2"/>
        </w:numPr>
        <w:contextualSpacing w:val="0"/>
        <w:jc w:val="both"/>
      </w:pPr>
      <w:r>
        <w:t xml:space="preserve">It provides misleading, inconsistent </w:t>
      </w:r>
      <w:r w:rsidR="00DA28B1">
        <w:t>results</w:t>
      </w:r>
      <w:r>
        <w:t xml:space="preserve">. </w:t>
      </w:r>
    </w:p>
    <w:p w14:paraId="71916F00" w14:textId="77777777" w:rsidR="00E81359" w:rsidRDefault="001D316A" w:rsidP="001D316A">
      <w:pPr>
        <w:jc w:val="both"/>
      </w:pPr>
      <w:r>
        <w:t xml:space="preserve">Instead, </w:t>
      </w:r>
      <w:r w:rsidRPr="00E81359">
        <w:rPr>
          <w:b/>
        </w:rPr>
        <w:t>Insurance Europe</w:t>
      </w:r>
      <w:r>
        <w:t xml:space="preserve"> </w:t>
      </w:r>
      <w:r w:rsidRPr="00E81359">
        <w:rPr>
          <w:b/>
        </w:rPr>
        <w:t>believes that the 2020 review provides the correct opportunity to review the interest rate risk submodule</w:t>
      </w:r>
      <w:r>
        <w:t xml:space="preserve">. This </w:t>
      </w:r>
      <w:r w:rsidR="00E81359">
        <w:t xml:space="preserve">would enable any proposals to be considered in the context of other changes to the </w:t>
      </w:r>
      <w:r w:rsidR="0040723F">
        <w:t xml:space="preserve">Solvency II </w:t>
      </w:r>
      <w:r w:rsidR="00E81359">
        <w:t>framework</w:t>
      </w:r>
      <w:r w:rsidR="0040723F">
        <w:t xml:space="preserve"> which affect </w:t>
      </w:r>
      <w:r w:rsidR="00E81359">
        <w:t xml:space="preserve">long-term insurance business. </w:t>
      </w:r>
    </w:p>
    <w:p w14:paraId="735C44D0" w14:textId="77777777" w:rsidR="00E81359" w:rsidRDefault="00E81359" w:rsidP="001D316A">
      <w:pPr>
        <w:jc w:val="both"/>
      </w:pPr>
      <w:r>
        <w:t>Insurance Europe further believes that any change</w:t>
      </w:r>
      <w:r w:rsidR="0040723F">
        <w:t xml:space="preserve"> which fundamentally alters the SII framework</w:t>
      </w:r>
      <w:r>
        <w:t xml:space="preserve">, such as that proposed to the interest rate risk submodule, </w:t>
      </w:r>
      <w:r w:rsidRPr="0040723F">
        <w:rPr>
          <w:b/>
        </w:rPr>
        <w:t xml:space="preserve">must be </w:t>
      </w:r>
      <w:r w:rsidR="0040723F" w:rsidRPr="0040723F">
        <w:rPr>
          <w:b/>
        </w:rPr>
        <w:t xml:space="preserve">accompanied by a </w:t>
      </w:r>
      <w:r w:rsidRPr="0040723F">
        <w:rPr>
          <w:b/>
        </w:rPr>
        <w:t>full and robust impact assessment</w:t>
      </w:r>
      <w:r>
        <w:t>.</w:t>
      </w:r>
      <w:r w:rsidR="0040723F">
        <w:t xml:space="preserve"> This is lacking from the current proposal.</w:t>
      </w:r>
    </w:p>
    <w:p w14:paraId="66ED9A12" w14:textId="1832095C" w:rsidR="00D81332" w:rsidRPr="000171E5" w:rsidRDefault="00AE4A56" w:rsidP="00D81332">
      <w:pPr>
        <w:rPr>
          <w:b/>
          <w:color w:val="4472C4" w:themeColor="accent1"/>
          <w:sz w:val="24"/>
        </w:rPr>
      </w:pPr>
      <w:r w:rsidRPr="000171E5">
        <w:rPr>
          <w:b/>
          <w:color w:val="4472C4" w:themeColor="accent1"/>
          <w:sz w:val="24"/>
        </w:rPr>
        <w:t>Current design of</w:t>
      </w:r>
      <w:r w:rsidR="00302CAC" w:rsidRPr="000171E5">
        <w:rPr>
          <w:b/>
          <w:color w:val="4472C4" w:themeColor="accent1"/>
          <w:sz w:val="24"/>
        </w:rPr>
        <w:t xml:space="preserve"> the interest rate risk submodule</w:t>
      </w:r>
    </w:p>
    <w:p w14:paraId="3DB94F83" w14:textId="04717210" w:rsidR="00005328" w:rsidRDefault="00E93EB0" w:rsidP="00005328">
      <w:pPr>
        <w:jc w:val="both"/>
      </w:pPr>
      <w:r>
        <w:t xml:space="preserve">The </w:t>
      </w:r>
      <w:r w:rsidR="000D60B2">
        <w:t>current design of the interest rate risk submodule was not explicitly developed to account for ne</w:t>
      </w:r>
      <w:r w:rsidR="00005328">
        <w:t>gative interest rates. However, d</w:t>
      </w:r>
      <w:r w:rsidR="000C175F">
        <w:t>uring the design and calibration of the interest rate risk submodule in 2009-2010, CIEOPS acknowledged that the historical data used to calibrate the stresses may not be fully representative of future economic conditions</w:t>
      </w:r>
      <w:r w:rsidR="00005328">
        <w:t xml:space="preserve">. In </w:t>
      </w:r>
      <w:r w:rsidR="000C175F">
        <w:t>particular, a deflationary scenario</w:t>
      </w:r>
      <w:r w:rsidR="00005328">
        <w:t>,</w:t>
      </w:r>
      <w:r w:rsidR="000C175F">
        <w:t xml:space="preserve"> such as that </w:t>
      </w:r>
      <w:r w:rsidR="000C175F">
        <w:lastRenderedPageBreak/>
        <w:t>which occurred in Japan in the 1990s</w:t>
      </w:r>
      <w:r w:rsidR="00005328">
        <w:t>, was discussed</w:t>
      </w:r>
      <w:r>
        <w:rPr>
          <w:rStyle w:val="Odkaznapoznmkupodiarou"/>
        </w:rPr>
        <w:footnoteReference w:id="1"/>
      </w:r>
      <w:r w:rsidR="00005328">
        <w:t>.</w:t>
      </w:r>
      <w:r w:rsidR="00B763CC">
        <w:t xml:space="preserve"> The existing calibration was agreed against the background of declining interest rates and continued economic</w:t>
      </w:r>
      <w:r w:rsidR="0075307A">
        <w:t xml:space="preserve"> turbulence</w:t>
      </w:r>
      <w:r w:rsidR="00B763CC">
        <w:t xml:space="preserve"> in Europe.</w:t>
      </w:r>
    </w:p>
    <w:p w14:paraId="17CCB347" w14:textId="7BA5C71C" w:rsidR="00AE4A56" w:rsidRDefault="00005328" w:rsidP="00005328">
      <w:pPr>
        <w:jc w:val="both"/>
      </w:pPr>
      <w:r>
        <w:t xml:space="preserve">Although a low interest rate environment has materialised in Europe over the past 10 years, there is no prudential urgency to review the interest rate risk submodule. </w:t>
      </w:r>
      <w:r w:rsidR="000E2075">
        <w:t>In</w:t>
      </w:r>
      <w:r>
        <w:t xml:space="preserve"> addition to the pillar 1 capital requirements, there are </w:t>
      </w:r>
      <w:r w:rsidR="0075307A">
        <w:t>several</w:t>
      </w:r>
      <w:r>
        <w:t xml:space="preserve"> prudential tools</w:t>
      </w:r>
      <w:r w:rsidR="00AE4A56">
        <w:t xml:space="preserve">, such as stress tests and ORSAs, which are </w:t>
      </w:r>
      <w:r>
        <w:t xml:space="preserve">available </w:t>
      </w:r>
      <w:r w:rsidR="00AE4A56">
        <w:t xml:space="preserve">for </w:t>
      </w:r>
      <w:r>
        <w:t xml:space="preserve">supervisors to assess the resilience of the insurance industry to a continued low yield environment. </w:t>
      </w:r>
    </w:p>
    <w:p w14:paraId="1E1EE7FA" w14:textId="74B737CF" w:rsidR="000C175F" w:rsidRDefault="000E2075" w:rsidP="00005328">
      <w:pPr>
        <w:jc w:val="both"/>
      </w:pPr>
      <w:r>
        <w:t xml:space="preserve">For example, </w:t>
      </w:r>
      <w:r w:rsidR="00B763CC">
        <w:t xml:space="preserve">the </w:t>
      </w:r>
      <w:r w:rsidR="00AE4A56">
        <w:t xml:space="preserve">EIOPA 2016 stress test exercise assessed the impact of a “low for long” scenario and demonstrated that, even in this extreme interest rate scenario, the insurance industry could continue to meet its liabilities. </w:t>
      </w:r>
      <w:r>
        <w:t>A similar scenario</w:t>
      </w:r>
      <w:r w:rsidR="0075307A">
        <w:t>,</w:t>
      </w:r>
      <w:r>
        <w:t xml:space="preserve"> </w:t>
      </w:r>
      <w:r w:rsidR="00B763CC">
        <w:t>and outcome</w:t>
      </w:r>
      <w:r w:rsidR="0075307A">
        <w:t>,</w:t>
      </w:r>
      <w:r w:rsidR="00B763CC">
        <w:t xml:space="preserve"> </w:t>
      </w:r>
      <w:r>
        <w:t>is envisaged for the 2018 stress test exercise.</w:t>
      </w:r>
    </w:p>
    <w:p w14:paraId="17E31FDA" w14:textId="39761284" w:rsidR="006E33B7" w:rsidRPr="000171E5" w:rsidRDefault="00FC49EC" w:rsidP="00302CAC">
      <w:pPr>
        <w:rPr>
          <w:b/>
          <w:color w:val="4472C4" w:themeColor="accent1"/>
          <w:sz w:val="24"/>
        </w:rPr>
      </w:pPr>
      <w:r w:rsidRPr="000171E5">
        <w:rPr>
          <w:b/>
          <w:color w:val="4472C4" w:themeColor="accent1"/>
          <w:sz w:val="24"/>
        </w:rPr>
        <w:t>Why is the IR risk intrinsically linked to the 2020 review?</w:t>
      </w:r>
    </w:p>
    <w:p w14:paraId="2775876F" w14:textId="77777777" w:rsidR="007A57CF" w:rsidRDefault="00650AEB" w:rsidP="00650AEB">
      <w:pPr>
        <w:jc w:val="both"/>
      </w:pPr>
      <w:r>
        <w:t xml:space="preserve">Interest rate risk </w:t>
      </w:r>
      <w:r w:rsidR="0007520C">
        <w:t xml:space="preserve">principally affects life insurers or, more specifically, long-term insurance products. </w:t>
      </w:r>
    </w:p>
    <w:p w14:paraId="7F49BB98" w14:textId="11A16495" w:rsidR="00650AEB" w:rsidRDefault="007A57CF" w:rsidP="00650AEB">
      <w:pPr>
        <w:jc w:val="both"/>
      </w:pPr>
      <w:r>
        <w:t xml:space="preserve">The 2020 review will incorporate a review to the availability of long-term products as well as the behaviour of insurers as long-term investors and financial stability more generally. </w:t>
      </w:r>
    </w:p>
    <w:p w14:paraId="6CB5DF6A" w14:textId="3DF9A78A" w:rsidR="007A57CF" w:rsidRDefault="007A57CF" w:rsidP="00650AEB">
      <w:pPr>
        <w:jc w:val="both"/>
      </w:pPr>
      <w:r>
        <w:t>Insurance Europe believes that significant changes to the Solvency II framework are needed to better reflect the economics of long-term insurance products and to support the EC’s plans on the CMU and sustainable finance.</w:t>
      </w:r>
    </w:p>
    <w:p w14:paraId="23DE09BC" w14:textId="1A981465" w:rsidR="00BB4C45" w:rsidRDefault="007A57CF" w:rsidP="00650AEB">
      <w:pPr>
        <w:jc w:val="both"/>
      </w:pPr>
      <w:r>
        <w:t>Any change to the interest rate risk submodule should be considered in the context of these wider changes to the treatment of long-term guarantee business</w:t>
      </w:r>
      <w:r w:rsidR="000E2075">
        <w:t xml:space="preserve"> within Solvency II</w:t>
      </w:r>
      <w:r>
        <w:t>.</w:t>
      </w:r>
      <w:r w:rsidR="00BB4C45">
        <w:t xml:space="preserve"> </w:t>
      </w:r>
      <w:r w:rsidR="000E2075">
        <w:t xml:space="preserve">Any change now to the interest rate risk submodule </w:t>
      </w:r>
      <w:r w:rsidR="00B763CC">
        <w:t xml:space="preserve">would </w:t>
      </w:r>
      <w:r w:rsidR="000E2075">
        <w:t>reflect a s</w:t>
      </w:r>
      <w:r>
        <w:t xml:space="preserve">hort-term </w:t>
      </w:r>
      <w:r w:rsidR="000E2075">
        <w:t>change</w:t>
      </w:r>
      <w:r w:rsidR="00835F9A">
        <w:t xml:space="preserve"> which </w:t>
      </w:r>
      <w:r>
        <w:t>could be counterproductive and would</w:t>
      </w:r>
      <w:r w:rsidR="00BB4C45">
        <w:t xml:space="preserve"> inevitably</w:t>
      </w:r>
      <w:r>
        <w:t xml:space="preserve"> create instability in the Solvency II framework. </w:t>
      </w:r>
    </w:p>
    <w:p w14:paraId="297F9718" w14:textId="77777777" w:rsidR="00302CAC" w:rsidRPr="000171E5" w:rsidRDefault="00650AEB" w:rsidP="00302CAC">
      <w:pPr>
        <w:rPr>
          <w:b/>
          <w:color w:val="4472C4" w:themeColor="accent1"/>
          <w:sz w:val="24"/>
        </w:rPr>
      </w:pPr>
      <w:r w:rsidRPr="000171E5">
        <w:rPr>
          <w:b/>
          <w:color w:val="4472C4" w:themeColor="accent1"/>
          <w:sz w:val="24"/>
        </w:rPr>
        <w:t>What improvements</w:t>
      </w:r>
      <w:r w:rsidR="0079552A" w:rsidRPr="000171E5">
        <w:rPr>
          <w:b/>
          <w:color w:val="4472C4" w:themeColor="accent1"/>
          <w:sz w:val="24"/>
        </w:rPr>
        <w:t xml:space="preserve"> are needed to improve the design of the interest rate risk submodule?</w:t>
      </w:r>
    </w:p>
    <w:p w14:paraId="1ED42A1E" w14:textId="77777777" w:rsidR="00E05DF9" w:rsidRDefault="00E05DF9" w:rsidP="00FC3914">
      <w:pPr>
        <w:jc w:val="both"/>
      </w:pPr>
      <w:r>
        <w:t>EIOPA analysed three potential approaches as part of its investigation:</w:t>
      </w:r>
    </w:p>
    <w:p w14:paraId="305F5EDE" w14:textId="77777777" w:rsidR="00E05DF9" w:rsidRDefault="00E05DF9" w:rsidP="00B82FA8">
      <w:pPr>
        <w:pStyle w:val="Odsekzoznamu"/>
        <w:numPr>
          <w:ilvl w:val="0"/>
          <w:numId w:val="8"/>
        </w:numPr>
        <w:jc w:val="both"/>
      </w:pPr>
      <w:r>
        <w:t>A symmetric 200bp minimum shock with a static interest rate floor</w:t>
      </w:r>
    </w:p>
    <w:p w14:paraId="7D1D0333" w14:textId="77777777" w:rsidR="009F0481" w:rsidRDefault="009F0481" w:rsidP="009F0481">
      <w:pPr>
        <w:pStyle w:val="Odsekzoznamu"/>
        <w:numPr>
          <w:ilvl w:val="0"/>
          <w:numId w:val="8"/>
        </w:numPr>
        <w:jc w:val="both"/>
      </w:pPr>
      <w:r>
        <w:t xml:space="preserve">A combined approach </w:t>
      </w:r>
    </w:p>
    <w:p w14:paraId="55C7477C" w14:textId="589953F9" w:rsidR="00E05DF9" w:rsidRDefault="009F0481" w:rsidP="00B82FA8">
      <w:pPr>
        <w:pStyle w:val="Odsekzoznamu"/>
        <w:numPr>
          <w:ilvl w:val="0"/>
          <w:numId w:val="8"/>
        </w:numPr>
        <w:jc w:val="both"/>
      </w:pPr>
      <w:r>
        <w:t>A shifted approach</w:t>
      </w:r>
      <w:r w:rsidR="00E05DF9">
        <w:t>.</w:t>
      </w:r>
    </w:p>
    <w:p w14:paraId="590E3BE8" w14:textId="6259EFE2" w:rsidR="00E05DF9" w:rsidRDefault="00FC3914" w:rsidP="00835F9A">
      <w:pPr>
        <w:jc w:val="both"/>
      </w:pPr>
      <w:r>
        <w:t>In its draft advice, EIOPA disregarded the shifted approach</w:t>
      </w:r>
      <w:r w:rsidR="00835F9A">
        <w:t xml:space="preserve"> and put forward Proposal A or Proposal B for consideration. </w:t>
      </w:r>
    </w:p>
    <w:p w14:paraId="0386C228" w14:textId="7C068B19" w:rsidR="00E445BF" w:rsidRDefault="00FC3914" w:rsidP="00E445BF">
      <w:pPr>
        <w:jc w:val="both"/>
      </w:pPr>
      <w:r>
        <w:t xml:space="preserve">Stakeholders’ feedback unanimously disagreed with EIOPA’s draft proposals on the basis of 1) complexity and 2) extreme conservativeness. </w:t>
      </w:r>
      <w:r w:rsidR="009F0481">
        <w:t>S</w:t>
      </w:r>
      <w:r>
        <w:t xml:space="preserve">takeholders instead supported further investigation into the shifted approach. In its final advice, EIOPA disregarded </w:t>
      </w:r>
      <w:r w:rsidR="00835F9A">
        <w:t>Proposal A and Proposal B</w:t>
      </w:r>
      <w:r>
        <w:t xml:space="preserve"> and provided a</w:t>
      </w:r>
      <w:r w:rsidR="00835F9A">
        <w:t xml:space="preserve"> new</w:t>
      </w:r>
      <w:r>
        <w:t xml:space="preserve"> proposal</w:t>
      </w:r>
      <w:r w:rsidR="00835F9A">
        <w:t>,</w:t>
      </w:r>
      <w:r>
        <w:t xml:space="preserve"> based on the </w:t>
      </w:r>
      <w:r w:rsidR="00E445BF">
        <w:t xml:space="preserve">relative shifted approach. </w:t>
      </w:r>
    </w:p>
    <w:p w14:paraId="63D32A82" w14:textId="1541A3CC" w:rsidR="00FC3914" w:rsidRDefault="00835F9A" w:rsidP="00E445BF">
      <w:pPr>
        <w:jc w:val="both"/>
      </w:pPr>
      <w:r>
        <w:t xml:space="preserve">Insurance Europe believes that </w:t>
      </w:r>
      <w:r w:rsidR="00B763CC">
        <w:t xml:space="preserve">this </w:t>
      </w:r>
      <w:r w:rsidR="00FC3914">
        <w:t xml:space="preserve">development </w:t>
      </w:r>
      <w:r w:rsidR="00E445BF">
        <w:t xml:space="preserve">goes in the right </w:t>
      </w:r>
      <w:r w:rsidR="00585259">
        <w:t>direction;</w:t>
      </w:r>
      <w:r w:rsidR="00E445BF">
        <w:t xml:space="preserve"> however, further </w:t>
      </w:r>
      <w:r w:rsidR="00585259">
        <w:t>work</w:t>
      </w:r>
      <w:r w:rsidR="00E445BF">
        <w:t xml:space="preserve"> is needed to ensure that </w:t>
      </w:r>
      <w:r w:rsidR="00585259">
        <w:t xml:space="preserve">the proposal meets the requirements of the Solvency II framework and is consistent within the </w:t>
      </w:r>
      <w:r w:rsidR="00B763CC">
        <w:t xml:space="preserve">calibration objectives of the </w:t>
      </w:r>
      <w:r w:rsidR="00585259">
        <w:t>framework.</w:t>
      </w:r>
    </w:p>
    <w:p w14:paraId="37129CFC" w14:textId="1914F948" w:rsidR="00FC00B5" w:rsidRDefault="00FC00B5" w:rsidP="00E445BF">
      <w:pPr>
        <w:jc w:val="both"/>
      </w:pPr>
      <w:r>
        <w:lastRenderedPageBreak/>
        <w:t>Insurance Europe support</w:t>
      </w:r>
      <w:r w:rsidR="000933BA">
        <w:t>s</w:t>
      </w:r>
      <w:r>
        <w:t xml:space="preserve"> further investigation and </w:t>
      </w:r>
      <w:r w:rsidR="00835F9A">
        <w:t xml:space="preserve">formal </w:t>
      </w:r>
      <w:r>
        <w:t>consultation on the shifted approach</w:t>
      </w:r>
      <w:r w:rsidR="009F0481">
        <w:t>. I</w:t>
      </w:r>
      <w:r>
        <w:t>n part</w:t>
      </w:r>
      <w:r w:rsidR="009F0481">
        <w:t>icular on the following issues:</w:t>
      </w:r>
    </w:p>
    <w:p w14:paraId="601D4EA1" w14:textId="77777777" w:rsidR="00E445BF" w:rsidRPr="00E445BF" w:rsidRDefault="00FC00B5" w:rsidP="00E445BF">
      <w:pPr>
        <w:jc w:val="both"/>
        <w:rPr>
          <w:i/>
          <w:color w:val="ED7D31" w:themeColor="accent2"/>
        </w:rPr>
      </w:pPr>
      <w:r>
        <w:rPr>
          <w:i/>
          <w:color w:val="ED7D31" w:themeColor="accent2"/>
        </w:rPr>
        <w:t>Post-shock e</w:t>
      </w:r>
      <w:r w:rsidR="00E445BF" w:rsidRPr="00E445BF">
        <w:rPr>
          <w:i/>
          <w:color w:val="ED7D31" w:themeColor="accent2"/>
        </w:rPr>
        <w:t>xtrapolat</w:t>
      </w:r>
      <w:r>
        <w:rPr>
          <w:i/>
          <w:color w:val="ED7D31" w:themeColor="accent2"/>
        </w:rPr>
        <w:t>ion of the risk-free curve</w:t>
      </w:r>
    </w:p>
    <w:p w14:paraId="5F5E6395" w14:textId="777C85D5" w:rsidR="00585259" w:rsidRDefault="00E445BF" w:rsidP="00225D02">
      <w:pPr>
        <w:jc w:val="both"/>
      </w:pPr>
      <w:r>
        <w:t>EIOPA’s propos</w:t>
      </w:r>
      <w:r w:rsidR="00585259">
        <w:t>al is to calculate all tenors of the stressed risk-free curve</w:t>
      </w:r>
      <w:r w:rsidR="00E51B32" w:rsidRPr="00E51B32">
        <w:t xml:space="preserve"> </w:t>
      </w:r>
      <w:r w:rsidR="00BF6622">
        <w:t xml:space="preserve">using a </w:t>
      </w:r>
      <w:r w:rsidR="00E51B32">
        <w:t>relative shift</w:t>
      </w:r>
      <w:r w:rsidR="00585259">
        <w:t xml:space="preserve">, ie </w:t>
      </w:r>
      <w:r w:rsidR="00BF6622">
        <w:t xml:space="preserve">applying the parameters to </w:t>
      </w:r>
      <w:r w:rsidR="00585259">
        <w:t xml:space="preserve">both the liquid and illiquid part of the </w:t>
      </w:r>
      <w:r w:rsidR="00BF6622">
        <w:t>curve.</w:t>
      </w:r>
      <w:r w:rsidR="00585259">
        <w:t xml:space="preserve"> </w:t>
      </w:r>
    </w:p>
    <w:p w14:paraId="744FC43B" w14:textId="728698AF" w:rsidR="00BF6622" w:rsidRDefault="0075307A" w:rsidP="00225D02">
      <w:pPr>
        <w:jc w:val="both"/>
      </w:pPr>
      <w:r>
        <w:t xml:space="preserve">EIOPA’s proposal is economically incorrect and creates an inconsistency with the calculation of the liabilities. </w:t>
      </w:r>
      <w:r w:rsidR="00BF6622">
        <w:t xml:space="preserve">Should a 1 in 200-year stress materialise, only the liquid part of the curve would be affected. The illiquid part of the curve would then be derived using the extrapolation methodology. </w:t>
      </w:r>
      <w:r>
        <w:t>Therefore, the proposed stress scenario is not possible in practice.</w:t>
      </w:r>
    </w:p>
    <w:p w14:paraId="431F36F3" w14:textId="6FF9F95A" w:rsidR="00585259" w:rsidRDefault="00BF6622" w:rsidP="00225D02">
      <w:pPr>
        <w:jc w:val="both"/>
      </w:pPr>
      <w:r>
        <w:t xml:space="preserve">All stakeholders who responded to the EIOPA consultation support an interest rate risk methodology which is consistent with the valuation of liabilities and determines the illiquid part of the stressed curve through extrapolation. </w:t>
      </w:r>
    </w:p>
    <w:p w14:paraId="1F8BF0BB" w14:textId="6A69AFEF" w:rsidR="00585259" w:rsidRDefault="00DF0A64" w:rsidP="00225D02">
      <w:pPr>
        <w:jc w:val="both"/>
      </w:pPr>
      <w:r>
        <w:t xml:space="preserve">A post-shock extrapolation methodology would further increase consistency with internal model firms who are mandated under </w:t>
      </w:r>
      <w:r w:rsidR="00225D02">
        <w:t xml:space="preserve">Article 121 (2) of the Solvency II Directive </w:t>
      </w:r>
      <w:r>
        <w:t xml:space="preserve">to use </w:t>
      </w:r>
      <w:r w:rsidR="00225D02">
        <w:t xml:space="preserve">methods </w:t>
      </w:r>
      <w:r w:rsidR="00FC00B5">
        <w:t xml:space="preserve">which are </w:t>
      </w:r>
      <w:r w:rsidR="00B763CC">
        <w:t>“</w:t>
      </w:r>
      <w:r w:rsidR="00FC00B5">
        <w:t>consistent with the calculatio</w:t>
      </w:r>
      <w:r w:rsidR="00594960">
        <w:t>n of technical provisions</w:t>
      </w:r>
      <w:r w:rsidR="00B763CC">
        <w:t>”</w:t>
      </w:r>
      <w:r w:rsidR="00594960">
        <w:t xml:space="preserve">. This effectively </w:t>
      </w:r>
      <w:r w:rsidR="00B763CC">
        <w:t>requires</w:t>
      </w:r>
      <w:r w:rsidR="00594960">
        <w:t xml:space="preserve"> internal model</w:t>
      </w:r>
      <w:r w:rsidR="00B763CC">
        <w:t xml:space="preserve"> users </w:t>
      </w:r>
      <w:r w:rsidR="00594960">
        <w:t>to extrapolate the</w:t>
      </w:r>
      <w:r w:rsidR="00B763CC">
        <w:t xml:space="preserve"> illiquid part of the interest rate curve </w:t>
      </w:r>
      <w:r w:rsidR="00594960">
        <w:t xml:space="preserve">post-shock. </w:t>
      </w:r>
    </w:p>
    <w:p w14:paraId="569EF15A" w14:textId="77777777" w:rsidR="00E445BF" w:rsidRDefault="00FC00B5" w:rsidP="00302CAC">
      <w:pPr>
        <w:rPr>
          <w:i/>
          <w:color w:val="ED7D31" w:themeColor="accent2"/>
        </w:rPr>
      </w:pPr>
      <w:r w:rsidRPr="00FC00B5">
        <w:rPr>
          <w:i/>
          <w:color w:val="ED7D31" w:themeColor="accent2"/>
        </w:rPr>
        <w:t>Calibration</w:t>
      </w:r>
    </w:p>
    <w:p w14:paraId="2A9DE51C" w14:textId="77777777" w:rsidR="0022182B" w:rsidRDefault="0022182B" w:rsidP="0022182B">
      <w:pPr>
        <w:jc w:val="both"/>
      </w:pPr>
      <w:r>
        <w:t>EIOPA’s</w:t>
      </w:r>
      <w:r w:rsidR="001456A4">
        <w:t xml:space="preserve"> proposed calibration of the relative shifted approach is </w:t>
      </w:r>
      <w:r>
        <w:t xml:space="preserve">overly prudent and requires further consideration. </w:t>
      </w:r>
    </w:p>
    <w:p w14:paraId="13F9E09F" w14:textId="2C018BD4" w:rsidR="00CF2C0A" w:rsidRDefault="006B36A8" w:rsidP="0022182B">
      <w:pPr>
        <w:jc w:val="both"/>
      </w:pPr>
      <w:commentRangeStart w:id="1"/>
      <w:r>
        <w:t xml:space="preserve">Article 105 </w:t>
      </w:r>
      <w:commentRangeEnd w:id="1"/>
      <w:r w:rsidR="00C15DF8">
        <w:rPr>
          <w:rStyle w:val="Odkaznakomentr"/>
        </w:rPr>
        <w:commentReference w:id="1"/>
      </w:r>
      <w:r>
        <w:t xml:space="preserve">of the Directive requires that interest rate risk is assessed based on the sensitivity to the </w:t>
      </w:r>
      <w:r w:rsidRPr="006B36A8">
        <w:rPr>
          <w:u w:val="single"/>
        </w:rPr>
        <w:t>term structure</w:t>
      </w:r>
      <w:r>
        <w:t xml:space="preserve"> of the interest rate curve. </w:t>
      </w:r>
      <w:r w:rsidR="002C7A6B">
        <w:t xml:space="preserve">However, </w:t>
      </w:r>
      <w:r>
        <w:t>EIOPA’s methodology has calibrated the stresses based on each individual tenor</w:t>
      </w:r>
      <w:r w:rsidR="00835F9A">
        <w:t xml:space="preserve"> of the term structure</w:t>
      </w:r>
      <w:r>
        <w:t>. This clearly overstates the risk</w:t>
      </w:r>
      <w:r w:rsidR="002C7A6B">
        <w:t xml:space="preserve">; a fact </w:t>
      </w:r>
      <w:r>
        <w:t xml:space="preserve">demonstrated by EIOPA’s multivariate </w:t>
      </w:r>
      <w:r w:rsidR="002C7A6B">
        <w:t>testing</w:t>
      </w:r>
      <w:r w:rsidR="002C7A6B">
        <w:rPr>
          <w:rStyle w:val="Odkaznapoznmkupodiarou"/>
        </w:rPr>
        <w:footnoteReference w:id="2"/>
      </w:r>
      <w:r w:rsidR="002C7A6B">
        <w:t xml:space="preserve"> </w:t>
      </w:r>
      <w:r>
        <w:t xml:space="preserve">which shows the </w:t>
      </w:r>
      <w:r w:rsidR="002C7A6B">
        <w:t xml:space="preserve">historical probability of the entire stressed term structure not breaching the observed term structure one year later </w:t>
      </w:r>
      <w:r w:rsidR="00B763CC">
        <w:t>to be</w:t>
      </w:r>
      <w:r w:rsidR="002C7A6B">
        <w:t xml:space="preserve"> </w:t>
      </w:r>
      <w:r w:rsidR="000933BA">
        <w:t xml:space="preserve">significantly in excess of the </w:t>
      </w:r>
      <w:r w:rsidR="002C7A6B">
        <w:t xml:space="preserve">99.5% </w:t>
      </w:r>
      <w:r w:rsidR="000933BA">
        <w:t xml:space="preserve">level </w:t>
      </w:r>
      <w:r w:rsidR="002C7A6B">
        <w:t xml:space="preserve">required by the SII framework. </w:t>
      </w:r>
    </w:p>
    <w:p w14:paraId="58C60825" w14:textId="14397A11" w:rsidR="002C7A6B" w:rsidRDefault="002C7A6B" w:rsidP="0022182B">
      <w:pPr>
        <w:jc w:val="both"/>
      </w:pPr>
      <w:r>
        <w:t xml:space="preserve">A comparison </w:t>
      </w:r>
      <w:r w:rsidR="005F258A">
        <w:t xml:space="preserve">of EIOPA’s proposal </w:t>
      </w:r>
      <w:r>
        <w:t xml:space="preserve">with </w:t>
      </w:r>
      <w:r w:rsidR="005F258A">
        <w:t xml:space="preserve">a </w:t>
      </w:r>
      <w:r>
        <w:t>calibration</w:t>
      </w:r>
      <w:r w:rsidR="00835F9A">
        <w:t xml:space="preserve"> of a 1 in </w:t>
      </w:r>
      <w:r w:rsidR="007B1E8D">
        <w:t>200-year</w:t>
      </w:r>
      <w:r w:rsidR="00835F9A">
        <w:t xml:space="preserve"> shock</w:t>
      </w:r>
      <w:r w:rsidR="007B1E8D">
        <w:t xml:space="preserve"> provided by the ESRB further </w:t>
      </w:r>
      <w:r>
        <w:t>demonstrates</w:t>
      </w:r>
      <w:r w:rsidR="000933BA">
        <w:t xml:space="preserve"> </w:t>
      </w:r>
      <w:r w:rsidR="005F258A">
        <w:t xml:space="preserve">its </w:t>
      </w:r>
      <w:r w:rsidR="000933BA">
        <w:t xml:space="preserve">conservativeness </w:t>
      </w:r>
      <w:r w:rsidR="00835F9A">
        <w:t xml:space="preserve">[see </w:t>
      </w:r>
      <w:r w:rsidR="007B1E8D">
        <w:t>annex</w:t>
      </w:r>
      <w:r w:rsidR="00835F9A">
        <w:t>]</w:t>
      </w:r>
      <w:r>
        <w:t xml:space="preserve">. </w:t>
      </w:r>
    </w:p>
    <w:p w14:paraId="7A9EA66C" w14:textId="43357472" w:rsidR="00CF2C0A" w:rsidRDefault="005F258A" w:rsidP="0022182B">
      <w:pPr>
        <w:jc w:val="both"/>
      </w:pPr>
      <w:r>
        <w:t>Furthermore, t</w:t>
      </w:r>
      <w:r w:rsidR="00CF2C0A">
        <w:t xml:space="preserve">he proposed calibration </w:t>
      </w:r>
      <w:r>
        <w:t xml:space="preserve">is </w:t>
      </w:r>
      <w:r w:rsidR="00CF2C0A">
        <w:t xml:space="preserve">inconsistent with the design of the Ultimate Forward Rate (UFR). EIOPA’s recent advice to the EC </w:t>
      </w:r>
      <w:r>
        <w:t>advised that the UFR</w:t>
      </w:r>
      <w:r w:rsidR="00CF2C0A">
        <w:t xml:space="preserve"> should be updated to reflect changing market conditions but should only vary by a maximum of 15 basis points per </w:t>
      </w:r>
      <w:r>
        <w:t>annum</w:t>
      </w:r>
      <w:r w:rsidR="00CF2C0A">
        <w:t xml:space="preserve">. </w:t>
      </w:r>
      <w:r w:rsidR="00DD7B44">
        <w:t>A</w:t>
      </w:r>
      <w:r w:rsidR="00CF2C0A">
        <w:t xml:space="preserve">nalysis </w:t>
      </w:r>
      <w:r w:rsidR="00DD7B44">
        <w:t xml:space="preserve">of the stress curves provided by </w:t>
      </w:r>
      <w:r>
        <w:t xml:space="preserve">the </w:t>
      </w:r>
      <w:r w:rsidR="00DD7B44">
        <w:t>EIOPA</w:t>
      </w:r>
      <w:r>
        <w:t>’s shifted approach</w:t>
      </w:r>
      <w:r w:rsidR="00DD7B44">
        <w:t xml:space="preserve"> shows that the average “UFR” rate in the stress curves varies by between 35-55 basis points</w:t>
      </w:r>
      <w:r>
        <w:rPr>
          <w:rStyle w:val="Odkaznapoznmkupodiarou"/>
        </w:rPr>
        <w:footnoteReference w:id="3"/>
      </w:r>
      <w:r w:rsidR="00DD7B44">
        <w:t xml:space="preserve">. </w:t>
      </w:r>
    </w:p>
    <w:p w14:paraId="40334989" w14:textId="77777777" w:rsidR="002C7A6B" w:rsidRPr="002C7A6B" w:rsidRDefault="002C7A6B" w:rsidP="0022182B">
      <w:pPr>
        <w:jc w:val="both"/>
        <w:rPr>
          <w:i/>
          <w:color w:val="ED7D31" w:themeColor="accent2"/>
        </w:rPr>
      </w:pPr>
      <w:r w:rsidRPr="002C7A6B">
        <w:rPr>
          <w:i/>
          <w:color w:val="ED7D31" w:themeColor="accent2"/>
        </w:rPr>
        <w:t>Market risk correlations</w:t>
      </w:r>
    </w:p>
    <w:p w14:paraId="0A98DB4C" w14:textId="5FE49F25" w:rsidR="002C7A6B" w:rsidRDefault="000933BA" w:rsidP="0022182B">
      <w:pPr>
        <w:jc w:val="both"/>
      </w:pPr>
      <w:r>
        <w:t xml:space="preserve">Interest rate risk is a significant driver of overall market risk for a large number of undertakings. </w:t>
      </w:r>
      <w:r w:rsidR="007B1E8D">
        <w:t>An event which is considered significant enough to justify its recalibration should also be significant enough to justify the recalibration of the correlation matrix for market risk.</w:t>
      </w:r>
    </w:p>
    <w:p w14:paraId="1BFA8C8E" w14:textId="25D8693F" w:rsidR="00302CAC" w:rsidRPr="000171E5" w:rsidRDefault="00CF4983">
      <w:pPr>
        <w:rPr>
          <w:b/>
          <w:color w:val="4472C4" w:themeColor="accent1"/>
          <w:sz w:val="24"/>
        </w:rPr>
      </w:pPr>
      <w:r w:rsidRPr="000171E5">
        <w:rPr>
          <w:b/>
          <w:color w:val="4472C4" w:themeColor="accent1"/>
          <w:sz w:val="24"/>
        </w:rPr>
        <w:lastRenderedPageBreak/>
        <w:t>I</w:t>
      </w:r>
      <w:r w:rsidR="00650AEB" w:rsidRPr="000171E5">
        <w:rPr>
          <w:b/>
          <w:color w:val="4472C4" w:themeColor="accent1"/>
          <w:sz w:val="24"/>
        </w:rPr>
        <w:t>mpact ass</w:t>
      </w:r>
      <w:r w:rsidRPr="000171E5">
        <w:rPr>
          <w:b/>
          <w:color w:val="4472C4" w:themeColor="accent1"/>
          <w:sz w:val="24"/>
        </w:rPr>
        <w:t>essment</w:t>
      </w:r>
    </w:p>
    <w:p w14:paraId="75EEF627" w14:textId="77777777" w:rsidR="008F5058" w:rsidRDefault="008F5058" w:rsidP="00AF2EC1">
      <w:pPr>
        <w:jc w:val="both"/>
      </w:pPr>
      <w:r>
        <w:t xml:space="preserve">EIOPA’s proposed change to the interest rate risk submodule will have a significant </w:t>
      </w:r>
      <w:r w:rsidR="002F2488">
        <w:t xml:space="preserve">capital </w:t>
      </w:r>
      <w:r>
        <w:t xml:space="preserve">impact for </w:t>
      </w:r>
      <w:r w:rsidR="002F2488">
        <w:t>many</w:t>
      </w:r>
      <w:r>
        <w:t xml:space="preserve"> insurers. Any proposal of this magnitude must be supported by a comprehensive and thorough impact assessment.</w:t>
      </w:r>
    </w:p>
    <w:p w14:paraId="6B663CD0" w14:textId="77777777" w:rsidR="008F5058" w:rsidRDefault="008F5058" w:rsidP="00AF2EC1">
      <w:pPr>
        <w:jc w:val="both"/>
      </w:pPr>
      <w:r>
        <w:t>Insurance Europe does not believe that that the impact assessment provided by EIOPA is sufficiently robust</w:t>
      </w:r>
      <w:r w:rsidR="00D3743B">
        <w:t xml:space="preserve"> in terms of scope, methodology or presentation of results</w:t>
      </w:r>
      <w:r>
        <w:t xml:space="preserve"> to support its recommendation and calls on the Commission to undertake a full and comprehensive impact assessment. </w:t>
      </w:r>
    </w:p>
    <w:p w14:paraId="4C37E123" w14:textId="77777777" w:rsidR="00D3743B" w:rsidRPr="000171E5" w:rsidRDefault="00D3743B" w:rsidP="00AF2EC1">
      <w:pPr>
        <w:jc w:val="both"/>
        <w:rPr>
          <w:i/>
          <w:color w:val="ED7D31" w:themeColor="accent2"/>
        </w:rPr>
      </w:pPr>
      <w:r w:rsidRPr="000171E5">
        <w:rPr>
          <w:i/>
          <w:color w:val="ED7D31" w:themeColor="accent2"/>
        </w:rPr>
        <w:t>Scope</w:t>
      </w:r>
    </w:p>
    <w:p w14:paraId="56A6CB0F" w14:textId="77777777" w:rsidR="00B763CC" w:rsidRDefault="00CF4983" w:rsidP="002F2488">
      <w:pPr>
        <w:jc w:val="both"/>
      </w:pPr>
      <w:r>
        <w:t xml:space="preserve">As a headline figure, </w:t>
      </w:r>
      <w:r w:rsidR="00D3743B">
        <w:t>EIOPA</w:t>
      </w:r>
      <w:r w:rsidR="009D76B9">
        <w:t xml:space="preserve"> have </w:t>
      </w:r>
      <w:r w:rsidR="00D3743B">
        <w:t>estimate</w:t>
      </w:r>
      <w:r w:rsidR="009D76B9">
        <w:t>d</w:t>
      </w:r>
      <w:r w:rsidR="00D3743B">
        <w:t xml:space="preserve"> </w:t>
      </w:r>
      <w:r w:rsidR="002F2488">
        <w:t xml:space="preserve">that </w:t>
      </w:r>
      <w:r w:rsidR="00D3743B">
        <w:t>the increase</w:t>
      </w:r>
      <w:r>
        <w:t>d</w:t>
      </w:r>
      <w:r w:rsidR="00D3743B">
        <w:t xml:space="preserve"> capital requirements for undertakings</w:t>
      </w:r>
      <w:r>
        <w:t xml:space="preserve"> affected by the proposal</w:t>
      </w:r>
      <w:r w:rsidR="009D76B9">
        <w:t xml:space="preserve"> </w:t>
      </w:r>
      <w:r w:rsidR="002F2488">
        <w:t xml:space="preserve">will result in an </w:t>
      </w:r>
      <w:r w:rsidR="009D76B9">
        <w:t>estimated</w:t>
      </w:r>
      <w:r w:rsidR="002F2488">
        <w:t xml:space="preserve"> aggregate </w:t>
      </w:r>
      <w:r w:rsidR="009D76B9">
        <w:t xml:space="preserve">breach in the SCR </w:t>
      </w:r>
      <w:r>
        <w:t>of</w:t>
      </w:r>
      <w:r w:rsidR="009D76B9">
        <w:t xml:space="preserve"> around EUR 150m. </w:t>
      </w:r>
    </w:p>
    <w:p w14:paraId="410DB6A7" w14:textId="642E1349" w:rsidR="00CF4983" w:rsidRDefault="002F2488" w:rsidP="002F2488">
      <w:pPr>
        <w:jc w:val="both"/>
      </w:pPr>
      <w:r>
        <w:t xml:space="preserve">From a simple regulatory point of view, it may appear that the proposals will not have a significant impact in terms of increased capital requirement. </w:t>
      </w:r>
    </w:p>
    <w:p w14:paraId="17DFBEA8" w14:textId="63C88DAC" w:rsidR="002F2488" w:rsidRDefault="002F2488" w:rsidP="002F2488">
      <w:pPr>
        <w:jc w:val="both"/>
      </w:pPr>
      <w:r>
        <w:t xml:space="preserve">However, the proposed changes will clearly result in </w:t>
      </w:r>
      <w:r w:rsidR="00CF4983">
        <w:t xml:space="preserve">the affected </w:t>
      </w:r>
      <w:r>
        <w:t xml:space="preserve">insurers </w:t>
      </w:r>
      <w:r w:rsidR="00B763CC">
        <w:t>performing</w:t>
      </w:r>
      <w:r>
        <w:t xml:space="preserve"> significant capital raising</w:t>
      </w:r>
      <w:r w:rsidR="00CF4983">
        <w:t xml:space="preserve"> for the following reasons.</w:t>
      </w:r>
    </w:p>
    <w:p w14:paraId="7DA1FF14" w14:textId="1A439C9F" w:rsidR="009D76B9" w:rsidRDefault="002F2488" w:rsidP="00B70384">
      <w:pPr>
        <w:pStyle w:val="Odsekzoznamu"/>
        <w:numPr>
          <w:ilvl w:val="0"/>
          <w:numId w:val="12"/>
        </w:numPr>
        <w:ind w:left="714" w:hanging="357"/>
        <w:contextualSpacing w:val="0"/>
        <w:jc w:val="both"/>
      </w:pPr>
      <w:r>
        <w:t>EIOPA’s</w:t>
      </w:r>
      <w:r w:rsidR="009D76B9">
        <w:t xml:space="preserve"> calculation assumes that insurers target an SCR ratio of 100%. In practice, insurers will have internal capital targets significantly above 100%</w:t>
      </w:r>
      <w:r>
        <w:t>. A</w:t>
      </w:r>
      <w:r w:rsidR="009D76B9">
        <w:t xml:space="preserve">ny substantial </w:t>
      </w:r>
      <w:r w:rsidR="00750782">
        <w:t>increase</w:t>
      </w:r>
      <w:r w:rsidR="009D76B9">
        <w:t xml:space="preserve"> in capital</w:t>
      </w:r>
      <w:r>
        <w:t xml:space="preserve"> </w:t>
      </w:r>
      <w:r w:rsidR="00750782">
        <w:t xml:space="preserve">requirements </w:t>
      </w:r>
      <w:r w:rsidR="009D76B9">
        <w:t xml:space="preserve">because of changes to the regulation will </w:t>
      </w:r>
      <w:r>
        <w:t xml:space="preserve">require these insurers to plan for an increase back to their target levels. </w:t>
      </w:r>
    </w:p>
    <w:p w14:paraId="4AC3B07B" w14:textId="66F0BBB3" w:rsidR="00A751BB" w:rsidRDefault="009D76B9" w:rsidP="00B70384">
      <w:pPr>
        <w:pStyle w:val="Odsekzoznamu"/>
        <w:numPr>
          <w:ilvl w:val="0"/>
          <w:numId w:val="12"/>
        </w:numPr>
        <w:ind w:left="714" w:hanging="357"/>
        <w:contextualSpacing w:val="0"/>
        <w:jc w:val="both"/>
      </w:pPr>
      <w:r>
        <w:t>EIOPA’s assessment does not consider the consequential impact on insurers applying the transitional measures</w:t>
      </w:r>
      <w:r w:rsidR="00A751BB">
        <w:t xml:space="preserve">. These </w:t>
      </w:r>
      <w:r w:rsidR="00902D58">
        <w:t>provide insurers with</w:t>
      </w:r>
      <w:r w:rsidR="00A751BB">
        <w:t xml:space="preserve"> </w:t>
      </w:r>
      <w:r w:rsidR="00902D58">
        <w:t xml:space="preserve">a period of 16 years over which to transition to the </w:t>
      </w:r>
      <w:r w:rsidR="00A751BB">
        <w:t xml:space="preserve">full </w:t>
      </w:r>
      <w:r w:rsidR="00902D58">
        <w:t>S</w:t>
      </w:r>
      <w:r w:rsidR="00A751BB">
        <w:t>olvency II requirements</w:t>
      </w:r>
      <w:r w:rsidR="00902D58">
        <w:t xml:space="preserve"> subject to a set of eligibility criteria. Insurers using these measures have, correctly, developed their capital management plans based upon the existing regulation.</w:t>
      </w:r>
      <w:r w:rsidR="00A751BB">
        <w:t xml:space="preserve"> The increased capital requirements </w:t>
      </w:r>
      <w:r w:rsidR="00902D58">
        <w:t>may result in non-compliance with the eligibility criteria and require significant reassessment of capital plans</w:t>
      </w:r>
      <w:r w:rsidR="00A751BB">
        <w:t>.</w:t>
      </w:r>
      <w:r w:rsidR="00453889">
        <w:t xml:space="preserve"> </w:t>
      </w:r>
    </w:p>
    <w:p w14:paraId="50562F3B" w14:textId="77777777" w:rsidR="00384E01" w:rsidRPr="00D3743B" w:rsidRDefault="00384E01" w:rsidP="00B70384">
      <w:pPr>
        <w:pStyle w:val="Odsekzoznamu"/>
        <w:numPr>
          <w:ilvl w:val="0"/>
          <w:numId w:val="12"/>
        </w:numPr>
        <w:jc w:val="both"/>
      </w:pPr>
      <w:r>
        <w:t>EIOPA have also assessed that there will be no cost to policyholders from the implementation of the recommendations. However, it is difficult to see how such a significant change in capital requirements</w:t>
      </w:r>
      <w:r w:rsidR="00847B77">
        <w:t xml:space="preserve"> would not increase the shift to “capital-light” product offerings and/or impact the pricing and availability of products.</w:t>
      </w:r>
    </w:p>
    <w:p w14:paraId="155ECE64" w14:textId="77777777" w:rsidR="00D3743B" w:rsidRPr="000171E5" w:rsidRDefault="00384E01" w:rsidP="00AF2EC1">
      <w:pPr>
        <w:jc w:val="both"/>
        <w:rPr>
          <w:i/>
          <w:color w:val="ED7D31" w:themeColor="accent2"/>
        </w:rPr>
      </w:pPr>
      <w:r w:rsidRPr="000171E5">
        <w:rPr>
          <w:i/>
          <w:color w:val="ED7D31" w:themeColor="accent2"/>
        </w:rPr>
        <w:t>Methodology</w:t>
      </w:r>
    </w:p>
    <w:p w14:paraId="712091A4" w14:textId="3182B841" w:rsidR="00B82FA8" w:rsidRDefault="005D78CD" w:rsidP="00AF2EC1">
      <w:pPr>
        <w:jc w:val="both"/>
      </w:pPr>
      <w:r>
        <w:rPr>
          <w:noProof/>
          <w:lang w:val="sk-SK" w:eastAsia="sk-SK"/>
        </w:rPr>
        <mc:AlternateContent>
          <mc:Choice Requires="wps">
            <w:drawing>
              <wp:anchor distT="45720" distB="45720" distL="114300" distR="114300" simplePos="0" relativeHeight="251659264" behindDoc="0" locked="0" layoutInCell="1" allowOverlap="1" wp14:anchorId="5348A06B" wp14:editId="619AD6FA">
                <wp:simplePos x="0" y="0"/>
                <wp:positionH relativeFrom="column">
                  <wp:posOffset>3443605</wp:posOffset>
                </wp:positionH>
                <wp:positionV relativeFrom="paragraph">
                  <wp:posOffset>56515</wp:posOffset>
                </wp:positionV>
                <wp:extent cx="2440305" cy="204660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2046605"/>
                        </a:xfrm>
                        <a:prstGeom prst="rect">
                          <a:avLst/>
                        </a:prstGeom>
                        <a:solidFill>
                          <a:schemeClr val="accent2">
                            <a:lumMod val="20000"/>
                            <a:lumOff val="80000"/>
                          </a:schemeClr>
                        </a:solidFill>
                        <a:ln w="9525">
                          <a:solidFill>
                            <a:srgbClr val="000000"/>
                          </a:solidFill>
                          <a:miter lim="800000"/>
                          <a:headEnd/>
                          <a:tailEnd/>
                        </a:ln>
                      </wps:spPr>
                      <wps:txbx>
                        <w:txbxContent>
                          <w:p w14:paraId="2CB006A9" w14:textId="77777777" w:rsidR="002F2488" w:rsidRPr="00A5504B" w:rsidRDefault="00A5504B">
                            <w:pPr>
                              <w:rPr>
                                <w:b/>
                              </w:rPr>
                            </w:pPr>
                            <w:r w:rsidRPr="00A5504B">
                              <w:rPr>
                                <w:b/>
                              </w:rPr>
                              <w:t>Market impact 1 - Sweden</w:t>
                            </w:r>
                          </w:p>
                          <w:p w14:paraId="77FC4E58" w14:textId="77777777" w:rsidR="00A5504B" w:rsidRPr="00A5504B" w:rsidRDefault="00A5504B" w:rsidP="00A5504B">
                            <w:pPr>
                              <w:spacing w:after="0"/>
                              <w:rPr>
                                <w:u w:val="single"/>
                              </w:rPr>
                            </w:pPr>
                            <w:r>
                              <w:rPr>
                                <w:u w:val="single"/>
                              </w:rPr>
                              <w:t>Shifted approach</w:t>
                            </w:r>
                          </w:p>
                          <w:p w14:paraId="255674B7" w14:textId="77777777" w:rsidR="00A5504B" w:rsidRPr="00A5504B" w:rsidRDefault="00A5504B" w:rsidP="00A5504B">
                            <w:pPr>
                              <w:spacing w:after="0"/>
                              <w:rPr>
                                <w:b/>
                                <w:i/>
                              </w:rPr>
                            </w:pPr>
                            <w:r w:rsidRPr="00A5504B">
                              <w:rPr>
                                <w:b/>
                                <w:i/>
                              </w:rPr>
                              <w:t>Insurer A</w:t>
                            </w:r>
                          </w:p>
                          <w:p w14:paraId="00C855F1" w14:textId="77777777" w:rsidR="00A5504B" w:rsidRDefault="00A5504B" w:rsidP="00A5504B">
                            <w:pPr>
                              <w:spacing w:after="0"/>
                            </w:pPr>
                            <w:r>
                              <w:t>Using EIOPA methodology</w:t>
                            </w:r>
                            <w:r>
                              <w:tab/>
                              <w:t>-17%</w:t>
                            </w:r>
                          </w:p>
                          <w:p w14:paraId="2095C0A4" w14:textId="77777777" w:rsidR="00A5504B" w:rsidRDefault="00A5504B" w:rsidP="00A5504B">
                            <w:pPr>
                              <w:spacing w:after="0"/>
                            </w:pPr>
                            <w:r>
                              <w:t>Full calculation</w:t>
                            </w:r>
                            <w:r>
                              <w:tab/>
                            </w:r>
                            <w:r>
                              <w:tab/>
                            </w:r>
                            <w:r>
                              <w:tab/>
                              <w:t>-29%</w:t>
                            </w:r>
                          </w:p>
                          <w:p w14:paraId="2C0C0F00" w14:textId="77777777" w:rsidR="00A5504B" w:rsidRDefault="00A5504B" w:rsidP="00A5504B">
                            <w:pPr>
                              <w:spacing w:after="0"/>
                            </w:pPr>
                          </w:p>
                          <w:p w14:paraId="65A8338C" w14:textId="77777777" w:rsidR="00A5504B" w:rsidRPr="00A5504B" w:rsidRDefault="00A5504B" w:rsidP="00A5504B">
                            <w:pPr>
                              <w:spacing w:after="0"/>
                              <w:rPr>
                                <w:u w:val="single"/>
                              </w:rPr>
                            </w:pPr>
                            <w:r w:rsidRPr="00A5504B">
                              <w:rPr>
                                <w:u w:val="single"/>
                              </w:rPr>
                              <w:t>Comp</w:t>
                            </w:r>
                            <w:r>
                              <w:rPr>
                                <w:u w:val="single"/>
                              </w:rPr>
                              <w:t>arison of shifted and Proposal A</w:t>
                            </w:r>
                          </w:p>
                          <w:p w14:paraId="00CE816E" w14:textId="77777777" w:rsidR="00A5504B" w:rsidRPr="00A5504B" w:rsidRDefault="00A5504B" w:rsidP="00A5504B">
                            <w:pPr>
                              <w:spacing w:after="0"/>
                              <w:rPr>
                                <w:b/>
                                <w:i/>
                              </w:rPr>
                            </w:pPr>
                            <w:r w:rsidRPr="00A5504B">
                              <w:rPr>
                                <w:b/>
                                <w:i/>
                              </w:rPr>
                              <w:t>Insurer B</w:t>
                            </w:r>
                          </w:p>
                          <w:p w14:paraId="0D4802A0" w14:textId="77777777" w:rsidR="00A5504B" w:rsidRDefault="00A5504B" w:rsidP="00A5504B">
                            <w:pPr>
                              <w:spacing w:after="0"/>
                            </w:pPr>
                            <w:r>
                              <w:t>Proposal A</w:t>
                            </w:r>
                            <w:r>
                              <w:tab/>
                            </w:r>
                            <w:r>
                              <w:tab/>
                            </w:r>
                            <w:r>
                              <w:tab/>
                              <w:t>-35%</w:t>
                            </w:r>
                          </w:p>
                          <w:p w14:paraId="1E99674E" w14:textId="77777777" w:rsidR="00A5504B" w:rsidRDefault="00A5504B" w:rsidP="00A5504B">
                            <w:pPr>
                              <w:spacing w:after="0"/>
                            </w:pPr>
                            <w:r>
                              <w:t>Shifted – full calculation</w:t>
                            </w:r>
                            <w:r>
                              <w:tab/>
                            </w:r>
                            <w:r>
                              <w:tab/>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8A06B" id="_x0000_t202" coordsize="21600,21600" o:spt="202" path="m,l,21600r21600,l21600,xe">
                <v:stroke joinstyle="miter"/>
                <v:path gradientshapeok="t" o:connecttype="rect"/>
              </v:shapetype>
              <v:shape id="Text Box 2" o:spid="_x0000_s1026" type="#_x0000_t202" style="position:absolute;left:0;text-align:left;margin-left:271.15pt;margin-top:4.45pt;width:192.15pt;height:16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" fillcolor="#fbe4d5 [661]">
                <v:textbox>
                  <w:txbxContent>
                    <w:p w14:paraId="2CB006A9" w14:textId="77777777" w:rsidR="002F2488" w:rsidRPr="00A5504B" w:rsidRDefault="00A5504B">
                      <w:pPr>
                        <w:rPr>
                          <w:b/>
                        </w:rPr>
                      </w:pPr>
                      <w:r w:rsidRPr="00A5504B">
                        <w:rPr>
                          <w:b/>
                        </w:rPr>
                        <w:t>Market impact 1 - Sweden</w:t>
                      </w:r>
                    </w:p>
                    <w:p w14:paraId="77FC4E58" w14:textId="77777777" w:rsidR="00A5504B" w:rsidRPr="00A5504B" w:rsidRDefault="00A5504B" w:rsidP="00A5504B">
                      <w:pPr>
                        <w:spacing w:after="0"/>
                        <w:rPr>
                          <w:u w:val="single"/>
                        </w:rPr>
                      </w:pPr>
                      <w:r>
                        <w:rPr>
                          <w:u w:val="single"/>
                        </w:rPr>
                        <w:t>Shifted approach</w:t>
                      </w:r>
                    </w:p>
                    <w:p w14:paraId="255674B7" w14:textId="77777777" w:rsidR="00A5504B" w:rsidRPr="00A5504B" w:rsidRDefault="00A5504B" w:rsidP="00A5504B">
                      <w:pPr>
                        <w:spacing w:after="0"/>
                        <w:rPr>
                          <w:b/>
                          <w:i/>
                        </w:rPr>
                      </w:pPr>
                      <w:r w:rsidRPr="00A5504B">
                        <w:rPr>
                          <w:b/>
                          <w:i/>
                        </w:rPr>
                        <w:t>Insurer A</w:t>
                      </w:r>
                    </w:p>
                    <w:p w14:paraId="00C855F1" w14:textId="77777777" w:rsidR="00A5504B" w:rsidRDefault="00A5504B" w:rsidP="00A5504B">
                      <w:pPr>
                        <w:spacing w:after="0"/>
                      </w:pPr>
                      <w:r>
                        <w:t>Using EIOPA methodology</w:t>
                      </w:r>
                      <w:r>
                        <w:tab/>
                        <w:t>-17%</w:t>
                      </w:r>
                    </w:p>
                    <w:p w14:paraId="2095C0A4" w14:textId="77777777" w:rsidR="00A5504B" w:rsidRDefault="00A5504B" w:rsidP="00A5504B">
                      <w:pPr>
                        <w:spacing w:after="0"/>
                      </w:pPr>
                      <w:r>
                        <w:t>Full calculation</w:t>
                      </w:r>
                      <w:r>
                        <w:tab/>
                      </w:r>
                      <w:r>
                        <w:tab/>
                      </w:r>
                      <w:r>
                        <w:tab/>
                        <w:t>-29%</w:t>
                      </w:r>
                    </w:p>
                    <w:p w14:paraId="2C0C0F00" w14:textId="77777777" w:rsidR="00A5504B" w:rsidRDefault="00A5504B" w:rsidP="00A5504B">
                      <w:pPr>
                        <w:spacing w:after="0"/>
                      </w:pPr>
                    </w:p>
                    <w:p w14:paraId="65A8338C" w14:textId="77777777" w:rsidR="00A5504B" w:rsidRPr="00A5504B" w:rsidRDefault="00A5504B" w:rsidP="00A5504B">
                      <w:pPr>
                        <w:spacing w:after="0"/>
                        <w:rPr>
                          <w:u w:val="single"/>
                        </w:rPr>
                      </w:pPr>
                      <w:r w:rsidRPr="00A5504B">
                        <w:rPr>
                          <w:u w:val="single"/>
                        </w:rPr>
                        <w:t>Comp</w:t>
                      </w:r>
                      <w:r>
                        <w:rPr>
                          <w:u w:val="single"/>
                        </w:rPr>
                        <w:t>arison of shifted and Proposal A</w:t>
                      </w:r>
                    </w:p>
                    <w:p w14:paraId="00CE816E" w14:textId="77777777" w:rsidR="00A5504B" w:rsidRPr="00A5504B" w:rsidRDefault="00A5504B" w:rsidP="00A5504B">
                      <w:pPr>
                        <w:spacing w:after="0"/>
                        <w:rPr>
                          <w:b/>
                          <w:i/>
                        </w:rPr>
                      </w:pPr>
                      <w:r w:rsidRPr="00A5504B">
                        <w:rPr>
                          <w:b/>
                          <w:i/>
                        </w:rPr>
                        <w:t>Insurer B</w:t>
                      </w:r>
                    </w:p>
                    <w:p w14:paraId="0D4802A0" w14:textId="77777777" w:rsidR="00A5504B" w:rsidRDefault="00A5504B" w:rsidP="00A5504B">
                      <w:pPr>
                        <w:spacing w:after="0"/>
                      </w:pPr>
                      <w:r>
                        <w:t>Proposal A</w:t>
                      </w:r>
                      <w:r>
                        <w:tab/>
                      </w:r>
                      <w:r>
                        <w:tab/>
                      </w:r>
                      <w:r>
                        <w:tab/>
                        <w:t>-35%</w:t>
                      </w:r>
                    </w:p>
                    <w:p w14:paraId="1E99674E" w14:textId="77777777" w:rsidR="00A5504B" w:rsidRDefault="00A5504B" w:rsidP="00A5504B">
                      <w:pPr>
                        <w:spacing w:after="0"/>
                      </w:pPr>
                      <w:r>
                        <w:t>Shifted – full calculation</w:t>
                      </w:r>
                      <w:r>
                        <w:tab/>
                      </w:r>
                      <w:r>
                        <w:tab/>
                        <w:t>-28%</w:t>
                      </w:r>
                    </w:p>
                  </w:txbxContent>
                </v:textbox>
                <w10:wrap type="square"/>
              </v:shape>
            </w:pict>
          </mc:Fallback>
        </mc:AlternateContent>
      </w:r>
      <w:r w:rsidR="00B82FA8">
        <w:t>EIOPA</w:t>
      </w:r>
      <w:r w:rsidR="00847B77">
        <w:t xml:space="preserve">’s </w:t>
      </w:r>
      <w:r w:rsidR="009E0DC4">
        <w:t xml:space="preserve">quantitative assessment </w:t>
      </w:r>
      <w:r w:rsidR="00B82FA8">
        <w:t xml:space="preserve">is primarily based upon the results of a data request </w:t>
      </w:r>
      <w:r w:rsidR="00B70384">
        <w:t>which assessed the impact of</w:t>
      </w:r>
      <w:r w:rsidR="00B82FA8">
        <w:t xml:space="preserve"> its two original proposals</w:t>
      </w:r>
      <w:r w:rsidR="00847B77">
        <w:t xml:space="preserve">; </w:t>
      </w:r>
      <w:r w:rsidR="00B70384">
        <w:t>P</w:t>
      </w:r>
      <w:r w:rsidR="00847B77">
        <w:t>roposal A</w:t>
      </w:r>
      <w:r w:rsidR="00B82FA8">
        <w:t xml:space="preserve"> (the symmetric 200bp minimum shock) and</w:t>
      </w:r>
      <w:r w:rsidR="00847B77">
        <w:t xml:space="preserve"> </w:t>
      </w:r>
      <w:r w:rsidR="00B70384">
        <w:t>P</w:t>
      </w:r>
      <w:r w:rsidR="00847B77">
        <w:t>roposal</w:t>
      </w:r>
      <w:r w:rsidR="00B82FA8">
        <w:t xml:space="preserve"> B (the combined approach). </w:t>
      </w:r>
    </w:p>
    <w:p w14:paraId="09802D14" w14:textId="3C5D9E57" w:rsidR="00847B77" w:rsidRDefault="00B82FA8" w:rsidP="00AF2EC1">
      <w:pPr>
        <w:jc w:val="both"/>
      </w:pPr>
      <w:r>
        <w:t xml:space="preserve">As the shifted approach was not </w:t>
      </w:r>
      <w:r w:rsidR="008F4B04">
        <w:t>included in the</w:t>
      </w:r>
      <w:r>
        <w:t xml:space="preserve"> data request, EIOPA have </w:t>
      </w:r>
      <w:r w:rsidR="008F4B04">
        <w:t xml:space="preserve">linearly </w:t>
      </w:r>
      <w:r>
        <w:t>approximated its</w:t>
      </w:r>
      <w:r w:rsidR="008F4B04">
        <w:t xml:space="preserve"> impact. The approximation linearly interpolates the impact of the </w:t>
      </w:r>
      <w:r w:rsidR="00847B77">
        <w:t>existing calculation</w:t>
      </w:r>
      <w:r w:rsidR="008F4B04">
        <w:t xml:space="preserve"> and the </w:t>
      </w:r>
      <w:r w:rsidR="00847B77">
        <w:t>proposal B</w:t>
      </w:r>
      <w:r w:rsidR="00750782">
        <w:t>,</w:t>
      </w:r>
      <w:r w:rsidR="008F4B04">
        <w:t xml:space="preserve"> using the 10-year tenor as a reference point. </w:t>
      </w:r>
      <w:r w:rsidR="00847B77">
        <w:t xml:space="preserve">This estimates the impact of the shifted approach proposal to be </w:t>
      </w:r>
      <w:r w:rsidR="00B70384">
        <w:t>c.</w:t>
      </w:r>
      <w:r w:rsidR="00847B77">
        <w:t>6</w:t>
      </w:r>
      <w:r w:rsidR="00B70384">
        <w:t>6</w:t>
      </w:r>
      <w:r w:rsidR="00847B77">
        <w:t>% of the impact of proposal B.</w:t>
      </w:r>
    </w:p>
    <w:p w14:paraId="154E0C58" w14:textId="346C9E68" w:rsidR="00847B77" w:rsidRDefault="005D78CD" w:rsidP="00AF2EC1">
      <w:pPr>
        <w:jc w:val="both"/>
      </w:pPr>
      <w:r>
        <w:rPr>
          <w:noProof/>
          <w:lang w:val="sk-SK" w:eastAsia="sk-SK"/>
        </w:rPr>
        <w:lastRenderedPageBreak/>
        <mc:AlternateContent>
          <mc:Choice Requires="wps">
            <w:drawing>
              <wp:anchor distT="45720" distB="45720" distL="114300" distR="114300" simplePos="0" relativeHeight="251661312" behindDoc="0" locked="0" layoutInCell="1" allowOverlap="1" wp14:anchorId="298C5BC2" wp14:editId="2995C205">
                <wp:simplePos x="0" y="0"/>
                <wp:positionH relativeFrom="column">
                  <wp:posOffset>-12065</wp:posOffset>
                </wp:positionH>
                <wp:positionV relativeFrom="paragraph">
                  <wp:posOffset>31750</wp:posOffset>
                </wp:positionV>
                <wp:extent cx="2743200" cy="2210435"/>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10435"/>
                        </a:xfrm>
                        <a:prstGeom prst="rect">
                          <a:avLst/>
                        </a:prstGeom>
                        <a:solidFill>
                          <a:schemeClr val="accent2">
                            <a:lumMod val="20000"/>
                            <a:lumOff val="80000"/>
                          </a:schemeClr>
                        </a:solidFill>
                        <a:ln w="9525">
                          <a:solidFill>
                            <a:srgbClr val="000000"/>
                          </a:solidFill>
                          <a:miter lim="800000"/>
                          <a:headEnd/>
                          <a:tailEnd/>
                        </a:ln>
                      </wps:spPr>
                      <wps:txbx>
                        <w:txbxContent>
                          <w:p w14:paraId="34492B60" w14:textId="77777777" w:rsidR="005D78CD" w:rsidRPr="00A5504B" w:rsidRDefault="005D78CD" w:rsidP="005D78CD">
                            <w:pPr>
                              <w:rPr>
                                <w:b/>
                              </w:rPr>
                            </w:pPr>
                            <w:r>
                              <w:rPr>
                                <w:b/>
                              </w:rPr>
                              <w:t>Market impact 2</w:t>
                            </w:r>
                            <w:r w:rsidRPr="00A5504B">
                              <w:rPr>
                                <w:b/>
                              </w:rPr>
                              <w:t xml:space="preserve"> - </w:t>
                            </w:r>
                            <w:r>
                              <w:rPr>
                                <w:b/>
                              </w:rPr>
                              <w:t>France</w:t>
                            </w:r>
                          </w:p>
                          <w:p w14:paraId="7611CF20" w14:textId="77777777" w:rsidR="005D78CD" w:rsidRDefault="005D78CD" w:rsidP="005D78CD">
                            <w:pPr>
                              <w:spacing w:after="0"/>
                              <w:rPr>
                                <w:u w:val="single"/>
                              </w:rPr>
                            </w:pPr>
                            <w:r w:rsidRPr="00A5504B">
                              <w:rPr>
                                <w:u w:val="single"/>
                              </w:rPr>
                              <w:t>Comp</w:t>
                            </w:r>
                            <w:r>
                              <w:rPr>
                                <w:u w:val="single"/>
                              </w:rPr>
                              <w:t>arison of shifted and Proposal B</w:t>
                            </w:r>
                          </w:p>
                          <w:p w14:paraId="2443E2E2" w14:textId="77777777" w:rsidR="005D78CD" w:rsidRDefault="005D78CD" w:rsidP="005D78CD">
                            <w:pPr>
                              <w:spacing w:after="0"/>
                              <w:rPr>
                                <w:u w:val="single"/>
                              </w:rPr>
                            </w:pPr>
                          </w:p>
                          <w:tbl>
                            <w:tblPr>
                              <w:tblStyle w:val="Mriekatabuky"/>
                              <w:tblW w:w="4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169"/>
                              <w:gridCol w:w="1038"/>
                              <w:gridCol w:w="934"/>
                            </w:tblGrid>
                            <w:tr w:rsidR="00B70384" w14:paraId="1A1D798C" w14:textId="405161A1" w:rsidTr="00B70384">
                              <w:trPr>
                                <w:trHeight w:val="292"/>
                              </w:trPr>
                              <w:tc>
                                <w:tcPr>
                                  <w:tcW w:w="978" w:type="dxa"/>
                                </w:tcPr>
                                <w:p w14:paraId="5B63AD13" w14:textId="77777777" w:rsidR="00B70384" w:rsidRDefault="00B70384" w:rsidP="005D78CD">
                                  <w:pPr>
                                    <w:rPr>
                                      <w:u w:val="single"/>
                                    </w:rPr>
                                  </w:pPr>
                                  <w:r>
                                    <w:rPr>
                                      <w:u w:val="single"/>
                                    </w:rPr>
                                    <w:t>Insurer</w:t>
                                  </w:r>
                                </w:p>
                              </w:tc>
                              <w:tc>
                                <w:tcPr>
                                  <w:tcW w:w="1253" w:type="dxa"/>
                                </w:tcPr>
                                <w:p w14:paraId="19F39BDB" w14:textId="49C20E2B" w:rsidR="00B70384" w:rsidRDefault="00B70384" w:rsidP="001B2C82">
                                  <w:pPr>
                                    <w:jc w:val="center"/>
                                    <w:rPr>
                                      <w:u w:val="single"/>
                                    </w:rPr>
                                  </w:pPr>
                                  <w:r>
                                    <w:rPr>
                                      <w:u w:val="single"/>
                                    </w:rPr>
                                    <w:t>Proposal B</w:t>
                                  </w:r>
                                </w:p>
                              </w:tc>
                              <w:tc>
                                <w:tcPr>
                                  <w:tcW w:w="1130" w:type="dxa"/>
                                </w:tcPr>
                                <w:p w14:paraId="31AECDE4" w14:textId="77777777" w:rsidR="00B70384" w:rsidRDefault="00B70384" w:rsidP="001B2C82">
                                  <w:pPr>
                                    <w:jc w:val="center"/>
                                    <w:rPr>
                                      <w:u w:val="single"/>
                                    </w:rPr>
                                  </w:pPr>
                                  <w:r>
                                    <w:rPr>
                                      <w:u w:val="single"/>
                                    </w:rPr>
                                    <w:t>Shifted</w:t>
                                  </w:r>
                                </w:p>
                              </w:tc>
                              <w:tc>
                                <w:tcPr>
                                  <w:tcW w:w="717" w:type="dxa"/>
                                </w:tcPr>
                                <w:p w14:paraId="0D1B42A5" w14:textId="1B626765" w:rsidR="00B70384" w:rsidRDefault="00B70384" w:rsidP="001B2C82">
                                  <w:pPr>
                                    <w:jc w:val="center"/>
                                    <w:rPr>
                                      <w:u w:val="single"/>
                                    </w:rPr>
                                  </w:pPr>
                                  <w:r>
                                    <w:rPr>
                                      <w:u w:val="single"/>
                                    </w:rPr>
                                    <w:t>Relative</w:t>
                                  </w:r>
                                </w:p>
                              </w:tc>
                            </w:tr>
                            <w:tr w:rsidR="00B70384" w14:paraId="764F2EBF" w14:textId="69D86FA8" w:rsidTr="00B70384">
                              <w:trPr>
                                <w:trHeight w:val="239"/>
                              </w:trPr>
                              <w:tc>
                                <w:tcPr>
                                  <w:tcW w:w="978" w:type="dxa"/>
                                </w:tcPr>
                                <w:p w14:paraId="77CCC1E7" w14:textId="77777777" w:rsidR="00B70384" w:rsidRPr="005D78CD" w:rsidRDefault="00B70384" w:rsidP="005D78CD">
                                  <w:r w:rsidRPr="005D78CD">
                                    <w:t>A</w:t>
                                  </w:r>
                                </w:p>
                              </w:tc>
                              <w:tc>
                                <w:tcPr>
                                  <w:tcW w:w="1253" w:type="dxa"/>
                                </w:tcPr>
                                <w:p w14:paraId="0537B727" w14:textId="77777777" w:rsidR="00B70384" w:rsidRPr="005D78CD" w:rsidRDefault="00B70384" w:rsidP="005D78CD">
                                  <w:pPr>
                                    <w:jc w:val="center"/>
                                  </w:pPr>
                                  <w:r w:rsidRPr="005D78CD">
                                    <w:t>-56%</w:t>
                                  </w:r>
                                </w:p>
                              </w:tc>
                              <w:tc>
                                <w:tcPr>
                                  <w:tcW w:w="1130" w:type="dxa"/>
                                </w:tcPr>
                                <w:p w14:paraId="457A0CF0" w14:textId="77777777" w:rsidR="00B70384" w:rsidRPr="005D78CD" w:rsidRDefault="00B70384" w:rsidP="005D78CD">
                                  <w:pPr>
                                    <w:jc w:val="center"/>
                                  </w:pPr>
                                  <w:r w:rsidRPr="005D78CD">
                                    <w:t>-71%</w:t>
                                  </w:r>
                                </w:p>
                              </w:tc>
                              <w:tc>
                                <w:tcPr>
                                  <w:tcW w:w="717" w:type="dxa"/>
                                </w:tcPr>
                                <w:p w14:paraId="2F407752" w14:textId="31AC402B" w:rsidR="00B70384" w:rsidRPr="005D78CD" w:rsidRDefault="00B70384" w:rsidP="005D78CD">
                                  <w:pPr>
                                    <w:jc w:val="center"/>
                                  </w:pPr>
                                  <w:r>
                                    <w:t>126%</w:t>
                                  </w:r>
                                </w:p>
                              </w:tc>
                            </w:tr>
                            <w:tr w:rsidR="00B70384" w14:paraId="652FA5CA" w14:textId="572E3EDB" w:rsidTr="00B70384">
                              <w:trPr>
                                <w:trHeight w:val="239"/>
                              </w:trPr>
                              <w:tc>
                                <w:tcPr>
                                  <w:tcW w:w="978" w:type="dxa"/>
                                </w:tcPr>
                                <w:p w14:paraId="56C1543D" w14:textId="77777777" w:rsidR="00B70384" w:rsidRPr="005D78CD" w:rsidRDefault="00B70384" w:rsidP="005D78CD">
                                  <w:r w:rsidRPr="005D78CD">
                                    <w:t>B</w:t>
                                  </w:r>
                                </w:p>
                              </w:tc>
                              <w:tc>
                                <w:tcPr>
                                  <w:tcW w:w="1253" w:type="dxa"/>
                                </w:tcPr>
                                <w:p w14:paraId="51C995EE" w14:textId="77777777" w:rsidR="00B70384" w:rsidRPr="005D78CD" w:rsidRDefault="00B70384" w:rsidP="005D78CD">
                                  <w:pPr>
                                    <w:jc w:val="center"/>
                                  </w:pPr>
                                  <w:r w:rsidRPr="005D78CD">
                                    <w:t>-44%</w:t>
                                  </w:r>
                                </w:p>
                              </w:tc>
                              <w:tc>
                                <w:tcPr>
                                  <w:tcW w:w="1130" w:type="dxa"/>
                                </w:tcPr>
                                <w:p w14:paraId="3D89A946" w14:textId="77777777" w:rsidR="00B70384" w:rsidRPr="005D78CD" w:rsidRDefault="00B70384" w:rsidP="005D78CD">
                                  <w:pPr>
                                    <w:jc w:val="center"/>
                                  </w:pPr>
                                  <w:r w:rsidRPr="005D78CD">
                                    <w:t>-40%</w:t>
                                  </w:r>
                                </w:p>
                              </w:tc>
                              <w:tc>
                                <w:tcPr>
                                  <w:tcW w:w="717" w:type="dxa"/>
                                </w:tcPr>
                                <w:p w14:paraId="242E4EFF" w14:textId="55F1A0A2" w:rsidR="00B70384" w:rsidRPr="005D78CD" w:rsidRDefault="00B70384" w:rsidP="005D78CD">
                                  <w:pPr>
                                    <w:jc w:val="center"/>
                                  </w:pPr>
                                  <w:r>
                                    <w:t>91%</w:t>
                                  </w:r>
                                </w:p>
                              </w:tc>
                            </w:tr>
                            <w:tr w:rsidR="00B70384" w14:paraId="4FB34334" w14:textId="1F9954A5" w:rsidTr="00B70384">
                              <w:trPr>
                                <w:trHeight w:val="257"/>
                              </w:trPr>
                              <w:tc>
                                <w:tcPr>
                                  <w:tcW w:w="978" w:type="dxa"/>
                                </w:tcPr>
                                <w:p w14:paraId="6FF81B89" w14:textId="77777777" w:rsidR="00B70384" w:rsidRPr="005D78CD" w:rsidRDefault="00B70384" w:rsidP="005D78CD">
                                  <w:r w:rsidRPr="005D78CD">
                                    <w:t>C</w:t>
                                  </w:r>
                                </w:p>
                              </w:tc>
                              <w:tc>
                                <w:tcPr>
                                  <w:tcW w:w="1253" w:type="dxa"/>
                                </w:tcPr>
                                <w:p w14:paraId="1C4538DA" w14:textId="77777777" w:rsidR="00B70384" w:rsidRPr="005D78CD" w:rsidRDefault="00B70384" w:rsidP="005D78CD">
                                  <w:pPr>
                                    <w:jc w:val="center"/>
                                  </w:pPr>
                                  <w:r w:rsidRPr="005D78CD">
                                    <w:t>-37%</w:t>
                                  </w:r>
                                </w:p>
                              </w:tc>
                              <w:tc>
                                <w:tcPr>
                                  <w:tcW w:w="1130" w:type="dxa"/>
                                </w:tcPr>
                                <w:p w14:paraId="26A2D432" w14:textId="77777777" w:rsidR="00B70384" w:rsidRPr="005D78CD" w:rsidRDefault="00B70384" w:rsidP="005D78CD">
                                  <w:pPr>
                                    <w:jc w:val="center"/>
                                  </w:pPr>
                                  <w:r w:rsidRPr="005D78CD">
                                    <w:t>-41%</w:t>
                                  </w:r>
                                </w:p>
                              </w:tc>
                              <w:tc>
                                <w:tcPr>
                                  <w:tcW w:w="717" w:type="dxa"/>
                                </w:tcPr>
                                <w:p w14:paraId="585106C5" w14:textId="73E9E8D9" w:rsidR="00B70384" w:rsidRPr="005D78CD" w:rsidRDefault="00B70384" w:rsidP="005D78CD">
                                  <w:pPr>
                                    <w:jc w:val="center"/>
                                  </w:pPr>
                                  <w:r>
                                    <w:t>111%</w:t>
                                  </w:r>
                                </w:p>
                              </w:tc>
                            </w:tr>
                            <w:tr w:rsidR="00B70384" w14:paraId="62705B60" w14:textId="377DA2B0" w:rsidTr="00B70384">
                              <w:trPr>
                                <w:trHeight w:val="239"/>
                              </w:trPr>
                              <w:tc>
                                <w:tcPr>
                                  <w:tcW w:w="978" w:type="dxa"/>
                                </w:tcPr>
                                <w:p w14:paraId="2B25EED8" w14:textId="77777777" w:rsidR="00B70384" w:rsidRPr="005D78CD" w:rsidRDefault="00B70384" w:rsidP="005D78CD">
                                  <w:r w:rsidRPr="005D78CD">
                                    <w:t>D</w:t>
                                  </w:r>
                                </w:p>
                              </w:tc>
                              <w:tc>
                                <w:tcPr>
                                  <w:tcW w:w="1253" w:type="dxa"/>
                                </w:tcPr>
                                <w:p w14:paraId="69489CD9" w14:textId="77777777" w:rsidR="00B70384" w:rsidRPr="005D78CD" w:rsidRDefault="00B70384" w:rsidP="005D78CD">
                                  <w:pPr>
                                    <w:jc w:val="center"/>
                                  </w:pPr>
                                  <w:r w:rsidRPr="005D78CD">
                                    <w:t>-29%</w:t>
                                  </w:r>
                                </w:p>
                              </w:tc>
                              <w:tc>
                                <w:tcPr>
                                  <w:tcW w:w="1130" w:type="dxa"/>
                                </w:tcPr>
                                <w:p w14:paraId="21B61C82" w14:textId="77777777" w:rsidR="00B70384" w:rsidRPr="005D78CD" w:rsidRDefault="00B70384" w:rsidP="005D78CD">
                                  <w:pPr>
                                    <w:jc w:val="center"/>
                                  </w:pPr>
                                  <w:r w:rsidRPr="005D78CD">
                                    <w:t>-30%</w:t>
                                  </w:r>
                                </w:p>
                              </w:tc>
                              <w:tc>
                                <w:tcPr>
                                  <w:tcW w:w="717" w:type="dxa"/>
                                </w:tcPr>
                                <w:p w14:paraId="69D6FBB9" w14:textId="688B6AD9" w:rsidR="00B70384" w:rsidRPr="005D78CD" w:rsidRDefault="00B70384" w:rsidP="005D78CD">
                                  <w:pPr>
                                    <w:jc w:val="center"/>
                                  </w:pPr>
                                  <w:r>
                                    <w:t>103%</w:t>
                                  </w:r>
                                </w:p>
                              </w:tc>
                            </w:tr>
                            <w:tr w:rsidR="00B70384" w14:paraId="7EB459F8" w14:textId="7783D47A" w:rsidTr="00B70384">
                              <w:trPr>
                                <w:trHeight w:val="257"/>
                              </w:trPr>
                              <w:tc>
                                <w:tcPr>
                                  <w:tcW w:w="978" w:type="dxa"/>
                                </w:tcPr>
                                <w:p w14:paraId="0B6E5BE7" w14:textId="77777777" w:rsidR="00B70384" w:rsidRPr="005D78CD" w:rsidRDefault="00B70384" w:rsidP="005D78CD">
                                  <w:r w:rsidRPr="005D78CD">
                                    <w:t>E</w:t>
                                  </w:r>
                                </w:p>
                              </w:tc>
                              <w:tc>
                                <w:tcPr>
                                  <w:tcW w:w="1253" w:type="dxa"/>
                                </w:tcPr>
                                <w:p w14:paraId="23C86138" w14:textId="77777777" w:rsidR="00B70384" w:rsidRPr="005D78CD" w:rsidRDefault="00B70384" w:rsidP="005D78CD">
                                  <w:pPr>
                                    <w:jc w:val="center"/>
                                  </w:pPr>
                                  <w:r w:rsidRPr="005D78CD">
                                    <w:t>-19%</w:t>
                                  </w:r>
                                </w:p>
                              </w:tc>
                              <w:tc>
                                <w:tcPr>
                                  <w:tcW w:w="1130" w:type="dxa"/>
                                </w:tcPr>
                                <w:p w14:paraId="594672F0" w14:textId="77777777" w:rsidR="00B70384" w:rsidRPr="005D78CD" w:rsidRDefault="00B70384" w:rsidP="005D78CD">
                                  <w:pPr>
                                    <w:jc w:val="center"/>
                                  </w:pPr>
                                  <w:r w:rsidRPr="005D78CD">
                                    <w:t>-12%</w:t>
                                  </w:r>
                                </w:p>
                              </w:tc>
                              <w:tc>
                                <w:tcPr>
                                  <w:tcW w:w="717" w:type="dxa"/>
                                </w:tcPr>
                                <w:p w14:paraId="177B3838" w14:textId="7A945D36" w:rsidR="00B70384" w:rsidRPr="005D78CD" w:rsidRDefault="00B70384" w:rsidP="005D78CD">
                                  <w:pPr>
                                    <w:jc w:val="center"/>
                                  </w:pPr>
                                  <w:r>
                                    <w:t>63%</w:t>
                                  </w:r>
                                </w:p>
                              </w:tc>
                            </w:tr>
                          </w:tbl>
                          <w:p w14:paraId="67EC77CD" w14:textId="77777777" w:rsidR="005D78CD" w:rsidRDefault="005D78CD" w:rsidP="005D78CD">
                            <w:pPr>
                              <w:spacing w:after="0"/>
                              <w:rPr>
                                <w:u w:val="single"/>
                              </w:rPr>
                            </w:pPr>
                          </w:p>
                          <w:p w14:paraId="75BCE549" w14:textId="6E321AD2" w:rsidR="005D78CD" w:rsidRPr="005D78CD" w:rsidRDefault="005D78CD" w:rsidP="005D78CD">
                            <w:pPr>
                              <w:spacing w:after="0"/>
                            </w:pPr>
                            <w:r w:rsidRPr="005D78CD">
                              <w:t xml:space="preserve">Proposal B at </w:t>
                            </w:r>
                            <w:r>
                              <w:t>YE</w:t>
                            </w:r>
                            <w:r w:rsidRPr="005D78CD">
                              <w:t xml:space="preserve"> 2016</w:t>
                            </w:r>
                            <w:r>
                              <w:t xml:space="preserve"> / </w:t>
                            </w:r>
                            <w:r w:rsidR="00BB4C45">
                              <w:t>S</w:t>
                            </w:r>
                            <w:r w:rsidRPr="005D78CD">
                              <w:t>hift</w:t>
                            </w:r>
                            <w:r>
                              <w:t xml:space="preserve">ed at YE </w:t>
                            </w:r>
                            <w:r w:rsidRPr="005D78CD">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C5BC2" id="_x0000_s1027" type="#_x0000_t202" style="position:absolute;left:0;text-align:left;margin-left:-.95pt;margin-top:2.5pt;width:3in;height:17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" fillcolor="#fbe4d5 [661]">
                <v:textbox>
                  <w:txbxContent>
                    <w:p w14:paraId="34492B60" w14:textId="77777777" w:rsidR="005D78CD" w:rsidRPr="00A5504B" w:rsidRDefault="005D78CD" w:rsidP="005D78CD">
                      <w:pPr>
                        <w:rPr>
                          <w:b/>
                        </w:rPr>
                      </w:pPr>
                      <w:r>
                        <w:rPr>
                          <w:b/>
                        </w:rPr>
                        <w:t>Market impact 2</w:t>
                      </w:r>
                      <w:r w:rsidRPr="00A5504B">
                        <w:rPr>
                          <w:b/>
                        </w:rPr>
                        <w:t xml:space="preserve"> - </w:t>
                      </w:r>
                      <w:r>
                        <w:rPr>
                          <w:b/>
                        </w:rPr>
                        <w:t>France</w:t>
                      </w:r>
                    </w:p>
                    <w:p w14:paraId="7611CF20" w14:textId="77777777" w:rsidR="005D78CD" w:rsidRDefault="005D78CD" w:rsidP="005D78CD">
                      <w:pPr>
                        <w:spacing w:after="0"/>
                        <w:rPr>
                          <w:u w:val="single"/>
                        </w:rPr>
                      </w:pPr>
                      <w:r w:rsidRPr="00A5504B">
                        <w:rPr>
                          <w:u w:val="single"/>
                        </w:rPr>
                        <w:t>Comp</w:t>
                      </w:r>
                      <w:r>
                        <w:rPr>
                          <w:u w:val="single"/>
                        </w:rPr>
                        <w:t>arison of shifted and Proposal B</w:t>
                      </w:r>
                    </w:p>
                    <w:p w14:paraId="2443E2E2" w14:textId="77777777" w:rsidR="005D78CD" w:rsidRDefault="005D78CD" w:rsidP="005D78CD">
                      <w:pPr>
                        <w:spacing w:after="0"/>
                        <w:rPr>
                          <w:u w:val="single"/>
                        </w:rPr>
                      </w:pPr>
                    </w:p>
                    <w:tbl>
                      <w:tblPr>
                        <w:tblStyle w:val="Mriekatabuky"/>
                        <w:tblW w:w="4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169"/>
                        <w:gridCol w:w="1038"/>
                        <w:gridCol w:w="934"/>
                      </w:tblGrid>
                      <w:tr w:rsidR="00B70384" w14:paraId="1A1D798C" w14:textId="405161A1" w:rsidTr="00B70384">
                        <w:trPr>
                          <w:trHeight w:val="292"/>
                        </w:trPr>
                        <w:tc>
                          <w:tcPr>
                            <w:tcW w:w="978" w:type="dxa"/>
                          </w:tcPr>
                          <w:p w14:paraId="5B63AD13" w14:textId="77777777" w:rsidR="00B70384" w:rsidRDefault="00B70384" w:rsidP="005D78CD">
                            <w:pPr>
                              <w:rPr>
                                <w:u w:val="single"/>
                              </w:rPr>
                            </w:pPr>
                            <w:r>
                              <w:rPr>
                                <w:u w:val="single"/>
                              </w:rPr>
                              <w:t>Insurer</w:t>
                            </w:r>
                          </w:p>
                        </w:tc>
                        <w:tc>
                          <w:tcPr>
                            <w:tcW w:w="1253" w:type="dxa"/>
                          </w:tcPr>
                          <w:p w14:paraId="19F39BDB" w14:textId="49C20E2B" w:rsidR="00B70384" w:rsidRDefault="00B70384" w:rsidP="001B2C82">
                            <w:pPr>
                              <w:jc w:val="center"/>
                              <w:rPr>
                                <w:u w:val="single"/>
                              </w:rPr>
                            </w:pPr>
                            <w:r>
                              <w:rPr>
                                <w:u w:val="single"/>
                              </w:rPr>
                              <w:t>Proposal B</w:t>
                            </w:r>
                          </w:p>
                        </w:tc>
                        <w:tc>
                          <w:tcPr>
                            <w:tcW w:w="1130" w:type="dxa"/>
                          </w:tcPr>
                          <w:p w14:paraId="31AECDE4" w14:textId="77777777" w:rsidR="00B70384" w:rsidRDefault="00B70384" w:rsidP="001B2C82">
                            <w:pPr>
                              <w:jc w:val="center"/>
                              <w:rPr>
                                <w:u w:val="single"/>
                              </w:rPr>
                            </w:pPr>
                            <w:r>
                              <w:rPr>
                                <w:u w:val="single"/>
                              </w:rPr>
                              <w:t>Shifted</w:t>
                            </w:r>
                          </w:p>
                        </w:tc>
                        <w:tc>
                          <w:tcPr>
                            <w:tcW w:w="717" w:type="dxa"/>
                          </w:tcPr>
                          <w:p w14:paraId="0D1B42A5" w14:textId="1B626765" w:rsidR="00B70384" w:rsidRDefault="00B70384" w:rsidP="001B2C82">
                            <w:pPr>
                              <w:jc w:val="center"/>
                              <w:rPr>
                                <w:u w:val="single"/>
                              </w:rPr>
                            </w:pPr>
                            <w:r>
                              <w:rPr>
                                <w:u w:val="single"/>
                              </w:rPr>
                              <w:t>Relative</w:t>
                            </w:r>
                          </w:p>
                        </w:tc>
                      </w:tr>
                      <w:tr w:rsidR="00B70384" w14:paraId="764F2EBF" w14:textId="69D86FA8" w:rsidTr="00B70384">
                        <w:trPr>
                          <w:trHeight w:val="239"/>
                        </w:trPr>
                        <w:tc>
                          <w:tcPr>
                            <w:tcW w:w="978" w:type="dxa"/>
                          </w:tcPr>
                          <w:p w14:paraId="77CCC1E7" w14:textId="77777777" w:rsidR="00B70384" w:rsidRPr="005D78CD" w:rsidRDefault="00B70384" w:rsidP="005D78CD">
                            <w:r w:rsidRPr="005D78CD">
                              <w:t>A</w:t>
                            </w:r>
                          </w:p>
                        </w:tc>
                        <w:tc>
                          <w:tcPr>
                            <w:tcW w:w="1253" w:type="dxa"/>
                          </w:tcPr>
                          <w:p w14:paraId="0537B727" w14:textId="77777777" w:rsidR="00B70384" w:rsidRPr="005D78CD" w:rsidRDefault="00B70384" w:rsidP="005D78CD">
                            <w:pPr>
                              <w:jc w:val="center"/>
                            </w:pPr>
                            <w:r w:rsidRPr="005D78CD">
                              <w:t>-56%</w:t>
                            </w:r>
                          </w:p>
                        </w:tc>
                        <w:tc>
                          <w:tcPr>
                            <w:tcW w:w="1130" w:type="dxa"/>
                          </w:tcPr>
                          <w:p w14:paraId="457A0CF0" w14:textId="77777777" w:rsidR="00B70384" w:rsidRPr="005D78CD" w:rsidRDefault="00B70384" w:rsidP="005D78CD">
                            <w:pPr>
                              <w:jc w:val="center"/>
                            </w:pPr>
                            <w:r w:rsidRPr="005D78CD">
                              <w:t>-71%</w:t>
                            </w:r>
                          </w:p>
                        </w:tc>
                        <w:tc>
                          <w:tcPr>
                            <w:tcW w:w="717" w:type="dxa"/>
                          </w:tcPr>
                          <w:p w14:paraId="2F407752" w14:textId="31AC402B" w:rsidR="00B70384" w:rsidRPr="005D78CD" w:rsidRDefault="00B70384" w:rsidP="005D78CD">
                            <w:pPr>
                              <w:jc w:val="center"/>
                            </w:pPr>
                            <w:r>
                              <w:t>126%</w:t>
                            </w:r>
                          </w:p>
                        </w:tc>
                      </w:tr>
                      <w:tr w:rsidR="00B70384" w14:paraId="652FA5CA" w14:textId="572E3EDB" w:rsidTr="00B70384">
                        <w:trPr>
                          <w:trHeight w:val="239"/>
                        </w:trPr>
                        <w:tc>
                          <w:tcPr>
                            <w:tcW w:w="978" w:type="dxa"/>
                          </w:tcPr>
                          <w:p w14:paraId="56C1543D" w14:textId="77777777" w:rsidR="00B70384" w:rsidRPr="005D78CD" w:rsidRDefault="00B70384" w:rsidP="005D78CD">
                            <w:r w:rsidRPr="005D78CD">
                              <w:t>B</w:t>
                            </w:r>
                          </w:p>
                        </w:tc>
                        <w:tc>
                          <w:tcPr>
                            <w:tcW w:w="1253" w:type="dxa"/>
                          </w:tcPr>
                          <w:p w14:paraId="51C995EE" w14:textId="77777777" w:rsidR="00B70384" w:rsidRPr="005D78CD" w:rsidRDefault="00B70384" w:rsidP="005D78CD">
                            <w:pPr>
                              <w:jc w:val="center"/>
                            </w:pPr>
                            <w:r w:rsidRPr="005D78CD">
                              <w:t>-44%</w:t>
                            </w:r>
                          </w:p>
                        </w:tc>
                        <w:tc>
                          <w:tcPr>
                            <w:tcW w:w="1130" w:type="dxa"/>
                          </w:tcPr>
                          <w:p w14:paraId="3D89A946" w14:textId="77777777" w:rsidR="00B70384" w:rsidRPr="005D78CD" w:rsidRDefault="00B70384" w:rsidP="005D78CD">
                            <w:pPr>
                              <w:jc w:val="center"/>
                            </w:pPr>
                            <w:r w:rsidRPr="005D78CD">
                              <w:t>-40%</w:t>
                            </w:r>
                          </w:p>
                        </w:tc>
                        <w:tc>
                          <w:tcPr>
                            <w:tcW w:w="717" w:type="dxa"/>
                          </w:tcPr>
                          <w:p w14:paraId="242E4EFF" w14:textId="55F1A0A2" w:rsidR="00B70384" w:rsidRPr="005D78CD" w:rsidRDefault="00B70384" w:rsidP="005D78CD">
                            <w:pPr>
                              <w:jc w:val="center"/>
                            </w:pPr>
                            <w:r>
                              <w:t>91%</w:t>
                            </w:r>
                          </w:p>
                        </w:tc>
                      </w:tr>
                      <w:tr w:rsidR="00B70384" w14:paraId="4FB34334" w14:textId="1F9954A5" w:rsidTr="00B70384">
                        <w:trPr>
                          <w:trHeight w:val="257"/>
                        </w:trPr>
                        <w:tc>
                          <w:tcPr>
                            <w:tcW w:w="978" w:type="dxa"/>
                          </w:tcPr>
                          <w:p w14:paraId="6FF81B89" w14:textId="77777777" w:rsidR="00B70384" w:rsidRPr="005D78CD" w:rsidRDefault="00B70384" w:rsidP="005D78CD">
                            <w:r w:rsidRPr="005D78CD">
                              <w:t>C</w:t>
                            </w:r>
                          </w:p>
                        </w:tc>
                        <w:tc>
                          <w:tcPr>
                            <w:tcW w:w="1253" w:type="dxa"/>
                          </w:tcPr>
                          <w:p w14:paraId="1C4538DA" w14:textId="77777777" w:rsidR="00B70384" w:rsidRPr="005D78CD" w:rsidRDefault="00B70384" w:rsidP="005D78CD">
                            <w:pPr>
                              <w:jc w:val="center"/>
                            </w:pPr>
                            <w:r w:rsidRPr="005D78CD">
                              <w:t>-37%</w:t>
                            </w:r>
                          </w:p>
                        </w:tc>
                        <w:tc>
                          <w:tcPr>
                            <w:tcW w:w="1130" w:type="dxa"/>
                          </w:tcPr>
                          <w:p w14:paraId="26A2D432" w14:textId="77777777" w:rsidR="00B70384" w:rsidRPr="005D78CD" w:rsidRDefault="00B70384" w:rsidP="005D78CD">
                            <w:pPr>
                              <w:jc w:val="center"/>
                            </w:pPr>
                            <w:r w:rsidRPr="005D78CD">
                              <w:t>-41%</w:t>
                            </w:r>
                          </w:p>
                        </w:tc>
                        <w:tc>
                          <w:tcPr>
                            <w:tcW w:w="717" w:type="dxa"/>
                          </w:tcPr>
                          <w:p w14:paraId="585106C5" w14:textId="73E9E8D9" w:rsidR="00B70384" w:rsidRPr="005D78CD" w:rsidRDefault="00B70384" w:rsidP="005D78CD">
                            <w:pPr>
                              <w:jc w:val="center"/>
                            </w:pPr>
                            <w:r>
                              <w:t>111%</w:t>
                            </w:r>
                          </w:p>
                        </w:tc>
                      </w:tr>
                      <w:tr w:rsidR="00B70384" w14:paraId="62705B60" w14:textId="377DA2B0" w:rsidTr="00B70384">
                        <w:trPr>
                          <w:trHeight w:val="239"/>
                        </w:trPr>
                        <w:tc>
                          <w:tcPr>
                            <w:tcW w:w="978" w:type="dxa"/>
                          </w:tcPr>
                          <w:p w14:paraId="2B25EED8" w14:textId="77777777" w:rsidR="00B70384" w:rsidRPr="005D78CD" w:rsidRDefault="00B70384" w:rsidP="005D78CD">
                            <w:r w:rsidRPr="005D78CD">
                              <w:t>D</w:t>
                            </w:r>
                          </w:p>
                        </w:tc>
                        <w:tc>
                          <w:tcPr>
                            <w:tcW w:w="1253" w:type="dxa"/>
                          </w:tcPr>
                          <w:p w14:paraId="69489CD9" w14:textId="77777777" w:rsidR="00B70384" w:rsidRPr="005D78CD" w:rsidRDefault="00B70384" w:rsidP="005D78CD">
                            <w:pPr>
                              <w:jc w:val="center"/>
                            </w:pPr>
                            <w:r w:rsidRPr="005D78CD">
                              <w:t>-29%</w:t>
                            </w:r>
                          </w:p>
                        </w:tc>
                        <w:tc>
                          <w:tcPr>
                            <w:tcW w:w="1130" w:type="dxa"/>
                          </w:tcPr>
                          <w:p w14:paraId="21B61C82" w14:textId="77777777" w:rsidR="00B70384" w:rsidRPr="005D78CD" w:rsidRDefault="00B70384" w:rsidP="005D78CD">
                            <w:pPr>
                              <w:jc w:val="center"/>
                            </w:pPr>
                            <w:r w:rsidRPr="005D78CD">
                              <w:t>-30%</w:t>
                            </w:r>
                          </w:p>
                        </w:tc>
                        <w:tc>
                          <w:tcPr>
                            <w:tcW w:w="717" w:type="dxa"/>
                          </w:tcPr>
                          <w:p w14:paraId="69D6FBB9" w14:textId="688B6AD9" w:rsidR="00B70384" w:rsidRPr="005D78CD" w:rsidRDefault="00B70384" w:rsidP="005D78CD">
                            <w:pPr>
                              <w:jc w:val="center"/>
                            </w:pPr>
                            <w:r>
                              <w:t>103%</w:t>
                            </w:r>
                          </w:p>
                        </w:tc>
                      </w:tr>
                      <w:tr w:rsidR="00B70384" w14:paraId="7EB459F8" w14:textId="7783D47A" w:rsidTr="00B70384">
                        <w:trPr>
                          <w:trHeight w:val="257"/>
                        </w:trPr>
                        <w:tc>
                          <w:tcPr>
                            <w:tcW w:w="978" w:type="dxa"/>
                          </w:tcPr>
                          <w:p w14:paraId="0B6E5BE7" w14:textId="77777777" w:rsidR="00B70384" w:rsidRPr="005D78CD" w:rsidRDefault="00B70384" w:rsidP="005D78CD">
                            <w:r w:rsidRPr="005D78CD">
                              <w:t>E</w:t>
                            </w:r>
                          </w:p>
                        </w:tc>
                        <w:tc>
                          <w:tcPr>
                            <w:tcW w:w="1253" w:type="dxa"/>
                          </w:tcPr>
                          <w:p w14:paraId="23C86138" w14:textId="77777777" w:rsidR="00B70384" w:rsidRPr="005D78CD" w:rsidRDefault="00B70384" w:rsidP="005D78CD">
                            <w:pPr>
                              <w:jc w:val="center"/>
                            </w:pPr>
                            <w:r w:rsidRPr="005D78CD">
                              <w:t>-19%</w:t>
                            </w:r>
                          </w:p>
                        </w:tc>
                        <w:tc>
                          <w:tcPr>
                            <w:tcW w:w="1130" w:type="dxa"/>
                          </w:tcPr>
                          <w:p w14:paraId="594672F0" w14:textId="77777777" w:rsidR="00B70384" w:rsidRPr="005D78CD" w:rsidRDefault="00B70384" w:rsidP="005D78CD">
                            <w:pPr>
                              <w:jc w:val="center"/>
                            </w:pPr>
                            <w:r w:rsidRPr="005D78CD">
                              <w:t>-12%</w:t>
                            </w:r>
                          </w:p>
                        </w:tc>
                        <w:tc>
                          <w:tcPr>
                            <w:tcW w:w="717" w:type="dxa"/>
                          </w:tcPr>
                          <w:p w14:paraId="177B3838" w14:textId="7A945D36" w:rsidR="00B70384" w:rsidRPr="005D78CD" w:rsidRDefault="00B70384" w:rsidP="005D78CD">
                            <w:pPr>
                              <w:jc w:val="center"/>
                            </w:pPr>
                            <w:r>
                              <w:t>63%</w:t>
                            </w:r>
                          </w:p>
                        </w:tc>
                      </w:tr>
                    </w:tbl>
                    <w:p w14:paraId="67EC77CD" w14:textId="77777777" w:rsidR="005D78CD" w:rsidRDefault="005D78CD" w:rsidP="005D78CD">
                      <w:pPr>
                        <w:spacing w:after="0"/>
                        <w:rPr>
                          <w:u w:val="single"/>
                        </w:rPr>
                      </w:pPr>
                    </w:p>
                    <w:p w14:paraId="75BCE549" w14:textId="6E321AD2" w:rsidR="005D78CD" w:rsidRPr="005D78CD" w:rsidRDefault="005D78CD" w:rsidP="005D78CD">
                      <w:pPr>
                        <w:spacing w:after="0"/>
                      </w:pPr>
                      <w:r w:rsidRPr="005D78CD">
                        <w:t xml:space="preserve">Proposal B at </w:t>
                      </w:r>
                      <w:r>
                        <w:t>YE</w:t>
                      </w:r>
                      <w:r w:rsidRPr="005D78CD">
                        <w:t xml:space="preserve"> 2016</w:t>
                      </w:r>
                      <w:r>
                        <w:t xml:space="preserve"> / </w:t>
                      </w:r>
                      <w:r w:rsidR="00BB4C45">
                        <w:t>S</w:t>
                      </w:r>
                      <w:r w:rsidRPr="005D78CD">
                        <w:t>hift</w:t>
                      </w:r>
                      <w:r>
                        <w:t xml:space="preserve">ed at YE </w:t>
                      </w:r>
                      <w:r w:rsidRPr="005D78CD">
                        <w:t>2017</w:t>
                      </w:r>
                    </w:p>
                  </w:txbxContent>
                </v:textbox>
                <w10:wrap type="square"/>
              </v:shape>
            </w:pict>
          </mc:Fallback>
        </mc:AlternateContent>
      </w:r>
      <w:r w:rsidR="00847B77">
        <w:t>For some markets with relatively high interest rates, this methodology does not correctly capture the differential</w:t>
      </w:r>
      <w:r w:rsidR="002F2488">
        <w:t xml:space="preserve"> between </w:t>
      </w:r>
      <w:r w:rsidR="00B70384">
        <w:t>P</w:t>
      </w:r>
      <w:r w:rsidR="002F2488">
        <w:t>roposal B and the shifted approach or the typical asset and liability profiles of the life insurance sector of these markets [</w:t>
      </w:r>
      <w:commentRangeStart w:id="2"/>
      <w:r w:rsidR="002F2488">
        <w:t>see market impact 1</w:t>
      </w:r>
      <w:commentRangeEnd w:id="2"/>
      <w:r w:rsidR="00A25FE0">
        <w:rPr>
          <w:rStyle w:val="Odkaznakomentr"/>
        </w:rPr>
        <w:commentReference w:id="2"/>
      </w:r>
      <w:r w:rsidR="002F2488">
        <w:t>].</w:t>
      </w:r>
    </w:p>
    <w:p w14:paraId="6E3C48A8" w14:textId="51E67E86" w:rsidR="002F2488" w:rsidRDefault="002F2488" w:rsidP="00AF2EC1">
      <w:pPr>
        <w:jc w:val="both"/>
      </w:pPr>
      <w:r>
        <w:t xml:space="preserve">Other markets have provided analysis which </w:t>
      </w:r>
      <w:r w:rsidR="005D78CD">
        <w:t>further questions the effectiveness of the proxy methodology to calculate the impact.</w:t>
      </w:r>
      <w:r w:rsidR="00C15DF8">
        <w:t xml:space="preserve"> This shows that the relative impact for a number of insurers is significantly greater than 66%</w:t>
      </w:r>
      <w:r w:rsidR="005D78CD">
        <w:t xml:space="preserve"> </w:t>
      </w:r>
      <w:r>
        <w:t>[see market impact box 2].</w:t>
      </w:r>
    </w:p>
    <w:p w14:paraId="19BC5A2E" w14:textId="1461304F" w:rsidR="005D78CD" w:rsidRDefault="005D78CD" w:rsidP="00AF2EC1">
      <w:pPr>
        <w:jc w:val="both"/>
      </w:pPr>
    </w:p>
    <w:p w14:paraId="478EF1A3" w14:textId="0F1B28F6" w:rsidR="00847B77" w:rsidRPr="000171E5" w:rsidRDefault="001B2C82" w:rsidP="00AF2EC1">
      <w:pPr>
        <w:jc w:val="both"/>
        <w:rPr>
          <w:i/>
          <w:color w:val="ED7D31" w:themeColor="accent2"/>
        </w:rPr>
      </w:pPr>
      <w:r w:rsidRPr="000171E5">
        <w:rPr>
          <w:i/>
          <w:color w:val="ED7D31" w:themeColor="accent2"/>
        </w:rPr>
        <w:t>Presentation of results</w:t>
      </w:r>
    </w:p>
    <w:p w14:paraId="51D8DD0B" w14:textId="7681BB03" w:rsidR="009B5808" w:rsidRDefault="00255F62" w:rsidP="00AF2EC1">
      <w:pPr>
        <w:jc w:val="both"/>
      </w:pPr>
      <w:r>
        <w:t>In addition to the</w:t>
      </w:r>
      <w:r w:rsidR="008E6CAB">
        <w:t xml:space="preserve"> assessment of the </w:t>
      </w:r>
      <w:r w:rsidR="00902D58">
        <w:t xml:space="preserve">level of the </w:t>
      </w:r>
      <w:r w:rsidR="008E6CAB">
        <w:t>capital breach, EIOPA have provided</w:t>
      </w:r>
      <w:r w:rsidR="00902D58">
        <w:t xml:space="preserve"> </w:t>
      </w:r>
      <w:r w:rsidR="00EA72FB">
        <w:t xml:space="preserve">details of </w:t>
      </w:r>
      <w:r w:rsidR="00902D58">
        <w:t>the average impact,</w:t>
      </w:r>
      <w:r w:rsidR="00EA72FB">
        <w:t xml:space="preserve"> both</w:t>
      </w:r>
      <w:r w:rsidR="00902D58">
        <w:t xml:space="preserve"> </w:t>
      </w:r>
      <w:r w:rsidR="008E6CAB">
        <w:t xml:space="preserve">at country level and at European level. </w:t>
      </w:r>
    </w:p>
    <w:p w14:paraId="3CF9A4A7" w14:textId="5D95657F" w:rsidR="00255F62" w:rsidRDefault="00255F62" w:rsidP="00AF2EC1">
      <w:pPr>
        <w:jc w:val="both"/>
      </w:pPr>
      <w:r>
        <w:t xml:space="preserve">EIOPA claim that the average impact for life insurance undertakings will be a reduction of </w:t>
      </w:r>
      <w:r w:rsidR="000A7CF8">
        <w:t>c.14% in their SCR ratio. However, the use of simple averaging to derive this figure results in an underestimation of the true impact. Th</w:t>
      </w:r>
      <w:r w:rsidR="00EA72FB">
        <w:t>is is because the</w:t>
      </w:r>
      <w:r w:rsidR="000A7CF8">
        <w:t xml:space="preserve"> use of simple averaging betrays the fact that it is generally the larger markets</w:t>
      </w:r>
      <w:r w:rsidR="00D952D0">
        <w:t xml:space="preserve"> (with more insurers)</w:t>
      </w:r>
      <w:r w:rsidR="000A7CF8">
        <w:t xml:space="preserve"> which are relatively more affected by the proposals</w:t>
      </w:r>
      <w:r w:rsidR="00BB4C45">
        <w:t>.</w:t>
      </w:r>
    </w:p>
    <w:p w14:paraId="4A663F66" w14:textId="2E84C2BD" w:rsidR="000A7CF8" w:rsidRDefault="00D952D0" w:rsidP="00AF2EC1">
      <w:pPr>
        <w:jc w:val="both"/>
      </w:pPr>
      <w:r>
        <w:t>EIOPA’s 14% figure</w:t>
      </w:r>
      <w:r w:rsidR="0021298E">
        <w:t xml:space="preserve"> is also inconsistent with its subsequent analysis which provides the impact based on different percentiles</w:t>
      </w:r>
      <w:r w:rsidR="008A673E">
        <w:rPr>
          <w:rStyle w:val="Odkaznapoznmkupodiarou"/>
        </w:rPr>
        <w:footnoteReference w:id="4"/>
      </w:r>
      <w:r w:rsidR="0021298E">
        <w:t xml:space="preserve">. Using these figures, </w:t>
      </w:r>
      <w:r>
        <w:t>it can be shown that t</w:t>
      </w:r>
      <w:r w:rsidR="0021298E">
        <w:t xml:space="preserve">he </w:t>
      </w:r>
      <w:r w:rsidR="0021298E" w:rsidRPr="0021298E">
        <w:rPr>
          <w:u w:val="single"/>
        </w:rPr>
        <w:t>absolute minimum</w:t>
      </w:r>
      <w:r w:rsidR="0021298E">
        <w:t xml:space="preserve"> average </w:t>
      </w:r>
      <w:commentRangeStart w:id="3"/>
      <w:r w:rsidR="0021298E">
        <w:t xml:space="preserve">EU impact could be is 18%. </w:t>
      </w:r>
      <w:commentRangeEnd w:id="3"/>
      <w:r w:rsidR="00655E16">
        <w:rPr>
          <w:rStyle w:val="Odkaznakomentr"/>
        </w:rPr>
        <w:commentReference w:id="3"/>
      </w:r>
      <w:r w:rsidR="00666136">
        <w:t>The true</w:t>
      </w:r>
      <w:r w:rsidR="00EA72FB">
        <w:t xml:space="preserve"> average</w:t>
      </w:r>
      <w:r w:rsidR="00666136">
        <w:t xml:space="preserve"> impact </w:t>
      </w:r>
      <w:r w:rsidR="00EA72FB">
        <w:t>will be greater than this</w:t>
      </w:r>
      <w:r w:rsidR="00666136">
        <w:t xml:space="preserve">. </w:t>
      </w:r>
    </w:p>
    <w:p w14:paraId="0D6943FB" w14:textId="007C043B" w:rsidR="00B70384" w:rsidRDefault="00666136" w:rsidP="00AF2EC1">
      <w:pPr>
        <w:jc w:val="both"/>
      </w:pPr>
      <w:r>
        <w:t>Furthermore, EIOPA have not quantified this drop in the SCR ratio in terms of the actual amount of capital</w:t>
      </w:r>
      <w:r w:rsidR="008A673E">
        <w:t>, neither by country nor in aggregate</w:t>
      </w:r>
      <w:r>
        <w:t>. This figure is necessary to fully understand the impact this proposal will have on the insurance sector and consequently the wider economy.</w:t>
      </w:r>
    </w:p>
    <w:p w14:paraId="17ED4381" w14:textId="77777777" w:rsidR="00B70384" w:rsidRDefault="00B70384">
      <w:r>
        <w:br w:type="page"/>
      </w:r>
    </w:p>
    <w:p w14:paraId="3E48BFE5" w14:textId="5F547814" w:rsidR="00666136" w:rsidRDefault="00B70384" w:rsidP="00AF2EC1">
      <w:pPr>
        <w:jc w:val="both"/>
        <w:rPr>
          <w:b/>
        </w:rPr>
      </w:pPr>
      <w:r w:rsidRPr="00B70384">
        <w:rPr>
          <w:b/>
        </w:rPr>
        <w:t>Annex – Comparison of ESRB calibration of 1 in 200-year event with EIOPA proposal</w:t>
      </w:r>
      <w:r w:rsidRPr="00B70384">
        <w:rPr>
          <w:b/>
        </w:rPr>
        <w:tab/>
      </w:r>
    </w:p>
    <w:p w14:paraId="468F86FC" w14:textId="305F7CAF" w:rsidR="00D952D0" w:rsidRDefault="00D952D0" w:rsidP="00AF2EC1">
      <w:pPr>
        <w:jc w:val="both"/>
      </w:pPr>
      <w:r w:rsidRPr="00D952D0">
        <w:t>The chart below shows the comparison of the down stress curve generated by EIOPA’s proposal along with the down stress curve</w:t>
      </w:r>
      <w:r w:rsidR="004E2577">
        <w:t xml:space="preserve"> provided by the ESRB as part of the 2016 stress test exercise.</w:t>
      </w:r>
    </w:p>
    <w:p w14:paraId="56612D5B" w14:textId="59057314" w:rsidR="00C15DF8" w:rsidRDefault="00655E16" w:rsidP="00AF2EC1">
      <w:pPr>
        <w:jc w:val="both"/>
      </w:pPr>
      <w:r>
        <w:rPr>
          <w:noProof/>
          <w:lang w:val="sk-SK" w:eastAsia="sk-SK"/>
        </w:rPr>
        <w:drawing>
          <wp:inline distT="0" distB="0" distL="0" distR="0" wp14:anchorId="37113630" wp14:editId="05FC1352">
            <wp:extent cx="5738648" cy="34357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236" cy="3445678"/>
                    </a:xfrm>
                    <a:prstGeom prst="rect">
                      <a:avLst/>
                    </a:prstGeom>
                    <a:noFill/>
                  </pic:spPr>
                </pic:pic>
              </a:graphicData>
            </a:graphic>
          </wp:inline>
        </w:drawing>
      </w:r>
    </w:p>
    <w:p w14:paraId="06D27DB0" w14:textId="77777777" w:rsidR="00C15DF8" w:rsidRPr="00D952D0" w:rsidRDefault="00C15DF8" w:rsidP="00AF2EC1">
      <w:pPr>
        <w:jc w:val="both"/>
      </w:pPr>
    </w:p>
    <w:p w14:paraId="214688FF" w14:textId="77777777" w:rsidR="00B70384" w:rsidRPr="00B70384" w:rsidRDefault="00B70384" w:rsidP="00AF2EC1">
      <w:pPr>
        <w:jc w:val="both"/>
        <w:rPr>
          <w:b/>
        </w:rPr>
      </w:pPr>
    </w:p>
    <w:p w14:paraId="50E1B04C" w14:textId="77777777" w:rsidR="00302CAC" w:rsidRDefault="00302CAC">
      <w:pPr>
        <w:rPr>
          <w:b/>
        </w:rPr>
      </w:pPr>
    </w:p>
    <w:p w14:paraId="7D35407A" w14:textId="77777777" w:rsidR="00302CAC" w:rsidRDefault="00302CAC">
      <w:pPr>
        <w:rPr>
          <w:b/>
        </w:rPr>
      </w:pPr>
    </w:p>
    <w:p w14:paraId="7EF78599" w14:textId="77777777" w:rsidR="00302CAC" w:rsidRDefault="00302CAC">
      <w:pPr>
        <w:rPr>
          <w:b/>
        </w:rPr>
      </w:pPr>
    </w:p>
    <w:p w14:paraId="78CD3364" w14:textId="77777777" w:rsidR="00302CAC" w:rsidRPr="00302CAC" w:rsidRDefault="00302CAC">
      <w:pPr>
        <w:rPr>
          <w:b/>
        </w:rPr>
      </w:pPr>
    </w:p>
    <w:p w14:paraId="73398A6C" w14:textId="77777777" w:rsidR="00302CAC" w:rsidRDefault="00302CAC"/>
    <w:p w14:paraId="01803E42" w14:textId="77777777" w:rsidR="00302CAC" w:rsidRPr="00302CAC" w:rsidRDefault="00302CAC"/>
    <w:sectPr w:rsidR="00302CAC" w:rsidRPr="00302CAC">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cofin" w:date="2018-04-10T13:32:00Z" w:initials="RAS">
    <w:p w14:paraId="542C6BDA" w14:textId="61E40DB0" w:rsidR="00C15DF8" w:rsidRDefault="00C15DF8">
      <w:pPr>
        <w:pStyle w:val="Textkomentra"/>
      </w:pPr>
      <w:r>
        <w:rPr>
          <w:rStyle w:val="Odkaznakomentr"/>
        </w:rPr>
        <w:annotationRef/>
      </w:r>
      <w:r>
        <w:t xml:space="preserve">Members are asked to confirm </w:t>
      </w:r>
      <w:r w:rsidR="004E2577">
        <w:t>if</w:t>
      </w:r>
      <w:r>
        <w:t xml:space="preserve"> they agree with </w:t>
      </w:r>
      <w:r w:rsidR="004E2577">
        <w:t xml:space="preserve">the use of </w:t>
      </w:r>
      <w:r>
        <w:t>this argument</w:t>
      </w:r>
    </w:p>
  </w:comment>
  <w:comment w:id="2" w:author="Ecofin" w:date="2018-04-11T10:39:00Z" w:initials="RAS">
    <w:p w14:paraId="379591DF" w14:textId="6BD1E774" w:rsidR="00A25FE0" w:rsidRDefault="00A25FE0">
      <w:pPr>
        <w:pStyle w:val="Textkomentra"/>
      </w:pPr>
      <w:r>
        <w:rPr>
          <w:rStyle w:val="Odkaznakomentr"/>
        </w:rPr>
        <w:annotationRef/>
      </w:r>
      <w:r>
        <w:t>Members are invited to provide additional analysis to support the arguments</w:t>
      </w:r>
    </w:p>
  </w:comment>
  <w:comment w:id="3" w:author="Ecofin" w:date="2018-04-10T13:45:00Z" w:initials="RAS">
    <w:p w14:paraId="795AF2B8" w14:textId="2EBCC054" w:rsidR="00655E16" w:rsidRDefault="00655E16">
      <w:pPr>
        <w:pStyle w:val="Textkomentra"/>
      </w:pPr>
      <w:r>
        <w:rPr>
          <w:rStyle w:val="Odkaznakomentr"/>
        </w:rPr>
        <w:annotationRef/>
      </w:r>
      <w:r w:rsidR="00A25FE0">
        <w:t>Data from page 481 of the EIOPA advice, calculated as follows:</w:t>
      </w:r>
    </w:p>
    <w:p w14:paraId="1087FB9B" w14:textId="1CC1B5FC" w:rsidR="00655E16" w:rsidRDefault="00655E16">
      <w:pPr>
        <w:pStyle w:val="Textkomentra"/>
      </w:pPr>
      <w:r>
        <w:t xml:space="preserve">10% * 90% = 9.0% </w:t>
      </w:r>
    </w:p>
    <w:p w14:paraId="582885D0" w14:textId="5FF6E2EA" w:rsidR="00655E16" w:rsidRDefault="00655E16">
      <w:pPr>
        <w:pStyle w:val="Textkomentra"/>
      </w:pPr>
      <w:r>
        <w:t>15% * 37% = 5.6%</w:t>
      </w:r>
    </w:p>
    <w:p w14:paraId="2F7F2852" w14:textId="5BF7ADDB" w:rsidR="00655E16" w:rsidRDefault="00655E16">
      <w:pPr>
        <w:pStyle w:val="Textkomentra"/>
      </w:pPr>
      <w:r>
        <w:t>25% * 11% = 2.8%</w:t>
      </w:r>
    </w:p>
    <w:p w14:paraId="77E6C57A" w14:textId="462FD9EA" w:rsidR="00655E16" w:rsidRDefault="00655E16">
      <w:pPr>
        <w:pStyle w:val="Textkomentra"/>
      </w:pPr>
      <w:r>
        <w:t>25% * 2% = 0.5%</w:t>
      </w:r>
    </w:p>
    <w:p w14:paraId="6EA81B12" w14:textId="77777777" w:rsidR="00655E16" w:rsidRDefault="00655E16">
      <w:pPr>
        <w:pStyle w:val="Textkomentra"/>
      </w:pPr>
      <w:r>
        <w:t>25% * 0% = 0%</w:t>
      </w:r>
    </w:p>
    <w:p w14:paraId="63723305" w14:textId="77777777" w:rsidR="00655E16" w:rsidRDefault="00655E16">
      <w:pPr>
        <w:pStyle w:val="Textkomentra"/>
      </w:pPr>
    </w:p>
    <w:p w14:paraId="327DD654" w14:textId="6FBAB24E" w:rsidR="00655E16" w:rsidRDefault="00655E16">
      <w:pPr>
        <w:pStyle w:val="Textkomentra"/>
      </w:pPr>
      <w:r>
        <w:t xml:space="preserve">Sum of the above = 17.9%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C6BDA" w15:done="0"/>
  <w15:commentEx w15:paraId="379591DF" w15:done="0"/>
  <w15:commentEx w15:paraId="327DD6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F7326" w14:textId="77777777" w:rsidR="00A62AE5" w:rsidRDefault="00A62AE5" w:rsidP="00642897">
      <w:pPr>
        <w:spacing w:after="0" w:line="240" w:lineRule="auto"/>
      </w:pPr>
      <w:r>
        <w:separator/>
      </w:r>
    </w:p>
  </w:endnote>
  <w:endnote w:type="continuationSeparator" w:id="0">
    <w:p w14:paraId="76878266" w14:textId="77777777" w:rsidR="00A62AE5" w:rsidRDefault="00A62AE5" w:rsidP="006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6BA50" w14:textId="77777777" w:rsidR="00A62AE5" w:rsidRDefault="00A62AE5" w:rsidP="00642897">
      <w:pPr>
        <w:spacing w:after="0" w:line="240" w:lineRule="auto"/>
      </w:pPr>
      <w:r>
        <w:separator/>
      </w:r>
    </w:p>
  </w:footnote>
  <w:footnote w:type="continuationSeparator" w:id="0">
    <w:p w14:paraId="364E55A7" w14:textId="77777777" w:rsidR="00A62AE5" w:rsidRDefault="00A62AE5" w:rsidP="00642897">
      <w:pPr>
        <w:spacing w:after="0" w:line="240" w:lineRule="auto"/>
      </w:pPr>
      <w:r>
        <w:continuationSeparator/>
      </w:r>
    </w:p>
  </w:footnote>
  <w:footnote w:id="1">
    <w:p w14:paraId="56659810" w14:textId="33637599" w:rsidR="00E93EB0" w:rsidRDefault="00E93EB0" w:rsidP="00E93EB0">
      <w:pPr>
        <w:pStyle w:val="Textpoznmkypodiarou"/>
      </w:pPr>
      <w:r>
        <w:rPr>
          <w:rStyle w:val="Odkaznapoznmkupodiarou"/>
        </w:rPr>
        <w:footnoteRef/>
      </w:r>
      <w:r>
        <w:t xml:space="preserve"> See section 4.29, </w:t>
      </w:r>
      <w:hyperlink r:id="rId1" w:history="1">
        <w:r w:rsidRPr="00E93EB0">
          <w:rPr>
            <w:rStyle w:val="Hypertextovprepojenie"/>
          </w:rPr>
          <w:t>CEIOPS’ Advice for Level 2 Implementing Measures on Solvency II: SCR Standard Formula Article 111b Calibration of Market Risk Module</w:t>
        </w:r>
      </w:hyperlink>
    </w:p>
  </w:footnote>
  <w:footnote w:id="2">
    <w:p w14:paraId="486BE9B0" w14:textId="77777777" w:rsidR="002C7A6B" w:rsidRDefault="002C7A6B">
      <w:pPr>
        <w:pStyle w:val="Textpoznmkypodiarou"/>
      </w:pPr>
      <w:r>
        <w:rPr>
          <w:rStyle w:val="Odkaznapoznmkupodiarou"/>
        </w:rPr>
        <w:footnoteRef/>
      </w:r>
      <w:r>
        <w:t xml:space="preserve"> Annex to chapter 7 – Multivariate testing against historic data</w:t>
      </w:r>
    </w:p>
  </w:footnote>
  <w:footnote w:id="3">
    <w:p w14:paraId="74C11772" w14:textId="6CEA6B6B" w:rsidR="005F258A" w:rsidRDefault="005F258A">
      <w:pPr>
        <w:pStyle w:val="Textpoznmkypodiarou"/>
      </w:pPr>
      <w:r>
        <w:rPr>
          <w:rStyle w:val="Odkaznapoznmkupodiarou"/>
        </w:rPr>
        <w:footnoteRef/>
      </w:r>
      <w:r>
        <w:t xml:space="preserve"> The “UFR” rates in the stress curve are not constant. The variation is calculated as the average of the difference between the pre-stress UFR (ie 4.2%) and the forward rates for 60-120 year tenors.</w:t>
      </w:r>
    </w:p>
  </w:footnote>
  <w:footnote w:id="4">
    <w:p w14:paraId="0ED18CCE" w14:textId="559DC496" w:rsidR="008A673E" w:rsidRDefault="008A673E">
      <w:pPr>
        <w:pStyle w:val="Textpoznmkypodiarou"/>
      </w:pPr>
      <w:r>
        <w:rPr>
          <w:rStyle w:val="Odkaznapoznmkupodiarou"/>
        </w:rPr>
        <w:footnoteRef/>
      </w:r>
      <w:r>
        <w:t xml:space="preserve"> Page 481 of EIOPA advice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25033" w14:textId="0C1074C3" w:rsidR="00A25FE0" w:rsidRPr="00A25FE0" w:rsidRDefault="00CB2AEB" w:rsidP="00A25FE0">
    <w:pPr>
      <w:pStyle w:val="Hlavika"/>
      <w:jc w:val="right"/>
      <w:rPr>
        <w:b/>
        <w:color w:val="FF0000"/>
      </w:rPr>
    </w:pPr>
    <w:r>
      <w:rPr>
        <w:b/>
        <w:color w:val="FF0000"/>
      </w:rPr>
      <w:t>First d</w:t>
    </w:r>
    <w:r w:rsidR="00A25FE0" w:rsidRPr="00A25FE0">
      <w:rPr>
        <w:b/>
        <w:color w:val="FF0000"/>
      </w:rPr>
      <w:t xml:space="preserve">raft </w:t>
    </w:r>
    <w:r>
      <w:rPr>
        <w:b/>
        <w:color w:val="FF0000"/>
      </w:rPr>
      <w:t xml:space="preserve">of </w:t>
    </w:r>
    <w:r w:rsidR="00A25FE0" w:rsidRPr="00A25FE0">
      <w:rPr>
        <w:b/>
        <w:color w:val="FF0000"/>
      </w:rPr>
      <w:t>briefing paper on interest rate risk</w:t>
    </w:r>
    <w:r>
      <w:rPr>
        <w:b/>
        <w:color w:val="FF0000"/>
      </w:rPr>
      <w:t>, f</w:t>
    </w:r>
    <w:r w:rsidR="00A25FE0" w:rsidRPr="00A25FE0">
      <w:rPr>
        <w:b/>
        <w:color w:val="FF0000"/>
      </w:rPr>
      <w:t xml:space="preserve">or comments by </w:t>
    </w:r>
    <w:r w:rsidR="00A601B8">
      <w:rPr>
        <w:b/>
        <w:color w:val="FF0000"/>
      </w:rPr>
      <w:t>16 April 2018</w:t>
    </w:r>
  </w:p>
  <w:sdt>
    <w:sdtPr>
      <w:id w:val="-1129620839"/>
      <w:docPartObj>
        <w:docPartGallery w:val="Watermarks"/>
        <w:docPartUnique/>
      </w:docPartObj>
    </w:sdtPr>
    <w:sdtEndPr/>
    <w:sdtContent>
      <w:p w14:paraId="15EC14E4" w14:textId="09DE8D99" w:rsidR="005223C2" w:rsidRDefault="001B7F05">
        <w:pPr>
          <w:pStyle w:val="Hlavika"/>
        </w:pPr>
        <w:r>
          <w:rPr>
            <w:noProof/>
          </w:rPr>
          <w:pict w14:anchorId="5B2F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8B5"/>
    <w:multiLevelType w:val="hybridMultilevel"/>
    <w:tmpl w:val="E5384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74A6"/>
    <w:multiLevelType w:val="hybridMultilevel"/>
    <w:tmpl w:val="88D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22A4"/>
    <w:multiLevelType w:val="hybridMultilevel"/>
    <w:tmpl w:val="1C24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4570E"/>
    <w:multiLevelType w:val="hybridMultilevel"/>
    <w:tmpl w:val="225E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A5529"/>
    <w:multiLevelType w:val="hybridMultilevel"/>
    <w:tmpl w:val="8E2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E54D1"/>
    <w:multiLevelType w:val="hybridMultilevel"/>
    <w:tmpl w:val="59D83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95655"/>
    <w:multiLevelType w:val="hybridMultilevel"/>
    <w:tmpl w:val="A9743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B6314"/>
    <w:multiLevelType w:val="hybridMultilevel"/>
    <w:tmpl w:val="8A62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82D11"/>
    <w:multiLevelType w:val="hybridMultilevel"/>
    <w:tmpl w:val="610C93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A2B2F"/>
    <w:multiLevelType w:val="hybridMultilevel"/>
    <w:tmpl w:val="C60EA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DD6564"/>
    <w:multiLevelType w:val="hybridMultilevel"/>
    <w:tmpl w:val="09CA0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27608F"/>
    <w:multiLevelType w:val="hybridMultilevel"/>
    <w:tmpl w:val="4DF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5"/>
  </w:num>
  <w:num w:numId="6">
    <w:abstractNumId w:val="10"/>
  </w:num>
  <w:num w:numId="7">
    <w:abstractNumId w:val="4"/>
  </w:num>
  <w:num w:numId="8">
    <w:abstractNumId w:val="8"/>
  </w:num>
  <w:num w:numId="9">
    <w:abstractNumId w:val="7"/>
  </w:num>
  <w:num w:numId="10">
    <w:abstractNumId w:val="2"/>
  </w:num>
  <w:num w:numId="11">
    <w:abstractNumId w:val="1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fin">
    <w15:presenceInfo w15:providerId="None" w15:userId="Eco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AC"/>
    <w:rsid w:val="00005328"/>
    <w:rsid w:val="000171E5"/>
    <w:rsid w:val="0002092E"/>
    <w:rsid w:val="0007520C"/>
    <w:rsid w:val="000933BA"/>
    <w:rsid w:val="000A495C"/>
    <w:rsid w:val="000A7CF8"/>
    <w:rsid w:val="000B2C68"/>
    <w:rsid w:val="000C175F"/>
    <w:rsid w:val="000D6015"/>
    <w:rsid w:val="000D60B2"/>
    <w:rsid w:val="000E2075"/>
    <w:rsid w:val="001027C8"/>
    <w:rsid w:val="00115924"/>
    <w:rsid w:val="001368D3"/>
    <w:rsid w:val="001456A4"/>
    <w:rsid w:val="00146108"/>
    <w:rsid w:val="00164F5D"/>
    <w:rsid w:val="00196C2B"/>
    <w:rsid w:val="001B2C82"/>
    <w:rsid w:val="001B7F05"/>
    <w:rsid w:val="001D316A"/>
    <w:rsid w:val="0021298E"/>
    <w:rsid w:val="0022182B"/>
    <w:rsid w:val="00225D02"/>
    <w:rsid w:val="00231020"/>
    <w:rsid w:val="00255F62"/>
    <w:rsid w:val="00257E71"/>
    <w:rsid w:val="002B6BD8"/>
    <w:rsid w:val="002C7A6B"/>
    <w:rsid w:val="002D20EE"/>
    <w:rsid w:val="002D47E8"/>
    <w:rsid w:val="002F2488"/>
    <w:rsid w:val="00302CAC"/>
    <w:rsid w:val="00327387"/>
    <w:rsid w:val="00384E01"/>
    <w:rsid w:val="003B536F"/>
    <w:rsid w:val="003B6B1D"/>
    <w:rsid w:val="003C5FB7"/>
    <w:rsid w:val="0040723F"/>
    <w:rsid w:val="00453889"/>
    <w:rsid w:val="00461EB6"/>
    <w:rsid w:val="00486243"/>
    <w:rsid w:val="004E230F"/>
    <w:rsid w:val="004E2577"/>
    <w:rsid w:val="005223C2"/>
    <w:rsid w:val="00541785"/>
    <w:rsid w:val="0056280F"/>
    <w:rsid w:val="00585259"/>
    <w:rsid w:val="00594960"/>
    <w:rsid w:val="005D78CD"/>
    <w:rsid w:val="005F258A"/>
    <w:rsid w:val="00624FE5"/>
    <w:rsid w:val="00642897"/>
    <w:rsid w:val="00650AEB"/>
    <w:rsid w:val="00655E16"/>
    <w:rsid w:val="00666136"/>
    <w:rsid w:val="00672518"/>
    <w:rsid w:val="006A692F"/>
    <w:rsid w:val="006B36A8"/>
    <w:rsid w:val="006B4134"/>
    <w:rsid w:val="006D044D"/>
    <w:rsid w:val="006E33B7"/>
    <w:rsid w:val="00723AF1"/>
    <w:rsid w:val="00750782"/>
    <w:rsid w:val="0075307A"/>
    <w:rsid w:val="0079552A"/>
    <w:rsid w:val="007A57CF"/>
    <w:rsid w:val="007B1E8D"/>
    <w:rsid w:val="00835F9A"/>
    <w:rsid w:val="00847B77"/>
    <w:rsid w:val="00863F01"/>
    <w:rsid w:val="008A673E"/>
    <w:rsid w:val="008E6CAB"/>
    <w:rsid w:val="008F4B04"/>
    <w:rsid w:val="008F5058"/>
    <w:rsid w:val="00902D58"/>
    <w:rsid w:val="00964A33"/>
    <w:rsid w:val="009728BC"/>
    <w:rsid w:val="009B5808"/>
    <w:rsid w:val="009D33D2"/>
    <w:rsid w:val="009D76B9"/>
    <w:rsid w:val="009E0DC4"/>
    <w:rsid w:val="009F0481"/>
    <w:rsid w:val="00A166D4"/>
    <w:rsid w:val="00A25FE0"/>
    <w:rsid w:val="00A51677"/>
    <w:rsid w:val="00A5504B"/>
    <w:rsid w:val="00A601B8"/>
    <w:rsid w:val="00A62AE5"/>
    <w:rsid w:val="00A751BB"/>
    <w:rsid w:val="00A7770F"/>
    <w:rsid w:val="00AB1A2E"/>
    <w:rsid w:val="00AE2A92"/>
    <w:rsid w:val="00AE4A56"/>
    <w:rsid w:val="00AF2EC1"/>
    <w:rsid w:val="00AF68BF"/>
    <w:rsid w:val="00B05EB7"/>
    <w:rsid w:val="00B15FAB"/>
    <w:rsid w:val="00B3364E"/>
    <w:rsid w:val="00B70384"/>
    <w:rsid w:val="00B763CC"/>
    <w:rsid w:val="00B82FA8"/>
    <w:rsid w:val="00BB4C45"/>
    <w:rsid w:val="00BF4768"/>
    <w:rsid w:val="00BF6622"/>
    <w:rsid w:val="00C15DF8"/>
    <w:rsid w:val="00C86734"/>
    <w:rsid w:val="00CB2AEB"/>
    <w:rsid w:val="00CF2C0A"/>
    <w:rsid w:val="00CF4983"/>
    <w:rsid w:val="00D33858"/>
    <w:rsid w:val="00D3743B"/>
    <w:rsid w:val="00D81332"/>
    <w:rsid w:val="00D952D0"/>
    <w:rsid w:val="00DA28B1"/>
    <w:rsid w:val="00DD7B44"/>
    <w:rsid w:val="00DE4992"/>
    <w:rsid w:val="00DE7C03"/>
    <w:rsid w:val="00DF0A64"/>
    <w:rsid w:val="00E05DF9"/>
    <w:rsid w:val="00E11C79"/>
    <w:rsid w:val="00E43C4F"/>
    <w:rsid w:val="00E445BF"/>
    <w:rsid w:val="00E50CF3"/>
    <w:rsid w:val="00E51B32"/>
    <w:rsid w:val="00E81359"/>
    <w:rsid w:val="00E93EB0"/>
    <w:rsid w:val="00EA42DE"/>
    <w:rsid w:val="00EA72FB"/>
    <w:rsid w:val="00EC3C96"/>
    <w:rsid w:val="00EE2210"/>
    <w:rsid w:val="00EE293E"/>
    <w:rsid w:val="00EF4920"/>
    <w:rsid w:val="00F076E4"/>
    <w:rsid w:val="00FC00B5"/>
    <w:rsid w:val="00FC3914"/>
    <w:rsid w:val="00FC49EC"/>
    <w:rsid w:val="00FD6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28A1E1"/>
  <w15:chartTrackingRefBased/>
  <w15:docId w15:val="{20DF445F-A309-4F1C-8E11-7AE579B9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B6BD8"/>
    <w:pPr>
      <w:ind w:left="720"/>
      <w:contextualSpacing/>
    </w:pPr>
  </w:style>
  <w:style w:type="paragraph" w:styleId="Textpoznmkypodiarou">
    <w:name w:val="footnote text"/>
    <w:basedOn w:val="Normlny"/>
    <w:link w:val="TextpoznmkypodiarouChar"/>
    <w:uiPriority w:val="99"/>
    <w:semiHidden/>
    <w:unhideWhenUsed/>
    <w:rsid w:val="0064289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42897"/>
    <w:rPr>
      <w:sz w:val="20"/>
      <w:szCs w:val="20"/>
    </w:rPr>
  </w:style>
  <w:style w:type="character" w:styleId="Odkaznapoznmkupodiarou">
    <w:name w:val="footnote reference"/>
    <w:basedOn w:val="Predvolenpsmoodseku"/>
    <w:uiPriority w:val="99"/>
    <w:semiHidden/>
    <w:unhideWhenUsed/>
    <w:rsid w:val="00642897"/>
    <w:rPr>
      <w:vertAlign w:val="superscript"/>
    </w:rPr>
  </w:style>
  <w:style w:type="character" w:styleId="Hypertextovprepojenie">
    <w:name w:val="Hyperlink"/>
    <w:basedOn w:val="Predvolenpsmoodseku"/>
    <w:uiPriority w:val="99"/>
    <w:unhideWhenUsed/>
    <w:rsid w:val="00642897"/>
    <w:rPr>
      <w:color w:val="0563C1" w:themeColor="hyperlink"/>
      <w:u w:val="single"/>
    </w:rPr>
  </w:style>
  <w:style w:type="character" w:customStyle="1" w:styleId="UnresolvedMention">
    <w:name w:val="Unresolved Mention"/>
    <w:basedOn w:val="Predvolenpsmoodseku"/>
    <w:uiPriority w:val="99"/>
    <w:semiHidden/>
    <w:unhideWhenUsed/>
    <w:rsid w:val="00642897"/>
    <w:rPr>
      <w:color w:val="808080"/>
      <w:shd w:val="clear" w:color="auto" w:fill="E6E6E6"/>
    </w:rPr>
  </w:style>
  <w:style w:type="paragraph" w:styleId="Textbubliny">
    <w:name w:val="Balloon Text"/>
    <w:basedOn w:val="Normlny"/>
    <w:link w:val="TextbublinyChar"/>
    <w:uiPriority w:val="99"/>
    <w:semiHidden/>
    <w:unhideWhenUsed/>
    <w:rsid w:val="00164F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4F5D"/>
    <w:rPr>
      <w:rFonts w:ascii="Segoe UI" w:hAnsi="Segoe UI" w:cs="Segoe UI"/>
      <w:sz w:val="18"/>
      <w:szCs w:val="18"/>
    </w:rPr>
  </w:style>
  <w:style w:type="character" w:styleId="Odkaznakomentr">
    <w:name w:val="annotation reference"/>
    <w:basedOn w:val="Predvolenpsmoodseku"/>
    <w:uiPriority w:val="99"/>
    <w:semiHidden/>
    <w:unhideWhenUsed/>
    <w:rsid w:val="00847B77"/>
    <w:rPr>
      <w:sz w:val="16"/>
      <w:szCs w:val="16"/>
    </w:rPr>
  </w:style>
  <w:style w:type="paragraph" w:styleId="Textkomentra">
    <w:name w:val="annotation text"/>
    <w:basedOn w:val="Normlny"/>
    <w:link w:val="TextkomentraChar"/>
    <w:uiPriority w:val="99"/>
    <w:semiHidden/>
    <w:unhideWhenUsed/>
    <w:rsid w:val="00847B77"/>
    <w:pPr>
      <w:spacing w:line="240" w:lineRule="auto"/>
    </w:pPr>
    <w:rPr>
      <w:sz w:val="20"/>
      <w:szCs w:val="20"/>
    </w:rPr>
  </w:style>
  <w:style w:type="character" w:customStyle="1" w:styleId="TextkomentraChar">
    <w:name w:val="Text komentára Char"/>
    <w:basedOn w:val="Predvolenpsmoodseku"/>
    <w:link w:val="Textkomentra"/>
    <w:uiPriority w:val="99"/>
    <w:semiHidden/>
    <w:rsid w:val="00847B77"/>
    <w:rPr>
      <w:sz w:val="20"/>
      <w:szCs w:val="20"/>
    </w:rPr>
  </w:style>
  <w:style w:type="paragraph" w:styleId="Predmetkomentra">
    <w:name w:val="annotation subject"/>
    <w:basedOn w:val="Textkomentra"/>
    <w:next w:val="Textkomentra"/>
    <w:link w:val="PredmetkomentraChar"/>
    <w:uiPriority w:val="99"/>
    <w:semiHidden/>
    <w:unhideWhenUsed/>
    <w:rsid w:val="00847B77"/>
    <w:rPr>
      <w:b/>
      <w:bCs/>
    </w:rPr>
  </w:style>
  <w:style w:type="character" w:customStyle="1" w:styleId="PredmetkomentraChar">
    <w:name w:val="Predmet komentára Char"/>
    <w:basedOn w:val="TextkomentraChar"/>
    <w:link w:val="Predmetkomentra"/>
    <w:uiPriority w:val="99"/>
    <w:semiHidden/>
    <w:rsid w:val="00847B77"/>
    <w:rPr>
      <w:b/>
      <w:bCs/>
      <w:sz w:val="20"/>
      <w:szCs w:val="20"/>
    </w:rPr>
  </w:style>
  <w:style w:type="table" w:styleId="Mriekatabuky">
    <w:name w:val="Table Grid"/>
    <w:basedOn w:val="Normlnatabuka"/>
    <w:uiPriority w:val="39"/>
    <w:rsid w:val="005D7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E6CAB"/>
    <w:pPr>
      <w:spacing w:after="0" w:line="240" w:lineRule="auto"/>
    </w:pPr>
  </w:style>
  <w:style w:type="paragraph" w:styleId="Hlavika">
    <w:name w:val="header"/>
    <w:basedOn w:val="Normlny"/>
    <w:link w:val="HlavikaChar"/>
    <w:uiPriority w:val="99"/>
    <w:unhideWhenUsed/>
    <w:rsid w:val="005223C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5223C2"/>
  </w:style>
  <w:style w:type="paragraph" w:styleId="Pta">
    <w:name w:val="footer"/>
    <w:basedOn w:val="Normlny"/>
    <w:link w:val="PtaChar"/>
    <w:uiPriority w:val="99"/>
    <w:unhideWhenUsed/>
    <w:rsid w:val="005223C2"/>
    <w:pPr>
      <w:tabs>
        <w:tab w:val="center" w:pos="4513"/>
        <w:tab w:val="right" w:pos="9026"/>
      </w:tabs>
      <w:spacing w:after="0" w:line="240" w:lineRule="auto"/>
    </w:pPr>
  </w:style>
  <w:style w:type="character" w:customStyle="1" w:styleId="PtaChar">
    <w:name w:val="Päta Char"/>
    <w:basedOn w:val="Predvolenpsmoodseku"/>
    <w:link w:val="Pta"/>
    <w:uiPriority w:val="99"/>
    <w:rsid w:val="0052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CEIOPS-Archive/Documents/Advices/CEIOPS-L2-Advice-Market-risk-calib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C18E-63CE-4E4B-840D-3DF66028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633FC2-67B2-43DB-80B0-A26A5B71148E}">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1F060D6-66AE-4519-9D91-F91929B5BFF8}">
  <ds:schemaRefs>
    <ds:schemaRef ds:uri="http://schemas.microsoft.com/sharepoint/v3/contenttype/forms"/>
  </ds:schemaRefs>
</ds:datastoreItem>
</file>

<file path=customXml/itemProps4.xml><?xml version="1.0" encoding="utf-8"?>
<ds:datastoreItem xmlns:ds="http://schemas.openxmlformats.org/officeDocument/2006/customXml" ds:itemID="{38D98427-7FE0-420F-8918-68DD6AE8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11210</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First draft - Insurance Europe views on EIOPA’s interest rate risk proposals</vt:lpstr>
      <vt:lpstr/>
    </vt:vector>
  </TitlesOfParts>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 Insurance Europe views on EIOPA’s interest rate risk proposals</dc:title>
  <dc:subject/>
  <dc:creator>Ecofin</dc:creator>
  <cp:keywords/>
  <dc:description/>
  <cp:lastModifiedBy>Bachníček Jozef</cp:lastModifiedBy>
  <cp:revision>2</cp:revision>
  <cp:lastPrinted>2018-04-05T15:46:00Z</cp:lastPrinted>
  <dcterms:created xsi:type="dcterms:W3CDTF">2018-04-12T06:37:00Z</dcterms:created>
  <dcterms:modified xsi:type="dcterms:W3CDTF">2018-04-12T06:37:00Z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