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88BC" w14:textId="728C9F38" w:rsidR="00152882" w:rsidRPr="00AF1882" w:rsidRDefault="00152882" w:rsidP="007C3A52">
      <w:pPr>
        <w:rPr>
          <w:sz w:val="17"/>
          <w:szCs w:val="17"/>
          <w:lang w:val="el-GR"/>
        </w:rPr>
        <w:sectPr w:rsidR="00152882" w:rsidRPr="00AF1882" w:rsidSect="00240F5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2336" w:right="907" w:bottom="1599" w:left="1418" w:header="709" w:footer="238" w:gutter="0"/>
          <w:cols w:space="708"/>
          <w:titlePg/>
          <w:docGrid w:linePitch="360"/>
        </w:sectPr>
      </w:pPr>
    </w:p>
    <w:p w14:paraId="7A0F85AE" w14:textId="5D7A3719" w:rsidR="006D0057" w:rsidRPr="00884E00" w:rsidRDefault="006D0057" w:rsidP="007C3A52">
      <w:pPr>
        <w:autoSpaceDE w:val="0"/>
        <w:autoSpaceDN w:val="0"/>
        <w:adjustRightInd w:val="0"/>
        <w:rPr>
          <w:b/>
          <w:color w:val="002957"/>
          <w:sz w:val="17"/>
          <w:szCs w:val="17"/>
        </w:rPr>
      </w:pPr>
      <w:r w:rsidRPr="003D0236">
        <w:rPr>
          <w:b/>
          <w:color w:val="002957"/>
          <w:sz w:val="17"/>
          <w:szCs w:val="17"/>
        </w:rPr>
        <w:t>Introduction</w:t>
      </w:r>
    </w:p>
    <w:p w14:paraId="05C65340" w14:textId="333E2016" w:rsidR="00152882" w:rsidRPr="003D0236" w:rsidRDefault="006D0057" w:rsidP="007C3A52">
      <w:pPr>
        <w:rPr>
          <w:sz w:val="17"/>
          <w:szCs w:val="17"/>
        </w:rPr>
      </w:pPr>
      <w:r>
        <w:rPr>
          <w:sz w:val="17"/>
          <w:szCs w:val="17"/>
        </w:rPr>
        <w:t>Surplus funds are introduced in the Solvency II Directive under recitals 50-51 and Article 91 (</w:t>
      </w:r>
      <w:r w:rsidRPr="00646298">
        <w:rPr>
          <w:sz w:val="17"/>
          <w:szCs w:val="17"/>
        </w:rPr>
        <w:t>Directive 138/2009/EC</w:t>
      </w:r>
      <w:r>
        <w:rPr>
          <w:sz w:val="17"/>
          <w:szCs w:val="17"/>
        </w:rPr>
        <w:t>)</w:t>
      </w:r>
      <w:r w:rsidR="009B7BF7">
        <w:rPr>
          <w:sz w:val="17"/>
          <w:szCs w:val="17"/>
        </w:rPr>
        <w:t xml:space="preserve"> and are defined</w:t>
      </w:r>
      <w:r>
        <w:rPr>
          <w:sz w:val="17"/>
          <w:szCs w:val="17"/>
        </w:rPr>
        <w:t xml:space="preserve"> as </w:t>
      </w:r>
      <w:r w:rsidRPr="004B1A74">
        <w:rPr>
          <w:sz w:val="17"/>
          <w:szCs w:val="17"/>
        </w:rPr>
        <w:t xml:space="preserve">the accumulated profits which arise as part of participating life insurance products and have not been made available for distribution to policyholders and beneficiaries. </w:t>
      </w:r>
      <w:r>
        <w:rPr>
          <w:sz w:val="17"/>
          <w:szCs w:val="17"/>
        </w:rPr>
        <w:t>Those reserves should be valued in line with the economic approach</w:t>
      </w:r>
      <w:r w:rsidR="005F3C6F">
        <w:rPr>
          <w:rStyle w:val="Odkaznapoznmkupodiarou"/>
          <w:sz w:val="17"/>
          <w:szCs w:val="17"/>
        </w:rPr>
        <w:footnoteReference w:id="2"/>
      </w:r>
      <w:r>
        <w:rPr>
          <w:sz w:val="17"/>
          <w:szCs w:val="17"/>
        </w:rPr>
        <w:t xml:space="preserve"> of the Solvency II framework and shall not be treated as liabilities to the extent that they fulfil the Tier 1 classification criteria, as these are set out in Article 94(1).</w:t>
      </w:r>
    </w:p>
    <w:p w14:paraId="4753EF48" w14:textId="77777777" w:rsidR="006D0057" w:rsidRDefault="006D0057" w:rsidP="007C3A52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</w:p>
    <w:p w14:paraId="12BC94C5" w14:textId="193233DB" w:rsidR="00B030D5" w:rsidRPr="00B030D5" w:rsidRDefault="006D0057" w:rsidP="007C3A52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>
        <w:rPr>
          <w:sz w:val="17"/>
          <w:szCs w:val="17"/>
        </w:rPr>
        <w:t xml:space="preserve">In particular, as per recital 50 of the Directive, </w:t>
      </w:r>
      <w:r w:rsidR="00B030D5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it is common practice</w:t>
      </w:r>
      <w:r w:rsidR="007C3A5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i</w:t>
      </w:r>
      <w:r w:rsidR="007C3A52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n some Member States</w:t>
      </w:r>
      <w:r w:rsidR="00B030D5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for insurance companies to offer life insurance products where policyholders and beneficiaries participate in the </w:t>
      </w:r>
      <w:r w:rsidR="0013197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investment </w:t>
      </w:r>
      <w:r w:rsidR="00B030D5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return</w:t>
      </w:r>
      <w:r w:rsidR="0013197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generated by the insurance company</w:t>
      </w:r>
      <w:r w:rsidR="00B030D5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. </w:t>
      </w:r>
      <w:r w:rsidR="00857504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As noted above, t</w:t>
      </w:r>
      <w:r w:rsidR="00B030D5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he capital intended to be distributed to policyholders is commonly referred to as surplus funds</w:t>
      </w:r>
      <w:r w:rsidR="007C3A5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and it is </w:t>
      </w:r>
      <w:r w:rsidR="007C3A52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explicitly </w:t>
      </w:r>
      <w:r w:rsidR="007C3A5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recognized by</w:t>
      </w:r>
      <w:r w:rsidR="00B030D5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Solvency II.</w:t>
      </w:r>
      <w:r w:rsidR="000A4A4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B030D5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This practice goes back on well-established and recognized insurance schemes in these member states, in which policyholders are promised a guaranteed benefit plus a share in any surplus that may arise.</w:t>
      </w:r>
    </w:p>
    <w:p w14:paraId="67A3FB8B" w14:textId="147A6713" w:rsidR="00B030D5" w:rsidRDefault="00B030D5" w:rsidP="007C3A52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</w:p>
    <w:p w14:paraId="537F517B" w14:textId="4C1874B6" w:rsidR="00A129C1" w:rsidRDefault="00C04C8C" w:rsidP="006F2376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As part of the ongoing Solvency II review,</w:t>
      </w:r>
      <w:r w:rsidR="00A8785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166834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the political party S&amp;D</w:t>
      </w:r>
      <w:r w:rsidR="007E602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pro</w:t>
      </w:r>
      <w:r w:rsidR="009F7A5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posed an amendment</w:t>
      </w:r>
      <w:r w:rsidR="008715A3">
        <w:rPr>
          <w:rStyle w:val="Odkaznapoznmkupodiarou"/>
          <w:sz w:val="17"/>
          <w:szCs w:val="17"/>
          <w:lang w:val="en-US"/>
        </w:rPr>
        <w:footnoteReference w:id="3"/>
      </w:r>
      <w:r w:rsidR="009F7A5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8C525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on </w:t>
      </w:r>
      <w:r w:rsidR="00850A91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the</w:t>
      </w:r>
      <w:r w:rsidR="004A70F6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D30BC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recognition </w:t>
      </w:r>
      <w:r w:rsidR="00850A91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of</w:t>
      </w:r>
      <w:r w:rsidR="00D30BC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the</w:t>
      </w:r>
      <w:r w:rsidR="00850A91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4A70F6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profit-sharing</w:t>
      </w:r>
      <w:r w:rsidR="008C525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reserve schemes</w:t>
      </w:r>
      <w:r w:rsidR="00D30BC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650F0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as part of the </w:t>
      </w:r>
      <w:r w:rsidR="00DF449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insurance </w:t>
      </w:r>
      <w:r w:rsidR="00650F0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prudential framework.</w:t>
      </w:r>
      <w:r w:rsidR="004A70F6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621CEF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According to the proposal</w:t>
      </w:r>
      <w:r w:rsidR="00650F0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,</w:t>
      </w:r>
      <w:r w:rsidR="002A28B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the Commission shall </w:t>
      </w:r>
      <w:r w:rsidR="009A7A1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analy</w:t>
      </w:r>
      <w:r w:rsidR="0063494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z</w:t>
      </w:r>
      <w:r w:rsidR="009A7A1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e</w:t>
      </w:r>
      <w:r w:rsidR="002A28B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and publish a report on the use of those schemes</w:t>
      </w:r>
      <w:r w:rsidR="006E2C4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and their risks in terms of financial stability and policyholder protection.</w:t>
      </w:r>
      <w:r w:rsidR="00647F5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Moreover,</w:t>
      </w:r>
      <w:r w:rsidR="006F2376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647F5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o</w:t>
      </w:r>
      <w:r w:rsidR="006F2376" w:rsidRPr="006F2376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n the basis of this report, the</w:t>
      </w:r>
      <w:r w:rsidR="006F2376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6F2376" w:rsidRPr="006F2376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Commission shall adopt a legislative proposal to phase-out these schemes over a defined transitional period</w:t>
      </w:r>
      <w:r w:rsidR="00C71BCD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.</w:t>
      </w:r>
      <w:r w:rsidR="004C721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</w:p>
    <w:p w14:paraId="15F4B2BC" w14:textId="77777777" w:rsidR="00A129C1" w:rsidRDefault="00A129C1" w:rsidP="006F2376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</w:p>
    <w:p w14:paraId="36D0F030" w14:textId="7802D648" w:rsidR="008F53BF" w:rsidRDefault="00010DFB" w:rsidP="006F2376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A </w:t>
      </w:r>
      <w:r w:rsidR="0058092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decision to ban surplus funds</w:t>
      </w:r>
      <w:r w:rsidR="0009605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A8544B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would </w:t>
      </w:r>
      <w:r w:rsidR="0009605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have a detrimental </w:t>
      </w:r>
      <w:r w:rsidR="00C65D1C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impact on </w:t>
      </w:r>
      <w:r w:rsidR="00CA693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the economy,</w:t>
      </w:r>
      <w:r w:rsidR="002C48A0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the</w:t>
      </w:r>
      <w:r w:rsidR="00CA693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policyholders and </w:t>
      </w:r>
      <w:r w:rsidR="002C48A0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the </w:t>
      </w:r>
      <w:r w:rsidR="00CA693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insur</w:t>
      </w:r>
      <w:r w:rsidR="002C48A0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ance companies</w:t>
      </w:r>
      <w:r w:rsidR="004C721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,</w:t>
      </w:r>
      <w:r w:rsidR="009F33D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58092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as it</w:t>
      </w:r>
      <w:r w:rsidR="002436D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will prevent </w:t>
      </w:r>
      <w:r w:rsidR="006873EE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under</w:t>
      </w:r>
      <w:r w:rsidR="002436D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</w:t>
      </w:r>
      <w:r w:rsidR="006873EE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akings</w:t>
      </w:r>
      <w:r w:rsidR="004C721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7634CB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from</w:t>
      </w:r>
      <w:r w:rsidR="00B60F4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classify</w:t>
      </w:r>
      <w:r w:rsidR="007634CB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ing</w:t>
      </w:r>
      <w:r w:rsidR="00B60F4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9E752D">
        <w:rPr>
          <w:rStyle w:val="Heading1CEAChar"/>
          <w:rFonts w:ascii="Verdana" w:hAnsi="Verdana"/>
          <w:b w:val="0"/>
          <w:color w:val="auto"/>
          <w:sz w:val="17"/>
          <w:szCs w:val="17"/>
        </w:rPr>
        <w:t xml:space="preserve">surplus </w:t>
      </w:r>
      <w:r w:rsidR="00B60F4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funds as part of their own funds</w:t>
      </w:r>
      <w:r w:rsidR="00F964F0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. This will result in </w:t>
      </w:r>
      <w:r w:rsidR="00DB0C3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less investment power</w:t>
      </w:r>
      <w:r w:rsidR="009626A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, lower capital capacity</w:t>
      </w:r>
      <w:r w:rsidR="00505239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and</w:t>
      </w:r>
      <w:r w:rsidR="00E20DBF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less </w:t>
      </w:r>
      <w:r w:rsidR="009626A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policy options for the insurers.</w:t>
      </w:r>
    </w:p>
    <w:p w14:paraId="4280AF88" w14:textId="77777777" w:rsidR="008F53BF" w:rsidRPr="00B030D5" w:rsidRDefault="008F53BF" w:rsidP="007C3A52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</w:p>
    <w:p w14:paraId="46D3745D" w14:textId="77777777" w:rsidR="00696634" w:rsidRDefault="00696634">
      <w:pPr>
        <w:autoSpaceDE w:val="0"/>
        <w:autoSpaceDN w:val="0"/>
        <w:adjustRightInd w:val="0"/>
        <w:rPr>
          <w:b/>
          <w:color w:val="002957"/>
        </w:rPr>
      </w:pPr>
    </w:p>
    <w:p w14:paraId="2C1C13B3" w14:textId="0C94DE8B" w:rsidR="00B030D5" w:rsidRPr="00232698" w:rsidRDefault="00B030D5" w:rsidP="00232698">
      <w:pPr>
        <w:autoSpaceDE w:val="0"/>
        <w:autoSpaceDN w:val="0"/>
        <w:adjustRightInd w:val="0"/>
        <w:rPr>
          <w:rStyle w:val="Heading1CEAChar"/>
          <w:rFonts w:ascii="Verdana" w:hAnsi="Verdana"/>
          <w:b w:val="0"/>
          <w:color w:val="auto"/>
          <w:sz w:val="17"/>
          <w:szCs w:val="17"/>
        </w:rPr>
      </w:pPr>
      <w:r w:rsidRPr="00232698">
        <w:rPr>
          <w:b/>
          <w:color w:val="002957"/>
        </w:rPr>
        <w:lastRenderedPageBreak/>
        <w:t xml:space="preserve">What is the background of </w:t>
      </w:r>
      <w:r w:rsidR="009A6FC0" w:rsidRPr="00232698">
        <w:rPr>
          <w:b/>
          <w:color w:val="002957"/>
        </w:rPr>
        <w:t xml:space="preserve">participating </w:t>
      </w:r>
      <w:r w:rsidRPr="00232698">
        <w:rPr>
          <w:b/>
          <w:color w:val="002957"/>
        </w:rPr>
        <w:t>insurance schemes?</w:t>
      </w:r>
      <w:r w:rsidRPr="00681CDF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</w:p>
    <w:p w14:paraId="506DF41D" w14:textId="7B2C88B6" w:rsidR="005861EA" w:rsidRDefault="00696634" w:rsidP="00696634">
      <w:pPr>
        <w:pStyle w:val="CEABullet-Level1"/>
        <w:numPr>
          <w:ilvl w:val="0"/>
          <w:numId w:val="0"/>
        </w:num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Participating policies are offered by life insurance companies </w:t>
      </w:r>
      <w:r w:rsidR="00AA738E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</w:t>
      </w:r>
      <w:r w:rsidR="0023269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n</w:t>
      </w:r>
      <w:r w:rsidR="00AA738E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d provide both guaranteed and non-guaranteed </w:t>
      </w:r>
      <w:r w:rsidR="0054352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elements by allowing the policyholder to </w:t>
      </w:r>
      <w:r w:rsidR="007F5ABC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participate in the profits </w:t>
      </w:r>
      <w:r w:rsidR="005861EA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of the undertaking. </w:t>
      </w:r>
    </w:p>
    <w:p w14:paraId="5E27C812" w14:textId="77777777" w:rsidR="005861EA" w:rsidRDefault="005861EA" w:rsidP="00696634">
      <w:pPr>
        <w:pStyle w:val="CEABullet-Level1"/>
        <w:numPr>
          <w:ilvl w:val="0"/>
          <w:numId w:val="0"/>
        </w:num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</w:p>
    <w:p w14:paraId="346B0D43" w14:textId="253ADC72" w:rsidR="00696634" w:rsidRDefault="005861EA" w:rsidP="00232698">
      <w:pPr>
        <w:pStyle w:val="CEABullet-Level1"/>
        <w:numPr>
          <w:ilvl w:val="0"/>
          <w:numId w:val="0"/>
        </w:num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The key features of a participating insurance scheme are:</w:t>
      </w:r>
    </w:p>
    <w:p w14:paraId="02032D6C" w14:textId="189F86AF" w:rsid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The key aspect is that the benefit (and the respective premium) is guaranteed at the beginning of the contract which often matures many years </w:t>
      </w:r>
      <w:r w:rsidR="006234F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or even 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decades</w:t>
      </w:r>
      <w:r w:rsidR="00AD4486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later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. This ensures the policyholder a certain amount of return which </w:t>
      </w:r>
      <w:r w:rsidR="001B353F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they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may rely on.</w:t>
      </w:r>
    </w:p>
    <w:p w14:paraId="7569EEEB" w14:textId="557DA8A9" w:rsid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However, since the guarantees are provided over a long term, it is necessary to calculate them prudently so that they can be fulfilled in the long run. In some member states, </w:t>
      </w:r>
      <w:proofErr w:type="gramStart"/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e.g.</w:t>
      </w:r>
      <w:proofErr w:type="gramEnd"/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Germany, this is even required by law. </w:t>
      </w:r>
    </w:p>
    <w:p w14:paraId="727F5EB2" w14:textId="50BC3801" w:rsid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This prudent calculation results in surpluses in which policyholders participate. This participation is often anchored in the insurance contracts or in national law. </w:t>
      </w:r>
    </w:p>
    <w:p w14:paraId="2587AB3C" w14:textId="1DECBD47" w:rsidR="00B030D5" w:rsidRP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Thus, this system of profit participation allows</w:t>
      </w:r>
      <w:r w:rsidR="002B7F48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the policyholder to benefit from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an attractive return </w:t>
      </w:r>
      <w:r w:rsidR="00634B8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in addition to the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224D64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contractual 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long-term guarantee</w:t>
      </w:r>
      <w:r w:rsidR="00295DF0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provided as part of the</w:t>
      </w:r>
      <w:r w:rsidR="00CE679C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life insurance</w:t>
      </w:r>
      <w:r w:rsidR="00295DF0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policy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.</w:t>
      </w:r>
    </w:p>
    <w:p w14:paraId="60C0D1D8" w14:textId="77777777" w:rsidR="00B030D5" w:rsidRPr="00B030D5" w:rsidRDefault="00B030D5" w:rsidP="007C3A52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</w:p>
    <w:p w14:paraId="74FC7189" w14:textId="3D59FCF8" w:rsidR="00B030D5" w:rsidRPr="00B030D5" w:rsidRDefault="00B030D5" w:rsidP="007C3A52">
      <w:pPr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232698">
        <w:rPr>
          <w:b/>
          <w:color w:val="002957"/>
        </w:rPr>
        <w:t>Why are there reserves for profit participation?</w:t>
      </w:r>
    </w:p>
    <w:p w14:paraId="139C913A" w14:textId="404A8BB3" w:rsidR="00B030D5" w:rsidRP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Profit participation of a business year can either take place directly in the form of an immediate payout, or in an increase in future benefits, in which case the profits are firstly allocated to a collective reserve and later allocated to the individual policyholders. </w:t>
      </w:r>
    </w:p>
    <w:p w14:paraId="787C2CAB" w14:textId="0FE1F620" w:rsidR="00B030D5" w:rsidRP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This collective reserve for the profit participation from previous years must be distributed in the upcoming years, sometimes over a finite horizon fixed by law.</w:t>
      </w:r>
    </w:p>
    <w:p w14:paraId="4ECA8AB7" w14:textId="06DE2CD8" w:rsidR="00B030D5" w:rsidRP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This collective reserve is essential in the steering of a life insurance company, as it allows to maintain an attractive amount of return to the policyholders even in stressed economic environments.</w:t>
      </w:r>
    </w:p>
    <w:p w14:paraId="4B386C37" w14:textId="146B13A4" w:rsidR="00B030D5" w:rsidRP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Since policyholders share the insurance companies’ result, the collective reserve may be used to fund the guaranteed benefits </w:t>
      </w:r>
      <w:r w:rsidR="009757D1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and, in some situations</w:t>
      </w:r>
      <w:r w:rsidR="00A07D2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and under specified conditions</w:t>
      </w:r>
      <w:r w:rsidR="009757D1"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,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that reserve can also be used to cover losses. </w:t>
      </w:r>
    </w:p>
    <w:p w14:paraId="1C28A46D" w14:textId="443F3529" w:rsidR="00946F12" w:rsidRPr="00B030D5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Therefore, the reserve, or part of it, evaluated under an economic approach and defined by the regulation, can qualify as a surplus fund, and thus as eligible own funds to cover the </w:t>
      </w:r>
      <w:r w:rsidR="008E5C2C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S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olvency </w:t>
      </w:r>
      <w:r w:rsidR="008E5C2C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C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apital </w:t>
      </w:r>
      <w:r w:rsidR="008E5C2C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R</w:t>
      </w: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equirement (SCR).</w:t>
      </w:r>
    </w:p>
    <w:p w14:paraId="3DF447CE" w14:textId="77777777" w:rsidR="00946F12" w:rsidRDefault="00B030D5" w:rsidP="00946F12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B030D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Thus, this system leads to a participation of policyholders in the risk-bearing of a life insurance company. </w:t>
      </w:r>
    </w:p>
    <w:p w14:paraId="6EC8A76C" w14:textId="77777777" w:rsidR="00946F12" w:rsidRDefault="00946F12" w:rsidP="00946F12">
      <w:pPr>
        <w:pStyle w:val="CEABullet-Level1"/>
        <w:numPr>
          <w:ilvl w:val="0"/>
          <w:numId w:val="0"/>
        </w:numPr>
        <w:ind w:left="720" w:hanging="360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</w:p>
    <w:p w14:paraId="5EDD9FBE" w14:textId="30D370FC" w:rsidR="00B030D5" w:rsidRPr="00232698" w:rsidRDefault="00B030D5" w:rsidP="00681CDF">
      <w:pPr>
        <w:rPr>
          <w:b/>
          <w:color w:val="002957"/>
        </w:rPr>
      </w:pPr>
      <w:r w:rsidRPr="00232698">
        <w:rPr>
          <w:b/>
          <w:color w:val="002957"/>
        </w:rPr>
        <w:t xml:space="preserve">Why </w:t>
      </w:r>
      <w:r w:rsidR="00C8371D">
        <w:rPr>
          <w:b/>
          <w:color w:val="002957"/>
        </w:rPr>
        <w:t>are</w:t>
      </w:r>
      <w:r w:rsidRPr="00232698">
        <w:rPr>
          <w:b/>
          <w:color w:val="002957"/>
        </w:rPr>
        <w:t xml:space="preserve"> th</w:t>
      </w:r>
      <w:r w:rsidR="00C8371D">
        <w:rPr>
          <w:b/>
          <w:color w:val="002957"/>
        </w:rPr>
        <w:t>ese</w:t>
      </w:r>
      <w:r w:rsidRPr="00232698">
        <w:rPr>
          <w:b/>
          <w:color w:val="002957"/>
        </w:rPr>
        <w:t xml:space="preserve"> </w:t>
      </w:r>
      <w:r w:rsidR="00681C1D">
        <w:rPr>
          <w:b/>
          <w:color w:val="002957"/>
        </w:rPr>
        <w:t>scheme</w:t>
      </w:r>
      <w:r w:rsidR="00C8371D">
        <w:rPr>
          <w:b/>
          <w:color w:val="002957"/>
        </w:rPr>
        <w:t>s</w:t>
      </w:r>
      <w:r w:rsidR="00681C1D">
        <w:rPr>
          <w:b/>
          <w:color w:val="002957"/>
        </w:rPr>
        <w:t xml:space="preserve"> </w:t>
      </w:r>
      <w:r w:rsidRPr="00232698">
        <w:rPr>
          <w:b/>
          <w:color w:val="002957"/>
        </w:rPr>
        <w:t>so advantageous for the policyholders</w:t>
      </w:r>
      <w:r w:rsidR="00C8371D">
        <w:rPr>
          <w:b/>
          <w:color w:val="002957"/>
        </w:rPr>
        <w:t xml:space="preserve"> and the economy</w:t>
      </w:r>
      <w:r w:rsidR="00434251">
        <w:rPr>
          <w:b/>
          <w:color w:val="002957"/>
        </w:rPr>
        <w:t xml:space="preserve">, </w:t>
      </w:r>
      <w:r w:rsidR="001011CD">
        <w:rPr>
          <w:b/>
          <w:color w:val="002957"/>
        </w:rPr>
        <w:t>and</w:t>
      </w:r>
      <w:r w:rsidR="00434251">
        <w:rPr>
          <w:b/>
          <w:color w:val="002957"/>
        </w:rPr>
        <w:t xml:space="preserve"> therefore </w:t>
      </w:r>
      <w:r w:rsidR="005D0595">
        <w:rPr>
          <w:b/>
          <w:color w:val="002957"/>
        </w:rPr>
        <w:t>should not be banned</w:t>
      </w:r>
      <w:r w:rsidRPr="00232698">
        <w:rPr>
          <w:b/>
          <w:color w:val="002957"/>
        </w:rPr>
        <w:t>?</w:t>
      </w:r>
    </w:p>
    <w:p w14:paraId="272B699A" w14:textId="6D6F134A" w:rsidR="00E90DFC" w:rsidRPr="004C383B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Firstly, </w:t>
      </w:r>
      <w:r w:rsidR="00C8371D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they</w:t>
      </w:r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increase the own funds of the undertaking and thus its capacity to cover certain underwriting risks and to invest in assets, </w:t>
      </w:r>
      <w:proofErr w:type="gramStart"/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e.g.</w:t>
      </w:r>
      <w:proofErr w:type="gramEnd"/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equities, with a higher expected return. This higher return will be to the benefit of</w:t>
      </w:r>
      <w:r w:rsidR="00C35DF0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the</w:t>
      </w:r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policyholders participating in the result</w:t>
      </w:r>
      <w:r w:rsidR="00626A7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</w:t>
      </w:r>
      <w:r w:rsidR="00B34F2D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providing</w:t>
      </w:r>
      <w:r w:rsidR="00626A7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them</w:t>
      </w:r>
      <w:r w:rsidR="00B34F2D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the possibility of an increased pay-out</w:t>
      </w:r>
      <w:r w:rsidR="004C383B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and the flexibility of regular payments as per their needs and requirements</w:t>
      </w:r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.</w:t>
      </w:r>
    </w:p>
    <w:p w14:paraId="7F40F833" w14:textId="0FD97856" w:rsidR="006A397A" w:rsidRPr="006A397A" w:rsidRDefault="00B030D5" w:rsidP="00232698">
      <w:pPr>
        <w:pStyle w:val="CEABullet-Level1"/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</w:pPr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Secondly, the formation of collective reserve is clearly more advantageous for policyholders than equity capital. </w:t>
      </w:r>
      <w:r w:rsidR="0010605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I</w:t>
      </w:r>
      <w:r w:rsidR="003A2A4F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n case</w:t>
      </w:r>
      <w:r w:rsidR="00FC470B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of </w:t>
      </w:r>
      <w:r w:rsidR="005B2E9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a </w:t>
      </w:r>
      <w:r w:rsidR="00C35CA3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ban</w:t>
      </w:r>
      <w:r w:rsidR="005B2E92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of surplus funds, </w:t>
      </w:r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the </w:t>
      </w:r>
      <w:r w:rsidR="00BE611F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additional capital to be provided by the financial markets</w:t>
      </w:r>
      <w:r w:rsidR="00800E35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would </w:t>
      </w:r>
      <w:r w:rsidR="00AB6291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increase the </w:t>
      </w:r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costs</w:t>
      </w:r>
      <w:r w:rsidR="00AB6291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that policyholders have to bear for these</w:t>
      </w:r>
      <w:r w:rsidR="00681CDF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 xml:space="preserve"> products</w:t>
      </w:r>
      <w:r w:rsidRPr="006D0057">
        <w:rPr>
          <w:rStyle w:val="Heading1CEAChar"/>
          <w:rFonts w:ascii="Verdana" w:hAnsi="Verdana"/>
          <w:b w:val="0"/>
          <w:color w:val="auto"/>
          <w:sz w:val="17"/>
          <w:szCs w:val="17"/>
          <w:lang w:val="en-US"/>
        </w:rPr>
        <w:t>. In particular, for mutual insurance companies there is no possibility to replace the surplus funds with equity capital.</w:t>
      </w:r>
    </w:p>
    <w:p w14:paraId="25101DA7" w14:textId="64D5B168" w:rsidR="00152882" w:rsidRPr="00B030D5" w:rsidRDefault="006A397A" w:rsidP="00232698">
      <w:pPr>
        <w:pStyle w:val="CEABullet-Level1"/>
      </w:pPr>
      <w:bookmarkStart w:id="2" w:name="BorderPlate"/>
      <w:bookmarkEnd w:id="2"/>
      <w:r>
        <w:t>Moreover, surplus funds</w:t>
      </w:r>
      <w:r w:rsidR="006D028C">
        <w:t xml:space="preserve"> </w:t>
      </w:r>
      <w:r w:rsidR="00E347D2">
        <w:t xml:space="preserve">contribute to </w:t>
      </w:r>
      <w:r w:rsidR="00E46D69">
        <w:t xml:space="preserve">the growth of the </w:t>
      </w:r>
      <w:r w:rsidR="006D028C">
        <w:t>European economy</w:t>
      </w:r>
      <w:r w:rsidR="00E46D69">
        <w:t xml:space="preserve"> by strengthening </w:t>
      </w:r>
      <w:r w:rsidR="00C63471">
        <w:t>equity investments</w:t>
      </w:r>
      <w:r w:rsidR="00146051">
        <w:t xml:space="preserve">. </w:t>
      </w:r>
      <w:r w:rsidR="00E96EB7">
        <w:t>C</w:t>
      </w:r>
      <w:r w:rsidR="00A01C0A">
        <w:t xml:space="preserve">ompanies with surplus funds </w:t>
      </w:r>
      <w:r w:rsidR="00E943FA">
        <w:t xml:space="preserve">have more investment power </w:t>
      </w:r>
      <w:r w:rsidR="006D20A0">
        <w:t xml:space="preserve">which allows them to </w:t>
      </w:r>
      <w:r w:rsidR="00E943FA">
        <w:t>invest</w:t>
      </w:r>
      <w:r w:rsidR="00E96EB7">
        <w:t xml:space="preserve"> in </w:t>
      </w:r>
      <w:r w:rsidR="006D20A0">
        <w:t xml:space="preserve">riskier </w:t>
      </w:r>
      <w:r w:rsidR="00DE1181">
        <w:t>asset</w:t>
      </w:r>
      <w:r w:rsidR="00730FCC">
        <w:t xml:space="preserve"> classes</w:t>
      </w:r>
      <w:r w:rsidR="007F3C20">
        <w:t>,</w:t>
      </w:r>
      <w:r w:rsidR="00DE1181">
        <w:t xml:space="preserve"> </w:t>
      </w:r>
      <w:r w:rsidR="006D20A0">
        <w:t>such as</w:t>
      </w:r>
      <w:r w:rsidR="00DE1181">
        <w:t xml:space="preserve"> equities</w:t>
      </w:r>
      <w:r w:rsidR="00730FCC">
        <w:t xml:space="preserve">, in search of higher </w:t>
      </w:r>
      <w:r w:rsidR="00EB4845">
        <w:t>returns.</w:t>
      </w:r>
      <w:r w:rsidR="00C63471">
        <w:t xml:space="preserve"> </w:t>
      </w:r>
      <w:r w:rsidR="00882A09">
        <w:rPr>
          <w:lang w:val="el-GR"/>
        </w:rPr>
        <w:t>Τ</w:t>
      </w:r>
      <w:r w:rsidR="00882A09">
        <w:t>his characteristic of</w:t>
      </w:r>
      <w:r w:rsidR="00D42C3A">
        <w:t xml:space="preserve"> participating policies serves one of the main objectives of the Capital Market Union which is to</w:t>
      </w:r>
      <w:r w:rsidR="00B15FCE">
        <w:t xml:space="preserve"> incentivize institutional investors</w:t>
      </w:r>
      <w:r w:rsidR="00F662E8">
        <w:t xml:space="preserve">, and </w:t>
      </w:r>
      <w:r w:rsidR="00D75617">
        <w:t>particularly</w:t>
      </w:r>
      <w:r w:rsidR="00F662E8">
        <w:t xml:space="preserve"> insurers,</w:t>
      </w:r>
      <w:r w:rsidR="00B15FCE">
        <w:t xml:space="preserve"> to make </w:t>
      </w:r>
      <w:r w:rsidR="00D9112C">
        <w:t>more long-term investments and</w:t>
      </w:r>
      <w:r w:rsidR="00D42C3A">
        <w:t xml:space="preserve"> increase</w:t>
      </w:r>
      <w:r w:rsidR="00D9112C">
        <w:t xml:space="preserve"> their</w:t>
      </w:r>
      <w:r w:rsidR="00114A84">
        <w:t xml:space="preserve"> equity holdings</w:t>
      </w:r>
      <w:r w:rsidR="0043488F">
        <w:t>.</w:t>
      </w:r>
      <w:r w:rsidR="00A47AEA">
        <w:t xml:space="preserve"> </w:t>
      </w:r>
      <w:r w:rsidR="00ED482A">
        <w:t xml:space="preserve">If </w:t>
      </w:r>
      <w:r w:rsidR="003B3086">
        <w:t xml:space="preserve">a ban was put forward, </w:t>
      </w:r>
      <w:r w:rsidR="009C0392">
        <w:t xml:space="preserve">the </w:t>
      </w:r>
      <w:r w:rsidR="00471B6D">
        <w:t xml:space="preserve">EU </w:t>
      </w:r>
      <w:r w:rsidR="009C0392">
        <w:t>financial stability</w:t>
      </w:r>
      <w:r w:rsidR="00471B6D">
        <w:t xml:space="preserve"> </w:t>
      </w:r>
      <w:r w:rsidR="00D67A67">
        <w:t>c</w:t>
      </w:r>
      <w:r w:rsidR="00471B6D">
        <w:t xml:space="preserve">ould be at stake due to the volatility that would be created from </w:t>
      </w:r>
      <w:r w:rsidR="00581AD7">
        <w:t xml:space="preserve">insurers </w:t>
      </w:r>
      <w:r w:rsidR="00217493">
        <w:t>removing their equity investments</w:t>
      </w:r>
      <w:r w:rsidR="00D67A67">
        <w:t xml:space="preserve"> from their portfolios</w:t>
      </w:r>
      <w:r w:rsidR="00217493">
        <w:t xml:space="preserve"> in favour of less risk</w:t>
      </w:r>
      <w:r w:rsidR="001B39BA">
        <w:t>y</w:t>
      </w:r>
      <w:r w:rsidR="00217493">
        <w:t xml:space="preserve"> assets, such as government</w:t>
      </w:r>
      <w:r w:rsidR="00D67A67">
        <w:t xml:space="preserve"> bonds</w:t>
      </w:r>
      <w:r w:rsidR="00217493">
        <w:t>.</w:t>
      </w:r>
      <w:r w:rsidR="00CC2EBD">
        <w:t xml:space="preserve"> </w:t>
      </w:r>
    </w:p>
    <w:p w14:paraId="764E665B" w14:textId="0E23AEE5" w:rsidR="00152882" w:rsidRPr="00B030D5" w:rsidRDefault="00152882" w:rsidP="007C3A52">
      <w:pPr>
        <w:rPr>
          <w:sz w:val="17"/>
          <w:szCs w:val="17"/>
        </w:rPr>
      </w:pPr>
    </w:p>
    <w:p w14:paraId="09F935F3" w14:textId="38976BF1" w:rsidR="007748EE" w:rsidRDefault="007748EE" w:rsidP="007C3A52">
      <w:pPr>
        <w:rPr>
          <w:sz w:val="17"/>
          <w:szCs w:val="17"/>
        </w:rPr>
      </w:pPr>
    </w:p>
    <w:p w14:paraId="2414CD07" w14:textId="4D0A3C2A" w:rsidR="007748EE" w:rsidRDefault="007748EE" w:rsidP="007C3A52">
      <w:pPr>
        <w:rPr>
          <w:sz w:val="17"/>
          <w:szCs w:val="17"/>
        </w:rPr>
      </w:pPr>
    </w:p>
    <w:p w14:paraId="1CB3010F" w14:textId="1A3C6236" w:rsidR="007748EE" w:rsidRDefault="007748EE" w:rsidP="007C3A52">
      <w:pPr>
        <w:rPr>
          <w:sz w:val="17"/>
          <w:szCs w:val="17"/>
        </w:rPr>
      </w:pPr>
    </w:p>
    <w:p w14:paraId="19906937" w14:textId="54213447" w:rsidR="007748EE" w:rsidRDefault="007748EE" w:rsidP="007C3A52">
      <w:pPr>
        <w:rPr>
          <w:sz w:val="17"/>
          <w:szCs w:val="17"/>
        </w:rPr>
      </w:pPr>
    </w:p>
    <w:p w14:paraId="18DF64B5" w14:textId="4D273038" w:rsidR="007748EE" w:rsidRDefault="007748EE" w:rsidP="007C3A52">
      <w:pPr>
        <w:rPr>
          <w:sz w:val="17"/>
          <w:szCs w:val="17"/>
        </w:rPr>
      </w:pPr>
    </w:p>
    <w:p w14:paraId="13FDB02A" w14:textId="065BE718" w:rsidR="007748EE" w:rsidRDefault="007748EE" w:rsidP="007C3A52">
      <w:pPr>
        <w:rPr>
          <w:sz w:val="17"/>
          <w:szCs w:val="17"/>
        </w:rPr>
      </w:pPr>
    </w:p>
    <w:p w14:paraId="0EBD412A" w14:textId="0D7999A4" w:rsidR="007748EE" w:rsidRDefault="007748EE" w:rsidP="007C3A52">
      <w:pPr>
        <w:rPr>
          <w:sz w:val="17"/>
          <w:szCs w:val="17"/>
        </w:rPr>
      </w:pPr>
    </w:p>
    <w:p w14:paraId="0D07D098" w14:textId="7FDA0A8B" w:rsidR="007748EE" w:rsidRDefault="007748EE" w:rsidP="007C3A52">
      <w:pPr>
        <w:rPr>
          <w:sz w:val="17"/>
          <w:szCs w:val="17"/>
        </w:rPr>
      </w:pPr>
    </w:p>
    <w:p w14:paraId="21AA5694" w14:textId="77777777" w:rsidR="00152882" w:rsidRPr="003D0236" w:rsidRDefault="00152882" w:rsidP="007C3A52">
      <w:pPr>
        <w:autoSpaceDE w:val="0"/>
        <w:autoSpaceDN w:val="0"/>
        <w:adjustRightInd w:val="0"/>
        <w:rPr>
          <w:sz w:val="17"/>
          <w:szCs w:val="17"/>
        </w:rPr>
      </w:pPr>
    </w:p>
    <w:p w14:paraId="1EC82696" w14:textId="77777777" w:rsidR="00152882" w:rsidRPr="003D0236" w:rsidRDefault="00152882" w:rsidP="007C3A52">
      <w:pPr>
        <w:autoSpaceDE w:val="0"/>
        <w:autoSpaceDN w:val="0"/>
        <w:adjustRightInd w:val="0"/>
        <w:rPr>
          <w:sz w:val="17"/>
          <w:szCs w:val="17"/>
        </w:rPr>
      </w:pPr>
    </w:p>
    <w:p w14:paraId="7F7D1285" w14:textId="77777777" w:rsidR="00152882" w:rsidRPr="003D0236" w:rsidRDefault="00152882" w:rsidP="007C3A52">
      <w:pPr>
        <w:autoSpaceDE w:val="0"/>
        <w:autoSpaceDN w:val="0"/>
        <w:adjustRightInd w:val="0"/>
        <w:rPr>
          <w:sz w:val="17"/>
          <w:szCs w:val="17"/>
        </w:rPr>
      </w:pPr>
    </w:p>
    <w:p w14:paraId="7C3C63D6" w14:textId="3D1FEE2E" w:rsidR="00152882" w:rsidRPr="003D0236" w:rsidRDefault="00152882" w:rsidP="007C3A52">
      <w:pPr>
        <w:autoSpaceDE w:val="0"/>
        <w:autoSpaceDN w:val="0"/>
        <w:adjustRightInd w:val="0"/>
        <w:rPr>
          <w:sz w:val="17"/>
          <w:szCs w:val="17"/>
        </w:rPr>
      </w:pPr>
    </w:p>
    <w:p w14:paraId="33CEFBC2" w14:textId="04754141" w:rsidR="00440FEE" w:rsidRPr="003D0236" w:rsidRDefault="003715C9" w:rsidP="007C3A52">
      <w:pPr>
        <w:autoSpaceDE w:val="0"/>
        <w:autoSpaceDN w:val="0"/>
        <w:adjustRightInd w:val="0"/>
        <w:rPr>
          <w:sz w:val="17"/>
          <w:szCs w:val="17"/>
        </w:rPr>
      </w:pPr>
      <w:r w:rsidRPr="003D0236">
        <w:rPr>
          <w:sz w:val="17"/>
          <w:szCs w:val="17"/>
        </w:rPr>
        <w:t>Insurance Europe is the European insurance and reinsurance federation. Through its 36 member bodies — the national insurance associations — it represents all types and sizes of insurance and reinsurance undertakings. Insurance Europe, which is based in Brussels, represents undertakings that account for around 95% of total European premium income. Insurance makes a major contribution to Europe’s economic growth and development. European insurers pay out over €1 000bn annually — or €2.8bn a day — in claims, directly employ more than 920 000 people and invest over €10.6trn in the economy.</w:t>
      </w:r>
    </w:p>
    <w:sectPr w:rsidR="00440FEE" w:rsidRPr="003D0236" w:rsidSect="00123202">
      <w:type w:val="continuous"/>
      <w:pgSz w:w="11907" w:h="16839" w:code="9"/>
      <w:pgMar w:top="2336" w:right="902" w:bottom="1077" w:left="1474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1403" w14:textId="77777777" w:rsidR="0041075C" w:rsidRDefault="0041075C">
      <w:pPr>
        <w:spacing w:line="240" w:lineRule="auto"/>
      </w:pPr>
      <w:r>
        <w:separator/>
      </w:r>
    </w:p>
  </w:endnote>
  <w:endnote w:type="continuationSeparator" w:id="0">
    <w:p w14:paraId="1A4FDDB9" w14:textId="77777777" w:rsidR="0041075C" w:rsidRDefault="0041075C">
      <w:pPr>
        <w:spacing w:line="240" w:lineRule="auto"/>
      </w:pPr>
      <w:r>
        <w:continuationSeparator/>
      </w:r>
    </w:p>
  </w:endnote>
  <w:endnote w:type="continuationNotice" w:id="1">
    <w:p w14:paraId="7E2B7BAC" w14:textId="77777777" w:rsidR="0041075C" w:rsidRDefault="004107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A777" w14:textId="77777777" w:rsidR="00123202" w:rsidRDefault="00152882" w:rsidP="001232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086F33" w14:textId="77777777" w:rsidR="00123202" w:rsidRDefault="00123202" w:rsidP="001232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342C" w14:textId="77777777" w:rsidR="00123202" w:rsidRPr="007748EE" w:rsidRDefault="00152882" w:rsidP="00123202">
    <w:pPr>
      <w:pStyle w:val="Pta"/>
      <w:framePr w:wrap="around" w:vAnchor="page" w:hAnchor="margin" w:xAlign="right" w:y="16161"/>
      <w:rPr>
        <w:rStyle w:val="slostrany"/>
        <w:color w:val="002957"/>
        <w:sz w:val="14"/>
        <w:szCs w:val="20"/>
      </w:rPr>
    </w:pPr>
    <w:r w:rsidRPr="007748EE">
      <w:rPr>
        <w:rStyle w:val="slostrany"/>
        <w:color w:val="002957"/>
        <w:sz w:val="14"/>
        <w:szCs w:val="14"/>
      </w:rPr>
      <w:fldChar w:fldCharType="begin"/>
    </w:r>
    <w:r w:rsidRPr="007748EE">
      <w:rPr>
        <w:rStyle w:val="slostrany"/>
        <w:color w:val="002957"/>
        <w:sz w:val="14"/>
        <w:szCs w:val="14"/>
      </w:rPr>
      <w:instrText xml:space="preserve"> PAGE   \* MERGEFORMAT </w:instrText>
    </w:r>
    <w:r w:rsidRPr="007748EE">
      <w:rPr>
        <w:rStyle w:val="slostrany"/>
        <w:color w:val="002957"/>
        <w:sz w:val="14"/>
        <w:szCs w:val="14"/>
      </w:rPr>
      <w:fldChar w:fldCharType="separate"/>
    </w:r>
    <w:r w:rsidR="009F36CD" w:rsidRPr="007748EE">
      <w:rPr>
        <w:rStyle w:val="slostrany"/>
        <w:noProof/>
        <w:color w:val="002957"/>
        <w:sz w:val="14"/>
        <w:szCs w:val="14"/>
      </w:rPr>
      <w:t>2</w:t>
    </w:r>
    <w:r w:rsidRPr="007748EE">
      <w:rPr>
        <w:rStyle w:val="slostrany"/>
        <w:color w:val="002957"/>
        <w:sz w:val="14"/>
        <w:szCs w:val="14"/>
      </w:rPr>
      <w:fldChar w:fldCharType="end"/>
    </w:r>
  </w:p>
  <w:p w14:paraId="179B6722" w14:textId="77777777" w:rsidR="00123202" w:rsidRPr="0085650F" w:rsidRDefault="00123202" w:rsidP="00123202">
    <w:pPr>
      <w:tabs>
        <w:tab w:val="right" w:pos="10260"/>
      </w:tabs>
      <w:autoSpaceDE w:val="0"/>
      <w:autoSpaceDN w:val="0"/>
      <w:adjustRightInd w:val="0"/>
      <w:ind w:right="360"/>
      <w:textAlignment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253"/>
    </w:tblGrid>
    <w:tr w:rsidR="0012469D" w14:paraId="3BDA0906" w14:textId="77777777" w:rsidTr="007748EE">
      <w:tc>
        <w:tcPr>
          <w:tcW w:w="5387" w:type="dxa"/>
        </w:tcPr>
        <w:p w14:paraId="223AB0CA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>Insurance Europe aisbl</w:t>
          </w:r>
        </w:p>
        <w:p w14:paraId="409D0242" w14:textId="77777777" w:rsidR="0012469D" w:rsidRPr="00A4463C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fr-BE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Rue </w:t>
          </w:r>
          <w:r>
            <w:rPr>
              <w:b w:val="0"/>
              <w:color w:val="002957"/>
              <w:sz w:val="14"/>
              <w:szCs w:val="14"/>
              <w:lang w:val="fr-BE"/>
            </w:rPr>
            <w:t>du Champ de Mars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 </w:t>
          </w:r>
          <w:r>
            <w:rPr>
              <w:b w:val="0"/>
              <w:color w:val="002957"/>
              <w:sz w:val="14"/>
              <w:szCs w:val="14"/>
              <w:lang w:val="fr-BE"/>
            </w:rPr>
            <w:t>23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>, B-10</w:t>
          </w:r>
          <w:r>
            <w:rPr>
              <w:b w:val="0"/>
              <w:color w:val="002957"/>
              <w:sz w:val="14"/>
              <w:szCs w:val="14"/>
              <w:lang w:val="fr-BE"/>
            </w:rPr>
            <w:t>5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0 Brussels </w:t>
          </w:r>
        </w:p>
        <w:p w14:paraId="626C85C0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85650F">
            <w:rPr>
              <w:b w:val="0"/>
              <w:color w:val="002957"/>
              <w:sz w:val="14"/>
              <w:szCs w:val="14"/>
              <w:lang w:val="pt-PT"/>
            </w:rPr>
            <w:t>Tel:</w:t>
          </w:r>
          <w:r>
            <w:rPr>
              <w:b w:val="0"/>
              <w:color w:val="002957"/>
              <w:sz w:val="14"/>
              <w:szCs w:val="14"/>
              <w:lang w:val="pt-PT"/>
            </w:rPr>
            <w:t xml:space="preserve"> +32 2 894 30 00</w:t>
          </w:r>
        </w:p>
        <w:p w14:paraId="069F1905" w14:textId="19503539" w:rsidR="0012469D" w:rsidRP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>
            <w:rPr>
              <w:b w:val="0"/>
              <w:color w:val="002957"/>
              <w:sz w:val="14"/>
              <w:szCs w:val="14"/>
              <w:lang w:val="pt-PT"/>
            </w:rPr>
            <w:t xml:space="preserve">E-mail : </w:t>
          </w:r>
          <w:hyperlink r:id="rId1" w:history="1">
            <w:r w:rsidR="007748EE" w:rsidRPr="009F19B1">
              <w:rPr>
                <w:rStyle w:val="Hypertextovprepojenie"/>
                <w:b w:val="0"/>
                <w:sz w:val="14"/>
                <w:szCs w:val="14"/>
                <w:lang w:val="pt-PT"/>
              </w:rPr>
              <w:t>info@insuranceeurope.eu</w:t>
            </w:r>
          </w:hyperlink>
          <w:r w:rsidR="007748EE">
            <w:rPr>
              <w:b w:val="0"/>
              <w:color w:val="002957"/>
              <w:sz w:val="14"/>
              <w:szCs w:val="14"/>
              <w:lang w:val="pt-PT"/>
            </w:rPr>
            <w:br/>
          </w:r>
          <w:r w:rsidR="007748EE" w:rsidRPr="007748EE">
            <w:rPr>
              <w:b w:val="0"/>
              <w:color w:val="82C55B"/>
              <w:sz w:val="14"/>
              <w:szCs w:val="14"/>
              <w:lang w:val="pt-PT"/>
            </w:rPr>
            <w:t>www.insuranceeurope.eu</w:t>
          </w:r>
        </w:p>
      </w:tc>
      <w:tc>
        <w:tcPr>
          <w:tcW w:w="4253" w:type="dxa"/>
        </w:tcPr>
        <w:p w14:paraId="208F7DCE" w14:textId="3A444E5B" w:rsidR="0012469D" w:rsidRPr="002F12C5" w:rsidRDefault="002F12C5" w:rsidP="00BD3110">
          <w:pPr>
            <w:pStyle w:val="CEAFooterauthorinfo"/>
            <w:jc w:val="left"/>
            <w:rPr>
              <w:b w:val="0"/>
              <w:color w:val="002957"/>
              <w:sz w:val="14"/>
              <w:szCs w:val="14"/>
            </w:rPr>
          </w:pPr>
          <w:r w:rsidRPr="002F12C5">
            <w:rPr>
              <w:b w:val="0"/>
              <w:color w:val="002957"/>
              <w:sz w:val="14"/>
              <w:szCs w:val="14"/>
            </w:rPr>
            <w:t>© Insurance Europe. Confidential, internal document. Not for distribution, all rights reserved.</w:t>
          </w:r>
        </w:p>
      </w:tc>
    </w:tr>
  </w:tbl>
  <w:p w14:paraId="61297F9E" w14:textId="77777777" w:rsidR="00123202" w:rsidRPr="00F93794" w:rsidRDefault="00123202">
    <w:pPr>
      <w:pStyle w:val="Pta"/>
      <w:rPr>
        <w:color w:val="00295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5033" w14:textId="77777777" w:rsidR="0041075C" w:rsidRDefault="0041075C">
      <w:pPr>
        <w:spacing w:line="240" w:lineRule="auto"/>
      </w:pPr>
      <w:r>
        <w:separator/>
      </w:r>
    </w:p>
  </w:footnote>
  <w:footnote w:type="continuationSeparator" w:id="0">
    <w:p w14:paraId="2AFDE595" w14:textId="77777777" w:rsidR="0041075C" w:rsidRDefault="0041075C">
      <w:pPr>
        <w:spacing w:line="240" w:lineRule="auto"/>
      </w:pPr>
      <w:r>
        <w:continuationSeparator/>
      </w:r>
    </w:p>
  </w:footnote>
  <w:footnote w:type="continuationNotice" w:id="1">
    <w:p w14:paraId="3DEEA351" w14:textId="77777777" w:rsidR="0041075C" w:rsidRDefault="0041075C">
      <w:pPr>
        <w:spacing w:line="240" w:lineRule="auto"/>
      </w:pPr>
    </w:p>
  </w:footnote>
  <w:footnote w:id="2">
    <w:p w14:paraId="7161ADC7" w14:textId="3C3F5DF8" w:rsidR="005F3C6F" w:rsidRPr="00232698" w:rsidRDefault="005F3C6F">
      <w:pPr>
        <w:pStyle w:val="Textpoznmkypodiarou"/>
        <w:rPr>
          <w:sz w:val="16"/>
          <w:szCs w:val="16"/>
        </w:rPr>
      </w:pPr>
      <w:r w:rsidRPr="00232698">
        <w:rPr>
          <w:rStyle w:val="Odkaznapoznmkupodiarou"/>
          <w:sz w:val="16"/>
          <w:szCs w:val="16"/>
        </w:rPr>
        <w:footnoteRef/>
      </w:r>
      <w:r w:rsidRPr="00232698">
        <w:rPr>
          <w:sz w:val="16"/>
          <w:szCs w:val="16"/>
        </w:rPr>
        <w:t>Recital 51</w:t>
      </w:r>
      <w:r w:rsidR="00B61CBE" w:rsidRPr="00232698">
        <w:rPr>
          <w:sz w:val="16"/>
          <w:szCs w:val="16"/>
        </w:rPr>
        <w:t xml:space="preserve"> of Directive 2009/138/EC</w:t>
      </w:r>
    </w:p>
  </w:footnote>
  <w:footnote w:id="3">
    <w:p w14:paraId="42D4523C" w14:textId="67D6B767" w:rsidR="008715A3" w:rsidRDefault="008715A3" w:rsidP="00053C39">
      <w:pPr>
        <w:pStyle w:val="Textpoznmkypodiarou"/>
      </w:pPr>
      <w:r w:rsidRPr="00232698">
        <w:rPr>
          <w:rStyle w:val="Odkaznapoznmkupodiarou"/>
          <w:sz w:val="16"/>
          <w:szCs w:val="16"/>
        </w:rPr>
        <w:footnoteRef/>
      </w:r>
      <w:r w:rsidR="00053C39" w:rsidRPr="00232698">
        <w:rPr>
          <w:sz w:val="16"/>
          <w:szCs w:val="16"/>
        </w:rPr>
        <w:t>Proposal for a Directive of the European Parliament and of the Council amending Directive 2009/138/EC</w:t>
      </w:r>
      <w:r w:rsidR="00355661" w:rsidRPr="00232698">
        <w:rPr>
          <w:sz w:val="16"/>
          <w:szCs w:val="16"/>
        </w:rPr>
        <w:t>-Amendment 795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157A" w14:textId="77777777" w:rsidR="00123202" w:rsidRPr="00323E1C" w:rsidRDefault="00152882" w:rsidP="00123202">
    <w:pPr>
      <w:pStyle w:val="Noparagraphstyle"/>
      <w:jc w:val="right"/>
      <w:rPr>
        <w:rFonts w:ascii="Verdana" w:hAnsi="Verdana"/>
        <w:sz w:val="18"/>
        <w:szCs w:val="18"/>
      </w:rPr>
    </w:pPr>
    <w:r w:rsidRPr="000D41DA">
      <w:rPr>
        <w:rFonts w:ascii="Frutiger LT Com 45 Light" w:hAnsi="Frutiger LT Com 45 Light"/>
        <w:noProof/>
        <w:lang w:val="nl-BE" w:eastAsia="nl-BE"/>
      </w:rPr>
      <w:drawing>
        <wp:anchor distT="0" distB="0" distL="114300" distR="114300" simplePos="0" relativeHeight="251658241" behindDoc="0" locked="0" layoutInCell="1" allowOverlap="1" wp14:anchorId="3E4E9827" wp14:editId="682FE296">
          <wp:simplePos x="0" y="0"/>
          <wp:positionH relativeFrom="page">
            <wp:posOffset>528955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6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B4D2BF" w14:textId="77777777" w:rsidR="00123202" w:rsidRPr="0085650F" w:rsidRDefault="00152882" w:rsidP="00123202">
    <w:pPr>
      <w:pStyle w:val="Noparagraphstyle"/>
      <w:jc w:val="right"/>
      <w:rPr>
        <w:rFonts w:ascii="Verdana" w:hAnsi="Verdana" w:cs="Arial"/>
        <w:i/>
        <w:iCs/>
        <w:color w:val="034EA2"/>
      </w:rPr>
    </w:pPr>
    <w:r w:rsidRPr="00323E1C">
      <w:rPr>
        <w:rFonts w:ascii="Verdana" w:hAnsi="Verdana"/>
      </w:rPr>
      <w:tab/>
    </w:r>
  </w:p>
  <w:p w14:paraId="6A05B2BD" w14:textId="77777777" w:rsidR="00123202" w:rsidRPr="00491802" w:rsidRDefault="00123202" w:rsidP="00123202">
    <w:pPr>
      <w:pStyle w:val="Hlavika"/>
      <w:tabs>
        <w:tab w:val="clear" w:pos="4320"/>
        <w:tab w:val="clear" w:pos="8640"/>
        <w:tab w:val="center" w:pos="0"/>
        <w:tab w:val="right" w:pos="104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4349" w14:textId="77777777" w:rsidR="00123202" w:rsidRPr="00323E1C" w:rsidRDefault="00152882" w:rsidP="00123202">
    <w:pPr>
      <w:pStyle w:val="Noparagraphstyle"/>
      <w:jc w:val="right"/>
      <w:rPr>
        <w:rFonts w:ascii="Verdana" w:hAnsi="Verdana"/>
        <w:sz w:val="18"/>
        <w:szCs w:val="18"/>
      </w:rPr>
    </w:pPr>
    <w:r w:rsidRPr="000D41DA">
      <w:rPr>
        <w:rFonts w:ascii="Frutiger LT Com 45 Light" w:hAnsi="Frutiger LT Com 45 Light"/>
        <w:noProof/>
        <w:sz w:val="18"/>
        <w:szCs w:val="18"/>
        <w:lang w:val="nl-BE" w:eastAsia="nl-BE"/>
      </w:rPr>
      <w:drawing>
        <wp:anchor distT="0" distB="0" distL="114300" distR="114300" simplePos="0" relativeHeight="251658240" behindDoc="0" locked="0" layoutInCell="1" allowOverlap="1" wp14:anchorId="10148D34" wp14:editId="7F79CF44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7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081F8F" w14:textId="77777777" w:rsidR="00123202" w:rsidRDefault="00123202">
    <w:pPr>
      <w:pStyle w:val="Hlavika"/>
    </w:pPr>
  </w:p>
  <w:p w14:paraId="4CAF9B32" w14:textId="77777777" w:rsidR="00123202" w:rsidRDefault="00123202">
    <w:pPr>
      <w:pStyle w:val="Hlavika"/>
    </w:pPr>
  </w:p>
  <w:p w14:paraId="07E1BCBC" w14:textId="77777777" w:rsidR="00123202" w:rsidRDefault="00123202">
    <w:pPr>
      <w:pStyle w:val="Hlavika"/>
    </w:pPr>
  </w:p>
  <w:p w14:paraId="28CF5DF4" w14:textId="6A7F323D" w:rsidR="0017261F" w:rsidRDefault="00152882" w:rsidP="0017261F">
    <w:pPr>
      <w:jc w:val="right"/>
      <w:rPr>
        <w:b/>
        <w:i/>
        <w:color w:val="002957"/>
        <w:sz w:val="32"/>
        <w:szCs w:val="32"/>
      </w:rPr>
    </w:pPr>
    <w:r>
      <w:tab/>
    </w:r>
    <w: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85650F">
      <w:rPr>
        <w:rFonts w:cs="Arial"/>
        <w:b/>
        <w:sz w:val="40"/>
        <w:szCs w:val="40"/>
      </w:rPr>
      <w:tab/>
    </w:r>
    <w:bookmarkStart w:id="0" w:name="Draft1st"/>
    <w:bookmarkEnd w:id="0"/>
  </w:p>
  <w:p w14:paraId="3654217F" w14:textId="77777777" w:rsidR="00123202" w:rsidRPr="00D74967" w:rsidRDefault="00123202" w:rsidP="00123202">
    <w:pPr>
      <w:pStyle w:val="CEADraft"/>
      <w:rPr>
        <w:color w:val="002957"/>
        <w:lang w:val="en-US"/>
      </w:rPr>
    </w:pPr>
  </w:p>
  <w:p w14:paraId="5495E665" w14:textId="77777777" w:rsidR="00123202" w:rsidRPr="00D74967" w:rsidRDefault="00123202" w:rsidP="00123202">
    <w:pPr>
      <w:rPr>
        <w:color w:val="002957"/>
        <w:lang w:val="en-US"/>
      </w:rPr>
    </w:pPr>
  </w:p>
  <w:bookmarkStart w:id="1" w:name="Document_title_"/>
  <w:p w14:paraId="15B481B1" w14:textId="39AA239D" w:rsidR="00123202" w:rsidRPr="00D74967" w:rsidRDefault="00A653C6" w:rsidP="00240F50">
    <w:pPr>
      <w:pStyle w:val="CEAPositionPaperTitle"/>
      <w:ind w:left="0"/>
      <w:rPr>
        <w:b w:val="0"/>
        <w:color w:val="002957"/>
        <w:sz w:val="28"/>
        <w:szCs w:val="28"/>
        <w:lang w:val="en-US"/>
      </w:rPr>
    </w:pPr>
    <w:sdt>
      <w:sdtPr>
        <w:rPr>
          <w:b w:val="0"/>
          <w:color w:val="002957"/>
          <w:sz w:val="28"/>
          <w:szCs w:val="28"/>
          <w:lang w:val="en-US"/>
        </w:rPr>
        <w:id w:val="-1374918777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74A9">
          <w:rPr>
            <w:b w:val="0"/>
            <w:color w:val="002957"/>
            <w:sz w:val="28"/>
            <w:szCs w:val="28"/>
            <w:lang w:val="en-US"/>
          </w:rPr>
          <w:t xml:space="preserve">Insurance Europe note on </w:t>
        </w:r>
        <w:r w:rsidR="005C3309">
          <w:rPr>
            <w:b w:val="0"/>
            <w:color w:val="002957"/>
            <w:sz w:val="28"/>
            <w:szCs w:val="28"/>
          </w:rPr>
          <w:t xml:space="preserve">the treatment of </w:t>
        </w:r>
        <w:r w:rsidR="001474A9">
          <w:rPr>
            <w:b w:val="0"/>
            <w:color w:val="002957"/>
            <w:sz w:val="28"/>
            <w:szCs w:val="28"/>
            <w:lang w:val="en-US"/>
          </w:rPr>
          <w:t xml:space="preserve">profit-sharing reserve </w:t>
        </w:r>
        <w:r w:rsidR="005C3309">
          <w:rPr>
            <w:b w:val="0"/>
            <w:color w:val="002957"/>
            <w:sz w:val="28"/>
            <w:szCs w:val="28"/>
            <w:lang w:val="en-US"/>
          </w:rPr>
          <w:t>s</w:t>
        </w:r>
        <w:r w:rsidR="001474A9">
          <w:rPr>
            <w:b w:val="0"/>
            <w:color w:val="002957"/>
            <w:sz w:val="28"/>
            <w:szCs w:val="28"/>
            <w:lang w:val="en-US"/>
          </w:rPr>
          <w:t>chemes</w:t>
        </w:r>
        <w:r w:rsidR="005C3309">
          <w:rPr>
            <w:b w:val="0"/>
            <w:color w:val="002957"/>
            <w:sz w:val="28"/>
            <w:szCs w:val="28"/>
            <w:lang w:val="en-US"/>
          </w:rPr>
          <w:t xml:space="preserve"> under Solvency II</w:t>
        </w:r>
      </w:sdtContent>
    </w:sdt>
    <w:bookmarkEnd w:id="1"/>
  </w:p>
  <w:p w14:paraId="48E02457" w14:textId="77777777" w:rsidR="00123202" w:rsidRPr="00D74967" w:rsidRDefault="00123202" w:rsidP="00123202">
    <w:pPr>
      <w:rPr>
        <w:lang w:val="en-US"/>
      </w:rPr>
    </w:pPr>
  </w:p>
  <w:p w14:paraId="59DEEA8E" w14:textId="77777777" w:rsidR="00123202" w:rsidRPr="00D74967" w:rsidRDefault="00152882" w:rsidP="00123202">
    <w:pPr>
      <w:rPr>
        <w:lang w:val="en-US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F115990" wp14:editId="32DD3F38">
              <wp:simplePos x="0" y="0"/>
              <wp:positionH relativeFrom="margin">
                <wp:align>left</wp:align>
              </wp:positionH>
              <wp:positionV relativeFrom="paragraph">
                <wp:posOffset>88265</wp:posOffset>
              </wp:positionV>
              <wp:extent cx="6124575" cy="2051685"/>
              <wp:effectExtent l="0" t="0" r="28575" b="2476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4575" cy="20516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">
                        <a:solidFill>
                          <a:srgbClr val="82C5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735EF6" id="AutoShape 18" o:spid="_x0000_s1026" style="position:absolute;margin-left:0;margin-top:6.95pt;width:482.25pt;height:161.55pt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" filled="f" strokecolor="#82c55b" strokeweight=".5pt">
              <w10:wrap anchorx="margin"/>
              <w10:anchorlock/>
            </v:roundrect>
          </w:pict>
        </mc:Fallback>
      </mc:AlternateContent>
    </w:r>
  </w:p>
  <w:tbl>
    <w:tblPr>
      <w:tblW w:w="9639" w:type="dxa"/>
      <w:tblBorders>
        <w:insideH w:val="single" w:sz="4" w:space="0" w:color="82C55B"/>
      </w:tblBorders>
      <w:tblLayout w:type="fixed"/>
      <w:tblLook w:val="0000" w:firstRow="0" w:lastRow="0" w:firstColumn="0" w:lastColumn="0" w:noHBand="0" w:noVBand="0"/>
    </w:tblPr>
    <w:tblGrid>
      <w:gridCol w:w="1536"/>
      <w:gridCol w:w="3557"/>
      <w:gridCol w:w="1570"/>
      <w:gridCol w:w="2976"/>
    </w:tblGrid>
    <w:tr w:rsidR="00123202" w:rsidRPr="000D41DA" w14:paraId="4B45CDA3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57D93854" w14:textId="77777777" w:rsidR="00123202" w:rsidRPr="0085650F" w:rsidRDefault="00152882" w:rsidP="00123202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Our reference: </w:t>
          </w:r>
        </w:p>
      </w:tc>
      <w:tc>
        <w:tcPr>
          <w:tcW w:w="3557" w:type="dxa"/>
          <w:shd w:val="clear" w:color="auto" w:fill="auto"/>
          <w:vAlign w:val="center"/>
        </w:tcPr>
        <w:sdt>
          <w:sdtPr>
            <w:rPr>
              <w:color w:val="002957"/>
              <w:sz w:val="17"/>
              <w:szCs w:val="17"/>
            </w:rPr>
            <w:id w:val="-2128765903"/>
            <w:placeholder>
              <w:docPart w:val="DefaultPlaceholder_-1854013440"/>
            </w:placeholder>
            <w15:dataBinding w:prefixMappings="xmlns:ns0='http://schemas.microsoft.com/office/2006/metadata/properties' xmlns:ns1='http://www.w3.org/2001/XMLSchema-instance' xmlns:ns2='http://schemas.microsoft.com/office/infopath/2007/PartnerControls' xmlns:ns3='ba225275-dfdd-4507-9cb6-b247f9a8bd33' xmlns:ns4='bf2322bd-6ea8-47f2-a340-10b5092f2000' " w:xpath="/ns0:properties[1]/documentManagement[1]/*[local-name() = 'Reference'][1]" w:storeItemID="{B35485A1-11AA-442D-8577-727460E39C5A}" w16sdtdh:storeItemChecksum="qRXTbg=="/>
          </w:sdtPr>
          <w:sdtEndPr/>
          <w:sdtContent>
            <w:p w14:paraId="4352DA30" w14:textId="52A8FAB2" w:rsidR="00123202" w:rsidRPr="00585988" w:rsidRDefault="00E32D89" w:rsidP="0008034A">
              <w:pPr>
                <w:jc w:val="left"/>
                <w:rPr>
                  <w:color w:val="002957"/>
                  <w:sz w:val="17"/>
                  <w:szCs w:val="17"/>
                </w:rPr>
              </w:pPr>
              <w:r>
                <w:rPr>
                  <w:color w:val="002957"/>
                  <w:sz w:val="17"/>
                  <w:szCs w:val="17"/>
                </w:rPr>
                <w:t>ECO-SLV-22-328</w:t>
              </w:r>
            </w:p>
          </w:sdtContent>
        </w:sdt>
      </w:tc>
      <w:tc>
        <w:tcPr>
          <w:tcW w:w="1570" w:type="dxa"/>
          <w:shd w:val="clear" w:color="auto" w:fill="auto"/>
          <w:vAlign w:val="center"/>
        </w:tcPr>
        <w:p w14:paraId="5C893DF3" w14:textId="77777777" w:rsidR="00123202" w:rsidRPr="0085650F" w:rsidRDefault="00152882" w:rsidP="00123202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Date:</w:t>
          </w:r>
        </w:p>
      </w:tc>
      <w:tc>
        <w:tcPr>
          <w:tcW w:w="2976" w:type="dxa"/>
          <w:shd w:val="clear" w:color="auto" w:fill="auto"/>
          <w:vAlign w:val="center"/>
        </w:tcPr>
        <w:p w14:paraId="181A7D4E" w14:textId="0334D006" w:rsidR="00123202" w:rsidRPr="00585988" w:rsidRDefault="00E704D0" w:rsidP="00123202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26-09-2022</w:t>
          </w:r>
        </w:p>
      </w:tc>
    </w:tr>
    <w:tr w:rsidR="00123202" w:rsidRPr="000D41DA" w14:paraId="71283189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FEEB7D0" w14:textId="77777777" w:rsidR="00123202" w:rsidRPr="0085650F" w:rsidRDefault="00152882" w:rsidP="00123202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Referring to:</w:t>
          </w:r>
        </w:p>
      </w:tc>
      <w:tc>
        <w:tcPr>
          <w:tcW w:w="3557" w:type="dxa"/>
          <w:shd w:val="clear" w:color="auto" w:fill="auto"/>
          <w:vAlign w:val="center"/>
        </w:tcPr>
        <w:p w14:paraId="140E78FD" w14:textId="05D12A56" w:rsidR="00123202" w:rsidRPr="00585988" w:rsidRDefault="00123202" w:rsidP="00123202">
          <w:pPr>
            <w:jc w:val="left"/>
            <w:rPr>
              <w:color w:val="002957"/>
              <w:sz w:val="17"/>
              <w:szCs w:val="17"/>
            </w:rPr>
          </w:pPr>
        </w:p>
      </w:tc>
      <w:tc>
        <w:tcPr>
          <w:tcW w:w="1570" w:type="dxa"/>
          <w:shd w:val="clear" w:color="auto" w:fill="auto"/>
          <w:vAlign w:val="center"/>
        </w:tcPr>
        <w:p w14:paraId="0A442DE6" w14:textId="77777777" w:rsidR="00123202" w:rsidRPr="00585988" w:rsidRDefault="00123202" w:rsidP="00123202">
          <w:pPr>
            <w:rPr>
              <w:color w:val="002957"/>
              <w:sz w:val="17"/>
              <w:szCs w:val="17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74A17591" w14:textId="0AA37B00" w:rsidR="00123202" w:rsidRPr="00585988" w:rsidRDefault="00123202" w:rsidP="00123202">
          <w:pPr>
            <w:jc w:val="left"/>
            <w:rPr>
              <w:color w:val="002957"/>
              <w:sz w:val="17"/>
              <w:szCs w:val="17"/>
            </w:rPr>
          </w:pPr>
        </w:p>
      </w:tc>
    </w:tr>
    <w:tr w:rsidR="00123202" w:rsidRPr="000D41DA" w14:paraId="024FCDC9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2E014A55" w14:textId="77777777" w:rsidR="00123202" w:rsidRPr="0085650F" w:rsidRDefault="00152882" w:rsidP="00123202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Related documents:</w:t>
          </w:r>
        </w:p>
      </w:tc>
      <w:tc>
        <w:tcPr>
          <w:tcW w:w="3557" w:type="dxa"/>
          <w:shd w:val="clear" w:color="auto" w:fill="auto"/>
          <w:vAlign w:val="center"/>
        </w:tcPr>
        <w:p w14:paraId="028D7892" w14:textId="124FA640" w:rsidR="00123202" w:rsidRPr="00585988" w:rsidRDefault="00123202" w:rsidP="00123202">
          <w:pPr>
            <w:jc w:val="left"/>
            <w:rPr>
              <w:color w:val="002957"/>
              <w:sz w:val="17"/>
              <w:szCs w:val="17"/>
            </w:rPr>
          </w:pPr>
        </w:p>
      </w:tc>
      <w:tc>
        <w:tcPr>
          <w:tcW w:w="1570" w:type="dxa"/>
          <w:shd w:val="clear" w:color="auto" w:fill="auto"/>
          <w:vAlign w:val="center"/>
        </w:tcPr>
        <w:p w14:paraId="08573CC7" w14:textId="77777777" w:rsidR="00123202" w:rsidRPr="00585988" w:rsidRDefault="00123202" w:rsidP="00123202">
          <w:pPr>
            <w:rPr>
              <w:color w:val="002957"/>
              <w:sz w:val="17"/>
              <w:szCs w:val="17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15C35991" w14:textId="77777777" w:rsidR="00123202" w:rsidRPr="00585988" w:rsidRDefault="00123202" w:rsidP="00123202">
          <w:pPr>
            <w:jc w:val="left"/>
            <w:rPr>
              <w:b/>
              <w:color w:val="002957"/>
              <w:sz w:val="17"/>
              <w:szCs w:val="17"/>
            </w:rPr>
          </w:pPr>
        </w:p>
      </w:tc>
    </w:tr>
    <w:tr w:rsidR="00123202" w:rsidRPr="000D41DA" w14:paraId="07D47AE0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A965280" w14:textId="77777777" w:rsidR="00123202" w:rsidRPr="0085650F" w:rsidRDefault="00152882" w:rsidP="00123202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Contact person:</w:t>
          </w:r>
        </w:p>
      </w:tc>
      <w:tc>
        <w:tcPr>
          <w:tcW w:w="3557" w:type="dxa"/>
          <w:shd w:val="clear" w:color="auto" w:fill="auto"/>
          <w:vAlign w:val="center"/>
        </w:tcPr>
        <w:p w14:paraId="03E7DCB9" w14:textId="79C241D3" w:rsidR="00123202" w:rsidRPr="00585988" w:rsidRDefault="00E704D0" w:rsidP="00123202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Prudential Team</w:t>
          </w:r>
          <w:r w:rsidR="00DE0A2F" w:rsidRPr="00DE0A2F">
            <w:rPr>
              <w:color w:val="002957"/>
              <w:sz w:val="17"/>
              <w:szCs w:val="17"/>
            </w:rPr>
            <w:t xml:space="preserve"> </w:t>
          </w:r>
        </w:p>
      </w:tc>
      <w:tc>
        <w:tcPr>
          <w:tcW w:w="1570" w:type="dxa"/>
          <w:shd w:val="clear" w:color="auto" w:fill="auto"/>
          <w:vAlign w:val="center"/>
        </w:tcPr>
        <w:p w14:paraId="710B5A54" w14:textId="77777777" w:rsidR="00123202" w:rsidRPr="0085650F" w:rsidRDefault="00152882" w:rsidP="00123202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E-mail:</w:t>
          </w:r>
        </w:p>
      </w:tc>
      <w:tc>
        <w:tcPr>
          <w:tcW w:w="2976" w:type="dxa"/>
          <w:shd w:val="clear" w:color="auto" w:fill="auto"/>
          <w:vAlign w:val="center"/>
        </w:tcPr>
        <w:p w14:paraId="5B954066" w14:textId="18616ADC" w:rsidR="00123202" w:rsidRPr="00585988" w:rsidRDefault="00E704D0" w:rsidP="00123202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prudential@insuranceeurope.eu</w:t>
          </w:r>
        </w:p>
      </w:tc>
    </w:tr>
    <w:tr w:rsidR="00123202" w:rsidRPr="000D41DA" w14:paraId="605BBAF5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7D7A937A" w14:textId="77777777" w:rsidR="00123202" w:rsidRPr="0085650F" w:rsidRDefault="00152882" w:rsidP="00123202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Pages: </w:t>
          </w:r>
        </w:p>
      </w:tc>
      <w:tc>
        <w:tcPr>
          <w:tcW w:w="3557" w:type="dxa"/>
          <w:shd w:val="clear" w:color="auto" w:fill="auto"/>
          <w:vAlign w:val="center"/>
        </w:tcPr>
        <w:p w14:paraId="6278A0AF" w14:textId="77777777" w:rsidR="00123202" w:rsidRPr="00585988" w:rsidRDefault="00152882" w:rsidP="00123202">
          <w:pPr>
            <w:rPr>
              <w:color w:val="002957"/>
              <w:spacing w:val="-4"/>
              <w:w w:val="90"/>
              <w:sz w:val="17"/>
              <w:szCs w:val="17"/>
            </w:rPr>
          </w:pPr>
          <w:r w:rsidRPr="00585988">
            <w:rPr>
              <w:rStyle w:val="slostrany"/>
              <w:color w:val="002957"/>
              <w:sz w:val="17"/>
              <w:szCs w:val="17"/>
            </w:rPr>
            <w:fldChar w:fldCharType="begin"/>
          </w:r>
          <w:r w:rsidRPr="00585988">
            <w:rPr>
              <w:rStyle w:val="slostrany"/>
              <w:color w:val="002957"/>
              <w:sz w:val="17"/>
              <w:szCs w:val="17"/>
            </w:rPr>
            <w:instrText xml:space="preserve"> NUMPAGES </w:instrTex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separate"/>
          </w:r>
          <w:r w:rsidR="009F36CD">
            <w:rPr>
              <w:rStyle w:val="slostrany"/>
              <w:noProof/>
              <w:color w:val="002957"/>
              <w:sz w:val="17"/>
              <w:szCs w:val="17"/>
            </w:rPr>
            <w:t>2</w: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end"/>
          </w:r>
        </w:p>
      </w:tc>
      <w:tc>
        <w:tcPr>
          <w:tcW w:w="1570" w:type="dxa"/>
          <w:shd w:val="clear" w:color="auto" w:fill="auto"/>
          <w:vAlign w:val="center"/>
        </w:tcPr>
        <w:p w14:paraId="48B95308" w14:textId="77777777" w:rsidR="00123202" w:rsidRPr="00585988" w:rsidRDefault="00974483" w:rsidP="00123202">
          <w:pPr>
            <w:ind w:right="-117"/>
            <w:rPr>
              <w:b/>
              <w:color w:val="002957"/>
              <w:sz w:val="17"/>
              <w:szCs w:val="17"/>
            </w:rPr>
          </w:pPr>
          <w:r>
            <w:rPr>
              <w:rFonts w:cs="Arial"/>
              <w:color w:val="002957"/>
              <w:sz w:val="17"/>
              <w:szCs w:val="17"/>
            </w:rPr>
            <w:t xml:space="preserve">Transparency Register </w:t>
          </w:r>
          <w:r w:rsidR="00152882" w:rsidRPr="00585988">
            <w:rPr>
              <w:rFonts w:cs="Arial"/>
              <w:color w:val="002957"/>
              <w:sz w:val="17"/>
              <w:szCs w:val="17"/>
            </w:rPr>
            <w:t>ID no.:</w:t>
          </w:r>
        </w:p>
      </w:tc>
      <w:tc>
        <w:tcPr>
          <w:tcW w:w="2976" w:type="dxa"/>
          <w:shd w:val="clear" w:color="auto" w:fill="auto"/>
          <w:vAlign w:val="center"/>
        </w:tcPr>
        <w:p w14:paraId="08B3449C" w14:textId="77777777" w:rsidR="00123202" w:rsidRPr="00585988" w:rsidRDefault="00152882" w:rsidP="00123202">
          <w:pPr>
            <w:rPr>
              <w:color w:val="002957"/>
              <w:sz w:val="17"/>
              <w:szCs w:val="17"/>
            </w:rPr>
          </w:pPr>
          <w:r w:rsidRPr="00585988">
            <w:rPr>
              <w:rFonts w:cs="Tahoma"/>
              <w:color w:val="002957"/>
              <w:sz w:val="17"/>
              <w:szCs w:val="17"/>
            </w:rPr>
            <w:t>33213703459-54</w:t>
          </w:r>
        </w:p>
      </w:tc>
    </w:tr>
  </w:tbl>
  <w:p w14:paraId="3A20423D" w14:textId="77777777" w:rsidR="00123202" w:rsidRPr="000D41DA" w:rsidRDefault="00123202" w:rsidP="00123202">
    <w:pPr>
      <w:rPr>
        <w:b/>
        <w:sz w:val="22"/>
        <w:szCs w:val="22"/>
      </w:rPr>
    </w:pPr>
  </w:p>
  <w:p w14:paraId="0299F3F5" w14:textId="77777777" w:rsidR="00123202" w:rsidRPr="000D41DA" w:rsidRDefault="00123202" w:rsidP="001232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28" type="#_x0000_t75" style="width:9pt;height:8.25pt" o:bullet="t">
        <v:imagedata r:id="rId3" o:title="CEA - Bullets Rounded Squares_BulletLevel3_forMS"/>
      </v:shape>
    </w:pict>
  </w:numPicBullet>
  <w:abstractNum w:abstractNumId="0" w15:restartNumberingAfterBreak="0">
    <w:nsid w:val="06FA6662"/>
    <w:multiLevelType w:val="hybridMultilevel"/>
    <w:tmpl w:val="10F049E6"/>
    <w:lvl w:ilvl="0" w:tplc="2FF6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3" w15:restartNumberingAfterBreak="0">
    <w:nsid w:val="5C9A4FB2"/>
    <w:multiLevelType w:val="hybridMultilevel"/>
    <w:tmpl w:val="4442F92A"/>
    <w:lvl w:ilvl="0" w:tplc="2FF6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50298"/>
    <w:multiLevelType w:val="hybridMultilevel"/>
    <w:tmpl w:val="0D2CCC5E"/>
    <w:lvl w:ilvl="0" w:tplc="DA50A9F8">
      <w:numFmt w:val="bullet"/>
      <w:lvlText w:val="-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4559">
    <w:abstractNumId w:val="5"/>
  </w:num>
  <w:num w:numId="2" w16cid:durableId="1295260024">
    <w:abstractNumId w:val="1"/>
  </w:num>
  <w:num w:numId="3" w16cid:durableId="276564312">
    <w:abstractNumId w:val="2"/>
  </w:num>
  <w:num w:numId="4" w16cid:durableId="1573543026">
    <w:abstractNumId w:val="0"/>
  </w:num>
  <w:num w:numId="5" w16cid:durableId="1902787469">
    <w:abstractNumId w:val="3"/>
  </w:num>
  <w:num w:numId="6" w16cid:durableId="1778864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2"/>
    <w:rsid w:val="00010DFB"/>
    <w:rsid w:val="00017E2D"/>
    <w:rsid w:val="00020124"/>
    <w:rsid w:val="00031EE6"/>
    <w:rsid w:val="00053C39"/>
    <w:rsid w:val="0008034A"/>
    <w:rsid w:val="0009605A"/>
    <w:rsid w:val="000A3D04"/>
    <w:rsid w:val="000A4A45"/>
    <w:rsid w:val="000D3A9E"/>
    <w:rsid w:val="000D58F0"/>
    <w:rsid w:val="001011CD"/>
    <w:rsid w:val="00106053"/>
    <w:rsid w:val="00114A84"/>
    <w:rsid w:val="001151CC"/>
    <w:rsid w:val="00123202"/>
    <w:rsid w:val="0012469D"/>
    <w:rsid w:val="00124FFC"/>
    <w:rsid w:val="00131978"/>
    <w:rsid w:val="00136836"/>
    <w:rsid w:val="00140A06"/>
    <w:rsid w:val="00146051"/>
    <w:rsid w:val="001474A9"/>
    <w:rsid w:val="00152882"/>
    <w:rsid w:val="00162242"/>
    <w:rsid w:val="00166834"/>
    <w:rsid w:val="001673D2"/>
    <w:rsid w:val="00171F14"/>
    <w:rsid w:val="0017261F"/>
    <w:rsid w:val="001A2CEF"/>
    <w:rsid w:val="001B353F"/>
    <w:rsid w:val="001B39BA"/>
    <w:rsid w:val="001B4AB3"/>
    <w:rsid w:val="001D22A0"/>
    <w:rsid w:val="001F1DDE"/>
    <w:rsid w:val="00213678"/>
    <w:rsid w:val="00217493"/>
    <w:rsid w:val="002244DD"/>
    <w:rsid w:val="00224D64"/>
    <w:rsid w:val="00232698"/>
    <w:rsid w:val="00240F50"/>
    <w:rsid w:val="002436DA"/>
    <w:rsid w:val="00261545"/>
    <w:rsid w:val="00292B7F"/>
    <w:rsid w:val="00295DF0"/>
    <w:rsid w:val="002A28B9"/>
    <w:rsid w:val="002A76C4"/>
    <w:rsid w:val="002B7F48"/>
    <w:rsid w:val="002C48A0"/>
    <w:rsid w:val="002D2A9F"/>
    <w:rsid w:val="002E08FA"/>
    <w:rsid w:val="002F12C5"/>
    <w:rsid w:val="0032055A"/>
    <w:rsid w:val="00324B64"/>
    <w:rsid w:val="00330F3E"/>
    <w:rsid w:val="00346792"/>
    <w:rsid w:val="00355661"/>
    <w:rsid w:val="00356201"/>
    <w:rsid w:val="003715C9"/>
    <w:rsid w:val="003769E5"/>
    <w:rsid w:val="00382F7E"/>
    <w:rsid w:val="003A2A4F"/>
    <w:rsid w:val="003B3086"/>
    <w:rsid w:val="003B6B76"/>
    <w:rsid w:val="003B6BA7"/>
    <w:rsid w:val="003C11D1"/>
    <w:rsid w:val="003C1B41"/>
    <w:rsid w:val="003C2C7D"/>
    <w:rsid w:val="003C432E"/>
    <w:rsid w:val="003D0236"/>
    <w:rsid w:val="003D2C75"/>
    <w:rsid w:val="00407B3E"/>
    <w:rsid w:val="0041075C"/>
    <w:rsid w:val="00421DDB"/>
    <w:rsid w:val="00426F58"/>
    <w:rsid w:val="00434251"/>
    <w:rsid w:val="0043488F"/>
    <w:rsid w:val="004408AE"/>
    <w:rsid w:val="00440FEE"/>
    <w:rsid w:val="0045017F"/>
    <w:rsid w:val="00471B6D"/>
    <w:rsid w:val="00495AC5"/>
    <w:rsid w:val="004A5C8A"/>
    <w:rsid w:val="004A70F6"/>
    <w:rsid w:val="004B1A74"/>
    <w:rsid w:val="004C383B"/>
    <w:rsid w:val="004C7217"/>
    <w:rsid w:val="004D6D42"/>
    <w:rsid w:val="004F62B4"/>
    <w:rsid w:val="00503CBE"/>
    <w:rsid w:val="00505239"/>
    <w:rsid w:val="00525FE6"/>
    <w:rsid w:val="00543523"/>
    <w:rsid w:val="005666D0"/>
    <w:rsid w:val="00574809"/>
    <w:rsid w:val="00580928"/>
    <w:rsid w:val="00581AD7"/>
    <w:rsid w:val="005861EA"/>
    <w:rsid w:val="005B2E92"/>
    <w:rsid w:val="005B72A4"/>
    <w:rsid w:val="005C0D00"/>
    <w:rsid w:val="005C3309"/>
    <w:rsid w:val="005D0595"/>
    <w:rsid w:val="005E3484"/>
    <w:rsid w:val="005F3C6F"/>
    <w:rsid w:val="00604C32"/>
    <w:rsid w:val="00611867"/>
    <w:rsid w:val="00621CEF"/>
    <w:rsid w:val="00621E81"/>
    <w:rsid w:val="006234F8"/>
    <w:rsid w:val="00625041"/>
    <w:rsid w:val="00626A77"/>
    <w:rsid w:val="00626AB0"/>
    <w:rsid w:val="00634945"/>
    <w:rsid w:val="00634B87"/>
    <w:rsid w:val="00646298"/>
    <w:rsid w:val="00647F58"/>
    <w:rsid w:val="00650F09"/>
    <w:rsid w:val="00654128"/>
    <w:rsid w:val="00681C1D"/>
    <w:rsid w:val="00681CDF"/>
    <w:rsid w:val="006851B8"/>
    <w:rsid w:val="006873EE"/>
    <w:rsid w:val="00692DBA"/>
    <w:rsid w:val="00696634"/>
    <w:rsid w:val="006A397A"/>
    <w:rsid w:val="006C6F92"/>
    <w:rsid w:val="006D0057"/>
    <w:rsid w:val="006D028C"/>
    <w:rsid w:val="006D20A0"/>
    <w:rsid w:val="006D27B3"/>
    <w:rsid w:val="006E2C47"/>
    <w:rsid w:val="006F2376"/>
    <w:rsid w:val="006F63DC"/>
    <w:rsid w:val="0071306A"/>
    <w:rsid w:val="00730FCC"/>
    <w:rsid w:val="007316CB"/>
    <w:rsid w:val="007334B5"/>
    <w:rsid w:val="00752590"/>
    <w:rsid w:val="007634CB"/>
    <w:rsid w:val="007748EE"/>
    <w:rsid w:val="00784619"/>
    <w:rsid w:val="00787392"/>
    <w:rsid w:val="00790047"/>
    <w:rsid w:val="007B5AF2"/>
    <w:rsid w:val="007C3A52"/>
    <w:rsid w:val="007D4B8C"/>
    <w:rsid w:val="007E6023"/>
    <w:rsid w:val="007F3C20"/>
    <w:rsid w:val="007F5ABC"/>
    <w:rsid w:val="00800E35"/>
    <w:rsid w:val="00804364"/>
    <w:rsid w:val="0082197E"/>
    <w:rsid w:val="00825DAE"/>
    <w:rsid w:val="00850A91"/>
    <w:rsid w:val="00851C32"/>
    <w:rsid w:val="008525F1"/>
    <w:rsid w:val="00857504"/>
    <w:rsid w:val="008715A3"/>
    <w:rsid w:val="00882A09"/>
    <w:rsid w:val="00884E00"/>
    <w:rsid w:val="008A2E1B"/>
    <w:rsid w:val="008C5252"/>
    <w:rsid w:val="008C6F76"/>
    <w:rsid w:val="008D6582"/>
    <w:rsid w:val="008D7524"/>
    <w:rsid w:val="008E2813"/>
    <w:rsid w:val="008E5C2C"/>
    <w:rsid w:val="008F53BF"/>
    <w:rsid w:val="00916DD1"/>
    <w:rsid w:val="00922E92"/>
    <w:rsid w:val="00946F12"/>
    <w:rsid w:val="009626A3"/>
    <w:rsid w:val="00966117"/>
    <w:rsid w:val="00972763"/>
    <w:rsid w:val="009728B6"/>
    <w:rsid w:val="00974483"/>
    <w:rsid w:val="009757D1"/>
    <w:rsid w:val="00991FA0"/>
    <w:rsid w:val="0099233C"/>
    <w:rsid w:val="009A6FC0"/>
    <w:rsid w:val="009A7A12"/>
    <w:rsid w:val="009B68AD"/>
    <w:rsid w:val="009B7BF7"/>
    <w:rsid w:val="009C0392"/>
    <w:rsid w:val="009C05A5"/>
    <w:rsid w:val="009C2B3E"/>
    <w:rsid w:val="009E752D"/>
    <w:rsid w:val="009F33D8"/>
    <w:rsid w:val="009F36CD"/>
    <w:rsid w:val="009F7A53"/>
    <w:rsid w:val="00A00482"/>
    <w:rsid w:val="00A01C0A"/>
    <w:rsid w:val="00A07D23"/>
    <w:rsid w:val="00A129C1"/>
    <w:rsid w:val="00A32659"/>
    <w:rsid w:val="00A410D0"/>
    <w:rsid w:val="00A4463C"/>
    <w:rsid w:val="00A47AEA"/>
    <w:rsid w:val="00A529D8"/>
    <w:rsid w:val="00A653C6"/>
    <w:rsid w:val="00A8544B"/>
    <w:rsid w:val="00A8785A"/>
    <w:rsid w:val="00A900F4"/>
    <w:rsid w:val="00A91C02"/>
    <w:rsid w:val="00AA738E"/>
    <w:rsid w:val="00AB6291"/>
    <w:rsid w:val="00AB6A4D"/>
    <w:rsid w:val="00AC0440"/>
    <w:rsid w:val="00AD4486"/>
    <w:rsid w:val="00AE4450"/>
    <w:rsid w:val="00AF1882"/>
    <w:rsid w:val="00B030D5"/>
    <w:rsid w:val="00B07945"/>
    <w:rsid w:val="00B13542"/>
    <w:rsid w:val="00B15FCE"/>
    <w:rsid w:val="00B1659F"/>
    <w:rsid w:val="00B31941"/>
    <w:rsid w:val="00B34F2D"/>
    <w:rsid w:val="00B37A08"/>
    <w:rsid w:val="00B505E1"/>
    <w:rsid w:val="00B60F49"/>
    <w:rsid w:val="00B61CBE"/>
    <w:rsid w:val="00B96972"/>
    <w:rsid w:val="00BB3D71"/>
    <w:rsid w:val="00BC4E09"/>
    <w:rsid w:val="00BC766C"/>
    <w:rsid w:val="00BD3110"/>
    <w:rsid w:val="00BD5809"/>
    <w:rsid w:val="00BE611F"/>
    <w:rsid w:val="00BF11D2"/>
    <w:rsid w:val="00BF4AA7"/>
    <w:rsid w:val="00C04C8C"/>
    <w:rsid w:val="00C3572E"/>
    <w:rsid w:val="00C35CA3"/>
    <w:rsid w:val="00C35DF0"/>
    <w:rsid w:val="00C516FB"/>
    <w:rsid w:val="00C54149"/>
    <w:rsid w:val="00C63471"/>
    <w:rsid w:val="00C63704"/>
    <w:rsid w:val="00C65D1C"/>
    <w:rsid w:val="00C71BCD"/>
    <w:rsid w:val="00C728C8"/>
    <w:rsid w:val="00C8371D"/>
    <w:rsid w:val="00CA6939"/>
    <w:rsid w:val="00CC2EBD"/>
    <w:rsid w:val="00CD673C"/>
    <w:rsid w:val="00CE679C"/>
    <w:rsid w:val="00CE70DC"/>
    <w:rsid w:val="00D042AE"/>
    <w:rsid w:val="00D30BCA"/>
    <w:rsid w:val="00D42C3A"/>
    <w:rsid w:val="00D44A3C"/>
    <w:rsid w:val="00D615BB"/>
    <w:rsid w:val="00D67A67"/>
    <w:rsid w:val="00D74967"/>
    <w:rsid w:val="00D75617"/>
    <w:rsid w:val="00D9112C"/>
    <w:rsid w:val="00DA76D2"/>
    <w:rsid w:val="00DB0C39"/>
    <w:rsid w:val="00DB6DDF"/>
    <w:rsid w:val="00DC2532"/>
    <w:rsid w:val="00DD628A"/>
    <w:rsid w:val="00DE0A2F"/>
    <w:rsid w:val="00DE1181"/>
    <w:rsid w:val="00DF4492"/>
    <w:rsid w:val="00E044AB"/>
    <w:rsid w:val="00E20DBF"/>
    <w:rsid w:val="00E32D89"/>
    <w:rsid w:val="00E347D2"/>
    <w:rsid w:val="00E422A3"/>
    <w:rsid w:val="00E46D69"/>
    <w:rsid w:val="00E704D0"/>
    <w:rsid w:val="00E90DFC"/>
    <w:rsid w:val="00E943FA"/>
    <w:rsid w:val="00E958E1"/>
    <w:rsid w:val="00E96EB7"/>
    <w:rsid w:val="00EB4845"/>
    <w:rsid w:val="00ED482A"/>
    <w:rsid w:val="00ED58E5"/>
    <w:rsid w:val="00EE7603"/>
    <w:rsid w:val="00F40447"/>
    <w:rsid w:val="00F510D4"/>
    <w:rsid w:val="00F566A1"/>
    <w:rsid w:val="00F662E8"/>
    <w:rsid w:val="00F778BB"/>
    <w:rsid w:val="00F81162"/>
    <w:rsid w:val="00F8705B"/>
    <w:rsid w:val="00F87640"/>
    <w:rsid w:val="00F93794"/>
    <w:rsid w:val="00F964F0"/>
    <w:rsid w:val="00F96C48"/>
    <w:rsid w:val="00FA561C"/>
    <w:rsid w:val="00FC470B"/>
    <w:rsid w:val="00FC6467"/>
    <w:rsid w:val="00FC7912"/>
    <w:rsid w:val="00F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6EF7CE9"/>
  <w15:docId w15:val="{0D3133B7-0986-4A08-B345-FAEBCA2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2882"/>
    <w:pPr>
      <w:spacing w:after="0" w:line="288" w:lineRule="auto"/>
      <w:jc w:val="both"/>
    </w:pPr>
    <w:rPr>
      <w:rFonts w:ascii="Verdana" w:eastAsia="Times New Roman" w:hAnsi="Verdana" w:cs="Times New Roman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52882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styleId="Pta">
    <w:name w:val="footer"/>
    <w:basedOn w:val="Normlny"/>
    <w:link w:val="PtaChar"/>
    <w:semiHidden/>
    <w:rsid w:val="00152882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customStyle="1" w:styleId="Noparagraphstyle">
    <w:name w:val="[No paragraph style]"/>
    <w:semiHidden/>
    <w:rsid w:val="0015288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152882"/>
  </w:style>
  <w:style w:type="paragraph" w:customStyle="1" w:styleId="Heading1CEA">
    <w:name w:val="Heading 1 (CEA)"/>
    <w:basedOn w:val="Normlny"/>
    <w:link w:val="Heading1CEAChar"/>
    <w:semiHidden/>
    <w:rsid w:val="00152882"/>
    <w:pPr>
      <w:autoSpaceDE w:val="0"/>
      <w:autoSpaceDN w:val="0"/>
      <w:adjustRightInd w:val="0"/>
    </w:pPr>
    <w:rPr>
      <w:rFonts w:ascii="Arial" w:hAnsi="Arial"/>
      <w:b/>
      <w:color w:val="034EA2"/>
      <w:sz w:val="32"/>
      <w:szCs w:val="32"/>
    </w:rPr>
  </w:style>
  <w:style w:type="character" w:customStyle="1" w:styleId="Heading1CEAChar">
    <w:name w:val="Heading 1 (CEA) Char"/>
    <w:basedOn w:val="Predvolenpsmoodseku"/>
    <w:link w:val="Heading1CEA"/>
    <w:semiHidden/>
    <w:rsid w:val="00152882"/>
    <w:rPr>
      <w:rFonts w:ascii="Arial" w:eastAsia="Times New Roman" w:hAnsi="Arial" w:cs="Times New Roman"/>
      <w:b/>
      <w:color w:val="034EA2"/>
      <w:sz w:val="32"/>
      <w:szCs w:val="32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152882"/>
    <w:pPr>
      <w:ind w:left="-27"/>
    </w:pPr>
    <w:rPr>
      <w:b/>
      <w:color w:val="034EA2"/>
      <w:sz w:val="32"/>
      <w:szCs w:val="32"/>
    </w:rPr>
  </w:style>
  <w:style w:type="paragraph" w:customStyle="1" w:styleId="CEADraft">
    <w:name w:val="CEA Draft"/>
    <w:basedOn w:val="Normlny"/>
    <w:semiHidden/>
    <w:qFormat/>
    <w:rsid w:val="00152882"/>
    <w:pPr>
      <w:jc w:val="right"/>
    </w:pPr>
    <w:rPr>
      <w:rFonts w:cs="Arial"/>
      <w:b/>
      <w:i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52882"/>
    <w:pPr>
      <w:autoSpaceDE w:val="0"/>
      <w:autoSpaceDN w:val="0"/>
      <w:adjustRightInd w:val="0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Label">
    <w:name w:val="CEA Label"/>
    <w:basedOn w:val="Normlny"/>
    <w:semiHidden/>
    <w:qFormat/>
    <w:rsid w:val="00152882"/>
    <w:rPr>
      <w:rFonts w:cs="Arial"/>
      <w:b/>
      <w:color w:val="034EA2"/>
      <w:szCs w:val="18"/>
    </w:rPr>
  </w:style>
  <w:style w:type="character" w:styleId="Zstupntext">
    <w:name w:val="Placeholder Text"/>
    <w:basedOn w:val="Predvolenpsmoodseku"/>
    <w:uiPriority w:val="99"/>
    <w:semiHidden/>
    <w:rsid w:val="0008034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0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34A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825DAE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825DAE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825DAE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825DAE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825DAE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Footnote">
    <w:name w:val="CEA Footnote"/>
    <w:basedOn w:val="Normlny"/>
    <w:semiHidden/>
    <w:qFormat/>
    <w:rsid w:val="00825DAE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825DAE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825DAE"/>
    <w:rPr>
      <w:rFonts w:ascii="Verdana" w:hAnsi="Verdana"/>
      <w:smallCaps/>
      <w:sz w:val="19"/>
      <w:lang w:val="en-GB"/>
    </w:rPr>
  </w:style>
  <w:style w:type="paragraph" w:customStyle="1" w:styleId="CEAPressReleaseSubtitle">
    <w:name w:val="CEA Press Release Subtitle"/>
    <w:basedOn w:val="Normlny"/>
    <w:semiHidden/>
    <w:qFormat/>
    <w:rsid w:val="00825DAE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825DAE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paragraph" w:customStyle="1" w:styleId="CEASubjectLine">
    <w:name w:val="CEA Subject Line"/>
    <w:basedOn w:val="Normlny"/>
    <w:semiHidden/>
    <w:qFormat/>
    <w:rsid w:val="00825DAE"/>
    <w:rPr>
      <w:rFonts w:cs="Frutiger LT Std 55 Roman"/>
      <w:b/>
      <w:sz w:val="17"/>
      <w:szCs w:val="20"/>
    </w:rPr>
  </w:style>
  <w:style w:type="table" w:styleId="Mriekatabuky">
    <w:name w:val="Table Grid"/>
    <w:basedOn w:val="Normlnatabuka"/>
    <w:uiPriority w:val="59"/>
    <w:rsid w:val="0012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748E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48EE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30F3E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30F3E"/>
    <w:rPr>
      <w:rFonts w:ascii="Verdana" w:eastAsia="Times New Roman" w:hAnsi="Verdana" w:cs="Times New Roman"/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330F3E"/>
    <w:rPr>
      <w:vertAlign w:val="superscript"/>
    </w:rPr>
  </w:style>
  <w:style w:type="paragraph" w:customStyle="1" w:styleId="CM1">
    <w:name w:val="CM1"/>
    <w:basedOn w:val="Normlny"/>
    <w:next w:val="Normlny"/>
    <w:uiPriority w:val="99"/>
    <w:rsid w:val="00625041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HAnsi" w:hAnsi="Times New Roman"/>
      <w:sz w:val="24"/>
    </w:rPr>
  </w:style>
  <w:style w:type="paragraph" w:customStyle="1" w:styleId="CM3">
    <w:name w:val="CM3"/>
    <w:basedOn w:val="Normlny"/>
    <w:next w:val="Normlny"/>
    <w:uiPriority w:val="99"/>
    <w:rsid w:val="00625041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HAnsi" w:hAnsi="Times New Roman"/>
      <w:sz w:val="24"/>
    </w:rPr>
  </w:style>
  <w:style w:type="paragraph" w:styleId="Odsekzoznamu">
    <w:name w:val="List Paragraph"/>
    <w:basedOn w:val="Normlny"/>
    <w:uiPriority w:val="34"/>
    <w:qFormat/>
    <w:rsid w:val="00B030D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B6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6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6B76"/>
    <w:rPr>
      <w:rFonts w:ascii="Verdana" w:eastAsia="Times New Roman" w:hAnsi="Verdana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6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6B76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3B6B76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uranceeurop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75A-9402-4B30-B3A5-FCC1C0934D84}"/>
      </w:docPartPr>
      <w:docPartBody>
        <w:p w:rsidR="00427EDA" w:rsidRDefault="009C6847"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70"/>
    <w:rsid w:val="00067782"/>
    <w:rsid w:val="000F1CB6"/>
    <w:rsid w:val="00254CA6"/>
    <w:rsid w:val="002912E6"/>
    <w:rsid w:val="00343835"/>
    <w:rsid w:val="00427EDA"/>
    <w:rsid w:val="0057158E"/>
    <w:rsid w:val="00634188"/>
    <w:rsid w:val="00837816"/>
    <w:rsid w:val="009C6847"/>
    <w:rsid w:val="00A0179F"/>
    <w:rsid w:val="00A307CB"/>
    <w:rsid w:val="00AF50EC"/>
    <w:rsid w:val="00E02FC7"/>
    <w:rsid w:val="00E401F3"/>
    <w:rsid w:val="00E47E75"/>
    <w:rsid w:val="00F36970"/>
    <w:rsid w:val="00F633AE"/>
    <w:rsid w:val="00F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970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C68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7A2A1B97D27D6A4C90B6022E1624614C" ma:contentTypeVersion="23" ma:contentTypeDescription="Published Documents Content types for Insurance Europe" ma:contentTypeScope="" ma:versionID="4a4162a0ba2cac1c20994b0a19fbf2fb">
  <xsd:schema xmlns:xsd="http://www.w3.org/2001/XMLSchema" xmlns:xs="http://www.w3.org/2001/XMLSchema" xmlns:p="http://schemas.microsoft.com/office/2006/metadata/properties" xmlns:ns2="d352728d-c7aa-455d-bd83-40fe44122be8" targetNamespace="http://schemas.microsoft.com/office/2006/metadata/properties" ma:root="true" ma:fieldsID="a27679d9f9c8b495199064f15733cb20" ns2:_="">
    <xsd:import namespace="d352728d-c7aa-455d-bd83-40fe44122be8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728d-c7aa-455d-bd83-40fe44122be8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d352728d-c7aa-455d-bd83-40fe44122be8" xsi:nil="true"/>
    <Type_x0020_of_x0020_document xmlns="d352728d-c7aa-455d-bd83-40fe44122be8" xsi:nil="true"/>
    <Type_x0020_of_x0020_memo xmlns="d352728d-c7aa-455d-bd83-40fe44122be8" xsi:nil="true"/>
    <Uploads xmlns="d352728d-c7aa-455d-bd83-40fe44122be8" xsi:nil="true"/>
    <Leading_x0020_document xmlns="d352728d-c7aa-455d-bd83-40fe44122be8" xsi:nil="true"/>
    <Can_x0020_be_x0020_edited xmlns="d352728d-c7aa-455d-bd83-40fe44122be8">false</Can_x0020_be_x0020_edited>
    <AllowComments xmlns="d352728d-c7aa-455d-bd83-40fe44122be8">true</AllowComments>
    <Allow_x0020_uploads xmlns="d352728d-c7aa-455d-bd83-40fe44122be8" xsi:nil="true"/>
    <Display_x0020_validated_x0020_documents_x0020_library_x0020_button xmlns="d352728d-c7aa-455d-bd83-40fe44122be8">false</Display_x0020_validated_x0020_documents_x0020_library_x0020_button>
    <Validated xmlns="d352728d-c7aa-455d-bd83-40fe44122be8">false</Validated>
    <Feedback_x0020_type xmlns="d352728d-c7aa-455d-bd83-40fe44122be8" xsi:nil="true"/>
    <isAnnex xmlns="d352728d-c7aa-455d-bd83-40fe44122be8" xsi:nil="true"/>
    <ValidationComment xmlns="d352728d-c7aa-455d-bd83-40fe44122be8" xsi:nil="true"/>
    <Allow_x0020_comments xmlns="d352728d-c7aa-455d-bd83-40fe44122b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01E8E-1481-46B1-BF0E-CB584326E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2728d-c7aa-455d-bd83-40fe4412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485A1-11AA-442D-8577-727460E39C5A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352728d-c7aa-455d-bd83-40fe44122be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F0DC3C-DEE0-460C-B589-0465E6B44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27B13-D241-4323-B7A9-75B7AD1AA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1006</Words>
  <Characters>5740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Insurance Europe</Company>
  <LinksUpToDate>false</LinksUpToDate>
  <CharactersWithSpaces>6733</CharactersWithSpaces>
  <SharedDoc>false</SharedDoc>
  <HLinks>
    <vt:vector size="6" baseType="variant">
      <vt:variant>
        <vt:i4>524338</vt:i4>
      </vt:variant>
      <vt:variant>
        <vt:i4>8</vt:i4>
      </vt:variant>
      <vt:variant>
        <vt:i4>0</vt:i4>
      </vt:variant>
      <vt:variant>
        <vt:i4>5</vt:i4>
      </vt:variant>
      <vt:variant>
        <vt:lpwstr>mailto:info@insuranceeurope.eu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Europe note on the treatment of profit-sharing reserve schemes under Solvency II</dc:title>
  <dc:subject/>
  <dc:creator>Insurance Europe</dc:creator>
  <cp:keywords/>
  <cp:lastModifiedBy>jozef.bachnicek</cp:lastModifiedBy>
  <cp:revision>2</cp:revision>
  <dcterms:created xsi:type="dcterms:W3CDTF">2022-09-30T07:00:00Z</dcterms:created>
  <dcterms:modified xsi:type="dcterms:W3CDTF">2022-09-30T07:00:00Z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0x0101007A2A1B97D27D6A4C90B6022E1624614C</vt:lpwstr>
  </property>
  <property fmtid="{D5CDD505-2E9C-101B-9397-08002B2CF9AE}" pid="3" name="_dlc_DocIdItemGuid">
    <vt:lpwstr>53f2ccfc-cb5c-4b2a-a083-e4a7e98f292e</vt:lpwstr>
  </property>
</Properties>
</file>