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9B5" w14:textId="77777777" w:rsidR="009176FF" w:rsidRPr="004601EF" w:rsidRDefault="009176FF" w:rsidP="009176FF">
      <w:pPr>
        <w:spacing w:line="240" w:lineRule="auto"/>
        <w:jc w:val="left"/>
        <w:rPr>
          <w:rStyle w:val="CEAGraphTitle"/>
          <w:sz w:val="14"/>
          <w:szCs w:val="14"/>
        </w:rPr>
      </w:pPr>
    </w:p>
    <w:p w14:paraId="52A80B39" w14:textId="0B6AC66E" w:rsidR="0094748C" w:rsidRDefault="009263FF" w:rsidP="65A58EEF">
      <w:pPr>
        <w:rPr>
          <w:color w:val="002957"/>
          <w:sz w:val="22"/>
          <w:szCs w:val="22"/>
          <w:highlight w:val="yellow"/>
          <w:lang w:val="en-US"/>
        </w:rPr>
      </w:pPr>
      <w:r w:rsidRPr="65A58EEF">
        <w:rPr>
          <w:color w:val="002957"/>
          <w:sz w:val="22"/>
          <w:szCs w:val="22"/>
          <w:lang w:val="en-US"/>
        </w:rPr>
        <w:t xml:space="preserve">Insurance Europe </w:t>
      </w:r>
      <w:r w:rsidR="004601EF" w:rsidRPr="65A58EEF">
        <w:rPr>
          <w:color w:val="002957"/>
          <w:sz w:val="22"/>
          <w:szCs w:val="22"/>
          <w:lang w:val="en-US"/>
        </w:rPr>
        <w:t xml:space="preserve">key positions on </w:t>
      </w:r>
      <w:r w:rsidR="005E50CA" w:rsidRPr="65A58EEF">
        <w:rPr>
          <w:color w:val="002957"/>
          <w:sz w:val="22"/>
          <w:szCs w:val="22"/>
          <w:lang w:val="en-US"/>
        </w:rPr>
        <w:t>long-term business</w:t>
      </w:r>
      <w:r w:rsidR="00CB3813" w:rsidRPr="65A58EEF">
        <w:rPr>
          <w:color w:val="002957"/>
          <w:sz w:val="22"/>
          <w:szCs w:val="22"/>
          <w:lang w:val="en-US"/>
        </w:rPr>
        <w:t xml:space="preserve"> ahead of the </w:t>
      </w:r>
      <w:r w:rsidR="008E3C5C" w:rsidRPr="65A58EEF">
        <w:rPr>
          <w:color w:val="002957"/>
          <w:sz w:val="22"/>
          <w:szCs w:val="22"/>
          <w:lang w:val="en-US"/>
        </w:rPr>
        <w:t xml:space="preserve">EGBPI </w:t>
      </w:r>
      <w:r w:rsidR="00CB3813" w:rsidRPr="65A58EEF">
        <w:rPr>
          <w:color w:val="002957"/>
          <w:sz w:val="22"/>
          <w:szCs w:val="22"/>
          <w:lang w:val="en-US"/>
        </w:rPr>
        <w:t>meeting on 3</w:t>
      </w:r>
      <w:r w:rsidR="008E3C5C" w:rsidRPr="65A58EEF">
        <w:rPr>
          <w:color w:val="002957"/>
          <w:sz w:val="22"/>
          <w:szCs w:val="22"/>
          <w:lang w:val="en-US"/>
        </w:rPr>
        <w:t xml:space="preserve"> February</w:t>
      </w:r>
      <w:r w:rsidR="00985CB5" w:rsidRPr="65A58EEF">
        <w:rPr>
          <w:color w:val="002957"/>
          <w:sz w:val="22"/>
          <w:szCs w:val="22"/>
          <w:lang w:val="en-US"/>
        </w:rPr>
        <w:t xml:space="preserve">. </w:t>
      </w:r>
    </w:p>
    <w:p w14:paraId="1DE3CEAF" w14:textId="77777777" w:rsidR="00C34104" w:rsidRDefault="00C34104">
      <w:pPr>
        <w:rPr>
          <w:b/>
          <w:bCs/>
          <w:sz w:val="18"/>
          <w:szCs w:val="18"/>
        </w:rPr>
      </w:pPr>
    </w:p>
    <w:p w14:paraId="1CDA39AC" w14:textId="72649F7F" w:rsidR="00DF4C67" w:rsidRPr="004D16F1" w:rsidRDefault="00C34104">
      <w:pPr>
        <w:rPr>
          <w:b/>
          <w:bCs/>
          <w:color w:val="1F497D" w:themeColor="text2"/>
          <w:sz w:val="18"/>
          <w:szCs w:val="18"/>
        </w:rPr>
      </w:pPr>
      <w:r w:rsidRPr="004D16F1">
        <w:rPr>
          <w:b/>
          <w:bCs/>
          <w:color w:val="1F497D" w:themeColor="text2"/>
          <w:sz w:val="18"/>
          <w:szCs w:val="18"/>
        </w:rPr>
        <w:t>Key messages to convey</w:t>
      </w:r>
    </w:p>
    <w:p w14:paraId="1947C8CB" w14:textId="77777777" w:rsidR="00D9786D" w:rsidRPr="00D9786D" w:rsidRDefault="00D9786D" w:rsidP="00D9786D">
      <w:pPr>
        <w:rPr>
          <w:bCs/>
          <w:color w:val="002957"/>
          <w:sz w:val="22"/>
          <w:szCs w:val="22"/>
          <w:lang w:val="en-US"/>
        </w:rPr>
      </w:pPr>
    </w:p>
    <w:p w14:paraId="311E2196" w14:textId="77777777" w:rsidR="0079685A" w:rsidRPr="008D4106" w:rsidRDefault="0079685A" w:rsidP="0079685A">
      <w:pPr>
        <w:rPr>
          <w:b/>
          <w:bCs/>
          <w:u w:val="single"/>
        </w:rPr>
      </w:pPr>
      <w:r w:rsidRPr="008D4106">
        <w:rPr>
          <w:b/>
          <w:bCs/>
          <w:u w:val="single"/>
        </w:rPr>
        <w:t>Extrapolation of risk-free rates</w:t>
      </w:r>
    </w:p>
    <w:p w14:paraId="6BFB4F4E" w14:textId="77777777" w:rsidR="0079685A" w:rsidRDefault="0079685A" w:rsidP="0079685A">
      <w:pPr>
        <w:pStyle w:val="CEABullet-Level1"/>
      </w:pPr>
      <w:r w:rsidRPr="00C86FD6">
        <w:rPr>
          <w:b/>
          <w:bCs/>
        </w:rPr>
        <w:t>The EC’s proposals for changing the extrapolation methodology need a significantly different calibration than the one proposed by EIOPA</w:t>
      </w:r>
      <w:r>
        <w:t xml:space="preserve"> to avoid increasing the cost of providing long-term and guaranteed products to policyholders and increasing volatility.</w:t>
      </w:r>
    </w:p>
    <w:p w14:paraId="231E5F0B" w14:textId="77777777" w:rsidR="0079685A" w:rsidRDefault="0079685A" w:rsidP="0079685A">
      <w:pPr>
        <w:pStyle w:val="CEABullet-Level1"/>
        <w:numPr>
          <w:ilvl w:val="0"/>
          <w:numId w:val="0"/>
        </w:numPr>
        <w:ind w:left="720"/>
      </w:pPr>
    </w:p>
    <w:p w14:paraId="5F30FEA3" w14:textId="720DC48D" w:rsidR="0079685A" w:rsidRDefault="0079685A" w:rsidP="0079685A">
      <w:pPr>
        <w:pStyle w:val="CEABullet-Level1"/>
      </w:pPr>
      <w:r w:rsidRPr="00C86FD6">
        <w:rPr>
          <w:b/>
          <w:bCs/>
        </w:rPr>
        <w:t xml:space="preserve">The key “speed of convergence” parameter must be significantly increased to least 15% </w:t>
      </w:r>
      <w:r w:rsidR="00433347">
        <w:rPr>
          <w:b/>
          <w:bCs/>
        </w:rPr>
        <w:t xml:space="preserve">for the EURO </w:t>
      </w:r>
      <w:r w:rsidRPr="00C86FD6">
        <w:rPr>
          <w:b/>
          <w:bCs/>
        </w:rPr>
        <w:t>and to around 70% for SEK</w:t>
      </w:r>
      <w:r>
        <w:t xml:space="preserve"> to avoid excessive increases in the valuation of long-term liabilities and magnification of the artificial volatility to interest rate movements.</w:t>
      </w:r>
    </w:p>
    <w:p w14:paraId="75A5A4A7" w14:textId="77777777" w:rsidR="0079685A" w:rsidRDefault="0079685A" w:rsidP="0079685A">
      <w:pPr>
        <w:pStyle w:val="CEABullet-Level1"/>
        <w:numPr>
          <w:ilvl w:val="0"/>
          <w:numId w:val="0"/>
        </w:numPr>
      </w:pPr>
    </w:p>
    <w:p w14:paraId="6EAA9B05" w14:textId="77777777" w:rsidR="0079685A" w:rsidRDefault="0079685A" w:rsidP="0079685A">
      <w:pPr>
        <w:pStyle w:val="CEABullet-Level1"/>
      </w:pPr>
      <w:r>
        <w:rPr>
          <w:b/>
          <w:bCs/>
        </w:rPr>
        <w:t xml:space="preserve">The main extrapolation parameters including the convergence parameter, should be included in the Directive. </w:t>
      </w:r>
    </w:p>
    <w:p w14:paraId="5020E096" w14:textId="77777777" w:rsidR="0079685A" w:rsidRDefault="0079685A" w:rsidP="002D6C2C">
      <w:pPr>
        <w:rPr>
          <w:b/>
          <w:bCs/>
          <w:sz w:val="18"/>
          <w:szCs w:val="18"/>
          <w:u w:val="single"/>
        </w:rPr>
      </w:pPr>
    </w:p>
    <w:p w14:paraId="26859DD6" w14:textId="77777777" w:rsidR="00D93081" w:rsidRDefault="00D93081" w:rsidP="002D6C2C">
      <w:pPr>
        <w:rPr>
          <w:b/>
          <w:bCs/>
          <w:sz w:val="18"/>
          <w:szCs w:val="18"/>
          <w:u w:val="single"/>
        </w:rPr>
      </w:pPr>
    </w:p>
    <w:p w14:paraId="0B5BFB79" w14:textId="73C34D9E" w:rsidR="00181683" w:rsidRPr="002404CE" w:rsidRDefault="00745512" w:rsidP="002D6C2C">
      <w:pPr>
        <w:rPr>
          <w:b/>
          <w:bCs/>
          <w:sz w:val="18"/>
          <w:szCs w:val="18"/>
          <w:u w:val="single"/>
        </w:rPr>
      </w:pPr>
      <w:r w:rsidRPr="002404CE">
        <w:rPr>
          <w:b/>
          <w:bCs/>
          <w:sz w:val="18"/>
          <w:szCs w:val="18"/>
          <w:u w:val="single"/>
        </w:rPr>
        <w:t>Volatility adjustment</w:t>
      </w:r>
      <w:r w:rsidR="008E4EA1" w:rsidRPr="002404CE">
        <w:rPr>
          <w:b/>
          <w:bCs/>
          <w:sz w:val="18"/>
          <w:szCs w:val="18"/>
          <w:u w:val="single"/>
        </w:rPr>
        <w:t xml:space="preserve"> (VA)</w:t>
      </w:r>
      <w:r w:rsidR="00FE7F70" w:rsidRPr="002404CE">
        <w:rPr>
          <w:b/>
          <w:bCs/>
          <w:sz w:val="18"/>
          <w:szCs w:val="18"/>
          <w:u w:val="single"/>
        </w:rPr>
        <w:t xml:space="preserve"> </w:t>
      </w:r>
    </w:p>
    <w:p w14:paraId="4BC97C2A" w14:textId="07B06EE0" w:rsidR="008A2838" w:rsidRDefault="008A2838" w:rsidP="008A2838">
      <w:pPr>
        <w:pStyle w:val="CEABullet-Level1"/>
        <w:rPr>
          <w:lang w:val="en-US"/>
        </w:rPr>
      </w:pPr>
      <w:r w:rsidRPr="008E4EA1">
        <w:rPr>
          <w:b/>
          <w:bCs/>
          <w:lang w:val="en-US"/>
        </w:rPr>
        <w:t>The EC has proposed several important and necessary changes</w:t>
      </w:r>
      <w:r w:rsidRPr="00745512">
        <w:rPr>
          <w:lang w:val="en-US"/>
        </w:rPr>
        <w:t xml:space="preserve"> to the design and calibration of the </w:t>
      </w:r>
      <w:r w:rsidR="008E4EA1">
        <w:rPr>
          <w:lang w:val="en-US"/>
        </w:rPr>
        <w:t>VA</w:t>
      </w:r>
      <w:r>
        <w:rPr>
          <w:lang w:val="en-US"/>
        </w:rPr>
        <w:t xml:space="preserve">. </w:t>
      </w:r>
    </w:p>
    <w:p w14:paraId="7EC361E2" w14:textId="77777777" w:rsidR="00B276CD" w:rsidRPr="00E8525D" w:rsidRDefault="00B276CD" w:rsidP="00B276CD">
      <w:pPr>
        <w:pStyle w:val="CEABullet-Level2"/>
        <w:rPr>
          <w:lang w:val="en-US"/>
        </w:rPr>
      </w:pPr>
      <w:r>
        <w:rPr>
          <w:lang w:val="en-US"/>
        </w:rPr>
        <w:t>I</w:t>
      </w:r>
      <w:r w:rsidRPr="00E8525D">
        <w:rPr>
          <w:lang w:val="en-US"/>
        </w:rPr>
        <w:t>ncreasing the general application ratio</w:t>
      </w:r>
      <w:r>
        <w:rPr>
          <w:lang w:val="en-US"/>
        </w:rPr>
        <w:t xml:space="preserve"> (GAR) to 85%</w:t>
      </w:r>
    </w:p>
    <w:p w14:paraId="288F11F1" w14:textId="77777777" w:rsidR="00B276CD" w:rsidRPr="00E8525D" w:rsidRDefault="00B276CD" w:rsidP="00B276CD">
      <w:pPr>
        <w:pStyle w:val="CEABullet-Level2"/>
        <w:rPr>
          <w:lang w:val="en-US"/>
        </w:rPr>
      </w:pPr>
      <w:r>
        <w:rPr>
          <w:lang w:val="en-US"/>
        </w:rPr>
        <w:t xml:space="preserve">Using </w:t>
      </w:r>
      <w:r w:rsidRPr="00E8525D">
        <w:rPr>
          <w:lang w:val="en-US"/>
        </w:rPr>
        <w:t>an undiluted European reference portfolio</w:t>
      </w:r>
    </w:p>
    <w:p w14:paraId="13B00154" w14:textId="169A31DD" w:rsidR="00B276CD" w:rsidRDefault="00B276CD" w:rsidP="00B276CD">
      <w:pPr>
        <w:pStyle w:val="CEABullet-Level2"/>
        <w:rPr>
          <w:lang w:val="en-US"/>
        </w:rPr>
      </w:pPr>
      <w:r>
        <w:rPr>
          <w:lang w:val="en-US"/>
        </w:rPr>
        <w:t>The Macro-VA component</w:t>
      </w:r>
    </w:p>
    <w:p w14:paraId="24343ED0" w14:textId="77777777" w:rsidR="00FF3A91" w:rsidRPr="00B276CD" w:rsidRDefault="00B276CD" w:rsidP="00FF3A91">
      <w:pPr>
        <w:pStyle w:val="CEABullet-Level2"/>
        <w:rPr>
          <w:lang w:val="en-US"/>
        </w:rPr>
      </w:pPr>
      <w:r w:rsidRPr="00FF3A91">
        <w:rPr>
          <w:lang w:val="en-US"/>
        </w:rPr>
        <w:t xml:space="preserve">Inclusion of an </w:t>
      </w:r>
      <w:r w:rsidR="00FF3A91" w:rsidRPr="005C4B10">
        <w:rPr>
          <w:lang w:val="en-US"/>
        </w:rPr>
        <w:t>overshooting ratio adjustment</w:t>
      </w:r>
      <w:r w:rsidR="00FF3A91">
        <w:rPr>
          <w:lang w:val="en-US"/>
        </w:rPr>
        <w:t xml:space="preserve"> (CSSR).</w:t>
      </w:r>
    </w:p>
    <w:p w14:paraId="4148158F" w14:textId="035A6AE3" w:rsidR="00A717F5" w:rsidRPr="00FF3A91" w:rsidRDefault="00A717F5" w:rsidP="00FF3A91">
      <w:pPr>
        <w:pStyle w:val="CEABullet-Level2"/>
        <w:numPr>
          <w:ilvl w:val="0"/>
          <w:numId w:val="0"/>
        </w:numPr>
        <w:ind w:left="720"/>
        <w:rPr>
          <w:lang w:val="en-US"/>
        </w:rPr>
      </w:pPr>
    </w:p>
    <w:p w14:paraId="4B396101" w14:textId="5CC4EFA6" w:rsidR="008A2838" w:rsidRPr="00DF00B6" w:rsidRDefault="008A7C0B" w:rsidP="008A2838">
      <w:pPr>
        <w:pStyle w:val="CEABullet-Level1"/>
        <w:rPr>
          <w:lang w:val="en-US"/>
        </w:rPr>
      </w:pPr>
      <w:r>
        <w:rPr>
          <w:b/>
          <w:bCs/>
          <w:lang w:val="en-US"/>
        </w:rPr>
        <w:t>However, t</w:t>
      </w:r>
      <w:r w:rsidR="008A2838" w:rsidRPr="008E4EA1">
        <w:rPr>
          <w:b/>
          <w:bCs/>
          <w:lang w:val="en-US"/>
        </w:rPr>
        <w:t>here should be no change the risk correction methodology</w:t>
      </w:r>
      <w:r w:rsidR="005D3FDE">
        <w:rPr>
          <w:lang w:val="en-US"/>
        </w:rPr>
        <w:t xml:space="preserve">. EIOPA’s recommendation (which the EC has noted it intends to follow) </w:t>
      </w:r>
      <w:r w:rsidR="00092A65">
        <w:rPr>
          <w:lang w:val="en-US"/>
        </w:rPr>
        <w:t xml:space="preserve">is not justified on a theoretical basis nor supported by the actual data, which shows the current calibrations are already conservative. </w:t>
      </w:r>
      <w:r w:rsidR="00EA3594">
        <w:rPr>
          <w:lang w:val="en-US"/>
        </w:rPr>
        <w:t>Most</w:t>
      </w:r>
      <w:r w:rsidR="009F5D04">
        <w:rPr>
          <w:lang w:val="en-US"/>
        </w:rPr>
        <w:t xml:space="preserve"> </w:t>
      </w:r>
      <w:r w:rsidR="00EA3594">
        <w:rPr>
          <w:lang w:val="en-US"/>
        </w:rPr>
        <w:t xml:space="preserve">importantly, </w:t>
      </w:r>
      <w:r w:rsidR="009F5D04">
        <w:rPr>
          <w:lang w:val="en-US"/>
        </w:rPr>
        <w:t xml:space="preserve">EIOPA’s proposed change </w:t>
      </w:r>
      <w:r w:rsidR="005D3FDE">
        <w:rPr>
          <w:lang w:val="en-US"/>
        </w:rPr>
        <w:t xml:space="preserve">would </w:t>
      </w:r>
      <w:r w:rsidR="009F5D04">
        <w:rPr>
          <w:lang w:val="en-US"/>
        </w:rPr>
        <w:t>also</w:t>
      </w:r>
      <w:r w:rsidR="005D3FDE">
        <w:rPr>
          <w:lang w:val="en-US"/>
        </w:rPr>
        <w:t xml:space="preserve"> </w:t>
      </w:r>
      <w:r w:rsidR="00842175">
        <w:rPr>
          <w:lang w:val="en-US"/>
        </w:rPr>
        <w:t xml:space="preserve">undermine the improvements </w:t>
      </w:r>
      <w:r w:rsidR="008E4EA1">
        <w:rPr>
          <w:lang w:val="en-US"/>
        </w:rPr>
        <w:t xml:space="preserve">from the above changes, particularly </w:t>
      </w:r>
      <w:r w:rsidR="00842175">
        <w:rPr>
          <w:lang w:val="en-US"/>
        </w:rPr>
        <w:t>in extreme market environments</w:t>
      </w:r>
      <w:r w:rsidR="008E4EA1">
        <w:rPr>
          <w:lang w:val="en-US"/>
        </w:rPr>
        <w:t xml:space="preserve"> when the VA is most needed</w:t>
      </w:r>
      <w:r w:rsidR="00613331">
        <w:rPr>
          <w:lang w:val="en-US"/>
        </w:rPr>
        <w:t xml:space="preserve"> resulting in increased procycl</w:t>
      </w:r>
      <w:r w:rsidR="004253E6">
        <w:rPr>
          <w:lang w:val="en-US"/>
        </w:rPr>
        <w:t xml:space="preserve">icality </w:t>
      </w:r>
      <w:r w:rsidR="007F254A">
        <w:rPr>
          <w:lang w:val="en-US"/>
        </w:rPr>
        <w:t>and barriers for long-term products and investments</w:t>
      </w:r>
      <w:r w:rsidR="008E4EA1">
        <w:rPr>
          <w:lang w:val="en-US"/>
        </w:rPr>
        <w:t>.</w:t>
      </w:r>
    </w:p>
    <w:p w14:paraId="3EC71C65" w14:textId="77777777" w:rsidR="008E4EA1" w:rsidRDefault="008E4EA1" w:rsidP="008E4EA1">
      <w:pPr>
        <w:pStyle w:val="CEABullet-Level1"/>
        <w:numPr>
          <w:ilvl w:val="0"/>
          <w:numId w:val="0"/>
        </w:numPr>
        <w:ind w:left="720"/>
      </w:pPr>
    </w:p>
    <w:p w14:paraId="1924E476" w14:textId="0827F575" w:rsidR="00FC2110" w:rsidRPr="00002195" w:rsidRDefault="00C26BA0" w:rsidP="008A2838">
      <w:pPr>
        <w:pStyle w:val="CEABullet-Level1"/>
        <w:rPr>
          <w:b/>
          <w:bCs/>
        </w:rPr>
      </w:pPr>
      <w:r w:rsidRPr="00D754EE">
        <w:rPr>
          <w:b/>
          <w:bCs/>
        </w:rPr>
        <w:t>There should be no adjustments for illiquidity</w:t>
      </w:r>
      <w:r w:rsidR="00D754EE" w:rsidRPr="00D754EE">
        <w:rPr>
          <w:b/>
          <w:bCs/>
        </w:rPr>
        <w:t xml:space="preserve"> of liabilities in the VA</w:t>
      </w:r>
      <w:r w:rsidR="00D754EE">
        <w:rPr>
          <w:b/>
          <w:bCs/>
        </w:rPr>
        <w:t xml:space="preserve">. </w:t>
      </w:r>
      <w:r w:rsidR="00D754EE" w:rsidRPr="00D754EE">
        <w:t>EIOPA</w:t>
      </w:r>
      <w:r w:rsidR="00D754EE">
        <w:t xml:space="preserve">’s </w:t>
      </w:r>
      <w:r w:rsidR="00BA6027">
        <w:t xml:space="preserve">recommendations </w:t>
      </w:r>
      <w:r w:rsidR="00A92EB4">
        <w:t xml:space="preserve">were </w:t>
      </w:r>
      <w:r w:rsidR="00BA6027">
        <w:t>not proposed by the EC</w:t>
      </w:r>
      <w:r w:rsidR="00A92EB4">
        <w:t xml:space="preserve"> for good reason</w:t>
      </w:r>
      <w:r w:rsidR="000663CF">
        <w:t>s</w:t>
      </w:r>
      <w:r w:rsidR="00A92EB4">
        <w:t xml:space="preserve"> but there is still some </w:t>
      </w:r>
      <w:r w:rsidR="000663CF">
        <w:t>discussion</w:t>
      </w:r>
      <w:r w:rsidR="00AC0F48">
        <w:t xml:space="preserve"> from certain other parties</w:t>
      </w:r>
      <w:r w:rsidR="000663CF">
        <w:t>. EIOPA’s proposal</w:t>
      </w:r>
      <w:r w:rsidR="0076462A">
        <w:t xml:space="preserve"> should not be taken forward because </w:t>
      </w:r>
      <w:r w:rsidR="003969E8">
        <w:t>it</w:t>
      </w:r>
      <w:r w:rsidR="0076462A">
        <w:t>:</w:t>
      </w:r>
      <w:r w:rsidR="00BA6027" w:rsidDel="000663CF">
        <w:t xml:space="preserve"> </w:t>
      </w:r>
    </w:p>
    <w:p w14:paraId="5D4B92A2" w14:textId="3A01B1A4" w:rsidR="000B5D04" w:rsidRPr="00002195" w:rsidRDefault="003969E8" w:rsidP="000468B4">
      <w:pPr>
        <w:pStyle w:val="CEABullet-Level2"/>
        <w:rPr>
          <w:b/>
          <w:bCs/>
        </w:rPr>
      </w:pPr>
      <w:r>
        <w:rPr>
          <w:b/>
          <w:bCs/>
        </w:rPr>
        <w:t>Is u</w:t>
      </w:r>
      <w:r w:rsidR="003321D2" w:rsidRPr="00002195">
        <w:rPr>
          <w:b/>
          <w:bCs/>
        </w:rPr>
        <w:t>nnecessary</w:t>
      </w:r>
      <w:r w:rsidR="005648D8">
        <w:t xml:space="preserve">: </w:t>
      </w:r>
      <w:r w:rsidR="00055CF6">
        <w:t>The risks relating to potential illiquidity</w:t>
      </w:r>
      <w:r w:rsidR="005648D8">
        <w:t xml:space="preserve"> </w:t>
      </w:r>
      <w:r w:rsidR="00CD6147">
        <w:t xml:space="preserve">concerns are already covered by </w:t>
      </w:r>
      <w:r w:rsidR="007B776B">
        <w:t xml:space="preserve">the capital charges </w:t>
      </w:r>
      <w:r w:rsidR="000B5D04">
        <w:t>for scenarios</w:t>
      </w:r>
      <w:r w:rsidR="00E12091">
        <w:t>,</w:t>
      </w:r>
      <w:r w:rsidR="000B5D04">
        <w:t xml:space="preserve"> such as mass-lapse</w:t>
      </w:r>
      <w:r w:rsidR="004214F1">
        <w:t>.</w:t>
      </w:r>
      <w:r w:rsidR="00326EB6" w:rsidRPr="00326EB6">
        <w:t xml:space="preserve"> </w:t>
      </w:r>
      <w:r w:rsidR="00326EB6">
        <w:t>Note</w:t>
      </w:r>
      <w:r w:rsidR="00241715">
        <w:t xml:space="preserve"> tha</w:t>
      </w:r>
      <w:r w:rsidR="00AC0F48">
        <w:t>t</w:t>
      </w:r>
      <w:r w:rsidR="00241715">
        <w:t xml:space="preserve"> </w:t>
      </w:r>
      <w:r w:rsidR="00AC0F48">
        <w:t>EIOPA’s proposal</w:t>
      </w:r>
      <w:r w:rsidR="00326EB6">
        <w:t xml:space="preserve"> would have very little impact during “normal” times and </w:t>
      </w:r>
      <w:r w:rsidR="00DA3DCF">
        <w:t>would</w:t>
      </w:r>
      <w:r w:rsidR="00326EB6">
        <w:t xml:space="preserve"> not </w:t>
      </w:r>
      <w:r w:rsidR="00DA3DCF">
        <w:t xml:space="preserve">be effective or </w:t>
      </w:r>
      <w:r w:rsidR="00326EB6">
        <w:t>needed</w:t>
      </w:r>
      <w:r w:rsidR="003D063E">
        <w:t xml:space="preserve"> to </w:t>
      </w:r>
      <w:r w:rsidR="00DA3DCF">
        <w:t>prevent insurers offering un</w:t>
      </w:r>
      <w:r w:rsidR="00C56987">
        <w:t xml:space="preserve">sustainable guarantees </w:t>
      </w:r>
      <w:r w:rsidR="009B5052">
        <w:t xml:space="preserve">– there are many other aspects of the SII framework </w:t>
      </w:r>
      <w:r w:rsidR="006928EC">
        <w:t>to</w:t>
      </w:r>
      <w:r w:rsidR="009B5052">
        <w:t xml:space="preserve"> prevent this</w:t>
      </w:r>
      <w:r w:rsidR="006928EC">
        <w:t xml:space="preserve"> already</w:t>
      </w:r>
      <w:r w:rsidR="009B5052">
        <w:t>.</w:t>
      </w:r>
    </w:p>
    <w:p w14:paraId="3F39C139" w14:textId="77777777" w:rsidR="00326EB6" w:rsidRPr="004973B5" w:rsidRDefault="00326EB6" w:rsidP="000468B4">
      <w:pPr>
        <w:pStyle w:val="CEABullet-Level2"/>
        <w:rPr>
          <w:b/>
          <w:bCs/>
        </w:rPr>
      </w:pPr>
      <w:r>
        <w:rPr>
          <w:b/>
          <w:bCs/>
        </w:rPr>
        <w:t xml:space="preserve">Would reduce effectiveness of VA </w:t>
      </w:r>
      <w:r>
        <w:t xml:space="preserve">because it would lower the VA that is applied during a crisis – when it is most needed to prevent procyclicality and artificial volatility.  </w:t>
      </w:r>
    </w:p>
    <w:p w14:paraId="39FC6C2A" w14:textId="5AACB8BB" w:rsidR="002C19EC" w:rsidRPr="002C19EC" w:rsidRDefault="003969E8" w:rsidP="000468B4">
      <w:pPr>
        <w:pStyle w:val="CEABullet-Level2"/>
        <w:rPr>
          <w:b/>
          <w:bCs/>
        </w:rPr>
      </w:pPr>
      <w:r>
        <w:rPr>
          <w:b/>
          <w:bCs/>
        </w:rPr>
        <w:t xml:space="preserve">Is </w:t>
      </w:r>
      <w:r w:rsidR="00BA6027" w:rsidRPr="00002195">
        <w:rPr>
          <w:b/>
        </w:rPr>
        <w:t>ill-conceived</w:t>
      </w:r>
      <w:r w:rsidR="00F21F6E" w:rsidRPr="00002195">
        <w:rPr>
          <w:b/>
        </w:rPr>
        <w:t>/designed</w:t>
      </w:r>
      <w:r w:rsidR="00BA6027">
        <w:t xml:space="preserve"> </w:t>
      </w:r>
      <w:r w:rsidR="00660E29">
        <w:t>–</w:t>
      </w:r>
      <w:r w:rsidR="00FC2110">
        <w:t xml:space="preserve"> </w:t>
      </w:r>
      <w:r w:rsidR="00660E29">
        <w:t xml:space="preserve">EIOPA’s </w:t>
      </w:r>
      <w:r w:rsidR="000A337D">
        <w:t xml:space="preserve">proposed </w:t>
      </w:r>
      <w:r w:rsidR="00660E29">
        <w:t xml:space="preserve">ratio </w:t>
      </w:r>
      <w:r w:rsidR="00D9325F">
        <w:t>only consider</w:t>
      </w:r>
      <w:r w:rsidR="00F21F6E">
        <w:t>s</w:t>
      </w:r>
      <w:r w:rsidR="00D9325F">
        <w:t xml:space="preserve"> the need for liquidity </w:t>
      </w:r>
      <w:r w:rsidR="00426F09">
        <w:t xml:space="preserve">from the liabilities and </w:t>
      </w:r>
      <w:r w:rsidR="00696AB7">
        <w:t>ignore</w:t>
      </w:r>
      <w:r w:rsidR="00660E29">
        <w:t>s</w:t>
      </w:r>
      <w:r w:rsidR="00696AB7">
        <w:t xml:space="preserve"> the available liquidity</w:t>
      </w:r>
      <w:r w:rsidR="000A337D">
        <w:t>. This does not give a valid or useful measure of illiquidity.</w:t>
      </w:r>
      <w:r w:rsidR="00BA6027">
        <w:t xml:space="preserve"> </w:t>
      </w:r>
      <w:r w:rsidR="00B53F91">
        <w:t xml:space="preserve">All </w:t>
      </w:r>
      <w:r w:rsidR="00C34B6C">
        <w:t xml:space="preserve">of </w:t>
      </w:r>
      <w:r w:rsidR="00B53F91">
        <w:t>EIOPA’s work on liquidity measurement and reporting (</w:t>
      </w:r>
      <w:proofErr w:type="spellStart"/>
      <w:proofErr w:type="gramStart"/>
      <w:r w:rsidR="00B53F91">
        <w:t>eg</w:t>
      </w:r>
      <w:proofErr w:type="spellEnd"/>
      <w:proofErr w:type="gramEnd"/>
      <w:r w:rsidR="00B53F91">
        <w:t xml:space="preserve"> on their ad hoc reporting with NSAs and </w:t>
      </w:r>
      <w:r w:rsidR="00CE1C20">
        <w:t xml:space="preserve">their technical specifications for the liquidity stress test) </w:t>
      </w:r>
      <w:r w:rsidR="00B53F91">
        <w:t xml:space="preserve">recognises </w:t>
      </w:r>
      <w:r w:rsidR="00CE1C20">
        <w:t>the</w:t>
      </w:r>
      <w:r w:rsidR="00B53F91">
        <w:t xml:space="preserve"> importance of including both</w:t>
      </w:r>
      <w:r w:rsidR="00660E29">
        <w:t xml:space="preserve"> </w:t>
      </w:r>
      <w:r w:rsidR="00CE1C20">
        <w:t xml:space="preserve">liquidity needs and liquidity </w:t>
      </w:r>
      <w:r w:rsidR="008358EC">
        <w:t xml:space="preserve">sources </w:t>
      </w:r>
      <w:r w:rsidR="003826B7">
        <w:t xml:space="preserve">in any liquidity measurement </w:t>
      </w:r>
      <w:r w:rsidR="00CE1C20">
        <w:t>– as does also all the IAIS work on this topic</w:t>
      </w:r>
      <w:r w:rsidR="002C19EC">
        <w:t>.</w:t>
      </w:r>
    </w:p>
    <w:p w14:paraId="53099A9A" w14:textId="7F5181BD" w:rsidR="005579D0" w:rsidRDefault="005579D0" w:rsidP="000468B4">
      <w:pPr>
        <w:pStyle w:val="CEABullet-Level2"/>
        <w:rPr>
          <w:b/>
          <w:bCs/>
        </w:rPr>
      </w:pPr>
      <w:r w:rsidRPr="0086058C">
        <w:rPr>
          <w:b/>
          <w:bCs/>
        </w:rPr>
        <w:t>Adds complexity</w:t>
      </w:r>
    </w:p>
    <w:p w14:paraId="32FFD412" w14:textId="76588611" w:rsidR="00C86FD6" w:rsidRDefault="00C86FD6" w:rsidP="00C86FD6">
      <w:pPr>
        <w:pStyle w:val="CEABullet-Level1"/>
        <w:numPr>
          <w:ilvl w:val="0"/>
          <w:numId w:val="0"/>
        </w:numPr>
        <w:ind w:left="720" w:hanging="360"/>
      </w:pPr>
    </w:p>
    <w:p w14:paraId="53D34C3B" w14:textId="77777777" w:rsidR="007D7D9B" w:rsidRDefault="007D7D9B" w:rsidP="00C86FD6">
      <w:pPr>
        <w:pStyle w:val="CEABullet-Level1"/>
        <w:numPr>
          <w:ilvl w:val="0"/>
          <w:numId w:val="0"/>
        </w:numPr>
        <w:ind w:left="720" w:hanging="360"/>
      </w:pPr>
    </w:p>
    <w:p w14:paraId="5A46D540" w14:textId="77777777" w:rsidR="00D93081" w:rsidRDefault="00D93081" w:rsidP="00D93081">
      <w:pPr>
        <w:pStyle w:val="Odsekzoznamu"/>
        <w:shd w:val="clear" w:color="auto" w:fill="FFFFFF" w:themeFill="background1"/>
        <w:rPr>
          <w:rFonts w:cs="Segoe UI"/>
          <w:color w:val="242424"/>
          <w:szCs w:val="17"/>
          <w:lang w:eastAsia="en-GB"/>
        </w:rPr>
      </w:pPr>
    </w:p>
    <w:p w14:paraId="6A6FECD6" w14:textId="50BFE43D" w:rsidR="00D93081" w:rsidRPr="00D93081" w:rsidRDefault="00D93081" w:rsidP="00D93081">
      <w:pPr>
        <w:shd w:val="clear" w:color="auto" w:fill="FFFFFF" w:themeFill="background1"/>
        <w:rPr>
          <w:rFonts w:cs="Segoe UI"/>
          <w:b/>
          <w:bCs/>
          <w:color w:val="242424"/>
          <w:szCs w:val="17"/>
          <w:u w:val="single"/>
          <w:lang w:eastAsia="en-GB"/>
        </w:rPr>
      </w:pPr>
      <w:r w:rsidRPr="00D93081">
        <w:rPr>
          <w:rFonts w:cs="Segoe UI"/>
          <w:b/>
          <w:bCs/>
          <w:color w:val="242424"/>
          <w:szCs w:val="17"/>
          <w:u w:val="single"/>
          <w:lang w:eastAsia="en-GB"/>
        </w:rPr>
        <w:t>Risk Margin</w:t>
      </w:r>
    </w:p>
    <w:p w14:paraId="720BCF82" w14:textId="77777777" w:rsidR="00B51DDC" w:rsidRDefault="00D93081" w:rsidP="00D93081">
      <w:pPr>
        <w:pStyle w:val="CEABullet-Level1"/>
      </w:pPr>
      <w:r w:rsidRPr="00B51DDC" w:rsidDel="00DB2810">
        <w:rPr>
          <w:b/>
          <w:bCs/>
        </w:rPr>
        <w:t xml:space="preserve">The </w:t>
      </w:r>
      <w:r w:rsidRPr="00B51DDC">
        <w:rPr>
          <w:b/>
          <w:bCs/>
        </w:rPr>
        <w:t>EC’s proposals to introduce a lambda parameter and reduce the cost of capital are welcome</w:t>
      </w:r>
      <w:r w:rsidRPr="00F273A3">
        <w:t xml:space="preserve"> and needed because they help reduce the unnecessarily high costs of long-term liabilities and reduce volatility. </w:t>
      </w:r>
    </w:p>
    <w:p w14:paraId="62DDBFDB" w14:textId="6E3C6141" w:rsidR="00D93081" w:rsidRPr="00F273A3" w:rsidRDefault="00D93081" w:rsidP="00D93081">
      <w:pPr>
        <w:pStyle w:val="CEABullet-Level1"/>
      </w:pPr>
      <w:r w:rsidRPr="009139D2">
        <w:rPr>
          <w:b/>
          <w:bCs/>
        </w:rPr>
        <w:t xml:space="preserve">Further improvements would also be </w:t>
      </w:r>
      <w:r w:rsidR="001202ED" w:rsidRPr="009139D2">
        <w:rPr>
          <w:b/>
          <w:bCs/>
        </w:rPr>
        <w:t xml:space="preserve">technically </w:t>
      </w:r>
      <w:r w:rsidRPr="009139D2">
        <w:rPr>
          <w:b/>
          <w:bCs/>
        </w:rPr>
        <w:t>justified</w:t>
      </w:r>
      <w:r w:rsidR="001202ED">
        <w:t xml:space="preserve"> </w:t>
      </w:r>
      <w:r w:rsidR="00E074F0">
        <w:t>and can be achieved</w:t>
      </w:r>
      <w:r w:rsidR="009139D2">
        <w:t xml:space="preserve"> through</w:t>
      </w:r>
      <w:r w:rsidR="009139D2" w:rsidRPr="009139D2">
        <w:t xml:space="preserve"> an appropriate combination of reducing the cost of capital</w:t>
      </w:r>
      <w:r w:rsidR="00C71F22">
        <w:t xml:space="preserve"> rate</w:t>
      </w:r>
      <w:r w:rsidR="009139D2" w:rsidRPr="009139D2">
        <w:t>, recalibration of the proposed lambda</w:t>
      </w:r>
      <w:r w:rsidR="003A3050">
        <w:t xml:space="preserve"> parameter </w:t>
      </w:r>
      <w:r w:rsidR="009139D2" w:rsidRPr="009139D2">
        <w:t>and allowing for group diversification</w:t>
      </w:r>
      <w:r w:rsidRPr="00F273A3" w:rsidDel="00DB2810">
        <w:t>.</w:t>
      </w:r>
    </w:p>
    <w:p w14:paraId="701626E6" w14:textId="77777777" w:rsidR="00D93081" w:rsidRPr="005E0C30" w:rsidRDefault="00D93081" w:rsidP="00D93081">
      <w:pPr>
        <w:pStyle w:val="CEABullet-Level1"/>
        <w:numPr>
          <w:ilvl w:val="0"/>
          <w:numId w:val="0"/>
        </w:numPr>
        <w:spacing w:line="259" w:lineRule="auto"/>
        <w:rPr>
          <w:sz w:val="4"/>
          <w:szCs w:val="8"/>
        </w:rPr>
      </w:pPr>
    </w:p>
    <w:p w14:paraId="490622FF" w14:textId="77777777" w:rsidR="009139D2" w:rsidRDefault="009139D2" w:rsidP="00D93081">
      <w:pPr>
        <w:pStyle w:val="CEABullet-Level1"/>
        <w:numPr>
          <w:ilvl w:val="0"/>
          <w:numId w:val="0"/>
        </w:numPr>
        <w:spacing w:line="259" w:lineRule="auto"/>
        <w:ind w:left="360"/>
        <w:rPr>
          <w:szCs w:val="17"/>
        </w:rPr>
      </w:pPr>
    </w:p>
    <w:p w14:paraId="61341119" w14:textId="77777777" w:rsidR="007D7D9B" w:rsidRDefault="007D7D9B" w:rsidP="00D93081">
      <w:pPr>
        <w:pStyle w:val="CEABullet-Level1"/>
        <w:numPr>
          <w:ilvl w:val="0"/>
          <w:numId w:val="0"/>
        </w:numPr>
        <w:spacing w:line="259" w:lineRule="auto"/>
        <w:ind w:left="360"/>
        <w:rPr>
          <w:szCs w:val="17"/>
        </w:rPr>
      </w:pPr>
    </w:p>
    <w:p w14:paraId="38B64D5E" w14:textId="77777777" w:rsidR="00C71F22" w:rsidRDefault="00C71F22" w:rsidP="00C71F22">
      <w:pPr>
        <w:shd w:val="clear" w:color="auto" w:fill="FFFFFF" w:themeFill="background1"/>
        <w:rPr>
          <w:rFonts w:cs="Segoe UI"/>
          <w:b/>
          <w:bCs/>
          <w:color w:val="242424"/>
          <w:szCs w:val="17"/>
          <w:u w:val="single"/>
          <w:lang w:eastAsia="en-GB"/>
        </w:rPr>
      </w:pPr>
    </w:p>
    <w:p w14:paraId="44A249FA" w14:textId="3C8AED17" w:rsidR="009139D2" w:rsidRPr="00C71F22" w:rsidRDefault="009139D2" w:rsidP="00C71F22">
      <w:pPr>
        <w:shd w:val="clear" w:color="auto" w:fill="FFFFFF" w:themeFill="background1"/>
        <w:rPr>
          <w:rFonts w:cs="Segoe UI"/>
          <w:b/>
          <w:bCs/>
          <w:color w:val="242424"/>
          <w:szCs w:val="17"/>
          <w:u w:val="single"/>
          <w:lang w:eastAsia="en-GB"/>
        </w:rPr>
      </w:pPr>
      <w:r w:rsidRPr="00C71F22">
        <w:rPr>
          <w:rFonts w:cs="Segoe UI"/>
          <w:b/>
          <w:bCs/>
          <w:color w:val="242424"/>
          <w:szCs w:val="17"/>
          <w:u w:val="single"/>
          <w:lang w:eastAsia="en-GB"/>
        </w:rPr>
        <w:t>Interest Rate Risk</w:t>
      </w:r>
    </w:p>
    <w:p w14:paraId="2184A1B8" w14:textId="1AE112CC" w:rsidR="00352AE5" w:rsidRPr="00352AE5" w:rsidRDefault="00352AE5" w:rsidP="003A3050">
      <w:pPr>
        <w:pStyle w:val="CEABullet-Level1"/>
      </w:pPr>
      <w:r>
        <w:rPr>
          <w:szCs w:val="17"/>
        </w:rPr>
        <w:t>The industry supports a change to the calculation of the interest rate risk submodule to reflect the reality of low and negative interest rate environments.</w:t>
      </w:r>
    </w:p>
    <w:p w14:paraId="2F284C1B" w14:textId="77777777" w:rsidR="007544B4" w:rsidRDefault="007544B4" w:rsidP="007544B4">
      <w:pPr>
        <w:pStyle w:val="CEABullet-Level1"/>
      </w:pPr>
      <w:r w:rsidRPr="007D7D9B">
        <w:rPr>
          <w:b/>
          <w:bCs/>
          <w:szCs w:val="17"/>
        </w:rPr>
        <w:t>The EC proposal use the agreed Solvency II extrapolation approach to determine the illiquid part of the shocked interest rate curve is necessary and welcome</w:t>
      </w:r>
      <w:r>
        <w:rPr>
          <w:szCs w:val="17"/>
        </w:rPr>
        <w:t xml:space="preserve"> to make the SCR calculation </w:t>
      </w:r>
      <w:r w:rsidRPr="00F273A3">
        <w:rPr>
          <w:szCs w:val="17"/>
        </w:rPr>
        <w:t>consistent with how long-term interest rates (beyond the liquid part of the curve) will change under extreme downward interest-rate scenarios.</w:t>
      </w:r>
    </w:p>
    <w:p w14:paraId="135DCECA" w14:textId="3E5200AB" w:rsidR="003A3050" w:rsidRPr="003A3050" w:rsidRDefault="00CD601C" w:rsidP="003A3050">
      <w:pPr>
        <w:pStyle w:val="CEABullet-Level1"/>
      </w:pPr>
      <w:r w:rsidRPr="007D7D9B">
        <w:rPr>
          <w:b/>
          <w:bCs/>
          <w:szCs w:val="17"/>
        </w:rPr>
        <w:t>A change is needed to EIOPA’s proposed methodology/calibration to avoid excessive impacts on the liquid part of the curve</w:t>
      </w:r>
      <w:r w:rsidR="00352AE5">
        <w:rPr>
          <w:szCs w:val="17"/>
        </w:rPr>
        <w:t xml:space="preserve"> in </w:t>
      </w:r>
      <w:r w:rsidR="006B5C3A">
        <w:rPr>
          <w:szCs w:val="17"/>
        </w:rPr>
        <w:t xml:space="preserve">very low interest rate </w:t>
      </w:r>
      <w:r w:rsidR="00352AE5">
        <w:rPr>
          <w:szCs w:val="17"/>
        </w:rPr>
        <w:t>environments</w:t>
      </w:r>
      <w:r w:rsidRPr="00F273A3">
        <w:rPr>
          <w:szCs w:val="17"/>
        </w:rPr>
        <w:t>.</w:t>
      </w:r>
      <w:r>
        <w:rPr>
          <w:szCs w:val="17"/>
        </w:rPr>
        <w:t xml:space="preserve"> </w:t>
      </w:r>
    </w:p>
    <w:p w14:paraId="39060BBB" w14:textId="77777777" w:rsidR="009139D2" w:rsidRDefault="009139D2" w:rsidP="00D93081">
      <w:pPr>
        <w:pStyle w:val="CEABullet-Level1"/>
        <w:numPr>
          <w:ilvl w:val="0"/>
          <w:numId w:val="0"/>
        </w:numPr>
        <w:spacing w:line="259" w:lineRule="auto"/>
        <w:ind w:left="360"/>
        <w:rPr>
          <w:szCs w:val="17"/>
        </w:rPr>
      </w:pPr>
    </w:p>
    <w:p w14:paraId="04A20682" w14:textId="77777777" w:rsidR="007D7D9B" w:rsidRDefault="007D7D9B" w:rsidP="007D7D9B">
      <w:pPr>
        <w:shd w:val="clear" w:color="auto" w:fill="FFFFFF" w:themeFill="background1"/>
        <w:rPr>
          <w:lang w:eastAsia="en-GB"/>
        </w:rPr>
      </w:pPr>
    </w:p>
    <w:p w14:paraId="7AC26AEE" w14:textId="77777777" w:rsidR="007D7D9B" w:rsidRDefault="007D7D9B" w:rsidP="007D7D9B">
      <w:pPr>
        <w:shd w:val="clear" w:color="auto" w:fill="FFFFFF" w:themeFill="background1"/>
        <w:rPr>
          <w:lang w:eastAsia="en-GB"/>
        </w:rPr>
      </w:pPr>
    </w:p>
    <w:p w14:paraId="6A6CABC5" w14:textId="56E06D00" w:rsidR="00D93081" w:rsidRPr="007D7D9B" w:rsidRDefault="007D7D9B" w:rsidP="007D7D9B">
      <w:pPr>
        <w:shd w:val="clear" w:color="auto" w:fill="FFFFFF" w:themeFill="background1"/>
        <w:rPr>
          <w:rFonts w:cs="Segoe UI"/>
          <w:b/>
          <w:bCs/>
          <w:color w:val="242424"/>
          <w:szCs w:val="17"/>
          <w:u w:val="single"/>
          <w:lang w:eastAsia="en-GB"/>
        </w:rPr>
      </w:pPr>
      <w:r w:rsidRPr="007D7D9B">
        <w:rPr>
          <w:rFonts w:cs="Segoe UI"/>
          <w:b/>
          <w:bCs/>
          <w:color w:val="242424"/>
          <w:szCs w:val="17"/>
          <w:u w:val="single"/>
          <w:lang w:eastAsia="en-GB"/>
        </w:rPr>
        <w:t>L</w:t>
      </w:r>
      <w:r w:rsidR="00D93081" w:rsidRPr="007D7D9B">
        <w:rPr>
          <w:rFonts w:cs="Segoe UI"/>
          <w:b/>
          <w:bCs/>
          <w:color w:val="242424"/>
          <w:szCs w:val="17"/>
          <w:u w:val="single"/>
          <w:lang w:eastAsia="en-GB"/>
        </w:rPr>
        <w:t>ong-Term Equity Criteria</w:t>
      </w:r>
    </w:p>
    <w:p w14:paraId="66069FAC" w14:textId="77777777" w:rsidR="00D93081" w:rsidRDefault="00D93081" w:rsidP="00D93081">
      <w:pPr>
        <w:pStyle w:val="Odsekzoznamu"/>
        <w:shd w:val="clear" w:color="auto" w:fill="FFFFFF" w:themeFill="background1"/>
        <w:rPr>
          <w:rFonts w:cs="Segoe UI"/>
          <w:color w:val="242424"/>
          <w:szCs w:val="17"/>
          <w:lang w:eastAsia="en-GB"/>
        </w:rPr>
      </w:pPr>
    </w:p>
    <w:p w14:paraId="6DE66A53" w14:textId="768D6584" w:rsidR="00D93081" w:rsidRDefault="00716B32" w:rsidP="00716B32">
      <w:pPr>
        <w:pStyle w:val="CEABullet-Level1"/>
      </w:pPr>
      <w:r w:rsidRPr="004D78D9">
        <w:rPr>
          <w:b/>
          <w:bCs/>
        </w:rPr>
        <w:t xml:space="preserve">Insurance Europe welcomes the EC’s stated intention to revise the eligibility criteria </w:t>
      </w:r>
      <w:r w:rsidRPr="00716B32">
        <w:t xml:space="preserve">for the </w:t>
      </w:r>
      <w:r w:rsidR="00A8714E">
        <w:t>LTE a</w:t>
      </w:r>
      <w:r w:rsidRPr="00716B32">
        <w:t>sset class.</w:t>
      </w:r>
    </w:p>
    <w:p w14:paraId="2CB8AD0D" w14:textId="53DDC121" w:rsidR="00716B32" w:rsidRDefault="000D6BE6" w:rsidP="00716B32">
      <w:pPr>
        <w:pStyle w:val="CEABullet-Level1"/>
      </w:pPr>
      <w:r w:rsidRPr="004D78D9">
        <w:rPr>
          <w:b/>
          <w:bCs/>
        </w:rPr>
        <w:t>The key aspects</w:t>
      </w:r>
      <w:r>
        <w:t xml:space="preserve"> which need to be addressed are</w:t>
      </w:r>
      <w:r w:rsidR="004D78D9">
        <w:t>:</w:t>
      </w:r>
    </w:p>
    <w:p w14:paraId="7E1453BF" w14:textId="3BFCE362" w:rsidR="000D6BE6" w:rsidRDefault="000D6BE6" w:rsidP="004D78D9">
      <w:pPr>
        <w:pStyle w:val="CEABullet-Level2"/>
      </w:pPr>
      <w:r>
        <w:t xml:space="preserve">Removal of quasi </w:t>
      </w:r>
      <w:r w:rsidR="00F30C51">
        <w:t>ring-fencing</w:t>
      </w:r>
      <w:r>
        <w:t xml:space="preserve"> requirements </w:t>
      </w:r>
    </w:p>
    <w:p w14:paraId="2E549B41" w14:textId="57E3ACB1" w:rsidR="000D6BE6" w:rsidRDefault="000635B0" w:rsidP="004D78D9">
      <w:pPr>
        <w:pStyle w:val="CEABullet-Level2"/>
      </w:pPr>
      <w:r>
        <w:t>Extension of the application to OECD equities</w:t>
      </w:r>
    </w:p>
    <w:p w14:paraId="60995AC5" w14:textId="4485D849" w:rsidR="000635B0" w:rsidRDefault="006F14BD" w:rsidP="004D78D9">
      <w:pPr>
        <w:pStyle w:val="CEABullet-Level2"/>
      </w:pPr>
      <w:r>
        <w:t xml:space="preserve">Extension of application to </w:t>
      </w:r>
      <w:r w:rsidR="000E0286">
        <w:t xml:space="preserve">all </w:t>
      </w:r>
      <w:r w:rsidR="00947A46">
        <w:t>investment funds</w:t>
      </w:r>
    </w:p>
    <w:p w14:paraId="3E32ED26" w14:textId="2933BA43" w:rsidR="000E0286" w:rsidRDefault="0091008D" w:rsidP="004D78D9">
      <w:pPr>
        <w:pStyle w:val="CEABullet-Level2"/>
      </w:pPr>
      <w:r>
        <w:t xml:space="preserve">Providing </w:t>
      </w:r>
      <w:r w:rsidR="00406E38">
        <w:t xml:space="preserve">the appropriate options </w:t>
      </w:r>
      <w:r w:rsidR="008F6028">
        <w:t xml:space="preserve">for </w:t>
      </w:r>
      <w:r>
        <w:t xml:space="preserve">insurers </w:t>
      </w:r>
      <w:r w:rsidR="008F6028">
        <w:t xml:space="preserve">to demonstrate that they have </w:t>
      </w:r>
      <w:r>
        <w:t xml:space="preserve">the ability to </w:t>
      </w:r>
      <w:r w:rsidR="008F6028">
        <w:t>avoid being forced to sell their</w:t>
      </w:r>
      <w:r w:rsidR="00C04D38">
        <w:t xml:space="preserve"> </w:t>
      </w:r>
      <w:r w:rsidR="007A660E">
        <w:t xml:space="preserve">long-term </w:t>
      </w:r>
      <w:r w:rsidR="00C04D38">
        <w:t>equit</w:t>
      </w:r>
      <w:r w:rsidR="00F30C51">
        <w:t>y holdings</w:t>
      </w:r>
      <w:r w:rsidR="008F6028">
        <w:t xml:space="preserve"> </w:t>
      </w:r>
      <w:r w:rsidR="007A69CD">
        <w:t>–</w:t>
      </w:r>
      <w:r w:rsidR="008F6028">
        <w:t xml:space="preserve"> </w:t>
      </w:r>
      <w:r w:rsidR="007A69CD">
        <w:t xml:space="preserve">this should include </w:t>
      </w:r>
      <w:r w:rsidR="00F30C51">
        <w:t xml:space="preserve">the options </w:t>
      </w:r>
      <w:r w:rsidR="00F26BB4">
        <w:t xml:space="preserve">put forward by EIOPA as well as </w:t>
      </w:r>
      <w:r w:rsidR="007A69CD">
        <w:t>a liquidity test approach</w:t>
      </w:r>
      <w:r w:rsidR="00C04D38">
        <w:t xml:space="preserve">. </w:t>
      </w:r>
    </w:p>
    <w:sectPr w:rsidR="000E0286" w:rsidSect="009176FF">
      <w:headerReference w:type="default" r:id="rId11"/>
      <w:footerReference w:type="default" r:id="rId12"/>
      <w:pgSz w:w="11907" w:h="16839" w:code="9"/>
      <w:pgMar w:top="2410" w:right="902" w:bottom="1418" w:left="1418" w:header="127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4514" w14:textId="77777777" w:rsidR="00B57076" w:rsidRDefault="00B57076">
      <w:pPr>
        <w:spacing w:line="240" w:lineRule="auto"/>
      </w:pPr>
      <w:r>
        <w:separator/>
      </w:r>
    </w:p>
  </w:endnote>
  <w:endnote w:type="continuationSeparator" w:id="0">
    <w:p w14:paraId="6637E092" w14:textId="77777777" w:rsidR="00B57076" w:rsidRDefault="00B57076">
      <w:pPr>
        <w:spacing w:line="240" w:lineRule="auto"/>
      </w:pPr>
      <w:r>
        <w:continuationSeparator/>
      </w:r>
    </w:p>
  </w:endnote>
  <w:endnote w:type="continuationNotice" w:id="1">
    <w:p w14:paraId="4275C697" w14:textId="77777777" w:rsidR="00B57076" w:rsidRDefault="00B570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D9BE" w14:textId="77777777" w:rsidR="008D4106" w:rsidRPr="00CD51F6" w:rsidRDefault="008D4106" w:rsidP="008D4106">
    <w:pPr>
      <w:pStyle w:val="Pta"/>
      <w:ind w:left="546"/>
      <w:rPr>
        <w:rFonts w:cs="Arial"/>
        <w:b/>
        <w:color w:val="0032FF"/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F07A" w14:textId="77777777" w:rsidR="00B57076" w:rsidRDefault="00B57076">
      <w:pPr>
        <w:spacing w:line="240" w:lineRule="auto"/>
      </w:pPr>
      <w:r>
        <w:separator/>
      </w:r>
    </w:p>
  </w:footnote>
  <w:footnote w:type="continuationSeparator" w:id="0">
    <w:p w14:paraId="112B77EC" w14:textId="77777777" w:rsidR="00B57076" w:rsidRDefault="00B57076">
      <w:pPr>
        <w:spacing w:line="240" w:lineRule="auto"/>
      </w:pPr>
      <w:r>
        <w:continuationSeparator/>
      </w:r>
    </w:p>
  </w:footnote>
  <w:footnote w:type="continuationNotice" w:id="1">
    <w:p w14:paraId="78D8C79D" w14:textId="77777777" w:rsidR="00B57076" w:rsidRDefault="00B570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D9BC" w14:textId="5C97C540" w:rsidR="008D4106" w:rsidRPr="00CD51F6" w:rsidRDefault="00EC7441" w:rsidP="008D4106">
    <w:pPr>
      <w:pStyle w:val="Noparagraphstyle"/>
      <w:jc w:val="right"/>
      <w:rPr>
        <w:rFonts w:ascii="Arial" w:hAnsi="Arial" w:cs="Arial"/>
        <w:i/>
        <w:iCs/>
        <w:color w:val="034EA2"/>
      </w:rPr>
    </w:pPr>
    <w:sdt>
      <w:sdtPr>
        <w:id w:val="-196417616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EA2D5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9176FF">
      <w:tab/>
    </w:r>
  </w:p>
  <w:p w14:paraId="6043D9BD" w14:textId="77777777" w:rsidR="008D4106" w:rsidRPr="007349E1" w:rsidRDefault="009176FF" w:rsidP="008D4106">
    <w:pPr>
      <w:pStyle w:val="Hlavika"/>
      <w:tabs>
        <w:tab w:val="clear" w:pos="4320"/>
        <w:tab w:val="clear" w:pos="8640"/>
        <w:tab w:val="center" w:pos="0"/>
        <w:tab w:val="right" w:pos="10440"/>
      </w:tabs>
      <w:rPr>
        <w:b/>
        <w:sz w:val="40"/>
        <w:szCs w:val="40"/>
      </w:rPr>
    </w:pPr>
    <w:r w:rsidRPr="00164309"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6043D9BF" wp14:editId="6043D9C0">
          <wp:simplePos x="0" y="0"/>
          <wp:positionH relativeFrom="page">
            <wp:posOffset>524888</wp:posOffset>
          </wp:positionH>
          <wp:positionV relativeFrom="page">
            <wp:posOffset>525294</wp:posOffset>
          </wp:positionV>
          <wp:extent cx="1459555" cy="894944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.5pt;height:9pt" o:bullet="t">
        <v:imagedata r:id="rId3" o:title="CEA - Bullets Rounded Squares_BulletLevel3_forMS"/>
      </v:shape>
    </w:pict>
  </w:numPicBullet>
  <w:abstractNum w:abstractNumId="0" w15:restartNumberingAfterBreak="0">
    <w:nsid w:val="00F31DD2"/>
    <w:multiLevelType w:val="hybridMultilevel"/>
    <w:tmpl w:val="68F27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1A3A31"/>
    <w:multiLevelType w:val="hybridMultilevel"/>
    <w:tmpl w:val="583E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05294"/>
    <w:multiLevelType w:val="hybridMultilevel"/>
    <w:tmpl w:val="97BC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5" w15:restartNumberingAfterBreak="0">
    <w:nsid w:val="4F2508EC"/>
    <w:multiLevelType w:val="hybridMultilevel"/>
    <w:tmpl w:val="DED4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3FAF"/>
    <w:multiLevelType w:val="hybridMultilevel"/>
    <w:tmpl w:val="D4D8D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23454"/>
    <w:multiLevelType w:val="hybridMultilevel"/>
    <w:tmpl w:val="7CB4A5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FF"/>
    <w:rsid w:val="00002195"/>
    <w:rsid w:val="0000331F"/>
    <w:rsid w:val="00004D0B"/>
    <w:rsid w:val="00024036"/>
    <w:rsid w:val="00024A3A"/>
    <w:rsid w:val="00033B08"/>
    <w:rsid w:val="00041444"/>
    <w:rsid w:val="000418D3"/>
    <w:rsid w:val="000434D5"/>
    <w:rsid w:val="00043EFB"/>
    <w:rsid w:val="00046784"/>
    <w:rsid w:val="000468B4"/>
    <w:rsid w:val="000473FB"/>
    <w:rsid w:val="00050308"/>
    <w:rsid w:val="00055CF6"/>
    <w:rsid w:val="00056690"/>
    <w:rsid w:val="000635B0"/>
    <w:rsid w:val="000663CF"/>
    <w:rsid w:val="00072A7E"/>
    <w:rsid w:val="00092A65"/>
    <w:rsid w:val="0009723A"/>
    <w:rsid w:val="000A23AA"/>
    <w:rsid w:val="000A337D"/>
    <w:rsid w:val="000B5314"/>
    <w:rsid w:val="000B5D04"/>
    <w:rsid w:val="000C57F8"/>
    <w:rsid w:val="000D1A59"/>
    <w:rsid w:val="000D6BE6"/>
    <w:rsid w:val="000E0286"/>
    <w:rsid w:val="000E38ED"/>
    <w:rsid w:val="000E7B93"/>
    <w:rsid w:val="000F448F"/>
    <w:rsid w:val="000F69F1"/>
    <w:rsid w:val="000F75BC"/>
    <w:rsid w:val="0010404A"/>
    <w:rsid w:val="00104249"/>
    <w:rsid w:val="001126A0"/>
    <w:rsid w:val="001135D7"/>
    <w:rsid w:val="001156E6"/>
    <w:rsid w:val="001202ED"/>
    <w:rsid w:val="00122565"/>
    <w:rsid w:val="00142179"/>
    <w:rsid w:val="001560C6"/>
    <w:rsid w:val="00171EC5"/>
    <w:rsid w:val="001723D4"/>
    <w:rsid w:val="00181683"/>
    <w:rsid w:val="00193222"/>
    <w:rsid w:val="00197BE6"/>
    <w:rsid w:val="001A5FAC"/>
    <w:rsid w:val="001B3E83"/>
    <w:rsid w:val="001B4304"/>
    <w:rsid w:val="001C058B"/>
    <w:rsid w:val="001C5318"/>
    <w:rsid w:val="001D06AA"/>
    <w:rsid w:val="001D2BE0"/>
    <w:rsid w:val="001E0A9E"/>
    <w:rsid w:val="001E0C75"/>
    <w:rsid w:val="001F3D78"/>
    <w:rsid w:val="00222914"/>
    <w:rsid w:val="0022344D"/>
    <w:rsid w:val="00224674"/>
    <w:rsid w:val="00234EC8"/>
    <w:rsid w:val="002404CE"/>
    <w:rsid w:val="00241715"/>
    <w:rsid w:val="0025443F"/>
    <w:rsid w:val="002556CA"/>
    <w:rsid w:val="00255DF5"/>
    <w:rsid w:val="0027384C"/>
    <w:rsid w:val="00275A9F"/>
    <w:rsid w:val="00287887"/>
    <w:rsid w:val="00297DC4"/>
    <w:rsid w:val="002A1FCD"/>
    <w:rsid w:val="002A2102"/>
    <w:rsid w:val="002A32F9"/>
    <w:rsid w:val="002A555B"/>
    <w:rsid w:val="002B165A"/>
    <w:rsid w:val="002B186F"/>
    <w:rsid w:val="002C19EC"/>
    <w:rsid w:val="002C3103"/>
    <w:rsid w:val="002C44C4"/>
    <w:rsid w:val="002D6C2C"/>
    <w:rsid w:val="002E2420"/>
    <w:rsid w:val="002E35DA"/>
    <w:rsid w:val="002E7ABF"/>
    <w:rsid w:val="002F5D53"/>
    <w:rsid w:val="002F63A5"/>
    <w:rsid w:val="002F6741"/>
    <w:rsid w:val="0030032F"/>
    <w:rsid w:val="00307184"/>
    <w:rsid w:val="00313269"/>
    <w:rsid w:val="00326EB6"/>
    <w:rsid w:val="00327FAB"/>
    <w:rsid w:val="003321D2"/>
    <w:rsid w:val="003455D5"/>
    <w:rsid w:val="0034685A"/>
    <w:rsid w:val="00351550"/>
    <w:rsid w:val="00352AE5"/>
    <w:rsid w:val="00353F6D"/>
    <w:rsid w:val="00363632"/>
    <w:rsid w:val="00375C9A"/>
    <w:rsid w:val="00375CBA"/>
    <w:rsid w:val="003826B7"/>
    <w:rsid w:val="003826E6"/>
    <w:rsid w:val="0038462E"/>
    <w:rsid w:val="00391D99"/>
    <w:rsid w:val="00393B00"/>
    <w:rsid w:val="003969E8"/>
    <w:rsid w:val="0039778D"/>
    <w:rsid w:val="003A3050"/>
    <w:rsid w:val="003A4202"/>
    <w:rsid w:val="003A54C1"/>
    <w:rsid w:val="003B3BE7"/>
    <w:rsid w:val="003C2305"/>
    <w:rsid w:val="003C3418"/>
    <w:rsid w:val="003C70EE"/>
    <w:rsid w:val="003D063E"/>
    <w:rsid w:val="003E04CD"/>
    <w:rsid w:val="003E1CC2"/>
    <w:rsid w:val="003F77AE"/>
    <w:rsid w:val="00406E38"/>
    <w:rsid w:val="004214F1"/>
    <w:rsid w:val="004253E6"/>
    <w:rsid w:val="00426F09"/>
    <w:rsid w:val="0043112D"/>
    <w:rsid w:val="00433347"/>
    <w:rsid w:val="00437A92"/>
    <w:rsid w:val="00440D02"/>
    <w:rsid w:val="00440FEE"/>
    <w:rsid w:val="00441FAB"/>
    <w:rsid w:val="004601EF"/>
    <w:rsid w:val="00473B8E"/>
    <w:rsid w:val="00475EF3"/>
    <w:rsid w:val="0049182E"/>
    <w:rsid w:val="004928DF"/>
    <w:rsid w:val="004943ED"/>
    <w:rsid w:val="00495C43"/>
    <w:rsid w:val="004A4E08"/>
    <w:rsid w:val="004B1241"/>
    <w:rsid w:val="004B548B"/>
    <w:rsid w:val="004C465E"/>
    <w:rsid w:val="004C5B31"/>
    <w:rsid w:val="004D16F1"/>
    <w:rsid w:val="004D64E3"/>
    <w:rsid w:val="004D78D9"/>
    <w:rsid w:val="004E1CE3"/>
    <w:rsid w:val="00503C7F"/>
    <w:rsid w:val="00504AED"/>
    <w:rsid w:val="0052498C"/>
    <w:rsid w:val="00527F92"/>
    <w:rsid w:val="0055508C"/>
    <w:rsid w:val="005579D0"/>
    <w:rsid w:val="0056226C"/>
    <w:rsid w:val="005648D8"/>
    <w:rsid w:val="005878EF"/>
    <w:rsid w:val="005A1A40"/>
    <w:rsid w:val="005A557B"/>
    <w:rsid w:val="005B6736"/>
    <w:rsid w:val="005C4B10"/>
    <w:rsid w:val="005C6816"/>
    <w:rsid w:val="005D3FDE"/>
    <w:rsid w:val="005D653B"/>
    <w:rsid w:val="005E41D1"/>
    <w:rsid w:val="005E50CA"/>
    <w:rsid w:val="005F60BB"/>
    <w:rsid w:val="00605171"/>
    <w:rsid w:val="00613331"/>
    <w:rsid w:val="0062294A"/>
    <w:rsid w:val="00627BCA"/>
    <w:rsid w:val="006403A3"/>
    <w:rsid w:val="00651249"/>
    <w:rsid w:val="00655959"/>
    <w:rsid w:val="00660E29"/>
    <w:rsid w:val="00691C2A"/>
    <w:rsid w:val="006928EC"/>
    <w:rsid w:val="00696AB7"/>
    <w:rsid w:val="006B5C3A"/>
    <w:rsid w:val="006C147B"/>
    <w:rsid w:val="006C5B98"/>
    <w:rsid w:val="006D4821"/>
    <w:rsid w:val="006E1572"/>
    <w:rsid w:val="006E1EE5"/>
    <w:rsid w:val="006F14BD"/>
    <w:rsid w:val="00701FD0"/>
    <w:rsid w:val="00704AE7"/>
    <w:rsid w:val="00710108"/>
    <w:rsid w:val="0071106C"/>
    <w:rsid w:val="007110A9"/>
    <w:rsid w:val="0071215E"/>
    <w:rsid w:val="007166E9"/>
    <w:rsid w:val="00716B32"/>
    <w:rsid w:val="00726207"/>
    <w:rsid w:val="00745512"/>
    <w:rsid w:val="00750C73"/>
    <w:rsid w:val="007544B4"/>
    <w:rsid w:val="0076462A"/>
    <w:rsid w:val="007649E9"/>
    <w:rsid w:val="007768C0"/>
    <w:rsid w:val="00781B97"/>
    <w:rsid w:val="00784360"/>
    <w:rsid w:val="0079685A"/>
    <w:rsid w:val="007A2660"/>
    <w:rsid w:val="007A660E"/>
    <w:rsid w:val="007A69CD"/>
    <w:rsid w:val="007B776B"/>
    <w:rsid w:val="007C05B7"/>
    <w:rsid w:val="007C50EB"/>
    <w:rsid w:val="007C660C"/>
    <w:rsid w:val="007D035A"/>
    <w:rsid w:val="007D2863"/>
    <w:rsid w:val="007D7D9B"/>
    <w:rsid w:val="007E4F2E"/>
    <w:rsid w:val="007F254A"/>
    <w:rsid w:val="0080033D"/>
    <w:rsid w:val="00820B14"/>
    <w:rsid w:val="00823E49"/>
    <w:rsid w:val="00826C9F"/>
    <w:rsid w:val="008276A5"/>
    <w:rsid w:val="0083509A"/>
    <w:rsid w:val="008358EC"/>
    <w:rsid w:val="00836234"/>
    <w:rsid w:val="00842175"/>
    <w:rsid w:val="00844053"/>
    <w:rsid w:val="00845959"/>
    <w:rsid w:val="008515C2"/>
    <w:rsid w:val="00855383"/>
    <w:rsid w:val="0086083C"/>
    <w:rsid w:val="00863B66"/>
    <w:rsid w:val="008650DC"/>
    <w:rsid w:val="00874EB4"/>
    <w:rsid w:val="00892D6D"/>
    <w:rsid w:val="008A27C5"/>
    <w:rsid w:val="008A2838"/>
    <w:rsid w:val="008A7742"/>
    <w:rsid w:val="008A7C0B"/>
    <w:rsid w:val="008B1782"/>
    <w:rsid w:val="008B20B5"/>
    <w:rsid w:val="008B4718"/>
    <w:rsid w:val="008B4EEC"/>
    <w:rsid w:val="008B6E25"/>
    <w:rsid w:val="008B7D0A"/>
    <w:rsid w:val="008C35FB"/>
    <w:rsid w:val="008D107B"/>
    <w:rsid w:val="008D376A"/>
    <w:rsid w:val="008D3C10"/>
    <w:rsid w:val="008D4106"/>
    <w:rsid w:val="008E3C5C"/>
    <w:rsid w:val="008E4EA1"/>
    <w:rsid w:val="008E5CFE"/>
    <w:rsid w:val="008F2CB3"/>
    <w:rsid w:val="008F6028"/>
    <w:rsid w:val="0091008D"/>
    <w:rsid w:val="009139D2"/>
    <w:rsid w:val="009176FF"/>
    <w:rsid w:val="0091784C"/>
    <w:rsid w:val="009263FF"/>
    <w:rsid w:val="009270D1"/>
    <w:rsid w:val="00927BB1"/>
    <w:rsid w:val="00933E90"/>
    <w:rsid w:val="00943E70"/>
    <w:rsid w:val="00945FF7"/>
    <w:rsid w:val="0094748C"/>
    <w:rsid w:val="00947A46"/>
    <w:rsid w:val="00952CF8"/>
    <w:rsid w:val="00962C88"/>
    <w:rsid w:val="0097686B"/>
    <w:rsid w:val="009779A1"/>
    <w:rsid w:val="00980B53"/>
    <w:rsid w:val="009816FF"/>
    <w:rsid w:val="00984FD8"/>
    <w:rsid w:val="00985CB5"/>
    <w:rsid w:val="00994BCD"/>
    <w:rsid w:val="0099691E"/>
    <w:rsid w:val="009977AB"/>
    <w:rsid w:val="00997811"/>
    <w:rsid w:val="009A33E8"/>
    <w:rsid w:val="009A37FD"/>
    <w:rsid w:val="009A47BC"/>
    <w:rsid w:val="009A7A2E"/>
    <w:rsid w:val="009B5052"/>
    <w:rsid w:val="009B53CF"/>
    <w:rsid w:val="009C0D73"/>
    <w:rsid w:val="009E0D9A"/>
    <w:rsid w:val="009F5D04"/>
    <w:rsid w:val="00A014AE"/>
    <w:rsid w:val="00A03C66"/>
    <w:rsid w:val="00A15E66"/>
    <w:rsid w:val="00A2799A"/>
    <w:rsid w:val="00A30456"/>
    <w:rsid w:val="00A44F7B"/>
    <w:rsid w:val="00A454FA"/>
    <w:rsid w:val="00A4702F"/>
    <w:rsid w:val="00A505E1"/>
    <w:rsid w:val="00A54B47"/>
    <w:rsid w:val="00A61994"/>
    <w:rsid w:val="00A635A0"/>
    <w:rsid w:val="00A717F5"/>
    <w:rsid w:val="00A74E6A"/>
    <w:rsid w:val="00A8282E"/>
    <w:rsid w:val="00A849DE"/>
    <w:rsid w:val="00A87073"/>
    <w:rsid w:val="00A8714E"/>
    <w:rsid w:val="00A877FF"/>
    <w:rsid w:val="00A9049B"/>
    <w:rsid w:val="00A92EB4"/>
    <w:rsid w:val="00A9537E"/>
    <w:rsid w:val="00AA7AEA"/>
    <w:rsid w:val="00AB63F0"/>
    <w:rsid w:val="00AC0F48"/>
    <w:rsid w:val="00AC5CDC"/>
    <w:rsid w:val="00AD15FB"/>
    <w:rsid w:val="00AD4395"/>
    <w:rsid w:val="00AD7CE4"/>
    <w:rsid w:val="00AE3610"/>
    <w:rsid w:val="00AE4D98"/>
    <w:rsid w:val="00AF2427"/>
    <w:rsid w:val="00AF4458"/>
    <w:rsid w:val="00AF539E"/>
    <w:rsid w:val="00AF7FD0"/>
    <w:rsid w:val="00B1389C"/>
    <w:rsid w:val="00B159A3"/>
    <w:rsid w:val="00B201A3"/>
    <w:rsid w:val="00B254D7"/>
    <w:rsid w:val="00B276CD"/>
    <w:rsid w:val="00B30C24"/>
    <w:rsid w:val="00B51DDC"/>
    <w:rsid w:val="00B53F91"/>
    <w:rsid w:val="00B57076"/>
    <w:rsid w:val="00B60FC7"/>
    <w:rsid w:val="00B655D7"/>
    <w:rsid w:val="00B72C74"/>
    <w:rsid w:val="00B735F0"/>
    <w:rsid w:val="00BA4DF8"/>
    <w:rsid w:val="00BA6027"/>
    <w:rsid w:val="00BB1ACF"/>
    <w:rsid w:val="00BC32B3"/>
    <w:rsid w:val="00BC6907"/>
    <w:rsid w:val="00BD331B"/>
    <w:rsid w:val="00BE1F95"/>
    <w:rsid w:val="00BE25FB"/>
    <w:rsid w:val="00C0350B"/>
    <w:rsid w:val="00C04D38"/>
    <w:rsid w:val="00C06E87"/>
    <w:rsid w:val="00C111A4"/>
    <w:rsid w:val="00C11BE6"/>
    <w:rsid w:val="00C1287E"/>
    <w:rsid w:val="00C14B8C"/>
    <w:rsid w:val="00C25489"/>
    <w:rsid w:val="00C26BA0"/>
    <w:rsid w:val="00C3128E"/>
    <w:rsid w:val="00C34104"/>
    <w:rsid w:val="00C34977"/>
    <w:rsid w:val="00C34B6C"/>
    <w:rsid w:val="00C35E62"/>
    <w:rsid w:val="00C520CE"/>
    <w:rsid w:val="00C52161"/>
    <w:rsid w:val="00C56987"/>
    <w:rsid w:val="00C6147D"/>
    <w:rsid w:val="00C673B2"/>
    <w:rsid w:val="00C71F22"/>
    <w:rsid w:val="00C75CA6"/>
    <w:rsid w:val="00C86FD6"/>
    <w:rsid w:val="00C87358"/>
    <w:rsid w:val="00C97A12"/>
    <w:rsid w:val="00CA427D"/>
    <w:rsid w:val="00CB2E63"/>
    <w:rsid w:val="00CB3813"/>
    <w:rsid w:val="00CC0E68"/>
    <w:rsid w:val="00CD3DD3"/>
    <w:rsid w:val="00CD601C"/>
    <w:rsid w:val="00CD6147"/>
    <w:rsid w:val="00CE1C20"/>
    <w:rsid w:val="00CE2159"/>
    <w:rsid w:val="00CF30A0"/>
    <w:rsid w:val="00CF773D"/>
    <w:rsid w:val="00D001FE"/>
    <w:rsid w:val="00D05BDF"/>
    <w:rsid w:val="00D07742"/>
    <w:rsid w:val="00D104F8"/>
    <w:rsid w:val="00D10C15"/>
    <w:rsid w:val="00D1284A"/>
    <w:rsid w:val="00D30FBB"/>
    <w:rsid w:val="00D31605"/>
    <w:rsid w:val="00D350E6"/>
    <w:rsid w:val="00D43510"/>
    <w:rsid w:val="00D45B0F"/>
    <w:rsid w:val="00D5064D"/>
    <w:rsid w:val="00D60518"/>
    <w:rsid w:val="00D613BB"/>
    <w:rsid w:val="00D61514"/>
    <w:rsid w:val="00D64EFE"/>
    <w:rsid w:val="00D754EE"/>
    <w:rsid w:val="00D93081"/>
    <w:rsid w:val="00D9325F"/>
    <w:rsid w:val="00D9786D"/>
    <w:rsid w:val="00DA28B6"/>
    <w:rsid w:val="00DA3DCF"/>
    <w:rsid w:val="00DA6E43"/>
    <w:rsid w:val="00DB2085"/>
    <w:rsid w:val="00DC2135"/>
    <w:rsid w:val="00DC38ED"/>
    <w:rsid w:val="00DC6138"/>
    <w:rsid w:val="00DD3AAA"/>
    <w:rsid w:val="00DD4EEE"/>
    <w:rsid w:val="00DF00B6"/>
    <w:rsid w:val="00DF4561"/>
    <w:rsid w:val="00DF4C67"/>
    <w:rsid w:val="00DF4F10"/>
    <w:rsid w:val="00E074F0"/>
    <w:rsid w:val="00E10289"/>
    <w:rsid w:val="00E116B7"/>
    <w:rsid w:val="00E12091"/>
    <w:rsid w:val="00E2222E"/>
    <w:rsid w:val="00E2428D"/>
    <w:rsid w:val="00E3353A"/>
    <w:rsid w:val="00E34111"/>
    <w:rsid w:val="00E35BB0"/>
    <w:rsid w:val="00E37382"/>
    <w:rsid w:val="00E41A61"/>
    <w:rsid w:val="00E43CD1"/>
    <w:rsid w:val="00E56046"/>
    <w:rsid w:val="00E626CB"/>
    <w:rsid w:val="00E76A12"/>
    <w:rsid w:val="00E8525D"/>
    <w:rsid w:val="00E866E7"/>
    <w:rsid w:val="00E9396C"/>
    <w:rsid w:val="00EA1B32"/>
    <w:rsid w:val="00EA3594"/>
    <w:rsid w:val="00EA634B"/>
    <w:rsid w:val="00EB1E5D"/>
    <w:rsid w:val="00EB6561"/>
    <w:rsid w:val="00EC47AA"/>
    <w:rsid w:val="00EC5847"/>
    <w:rsid w:val="00EC7441"/>
    <w:rsid w:val="00ED5676"/>
    <w:rsid w:val="00ED7451"/>
    <w:rsid w:val="00EE0AAA"/>
    <w:rsid w:val="00EE4175"/>
    <w:rsid w:val="00EF3A2A"/>
    <w:rsid w:val="00EF726A"/>
    <w:rsid w:val="00F14FE4"/>
    <w:rsid w:val="00F15058"/>
    <w:rsid w:val="00F17694"/>
    <w:rsid w:val="00F21F6E"/>
    <w:rsid w:val="00F22296"/>
    <w:rsid w:val="00F26BB4"/>
    <w:rsid w:val="00F27709"/>
    <w:rsid w:val="00F30C51"/>
    <w:rsid w:val="00F340C1"/>
    <w:rsid w:val="00F40F76"/>
    <w:rsid w:val="00F6140F"/>
    <w:rsid w:val="00F66B6F"/>
    <w:rsid w:val="00F73130"/>
    <w:rsid w:val="00F763F7"/>
    <w:rsid w:val="00F764CF"/>
    <w:rsid w:val="00F86A08"/>
    <w:rsid w:val="00F8705B"/>
    <w:rsid w:val="00FA4DAB"/>
    <w:rsid w:val="00FB383A"/>
    <w:rsid w:val="00FB4B53"/>
    <w:rsid w:val="00FB5D9F"/>
    <w:rsid w:val="00FC2110"/>
    <w:rsid w:val="00FC3F9A"/>
    <w:rsid w:val="00FC5E8B"/>
    <w:rsid w:val="00FC6DB8"/>
    <w:rsid w:val="00FD6BEE"/>
    <w:rsid w:val="00FD7D60"/>
    <w:rsid w:val="00FE0981"/>
    <w:rsid w:val="00FE7F70"/>
    <w:rsid w:val="00FF3A91"/>
    <w:rsid w:val="65A5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43D9B5"/>
  <w15:docId w15:val="{2C0CDB2C-A645-4DFD-B2DF-D432C43B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6FF"/>
    <w:pPr>
      <w:spacing w:after="0" w:line="288" w:lineRule="auto"/>
      <w:jc w:val="both"/>
    </w:pPr>
    <w:rPr>
      <w:rFonts w:ascii="Verdana" w:eastAsia="Times New Roman" w:hAnsi="Verdana" w:cs="Times New Roman"/>
      <w:sz w:val="17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9176F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9176FF"/>
    <w:rPr>
      <w:rFonts w:ascii="Verdana" w:eastAsia="Times New Roman" w:hAnsi="Verdana" w:cs="Times New Roman"/>
      <w:sz w:val="17"/>
      <w:szCs w:val="24"/>
      <w:lang w:val="en-GB"/>
    </w:rPr>
  </w:style>
  <w:style w:type="paragraph" w:styleId="Pta">
    <w:name w:val="footer"/>
    <w:basedOn w:val="Normlny"/>
    <w:link w:val="PtaChar"/>
    <w:semiHidden/>
    <w:rsid w:val="009176F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9176FF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Noparagraphstyle">
    <w:name w:val="[No paragraph style]"/>
    <w:semiHidden/>
    <w:rsid w:val="009176F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CEAGraphTitle">
    <w:name w:val="CEA Graph Title"/>
    <w:basedOn w:val="Predvolenpsmoodseku"/>
    <w:uiPriority w:val="1"/>
    <w:qFormat/>
    <w:rsid w:val="009176FF"/>
    <w:rPr>
      <w:rFonts w:ascii="Verdana" w:hAnsi="Verdana"/>
      <w:smallCaps w:val="0"/>
      <w:sz w:val="17"/>
      <w:lang w:val="en-GB"/>
    </w:rPr>
  </w:style>
  <w:style w:type="paragraph" w:customStyle="1" w:styleId="CEABullet-Level1">
    <w:name w:val="CEA Bullet - Level 1"/>
    <w:basedOn w:val="Normlny"/>
    <w:qFormat/>
    <w:rsid w:val="001126A0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1126A0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1126A0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DirectorGeneral">
    <w:name w:val="CEA Director General"/>
    <w:basedOn w:val="Normlny"/>
    <w:semiHidden/>
    <w:qFormat/>
    <w:rsid w:val="001126A0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1126A0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Draft">
    <w:name w:val="CEA Draft"/>
    <w:basedOn w:val="Normlny"/>
    <w:semiHidden/>
    <w:qFormat/>
    <w:rsid w:val="001126A0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126A0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Footnote">
    <w:name w:val="CEA Footnote"/>
    <w:basedOn w:val="Normlny"/>
    <w:semiHidden/>
    <w:qFormat/>
    <w:rsid w:val="001126A0"/>
    <w:pPr>
      <w:spacing w:line="240" w:lineRule="auto"/>
    </w:pPr>
    <w:rPr>
      <w:sz w:val="16"/>
    </w:rPr>
  </w:style>
  <w:style w:type="character" w:customStyle="1" w:styleId="CEAGraphX">
    <w:name w:val="CEA Graph X"/>
    <w:uiPriority w:val="1"/>
    <w:qFormat/>
    <w:rsid w:val="001126A0"/>
    <w:rPr>
      <w:rFonts w:ascii="Verdana" w:hAnsi="Verdana"/>
      <w:smallCaps/>
      <w:sz w:val="19"/>
      <w:lang w:val="en-GB"/>
    </w:rPr>
  </w:style>
  <w:style w:type="paragraph" w:customStyle="1" w:styleId="CEALabel">
    <w:name w:val="CEA Label"/>
    <w:basedOn w:val="Normlny"/>
    <w:semiHidden/>
    <w:qFormat/>
    <w:rsid w:val="001126A0"/>
    <w:rPr>
      <w:rFonts w:cs="Arial"/>
      <w:b/>
      <w:color w:val="034EA2"/>
      <w:sz w:val="18"/>
      <w:szCs w:val="18"/>
    </w:rPr>
  </w:style>
  <w:style w:type="paragraph" w:customStyle="1" w:styleId="CEAPositionPaperTitle">
    <w:name w:val="CEA Position Paper Title"/>
    <w:basedOn w:val="Normlny"/>
    <w:semiHidden/>
    <w:qFormat/>
    <w:rsid w:val="001126A0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1126A0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1126A0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1126A0"/>
    <w:rPr>
      <w:rFonts w:cs="Frutiger LT Std 55 Roman"/>
      <w:b/>
      <w:szCs w:val="20"/>
    </w:rPr>
  </w:style>
  <w:style w:type="paragraph" w:styleId="Odsekzoznamu">
    <w:name w:val="List Paragraph"/>
    <w:basedOn w:val="Normlny"/>
    <w:uiPriority w:val="34"/>
    <w:qFormat/>
    <w:rsid w:val="00FC3F9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5155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51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memo xmlns="d352728d-c7aa-455d-bd83-40fe44122be8" xsi:nil="true"/>
    <Deadline xmlns="d352728d-c7aa-455d-bd83-40fe44122be8" xsi:nil="true"/>
    <Type_x0020_of_x0020_document xmlns="d352728d-c7aa-455d-bd83-40fe44122be8" xsi:nil="true"/>
    <Uploads xmlns="d352728d-c7aa-455d-bd83-40fe44122be8" xsi:nil="true"/>
    <Leading_x0020_document xmlns="d352728d-c7aa-455d-bd83-40fe44122be8" xsi:nil="true"/>
    <Can_x0020_be_x0020_edited xmlns="d352728d-c7aa-455d-bd83-40fe44122be8">false</Can_x0020_be_x0020_edited>
    <AllowComments xmlns="d352728d-c7aa-455d-bd83-40fe44122be8">true</AllowComments>
    <Allow_x0020_uploads xmlns="d352728d-c7aa-455d-bd83-40fe44122be8" xsi:nil="true"/>
    <Display_x0020_validated_x0020_documents_x0020_library_x0020_button xmlns="d352728d-c7aa-455d-bd83-40fe44122be8">false</Display_x0020_validated_x0020_documents_x0020_library_x0020_button>
    <Validated xmlns="d352728d-c7aa-455d-bd83-40fe44122be8">false</Validated>
    <Feedback_x0020_type xmlns="d352728d-c7aa-455d-bd83-40fe44122be8" xsi:nil="true"/>
    <isAnnex xmlns="d352728d-c7aa-455d-bd83-40fe44122be8" xsi:nil="true"/>
    <ValidationComment xmlns="d352728d-c7aa-455d-bd83-40fe44122be8" xsi:nil="true"/>
    <Allow_x0020_comments xmlns="d352728d-c7aa-455d-bd83-40fe44122b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7A2A1B97D27D6A4C90B6022E1624614C" ma:contentTypeVersion="22" ma:contentTypeDescription="Published Documents Content types for Insurance Europe" ma:contentTypeScope="" ma:versionID="684735056240bbc18f54e74bba908b1f">
  <xsd:schema xmlns:xsd="http://www.w3.org/2001/XMLSchema" xmlns:xs="http://www.w3.org/2001/XMLSchema" xmlns:p="http://schemas.microsoft.com/office/2006/metadata/properties" xmlns:ns2="d352728d-c7aa-455d-bd83-40fe44122be8" targetNamespace="http://schemas.microsoft.com/office/2006/metadata/properties" ma:root="true" ma:fieldsID="7318338eec0ffa23ad0f6e13c74328bf" ns2:_="">
    <xsd:import namespace="d352728d-c7aa-455d-bd83-40fe44122be8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728d-c7aa-455d-bd83-40fe44122be8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ABB77-DEE3-4E82-81AD-29FD699D3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E8496-0FDC-4718-A413-EA00469A5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A0EA-14CF-4487-AFCD-561CDD8E319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d352728d-c7aa-455d-bd83-40fe44122be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D6B016-DD92-4127-A83A-6B1B89DA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2728d-c7aa-455d-bd83-40fe4412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4</DocSecurity>
  <Lines>33</Lines>
  <Paragraphs>9</Paragraphs>
  <ScaleCrop>false</ScaleCrop>
  <Company>Insurance Europe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Europe key positions on long-term business ahead of the EGBPI meeting on 3 February</dc:title>
  <dc:subject/>
  <dc:creator>Insurance Europe</dc:creator>
  <cp:keywords/>
  <cp:lastModifiedBy>jozef.bachnicek</cp:lastModifiedBy>
  <cp:revision>2</cp:revision>
  <dcterms:created xsi:type="dcterms:W3CDTF">2022-02-02T14:09:00Z</dcterms:created>
  <dcterms:modified xsi:type="dcterms:W3CDTF">2022-02-02T14:09:00Z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0x0101007A2A1B97D27D6A4C90B6022E1624614C</vt:lpwstr>
  </property>
  <property fmtid="{D5CDD505-2E9C-101B-9397-08002B2CF9AE}" pid="3" name="Order">
    <vt:r8>7183700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_CopySource">
    <vt:lpwstr>https://insuranceeurope.sharepoint.com/sites/intranet/Solvency II WG/2022/ECO-SLV-22-047.docx</vt:lpwstr>
  </property>
</Properties>
</file>